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5A371" w14:textId="3BFB7903" w:rsidR="00F278E8" w:rsidRPr="00F278E8" w:rsidRDefault="00F278E8" w:rsidP="00F278E8">
      <w:pPr>
        <w:spacing w:line="360" w:lineRule="auto"/>
        <w:ind w:left="360" w:firstLine="360"/>
        <w:jc w:val="center"/>
        <w:rPr>
          <w:rFonts w:ascii="Times New Roman" w:hAnsi="Times New Roman"/>
          <w:b/>
          <w:noProof w:val="0"/>
        </w:rPr>
      </w:pPr>
      <w:bookmarkStart w:id="0" w:name="_GoBack"/>
      <w:bookmarkEnd w:id="0"/>
      <w:r w:rsidRPr="00F278E8">
        <w:rPr>
          <w:rFonts w:ascii="Times New Roman" w:hAnsi="Times New Roman"/>
          <w:b/>
          <w:noProof w:val="0"/>
        </w:rPr>
        <w:t xml:space="preserve">Sexual minority youth continue to </w:t>
      </w:r>
      <w:r w:rsidR="003E2A9C">
        <w:rPr>
          <w:rFonts w:ascii="Times New Roman" w:hAnsi="Times New Roman"/>
          <w:b/>
          <w:noProof w:val="0"/>
        </w:rPr>
        <w:t>smoke cigarettes</w:t>
      </w:r>
      <w:r w:rsidRPr="00F278E8">
        <w:rPr>
          <w:rFonts w:ascii="Times New Roman" w:hAnsi="Times New Roman"/>
          <w:b/>
          <w:noProof w:val="0"/>
        </w:rPr>
        <w:t xml:space="preserve"> earlier and more often than heterosexual</w:t>
      </w:r>
      <w:r w:rsidR="003E2A9C">
        <w:rPr>
          <w:rFonts w:ascii="Times New Roman" w:hAnsi="Times New Roman"/>
          <w:b/>
          <w:noProof w:val="0"/>
        </w:rPr>
        <w:t>s</w:t>
      </w:r>
      <w:r w:rsidRPr="00F278E8">
        <w:rPr>
          <w:rFonts w:ascii="Times New Roman" w:hAnsi="Times New Roman"/>
          <w:b/>
          <w:noProof w:val="0"/>
        </w:rPr>
        <w:t>: Findings from population-based data</w:t>
      </w:r>
    </w:p>
    <w:p w14:paraId="4D4EB280" w14:textId="77777777" w:rsidR="00EF3831" w:rsidRDefault="00EF3831" w:rsidP="002C6249">
      <w:pPr>
        <w:pStyle w:val="ListParagraph"/>
        <w:ind w:left="0"/>
        <w:jc w:val="both"/>
        <w:rPr>
          <w:rFonts w:ascii="Times New Roman" w:hAnsi="Times New Roman"/>
          <w:b/>
        </w:rPr>
        <w:sectPr w:rsidR="00EF3831" w:rsidSect="003F5006">
          <w:headerReference w:type="even" r:id="rId7"/>
          <w:headerReference w:type="default" r:id="rId8"/>
          <w:headerReference w:type="first" r:id="rId9"/>
          <w:pgSz w:w="12240" w:h="15840"/>
          <w:pgMar w:top="1440" w:right="1440" w:bottom="1440" w:left="1440" w:header="720" w:footer="720" w:gutter="0"/>
          <w:cols w:space="720"/>
          <w:titlePg/>
          <w:docGrid w:linePitch="360"/>
        </w:sectPr>
      </w:pPr>
    </w:p>
    <w:p w14:paraId="4D0B6932" w14:textId="44856A60" w:rsidR="00DD6A81" w:rsidRPr="004B7641" w:rsidRDefault="00DD6A81" w:rsidP="002C6249">
      <w:pPr>
        <w:pStyle w:val="ListParagraph"/>
        <w:ind w:left="0"/>
        <w:jc w:val="both"/>
        <w:rPr>
          <w:rFonts w:ascii="Times New Roman" w:hAnsi="Times New Roman"/>
          <w:b/>
        </w:rPr>
      </w:pPr>
      <w:r w:rsidRPr="004B7641">
        <w:rPr>
          <w:rFonts w:ascii="Times New Roman" w:hAnsi="Times New Roman"/>
          <w:b/>
        </w:rPr>
        <w:lastRenderedPageBreak/>
        <w:t>Abstract</w:t>
      </w:r>
    </w:p>
    <w:p w14:paraId="49CF846C" w14:textId="77777777" w:rsidR="00C84FE9" w:rsidRDefault="00C84FE9" w:rsidP="002C6249">
      <w:pPr>
        <w:pStyle w:val="ListParagraph"/>
        <w:ind w:left="0"/>
        <w:jc w:val="both"/>
        <w:rPr>
          <w:rFonts w:ascii="Times New Roman" w:hAnsi="Times New Roman"/>
        </w:rPr>
      </w:pPr>
    </w:p>
    <w:p w14:paraId="58891B2A" w14:textId="7233033F" w:rsidR="00FB79A8" w:rsidRDefault="00FB79A8" w:rsidP="002C6249">
      <w:pPr>
        <w:pStyle w:val="ListParagraph"/>
        <w:ind w:left="0"/>
        <w:jc w:val="both"/>
        <w:rPr>
          <w:rFonts w:ascii="Times New Roman" w:hAnsi="Times New Roman"/>
        </w:rPr>
      </w:pPr>
      <w:r w:rsidRPr="00FB79A8">
        <w:rPr>
          <w:rFonts w:ascii="Times New Roman" w:hAnsi="Times New Roman"/>
          <w:b/>
        </w:rPr>
        <w:t>Background.</w:t>
      </w:r>
      <w:r>
        <w:rPr>
          <w:rFonts w:ascii="Times New Roman" w:hAnsi="Times New Roman"/>
        </w:rPr>
        <w:t xml:space="preserve"> </w:t>
      </w:r>
      <w:r w:rsidR="00233749" w:rsidRPr="00516AF3">
        <w:rPr>
          <w:rFonts w:ascii="Times New Roman" w:hAnsi="Times New Roman"/>
        </w:rPr>
        <w:t xml:space="preserve">An established body of research </w:t>
      </w:r>
      <w:r w:rsidR="008F1D9D" w:rsidRPr="00516AF3">
        <w:rPr>
          <w:rFonts w:ascii="Times New Roman" w:hAnsi="Times New Roman"/>
        </w:rPr>
        <w:t>document</w:t>
      </w:r>
      <w:r w:rsidR="008F1D9D">
        <w:rPr>
          <w:rFonts w:ascii="Times New Roman" w:hAnsi="Times New Roman"/>
        </w:rPr>
        <w:t>s</w:t>
      </w:r>
      <w:r w:rsidR="004578F9">
        <w:rPr>
          <w:rFonts w:ascii="Times New Roman" w:hAnsi="Times New Roman"/>
        </w:rPr>
        <w:t xml:space="preserve"> </w:t>
      </w:r>
      <w:r w:rsidR="00233749" w:rsidRPr="00516AF3">
        <w:rPr>
          <w:rFonts w:ascii="Times New Roman" w:hAnsi="Times New Roman"/>
        </w:rPr>
        <w:t xml:space="preserve">that </w:t>
      </w:r>
      <w:r w:rsidR="000B36BC" w:rsidRPr="00516AF3">
        <w:rPr>
          <w:rFonts w:ascii="Times New Roman" w:hAnsi="Times New Roman"/>
        </w:rPr>
        <w:t>sexual minority</w:t>
      </w:r>
      <w:r w:rsidR="00233749" w:rsidRPr="00516AF3">
        <w:rPr>
          <w:rFonts w:ascii="Times New Roman" w:hAnsi="Times New Roman"/>
        </w:rPr>
        <w:t xml:space="preserve"> (</w:t>
      </w:r>
      <w:r w:rsidR="00690FD5">
        <w:rPr>
          <w:rFonts w:ascii="Times New Roman" w:hAnsi="Times New Roman"/>
        </w:rPr>
        <w:t>i.</w:t>
      </w:r>
      <w:r w:rsidR="00233749" w:rsidRPr="00516AF3">
        <w:rPr>
          <w:rFonts w:ascii="Times New Roman" w:hAnsi="Times New Roman"/>
        </w:rPr>
        <w:t xml:space="preserve">e., lesbian, gay, and bisexual) populations are at higher risk for several adverse </w:t>
      </w:r>
      <w:r w:rsidR="00693AD8" w:rsidRPr="00516AF3">
        <w:rPr>
          <w:rFonts w:ascii="Times New Roman" w:hAnsi="Times New Roman"/>
        </w:rPr>
        <w:t xml:space="preserve">health behaviors and outcomes </w:t>
      </w:r>
      <w:r w:rsidR="00233749" w:rsidRPr="00516AF3">
        <w:rPr>
          <w:rFonts w:ascii="Times New Roman" w:hAnsi="Times New Roman"/>
        </w:rPr>
        <w:t xml:space="preserve">compared to their heterosexual counterparts. </w:t>
      </w:r>
      <w:r w:rsidR="004C33CE" w:rsidRPr="00516AF3">
        <w:rPr>
          <w:rFonts w:ascii="Times New Roman" w:hAnsi="Times New Roman"/>
        </w:rPr>
        <w:t xml:space="preserve">Smoking is one behavior where the gap is especially </w:t>
      </w:r>
      <w:r w:rsidR="00690FD5">
        <w:rPr>
          <w:rFonts w:ascii="Times New Roman" w:hAnsi="Times New Roman"/>
        </w:rPr>
        <w:t>large</w:t>
      </w:r>
      <w:r w:rsidR="004C33CE" w:rsidRPr="00516AF3">
        <w:rPr>
          <w:rFonts w:ascii="Times New Roman" w:hAnsi="Times New Roman"/>
        </w:rPr>
        <w:t xml:space="preserve">, particularly </w:t>
      </w:r>
      <w:r w:rsidR="00A95965">
        <w:rPr>
          <w:rFonts w:ascii="Times New Roman" w:hAnsi="Times New Roman"/>
        </w:rPr>
        <w:t>among</w:t>
      </w:r>
      <w:r w:rsidR="004578F9">
        <w:rPr>
          <w:rFonts w:ascii="Times New Roman" w:hAnsi="Times New Roman"/>
        </w:rPr>
        <w:t xml:space="preserve"> </w:t>
      </w:r>
      <w:r w:rsidR="004C33CE" w:rsidRPr="00516AF3">
        <w:rPr>
          <w:rFonts w:ascii="Times New Roman" w:hAnsi="Times New Roman"/>
        </w:rPr>
        <w:t xml:space="preserve">youth. </w:t>
      </w:r>
      <w:r w:rsidR="000B36BC" w:rsidRPr="00516AF3">
        <w:rPr>
          <w:rFonts w:ascii="Times New Roman" w:hAnsi="Times New Roman"/>
        </w:rPr>
        <w:t>R</w:t>
      </w:r>
      <w:r w:rsidR="00C84FE9" w:rsidRPr="00516AF3">
        <w:rPr>
          <w:rFonts w:ascii="Times New Roman" w:hAnsi="Times New Roman"/>
        </w:rPr>
        <w:t>esearchers have incr</w:t>
      </w:r>
      <w:r w:rsidR="00407D0E" w:rsidRPr="00516AF3">
        <w:rPr>
          <w:rFonts w:ascii="Times New Roman" w:hAnsi="Times New Roman"/>
        </w:rPr>
        <w:t xml:space="preserve">easingly drawn attention to </w:t>
      </w:r>
      <w:r w:rsidR="00C84FE9" w:rsidRPr="00516AF3">
        <w:rPr>
          <w:rFonts w:ascii="Times New Roman" w:hAnsi="Times New Roman"/>
        </w:rPr>
        <w:t xml:space="preserve">contextual determinants of health </w:t>
      </w:r>
      <w:r w:rsidR="00407D0E" w:rsidRPr="00516AF3">
        <w:rPr>
          <w:rFonts w:ascii="Times New Roman" w:hAnsi="Times New Roman"/>
        </w:rPr>
        <w:t xml:space="preserve">behaviors </w:t>
      </w:r>
      <w:r w:rsidR="004C33CE" w:rsidRPr="00516AF3">
        <w:rPr>
          <w:rFonts w:ascii="Times New Roman" w:hAnsi="Times New Roman"/>
        </w:rPr>
        <w:t>affecting sexual minority youth</w:t>
      </w:r>
      <w:r w:rsidR="00A9150C">
        <w:rPr>
          <w:rFonts w:ascii="Times New Roman" w:hAnsi="Times New Roman"/>
        </w:rPr>
        <w:t>.</w:t>
      </w:r>
      <w:r w:rsidR="004C33CE" w:rsidRPr="00516AF3">
        <w:rPr>
          <w:rFonts w:ascii="Times New Roman" w:hAnsi="Times New Roman"/>
        </w:rPr>
        <w:t xml:space="preserve"> </w:t>
      </w:r>
    </w:p>
    <w:p w14:paraId="2E715AA8" w14:textId="77777777" w:rsidR="00FB79A8" w:rsidRDefault="00FB79A8" w:rsidP="002C6249">
      <w:pPr>
        <w:pStyle w:val="ListParagraph"/>
        <w:ind w:left="0"/>
        <w:jc w:val="both"/>
        <w:rPr>
          <w:rFonts w:ascii="Times New Roman" w:hAnsi="Times New Roman"/>
        </w:rPr>
      </w:pPr>
    </w:p>
    <w:p w14:paraId="658E4023" w14:textId="15543E0A" w:rsidR="00FB79A8" w:rsidRDefault="00FB79A8" w:rsidP="002C6249">
      <w:pPr>
        <w:pStyle w:val="ListParagraph"/>
        <w:ind w:left="0"/>
        <w:jc w:val="both"/>
        <w:rPr>
          <w:rFonts w:ascii="Times New Roman" w:hAnsi="Times New Roman"/>
        </w:rPr>
      </w:pPr>
      <w:r w:rsidRPr="00FB79A8">
        <w:rPr>
          <w:rFonts w:ascii="Times New Roman" w:hAnsi="Times New Roman"/>
          <w:b/>
        </w:rPr>
        <w:t xml:space="preserve">Purpose. </w:t>
      </w:r>
      <w:r w:rsidR="00233749" w:rsidRPr="00516AF3">
        <w:rPr>
          <w:rFonts w:ascii="Times New Roman" w:hAnsi="Times New Roman"/>
        </w:rPr>
        <w:t xml:space="preserve">Although these factors </w:t>
      </w:r>
      <w:r w:rsidR="004C33CE" w:rsidRPr="00516AF3">
        <w:rPr>
          <w:rFonts w:ascii="Times New Roman" w:hAnsi="Times New Roman"/>
        </w:rPr>
        <w:t>have evolved</w:t>
      </w:r>
      <w:r w:rsidR="00233749" w:rsidRPr="00516AF3">
        <w:rPr>
          <w:rFonts w:ascii="Times New Roman" w:hAnsi="Times New Roman"/>
        </w:rPr>
        <w:t xml:space="preserve"> over historical time, few</w:t>
      </w:r>
      <w:r w:rsidR="004578F9">
        <w:rPr>
          <w:rFonts w:ascii="Times New Roman" w:hAnsi="Times New Roman"/>
        </w:rPr>
        <w:t xml:space="preserve"> scholars</w:t>
      </w:r>
      <w:r w:rsidR="00233749" w:rsidRPr="00516AF3">
        <w:rPr>
          <w:rFonts w:ascii="Times New Roman" w:hAnsi="Times New Roman"/>
        </w:rPr>
        <w:t xml:space="preserve"> have examined time as a contextual factor affecting sexual min</w:t>
      </w:r>
      <w:r w:rsidR="000B36BC" w:rsidRPr="00516AF3">
        <w:rPr>
          <w:rFonts w:ascii="Times New Roman" w:hAnsi="Times New Roman"/>
        </w:rPr>
        <w:t xml:space="preserve">ority health </w:t>
      </w:r>
      <w:r w:rsidR="005241F9" w:rsidRPr="00516AF3">
        <w:rPr>
          <w:rFonts w:ascii="Times New Roman" w:hAnsi="Times New Roman"/>
        </w:rPr>
        <w:t>behavior</w:t>
      </w:r>
      <w:r w:rsidR="000B36BC" w:rsidRPr="00516AF3">
        <w:rPr>
          <w:rFonts w:ascii="Times New Roman" w:hAnsi="Times New Roman"/>
        </w:rPr>
        <w:t xml:space="preserve">s or the level of inequality with heterosexual populations. </w:t>
      </w:r>
      <w:r>
        <w:rPr>
          <w:rFonts w:ascii="Times New Roman" w:hAnsi="Times New Roman"/>
        </w:rPr>
        <w:t>We aimed to fill this gap.</w:t>
      </w:r>
    </w:p>
    <w:p w14:paraId="22ADCBD4" w14:textId="77777777" w:rsidR="00FB79A8" w:rsidRDefault="00FB79A8" w:rsidP="002C6249">
      <w:pPr>
        <w:pStyle w:val="ListParagraph"/>
        <w:ind w:left="0"/>
        <w:jc w:val="both"/>
        <w:rPr>
          <w:rFonts w:ascii="Times New Roman" w:hAnsi="Times New Roman"/>
        </w:rPr>
      </w:pPr>
    </w:p>
    <w:p w14:paraId="4353DB6B" w14:textId="2A10858B" w:rsidR="00FB79A8" w:rsidRDefault="00FB79A8" w:rsidP="002C6249">
      <w:pPr>
        <w:pStyle w:val="ListParagraph"/>
        <w:ind w:left="0"/>
        <w:jc w:val="both"/>
        <w:rPr>
          <w:rFonts w:ascii="Times New Roman" w:hAnsi="Times New Roman"/>
        </w:rPr>
      </w:pPr>
      <w:r w:rsidRPr="00FB79A8">
        <w:rPr>
          <w:rFonts w:ascii="Times New Roman" w:hAnsi="Times New Roman"/>
          <w:b/>
        </w:rPr>
        <w:t>Procedures.</w:t>
      </w:r>
      <w:r>
        <w:rPr>
          <w:rFonts w:ascii="Times New Roman" w:hAnsi="Times New Roman"/>
        </w:rPr>
        <w:t xml:space="preserve"> </w:t>
      </w:r>
      <w:r w:rsidR="005241F9" w:rsidRPr="00516AF3">
        <w:rPr>
          <w:rFonts w:ascii="Times New Roman" w:hAnsi="Times New Roman"/>
        </w:rPr>
        <w:t>We use</w:t>
      </w:r>
      <w:r>
        <w:rPr>
          <w:rFonts w:ascii="Times New Roman" w:hAnsi="Times New Roman"/>
        </w:rPr>
        <w:t>d</w:t>
      </w:r>
      <w:r w:rsidR="005241F9" w:rsidRPr="00516AF3">
        <w:rPr>
          <w:rFonts w:ascii="Times New Roman" w:hAnsi="Times New Roman"/>
        </w:rPr>
        <w:t xml:space="preserve"> eight years of data from the Massachusetts Youth Risk Behaviour Survey</w:t>
      </w:r>
      <w:r w:rsidR="00F51E75">
        <w:rPr>
          <w:rFonts w:ascii="Times New Roman" w:hAnsi="Times New Roman"/>
        </w:rPr>
        <w:t xml:space="preserve"> (MYRBS)</w:t>
      </w:r>
      <w:r w:rsidR="00693AD8" w:rsidRPr="00516AF3">
        <w:rPr>
          <w:rFonts w:ascii="Times New Roman" w:hAnsi="Times New Roman"/>
        </w:rPr>
        <w:t xml:space="preserve">, pooled into four waves, to determine whether </w:t>
      </w:r>
      <w:r w:rsidR="00407D0E" w:rsidRPr="00516AF3">
        <w:rPr>
          <w:rFonts w:ascii="Times New Roman" w:hAnsi="Times New Roman"/>
        </w:rPr>
        <w:t>gap</w:t>
      </w:r>
      <w:r w:rsidR="004C33CE" w:rsidRPr="00516AF3">
        <w:rPr>
          <w:rFonts w:ascii="Times New Roman" w:hAnsi="Times New Roman"/>
        </w:rPr>
        <w:t>s</w:t>
      </w:r>
      <w:r w:rsidR="00407D0E" w:rsidRPr="00516AF3">
        <w:rPr>
          <w:rFonts w:ascii="Times New Roman" w:hAnsi="Times New Roman"/>
        </w:rPr>
        <w:t xml:space="preserve"> between sexual minority and heterosexual youth has widened </w:t>
      </w:r>
      <w:r w:rsidR="004C33CE" w:rsidRPr="00516AF3">
        <w:rPr>
          <w:rFonts w:ascii="Times New Roman" w:hAnsi="Times New Roman"/>
        </w:rPr>
        <w:t xml:space="preserve">or narrowed for three different indicators of smoking: </w:t>
      </w:r>
      <w:r w:rsidR="00407D0E" w:rsidRPr="00516AF3">
        <w:rPr>
          <w:rFonts w:ascii="Times New Roman" w:hAnsi="Times New Roman"/>
        </w:rPr>
        <w:t xml:space="preserve">having ever smoked, </w:t>
      </w:r>
      <w:r>
        <w:rPr>
          <w:rFonts w:ascii="Times New Roman" w:hAnsi="Times New Roman"/>
        </w:rPr>
        <w:t>early onset smoking</w:t>
      </w:r>
      <w:r w:rsidR="00407D0E" w:rsidRPr="00516AF3">
        <w:rPr>
          <w:rFonts w:ascii="Times New Roman" w:hAnsi="Times New Roman"/>
        </w:rPr>
        <w:t xml:space="preserve">, or </w:t>
      </w:r>
      <w:r w:rsidR="007A079F">
        <w:rPr>
          <w:rFonts w:ascii="Times New Roman" w:hAnsi="Times New Roman"/>
        </w:rPr>
        <w:t xml:space="preserve">daily cigarette smoking </w:t>
      </w:r>
      <w:r w:rsidR="004C33CE" w:rsidRPr="00516AF3">
        <w:rPr>
          <w:rFonts w:ascii="Times New Roman" w:hAnsi="Times New Roman"/>
        </w:rPr>
        <w:t xml:space="preserve">in the past 30 days. </w:t>
      </w:r>
    </w:p>
    <w:p w14:paraId="676AB3CA" w14:textId="77777777" w:rsidR="00FB79A8" w:rsidRDefault="00FB79A8" w:rsidP="002C6249">
      <w:pPr>
        <w:pStyle w:val="ListParagraph"/>
        <w:ind w:left="0"/>
        <w:jc w:val="both"/>
        <w:rPr>
          <w:rFonts w:ascii="Times New Roman" w:hAnsi="Times New Roman"/>
        </w:rPr>
      </w:pPr>
    </w:p>
    <w:p w14:paraId="3917F43C" w14:textId="18D8D44B" w:rsidR="00C84FE9" w:rsidRDefault="008B37B2" w:rsidP="002C6249">
      <w:pPr>
        <w:pStyle w:val="ListParagraph"/>
        <w:ind w:left="0"/>
        <w:jc w:val="both"/>
        <w:rPr>
          <w:rFonts w:ascii="Times New Roman" w:hAnsi="Times New Roman"/>
        </w:rPr>
      </w:pPr>
      <w:r>
        <w:rPr>
          <w:rFonts w:ascii="Times New Roman" w:hAnsi="Times New Roman"/>
          <w:b/>
        </w:rPr>
        <w:t>Results</w:t>
      </w:r>
      <w:r w:rsidR="00FB79A8" w:rsidRPr="00FB79A8">
        <w:rPr>
          <w:rFonts w:ascii="Times New Roman" w:hAnsi="Times New Roman"/>
          <w:b/>
        </w:rPr>
        <w:t>.</w:t>
      </w:r>
      <w:r w:rsidR="00FB79A8">
        <w:rPr>
          <w:rFonts w:ascii="Times New Roman" w:hAnsi="Times New Roman"/>
        </w:rPr>
        <w:t xml:space="preserve"> </w:t>
      </w:r>
      <w:r w:rsidR="004C33CE" w:rsidRPr="00516AF3">
        <w:rPr>
          <w:rFonts w:ascii="Times New Roman" w:hAnsi="Times New Roman"/>
        </w:rPr>
        <w:t xml:space="preserve">We find that </w:t>
      </w:r>
      <w:r w:rsidR="009642AF">
        <w:rPr>
          <w:rFonts w:ascii="Times New Roman" w:hAnsi="Times New Roman"/>
        </w:rPr>
        <w:t>though</w:t>
      </w:r>
      <w:r w:rsidR="004578F9">
        <w:rPr>
          <w:rFonts w:ascii="Times New Roman" w:hAnsi="Times New Roman"/>
        </w:rPr>
        <w:t xml:space="preserve"> </w:t>
      </w:r>
      <w:r w:rsidR="004C33CE" w:rsidRPr="00516AF3">
        <w:rPr>
          <w:rFonts w:ascii="Times New Roman" w:hAnsi="Times New Roman"/>
        </w:rPr>
        <w:t>rates of smoking for all youth in Massachusetts have declined since the late 1990s, significant disparities remain between sexual minority and heterosexual youth.</w:t>
      </w:r>
    </w:p>
    <w:p w14:paraId="68DC63A2" w14:textId="77777777" w:rsidR="00FB79A8" w:rsidRDefault="00FB79A8" w:rsidP="002C6249">
      <w:pPr>
        <w:pStyle w:val="ListParagraph"/>
        <w:ind w:left="0"/>
        <w:jc w:val="both"/>
        <w:rPr>
          <w:rFonts w:ascii="Times New Roman" w:hAnsi="Times New Roman"/>
        </w:rPr>
      </w:pPr>
    </w:p>
    <w:p w14:paraId="69E73FC6" w14:textId="1BD0154A" w:rsidR="00FB79A8" w:rsidRPr="00FB79A8" w:rsidRDefault="00490374" w:rsidP="002C6249">
      <w:pPr>
        <w:pStyle w:val="ListParagraph"/>
        <w:ind w:left="0"/>
        <w:jc w:val="both"/>
        <w:rPr>
          <w:rFonts w:ascii="Times New Roman" w:hAnsi="Times New Roman"/>
          <w:b/>
        </w:rPr>
      </w:pPr>
      <w:r>
        <w:rPr>
          <w:rFonts w:ascii="Times New Roman" w:hAnsi="Times New Roman"/>
          <w:b/>
        </w:rPr>
        <w:t xml:space="preserve">Conclusions. </w:t>
      </w:r>
      <w:r w:rsidRPr="003126A1">
        <w:rPr>
          <w:rFonts w:ascii="Times New Roman" w:hAnsi="Times New Roman"/>
        </w:rPr>
        <w:t>Findings may suggest</w:t>
      </w:r>
      <w:r>
        <w:rPr>
          <w:rFonts w:ascii="Times New Roman" w:hAnsi="Times New Roman"/>
          <w:b/>
        </w:rPr>
        <w:t xml:space="preserve"> </w:t>
      </w:r>
      <w:r>
        <w:rPr>
          <w:rFonts w:ascii="Times New Roman" w:hAnsi="Times New Roman"/>
          <w:bCs/>
          <w:noProof w:val="0"/>
        </w:rPr>
        <w:t>targeted tobacco control programs in Massachusetts are needed; perhaps shifts in social attitudes toward smoking have affected smoking behaviors in diverse segments of society.</w:t>
      </w:r>
    </w:p>
    <w:p w14:paraId="670162D5" w14:textId="77777777" w:rsidR="00233749" w:rsidRPr="00516AF3" w:rsidRDefault="00233749" w:rsidP="002C6249">
      <w:pPr>
        <w:pStyle w:val="ListParagraph"/>
        <w:ind w:left="0"/>
        <w:jc w:val="both"/>
        <w:rPr>
          <w:rFonts w:ascii="Times New Roman" w:hAnsi="Times New Roman"/>
        </w:rPr>
      </w:pPr>
    </w:p>
    <w:p w14:paraId="26D80D0C" w14:textId="3560A99D" w:rsidR="004C33CE" w:rsidRPr="002C6249" w:rsidRDefault="007F7C8F" w:rsidP="002C6249">
      <w:pPr>
        <w:pStyle w:val="Header"/>
        <w:tabs>
          <w:tab w:val="clear" w:pos="4320"/>
          <w:tab w:val="clear" w:pos="8640"/>
        </w:tabs>
        <w:ind w:firstLine="720"/>
        <w:jc w:val="both"/>
        <w:rPr>
          <w:rFonts w:ascii="Times New Roman" w:hAnsi="Times New Roman"/>
          <w:i/>
          <w:noProof w:val="0"/>
        </w:rPr>
      </w:pPr>
      <w:r w:rsidRPr="00516AF3">
        <w:rPr>
          <w:rFonts w:ascii="Times New Roman" w:hAnsi="Times New Roman"/>
          <w:i/>
          <w:noProof w:val="0"/>
        </w:rPr>
        <w:t>Keywords:</w:t>
      </w:r>
      <w:r w:rsidR="002C6249">
        <w:rPr>
          <w:rFonts w:ascii="Times New Roman" w:hAnsi="Times New Roman"/>
          <w:i/>
          <w:noProof w:val="0"/>
        </w:rPr>
        <w:t xml:space="preserve"> </w:t>
      </w:r>
      <w:r w:rsidR="002C6249">
        <w:rPr>
          <w:rFonts w:ascii="Times New Roman" w:hAnsi="Times New Roman"/>
          <w:noProof w:val="0"/>
        </w:rPr>
        <w:t>Smoking; youth;</w:t>
      </w:r>
      <w:r w:rsidR="004C33CE" w:rsidRPr="00516AF3">
        <w:rPr>
          <w:rFonts w:ascii="Times New Roman" w:hAnsi="Times New Roman"/>
          <w:noProof w:val="0"/>
        </w:rPr>
        <w:t xml:space="preserve"> </w:t>
      </w:r>
      <w:r w:rsidR="002C6249">
        <w:rPr>
          <w:rFonts w:ascii="Times New Roman" w:hAnsi="Times New Roman"/>
          <w:noProof w:val="0"/>
        </w:rPr>
        <w:t xml:space="preserve">LGB; sexual minorities; </w:t>
      </w:r>
      <w:r w:rsidR="004C33CE" w:rsidRPr="00516AF3">
        <w:rPr>
          <w:rFonts w:ascii="Times New Roman" w:hAnsi="Times New Roman"/>
          <w:noProof w:val="0"/>
        </w:rPr>
        <w:t>time trends</w:t>
      </w:r>
    </w:p>
    <w:p w14:paraId="49794AAB" w14:textId="77777777" w:rsidR="00173013" w:rsidRPr="00516AF3" w:rsidRDefault="00173013" w:rsidP="005B56A2">
      <w:pPr>
        <w:pStyle w:val="Header"/>
        <w:tabs>
          <w:tab w:val="clear" w:pos="4320"/>
          <w:tab w:val="clear" w:pos="8640"/>
        </w:tabs>
        <w:jc w:val="both"/>
        <w:rPr>
          <w:rFonts w:ascii="Times New Roman" w:hAnsi="Times New Roman"/>
          <w:i/>
          <w:noProof w:val="0"/>
        </w:rPr>
      </w:pPr>
    </w:p>
    <w:p w14:paraId="4D325CA2" w14:textId="77777777" w:rsidR="00DD6A81" w:rsidRPr="00516AF3" w:rsidRDefault="007F7C8F" w:rsidP="005B56A2">
      <w:pPr>
        <w:pStyle w:val="Header"/>
        <w:tabs>
          <w:tab w:val="clear" w:pos="4320"/>
          <w:tab w:val="clear" w:pos="8640"/>
        </w:tabs>
        <w:contextualSpacing/>
        <w:jc w:val="both"/>
        <w:rPr>
          <w:rFonts w:ascii="Times New Roman" w:hAnsi="Times New Roman"/>
          <w:i/>
          <w:iCs/>
          <w:noProof w:val="0"/>
        </w:rPr>
      </w:pPr>
      <w:r w:rsidRPr="00516AF3">
        <w:rPr>
          <w:rFonts w:ascii="Times New Roman" w:hAnsi="Times New Roman"/>
          <w:noProof w:val="0"/>
        </w:rPr>
        <w:br w:type="page"/>
      </w:r>
    </w:p>
    <w:p w14:paraId="20189CE1" w14:textId="29359928" w:rsidR="001725FC" w:rsidRDefault="001C3FE5" w:rsidP="005B56A2">
      <w:pPr>
        <w:contextualSpacing/>
        <w:jc w:val="both"/>
        <w:rPr>
          <w:rFonts w:ascii="Times New Roman" w:hAnsi="Times New Roman"/>
          <w:b/>
          <w:bCs/>
          <w:noProof w:val="0"/>
        </w:rPr>
      </w:pPr>
      <w:r>
        <w:rPr>
          <w:rFonts w:ascii="Times New Roman" w:hAnsi="Times New Roman"/>
          <w:b/>
          <w:bCs/>
          <w:noProof w:val="0"/>
        </w:rPr>
        <w:lastRenderedPageBreak/>
        <w:t xml:space="preserve">1. </w:t>
      </w:r>
      <w:r w:rsidR="009A728A" w:rsidRPr="00516AF3">
        <w:rPr>
          <w:rFonts w:ascii="Times New Roman" w:hAnsi="Times New Roman"/>
          <w:b/>
          <w:bCs/>
          <w:noProof w:val="0"/>
        </w:rPr>
        <w:t>Introduction</w:t>
      </w:r>
    </w:p>
    <w:p w14:paraId="6B471809" w14:textId="77777777" w:rsidR="004B7641" w:rsidRDefault="004B7641" w:rsidP="005B56A2">
      <w:pPr>
        <w:contextualSpacing/>
        <w:jc w:val="both"/>
        <w:rPr>
          <w:rFonts w:ascii="Times New Roman" w:hAnsi="Times New Roman"/>
          <w:b/>
          <w:bCs/>
          <w:noProof w:val="0"/>
        </w:rPr>
      </w:pPr>
    </w:p>
    <w:p w14:paraId="2172093B" w14:textId="56DFF080" w:rsidR="00FF1803" w:rsidRDefault="004B7641" w:rsidP="005B56A2">
      <w:pPr>
        <w:contextualSpacing/>
        <w:jc w:val="both"/>
        <w:rPr>
          <w:rFonts w:ascii="Times New Roman" w:hAnsi="Times New Roman"/>
          <w:bCs/>
          <w:noProof w:val="0"/>
        </w:rPr>
      </w:pPr>
      <w:r>
        <w:rPr>
          <w:rFonts w:ascii="Times New Roman" w:hAnsi="Times New Roman"/>
          <w:bCs/>
          <w:noProof w:val="0"/>
        </w:rPr>
        <w:t>An extensive body of research has established that lesbian, gay, and bisexual</w:t>
      </w:r>
      <w:r w:rsidR="00C90E7D">
        <w:rPr>
          <w:rFonts w:ascii="Times New Roman" w:hAnsi="Times New Roman"/>
          <w:bCs/>
          <w:noProof w:val="0"/>
        </w:rPr>
        <w:t xml:space="preserve"> (LGB)</w:t>
      </w:r>
      <w:r>
        <w:rPr>
          <w:rFonts w:ascii="Times New Roman" w:hAnsi="Times New Roman"/>
          <w:bCs/>
          <w:noProof w:val="0"/>
        </w:rPr>
        <w:t xml:space="preserve"> populations have poorer health outcomes than their heterosexual counterparts (</w:t>
      </w:r>
      <w:r w:rsidR="00BA2EBA">
        <w:rPr>
          <w:rFonts w:ascii="Times New Roman" w:hAnsi="Times New Roman"/>
          <w:bCs/>
          <w:noProof w:val="0"/>
        </w:rPr>
        <w:t xml:space="preserve">Meyer, </w:t>
      </w:r>
      <w:r w:rsidR="00CC7AFC">
        <w:rPr>
          <w:rFonts w:ascii="Times New Roman" w:hAnsi="Times New Roman"/>
          <w:bCs/>
          <w:noProof w:val="0"/>
        </w:rPr>
        <w:t>2003;</w:t>
      </w:r>
      <w:r w:rsidR="00BA2EBA">
        <w:rPr>
          <w:rFonts w:ascii="Times New Roman" w:hAnsi="Times New Roman"/>
          <w:bCs/>
          <w:noProof w:val="0"/>
        </w:rPr>
        <w:t xml:space="preserve"> </w:t>
      </w:r>
      <w:r w:rsidR="00CC7AFC">
        <w:rPr>
          <w:rFonts w:ascii="Times New Roman" w:hAnsi="Times New Roman"/>
          <w:bCs/>
          <w:noProof w:val="0"/>
        </w:rPr>
        <w:t xml:space="preserve">Lewis </w:t>
      </w:r>
      <w:r>
        <w:rPr>
          <w:rFonts w:ascii="Times New Roman" w:hAnsi="Times New Roman"/>
          <w:bCs/>
          <w:noProof w:val="0"/>
        </w:rPr>
        <w:t xml:space="preserve">2009; </w:t>
      </w:r>
      <w:proofErr w:type="spellStart"/>
      <w:r>
        <w:rPr>
          <w:rFonts w:ascii="Times New Roman" w:hAnsi="Times New Roman"/>
          <w:bCs/>
          <w:noProof w:val="0"/>
        </w:rPr>
        <w:t>Hatzenbuehler</w:t>
      </w:r>
      <w:proofErr w:type="spellEnd"/>
      <w:r>
        <w:rPr>
          <w:rFonts w:ascii="Times New Roman" w:hAnsi="Times New Roman"/>
          <w:bCs/>
          <w:noProof w:val="0"/>
        </w:rPr>
        <w:t xml:space="preserve"> et al.</w:t>
      </w:r>
      <w:r w:rsidR="00C24D29">
        <w:rPr>
          <w:rFonts w:ascii="Times New Roman" w:hAnsi="Times New Roman"/>
          <w:bCs/>
          <w:noProof w:val="0"/>
        </w:rPr>
        <w:t>,</w:t>
      </w:r>
      <w:r>
        <w:rPr>
          <w:rFonts w:ascii="Times New Roman" w:hAnsi="Times New Roman"/>
          <w:bCs/>
          <w:noProof w:val="0"/>
        </w:rPr>
        <w:t xml:space="preserve"> </w:t>
      </w:r>
      <w:r w:rsidR="00C90E7D">
        <w:rPr>
          <w:rFonts w:ascii="Times New Roman" w:hAnsi="Times New Roman"/>
          <w:bCs/>
          <w:noProof w:val="0"/>
        </w:rPr>
        <w:t xml:space="preserve">2009). Recent </w:t>
      </w:r>
      <w:r w:rsidR="007A079F">
        <w:rPr>
          <w:rFonts w:ascii="Times New Roman" w:hAnsi="Times New Roman"/>
          <w:bCs/>
          <w:noProof w:val="0"/>
        </w:rPr>
        <w:t>studies</w:t>
      </w:r>
      <w:r w:rsidR="00C90E7D">
        <w:rPr>
          <w:rFonts w:ascii="Times New Roman" w:hAnsi="Times New Roman"/>
          <w:bCs/>
          <w:noProof w:val="0"/>
        </w:rPr>
        <w:t xml:space="preserve"> have observed elevated risk in LGB populations for mental health outcomes such as anxiety and depression (</w:t>
      </w:r>
      <w:r w:rsidR="00CC7AFC">
        <w:rPr>
          <w:rFonts w:ascii="Times New Roman" w:hAnsi="Times New Roman"/>
          <w:bCs/>
          <w:noProof w:val="0"/>
        </w:rPr>
        <w:t>Bybee et al.</w:t>
      </w:r>
      <w:r w:rsidR="00C24D29">
        <w:rPr>
          <w:rFonts w:ascii="Times New Roman" w:hAnsi="Times New Roman"/>
          <w:bCs/>
          <w:noProof w:val="0"/>
        </w:rPr>
        <w:t>,</w:t>
      </w:r>
      <w:r w:rsidR="00CC7AFC">
        <w:rPr>
          <w:rFonts w:ascii="Times New Roman" w:hAnsi="Times New Roman"/>
          <w:bCs/>
          <w:noProof w:val="0"/>
        </w:rPr>
        <w:t xml:space="preserve"> 2009</w:t>
      </w:r>
      <w:r w:rsidR="00C90E7D">
        <w:rPr>
          <w:rFonts w:ascii="Times New Roman" w:hAnsi="Times New Roman"/>
          <w:bCs/>
          <w:noProof w:val="0"/>
        </w:rPr>
        <w:t>) as well as risk behaviors such alcohol and other substance</w:t>
      </w:r>
      <w:r w:rsidR="00711807">
        <w:rPr>
          <w:rFonts w:ascii="Times New Roman" w:hAnsi="Times New Roman"/>
          <w:bCs/>
          <w:noProof w:val="0"/>
        </w:rPr>
        <w:t xml:space="preserve"> use</w:t>
      </w:r>
      <w:r w:rsidR="00C90E7D">
        <w:rPr>
          <w:rFonts w:ascii="Times New Roman" w:hAnsi="Times New Roman"/>
          <w:bCs/>
          <w:noProof w:val="0"/>
        </w:rPr>
        <w:t xml:space="preserve"> (Lee et al.</w:t>
      </w:r>
      <w:r w:rsidR="00C24D29">
        <w:rPr>
          <w:rFonts w:ascii="Times New Roman" w:hAnsi="Times New Roman"/>
          <w:bCs/>
          <w:noProof w:val="0"/>
        </w:rPr>
        <w:t>,</w:t>
      </w:r>
      <w:r w:rsidR="00C90E7D">
        <w:rPr>
          <w:rFonts w:ascii="Times New Roman" w:hAnsi="Times New Roman"/>
          <w:bCs/>
          <w:noProof w:val="0"/>
        </w:rPr>
        <w:t xml:space="preserve"> 2009; Boehmer et al.</w:t>
      </w:r>
      <w:r w:rsidR="00C24D29">
        <w:rPr>
          <w:rFonts w:ascii="Times New Roman" w:hAnsi="Times New Roman"/>
          <w:bCs/>
          <w:noProof w:val="0"/>
        </w:rPr>
        <w:t>,</w:t>
      </w:r>
      <w:r w:rsidR="00C90E7D">
        <w:rPr>
          <w:rFonts w:ascii="Times New Roman" w:hAnsi="Times New Roman"/>
          <w:bCs/>
          <w:noProof w:val="0"/>
        </w:rPr>
        <w:t xml:space="preserve"> 2012). </w:t>
      </w:r>
      <w:r w:rsidR="008B213C">
        <w:rPr>
          <w:rFonts w:ascii="Times New Roman" w:hAnsi="Times New Roman"/>
          <w:bCs/>
          <w:noProof w:val="0"/>
        </w:rPr>
        <w:t xml:space="preserve">Cigarette </w:t>
      </w:r>
      <w:r w:rsidR="00C90E7D">
        <w:rPr>
          <w:rFonts w:ascii="Times New Roman" w:hAnsi="Times New Roman"/>
          <w:bCs/>
          <w:noProof w:val="0"/>
        </w:rPr>
        <w:t xml:space="preserve">use has emerged as a behavior for which the disparities between LGB and heterosexual populations are consistently large. The likelihood </w:t>
      </w:r>
      <w:r w:rsidR="004B792B">
        <w:rPr>
          <w:rFonts w:ascii="Times New Roman" w:hAnsi="Times New Roman"/>
          <w:bCs/>
          <w:noProof w:val="0"/>
        </w:rPr>
        <w:t xml:space="preserve">of smoking </w:t>
      </w:r>
      <w:r w:rsidR="00CC7AFC">
        <w:rPr>
          <w:rFonts w:ascii="Times New Roman" w:hAnsi="Times New Roman"/>
          <w:bCs/>
          <w:noProof w:val="0"/>
        </w:rPr>
        <w:t xml:space="preserve">generally </w:t>
      </w:r>
      <w:r w:rsidR="004B792B">
        <w:rPr>
          <w:rFonts w:ascii="Times New Roman" w:hAnsi="Times New Roman"/>
          <w:bCs/>
          <w:noProof w:val="0"/>
        </w:rPr>
        <w:t xml:space="preserve">has been estimated at </w:t>
      </w:r>
      <w:r w:rsidR="00CC7AFC">
        <w:rPr>
          <w:rFonts w:ascii="Times New Roman" w:hAnsi="Times New Roman"/>
          <w:bCs/>
          <w:noProof w:val="0"/>
        </w:rPr>
        <w:t xml:space="preserve">up to </w:t>
      </w:r>
      <w:r w:rsidR="004B792B">
        <w:rPr>
          <w:rFonts w:ascii="Times New Roman" w:hAnsi="Times New Roman"/>
          <w:bCs/>
          <w:noProof w:val="0"/>
        </w:rPr>
        <w:t xml:space="preserve">2.5 times higher in </w:t>
      </w:r>
      <w:r w:rsidR="000A75A8">
        <w:rPr>
          <w:rFonts w:ascii="Times New Roman" w:hAnsi="Times New Roman"/>
          <w:bCs/>
          <w:noProof w:val="0"/>
        </w:rPr>
        <w:t xml:space="preserve">sexual </w:t>
      </w:r>
      <w:r w:rsidR="00CC7AFC">
        <w:rPr>
          <w:rFonts w:ascii="Times New Roman" w:hAnsi="Times New Roman"/>
          <w:bCs/>
          <w:noProof w:val="0"/>
        </w:rPr>
        <w:t>minority compared to heterosexual populations</w:t>
      </w:r>
      <w:r w:rsidR="000A75A8">
        <w:rPr>
          <w:rFonts w:ascii="Times New Roman" w:hAnsi="Times New Roman"/>
          <w:bCs/>
          <w:noProof w:val="0"/>
        </w:rPr>
        <w:t>, though studies have observed odds of smoking up to 3.5 times higher in bisexual populations</w:t>
      </w:r>
      <w:r w:rsidR="004B792B">
        <w:rPr>
          <w:rFonts w:ascii="Times New Roman" w:hAnsi="Times New Roman"/>
          <w:bCs/>
          <w:noProof w:val="0"/>
        </w:rPr>
        <w:t xml:space="preserve"> (Lee et al.</w:t>
      </w:r>
      <w:r w:rsidR="00C24D29">
        <w:rPr>
          <w:rFonts w:ascii="Times New Roman" w:hAnsi="Times New Roman"/>
          <w:bCs/>
          <w:noProof w:val="0"/>
        </w:rPr>
        <w:t>,</w:t>
      </w:r>
      <w:r w:rsidR="004B792B">
        <w:rPr>
          <w:rFonts w:ascii="Times New Roman" w:hAnsi="Times New Roman"/>
          <w:bCs/>
          <w:noProof w:val="0"/>
        </w:rPr>
        <w:t xml:space="preserve"> 2009). The scope of the tobacco problem among LGB communities in the United States is large, with smoking prevalence estimated </w:t>
      </w:r>
      <w:r w:rsidR="001A37FE">
        <w:rPr>
          <w:rFonts w:ascii="Times New Roman" w:hAnsi="Times New Roman"/>
          <w:bCs/>
          <w:noProof w:val="0"/>
        </w:rPr>
        <w:t>recently</w:t>
      </w:r>
      <w:r w:rsidR="004B792B">
        <w:rPr>
          <w:rFonts w:ascii="Times New Roman" w:hAnsi="Times New Roman"/>
          <w:bCs/>
          <w:noProof w:val="0"/>
        </w:rPr>
        <w:t xml:space="preserve"> at 25–30%</w:t>
      </w:r>
      <w:r w:rsidR="001B2BE1">
        <w:rPr>
          <w:rFonts w:ascii="Times New Roman" w:hAnsi="Times New Roman"/>
          <w:bCs/>
          <w:noProof w:val="0"/>
        </w:rPr>
        <w:t xml:space="preserve"> in gay and bisexual men </w:t>
      </w:r>
      <w:r w:rsidR="004B792B">
        <w:rPr>
          <w:rFonts w:ascii="Times New Roman" w:hAnsi="Times New Roman"/>
          <w:bCs/>
          <w:noProof w:val="0"/>
        </w:rPr>
        <w:t xml:space="preserve">compared to </w:t>
      </w:r>
      <w:r w:rsidR="001B2BE1">
        <w:rPr>
          <w:rFonts w:ascii="Times New Roman" w:hAnsi="Times New Roman"/>
          <w:bCs/>
          <w:noProof w:val="0"/>
        </w:rPr>
        <w:t>14–16% in heterosexual men and 25–35% in lesbian and bisexual women compared to 13–15% in heterosexual women (</w:t>
      </w:r>
      <w:proofErr w:type="spellStart"/>
      <w:r w:rsidR="007A0110">
        <w:rPr>
          <w:rFonts w:ascii="Times New Roman" w:hAnsi="Times New Roman"/>
          <w:bCs/>
          <w:noProof w:val="0"/>
        </w:rPr>
        <w:t>Pizacani</w:t>
      </w:r>
      <w:proofErr w:type="spellEnd"/>
      <w:r w:rsidR="007A0110">
        <w:rPr>
          <w:rFonts w:ascii="Times New Roman" w:hAnsi="Times New Roman"/>
          <w:bCs/>
          <w:noProof w:val="0"/>
        </w:rPr>
        <w:t xml:space="preserve"> et al.</w:t>
      </w:r>
      <w:r w:rsidR="00C24D29">
        <w:rPr>
          <w:rFonts w:ascii="Times New Roman" w:hAnsi="Times New Roman"/>
          <w:bCs/>
          <w:noProof w:val="0"/>
        </w:rPr>
        <w:t>,</w:t>
      </w:r>
      <w:r w:rsidR="007A0110">
        <w:rPr>
          <w:rFonts w:ascii="Times New Roman" w:hAnsi="Times New Roman"/>
          <w:bCs/>
          <w:noProof w:val="0"/>
        </w:rPr>
        <w:t xml:space="preserve"> 2009; </w:t>
      </w:r>
      <w:r w:rsidR="001B2BE1">
        <w:rPr>
          <w:rFonts w:ascii="Times New Roman" w:hAnsi="Times New Roman"/>
          <w:bCs/>
          <w:noProof w:val="0"/>
        </w:rPr>
        <w:t>Balsam et al.</w:t>
      </w:r>
      <w:r w:rsidR="00C24D29">
        <w:rPr>
          <w:rFonts w:ascii="Times New Roman" w:hAnsi="Times New Roman"/>
          <w:bCs/>
          <w:noProof w:val="0"/>
        </w:rPr>
        <w:t>,</w:t>
      </w:r>
      <w:r w:rsidR="003F5006">
        <w:rPr>
          <w:rFonts w:ascii="Times New Roman" w:hAnsi="Times New Roman"/>
          <w:bCs/>
          <w:noProof w:val="0"/>
        </w:rPr>
        <w:t xml:space="preserve"> 2012</w:t>
      </w:r>
      <w:r w:rsidR="001B2BE1">
        <w:rPr>
          <w:rFonts w:ascii="Times New Roman" w:hAnsi="Times New Roman"/>
          <w:bCs/>
          <w:noProof w:val="0"/>
        </w:rPr>
        <w:t xml:space="preserve">; </w:t>
      </w:r>
      <w:proofErr w:type="spellStart"/>
      <w:r w:rsidR="001B2BE1">
        <w:rPr>
          <w:rFonts w:ascii="Times New Roman" w:hAnsi="Times New Roman"/>
          <w:bCs/>
          <w:noProof w:val="0"/>
        </w:rPr>
        <w:t>Fallin</w:t>
      </w:r>
      <w:proofErr w:type="spellEnd"/>
      <w:r w:rsidR="001B2BE1">
        <w:rPr>
          <w:rFonts w:ascii="Times New Roman" w:hAnsi="Times New Roman"/>
          <w:bCs/>
          <w:noProof w:val="0"/>
        </w:rPr>
        <w:t xml:space="preserve"> et al.</w:t>
      </w:r>
      <w:r w:rsidR="00C24D29">
        <w:rPr>
          <w:rFonts w:ascii="Times New Roman" w:hAnsi="Times New Roman"/>
          <w:bCs/>
          <w:noProof w:val="0"/>
        </w:rPr>
        <w:t>,</w:t>
      </w:r>
      <w:r w:rsidR="001B2BE1">
        <w:rPr>
          <w:rFonts w:ascii="Times New Roman" w:hAnsi="Times New Roman"/>
          <w:bCs/>
          <w:noProof w:val="0"/>
        </w:rPr>
        <w:t xml:space="preserve"> 2015). </w:t>
      </w:r>
    </w:p>
    <w:p w14:paraId="2ED8EEEE" w14:textId="77777777" w:rsidR="00FF1803" w:rsidRPr="00F51E75" w:rsidRDefault="00FF1803" w:rsidP="005B56A2">
      <w:pPr>
        <w:contextualSpacing/>
        <w:jc w:val="both"/>
        <w:rPr>
          <w:rFonts w:ascii="Times New Roman" w:hAnsi="Times New Roman"/>
          <w:bCs/>
          <w:noProof w:val="0"/>
          <w:color w:val="FF0000"/>
        </w:rPr>
      </w:pPr>
    </w:p>
    <w:p w14:paraId="5352F9C6" w14:textId="56728BFF" w:rsidR="004B7641" w:rsidRDefault="001B2BE1" w:rsidP="005B56A2">
      <w:pPr>
        <w:contextualSpacing/>
        <w:jc w:val="both"/>
        <w:rPr>
          <w:rFonts w:ascii="Times New Roman" w:hAnsi="Times New Roman"/>
          <w:bCs/>
          <w:noProof w:val="0"/>
        </w:rPr>
      </w:pPr>
      <w:r>
        <w:rPr>
          <w:rFonts w:ascii="Times New Roman" w:hAnsi="Times New Roman"/>
          <w:bCs/>
          <w:noProof w:val="0"/>
        </w:rPr>
        <w:t xml:space="preserve">There are </w:t>
      </w:r>
      <w:r w:rsidR="00B316E6">
        <w:rPr>
          <w:rFonts w:ascii="Times New Roman" w:hAnsi="Times New Roman"/>
          <w:bCs/>
          <w:noProof w:val="0"/>
        </w:rPr>
        <w:t>differences</w:t>
      </w:r>
      <w:r>
        <w:rPr>
          <w:rFonts w:ascii="Times New Roman" w:hAnsi="Times New Roman"/>
          <w:bCs/>
          <w:noProof w:val="0"/>
        </w:rPr>
        <w:t xml:space="preserve"> in smoking outcomes dependi</w:t>
      </w:r>
      <w:r w:rsidR="00B316E6">
        <w:rPr>
          <w:rFonts w:ascii="Times New Roman" w:hAnsi="Times New Roman"/>
          <w:bCs/>
          <w:noProof w:val="0"/>
        </w:rPr>
        <w:t>ng on sexual orientation group</w:t>
      </w:r>
      <w:r w:rsidR="00B95A22">
        <w:rPr>
          <w:rFonts w:ascii="Times New Roman" w:hAnsi="Times New Roman"/>
          <w:bCs/>
          <w:noProof w:val="0"/>
        </w:rPr>
        <w:t xml:space="preserve"> and</w:t>
      </w:r>
      <w:r w:rsidR="009017B0">
        <w:rPr>
          <w:rFonts w:ascii="Times New Roman" w:hAnsi="Times New Roman"/>
          <w:bCs/>
          <w:noProof w:val="0"/>
        </w:rPr>
        <w:t xml:space="preserve"> </w:t>
      </w:r>
      <w:r w:rsidR="00B316E6">
        <w:rPr>
          <w:rFonts w:ascii="Times New Roman" w:hAnsi="Times New Roman"/>
          <w:bCs/>
          <w:noProof w:val="0"/>
        </w:rPr>
        <w:t>the indi</w:t>
      </w:r>
      <w:r w:rsidR="00B95A22">
        <w:rPr>
          <w:rFonts w:ascii="Times New Roman" w:hAnsi="Times New Roman"/>
          <w:bCs/>
          <w:noProof w:val="0"/>
        </w:rPr>
        <w:t>cator of smoking used</w:t>
      </w:r>
      <w:r w:rsidR="003C2B7F">
        <w:rPr>
          <w:rFonts w:ascii="Times New Roman" w:hAnsi="Times New Roman"/>
          <w:bCs/>
          <w:noProof w:val="0"/>
        </w:rPr>
        <w:t xml:space="preserve">. </w:t>
      </w:r>
      <w:r w:rsidR="002C2DB6">
        <w:rPr>
          <w:rFonts w:ascii="Times New Roman" w:hAnsi="Times New Roman"/>
          <w:bCs/>
          <w:noProof w:val="0"/>
        </w:rPr>
        <w:t>In adult studies, b</w:t>
      </w:r>
      <w:r w:rsidR="003C2B7F">
        <w:rPr>
          <w:rFonts w:ascii="Times New Roman" w:hAnsi="Times New Roman"/>
          <w:bCs/>
          <w:noProof w:val="0"/>
        </w:rPr>
        <w:t xml:space="preserve">isexual men and </w:t>
      </w:r>
      <w:r w:rsidR="008D7D08">
        <w:rPr>
          <w:rFonts w:ascii="Times New Roman" w:hAnsi="Times New Roman"/>
          <w:bCs/>
          <w:noProof w:val="0"/>
        </w:rPr>
        <w:t xml:space="preserve">especially bisexual </w:t>
      </w:r>
      <w:r w:rsidR="003C2B7F">
        <w:rPr>
          <w:rFonts w:ascii="Times New Roman" w:hAnsi="Times New Roman"/>
          <w:bCs/>
          <w:noProof w:val="0"/>
        </w:rPr>
        <w:t>women are typically more likely to be smokers</w:t>
      </w:r>
      <w:r w:rsidR="008D7D08">
        <w:rPr>
          <w:rFonts w:ascii="Times New Roman" w:hAnsi="Times New Roman"/>
          <w:bCs/>
          <w:noProof w:val="0"/>
        </w:rPr>
        <w:t xml:space="preserve"> than their gay and lesbian counterparts (</w:t>
      </w:r>
      <w:r w:rsidR="006A211E">
        <w:rPr>
          <w:rFonts w:ascii="Times New Roman" w:hAnsi="Times New Roman"/>
          <w:bCs/>
          <w:noProof w:val="0"/>
        </w:rPr>
        <w:t>Balsam et al.</w:t>
      </w:r>
      <w:r w:rsidR="00C24D29">
        <w:rPr>
          <w:rFonts w:ascii="Times New Roman" w:hAnsi="Times New Roman"/>
          <w:bCs/>
          <w:noProof w:val="0"/>
        </w:rPr>
        <w:t>,</w:t>
      </w:r>
      <w:r w:rsidR="006A211E">
        <w:rPr>
          <w:rFonts w:ascii="Times New Roman" w:hAnsi="Times New Roman"/>
          <w:bCs/>
          <w:noProof w:val="0"/>
        </w:rPr>
        <w:t xml:space="preserve"> 2012; Boehmer et al.</w:t>
      </w:r>
      <w:r w:rsidR="00C24D29">
        <w:rPr>
          <w:rFonts w:ascii="Times New Roman" w:hAnsi="Times New Roman"/>
          <w:bCs/>
          <w:noProof w:val="0"/>
        </w:rPr>
        <w:t>,</w:t>
      </w:r>
      <w:r w:rsidR="006A211E">
        <w:rPr>
          <w:rFonts w:ascii="Times New Roman" w:hAnsi="Times New Roman"/>
          <w:bCs/>
          <w:noProof w:val="0"/>
        </w:rPr>
        <w:t xml:space="preserve"> 2012), potentially because they begin smoking earlier in life and attempt to quit less frequently (</w:t>
      </w:r>
      <w:proofErr w:type="spellStart"/>
      <w:r w:rsidR="006A211E">
        <w:rPr>
          <w:rFonts w:ascii="Times New Roman" w:hAnsi="Times New Roman"/>
          <w:bCs/>
          <w:noProof w:val="0"/>
        </w:rPr>
        <w:t>Fallin</w:t>
      </w:r>
      <w:proofErr w:type="spellEnd"/>
      <w:r w:rsidR="006A211E">
        <w:rPr>
          <w:rFonts w:ascii="Times New Roman" w:hAnsi="Times New Roman"/>
          <w:bCs/>
          <w:noProof w:val="0"/>
        </w:rPr>
        <w:t xml:space="preserve"> et al.</w:t>
      </w:r>
      <w:r w:rsidR="00C24D29">
        <w:rPr>
          <w:rFonts w:ascii="Times New Roman" w:hAnsi="Times New Roman"/>
          <w:bCs/>
          <w:noProof w:val="0"/>
        </w:rPr>
        <w:t>,</w:t>
      </w:r>
      <w:r w:rsidR="006A211E">
        <w:rPr>
          <w:rFonts w:ascii="Times New Roman" w:hAnsi="Times New Roman"/>
          <w:bCs/>
          <w:noProof w:val="0"/>
        </w:rPr>
        <w:t xml:space="preserve"> 2015). While rates of </w:t>
      </w:r>
      <w:r w:rsidR="006A211E" w:rsidRPr="006A211E">
        <w:rPr>
          <w:rFonts w:ascii="Times New Roman" w:hAnsi="Times New Roman"/>
          <w:bCs/>
          <w:i/>
          <w:noProof w:val="0"/>
        </w:rPr>
        <w:t>lifetime</w:t>
      </w:r>
      <w:r w:rsidR="006A211E">
        <w:rPr>
          <w:rFonts w:ascii="Times New Roman" w:hAnsi="Times New Roman"/>
          <w:bCs/>
          <w:noProof w:val="0"/>
        </w:rPr>
        <w:t xml:space="preserve"> smoking (i.e., ever having smoked) are</w:t>
      </w:r>
      <w:r w:rsidR="00EC45CB">
        <w:rPr>
          <w:rFonts w:ascii="Times New Roman" w:hAnsi="Times New Roman"/>
          <w:bCs/>
          <w:noProof w:val="0"/>
        </w:rPr>
        <w:t xml:space="preserve"> understandably</w:t>
      </w:r>
      <w:r w:rsidR="006A211E">
        <w:rPr>
          <w:rFonts w:ascii="Times New Roman" w:hAnsi="Times New Roman"/>
          <w:bCs/>
          <w:noProof w:val="0"/>
        </w:rPr>
        <w:t xml:space="preserve"> higher </w:t>
      </w:r>
      <w:r w:rsidR="00CC7AFC">
        <w:rPr>
          <w:rFonts w:ascii="Times New Roman" w:hAnsi="Times New Roman"/>
          <w:bCs/>
          <w:noProof w:val="0"/>
        </w:rPr>
        <w:t>for all populations</w:t>
      </w:r>
      <w:r w:rsidR="000A75A8">
        <w:rPr>
          <w:rFonts w:ascii="Times New Roman" w:hAnsi="Times New Roman"/>
          <w:bCs/>
          <w:noProof w:val="0"/>
        </w:rPr>
        <w:t xml:space="preserve"> since the indicator captures a longer timeframe</w:t>
      </w:r>
      <w:r w:rsidR="006A211E">
        <w:rPr>
          <w:rFonts w:ascii="Times New Roman" w:hAnsi="Times New Roman"/>
          <w:bCs/>
          <w:noProof w:val="0"/>
        </w:rPr>
        <w:t xml:space="preserve">, the </w:t>
      </w:r>
      <w:r w:rsidR="001A37FE">
        <w:rPr>
          <w:rFonts w:ascii="Times New Roman" w:hAnsi="Times New Roman"/>
          <w:bCs/>
          <w:noProof w:val="0"/>
        </w:rPr>
        <w:t>sexual orientation disparities for lifetime smoking</w:t>
      </w:r>
      <w:r w:rsidR="009017B0">
        <w:rPr>
          <w:rFonts w:ascii="Times New Roman" w:hAnsi="Times New Roman"/>
          <w:bCs/>
          <w:noProof w:val="0"/>
        </w:rPr>
        <w:t xml:space="preserve"> </w:t>
      </w:r>
      <w:r w:rsidR="006A211E">
        <w:rPr>
          <w:rFonts w:ascii="Times New Roman" w:hAnsi="Times New Roman"/>
          <w:bCs/>
          <w:noProof w:val="0"/>
        </w:rPr>
        <w:t>tend to be smaller (</w:t>
      </w:r>
      <w:r w:rsidR="00F050ED">
        <w:rPr>
          <w:rFonts w:ascii="Times New Roman" w:hAnsi="Times New Roman"/>
          <w:bCs/>
          <w:noProof w:val="0"/>
        </w:rPr>
        <w:t>Balsam et al. 2012; Boehmer et al.</w:t>
      </w:r>
      <w:r w:rsidR="00C24D29">
        <w:rPr>
          <w:rFonts w:ascii="Times New Roman" w:hAnsi="Times New Roman"/>
          <w:bCs/>
          <w:noProof w:val="0"/>
        </w:rPr>
        <w:t>,</w:t>
      </w:r>
      <w:r w:rsidR="00F050ED">
        <w:rPr>
          <w:rFonts w:ascii="Times New Roman" w:hAnsi="Times New Roman"/>
          <w:bCs/>
          <w:noProof w:val="0"/>
        </w:rPr>
        <w:t xml:space="preserve"> 2012). This </w:t>
      </w:r>
      <w:r w:rsidR="00F07D42">
        <w:rPr>
          <w:rFonts w:ascii="Times New Roman" w:hAnsi="Times New Roman"/>
          <w:bCs/>
          <w:noProof w:val="0"/>
        </w:rPr>
        <w:t>tighter</w:t>
      </w:r>
      <w:r w:rsidR="00EC45CB">
        <w:rPr>
          <w:rFonts w:ascii="Times New Roman" w:hAnsi="Times New Roman"/>
          <w:bCs/>
          <w:noProof w:val="0"/>
        </w:rPr>
        <w:t xml:space="preserve"> gap </w:t>
      </w:r>
      <w:r w:rsidR="007A0110">
        <w:rPr>
          <w:rFonts w:ascii="Times New Roman" w:hAnsi="Times New Roman"/>
          <w:bCs/>
          <w:noProof w:val="0"/>
        </w:rPr>
        <w:t>may be due to more</w:t>
      </w:r>
      <w:r w:rsidR="005A2C5C">
        <w:rPr>
          <w:rFonts w:ascii="Times New Roman" w:hAnsi="Times New Roman"/>
          <w:bCs/>
          <w:noProof w:val="0"/>
        </w:rPr>
        <w:t xml:space="preserve"> heterosexual people and especially heterosexual men </w:t>
      </w:r>
      <w:r w:rsidR="007A0110">
        <w:rPr>
          <w:rFonts w:ascii="Times New Roman" w:hAnsi="Times New Roman"/>
          <w:bCs/>
          <w:noProof w:val="0"/>
        </w:rPr>
        <w:t>quitting</w:t>
      </w:r>
      <w:r w:rsidR="004578F9">
        <w:rPr>
          <w:rFonts w:ascii="Times New Roman" w:hAnsi="Times New Roman"/>
          <w:bCs/>
          <w:noProof w:val="0"/>
        </w:rPr>
        <w:t xml:space="preserve"> </w:t>
      </w:r>
      <w:r w:rsidR="00EC45CB">
        <w:rPr>
          <w:rFonts w:ascii="Times New Roman" w:hAnsi="Times New Roman"/>
          <w:bCs/>
          <w:noProof w:val="0"/>
        </w:rPr>
        <w:t>smoking after</w:t>
      </w:r>
      <w:r w:rsidR="004578F9">
        <w:rPr>
          <w:rFonts w:ascii="Times New Roman" w:hAnsi="Times New Roman"/>
          <w:bCs/>
          <w:noProof w:val="0"/>
        </w:rPr>
        <w:t xml:space="preserve"> </w:t>
      </w:r>
      <w:r w:rsidR="001A37FE">
        <w:rPr>
          <w:rFonts w:ascii="Times New Roman" w:hAnsi="Times New Roman"/>
          <w:bCs/>
          <w:noProof w:val="0"/>
        </w:rPr>
        <w:t>early experimentation</w:t>
      </w:r>
      <w:r w:rsidR="004578F9">
        <w:rPr>
          <w:rFonts w:ascii="Times New Roman" w:hAnsi="Times New Roman"/>
          <w:bCs/>
          <w:noProof w:val="0"/>
        </w:rPr>
        <w:t xml:space="preserve"> </w:t>
      </w:r>
      <w:r w:rsidR="005A2C5C">
        <w:rPr>
          <w:rFonts w:ascii="Times New Roman" w:hAnsi="Times New Roman"/>
          <w:bCs/>
          <w:noProof w:val="0"/>
        </w:rPr>
        <w:t>compared to LGB people (Boehmer et al.</w:t>
      </w:r>
      <w:r w:rsidR="00C24D29">
        <w:rPr>
          <w:rFonts w:ascii="Times New Roman" w:hAnsi="Times New Roman"/>
          <w:bCs/>
          <w:noProof w:val="0"/>
        </w:rPr>
        <w:t>,</w:t>
      </w:r>
      <w:r w:rsidR="005A2C5C">
        <w:rPr>
          <w:rFonts w:ascii="Times New Roman" w:hAnsi="Times New Roman"/>
          <w:bCs/>
          <w:noProof w:val="0"/>
        </w:rPr>
        <w:t xml:space="preserve"> 2012; </w:t>
      </w:r>
      <w:proofErr w:type="spellStart"/>
      <w:r w:rsidR="005A2C5C">
        <w:rPr>
          <w:rFonts w:ascii="Times New Roman" w:hAnsi="Times New Roman"/>
          <w:bCs/>
          <w:noProof w:val="0"/>
        </w:rPr>
        <w:t>Fallin</w:t>
      </w:r>
      <w:proofErr w:type="spellEnd"/>
      <w:r w:rsidR="005A2C5C">
        <w:rPr>
          <w:rFonts w:ascii="Times New Roman" w:hAnsi="Times New Roman"/>
          <w:bCs/>
          <w:noProof w:val="0"/>
        </w:rPr>
        <w:t xml:space="preserve"> et al.</w:t>
      </w:r>
      <w:r w:rsidR="00C24D29">
        <w:rPr>
          <w:rFonts w:ascii="Times New Roman" w:hAnsi="Times New Roman"/>
          <w:bCs/>
          <w:noProof w:val="0"/>
        </w:rPr>
        <w:t>,</w:t>
      </w:r>
      <w:r w:rsidR="005A2C5C">
        <w:rPr>
          <w:rFonts w:ascii="Times New Roman" w:hAnsi="Times New Roman"/>
          <w:bCs/>
          <w:noProof w:val="0"/>
        </w:rPr>
        <w:t xml:space="preserve"> 2015</w:t>
      </w:r>
      <w:r w:rsidR="00B95A22">
        <w:rPr>
          <w:rFonts w:ascii="Times New Roman" w:hAnsi="Times New Roman"/>
          <w:bCs/>
          <w:noProof w:val="0"/>
        </w:rPr>
        <w:t xml:space="preserve">). </w:t>
      </w:r>
    </w:p>
    <w:p w14:paraId="31450E8D" w14:textId="77777777" w:rsidR="00F51E75" w:rsidRDefault="00F51E75" w:rsidP="005B56A2">
      <w:pPr>
        <w:contextualSpacing/>
        <w:jc w:val="both"/>
        <w:rPr>
          <w:rFonts w:ascii="Times New Roman" w:hAnsi="Times New Roman"/>
          <w:bCs/>
          <w:noProof w:val="0"/>
        </w:rPr>
      </w:pPr>
    </w:p>
    <w:p w14:paraId="414C0719" w14:textId="6B425493" w:rsidR="00304045" w:rsidRPr="00F51E75" w:rsidRDefault="00304045" w:rsidP="005B56A2">
      <w:pPr>
        <w:contextualSpacing/>
        <w:jc w:val="both"/>
        <w:rPr>
          <w:rFonts w:ascii="Times New Roman" w:hAnsi="Times New Roman"/>
          <w:bCs/>
          <w:noProof w:val="0"/>
          <w:color w:val="FF0000"/>
        </w:rPr>
      </w:pPr>
      <w:r>
        <w:rPr>
          <w:rFonts w:ascii="Times New Roman" w:hAnsi="Times New Roman"/>
          <w:bCs/>
          <w:noProof w:val="0"/>
        </w:rPr>
        <w:t xml:space="preserve">LGB youth are a population of special interest given their vulnerability to tobacco use at early developmental stages. </w:t>
      </w:r>
      <w:r w:rsidR="002C2DB6">
        <w:rPr>
          <w:rFonts w:ascii="Times New Roman" w:hAnsi="Times New Roman"/>
          <w:bCs/>
          <w:noProof w:val="0"/>
        </w:rPr>
        <w:t>Pa</w:t>
      </w:r>
      <w:r>
        <w:rPr>
          <w:rFonts w:ascii="Times New Roman" w:hAnsi="Times New Roman"/>
          <w:bCs/>
          <w:noProof w:val="0"/>
        </w:rPr>
        <w:t xml:space="preserve">tterns of use across </w:t>
      </w:r>
      <w:r w:rsidR="00B510E1">
        <w:rPr>
          <w:rFonts w:ascii="Times New Roman" w:hAnsi="Times New Roman"/>
          <w:bCs/>
          <w:noProof w:val="0"/>
        </w:rPr>
        <w:t xml:space="preserve">sex and </w:t>
      </w:r>
      <w:r>
        <w:rPr>
          <w:rFonts w:ascii="Times New Roman" w:hAnsi="Times New Roman"/>
          <w:bCs/>
          <w:noProof w:val="0"/>
        </w:rPr>
        <w:t xml:space="preserve">sexual orientation groups are different in youth compared to adults. </w:t>
      </w:r>
      <w:r w:rsidR="000A7125">
        <w:rPr>
          <w:rFonts w:ascii="Times New Roman" w:hAnsi="Times New Roman"/>
          <w:bCs/>
          <w:noProof w:val="0"/>
        </w:rPr>
        <w:t>S</w:t>
      </w:r>
      <w:r w:rsidR="001A37FE">
        <w:rPr>
          <w:rFonts w:ascii="Times New Roman" w:hAnsi="Times New Roman"/>
          <w:bCs/>
          <w:noProof w:val="0"/>
        </w:rPr>
        <w:t>exual minority</w:t>
      </w:r>
      <w:r w:rsidR="004E0C93">
        <w:rPr>
          <w:rFonts w:ascii="Times New Roman" w:hAnsi="Times New Roman"/>
          <w:bCs/>
          <w:noProof w:val="0"/>
        </w:rPr>
        <w:t xml:space="preserve"> youth</w:t>
      </w:r>
      <w:r w:rsidR="001A37FE">
        <w:rPr>
          <w:rFonts w:ascii="Times New Roman" w:hAnsi="Times New Roman"/>
          <w:bCs/>
          <w:noProof w:val="0"/>
        </w:rPr>
        <w:t xml:space="preserve"> are both more likely than their heterosexual peers</w:t>
      </w:r>
      <w:r w:rsidR="004578F9">
        <w:rPr>
          <w:rFonts w:ascii="Times New Roman" w:hAnsi="Times New Roman"/>
          <w:bCs/>
          <w:noProof w:val="0"/>
        </w:rPr>
        <w:t xml:space="preserve"> </w:t>
      </w:r>
      <w:r w:rsidR="000A7125">
        <w:rPr>
          <w:rFonts w:ascii="Times New Roman" w:hAnsi="Times New Roman"/>
          <w:bCs/>
          <w:noProof w:val="0"/>
        </w:rPr>
        <w:t xml:space="preserve">and sexual minority </w:t>
      </w:r>
      <w:r w:rsidR="006D1CA0">
        <w:rPr>
          <w:rFonts w:ascii="Times New Roman" w:hAnsi="Times New Roman"/>
          <w:bCs/>
          <w:noProof w:val="0"/>
        </w:rPr>
        <w:t xml:space="preserve">adults </w:t>
      </w:r>
      <w:r w:rsidR="000A7125">
        <w:rPr>
          <w:rFonts w:ascii="Times New Roman" w:hAnsi="Times New Roman"/>
          <w:bCs/>
          <w:noProof w:val="0"/>
        </w:rPr>
        <w:t>to be current smokers (Boehmer et al.</w:t>
      </w:r>
      <w:r w:rsidR="00C24D29">
        <w:rPr>
          <w:rFonts w:ascii="Times New Roman" w:hAnsi="Times New Roman"/>
          <w:bCs/>
          <w:noProof w:val="0"/>
        </w:rPr>
        <w:t>,</w:t>
      </w:r>
      <w:r w:rsidR="000A7125">
        <w:rPr>
          <w:rFonts w:ascii="Times New Roman" w:hAnsi="Times New Roman"/>
          <w:bCs/>
          <w:noProof w:val="0"/>
        </w:rPr>
        <w:t xml:space="preserve"> 2012). S</w:t>
      </w:r>
      <w:r w:rsidR="001A37FE">
        <w:rPr>
          <w:rFonts w:ascii="Times New Roman" w:hAnsi="Times New Roman"/>
          <w:bCs/>
          <w:noProof w:val="0"/>
        </w:rPr>
        <w:t xml:space="preserve">elf-identified gay and lesbian </w:t>
      </w:r>
      <w:r w:rsidR="000A7125">
        <w:rPr>
          <w:rFonts w:ascii="Times New Roman" w:hAnsi="Times New Roman"/>
          <w:bCs/>
          <w:noProof w:val="0"/>
        </w:rPr>
        <w:t xml:space="preserve">youth </w:t>
      </w:r>
      <w:r w:rsidR="001A37FE">
        <w:rPr>
          <w:rFonts w:ascii="Times New Roman" w:hAnsi="Times New Roman"/>
          <w:bCs/>
          <w:noProof w:val="0"/>
        </w:rPr>
        <w:t xml:space="preserve">also </w:t>
      </w:r>
      <w:r w:rsidR="007016E9">
        <w:rPr>
          <w:rFonts w:ascii="Times New Roman" w:hAnsi="Times New Roman"/>
          <w:bCs/>
          <w:noProof w:val="0"/>
        </w:rPr>
        <w:t>smoke at a higher rate (i.e., more cigarettes per week or month) than those who are bisexual (Newcomb et al.</w:t>
      </w:r>
      <w:r w:rsidR="00C24D29">
        <w:rPr>
          <w:rFonts w:ascii="Times New Roman" w:hAnsi="Times New Roman"/>
          <w:bCs/>
          <w:noProof w:val="0"/>
        </w:rPr>
        <w:t>,</w:t>
      </w:r>
      <w:r w:rsidR="007016E9">
        <w:rPr>
          <w:rFonts w:ascii="Times New Roman" w:hAnsi="Times New Roman"/>
          <w:bCs/>
          <w:noProof w:val="0"/>
        </w:rPr>
        <w:t xml:space="preserve"> 2014)</w:t>
      </w:r>
      <w:r w:rsidR="00C24D29">
        <w:rPr>
          <w:rFonts w:ascii="Times New Roman" w:hAnsi="Times New Roman"/>
          <w:bCs/>
          <w:noProof w:val="0"/>
        </w:rPr>
        <w:t xml:space="preserve"> </w:t>
      </w:r>
      <w:r w:rsidR="004E0C93">
        <w:rPr>
          <w:rFonts w:ascii="Times New Roman" w:hAnsi="Times New Roman"/>
          <w:bCs/>
          <w:noProof w:val="0"/>
        </w:rPr>
        <w:t>and may smoke</w:t>
      </w:r>
      <w:r w:rsidR="00EC45CB">
        <w:rPr>
          <w:rFonts w:ascii="Times New Roman" w:hAnsi="Times New Roman"/>
          <w:bCs/>
          <w:noProof w:val="0"/>
        </w:rPr>
        <w:t xml:space="preserve"> with </w:t>
      </w:r>
      <w:r w:rsidR="004E0C93">
        <w:rPr>
          <w:rFonts w:ascii="Times New Roman" w:hAnsi="Times New Roman"/>
          <w:bCs/>
          <w:noProof w:val="0"/>
        </w:rPr>
        <w:t xml:space="preserve">progressively </w:t>
      </w:r>
      <w:r w:rsidR="00EC45CB">
        <w:rPr>
          <w:rFonts w:ascii="Times New Roman" w:hAnsi="Times New Roman"/>
          <w:bCs/>
          <w:noProof w:val="0"/>
        </w:rPr>
        <w:t xml:space="preserve">greater frequency as they age </w:t>
      </w:r>
      <w:r w:rsidR="007A0110">
        <w:rPr>
          <w:rFonts w:ascii="Times New Roman" w:hAnsi="Times New Roman"/>
          <w:bCs/>
          <w:noProof w:val="0"/>
        </w:rPr>
        <w:t xml:space="preserve">through their teens and </w:t>
      </w:r>
      <w:r w:rsidR="00EC45CB">
        <w:rPr>
          <w:rFonts w:ascii="Times New Roman" w:hAnsi="Times New Roman"/>
          <w:bCs/>
          <w:noProof w:val="0"/>
        </w:rPr>
        <w:t>into</w:t>
      </w:r>
      <w:r w:rsidR="00172E01">
        <w:rPr>
          <w:rFonts w:ascii="Times New Roman" w:hAnsi="Times New Roman"/>
          <w:bCs/>
          <w:noProof w:val="0"/>
        </w:rPr>
        <w:t xml:space="preserve"> their twenties</w:t>
      </w:r>
      <w:r w:rsidR="004E0C93">
        <w:rPr>
          <w:rFonts w:ascii="Times New Roman" w:hAnsi="Times New Roman"/>
          <w:bCs/>
          <w:noProof w:val="0"/>
        </w:rPr>
        <w:t xml:space="preserve"> (Marshal et al.</w:t>
      </w:r>
      <w:r w:rsidR="00C24D29">
        <w:rPr>
          <w:rFonts w:ascii="Times New Roman" w:hAnsi="Times New Roman"/>
          <w:bCs/>
          <w:noProof w:val="0"/>
        </w:rPr>
        <w:t>,</w:t>
      </w:r>
      <w:r w:rsidR="004E0C93">
        <w:rPr>
          <w:rFonts w:ascii="Times New Roman" w:hAnsi="Times New Roman"/>
          <w:bCs/>
          <w:noProof w:val="0"/>
        </w:rPr>
        <w:t xml:space="preserve"> 2009</w:t>
      </w:r>
      <w:r w:rsidR="007A0110">
        <w:rPr>
          <w:rFonts w:ascii="Times New Roman" w:hAnsi="Times New Roman"/>
          <w:bCs/>
          <w:noProof w:val="0"/>
        </w:rPr>
        <w:t>; Corliss et al.</w:t>
      </w:r>
      <w:r w:rsidR="00C24D29">
        <w:rPr>
          <w:rFonts w:ascii="Times New Roman" w:hAnsi="Times New Roman"/>
          <w:bCs/>
          <w:noProof w:val="0"/>
        </w:rPr>
        <w:t>,</w:t>
      </w:r>
      <w:r w:rsidR="007A0110">
        <w:rPr>
          <w:rFonts w:ascii="Times New Roman" w:hAnsi="Times New Roman"/>
          <w:bCs/>
          <w:noProof w:val="0"/>
        </w:rPr>
        <w:t xml:space="preserve"> 2013</w:t>
      </w:r>
      <w:r w:rsidR="004E0C93">
        <w:rPr>
          <w:rFonts w:ascii="Times New Roman" w:hAnsi="Times New Roman"/>
          <w:bCs/>
          <w:noProof w:val="0"/>
        </w:rPr>
        <w:t xml:space="preserve">). </w:t>
      </w:r>
      <w:r w:rsidR="000E6AEF">
        <w:rPr>
          <w:rFonts w:ascii="Times New Roman" w:hAnsi="Times New Roman"/>
          <w:bCs/>
          <w:noProof w:val="0"/>
        </w:rPr>
        <w:t>In addition, gay and bisexual boys hav</w:t>
      </w:r>
      <w:r w:rsidR="00172E01">
        <w:rPr>
          <w:rFonts w:ascii="Times New Roman" w:hAnsi="Times New Roman"/>
          <w:bCs/>
          <w:noProof w:val="0"/>
        </w:rPr>
        <w:t>e in some cases reported more tobacco use than lesbian and bisexual girls</w:t>
      </w:r>
      <w:r w:rsidR="007016E9">
        <w:rPr>
          <w:rFonts w:ascii="Times New Roman" w:hAnsi="Times New Roman"/>
          <w:bCs/>
          <w:noProof w:val="0"/>
        </w:rPr>
        <w:t xml:space="preserve"> (Newcomb et a</w:t>
      </w:r>
      <w:r w:rsidR="00D247CE">
        <w:rPr>
          <w:rFonts w:ascii="Times New Roman" w:hAnsi="Times New Roman"/>
          <w:bCs/>
          <w:noProof w:val="0"/>
        </w:rPr>
        <w:t>l.</w:t>
      </w:r>
      <w:r w:rsidR="00C24D29">
        <w:rPr>
          <w:rFonts w:ascii="Times New Roman" w:hAnsi="Times New Roman"/>
          <w:bCs/>
          <w:noProof w:val="0"/>
        </w:rPr>
        <w:t>,</w:t>
      </w:r>
      <w:r w:rsidR="00D247CE">
        <w:rPr>
          <w:rFonts w:ascii="Times New Roman" w:hAnsi="Times New Roman"/>
          <w:bCs/>
          <w:noProof w:val="0"/>
        </w:rPr>
        <w:t xml:space="preserve"> 2014). Tobacco use behavior may therefore</w:t>
      </w:r>
      <w:r w:rsidR="007016E9">
        <w:rPr>
          <w:rFonts w:ascii="Times New Roman" w:hAnsi="Times New Roman"/>
          <w:bCs/>
          <w:noProof w:val="0"/>
        </w:rPr>
        <w:t xml:space="preserve"> evolve differently across the life course depending on </w:t>
      </w:r>
      <w:r w:rsidR="00D247CE">
        <w:rPr>
          <w:rFonts w:ascii="Times New Roman" w:hAnsi="Times New Roman"/>
          <w:bCs/>
          <w:noProof w:val="0"/>
        </w:rPr>
        <w:t xml:space="preserve">sex and </w:t>
      </w:r>
      <w:r w:rsidR="007016E9">
        <w:rPr>
          <w:rFonts w:ascii="Times New Roman" w:hAnsi="Times New Roman"/>
          <w:bCs/>
          <w:noProof w:val="0"/>
        </w:rPr>
        <w:t>sexual orientation.</w:t>
      </w:r>
      <w:r w:rsidR="008D3A37">
        <w:rPr>
          <w:rFonts w:ascii="Times New Roman" w:hAnsi="Times New Roman"/>
          <w:bCs/>
          <w:noProof w:val="0"/>
        </w:rPr>
        <w:t xml:space="preserve"> Although the gap in smoking </w:t>
      </w:r>
      <w:r w:rsidR="00FF1803">
        <w:rPr>
          <w:rFonts w:ascii="Times New Roman" w:hAnsi="Times New Roman"/>
          <w:bCs/>
          <w:noProof w:val="0"/>
        </w:rPr>
        <w:t xml:space="preserve">between gay or bisexual men and heterosexual men tends to </w:t>
      </w:r>
      <w:r w:rsidR="007A0110">
        <w:rPr>
          <w:rFonts w:ascii="Times New Roman" w:hAnsi="Times New Roman"/>
          <w:bCs/>
          <w:noProof w:val="0"/>
        </w:rPr>
        <w:t>narrow progressively with age</w:t>
      </w:r>
      <w:r w:rsidR="00FF1803">
        <w:rPr>
          <w:rFonts w:ascii="Times New Roman" w:hAnsi="Times New Roman"/>
          <w:bCs/>
          <w:noProof w:val="0"/>
        </w:rPr>
        <w:t xml:space="preserve">, it may </w:t>
      </w:r>
      <w:r w:rsidR="007A0110">
        <w:rPr>
          <w:rFonts w:ascii="Times New Roman" w:hAnsi="Times New Roman"/>
          <w:bCs/>
          <w:noProof w:val="0"/>
        </w:rPr>
        <w:t xml:space="preserve">persist or </w:t>
      </w:r>
      <w:r w:rsidR="00FF1803">
        <w:rPr>
          <w:rFonts w:ascii="Times New Roman" w:hAnsi="Times New Roman"/>
          <w:bCs/>
          <w:noProof w:val="0"/>
        </w:rPr>
        <w:t>grow for lesbian</w:t>
      </w:r>
      <w:r w:rsidR="00EC45CB">
        <w:rPr>
          <w:rFonts w:ascii="Times New Roman" w:hAnsi="Times New Roman"/>
          <w:bCs/>
          <w:noProof w:val="0"/>
        </w:rPr>
        <w:t xml:space="preserve"> women</w:t>
      </w:r>
      <w:r w:rsidR="00FF1803">
        <w:rPr>
          <w:rFonts w:ascii="Times New Roman" w:hAnsi="Times New Roman"/>
          <w:bCs/>
          <w:noProof w:val="0"/>
        </w:rPr>
        <w:t xml:space="preserve"> and especially bisexual women </w:t>
      </w:r>
      <w:r w:rsidR="008D3A37">
        <w:rPr>
          <w:rFonts w:ascii="Times New Roman" w:hAnsi="Times New Roman"/>
          <w:bCs/>
          <w:noProof w:val="0"/>
        </w:rPr>
        <w:t>(</w:t>
      </w:r>
      <w:r w:rsidR="00FF1803">
        <w:rPr>
          <w:rFonts w:ascii="Times New Roman" w:hAnsi="Times New Roman"/>
          <w:bCs/>
          <w:noProof w:val="0"/>
        </w:rPr>
        <w:t>Boehmer et al.</w:t>
      </w:r>
      <w:r w:rsidR="00C24D29">
        <w:rPr>
          <w:rFonts w:ascii="Times New Roman" w:hAnsi="Times New Roman"/>
          <w:bCs/>
          <w:noProof w:val="0"/>
        </w:rPr>
        <w:t>,</w:t>
      </w:r>
      <w:r w:rsidR="00FF1803">
        <w:rPr>
          <w:rFonts w:ascii="Times New Roman" w:hAnsi="Times New Roman"/>
          <w:bCs/>
          <w:noProof w:val="0"/>
        </w:rPr>
        <w:t xml:space="preserve"> 2012;</w:t>
      </w:r>
      <w:r w:rsidR="00837C51">
        <w:rPr>
          <w:rFonts w:ascii="Times New Roman" w:hAnsi="Times New Roman"/>
          <w:bCs/>
          <w:noProof w:val="0"/>
        </w:rPr>
        <w:t xml:space="preserve"> Fredriksen-Goldsen et al., 2013;</w:t>
      </w:r>
      <w:r w:rsidR="00FF1803">
        <w:rPr>
          <w:rFonts w:ascii="Times New Roman" w:hAnsi="Times New Roman"/>
          <w:bCs/>
          <w:noProof w:val="0"/>
        </w:rPr>
        <w:t xml:space="preserve"> Newcomb et al.</w:t>
      </w:r>
      <w:r w:rsidR="00C24D29">
        <w:rPr>
          <w:rFonts w:ascii="Times New Roman" w:hAnsi="Times New Roman"/>
          <w:bCs/>
          <w:noProof w:val="0"/>
        </w:rPr>
        <w:t>,</w:t>
      </w:r>
      <w:r w:rsidR="00FF1803">
        <w:rPr>
          <w:rFonts w:ascii="Times New Roman" w:hAnsi="Times New Roman"/>
          <w:bCs/>
          <w:noProof w:val="0"/>
        </w:rPr>
        <w:t xml:space="preserve"> 2014).</w:t>
      </w:r>
    </w:p>
    <w:p w14:paraId="1CB915B0" w14:textId="77777777" w:rsidR="00F050ED" w:rsidRDefault="00F050ED" w:rsidP="005B56A2">
      <w:pPr>
        <w:contextualSpacing/>
        <w:jc w:val="both"/>
        <w:rPr>
          <w:rFonts w:ascii="Times New Roman" w:hAnsi="Times New Roman"/>
          <w:bCs/>
          <w:noProof w:val="0"/>
        </w:rPr>
      </w:pPr>
    </w:p>
    <w:p w14:paraId="0381BEFB" w14:textId="29A6D28B" w:rsidR="00FE74A4" w:rsidRDefault="00F050ED" w:rsidP="005B56A2">
      <w:pPr>
        <w:contextualSpacing/>
        <w:jc w:val="both"/>
        <w:rPr>
          <w:rFonts w:ascii="Times New Roman" w:hAnsi="Times New Roman"/>
          <w:bCs/>
          <w:noProof w:val="0"/>
        </w:rPr>
      </w:pPr>
      <w:r w:rsidRPr="00FE74A4">
        <w:rPr>
          <w:rFonts w:ascii="Times New Roman" w:hAnsi="Times New Roman"/>
          <w:bCs/>
          <w:noProof w:val="0"/>
        </w:rPr>
        <w:t>Since the 1990s, explanations of health disadvantage in LGB people have focused on minority stress, or the chronic, unique, socially based stressors that non-heterosexual people experience in societies where they are stigmatized (Meyer</w:t>
      </w:r>
      <w:r w:rsidR="00C24D29">
        <w:rPr>
          <w:rFonts w:ascii="Times New Roman" w:hAnsi="Times New Roman"/>
          <w:bCs/>
          <w:noProof w:val="0"/>
        </w:rPr>
        <w:t>,</w:t>
      </w:r>
      <w:r w:rsidRPr="00FE74A4">
        <w:rPr>
          <w:rFonts w:ascii="Times New Roman" w:hAnsi="Times New Roman"/>
          <w:bCs/>
          <w:noProof w:val="0"/>
        </w:rPr>
        <w:t xml:space="preserve"> 2003). </w:t>
      </w:r>
      <w:r w:rsidR="00F41EFD" w:rsidRPr="00FE74A4">
        <w:rPr>
          <w:rFonts w:ascii="Times New Roman" w:hAnsi="Times New Roman"/>
          <w:bCs/>
          <w:noProof w:val="0"/>
        </w:rPr>
        <w:t>Many studies have measured individual</w:t>
      </w:r>
      <w:r w:rsidR="00D45B2C">
        <w:rPr>
          <w:rFonts w:ascii="Times New Roman" w:hAnsi="Times New Roman"/>
          <w:bCs/>
          <w:noProof w:val="0"/>
        </w:rPr>
        <w:t xml:space="preserve"> and</w:t>
      </w:r>
      <w:r w:rsidR="007D74A7">
        <w:rPr>
          <w:rFonts w:ascii="Times New Roman" w:hAnsi="Times New Roman"/>
          <w:bCs/>
          <w:noProof w:val="0"/>
        </w:rPr>
        <w:t xml:space="preserve"> interpersonal </w:t>
      </w:r>
      <w:r w:rsidR="00F41EFD" w:rsidRPr="00FE74A4">
        <w:rPr>
          <w:rFonts w:ascii="Times New Roman" w:hAnsi="Times New Roman"/>
          <w:bCs/>
          <w:noProof w:val="0"/>
        </w:rPr>
        <w:t>e</w:t>
      </w:r>
      <w:r w:rsidR="00B95A22" w:rsidRPr="00FE74A4">
        <w:rPr>
          <w:rFonts w:ascii="Times New Roman" w:hAnsi="Times New Roman"/>
          <w:bCs/>
          <w:noProof w:val="0"/>
        </w:rPr>
        <w:t xml:space="preserve">xperiences of discrimination </w:t>
      </w:r>
      <w:r w:rsidR="00D45B2C">
        <w:rPr>
          <w:rFonts w:ascii="Times New Roman" w:hAnsi="Times New Roman"/>
          <w:bCs/>
          <w:noProof w:val="0"/>
        </w:rPr>
        <w:t>as well as</w:t>
      </w:r>
      <w:r w:rsidR="00B95A22" w:rsidRPr="00FE74A4">
        <w:rPr>
          <w:rFonts w:ascii="Times New Roman" w:hAnsi="Times New Roman"/>
          <w:bCs/>
          <w:noProof w:val="0"/>
        </w:rPr>
        <w:t xml:space="preserve"> other aspects of minority stress </w:t>
      </w:r>
      <w:r w:rsidR="00F41EFD" w:rsidRPr="00FE74A4">
        <w:rPr>
          <w:rFonts w:ascii="Times New Roman" w:hAnsi="Times New Roman"/>
          <w:bCs/>
          <w:noProof w:val="0"/>
        </w:rPr>
        <w:t>to</w:t>
      </w:r>
      <w:r w:rsidR="009017B0">
        <w:rPr>
          <w:rFonts w:ascii="Times New Roman" w:hAnsi="Times New Roman"/>
          <w:bCs/>
          <w:noProof w:val="0"/>
        </w:rPr>
        <w:t xml:space="preserve"> </w:t>
      </w:r>
      <w:r w:rsidR="00F41EFD" w:rsidRPr="00FE74A4">
        <w:rPr>
          <w:rFonts w:ascii="Times New Roman" w:hAnsi="Times New Roman"/>
          <w:bCs/>
          <w:noProof w:val="0"/>
        </w:rPr>
        <w:t xml:space="preserve">explain </w:t>
      </w:r>
      <w:r w:rsidR="00B95A22" w:rsidRPr="00FE74A4">
        <w:rPr>
          <w:rFonts w:ascii="Times New Roman" w:hAnsi="Times New Roman"/>
          <w:bCs/>
          <w:noProof w:val="0"/>
        </w:rPr>
        <w:t xml:space="preserve">unhealthy behaviors in LGB people. </w:t>
      </w:r>
      <w:r w:rsidR="00FF1803" w:rsidRPr="00FE74A4">
        <w:rPr>
          <w:rFonts w:ascii="Times New Roman" w:hAnsi="Times New Roman"/>
          <w:bCs/>
          <w:noProof w:val="0"/>
        </w:rPr>
        <w:t xml:space="preserve">For example, LGB youth who smoke also tend to report </w:t>
      </w:r>
      <w:r w:rsidR="00FF1803" w:rsidRPr="00FE74A4">
        <w:rPr>
          <w:rFonts w:ascii="Times New Roman" w:hAnsi="Times New Roman"/>
          <w:bCs/>
          <w:noProof w:val="0"/>
        </w:rPr>
        <w:lastRenderedPageBreak/>
        <w:t>mental health</w:t>
      </w:r>
      <w:r w:rsidR="004578F9">
        <w:rPr>
          <w:rFonts w:ascii="Times New Roman" w:hAnsi="Times New Roman"/>
          <w:bCs/>
          <w:noProof w:val="0"/>
        </w:rPr>
        <w:t xml:space="preserve"> </w:t>
      </w:r>
      <w:r w:rsidR="003A3CD7">
        <w:rPr>
          <w:rFonts w:ascii="Times New Roman" w:hAnsi="Times New Roman"/>
          <w:bCs/>
          <w:noProof w:val="0"/>
        </w:rPr>
        <w:t>symptomology</w:t>
      </w:r>
      <w:r w:rsidR="00FE74A4">
        <w:rPr>
          <w:rFonts w:ascii="Times New Roman" w:hAnsi="Times New Roman"/>
          <w:bCs/>
          <w:noProof w:val="0"/>
        </w:rPr>
        <w:t>, life dissatisfaction,</w:t>
      </w:r>
      <w:r w:rsidR="00EC45CB">
        <w:rPr>
          <w:rFonts w:ascii="Times New Roman" w:hAnsi="Times New Roman"/>
          <w:bCs/>
          <w:noProof w:val="0"/>
        </w:rPr>
        <w:t xml:space="preserve"> or </w:t>
      </w:r>
      <w:r w:rsidR="00FF1803" w:rsidRPr="00FE74A4">
        <w:rPr>
          <w:rFonts w:ascii="Times New Roman" w:hAnsi="Times New Roman"/>
          <w:bCs/>
          <w:noProof w:val="0"/>
        </w:rPr>
        <w:t>experience</w:t>
      </w:r>
      <w:r w:rsidR="00EC45CB">
        <w:rPr>
          <w:rFonts w:ascii="Times New Roman" w:hAnsi="Times New Roman"/>
          <w:bCs/>
          <w:noProof w:val="0"/>
        </w:rPr>
        <w:t>s</w:t>
      </w:r>
      <w:r w:rsidR="00FF1803" w:rsidRPr="00FE74A4">
        <w:rPr>
          <w:rFonts w:ascii="Times New Roman" w:hAnsi="Times New Roman"/>
          <w:bCs/>
          <w:noProof w:val="0"/>
        </w:rPr>
        <w:t xml:space="preserve"> of victimization</w:t>
      </w:r>
      <w:r w:rsidR="00FE74A4">
        <w:rPr>
          <w:rFonts w:ascii="Times New Roman" w:hAnsi="Times New Roman"/>
          <w:bCs/>
          <w:noProof w:val="0"/>
        </w:rPr>
        <w:t xml:space="preserve">. </w:t>
      </w:r>
      <w:r w:rsidR="0064140D">
        <w:rPr>
          <w:rFonts w:ascii="Times New Roman" w:hAnsi="Times New Roman"/>
          <w:bCs/>
          <w:noProof w:val="0"/>
        </w:rPr>
        <w:t xml:space="preserve">Increasingly, victimization and adverse mental health outcomes </w:t>
      </w:r>
      <w:r w:rsidR="00EC45CB">
        <w:rPr>
          <w:rFonts w:ascii="Times New Roman" w:hAnsi="Times New Roman"/>
          <w:bCs/>
          <w:noProof w:val="0"/>
        </w:rPr>
        <w:t xml:space="preserve">in LGB people </w:t>
      </w:r>
      <w:r w:rsidR="0064140D">
        <w:rPr>
          <w:rFonts w:ascii="Times New Roman" w:hAnsi="Times New Roman"/>
          <w:bCs/>
          <w:noProof w:val="0"/>
        </w:rPr>
        <w:t xml:space="preserve">are considered ‘syndemic’ (i.e., co-occurring and mutually reinforcing) with </w:t>
      </w:r>
      <w:r w:rsidR="00C81353">
        <w:rPr>
          <w:rFonts w:ascii="Times New Roman" w:hAnsi="Times New Roman"/>
          <w:bCs/>
          <w:noProof w:val="0"/>
        </w:rPr>
        <w:t>substance use (Stall et al.</w:t>
      </w:r>
      <w:r w:rsidR="00C24D29">
        <w:rPr>
          <w:rFonts w:ascii="Times New Roman" w:hAnsi="Times New Roman"/>
          <w:bCs/>
          <w:noProof w:val="0"/>
        </w:rPr>
        <w:t>,</w:t>
      </w:r>
      <w:r w:rsidR="00C81353">
        <w:rPr>
          <w:rFonts w:ascii="Times New Roman" w:hAnsi="Times New Roman"/>
          <w:bCs/>
          <w:noProof w:val="0"/>
        </w:rPr>
        <w:t xml:space="preserve"> 2003</w:t>
      </w:r>
      <w:r w:rsidR="0064140D">
        <w:rPr>
          <w:rFonts w:ascii="Times New Roman" w:hAnsi="Times New Roman"/>
          <w:bCs/>
          <w:noProof w:val="0"/>
        </w:rPr>
        <w:t xml:space="preserve">). </w:t>
      </w:r>
      <w:r w:rsidR="00FE74A4">
        <w:rPr>
          <w:rFonts w:ascii="Times New Roman" w:hAnsi="Times New Roman"/>
          <w:bCs/>
          <w:noProof w:val="0"/>
        </w:rPr>
        <w:t xml:space="preserve">There may also be other factors </w:t>
      </w:r>
      <w:r w:rsidR="0010021E">
        <w:rPr>
          <w:rFonts w:ascii="Times New Roman" w:hAnsi="Times New Roman"/>
          <w:bCs/>
          <w:noProof w:val="0"/>
        </w:rPr>
        <w:t>associated with</w:t>
      </w:r>
      <w:r w:rsidR="00FE74A4">
        <w:rPr>
          <w:rFonts w:ascii="Times New Roman" w:hAnsi="Times New Roman"/>
          <w:bCs/>
          <w:noProof w:val="0"/>
        </w:rPr>
        <w:t xml:space="preserve"> sexual orientation that increase the risk of smoking.</w:t>
      </w:r>
      <w:r w:rsidR="004578F9">
        <w:rPr>
          <w:rFonts w:ascii="Times New Roman" w:hAnsi="Times New Roman"/>
          <w:bCs/>
          <w:noProof w:val="0"/>
        </w:rPr>
        <w:t xml:space="preserve"> </w:t>
      </w:r>
      <w:r w:rsidR="00EC45CB">
        <w:rPr>
          <w:rFonts w:ascii="Times New Roman" w:hAnsi="Times New Roman"/>
          <w:bCs/>
          <w:noProof w:val="0"/>
        </w:rPr>
        <w:t>B</w:t>
      </w:r>
      <w:r w:rsidR="00FE74A4">
        <w:rPr>
          <w:rFonts w:ascii="Times New Roman" w:hAnsi="Times New Roman"/>
          <w:bCs/>
          <w:noProof w:val="0"/>
        </w:rPr>
        <w:t xml:space="preserve">oth truancy and alcohol use have been found to be associated with smoking </w:t>
      </w:r>
      <w:r w:rsidR="00EC45CB">
        <w:rPr>
          <w:rFonts w:ascii="Times New Roman" w:hAnsi="Times New Roman"/>
          <w:bCs/>
          <w:noProof w:val="0"/>
        </w:rPr>
        <w:t>in</w:t>
      </w:r>
      <w:r w:rsidR="009017B0">
        <w:rPr>
          <w:rFonts w:ascii="Times New Roman" w:hAnsi="Times New Roman"/>
          <w:bCs/>
          <w:noProof w:val="0"/>
        </w:rPr>
        <w:t xml:space="preserve"> </w:t>
      </w:r>
      <w:r w:rsidR="00FE74A4">
        <w:rPr>
          <w:rFonts w:ascii="Times New Roman" w:hAnsi="Times New Roman"/>
          <w:bCs/>
          <w:noProof w:val="0"/>
        </w:rPr>
        <w:t>youth populations (Brown et al.</w:t>
      </w:r>
      <w:r w:rsidR="00C24D29">
        <w:rPr>
          <w:rFonts w:ascii="Times New Roman" w:hAnsi="Times New Roman"/>
          <w:bCs/>
          <w:noProof w:val="0"/>
        </w:rPr>
        <w:t>,</w:t>
      </w:r>
      <w:r w:rsidR="00FE74A4">
        <w:rPr>
          <w:rFonts w:ascii="Times New Roman" w:hAnsi="Times New Roman"/>
          <w:bCs/>
          <w:noProof w:val="0"/>
        </w:rPr>
        <w:t xml:space="preserve"> 2001). Among LGB youth, </w:t>
      </w:r>
      <w:r w:rsidR="00EC45CB">
        <w:rPr>
          <w:rFonts w:ascii="Times New Roman" w:hAnsi="Times New Roman"/>
          <w:bCs/>
          <w:noProof w:val="0"/>
        </w:rPr>
        <w:t>truancy</w:t>
      </w:r>
      <w:r w:rsidR="00FE74A4">
        <w:rPr>
          <w:rFonts w:ascii="Times New Roman" w:hAnsi="Times New Roman"/>
          <w:bCs/>
          <w:noProof w:val="0"/>
        </w:rPr>
        <w:t xml:space="preserve"> may be elevated due to being bullied at school </w:t>
      </w:r>
      <w:r w:rsidR="0010021E">
        <w:rPr>
          <w:rFonts w:ascii="Times New Roman" w:hAnsi="Times New Roman"/>
          <w:bCs/>
          <w:noProof w:val="0"/>
        </w:rPr>
        <w:t>(</w:t>
      </w:r>
      <w:proofErr w:type="spellStart"/>
      <w:r w:rsidR="0010021E">
        <w:rPr>
          <w:rFonts w:ascii="Times New Roman" w:hAnsi="Times New Roman"/>
          <w:bCs/>
          <w:noProof w:val="0"/>
        </w:rPr>
        <w:t>Baams</w:t>
      </w:r>
      <w:proofErr w:type="spellEnd"/>
      <w:r w:rsidR="0010021E">
        <w:rPr>
          <w:rFonts w:ascii="Times New Roman" w:hAnsi="Times New Roman"/>
          <w:bCs/>
          <w:noProof w:val="0"/>
        </w:rPr>
        <w:t xml:space="preserve"> </w:t>
      </w:r>
      <w:r w:rsidR="00C24D29">
        <w:rPr>
          <w:rFonts w:ascii="Times New Roman" w:hAnsi="Times New Roman"/>
          <w:bCs/>
          <w:noProof w:val="0"/>
        </w:rPr>
        <w:t>et al.,</w:t>
      </w:r>
      <w:r w:rsidR="0010021E">
        <w:rPr>
          <w:rFonts w:ascii="Times New Roman" w:hAnsi="Times New Roman"/>
          <w:bCs/>
          <w:noProof w:val="0"/>
        </w:rPr>
        <w:t xml:space="preserve"> 2017)</w:t>
      </w:r>
      <w:r w:rsidR="00A6193D">
        <w:rPr>
          <w:rFonts w:ascii="Times New Roman" w:hAnsi="Times New Roman"/>
          <w:bCs/>
          <w:noProof w:val="0"/>
        </w:rPr>
        <w:t>.</w:t>
      </w:r>
      <w:r w:rsidR="004578F9">
        <w:rPr>
          <w:rFonts w:ascii="Times New Roman" w:hAnsi="Times New Roman"/>
          <w:bCs/>
          <w:noProof w:val="0"/>
        </w:rPr>
        <w:t xml:space="preserve"> </w:t>
      </w:r>
      <w:r w:rsidR="00A6193D">
        <w:rPr>
          <w:rFonts w:ascii="Times New Roman" w:hAnsi="Times New Roman"/>
          <w:bCs/>
          <w:noProof w:val="0"/>
        </w:rPr>
        <w:t>A</w:t>
      </w:r>
      <w:r w:rsidR="00EC45CB">
        <w:rPr>
          <w:rFonts w:ascii="Times New Roman" w:hAnsi="Times New Roman"/>
          <w:bCs/>
          <w:noProof w:val="0"/>
        </w:rPr>
        <w:t>lcohol use might also be elevated due to</w:t>
      </w:r>
      <w:r w:rsidR="00FE74A4">
        <w:rPr>
          <w:rFonts w:ascii="Times New Roman" w:hAnsi="Times New Roman"/>
          <w:bCs/>
          <w:noProof w:val="0"/>
        </w:rPr>
        <w:t xml:space="preserve"> perce</w:t>
      </w:r>
      <w:r w:rsidR="00D31801">
        <w:rPr>
          <w:rFonts w:ascii="Times New Roman" w:hAnsi="Times New Roman"/>
          <w:bCs/>
          <w:noProof w:val="0"/>
        </w:rPr>
        <w:t>ptions</w:t>
      </w:r>
      <w:r w:rsidR="00FE74A4">
        <w:rPr>
          <w:rFonts w:ascii="Times New Roman" w:hAnsi="Times New Roman"/>
          <w:bCs/>
          <w:noProof w:val="0"/>
        </w:rPr>
        <w:t xml:space="preserve"> that bars and clubs are the only social spaces earmarked </w:t>
      </w:r>
      <w:r w:rsidR="00EC45CB">
        <w:rPr>
          <w:rFonts w:ascii="Times New Roman" w:hAnsi="Times New Roman"/>
          <w:bCs/>
          <w:noProof w:val="0"/>
        </w:rPr>
        <w:t xml:space="preserve">specifically </w:t>
      </w:r>
      <w:r w:rsidR="00FE74A4">
        <w:rPr>
          <w:rFonts w:ascii="Times New Roman" w:hAnsi="Times New Roman"/>
          <w:bCs/>
          <w:noProof w:val="0"/>
        </w:rPr>
        <w:t>for sexual minority individuals (Balsam et al.</w:t>
      </w:r>
      <w:r w:rsidR="00C24D29">
        <w:rPr>
          <w:rFonts w:ascii="Times New Roman" w:hAnsi="Times New Roman"/>
          <w:bCs/>
          <w:noProof w:val="0"/>
        </w:rPr>
        <w:t>,</w:t>
      </w:r>
      <w:r w:rsidR="00FE74A4">
        <w:rPr>
          <w:rFonts w:ascii="Times New Roman" w:hAnsi="Times New Roman"/>
          <w:bCs/>
          <w:noProof w:val="0"/>
        </w:rPr>
        <w:t xml:space="preserve"> 2012). </w:t>
      </w:r>
      <w:r w:rsidR="001321C1">
        <w:rPr>
          <w:rFonts w:ascii="Times New Roman" w:hAnsi="Times New Roman"/>
          <w:bCs/>
          <w:noProof w:val="0"/>
        </w:rPr>
        <w:t>Supportive</w:t>
      </w:r>
      <w:r w:rsidR="00EC45CB">
        <w:rPr>
          <w:rFonts w:ascii="Times New Roman" w:hAnsi="Times New Roman"/>
          <w:bCs/>
          <w:noProof w:val="0"/>
        </w:rPr>
        <w:t xml:space="preserve"> family relationships, in contrast, </w:t>
      </w:r>
      <w:r w:rsidR="001321C1">
        <w:rPr>
          <w:rFonts w:ascii="Times New Roman" w:hAnsi="Times New Roman"/>
          <w:bCs/>
          <w:noProof w:val="0"/>
        </w:rPr>
        <w:t>may reduce the risk for smoking in LGB youth (Newcomb et al.</w:t>
      </w:r>
      <w:r w:rsidR="00C24D29">
        <w:rPr>
          <w:rFonts w:ascii="Times New Roman" w:hAnsi="Times New Roman"/>
          <w:bCs/>
          <w:noProof w:val="0"/>
        </w:rPr>
        <w:t>,</w:t>
      </w:r>
      <w:r w:rsidR="001321C1">
        <w:rPr>
          <w:rFonts w:ascii="Times New Roman" w:hAnsi="Times New Roman"/>
          <w:bCs/>
          <w:noProof w:val="0"/>
        </w:rPr>
        <w:t xml:space="preserve"> 2014</w:t>
      </w:r>
      <w:r w:rsidR="00D31801">
        <w:rPr>
          <w:rFonts w:ascii="Times New Roman" w:hAnsi="Times New Roman"/>
          <w:bCs/>
          <w:noProof w:val="0"/>
        </w:rPr>
        <w:t>; Ryan et al., 2010</w:t>
      </w:r>
      <w:r w:rsidR="001321C1">
        <w:rPr>
          <w:rFonts w:ascii="Times New Roman" w:hAnsi="Times New Roman"/>
          <w:bCs/>
          <w:noProof w:val="0"/>
        </w:rPr>
        <w:t xml:space="preserve">). </w:t>
      </w:r>
    </w:p>
    <w:p w14:paraId="238865F2" w14:textId="77777777" w:rsidR="00FE74A4" w:rsidRDefault="00FE74A4" w:rsidP="005B56A2">
      <w:pPr>
        <w:contextualSpacing/>
        <w:jc w:val="both"/>
        <w:rPr>
          <w:rFonts w:ascii="Times New Roman" w:hAnsi="Times New Roman"/>
          <w:bCs/>
          <w:noProof w:val="0"/>
        </w:rPr>
      </w:pPr>
    </w:p>
    <w:p w14:paraId="42BBC8AF" w14:textId="5A07B9E4" w:rsidR="00F91AD1" w:rsidRDefault="00FE74A4" w:rsidP="005B56A2">
      <w:pPr>
        <w:contextualSpacing/>
        <w:jc w:val="both"/>
        <w:rPr>
          <w:rFonts w:ascii="Times New Roman" w:hAnsi="Times New Roman"/>
          <w:bCs/>
          <w:noProof w:val="0"/>
        </w:rPr>
      </w:pPr>
      <w:r w:rsidRPr="00F91AD1">
        <w:rPr>
          <w:rFonts w:ascii="Times New Roman" w:hAnsi="Times New Roman"/>
          <w:bCs/>
          <w:noProof w:val="0"/>
        </w:rPr>
        <w:t>Increasingly</w:t>
      </w:r>
      <w:r w:rsidR="00EC45CB">
        <w:rPr>
          <w:rFonts w:ascii="Times New Roman" w:hAnsi="Times New Roman"/>
          <w:bCs/>
          <w:noProof w:val="0"/>
        </w:rPr>
        <w:t xml:space="preserve"> health</w:t>
      </w:r>
      <w:r w:rsidRPr="00F91AD1">
        <w:rPr>
          <w:rFonts w:ascii="Times New Roman" w:hAnsi="Times New Roman"/>
          <w:bCs/>
          <w:noProof w:val="0"/>
        </w:rPr>
        <w:t xml:space="preserve"> researchers are seeking to measure the contextual (i.e., non-individual) determinants of minority stress affecting LGB populations. </w:t>
      </w:r>
      <w:r w:rsidR="00AD06E7" w:rsidRPr="00F91AD1">
        <w:rPr>
          <w:rFonts w:ascii="Times New Roman" w:hAnsi="Times New Roman"/>
          <w:bCs/>
          <w:noProof w:val="0"/>
        </w:rPr>
        <w:t>Minority stress is to some extent rooted in policies and social mores (</w:t>
      </w:r>
      <w:proofErr w:type="spellStart"/>
      <w:r w:rsidR="00AD06E7" w:rsidRPr="00F91AD1">
        <w:rPr>
          <w:rFonts w:ascii="Times New Roman" w:hAnsi="Times New Roman"/>
          <w:bCs/>
          <w:noProof w:val="0"/>
        </w:rPr>
        <w:t>Hatzenbuehler</w:t>
      </w:r>
      <w:proofErr w:type="spellEnd"/>
      <w:r w:rsidR="00AD06E7" w:rsidRPr="00F91AD1">
        <w:rPr>
          <w:rFonts w:ascii="Times New Roman" w:hAnsi="Times New Roman"/>
          <w:bCs/>
          <w:noProof w:val="0"/>
        </w:rPr>
        <w:t xml:space="preserve"> et al.</w:t>
      </w:r>
      <w:r w:rsidR="00C24D29">
        <w:rPr>
          <w:rFonts w:ascii="Times New Roman" w:hAnsi="Times New Roman"/>
          <w:bCs/>
          <w:noProof w:val="0"/>
        </w:rPr>
        <w:t>,</w:t>
      </w:r>
      <w:r w:rsidR="00AD06E7" w:rsidRPr="00F91AD1">
        <w:rPr>
          <w:rFonts w:ascii="Times New Roman" w:hAnsi="Times New Roman"/>
          <w:bCs/>
          <w:noProof w:val="0"/>
        </w:rPr>
        <w:t xml:space="preserve"> 2009), and these are in turn mediated by place (Lewis</w:t>
      </w:r>
      <w:r w:rsidR="00C24D29">
        <w:rPr>
          <w:rFonts w:ascii="Times New Roman" w:hAnsi="Times New Roman"/>
          <w:bCs/>
          <w:noProof w:val="0"/>
        </w:rPr>
        <w:t>,</w:t>
      </w:r>
      <w:r w:rsidR="00AD06E7" w:rsidRPr="00F91AD1">
        <w:rPr>
          <w:rFonts w:ascii="Times New Roman" w:hAnsi="Times New Roman"/>
          <w:bCs/>
          <w:noProof w:val="0"/>
        </w:rPr>
        <w:t xml:space="preserve"> 2009). </w:t>
      </w:r>
      <w:r w:rsidR="001321C1" w:rsidRPr="00F91AD1">
        <w:rPr>
          <w:rFonts w:ascii="Times New Roman" w:hAnsi="Times New Roman"/>
          <w:bCs/>
          <w:noProof w:val="0"/>
        </w:rPr>
        <w:t>Consequently, the level of stress that LGB youth experience may be informed by religiou</w:t>
      </w:r>
      <w:r w:rsidR="00EC45CB">
        <w:rPr>
          <w:rFonts w:ascii="Times New Roman" w:hAnsi="Times New Roman"/>
          <w:bCs/>
          <w:noProof w:val="0"/>
        </w:rPr>
        <w:t>s climate (</w:t>
      </w:r>
      <w:proofErr w:type="spellStart"/>
      <w:r w:rsidR="00EC45CB">
        <w:rPr>
          <w:rFonts w:ascii="Times New Roman" w:hAnsi="Times New Roman"/>
          <w:bCs/>
          <w:noProof w:val="0"/>
        </w:rPr>
        <w:t>Hatzenbuehler</w:t>
      </w:r>
      <w:proofErr w:type="spellEnd"/>
      <w:r w:rsidR="00EC45CB">
        <w:rPr>
          <w:rFonts w:ascii="Times New Roman" w:hAnsi="Times New Roman"/>
          <w:bCs/>
          <w:noProof w:val="0"/>
        </w:rPr>
        <w:t xml:space="preserve"> et al.</w:t>
      </w:r>
      <w:r w:rsidR="00C24D29">
        <w:rPr>
          <w:rFonts w:ascii="Times New Roman" w:hAnsi="Times New Roman"/>
          <w:bCs/>
          <w:noProof w:val="0"/>
        </w:rPr>
        <w:t>,</w:t>
      </w:r>
      <w:r w:rsidR="00EC45CB">
        <w:rPr>
          <w:rFonts w:ascii="Times New Roman" w:hAnsi="Times New Roman"/>
          <w:bCs/>
          <w:noProof w:val="0"/>
        </w:rPr>
        <w:t xml:space="preserve"> 2012), </w:t>
      </w:r>
      <w:r w:rsidR="001321C1" w:rsidRPr="00F91AD1">
        <w:rPr>
          <w:rFonts w:ascii="Times New Roman" w:hAnsi="Times New Roman"/>
          <w:bCs/>
          <w:noProof w:val="0"/>
        </w:rPr>
        <w:t>policies that discriminate against sexual m</w:t>
      </w:r>
      <w:r w:rsidR="00EC45CB">
        <w:rPr>
          <w:rFonts w:ascii="Times New Roman" w:hAnsi="Times New Roman"/>
          <w:bCs/>
          <w:noProof w:val="0"/>
        </w:rPr>
        <w:t>inorities (</w:t>
      </w:r>
      <w:proofErr w:type="spellStart"/>
      <w:r w:rsidR="00EC45CB">
        <w:rPr>
          <w:rFonts w:ascii="Times New Roman" w:hAnsi="Times New Roman"/>
          <w:bCs/>
          <w:noProof w:val="0"/>
        </w:rPr>
        <w:t>Hatzenbuehler</w:t>
      </w:r>
      <w:proofErr w:type="spellEnd"/>
      <w:r w:rsidR="00EC45CB">
        <w:rPr>
          <w:rFonts w:ascii="Times New Roman" w:hAnsi="Times New Roman"/>
          <w:bCs/>
          <w:noProof w:val="0"/>
        </w:rPr>
        <w:t xml:space="preserve"> et al.</w:t>
      </w:r>
      <w:r w:rsidR="00EF7108">
        <w:rPr>
          <w:rFonts w:ascii="Times New Roman" w:hAnsi="Times New Roman"/>
          <w:bCs/>
          <w:noProof w:val="0"/>
        </w:rPr>
        <w:t xml:space="preserve"> 2009), or other place-level factors. </w:t>
      </w:r>
      <w:proofErr w:type="spellStart"/>
      <w:r w:rsidR="00EC4050" w:rsidRPr="00F91AD1">
        <w:rPr>
          <w:rFonts w:ascii="Times New Roman" w:hAnsi="Times New Roman"/>
          <w:bCs/>
          <w:noProof w:val="0"/>
        </w:rPr>
        <w:t>Hatzenbuehler</w:t>
      </w:r>
      <w:proofErr w:type="spellEnd"/>
      <w:r w:rsidR="00EC4050" w:rsidRPr="00F91AD1">
        <w:rPr>
          <w:rFonts w:ascii="Times New Roman" w:hAnsi="Times New Roman"/>
          <w:bCs/>
          <w:noProof w:val="0"/>
        </w:rPr>
        <w:t xml:space="preserve"> et al. (2014)</w:t>
      </w:r>
      <w:r w:rsidR="00A619EA">
        <w:rPr>
          <w:rFonts w:ascii="Times New Roman" w:hAnsi="Times New Roman"/>
          <w:bCs/>
          <w:noProof w:val="0"/>
        </w:rPr>
        <w:t>, for example,</w:t>
      </w:r>
      <w:r w:rsidR="00EC4050" w:rsidRPr="00F91AD1">
        <w:rPr>
          <w:rFonts w:ascii="Times New Roman" w:hAnsi="Times New Roman"/>
          <w:bCs/>
          <w:noProof w:val="0"/>
        </w:rPr>
        <w:t xml:space="preserve"> found </w:t>
      </w:r>
      <w:r w:rsidR="00F91AD1">
        <w:rPr>
          <w:rFonts w:ascii="Times New Roman" w:hAnsi="Times New Roman"/>
          <w:bCs/>
          <w:noProof w:val="0"/>
        </w:rPr>
        <w:t xml:space="preserve">that </w:t>
      </w:r>
      <w:r w:rsidR="00F91AD1" w:rsidRPr="00F91AD1">
        <w:rPr>
          <w:rFonts w:ascii="Times New Roman" w:hAnsi="Times New Roman"/>
          <w:bCs/>
          <w:noProof w:val="0"/>
        </w:rPr>
        <w:t xml:space="preserve">LGB youth </w:t>
      </w:r>
      <w:r w:rsidR="00F91AD1">
        <w:rPr>
          <w:rFonts w:ascii="Times New Roman" w:hAnsi="Times New Roman"/>
          <w:bCs/>
          <w:noProof w:val="0"/>
        </w:rPr>
        <w:t>were</w:t>
      </w:r>
      <w:r w:rsidR="00F91AD1" w:rsidRPr="00F91AD1">
        <w:rPr>
          <w:rFonts w:ascii="Times New Roman" w:hAnsi="Times New Roman"/>
          <w:bCs/>
          <w:noProof w:val="0"/>
        </w:rPr>
        <w:t xml:space="preserve"> less </w:t>
      </w:r>
      <w:r w:rsidR="00F91AD1">
        <w:rPr>
          <w:rFonts w:ascii="Times New Roman" w:hAnsi="Times New Roman"/>
          <w:bCs/>
          <w:noProof w:val="0"/>
        </w:rPr>
        <w:t xml:space="preserve">likely to smoke </w:t>
      </w:r>
      <w:r w:rsidR="00F91AD1" w:rsidRPr="00F91AD1">
        <w:rPr>
          <w:rFonts w:ascii="Times New Roman" w:hAnsi="Times New Roman"/>
          <w:bCs/>
          <w:noProof w:val="0"/>
        </w:rPr>
        <w:t xml:space="preserve">in </w:t>
      </w:r>
      <w:r w:rsidR="00F91AD1">
        <w:rPr>
          <w:rFonts w:ascii="Times New Roman" w:hAnsi="Times New Roman"/>
          <w:bCs/>
          <w:noProof w:val="0"/>
        </w:rPr>
        <w:t xml:space="preserve">jurisdictions with policies that explicitly prohibited discrimination against sexual minorities but found no such association in heterosexual youth </w:t>
      </w:r>
      <w:r w:rsidR="00F91AD1" w:rsidRPr="00F91AD1">
        <w:rPr>
          <w:rFonts w:ascii="Times New Roman" w:hAnsi="Times New Roman"/>
          <w:bCs/>
          <w:noProof w:val="0"/>
        </w:rPr>
        <w:t>(</w:t>
      </w:r>
      <w:proofErr w:type="spellStart"/>
      <w:r w:rsidR="00F91AD1" w:rsidRPr="00F91AD1">
        <w:rPr>
          <w:rFonts w:ascii="Times New Roman" w:hAnsi="Times New Roman"/>
          <w:bCs/>
          <w:noProof w:val="0"/>
        </w:rPr>
        <w:t>Hatzenbuehler</w:t>
      </w:r>
      <w:proofErr w:type="spellEnd"/>
      <w:r w:rsidR="00F91AD1" w:rsidRPr="00F91AD1">
        <w:rPr>
          <w:rFonts w:ascii="Times New Roman" w:hAnsi="Times New Roman"/>
          <w:bCs/>
          <w:noProof w:val="0"/>
        </w:rPr>
        <w:t xml:space="preserve"> et al.</w:t>
      </w:r>
      <w:r w:rsidR="00C24D29">
        <w:rPr>
          <w:rFonts w:ascii="Times New Roman" w:hAnsi="Times New Roman"/>
          <w:bCs/>
          <w:noProof w:val="0"/>
        </w:rPr>
        <w:t>,</w:t>
      </w:r>
      <w:r w:rsidR="00F91AD1" w:rsidRPr="00F91AD1">
        <w:rPr>
          <w:rFonts w:ascii="Times New Roman" w:hAnsi="Times New Roman"/>
          <w:bCs/>
          <w:noProof w:val="0"/>
        </w:rPr>
        <w:t xml:space="preserve"> 2014)</w:t>
      </w:r>
      <w:r w:rsidR="00F91AD1">
        <w:rPr>
          <w:rFonts w:ascii="Times New Roman" w:hAnsi="Times New Roman"/>
          <w:bCs/>
          <w:noProof w:val="0"/>
        </w:rPr>
        <w:t xml:space="preserve">. </w:t>
      </w:r>
      <w:r w:rsidR="00D45B2C">
        <w:rPr>
          <w:rFonts w:ascii="Times New Roman" w:hAnsi="Times New Roman"/>
          <w:bCs/>
          <w:noProof w:val="0"/>
        </w:rPr>
        <w:t>Similarly</w:t>
      </w:r>
      <w:r w:rsidR="00D45B2C" w:rsidRPr="00F91AD1">
        <w:rPr>
          <w:rFonts w:ascii="Times New Roman" w:hAnsi="Times New Roman"/>
          <w:bCs/>
          <w:noProof w:val="0"/>
        </w:rPr>
        <w:t xml:space="preserve">, communities with </w:t>
      </w:r>
      <w:r w:rsidR="00D45B2C">
        <w:rPr>
          <w:rFonts w:ascii="Times New Roman" w:hAnsi="Times New Roman"/>
          <w:bCs/>
          <w:noProof w:val="0"/>
        </w:rPr>
        <w:t>higher concentrations</w:t>
      </w:r>
      <w:r w:rsidR="00D45B2C" w:rsidRPr="00F91AD1">
        <w:rPr>
          <w:rFonts w:ascii="Times New Roman" w:hAnsi="Times New Roman"/>
          <w:bCs/>
          <w:noProof w:val="0"/>
        </w:rPr>
        <w:t xml:space="preserve"> of LGB people (</w:t>
      </w:r>
      <w:proofErr w:type="spellStart"/>
      <w:r w:rsidR="00D45B2C" w:rsidRPr="00F91AD1">
        <w:rPr>
          <w:rFonts w:ascii="Times New Roman" w:hAnsi="Times New Roman"/>
          <w:bCs/>
          <w:noProof w:val="0"/>
        </w:rPr>
        <w:t>Hatzenbuehler</w:t>
      </w:r>
      <w:proofErr w:type="spellEnd"/>
      <w:r w:rsidR="00D45B2C" w:rsidRPr="00F91AD1">
        <w:rPr>
          <w:rFonts w:ascii="Times New Roman" w:hAnsi="Times New Roman"/>
          <w:bCs/>
          <w:noProof w:val="0"/>
        </w:rPr>
        <w:t xml:space="preserve"> et al.</w:t>
      </w:r>
      <w:r w:rsidR="00D45B2C">
        <w:rPr>
          <w:rFonts w:ascii="Times New Roman" w:hAnsi="Times New Roman"/>
          <w:bCs/>
          <w:noProof w:val="0"/>
        </w:rPr>
        <w:t>,</w:t>
      </w:r>
      <w:r w:rsidR="00D45B2C" w:rsidRPr="00F91AD1">
        <w:rPr>
          <w:rFonts w:ascii="Times New Roman" w:hAnsi="Times New Roman"/>
          <w:bCs/>
          <w:noProof w:val="0"/>
        </w:rPr>
        <w:t xml:space="preserve"> 2011) or </w:t>
      </w:r>
      <w:r w:rsidR="00D45B2C">
        <w:rPr>
          <w:rFonts w:ascii="Times New Roman" w:hAnsi="Times New Roman"/>
          <w:bCs/>
          <w:noProof w:val="0"/>
        </w:rPr>
        <w:t xml:space="preserve">LGB </w:t>
      </w:r>
      <w:r w:rsidR="00D45B2C" w:rsidRPr="00F91AD1">
        <w:rPr>
          <w:rFonts w:ascii="Times New Roman" w:hAnsi="Times New Roman"/>
          <w:bCs/>
          <w:noProof w:val="0"/>
        </w:rPr>
        <w:t>organizations (</w:t>
      </w:r>
      <w:proofErr w:type="spellStart"/>
      <w:r w:rsidR="00D45B2C" w:rsidRPr="00F91AD1">
        <w:rPr>
          <w:rFonts w:ascii="Times New Roman" w:hAnsi="Times New Roman"/>
          <w:bCs/>
          <w:noProof w:val="0"/>
        </w:rPr>
        <w:t>Mustanski</w:t>
      </w:r>
      <w:proofErr w:type="spellEnd"/>
      <w:r w:rsidR="00D45B2C" w:rsidRPr="00F91AD1">
        <w:rPr>
          <w:rFonts w:ascii="Times New Roman" w:hAnsi="Times New Roman"/>
          <w:bCs/>
          <w:noProof w:val="0"/>
        </w:rPr>
        <w:t xml:space="preserve"> et al.</w:t>
      </w:r>
      <w:r w:rsidR="00D45B2C">
        <w:rPr>
          <w:rFonts w:ascii="Times New Roman" w:hAnsi="Times New Roman"/>
          <w:bCs/>
          <w:noProof w:val="0"/>
        </w:rPr>
        <w:t>,</w:t>
      </w:r>
      <w:r w:rsidR="00D45B2C" w:rsidRPr="00F91AD1">
        <w:rPr>
          <w:rFonts w:ascii="Times New Roman" w:hAnsi="Times New Roman"/>
          <w:bCs/>
          <w:noProof w:val="0"/>
        </w:rPr>
        <w:t xml:space="preserve"> 2013)</w:t>
      </w:r>
      <w:r w:rsidR="00D45B2C">
        <w:rPr>
          <w:rFonts w:ascii="Times New Roman" w:hAnsi="Times New Roman"/>
          <w:bCs/>
          <w:noProof w:val="0"/>
        </w:rPr>
        <w:t xml:space="preserve"> may also have a protective effect on the mental health and substance use behaviors of LGB youth)</w:t>
      </w:r>
      <w:r w:rsidR="00D45B2C" w:rsidRPr="00F91AD1">
        <w:rPr>
          <w:rFonts w:ascii="Times New Roman" w:hAnsi="Times New Roman"/>
          <w:bCs/>
          <w:noProof w:val="0"/>
        </w:rPr>
        <w:t>.</w:t>
      </w:r>
    </w:p>
    <w:p w14:paraId="390EBE43" w14:textId="77777777" w:rsidR="001321C1" w:rsidRDefault="001321C1" w:rsidP="005B56A2">
      <w:pPr>
        <w:contextualSpacing/>
        <w:jc w:val="both"/>
        <w:rPr>
          <w:rFonts w:ascii="Times New Roman" w:hAnsi="Times New Roman"/>
          <w:bCs/>
          <w:noProof w:val="0"/>
        </w:rPr>
      </w:pPr>
    </w:p>
    <w:p w14:paraId="35534BDF" w14:textId="27EF3E50" w:rsidR="00D45B2C" w:rsidRDefault="00F91AD1" w:rsidP="005B56A2">
      <w:pPr>
        <w:contextualSpacing/>
        <w:jc w:val="both"/>
        <w:rPr>
          <w:rFonts w:ascii="Times New Roman" w:hAnsi="Times New Roman"/>
          <w:bCs/>
          <w:noProof w:val="0"/>
        </w:rPr>
      </w:pPr>
      <w:r w:rsidRPr="00D2262B">
        <w:rPr>
          <w:rFonts w:ascii="Times New Roman" w:hAnsi="Times New Roman"/>
          <w:bCs/>
          <w:noProof w:val="0"/>
        </w:rPr>
        <w:t>Historical time</w:t>
      </w:r>
      <w:r w:rsidR="00387CFC" w:rsidRPr="00D2262B">
        <w:rPr>
          <w:rFonts w:ascii="Times New Roman" w:hAnsi="Times New Roman"/>
          <w:bCs/>
          <w:noProof w:val="0"/>
        </w:rPr>
        <w:t xml:space="preserve"> is an important but often overlooked mediator of th</w:t>
      </w:r>
      <w:r w:rsidR="00E76D75" w:rsidRPr="00D2262B">
        <w:rPr>
          <w:rFonts w:ascii="Times New Roman" w:hAnsi="Times New Roman"/>
          <w:bCs/>
          <w:noProof w:val="0"/>
        </w:rPr>
        <w:t>ese contextual factors</w:t>
      </w:r>
      <w:r w:rsidR="000A75A8">
        <w:rPr>
          <w:rFonts w:ascii="Times New Roman" w:hAnsi="Times New Roman"/>
          <w:bCs/>
          <w:noProof w:val="0"/>
        </w:rPr>
        <w:t xml:space="preserve">. </w:t>
      </w:r>
      <w:r w:rsidR="003E2A9C" w:rsidRPr="003E2A9C">
        <w:rPr>
          <w:rFonts w:ascii="Times New Roman" w:hAnsi="Times New Roman"/>
          <w:bCs/>
          <w:noProof w:val="0"/>
        </w:rPr>
        <w:t>Although new legal equalities and increasing social acceptance for LGBTQ people have precipitated a more positive discourse for and about LGB youth, disparities between LGB and heterosexual youth remain for smoking and other health outcomes (Homma et al., 2016; Fish et al., 2017)</w:t>
      </w:r>
      <w:r w:rsidR="003E2A9C">
        <w:rPr>
          <w:rFonts w:ascii="Times New Roman" w:hAnsi="Times New Roman"/>
          <w:bCs/>
          <w:noProof w:val="0"/>
        </w:rPr>
        <w:t>.</w:t>
      </w:r>
      <w:r w:rsidR="00D45B2C">
        <w:rPr>
          <w:rFonts w:ascii="Times New Roman" w:hAnsi="Times New Roman"/>
          <w:bCs/>
          <w:noProof w:val="0"/>
        </w:rPr>
        <w:t xml:space="preserve"> </w:t>
      </w:r>
      <w:r w:rsidR="00CB4815" w:rsidRPr="007953DF">
        <w:rPr>
          <w:rFonts w:ascii="Times New Roman" w:hAnsi="Times New Roman"/>
          <w:bCs/>
          <w:noProof w:val="0"/>
        </w:rPr>
        <w:t xml:space="preserve">At the same time, </w:t>
      </w:r>
      <w:r w:rsidR="00CB4815">
        <w:rPr>
          <w:rFonts w:ascii="Times New Roman" w:hAnsi="Times New Roman"/>
          <w:bCs/>
          <w:noProof w:val="0"/>
        </w:rPr>
        <w:t xml:space="preserve">legal equalities such as </w:t>
      </w:r>
      <w:r w:rsidR="00CB4815" w:rsidRPr="007953DF">
        <w:rPr>
          <w:rFonts w:ascii="Times New Roman" w:hAnsi="Times New Roman"/>
          <w:bCs/>
          <w:noProof w:val="0"/>
        </w:rPr>
        <w:t xml:space="preserve">same-sex marriage </w:t>
      </w:r>
      <w:r w:rsidR="00CB4815">
        <w:rPr>
          <w:rFonts w:ascii="Times New Roman" w:hAnsi="Times New Roman"/>
          <w:bCs/>
          <w:noProof w:val="0"/>
        </w:rPr>
        <w:t>may have</w:t>
      </w:r>
      <w:r w:rsidR="00CB4815" w:rsidRPr="007953DF">
        <w:rPr>
          <w:rFonts w:ascii="Times New Roman" w:hAnsi="Times New Roman"/>
          <w:bCs/>
          <w:noProof w:val="0"/>
        </w:rPr>
        <w:t xml:space="preserve"> less meaning for LGB youth who are at relatively early developmental stages</w:t>
      </w:r>
      <w:r w:rsidR="00CB4815">
        <w:rPr>
          <w:rFonts w:ascii="Times New Roman" w:hAnsi="Times New Roman"/>
          <w:bCs/>
          <w:noProof w:val="0"/>
        </w:rPr>
        <w:t>. M</w:t>
      </w:r>
      <w:r w:rsidR="00CB4815" w:rsidRPr="007953DF">
        <w:rPr>
          <w:rFonts w:ascii="Times New Roman" w:hAnsi="Times New Roman"/>
          <w:bCs/>
          <w:noProof w:val="0"/>
        </w:rPr>
        <w:t xml:space="preserve">any </w:t>
      </w:r>
      <w:r w:rsidR="00CB4815">
        <w:rPr>
          <w:rFonts w:ascii="Times New Roman" w:hAnsi="Times New Roman"/>
          <w:bCs/>
          <w:noProof w:val="0"/>
        </w:rPr>
        <w:t>LGB youth</w:t>
      </w:r>
      <w:r w:rsidR="00CB4815" w:rsidRPr="007953DF">
        <w:rPr>
          <w:rFonts w:ascii="Times New Roman" w:hAnsi="Times New Roman"/>
          <w:bCs/>
          <w:noProof w:val="0"/>
        </w:rPr>
        <w:t xml:space="preserve"> may carry trauma from events </w:t>
      </w:r>
      <w:r w:rsidR="00CB4815">
        <w:rPr>
          <w:rFonts w:ascii="Times New Roman" w:hAnsi="Times New Roman"/>
          <w:bCs/>
          <w:noProof w:val="0"/>
        </w:rPr>
        <w:t xml:space="preserve">(e.g., school bullying or parental rejection) </w:t>
      </w:r>
      <w:r w:rsidR="00CB4815" w:rsidRPr="007953DF">
        <w:rPr>
          <w:rFonts w:ascii="Times New Roman" w:hAnsi="Times New Roman"/>
          <w:bCs/>
          <w:noProof w:val="0"/>
        </w:rPr>
        <w:t xml:space="preserve">that occurred </w:t>
      </w:r>
      <w:r w:rsidR="00CB4815">
        <w:rPr>
          <w:rFonts w:ascii="Times New Roman" w:hAnsi="Times New Roman"/>
          <w:bCs/>
          <w:noProof w:val="0"/>
        </w:rPr>
        <w:t>earlier in their lives</w:t>
      </w:r>
      <w:r w:rsidR="00CB4815" w:rsidRPr="007953DF">
        <w:rPr>
          <w:rFonts w:ascii="Times New Roman" w:hAnsi="Times New Roman"/>
          <w:bCs/>
          <w:noProof w:val="0"/>
        </w:rPr>
        <w:t xml:space="preserve"> or </w:t>
      </w:r>
      <w:r w:rsidR="00CB4815">
        <w:rPr>
          <w:rFonts w:ascii="Times New Roman" w:hAnsi="Times New Roman"/>
          <w:bCs/>
          <w:noProof w:val="0"/>
        </w:rPr>
        <w:t>that are</w:t>
      </w:r>
      <w:r w:rsidR="00CB4815" w:rsidRPr="007953DF">
        <w:rPr>
          <w:rFonts w:ascii="Times New Roman" w:hAnsi="Times New Roman"/>
          <w:bCs/>
          <w:noProof w:val="0"/>
        </w:rPr>
        <w:t xml:space="preserve"> relatively uninfluenced by policy changes (Newcomb et al.</w:t>
      </w:r>
      <w:r w:rsidR="00CB4815">
        <w:rPr>
          <w:rFonts w:ascii="Times New Roman" w:hAnsi="Times New Roman"/>
          <w:bCs/>
          <w:noProof w:val="0"/>
        </w:rPr>
        <w:t>,</w:t>
      </w:r>
      <w:r w:rsidR="00CB4815" w:rsidRPr="007953DF">
        <w:rPr>
          <w:rFonts w:ascii="Times New Roman" w:hAnsi="Times New Roman"/>
          <w:bCs/>
          <w:noProof w:val="0"/>
        </w:rPr>
        <w:t xml:space="preserve"> 2014; Homma et al.</w:t>
      </w:r>
      <w:r w:rsidR="00CB4815">
        <w:rPr>
          <w:rFonts w:ascii="Times New Roman" w:hAnsi="Times New Roman"/>
          <w:bCs/>
          <w:noProof w:val="0"/>
        </w:rPr>
        <w:t>,</w:t>
      </w:r>
      <w:r w:rsidR="00CB4815" w:rsidRPr="007953DF">
        <w:rPr>
          <w:rFonts w:ascii="Times New Roman" w:hAnsi="Times New Roman"/>
          <w:bCs/>
          <w:noProof w:val="0"/>
        </w:rPr>
        <w:t xml:space="preserve"> 2016</w:t>
      </w:r>
      <w:r w:rsidR="00CB4815">
        <w:rPr>
          <w:rFonts w:ascii="Times New Roman" w:hAnsi="Times New Roman"/>
          <w:bCs/>
          <w:noProof w:val="0"/>
        </w:rPr>
        <w:t>; Russell and Fish, 2016</w:t>
      </w:r>
      <w:r w:rsidR="00CB4815" w:rsidRPr="007953DF">
        <w:rPr>
          <w:rFonts w:ascii="Times New Roman" w:hAnsi="Times New Roman"/>
          <w:bCs/>
          <w:noProof w:val="0"/>
        </w:rPr>
        <w:t xml:space="preserve">). </w:t>
      </w:r>
    </w:p>
    <w:p w14:paraId="3169BC17" w14:textId="77777777" w:rsidR="00D45B2C" w:rsidRDefault="00D45B2C" w:rsidP="005B56A2">
      <w:pPr>
        <w:contextualSpacing/>
        <w:jc w:val="both"/>
        <w:rPr>
          <w:rFonts w:ascii="Times New Roman" w:hAnsi="Times New Roman"/>
          <w:bCs/>
          <w:noProof w:val="0"/>
        </w:rPr>
      </w:pPr>
    </w:p>
    <w:p w14:paraId="63939C60" w14:textId="486A4F1C" w:rsidR="007E1B06" w:rsidRDefault="00B35039" w:rsidP="005B56A2">
      <w:pPr>
        <w:contextualSpacing/>
        <w:jc w:val="both"/>
        <w:rPr>
          <w:rFonts w:ascii="Times New Roman" w:hAnsi="Times New Roman"/>
          <w:bCs/>
          <w:noProof w:val="0"/>
        </w:rPr>
      </w:pPr>
      <w:r w:rsidRPr="0064140D">
        <w:rPr>
          <w:rFonts w:ascii="Times New Roman" w:hAnsi="Times New Roman"/>
          <w:bCs/>
          <w:noProof w:val="0"/>
        </w:rPr>
        <w:t xml:space="preserve">Policies related to smoking have also changed. </w:t>
      </w:r>
      <w:r w:rsidR="0064140D">
        <w:rPr>
          <w:rFonts w:ascii="Times New Roman" w:hAnsi="Times New Roman"/>
          <w:bCs/>
          <w:noProof w:val="0"/>
        </w:rPr>
        <w:t>In the United States, the prevalence of smoking dropped from</w:t>
      </w:r>
      <w:r w:rsidR="0064140D" w:rsidRPr="0064140D">
        <w:rPr>
          <w:rFonts w:ascii="Times New Roman" w:hAnsi="Times New Roman"/>
          <w:bCs/>
          <w:noProof w:val="0"/>
        </w:rPr>
        <w:t xml:space="preserve"> 20.9% in 2005 to 16.8% in 2014</w:t>
      </w:r>
      <w:r w:rsidR="0064140D">
        <w:rPr>
          <w:rFonts w:ascii="Times New Roman" w:hAnsi="Times New Roman"/>
          <w:bCs/>
          <w:noProof w:val="0"/>
        </w:rPr>
        <w:t>, with the largest drop occurring in 2013–2014 (Jamal et al.</w:t>
      </w:r>
      <w:r w:rsidR="00C24D29">
        <w:rPr>
          <w:rFonts w:ascii="Times New Roman" w:hAnsi="Times New Roman"/>
          <w:bCs/>
          <w:noProof w:val="0"/>
        </w:rPr>
        <w:t>,</w:t>
      </w:r>
      <w:r w:rsidR="0064140D">
        <w:rPr>
          <w:rFonts w:ascii="Times New Roman" w:hAnsi="Times New Roman"/>
          <w:bCs/>
          <w:noProof w:val="0"/>
        </w:rPr>
        <w:t xml:space="preserve"> 2015). This change is attributable at least partially to the </w:t>
      </w:r>
      <w:r w:rsidRPr="0064140D">
        <w:rPr>
          <w:rFonts w:ascii="Times New Roman" w:hAnsi="Times New Roman"/>
          <w:bCs/>
          <w:noProof w:val="0"/>
        </w:rPr>
        <w:t xml:space="preserve">tobacco control efforts </w:t>
      </w:r>
      <w:r w:rsidR="0064140D">
        <w:rPr>
          <w:rFonts w:ascii="Times New Roman" w:hAnsi="Times New Roman"/>
          <w:bCs/>
          <w:noProof w:val="0"/>
        </w:rPr>
        <w:t xml:space="preserve">instituted in many states </w:t>
      </w:r>
      <w:r w:rsidR="00BF4802">
        <w:rPr>
          <w:rFonts w:ascii="Times New Roman" w:hAnsi="Times New Roman"/>
          <w:bCs/>
          <w:noProof w:val="0"/>
        </w:rPr>
        <w:t>starting in</w:t>
      </w:r>
      <w:r w:rsidR="004578F9">
        <w:rPr>
          <w:rFonts w:ascii="Times New Roman" w:hAnsi="Times New Roman"/>
          <w:bCs/>
          <w:noProof w:val="0"/>
        </w:rPr>
        <w:t xml:space="preserve"> </w:t>
      </w:r>
      <w:r w:rsidRPr="0064140D">
        <w:rPr>
          <w:rFonts w:ascii="Times New Roman" w:hAnsi="Times New Roman"/>
          <w:bCs/>
          <w:noProof w:val="0"/>
        </w:rPr>
        <w:t>2000. California</w:t>
      </w:r>
      <w:r w:rsidR="00D2262B" w:rsidRPr="0064140D">
        <w:rPr>
          <w:rFonts w:ascii="Times New Roman" w:hAnsi="Times New Roman"/>
          <w:bCs/>
          <w:noProof w:val="0"/>
        </w:rPr>
        <w:t>’s Tobacco C</w:t>
      </w:r>
      <w:r w:rsidRPr="0064140D">
        <w:rPr>
          <w:rFonts w:ascii="Times New Roman" w:hAnsi="Times New Roman"/>
          <w:bCs/>
          <w:noProof w:val="0"/>
        </w:rPr>
        <w:t xml:space="preserve">ontrol </w:t>
      </w:r>
      <w:r w:rsidR="00D2262B" w:rsidRPr="0064140D">
        <w:rPr>
          <w:rFonts w:ascii="Times New Roman" w:hAnsi="Times New Roman"/>
          <w:bCs/>
          <w:noProof w:val="0"/>
        </w:rPr>
        <w:t xml:space="preserve">Program, which included a </w:t>
      </w:r>
      <w:r w:rsidRPr="0064140D">
        <w:rPr>
          <w:rFonts w:ascii="Times New Roman" w:hAnsi="Times New Roman"/>
          <w:bCs/>
          <w:noProof w:val="0"/>
        </w:rPr>
        <w:t xml:space="preserve">media campaign, </w:t>
      </w:r>
      <w:r w:rsidR="000A75A8">
        <w:rPr>
          <w:rFonts w:ascii="Times New Roman" w:hAnsi="Times New Roman"/>
          <w:bCs/>
          <w:noProof w:val="0"/>
        </w:rPr>
        <w:t>bans on</w:t>
      </w:r>
      <w:r w:rsidR="00D2262B" w:rsidRPr="0064140D">
        <w:rPr>
          <w:rFonts w:ascii="Times New Roman" w:hAnsi="Times New Roman"/>
          <w:bCs/>
          <w:noProof w:val="0"/>
        </w:rPr>
        <w:t xml:space="preserve"> smoking</w:t>
      </w:r>
      <w:r w:rsidRPr="0064140D">
        <w:rPr>
          <w:rFonts w:ascii="Times New Roman" w:hAnsi="Times New Roman"/>
          <w:bCs/>
          <w:noProof w:val="0"/>
        </w:rPr>
        <w:t xml:space="preserve"> in </w:t>
      </w:r>
      <w:r w:rsidR="00D2262B" w:rsidRPr="0064140D">
        <w:rPr>
          <w:rFonts w:ascii="Times New Roman" w:hAnsi="Times New Roman"/>
          <w:bCs/>
          <w:noProof w:val="0"/>
        </w:rPr>
        <w:t xml:space="preserve">many </w:t>
      </w:r>
      <w:r w:rsidRPr="0064140D">
        <w:rPr>
          <w:rFonts w:ascii="Times New Roman" w:hAnsi="Times New Roman"/>
          <w:bCs/>
          <w:noProof w:val="0"/>
        </w:rPr>
        <w:t xml:space="preserve">public places, </w:t>
      </w:r>
      <w:r w:rsidR="00D2262B" w:rsidRPr="0064140D">
        <w:rPr>
          <w:rFonts w:ascii="Times New Roman" w:hAnsi="Times New Roman"/>
          <w:bCs/>
          <w:noProof w:val="0"/>
        </w:rPr>
        <w:t>and targeted youth prevention efforts</w:t>
      </w:r>
      <w:r w:rsidRPr="0064140D">
        <w:rPr>
          <w:rFonts w:ascii="Times New Roman" w:hAnsi="Times New Roman"/>
          <w:bCs/>
          <w:noProof w:val="0"/>
        </w:rPr>
        <w:t xml:space="preserve">, </w:t>
      </w:r>
      <w:r w:rsidR="00D2262B" w:rsidRPr="0064140D">
        <w:rPr>
          <w:rFonts w:ascii="Times New Roman" w:hAnsi="Times New Roman"/>
          <w:bCs/>
          <w:noProof w:val="0"/>
        </w:rPr>
        <w:t xml:space="preserve">was successful in reducing both smoking prevalence and cigarette consumption between 1998 and 2008 </w:t>
      </w:r>
      <w:r w:rsidRPr="0064140D">
        <w:rPr>
          <w:rFonts w:ascii="Times New Roman" w:hAnsi="Times New Roman"/>
          <w:bCs/>
          <w:noProof w:val="0"/>
        </w:rPr>
        <w:t xml:space="preserve">(Lightwood and </w:t>
      </w:r>
      <w:proofErr w:type="spellStart"/>
      <w:r w:rsidRPr="0064140D">
        <w:rPr>
          <w:rFonts w:ascii="Times New Roman" w:hAnsi="Times New Roman"/>
          <w:bCs/>
          <w:noProof w:val="0"/>
        </w:rPr>
        <w:t>Glantz</w:t>
      </w:r>
      <w:proofErr w:type="spellEnd"/>
      <w:r w:rsidR="004578F9">
        <w:rPr>
          <w:rFonts w:ascii="Times New Roman" w:hAnsi="Times New Roman"/>
          <w:bCs/>
          <w:noProof w:val="0"/>
        </w:rPr>
        <w:t>,</w:t>
      </w:r>
      <w:r w:rsidRPr="0064140D">
        <w:rPr>
          <w:rFonts w:ascii="Times New Roman" w:hAnsi="Times New Roman"/>
          <w:bCs/>
          <w:noProof w:val="0"/>
        </w:rPr>
        <w:t xml:space="preserve"> 2013).</w:t>
      </w:r>
      <w:r w:rsidR="00C24D29">
        <w:rPr>
          <w:rFonts w:ascii="Times New Roman" w:hAnsi="Times New Roman"/>
          <w:bCs/>
          <w:noProof w:val="0"/>
        </w:rPr>
        <w:t xml:space="preserve"> </w:t>
      </w:r>
      <w:r w:rsidR="00D2262B">
        <w:rPr>
          <w:rFonts w:ascii="Times New Roman" w:hAnsi="Times New Roman"/>
          <w:bCs/>
          <w:noProof w:val="0"/>
        </w:rPr>
        <w:t xml:space="preserve">Orbell et al. (2009) found that England’s </w:t>
      </w:r>
      <w:r w:rsidR="00793D72">
        <w:rPr>
          <w:rFonts w:ascii="Times New Roman" w:hAnsi="Times New Roman"/>
          <w:bCs/>
          <w:noProof w:val="0"/>
        </w:rPr>
        <w:t xml:space="preserve">2007 </w:t>
      </w:r>
      <w:r w:rsidR="00D2262B">
        <w:rPr>
          <w:rFonts w:ascii="Times New Roman" w:hAnsi="Times New Roman"/>
          <w:bCs/>
          <w:noProof w:val="0"/>
        </w:rPr>
        <w:t>ban on smoking in pubs</w:t>
      </w:r>
      <w:r w:rsidR="00793D72">
        <w:rPr>
          <w:rFonts w:ascii="Times New Roman" w:hAnsi="Times New Roman"/>
          <w:bCs/>
          <w:noProof w:val="0"/>
        </w:rPr>
        <w:t xml:space="preserve"> was </w:t>
      </w:r>
      <w:r w:rsidR="0064140D">
        <w:rPr>
          <w:rFonts w:ascii="Times New Roman" w:hAnsi="Times New Roman"/>
          <w:bCs/>
          <w:noProof w:val="0"/>
        </w:rPr>
        <w:t>a particularly</w:t>
      </w:r>
      <w:r w:rsidR="00793D72">
        <w:rPr>
          <w:rFonts w:ascii="Times New Roman" w:hAnsi="Times New Roman"/>
          <w:bCs/>
          <w:noProof w:val="0"/>
        </w:rPr>
        <w:t xml:space="preserve"> effective intervention, </w:t>
      </w:r>
      <w:r w:rsidR="000A75A8">
        <w:rPr>
          <w:rFonts w:ascii="Times New Roman" w:hAnsi="Times New Roman"/>
          <w:bCs/>
          <w:noProof w:val="0"/>
        </w:rPr>
        <w:t>with 15.5% of survey participants quitting smoking with</w:t>
      </w:r>
      <w:r w:rsidR="00BF4802">
        <w:rPr>
          <w:rFonts w:ascii="Times New Roman" w:hAnsi="Times New Roman"/>
          <w:bCs/>
          <w:noProof w:val="0"/>
        </w:rPr>
        <w:t>in</w:t>
      </w:r>
      <w:r w:rsidR="000A75A8">
        <w:rPr>
          <w:rFonts w:ascii="Times New Roman" w:hAnsi="Times New Roman"/>
          <w:bCs/>
          <w:noProof w:val="0"/>
        </w:rPr>
        <w:t xml:space="preserve"> 6 months of the ban despite some relapse in the following year. Bans on smoking in drinking venues are thought to be particularly effective because they help smokers to dissociate the activity from alcohol use (Marshall et al.</w:t>
      </w:r>
      <w:r w:rsidR="00C24D29">
        <w:rPr>
          <w:rFonts w:ascii="Times New Roman" w:hAnsi="Times New Roman"/>
          <w:bCs/>
          <w:noProof w:val="0"/>
        </w:rPr>
        <w:t xml:space="preserve">, 2009; Orbell et al., </w:t>
      </w:r>
      <w:r w:rsidR="000A75A8">
        <w:rPr>
          <w:rFonts w:ascii="Times New Roman" w:hAnsi="Times New Roman"/>
          <w:bCs/>
          <w:noProof w:val="0"/>
        </w:rPr>
        <w:t>2009).</w:t>
      </w:r>
    </w:p>
    <w:p w14:paraId="30E2EE43" w14:textId="77777777" w:rsidR="007E1B06" w:rsidRDefault="007E1B06" w:rsidP="005B56A2">
      <w:pPr>
        <w:contextualSpacing/>
        <w:jc w:val="both"/>
        <w:rPr>
          <w:rFonts w:ascii="Times New Roman" w:hAnsi="Times New Roman"/>
          <w:bCs/>
          <w:noProof w:val="0"/>
        </w:rPr>
      </w:pPr>
    </w:p>
    <w:p w14:paraId="53452180" w14:textId="2C15C016" w:rsidR="007953DF" w:rsidRDefault="007E1B06" w:rsidP="005B56A2">
      <w:pPr>
        <w:contextualSpacing/>
        <w:jc w:val="both"/>
        <w:rPr>
          <w:rFonts w:ascii="Times New Roman" w:hAnsi="Times New Roman"/>
          <w:bCs/>
          <w:noProof w:val="0"/>
        </w:rPr>
      </w:pPr>
      <w:r>
        <w:rPr>
          <w:rFonts w:ascii="Times New Roman" w:hAnsi="Times New Roman"/>
          <w:bCs/>
          <w:noProof w:val="0"/>
        </w:rPr>
        <w:lastRenderedPageBreak/>
        <w:t xml:space="preserve">Massachusetts, the site of the current study, has taken a strong stance on tobacco use. State residents voted to increase the cigarette tax to fund the Massachusetts Tobacco Cessation and Prevention (MTCP) Program in 1992 and for </w:t>
      </w:r>
      <w:r w:rsidR="009B1CEB" w:rsidRPr="004578F9">
        <w:rPr>
          <w:rFonts w:ascii="Times New Roman" w:hAnsi="Times New Roman"/>
          <w:bCs/>
          <w:noProof w:val="0"/>
        </w:rPr>
        <w:t>all</w:t>
      </w:r>
      <w:r>
        <w:rPr>
          <w:rFonts w:ascii="Times New Roman" w:hAnsi="Times New Roman"/>
          <w:bCs/>
          <w:noProof w:val="0"/>
        </w:rPr>
        <w:t xml:space="preserve"> tobacco revenues to fund tobacco control in 1999. </w:t>
      </w:r>
      <w:r w:rsidR="00EF7108">
        <w:rPr>
          <w:rFonts w:ascii="Times New Roman" w:hAnsi="Times New Roman"/>
          <w:bCs/>
          <w:noProof w:val="0"/>
        </w:rPr>
        <w:t xml:space="preserve">The state legislature banned smoking in all indoor workplaces in 2004 and mandated tobacco cessation coverage for all citizens receiving state-funded health care </w:t>
      </w:r>
      <w:r>
        <w:rPr>
          <w:rFonts w:ascii="Times New Roman" w:hAnsi="Times New Roman"/>
          <w:bCs/>
          <w:noProof w:val="0"/>
        </w:rPr>
        <w:t>(Aldrich et al.</w:t>
      </w:r>
      <w:r w:rsidR="00C24D29">
        <w:rPr>
          <w:rFonts w:ascii="Times New Roman" w:hAnsi="Times New Roman"/>
          <w:bCs/>
          <w:noProof w:val="0"/>
        </w:rPr>
        <w:t>,</w:t>
      </w:r>
      <w:r>
        <w:rPr>
          <w:rFonts w:ascii="Times New Roman" w:hAnsi="Times New Roman"/>
          <w:bCs/>
          <w:noProof w:val="0"/>
        </w:rPr>
        <w:t xml:space="preserve"> 2015).</w:t>
      </w:r>
      <w:r w:rsidR="00A9150C">
        <w:rPr>
          <w:rFonts w:ascii="Times New Roman" w:hAnsi="Times New Roman"/>
          <w:bCs/>
          <w:noProof w:val="0"/>
        </w:rPr>
        <w:t xml:space="preserve"> </w:t>
      </w:r>
      <w:r w:rsidR="004E0C93" w:rsidRPr="007953DF">
        <w:rPr>
          <w:rFonts w:ascii="Times New Roman" w:hAnsi="Times New Roman"/>
          <w:bCs/>
          <w:noProof w:val="0"/>
        </w:rPr>
        <w:t>Since many LGB youth continue to use smoking as a means of coping with the stressors of identity development or social exclusion</w:t>
      </w:r>
      <w:r w:rsidR="00383A2C">
        <w:rPr>
          <w:rFonts w:ascii="Times New Roman" w:hAnsi="Times New Roman"/>
          <w:bCs/>
          <w:noProof w:val="0"/>
        </w:rPr>
        <w:t xml:space="preserve"> (Rosario et al., 2011)</w:t>
      </w:r>
      <w:r w:rsidR="004E0C93" w:rsidRPr="007953DF">
        <w:rPr>
          <w:rFonts w:ascii="Times New Roman" w:hAnsi="Times New Roman"/>
          <w:bCs/>
          <w:noProof w:val="0"/>
        </w:rPr>
        <w:t xml:space="preserve">, broader tobacco control policies </w:t>
      </w:r>
      <w:r w:rsidR="00172E01">
        <w:rPr>
          <w:rFonts w:ascii="Times New Roman" w:hAnsi="Times New Roman"/>
          <w:bCs/>
          <w:noProof w:val="0"/>
        </w:rPr>
        <w:t xml:space="preserve">and school-based interventions </w:t>
      </w:r>
      <w:r w:rsidR="004E0C93" w:rsidRPr="007953DF">
        <w:rPr>
          <w:rFonts w:ascii="Times New Roman" w:hAnsi="Times New Roman"/>
          <w:bCs/>
          <w:noProof w:val="0"/>
        </w:rPr>
        <w:t xml:space="preserve">may have less of an effect on LGB youth compared to heterosexual youth. </w:t>
      </w:r>
      <w:r w:rsidR="007953DF" w:rsidRPr="007953DF">
        <w:rPr>
          <w:rFonts w:ascii="Times New Roman" w:hAnsi="Times New Roman"/>
          <w:bCs/>
          <w:noProof w:val="0"/>
        </w:rPr>
        <w:t xml:space="preserve">Temporal changes in smoking across sexual orientation groups are </w:t>
      </w:r>
      <w:r w:rsidR="007953DF">
        <w:rPr>
          <w:rFonts w:ascii="Times New Roman" w:hAnsi="Times New Roman"/>
          <w:bCs/>
          <w:noProof w:val="0"/>
        </w:rPr>
        <w:t>often</w:t>
      </w:r>
      <w:r w:rsidR="007953DF" w:rsidRPr="007953DF">
        <w:rPr>
          <w:rFonts w:ascii="Times New Roman" w:hAnsi="Times New Roman"/>
          <w:bCs/>
          <w:noProof w:val="0"/>
        </w:rPr>
        <w:t xml:space="preserve"> uneven</w:t>
      </w:r>
      <w:r w:rsidR="007953DF">
        <w:rPr>
          <w:rFonts w:ascii="Times New Roman" w:hAnsi="Times New Roman"/>
          <w:bCs/>
          <w:noProof w:val="0"/>
        </w:rPr>
        <w:t xml:space="preserve"> and inconsistent rather than downwardly convergent</w:t>
      </w:r>
      <w:r w:rsidR="00383A2C">
        <w:rPr>
          <w:rFonts w:ascii="Times New Roman" w:hAnsi="Times New Roman"/>
          <w:bCs/>
          <w:noProof w:val="0"/>
        </w:rPr>
        <w:t xml:space="preserve"> (Newcomb et al., 2014)</w:t>
      </w:r>
      <w:r w:rsidR="007953DF" w:rsidRPr="007953DF">
        <w:rPr>
          <w:rFonts w:ascii="Times New Roman" w:hAnsi="Times New Roman"/>
          <w:bCs/>
          <w:noProof w:val="0"/>
        </w:rPr>
        <w:t xml:space="preserve">. </w:t>
      </w:r>
      <w:r w:rsidR="007953DF">
        <w:rPr>
          <w:rFonts w:ascii="Times New Roman" w:hAnsi="Times New Roman"/>
          <w:bCs/>
          <w:noProof w:val="0"/>
        </w:rPr>
        <w:t>Homma et al. (2016) find in their study of Minnesota that the gap in smoking prevalence</w:t>
      </w:r>
      <w:r w:rsidR="009017B0">
        <w:rPr>
          <w:rFonts w:ascii="Times New Roman" w:hAnsi="Times New Roman"/>
          <w:bCs/>
          <w:noProof w:val="0"/>
        </w:rPr>
        <w:t xml:space="preserve"> </w:t>
      </w:r>
      <w:r w:rsidR="007953DF">
        <w:rPr>
          <w:rFonts w:ascii="Times New Roman" w:hAnsi="Times New Roman"/>
          <w:bCs/>
          <w:noProof w:val="0"/>
        </w:rPr>
        <w:t>between gay/lesbian and bisexual youth</w:t>
      </w:r>
      <w:r w:rsidR="007953DF" w:rsidRPr="007953DF">
        <w:rPr>
          <w:rFonts w:ascii="Times New Roman" w:hAnsi="Times New Roman"/>
          <w:bCs/>
          <w:noProof w:val="0"/>
        </w:rPr>
        <w:t xml:space="preserve"> widened between 1998 and 2004 </w:t>
      </w:r>
      <w:r w:rsidR="007953DF">
        <w:rPr>
          <w:rFonts w:ascii="Times New Roman" w:hAnsi="Times New Roman"/>
          <w:bCs/>
          <w:noProof w:val="0"/>
        </w:rPr>
        <w:t>and then</w:t>
      </w:r>
      <w:r w:rsidR="007953DF" w:rsidRPr="007953DF">
        <w:rPr>
          <w:rFonts w:ascii="Times New Roman" w:hAnsi="Times New Roman"/>
          <w:bCs/>
          <w:noProof w:val="0"/>
        </w:rPr>
        <w:t xml:space="preserve"> persisted </w:t>
      </w:r>
      <w:r w:rsidR="007953DF">
        <w:rPr>
          <w:rFonts w:ascii="Times New Roman" w:hAnsi="Times New Roman"/>
          <w:bCs/>
          <w:noProof w:val="0"/>
        </w:rPr>
        <w:t>from 2004–2010.</w:t>
      </w:r>
      <w:r w:rsidR="00F0775E">
        <w:rPr>
          <w:rFonts w:ascii="Times New Roman" w:hAnsi="Times New Roman"/>
          <w:bCs/>
          <w:noProof w:val="0"/>
        </w:rPr>
        <w:t xml:space="preserve"> We have designed a similar study with </w:t>
      </w:r>
      <w:r w:rsidR="00B105C7">
        <w:rPr>
          <w:rFonts w:ascii="Times New Roman" w:hAnsi="Times New Roman"/>
          <w:bCs/>
          <w:noProof w:val="0"/>
        </w:rPr>
        <w:t xml:space="preserve">representative </w:t>
      </w:r>
      <w:r w:rsidR="00F0775E">
        <w:rPr>
          <w:rFonts w:ascii="Times New Roman" w:hAnsi="Times New Roman"/>
          <w:bCs/>
          <w:noProof w:val="0"/>
        </w:rPr>
        <w:t>data from a different state to assess whether these trends are consistent.</w:t>
      </w:r>
    </w:p>
    <w:p w14:paraId="1E22FD8D" w14:textId="77777777" w:rsidR="00D103CD" w:rsidRDefault="00D103CD" w:rsidP="005B56A2">
      <w:pPr>
        <w:contextualSpacing/>
        <w:jc w:val="both"/>
        <w:rPr>
          <w:rFonts w:ascii="Times New Roman" w:hAnsi="Times New Roman"/>
          <w:b/>
          <w:bCs/>
          <w:noProof w:val="0"/>
        </w:rPr>
      </w:pPr>
    </w:p>
    <w:p w14:paraId="3F65B9BA" w14:textId="16444437" w:rsidR="007F7C8F" w:rsidRDefault="001C3FE5" w:rsidP="005B56A2">
      <w:pPr>
        <w:contextualSpacing/>
        <w:jc w:val="both"/>
        <w:rPr>
          <w:rFonts w:ascii="Times New Roman" w:hAnsi="Times New Roman"/>
          <w:b/>
          <w:bCs/>
          <w:noProof w:val="0"/>
        </w:rPr>
      </w:pPr>
      <w:r>
        <w:rPr>
          <w:rFonts w:ascii="Times New Roman" w:hAnsi="Times New Roman"/>
          <w:b/>
          <w:bCs/>
          <w:noProof w:val="0"/>
        </w:rPr>
        <w:t xml:space="preserve">2. </w:t>
      </w:r>
      <w:r w:rsidR="00DD6A81" w:rsidRPr="00516AF3">
        <w:rPr>
          <w:rFonts w:ascii="Times New Roman" w:hAnsi="Times New Roman"/>
          <w:b/>
          <w:bCs/>
          <w:noProof w:val="0"/>
        </w:rPr>
        <w:t>Method</w:t>
      </w:r>
    </w:p>
    <w:p w14:paraId="3C92F48E" w14:textId="77777777" w:rsidR="008C46FE" w:rsidRDefault="008C46FE" w:rsidP="005B56A2">
      <w:pPr>
        <w:contextualSpacing/>
        <w:jc w:val="both"/>
        <w:rPr>
          <w:rFonts w:ascii="Times New Roman" w:hAnsi="Times New Roman"/>
          <w:b/>
          <w:bCs/>
          <w:noProof w:val="0"/>
        </w:rPr>
      </w:pPr>
    </w:p>
    <w:p w14:paraId="6CBCB936" w14:textId="59F68CAF" w:rsidR="00DD6A81" w:rsidRPr="00302CCC" w:rsidRDefault="001C3FE5" w:rsidP="005B56A2">
      <w:pPr>
        <w:contextualSpacing/>
        <w:jc w:val="both"/>
        <w:rPr>
          <w:rFonts w:ascii="Times New Roman" w:hAnsi="Times New Roman"/>
          <w:b/>
          <w:bCs/>
          <w:i/>
          <w:noProof w:val="0"/>
        </w:rPr>
      </w:pPr>
      <w:r w:rsidRPr="00302CCC">
        <w:rPr>
          <w:rFonts w:ascii="Times New Roman" w:hAnsi="Times New Roman"/>
          <w:b/>
          <w:bCs/>
          <w:i/>
          <w:noProof w:val="0"/>
        </w:rPr>
        <w:t>2.1</w:t>
      </w:r>
      <w:r w:rsidR="00302CCC" w:rsidRPr="00302CCC">
        <w:rPr>
          <w:rFonts w:ascii="Times New Roman" w:hAnsi="Times New Roman"/>
          <w:b/>
          <w:bCs/>
          <w:i/>
          <w:noProof w:val="0"/>
        </w:rPr>
        <w:t>.</w:t>
      </w:r>
      <w:r w:rsidR="00FB79A8" w:rsidRPr="00302CCC">
        <w:rPr>
          <w:rFonts w:ascii="Times New Roman" w:hAnsi="Times New Roman"/>
          <w:b/>
          <w:bCs/>
          <w:i/>
          <w:noProof w:val="0"/>
        </w:rPr>
        <w:t xml:space="preserve"> </w:t>
      </w:r>
      <w:r w:rsidR="00DD6A81" w:rsidRPr="00302CCC">
        <w:rPr>
          <w:rFonts w:ascii="Times New Roman" w:hAnsi="Times New Roman"/>
          <w:b/>
          <w:bCs/>
          <w:i/>
          <w:noProof w:val="0"/>
        </w:rPr>
        <w:t>Data</w:t>
      </w:r>
    </w:p>
    <w:p w14:paraId="1F1A2D5A" w14:textId="77777777" w:rsidR="00AD06E7" w:rsidRDefault="00AD06E7" w:rsidP="005B56A2">
      <w:pPr>
        <w:ind w:right="160"/>
        <w:jc w:val="both"/>
        <w:rPr>
          <w:rFonts w:ascii="Times New Roman" w:hAnsi="Times New Roman"/>
        </w:rPr>
      </w:pPr>
    </w:p>
    <w:p w14:paraId="4A4A9C5A" w14:textId="5976CCBB" w:rsidR="00AD06E7" w:rsidRDefault="00693730" w:rsidP="005B56A2">
      <w:pPr>
        <w:ind w:right="160"/>
        <w:jc w:val="both"/>
        <w:rPr>
          <w:rFonts w:ascii="Times New Roman" w:hAnsi="Times New Roman"/>
        </w:rPr>
      </w:pPr>
      <w:r w:rsidRPr="00516AF3">
        <w:rPr>
          <w:rFonts w:ascii="Times New Roman" w:hAnsi="Times New Roman"/>
        </w:rPr>
        <w:t xml:space="preserve">Data were drawn from the Massachusetts Youth Risk Behavior Survey (MYRBS), a population-based survey developed by the U.S. Centers for Disease Control and Prevention (CDC); the CDC administers a similar survey in nearly all states across the US through a systematic sampling method with probability proportional to enrollment in grades 9 through 12. We chose the Massachusetts survey because it has been one of the few to include a sexual orientation item for over </w:t>
      </w:r>
      <w:r w:rsidR="0038485E">
        <w:rPr>
          <w:rFonts w:ascii="Times New Roman" w:hAnsi="Times New Roman"/>
        </w:rPr>
        <w:t>fifteen years</w:t>
      </w:r>
      <w:r w:rsidRPr="00516AF3">
        <w:rPr>
          <w:rFonts w:ascii="Times New Roman" w:hAnsi="Times New Roman"/>
        </w:rPr>
        <w:t xml:space="preserve">. The MYRBS was given in Massachusetts schools every two years. For more information on the MYRBS survey and sampling/weight information, see Matthews </w:t>
      </w:r>
      <w:r w:rsidR="00B87427">
        <w:rPr>
          <w:rFonts w:ascii="Times New Roman" w:hAnsi="Times New Roman"/>
        </w:rPr>
        <w:t>et al</w:t>
      </w:r>
      <w:r w:rsidR="00AD06E7">
        <w:rPr>
          <w:rFonts w:ascii="Times New Roman" w:hAnsi="Times New Roman"/>
        </w:rPr>
        <w:t>.</w:t>
      </w:r>
      <w:r w:rsidR="00B87427">
        <w:rPr>
          <w:rFonts w:ascii="Times New Roman" w:hAnsi="Times New Roman"/>
        </w:rPr>
        <w:t xml:space="preserve"> </w:t>
      </w:r>
      <w:r w:rsidR="00AD06E7">
        <w:rPr>
          <w:rFonts w:ascii="Times New Roman" w:hAnsi="Times New Roman"/>
        </w:rPr>
        <w:t>(</w:t>
      </w:r>
      <w:r w:rsidR="00B93881">
        <w:rPr>
          <w:rFonts w:ascii="Times New Roman" w:hAnsi="Times New Roman"/>
        </w:rPr>
        <w:t>2013</w:t>
      </w:r>
      <w:r w:rsidR="00AD06E7">
        <w:rPr>
          <w:rFonts w:ascii="Times New Roman" w:hAnsi="Times New Roman"/>
        </w:rPr>
        <w:t>)</w:t>
      </w:r>
      <w:r w:rsidRPr="00516AF3">
        <w:rPr>
          <w:rFonts w:ascii="Times New Roman" w:hAnsi="Times New Roman"/>
        </w:rPr>
        <w:t>.</w:t>
      </w:r>
    </w:p>
    <w:p w14:paraId="2B5D0D8D" w14:textId="77777777" w:rsidR="00AD06E7" w:rsidRPr="00516AF3" w:rsidRDefault="00AD06E7" w:rsidP="005B56A2">
      <w:pPr>
        <w:ind w:right="160"/>
        <w:jc w:val="both"/>
        <w:rPr>
          <w:rFonts w:ascii="Times New Roman" w:hAnsi="Times New Roman"/>
        </w:rPr>
      </w:pPr>
    </w:p>
    <w:p w14:paraId="2BDDA06F" w14:textId="70CCDC01" w:rsidR="007F7C8F" w:rsidRPr="00302CCC" w:rsidRDefault="00302CCC" w:rsidP="005B56A2">
      <w:pPr>
        <w:spacing w:before="100" w:beforeAutospacing="1" w:after="100" w:afterAutospacing="1"/>
        <w:contextualSpacing/>
        <w:jc w:val="both"/>
        <w:rPr>
          <w:rFonts w:ascii="Times New Roman" w:hAnsi="Times New Roman"/>
          <w:b/>
          <w:i/>
          <w:noProof w:val="0"/>
        </w:rPr>
      </w:pPr>
      <w:r w:rsidRPr="00302CCC">
        <w:rPr>
          <w:rFonts w:ascii="Times New Roman" w:hAnsi="Times New Roman"/>
          <w:b/>
          <w:bCs/>
          <w:i/>
          <w:noProof w:val="0"/>
        </w:rPr>
        <w:t>2.2. Sample</w:t>
      </w:r>
    </w:p>
    <w:p w14:paraId="70607D5D" w14:textId="77777777" w:rsidR="00AD06E7" w:rsidRDefault="00AD06E7" w:rsidP="005B56A2">
      <w:pPr>
        <w:ind w:right="240"/>
        <w:jc w:val="both"/>
        <w:rPr>
          <w:rFonts w:ascii="Times New Roman" w:hAnsi="Times New Roman"/>
        </w:rPr>
      </w:pPr>
    </w:p>
    <w:p w14:paraId="40B65E15" w14:textId="30A3B0BE" w:rsidR="00693730" w:rsidRPr="00516AF3" w:rsidRDefault="00693730" w:rsidP="005B56A2">
      <w:pPr>
        <w:ind w:right="240"/>
        <w:jc w:val="both"/>
        <w:rPr>
          <w:rFonts w:ascii="Times New Roman" w:hAnsi="Times New Roman"/>
        </w:rPr>
      </w:pPr>
      <w:r w:rsidRPr="00516AF3">
        <w:rPr>
          <w:rFonts w:ascii="Times New Roman" w:hAnsi="Times New Roman"/>
        </w:rPr>
        <w:t xml:space="preserve">To increase numbers of sexual minorities in each wave for our study, we pooled eight </w:t>
      </w:r>
      <w:r w:rsidR="008648D1">
        <w:rPr>
          <w:rFonts w:ascii="Times New Roman" w:hAnsi="Times New Roman"/>
        </w:rPr>
        <w:t xml:space="preserve">bi-annual </w:t>
      </w:r>
      <w:r w:rsidRPr="00516AF3">
        <w:rPr>
          <w:rFonts w:ascii="Times New Roman" w:hAnsi="Times New Roman"/>
        </w:rPr>
        <w:t>surveys from 1999 through 2013 into four</w:t>
      </w:r>
      <w:r w:rsidR="002A58A3">
        <w:rPr>
          <w:rFonts w:ascii="Times New Roman" w:hAnsi="Times New Roman"/>
        </w:rPr>
        <w:t xml:space="preserve"> analytic</w:t>
      </w:r>
      <w:r w:rsidRPr="00516AF3">
        <w:rPr>
          <w:rFonts w:ascii="Times New Roman" w:hAnsi="Times New Roman"/>
        </w:rPr>
        <w:t xml:space="preserve"> waves: 1999/2001 through 2011/2013. We excluded participants who did not provide responses on the item that assessed sexual orientation</w:t>
      </w:r>
      <w:r w:rsidR="00B349EB">
        <w:rPr>
          <w:rFonts w:ascii="Times New Roman" w:hAnsi="Times New Roman"/>
        </w:rPr>
        <w:t xml:space="preserve"> </w:t>
      </w:r>
      <w:r w:rsidR="00B349EB" w:rsidRPr="00192DB5">
        <w:rPr>
          <w:rFonts w:ascii="Times New Roman" w:hAnsi="Times New Roman"/>
        </w:rPr>
        <w:t>(</w:t>
      </w:r>
      <w:r w:rsidR="00B349EB" w:rsidRPr="00B974B6">
        <w:rPr>
          <w:rFonts w:ascii="Times New Roman" w:hAnsi="Times New Roman"/>
          <w:i/>
        </w:rPr>
        <w:t>n</w:t>
      </w:r>
      <w:r w:rsidR="00B349EB" w:rsidRPr="00192DB5">
        <w:rPr>
          <w:rFonts w:ascii="Times New Roman" w:hAnsi="Times New Roman"/>
        </w:rPr>
        <w:t xml:space="preserve"> = </w:t>
      </w:r>
      <w:r w:rsidR="00192DB5" w:rsidRPr="00F95619">
        <w:rPr>
          <w:rFonts w:ascii="Times New Roman" w:hAnsi="Times New Roman"/>
        </w:rPr>
        <w:t>991</w:t>
      </w:r>
      <w:r w:rsidR="00B349EB" w:rsidRPr="00192DB5">
        <w:rPr>
          <w:rFonts w:ascii="Times New Roman" w:hAnsi="Times New Roman"/>
        </w:rPr>
        <w:t>)</w:t>
      </w:r>
      <w:r w:rsidRPr="00192DB5">
        <w:rPr>
          <w:rFonts w:ascii="Times New Roman" w:hAnsi="Times New Roman"/>
        </w:rPr>
        <w:t>.</w:t>
      </w:r>
      <w:r w:rsidRPr="00516AF3">
        <w:rPr>
          <w:rFonts w:ascii="Times New Roman" w:hAnsi="Times New Roman"/>
        </w:rPr>
        <w:t xml:space="preserve"> In sum, our sample included 26,002 participants aged 12 to 18 (</w:t>
      </w:r>
      <w:r w:rsidR="009B1CEB" w:rsidRPr="004578F9">
        <w:rPr>
          <w:rFonts w:ascii="Times New Roman" w:hAnsi="Times New Roman"/>
          <w:bCs/>
          <w:i/>
          <w:iCs/>
        </w:rPr>
        <w:t>M</w:t>
      </w:r>
      <w:r w:rsidRPr="00516AF3">
        <w:rPr>
          <w:rFonts w:ascii="Times New Roman" w:hAnsi="Times New Roman"/>
        </w:rPr>
        <w:t xml:space="preserve"> = 16.0</w:t>
      </w:r>
      <w:r w:rsidR="00192DB5">
        <w:rPr>
          <w:rFonts w:ascii="Times New Roman" w:hAnsi="Times New Roman"/>
        </w:rPr>
        <w:t>6</w:t>
      </w:r>
      <w:r w:rsidRPr="00516AF3">
        <w:rPr>
          <w:rFonts w:ascii="Times New Roman" w:hAnsi="Times New Roman"/>
        </w:rPr>
        <w:t>)</w:t>
      </w:r>
      <w:r w:rsidR="00507FDA">
        <w:rPr>
          <w:rFonts w:ascii="Times New Roman" w:hAnsi="Times New Roman"/>
        </w:rPr>
        <w:t xml:space="preserve">; all </w:t>
      </w:r>
      <w:r w:rsidR="00507FDA" w:rsidRPr="00192DB5">
        <w:rPr>
          <w:rFonts w:ascii="Times New Roman" w:hAnsi="Times New Roman"/>
        </w:rPr>
        <w:t xml:space="preserve">participants were unique </w:t>
      </w:r>
      <w:r w:rsidR="000933FB" w:rsidRPr="00192DB5">
        <w:rPr>
          <w:rFonts w:ascii="Times New Roman" w:hAnsi="Times New Roman"/>
        </w:rPr>
        <w:t xml:space="preserve">to each wave </w:t>
      </w:r>
      <w:r w:rsidR="00507FDA" w:rsidRPr="00192DB5">
        <w:rPr>
          <w:rFonts w:ascii="Times New Roman" w:hAnsi="Times New Roman"/>
        </w:rPr>
        <w:t xml:space="preserve">and never included </w:t>
      </w:r>
      <w:r w:rsidR="006F6030" w:rsidRPr="00192DB5">
        <w:rPr>
          <w:rFonts w:ascii="Times New Roman" w:hAnsi="Times New Roman"/>
        </w:rPr>
        <w:t xml:space="preserve">in more than one survey wave. </w:t>
      </w:r>
      <w:r w:rsidR="00192DB5" w:rsidRPr="00B974B6">
        <w:rPr>
          <w:rFonts w:ascii="Times New Roman" w:hAnsi="Times New Roman"/>
        </w:rPr>
        <w:t>Participants were</w:t>
      </w:r>
      <w:r w:rsidR="000933FB" w:rsidRPr="00192DB5">
        <w:rPr>
          <w:rFonts w:ascii="Times New Roman" w:hAnsi="Times New Roman"/>
        </w:rPr>
        <w:t xml:space="preserve"> </w:t>
      </w:r>
      <w:r w:rsidR="00192DB5" w:rsidRPr="00B974B6">
        <w:rPr>
          <w:rFonts w:ascii="Times New Roman" w:hAnsi="Times New Roman"/>
        </w:rPr>
        <w:t>72.9</w:t>
      </w:r>
      <w:r w:rsidR="000933FB" w:rsidRPr="00192DB5">
        <w:rPr>
          <w:rFonts w:ascii="Times New Roman" w:hAnsi="Times New Roman"/>
        </w:rPr>
        <w:t xml:space="preserve">% White, </w:t>
      </w:r>
      <w:r w:rsidR="00192DB5" w:rsidRPr="00B974B6">
        <w:rPr>
          <w:rFonts w:ascii="Times New Roman" w:hAnsi="Times New Roman"/>
        </w:rPr>
        <w:t>8.5</w:t>
      </w:r>
      <w:r w:rsidR="000933FB" w:rsidRPr="00192DB5">
        <w:rPr>
          <w:rFonts w:ascii="Times New Roman" w:hAnsi="Times New Roman"/>
        </w:rPr>
        <w:t xml:space="preserve">% African American, </w:t>
      </w:r>
      <w:r w:rsidR="00192DB5" w:rsidRPr="00B974B6">
        <w:rPr>
          <w:rFonts w:ascii="Times New Roman" w:hAnsi="Times New Roman"/>
        </w:rPr>
        <w:t>7.9%</w:t>
      </w:r>
      <w:r w:rsidR="00E81517" w:rsidRPr="00192DB5">
        <w:rPr>
          <w:rFonts w:ascii="Times New Roman" w:hAnsi="Times New Roman"/>
        </w:rPr>
        <w:t xml:space="preserve"> </w:t>
      </w:r>
      <w:r w:rsidR="00192DB5" w:rsidRPr="00B974B6">
        <w:rPr>
          <w:rFonts w:ascii="Times New Roman" w:hAnsi="Times New Roman"/>
        </w:rPr>
        <w:t>Hispanic/Latino</w:t>
      </w:r>
      <w:r w:rsidR="00E81517" w:rsidRPr="00192DB5">
        <w:rPr>
          <w:rFonts w:ascii="Times New Roman" w:hAnsi="Times New Roman"/>
        </w:rPr>
        <w:t xml:space="preserve">, </w:t>
      </w:r>
      <w:r w:rsidR="00192DB5" w:rsidRPr="00B974B6">
        <w:rPr>
          <w:rFonts w:ascii="Times New Roman" w:hAnsi="Times New Roman"/>
        </w:rPr>
        <w:t>0.5%</w:t>
      </w:r>
      <w:r w:rsidR="000933FB" w:rsidRPr="00192DB5">
        <w:rPr>
          <w:rFonts w:ascii="Times New Roman" w:hAnsi="Times New Roman"/>
        </w:rPr>
        <w:t xml:space="preserve"> Native American, </w:t>
      </w:r>
      <w:r w:rsidR="00192DB5" w:rsidRPr="00B974B6">
        <w:rPr>
          <w:rFonts w:ascii="Times New Roman" w:hAnsi="Times New Roman"/>
        </w:rPr>
        <w:t>3.3%</w:t>
      </w:r>
      <w:r w:rsidR="00E81517" w:rsidRPr="00192DB5">
        <w:rPr>
          <w:rFonts w:ascii="Times New Roman" w:hAnsi="Times New Roman"/>
        </w:rPr>
        <w:t xml:space="preserve"> Asian American, and </w:t>
      </w:r>
      <w:r w:rsidR="00192DB5" w:rsidRPr="00B974B6">
        <w:rPr>
          <w:rFonts w:ascii="Times New Roman" w:hAnsi="Times New Roman"/>
        </w:rPr>
        <w:t>6.9</w:t>
      </w:r>
      <w:r w:rsidR="00E81517" w:rsidRPr="00192DB5">
        <w:rPr>
          <w:rFonts w:ascii="Times New Roman" w:hAnsi="Times New Roman"/>
        </w:rPr>
        <w:t>% Other</w:t>
      </w:r>
      <w:r w:rsidR="00192DB5" w:rsidRPr="00B974B6">
        <w:rPr>
          <w:rFonts w:ascii="Times New Roman" w:hAnsi="Times New Roman"/>
        </w:rPr>
        <w:t xml:space="preserve"> race/ethnicity</w:t>
      </w:r>
      <w:r w:rsidR="000933FB" w:rsidRPr="00192DB5">
        <w:rPr>
          <w:rFonts w:ascii="Times New Roman" w:hAnsi="Times New Roman"/>
        </w:rPr>
        <w:t>.</w:t>
      </w:r>
      <w:r w:rsidR="000933FB">
        <w:rPr>
          <w:rFonts w:ascii="Times New Roman" w:hAnsi="Times New Roman"/>
        </w:rPr>
        <w:t xml:space="preserve"> </w:t>
      </w:r>
    </w:p>
    <w:p w14:paraId="2F442ADD" w14:textId="77777777" w:rsidR="00AD06E7" w:rsidRDefault="00AD06E7" w:rsidP="005B56A2">
      <w:pPr>
        <w:spacing w:before="100" w:beforeAutospacing="1" w:after="100" w:afterAutospacing="1"/>
        <w:contextualSpacing/>
        <w:jc w:val="both"/>
        <w:rPr>
          <w:rFonts w:ascii="Times New Roman" w:hAnsi="Times New Roman"/>
          <w:b/>
          <w:bCs/>
          <w:noProof w:val="0"/>
        </w:rPr>
      </w:pPr>
    </w:p>
    <w:p w14:paraId="652D34F4" w14:textId="515CE9D7" w:rsidR="00DD6A81" w:rsidRPr="00302CCC" w:rsidRDefault="00302CCC" w:rsidP="005B56A2">
      <w:pPr>
        <w:spacing w:before="100" w:beforeAutospacing="1" w:after="100" w:afterAutospacing="1"/>
        <w:contextualSpacing/>
        <w:jc w:val="both"/>
        <w:rPr>
          <w:rFonts w:ascii="Times New Roman" w:hAnsi="Times New Roman"/>
          <w:b/>
          <w:i/>
          <w:noProof w:val="0"/>
        </w:rPr>
      </w:pPr>
      <w:r w:rsidRPr="00302CCC">
        <w:rPr>
          <w:rFonts w:ascii="Times New Roman" w:hAnsi="Times New Roman"/>
          <w:b/>
          <w:bCs/>
          <w:i/>
          <w:noProof w:val="0"/>
        </w:rPr>
        <w:t>2.3. Measures</w:t>
      </w:r>
    </w:p>
    <w:p w14:paraId="12555839" w14:textId="77777777" w:rsidR="00AD06E7" w:rsidRDefault="00AD06E7" w:rsidP="005B56A2">
      <w:pPr>
        <w:spacing w:before="100" w:beforeAutospacing="1" w:after="100" w:afterAutospacing="1"/>
        <w:contextualSpacing/>
        <w:jc w:val="both"/>
        <w:rPr>
          <w:rFonts w:ascii="Times New Roman" w:hAnsi="Times New Roman"/>
          <w:b/>
          <w:bCs/>
          <w:noProof w:val="0"/>
        </w:rPr>
      </w:pPr>
    </w:p>
    <w:p w14:paraId="6F26458A" w14:textId="77777777" w:rsidR="00DD6A81" w:rsidRPr="00516AF3" w:rsidRDefault="00DD6A81" w:rsidP="005B56A2">
      <w:pPr>
        <w:spacing w:before="100" w:beforeAutospacing="1" w:after="100" w:afterAutospacing="1"/>
        <w:contextualSpacing/>
        <w:jc w:val="both"/>
        <w:rPr>
          <w:rFonts w:ascii="Times New Roman" w:hAnsi="Times New Roman"/>
          <w:noProof w:val="0"/>
        </w:rPr>
      </w:pPr>
      <w:r w:rsidRPr="00AD06E7">
        <w:rPr>
          <w:rFonts w:ascii="Times New Roman" w:hAnsi="Times New Roman"/>
          <w:bCs/>
          <w:i/>
          <w:noProof w:val="0"/>
        </w:rPr>
        <w:t xml:space="preserve">Age and </w:t>
      </w:r>
      <w:r w:rsidR="00DE08F1" w:rsidRPr="00AD06E7">
        <w:rPr>
          <w:rFonts w:ascii="Times New Roman" w:hAnsi="Times New Roman"/>
          <w:bCs/>
          <w:i/>
          <w:noProof w:val="0"/>
        </w:rPr>
        <w:t>Sex</w:t>
      </w:r>
      <w:r w:rsidRPr="00AD06E7">
        <w:rPr>
          <w:rFonts w:ascii="Times New Roman" w:hAnsi="Times New Roman"/>
          <w:bCs/>
          <w:i/>
          <w:noProof w:val="0"/>
        </w:rPr>
        <w:t xml:space="preserve">. </w:t>
      </w:r>
      <w:r w:rsidRPr="00516AF3">
        <w:rPr>
          <w:rFonts w:ascii="Times New Roman" w:hAnsi="Times New Roman"/>
          <w:noProof w:val="0"/>
        </w:rPr>
        <w:t xml:space="preserve">Participants indicated their age in number of years, and their </w:t>
      </w:r>
      <w:r w:rsidR="00DE08F1" w:rsidRPr="00516AF3">
        <w:rPr>
          <w:rFonts w:ascii="Times New Roman" w:hAnsi="Times New Roman"/>
          <w:noProof w:val="0"/>
        </w:rPr>
        <w:t>sex</w:t>
      </w:r>
      <w:r w:rsidRPr="00516AF3">
        <w:rPr>
          <w:rFonts w:ascii="Times New Roman" w:hAnsi="Times New Roman"/>
          <w:noProof w:val="0"/>
        </w:rPr>
        <w:t xml:space="preserve"> as male or female</w:t>
      </w:r>
      <w:r w:rsidR="007F7C8F" w:rsidRPr="00516AF3">
        <w:rPr>
          <w:rFonts w:ascii="Times New Roman" w:hAnsi="Times New Roman"/>
          <w:noProof w:val="0"/>
        </w:rPr>
        <w:t>.</w:t>
      </w:r>
    </w:p>
    <w:p w14:paraId="2A46C03C" w14:textId="77777777" w:rsidR="00AD06E7" w:rsidRDefault="00AD06E7" w:rsidP="005B56A2">
      <w:pPr>
        <w:ind w:right="280"/>
        <w:jc w:val="both"/>
        <w:rPr>
          <w:rFonts w:ascii="Times New Roman" w:hAnsi="Times New Roman"/>
          <w:b/>
          <w:bCs/>
          <w:noProof w:val="0"/>
        </w:rPr>
      </w:pPr>
    </w:p>
    <w:p w14:paraId="7749966F" w14:textId="5A08B42A" w:rsidR="00693730" w:rsidRPr="00516AF3" w:rsidRDefault="00DD6A81" w:rsidP="005B56A2">
      <w:pPr>
        <w:ind w:right="280"/>
        <w:jc w:val="both"/>
        <w:rPr>
          <w:rFonts w:ascii="Times New Roman" w:hAnsi="Times New Roman"/>
        </w:rPr>
      </w:pPr>
      <w:r w:rsidRPr="00AD06E7">
        <w:rPr>
          <w:rFonts w:ascii="Times New Roman" w:hAnsi="Times New Roman"/>
          <w:bCs/>
          <w:i/>
          <w:noProof w:val="0"/>
        </w:rPr>
        <w:t>Ethnicity.</w:t>
      </w:r>
      <w:r w:rsidR="009017B0">
        <w:rPr>
          <w:rFonts w:ascii="Times New Roman" w:hAnsi="Times New Roman"/>
          <w:bCs/>
          <w:i/>
          <w:noProof w:val="0"/>
        </w:rPr>
        <w:t xml:space="preserve"> </w:t>
      </w:r>
      <w:r w:rsidRPr="00516AF3">
        <w:rPr>
          <w:rFonts w:ascii="Times New Roman" w:hAnsi="Times New Roman"/>
          <w:noProof w:val="0"/>
        </w:rPr>
        <w:t xml:space="preserve">Self-reported response options included American Indian or Alaska Native, Asian, Black or African American, Hispanic/Latino, Native Hawaiian or Other Pacific Islander, and White. </w:t>
      </w:r>
      <w:r w:rsidR="00693730" w:rsidRPr="00516AF3">
        <w:rPr>
          <w:rFonts w:ascii="Times New Roman" w:hAnsi="Times New Roman"/>
        </w:rPr>
        <w:t>A Multiracial category was used for youth who checked multiple non-Hispanic categories.American Indian or Alaska Native, Asian, and Native Hawaiian or Other Pacific Islander were grouped together to form an ‘Other’ category.</w:t>
      </w:r>
    </w:p>
    <w:p w14:paraId="5D1D1BF4" w14:textId="77777777" w:rsidR="00AD06E7" w:rsidRDefault="00AD06E7" w:rsidP="005B56A2">
      <w:pPr>
        <w:spacing w:before="100" w:beforeAutospacing="1" w:after="100" w:afterAutospacing="1"/>
        <w:contextualSpacing/>
        <w:jc w:val="both"/>
        <w:rPr>
          <w:rFonts w:ascii="Times New Roman" w:hAnsi="Times New Roman"/>
          <w:b/>
          <w:bCs/>
          <w:noProof w:val="0"/>
        </w:rPr>
      </w:pPr>
    </w:p>
    <w:p w14:paraId="40C654C1" w14:textId="1AF49DEE" w:rsidR="00DD6A81" w:rsidRPr="00516AF3" w:rsidRDefault="00DD6A81" w:rsidP="005B56A2">
      <w:pPr>
        <w:spacing w:before="100" w:beforeAutospacing="1" w:after="100" w:afterAutospacing="1"/>
        <w:contextualSpacing/>
        <w:jc w:val="both"/>
        <w:rPr>
          <w:rFonts w:ascii="Times New Roman" w:hAnsi="Times New Roman"/>
          <w:noProof w:val="0"/>
        </w:rPr>
      </w:pPr>
      <w:r w:rsidRPr="00AD06E7">
        <w:rPr>
          <w:rFonts w:ascii="Times New Roman" w:hAnsi="Times New Roman"/>
          <w:bCs/>
          <w:i/>
          <w:noProof w:val="0"/>
        </w:rPr>
        <w:t>Sexual orientation.</w:t>
      </w:r>
      <w:r w:rsidR="009017B0">
        <w:rPr>
          <w:rFonts w:ascii="Times New Roman" w:hAnsi="Times New Roman"/>
          <w:bCs/>
          <w:i/>
          <w:noProof w:val="0"/>
        </w:rPr>
        <w:t xml:space="preserve"> </w:t>
      </w:r>
      <w:r w:rsidRPr="00516AF3">
        <w:rPr>
          <w:rFonts w:ascii="Times New Roman" w:hAnsi="Times New Roman"/>
          <w:noProof w:val="0"/>
        </w:rPr>
        <w:t xml:space="preserve">Sexual orientation was measured using a single item: “Which of the following best describes you?” Response options were “heterosexual (straight), “bisexual”, “gay or lesbian”, and “not sure”. For purposes of this trends and disparities study, we did not include youth who </w:t>
      </w:r>
      <w:r w:rsidR="00AD06E7" w:rsidRPr="00516AF3">
        <w:rPr>
          <w:rFonts w:ascii="Times New Roman" w:hAnsi="Times New Roman"/>
          <w:noProof w:val="0"/>
        </w:rPr>
        <w:t>answered,</w:t>
      </w:r>
      <w:r w:rsidRPr="00516AF3">
        <w:rPr>
          <w:rFonts w:ascii="Times New Roman" w:hAnsi="Times New Roman"/>
          <w:noProof w:val="0"/>
        </w:rPr>
        <w:t xml:space="preserve"> “not sure” as research has indicated uncertainty regarding how to classify this group of youth (see French et al. 1996).</w:t>
      </w:r>
    </w:p>
    <w:p w14:paraId="13AE4649" w14:textId="77777777" w:rsidR="00AD06E7" w:rsidRDefault="00AD06E7" w:rsidP="005B56A2">
      <w:pPr>
        <w:spacing w:before="100" w:beforeAutospacing="1" w:after="100" w:afterAutospacing="1"/>
        <w:contextualSpacing/>
        <w:jc w:val="both"/>
        <w:rPr>
          <w:rFonts w:ascii="Times New Roman" w:hAnsi="Times New Roman"/>
          <w:b/>
          <w:bCs/>
          <w:noProof w:val="0"/>
        </w:rPr>
      </w:pPr>
    </w:p>
    <w:p w14:paraId="1FCB0DA7" w14:textId="47DDDB08" w:rsidR="00DD6A81" w:rsidRPr="00302CCC" w:rsidRDefault="00302CCC" w:rsidP="005B56A2">
      <w:pPr>
        <w:spacing w:before="100" w:beforeAutospacing="1" w:after="100" w:afterAutospacing="1"/>
        <w:contextualSpacing/>
        <w:jc w:val="both"/>
        <w:rPr>
          <w:rFonts w:ascii="Times New Roman" w:hAnsi="Times New Roman"/>
          <w:b/>
          <w:bCs/>
          <w:i/>
          <w:noProof w:val="0"/>
          <w:color w:val="339966"/>
        </w:rPr>
      </w:pPr>
      <w:r w:rsidRPr="00302CCC">
        <w:rPr>
          <w:rFonts w:ascii="Times New Roman" w:hAnsi="Times New Roman"/>
          <w:b/>
          <w:bCs/>
          <w:i/>
          <w:noProof w:val="0"/>
        </w:rPr>
        <w:t xml:space="preserve">2.4. </w:t>
      </w:r>
      <w:r w:rsidR="00DD6A81" w:rsidRPr="00302CCC">
        <w:rPr>
          <w:rFonts w:ascii="Times New Roman" w:hAnsi="Times New Roman"/>
          <w:b/>
          <w:bCs/>
          <w:i/>
          <w:noProof w:val="0"/>
        </w:rPr>
        <w:t>Outcome variables</w:t>
      </w:r>
    </w:p>
    <w:p w14:paraId="4BD77CCF" w14:textId="77777777" w:rsidR="00AD06E7" w:rsidRDefault="00AD06E7" w:rsidP="005B56A2">
      <w:pPr>
        <w:spacing w:before="100" w:beforeAutospacing="1" w:after="100" w:afterAutospacing="1"/>
        <w:contextualSpacing/>
        <w:jc w:val="both"/>
        <w:rPr>
          <w:rFonts w:ascii="Times New Roman" w:hAnsi="Times New Roman"/>
          <w:b/>
          <w:bCs/>
          <w:noProof w:val="0"/>
        </w:rPr>
      </w:pPr>
    </w:p>
    <w:p w14:paraId="24DBF36F" w14:textId="77777777" w:rsidR="00FB71FA" w:rsidRPr="00516AF3" w:rsidRDefault="00FB71FA" w:rsidP="005B56A2">
      <w:pPr>
        <w:spacing w:before="100" w:beforeAutospacing="1" w:after="100" w:afterAutospacing="1"/>
        <w:contextualSpacing/>
        <w:jc w:val="both"/>
        <w:rPr>
          <w:rFonts w:ascii="Times New Roman" w:hAnsi="Times New Roman"/>
          <w:noProof w:val="0"/>
        </w:rPr>
      </w:pPr>
      <w:r w:rsidRPr="00AD06E7">
        <w:rPr>
          <w:rFonts w:ascii="Times New Roman" w:hAnsi="Times New Roman"/>
          <w:bCs/>
          <w:i/>
          <w:noProof w:val="0"/>
        </w:rPr>
        <w:t xml:space="preserve">Ever Smoked Cigarettes. </w:t>
      </w:r>
      <w:r w:rsidRPr="00516AF3">
        <w:rPr>
          <w:rFonts w:ascii="Times New Roman" w:hAnsi="Times New Roman"/>
          <w:bCs/>
          <w:noProof w:val="0"/>
        </w:rPr>
        <w:t>Participants were asked, “Have you ever tried cigarette smoking, even one or two puffs?” Response options were 0 (</w:t>
      </w:r>
      <w:r w:rsidRPr="00516AF3">
        <w:rPr>
          <w:rFonts w:ascii="Times New Roman" w:hAnsi="Times New Roman"/>
          <w:bCs/>
          <w:i/>
          <w:noProof w:val="0"/>
        </w:rPr>
        <w:t>no</w:t>
      </w:r>
      <w:r w:rsidRPr="00516AF3">
        <w:rPr>
          <w:rFonts w:ascii="Times New Roman" w:hAnsi="Times New Roman"/>
          <w:bCs/>
          <w:noProof w:val="0"/>
        </w:rPr>
        <w:t>) and 1 (</w:t>
      </w:r>
      <w:r w:rsidRPr="00516AF3">
        <w:rPr>
          <w:rFonts w:ascii="Times New Roman" w:hAnsi="Times New Roman"/>
          <w:bCs/>
          <w:i/>
          <w:noProof w:val="0"/>
        </w:rPr>
        <w:t>yes</w:t>
      </w:r>
      <w:r w:rsidRPr="00516AF3">
        <w:rPr>
          <w:rFonts w:ascii="Times New Roman" w:hAnsi="Times New Roman"/>
          <w:bCs/>
          <w:noProof w:val="0"/>
        </w:rPr>
        <w:t xml:space="preserve">). </w:t>
      </w:r>
    </w:p>
    <w:p w14:paraId="2516A1D2" w14:textId="77777777" w:rsidR="00AD06E7" w:rsidRDefault="00AD06E7" w:rsidP="005B56A2">
      <w:pPr>
        <w:spacing w:before="100" w:beforeAutospacing="1" w:after="100" w:afterAutospacing="1"/>
        <w:contextualSpacing/>
        <w:jc w:val="both"/>
        <w:rPr>
          <w:rFonts w:ascii="Times New Roman" w:hAnsi="Times New Roman"/>
          <w:b/>
          <w:bCs/>
          <w:noProof w:val="0"/>
        </w:rPr>
      </w:pPr>
    </w:p>
    <w:p w14:paraId="704ACD7A" w14:textId="77777777" w:rsidR="00DD6A81" w:rsidRPr="00516AF3" w:rsidRDefault="004578F9" w:rsidP="005B56A2">
      <w:pPr>
        <w:spacing w:before="100" w:beforeAutospacing="1" w:after="100" w:afterAutospacing="1"/>
        <w:contextualSpacing/>
        <w:jc w:val="both"/>
        <w:rPr>
          <w:rFonts w:ascii="Times New Roman" w:hAnsi="Times New Roman"/>
          <w:bCs/>
          <w:noProof w:val="0"/>
        </w:rPr>
      </w:pPr>
      <w:r>
        <w:rPr>
          <w:rFonts w:ascii="Times New Roman" w:hAnsi="Times New Roman"/>
          <w:bCs/>
          <w:i/>
          <w:noProof w:val="0"/>
        </w:rPr>
        <w:t>Early Onset Smoking</w:t>
      </w:r>
      <w:r w:rsidR="00DD6A81" w:rsidRPr="00AD06E7">
        <w:rPr>
          <w:rFonts w:ascii="Times New Roman" w:hAnsi="Times New Roman"/>
          <w:bCs/>
          <w:i/>
          <w:noProof w:val="0"/>
        </w:rPr>
        <w:t>.</w:t>
      </w:r>
      <w:r>
        <w:rPr>
          <w:rFonts w:ascii="Times New Roman" w:hAnsi="Times New Roman"/>
          <w:bCs/>
          <w:i/>
          <w:noProof w:val="0"/>
        </w:rPr>
        <w:t xml:space="preserve"> </w:t>
      </w:r>
      <w:r w:rsidR="00B1062A" w:rsidRPr="00516AF3">
        <w:rPr>
          <w:rFonts w:ascii="Times New Roman" w:hAnsi="Times New Roman"/>
          <w:bCs/>
          <w:noProof w:val="0"/>
        </w:rPr>
        <w:t xml:space="preserve">One item asked participants, “How old were you when you smoked a whole cigarette for the first time?” Response options were “Never smoked a cigarette”, “8 years old or younger”, “9 or 10 years old”, “11 or 12 years old”, “13 or 14 years old”, “15 or 16 years old”, and “17 years old or older”. Among those who had ever smoked a cigarette, we dichotomized this variable so that those who had smoked a cigarette before the age of 13 was coded 1, and those who had smoked a cigarette </w:t>
      </w:r>
      <w:r w:rsidR="00AD06E7">
        <w:rPr>
          <w:rFonts w:ascii="Times New Roman" w:hAnsi="Times New Roman"/>
          <w:bCs/>
          <w:noProof w:val="0"/>
        </w:rPr>
        <w:t xml:space="preserve">at </w:t>
      </w:r>
      <w:r w:rsidR="00B1062A" w:rsidRPr="00516AF3">
        <w:rPr>
          <w:rFonts w:ascii="Times New Roman" w:hAnsi="Times New Roman"/>
          <w:bCs/>
          <w:noProof w:val="0"/>
        </w:rPr>
        <w:t>13 years or older was coded as 0.</w:t>
      </w:r>
    </w:p>
    <w:p w14:paraId="00B9B982" w14:textId="77777777" w:rsidR="00AD06E7" w:rsidRDefault="00AD06E7" w:rsidP="005B56A2">
      <w:pPr>
        <w:ind w:right="220"/>
        <w:jc w:val="both"/>
        <w:rPr>
          <w:rFonts w:ascii="Times New Roman" w:hAnsi="Times New Roman"/>
          <w:b/>
          <w:bCs/>
        </w:rPr>
      </w:pPr>
    </w:p>
    <w:p w14:paraId="700E7130" w14:textId="0ECC37E0" w:rsidR="004935FF" w:rsidRPr="00516AF3" w:rsidRDefault="004935FF" w:rsidP="005B56A2">
      <w:pPr>
        <w:ind w:right="220"/>
        <w:jc w:val="both"/>
        <w:rPr>
          <w:rFonts w:ascii="Times New Roman" w:hAnsi="Times New Roman"/>
        </w:rPr>
      </w:pPr>
      <w:r w:rsidRPr="00AD06E7">
        <w:rPr>
          <w:rFonts w:ascii="Times New Roman" w:hAnsi="Times New Roman"/>
          <w:bCs/>
          <w:i/>
        </w:rPr>
        <w:t>Smoked Daily in Past Month.</w:t>
      </w:r>
      <w:r w:rsidR="00545FC0">
        <w:rPr>
          <w:rFonts w:ascii="Times New Roman" w:hAnsi="Times New Roman"/>
          <w:bCs/>
          <w:i/>
        </w:rPr>
        <w:t xml:space="preserve"> </w:t>
      </w:r>
      <w:r w:rsidRPr="00516AF3">
        <w:rPr>
          <w:rFonts w:ascii="Times New Roman" w:hAnsi="Times New Roman"/>
        </w:rPr>
        <w:t xml:space="preserve">One item asked participants, “During the past 30 days,on how many days did you smoke cigarettes?” Response options ranged from </w:t>
      </w:r>
      <w:r w:rsidRPr="00516AF3">
        <w:rPr>
          <w:rFonts w:ascii="Times New Roman" w:hAnsi="Times New Roman"/>
          <w:bCs/>
          <w:i/>
          <w:iCs/>
        </w:rPr>
        <w:t>0 days</w:t>
      </w:r>
      <w:r w:rsidRPr="00516AF3">
        <w:rPr>
          <w:rFonts w:ascii="Times New Roman" w:hAnsi="Times New Roman"/>
        </w:rPr>
        <w:t xml:space="preserve"> to all </w:t>
      </w:r>
      <w:r w:rsidRPr="00516AF3">
        <w:rPr>
          <w:rFonts w:ascii="Times New Roman" w:hAnsi="Times New Roman"/>
          <w:bCs/>
          <w:i/>
          <w:iCs/>
        </w:rPr>
        <w:t>30days</w:t>
      </w:r>
      <w:r w:rsidRPr="00516AF3">
        <w:rPr>
          <w:rFonts w:ascii="Times New Roman" w:hAnsi="Times New Roman"/>
        </w:rPr>
        <w:t>. For our analyses, we recoded this variable to 0 (</w:t>
      </w:r>
      <w:r w:rsidRPr="00516AF3">
        <w:rPr>
          <w:rFonts w:ascii="Times New Roman" w:hAnsi="Times New Roman"/>
          <w:bCs/>
          <w:i/>
          <w:iCs/>
        </w:rPr>
        <w:t>0 days to 29 days</w:t>
      </w:r>
      <w:r w:rsidRPr="00516AF3">
        <w:rPr>
          <w:rFonts w:ascii="Times New Roman" w:hAnsi="Times New Roman"/>
        </w:rPr>
        <w:t>) and 1 (</w:t>
      </w:r>
      <w:r w:rsidRPr="00516AF3">
        <w:rPr>
          <w:rFonts w:ascii="Times New Roman" w:hAnsi="Times New Roman"/>
          <w:bCs/>
          <w:i/>
          <w:iCs/>
        </w:rPr>
        <w:t>all 30 days</w:t>
      </w:r>
      <w:r w:rsidRPr="00516AF3">
        <w:rPr>
          <w:rFonts w:ascii="Times New Roman" w:hAnsi="Times New Roman"/>
        </w:rPr>
        <w:t>).</w:t>
      </w:r>
    </w:p>
    <w:p w14:paraId="2247BBEC" w14:textId="77777777" w:rsidR="00302CCC" w:rsidRDefault="00302CCC" w:rsidP="005B56A2">
      <w:pPr>
        <w:contextualSpacing/>
        <w:jc w:val="both"/>
        <w:rPr>
          <w:rFonts w:ascii="Times New Roman" w:hAnsi="Times New Roman"/>
          <w:b/>
          <w:bCs/>
          <w:noProof w:val="0"/>
        </w:rPr>
      </w:pPr>
    </w:p>
    <w:p w14:paraId="618B390F" w14:textId="35011557" w:rsidR="00DD6A81" w:rsidRPr="00302CCC" w:rsidRDefault="00302CCC" w:rsidP="005B56A2">
      <w:pPr>
        <w:contextualSpacing/>
        <w:jc w:val="both"/>
        <w:rPr>
          <w:rFonts w:ascii="Times New Roman" w:hAnsi="Times New Roman"/>
          <w:b/>
          <w:bCs/>
          <w:i/>
          <w:noProof w:val="0"/>
        </w:rPr>
      </w:pPr>
      <w:r w:rsidRPr="00302CCC">
        <w:rPr>
          <w:rFonts w:ascii="Times New Roman" w:hAnsi="Times New Roman"/>
          <w:b/>
          <w:bCs/>
          <w:i/>
          <w:noProof w:val="0"/>
        </w:rPr>
        <w:t>2.5.</w:t>
      </w:r>
      <w:r w:rsidR="00FB79A8" w:rsidRPr="00302CCC">
        <w:rPr>
          <w:rFonts w:ascii="Times New Roman" w:hAnsi="Times New Roman"/>
          <w:b/>
          <w:bCs/>
          <w:i/>
          <w:noProof w:val="0"/>
        </w:rPr>
        <w:t xml:space="preserve"> </w:t>
      </w:r>
      <w:r w:rsidR="00DD6A81" w:rsidRPr="00302CCC">
        <w:rPr>
          <w:rFonts w:ascii="Times New Roman" w:hAnsi="Times New Roman"/>
          <w:b/>
          <w:bCs/>
          <w:i/>
          <w:noProof w:val="0"/>
        </w:rPr>
        <w:t>Analys</w:t>
      </w:r>
      <w:r w:rsidR="000578CE" w:rsidRPr="00302CCC">
        <w:rPr>
          <w:rFonts w:ascii="Times New Roman" w:hAnsi="Times New Roman"/>
          <w:b/>
          <w:bCs/>
          <w:i/>
          <w:noProof w:val="0"/>
        </w:rPr>
        <w:t>e</w:t>
      </w:r>
      <w:r w:rsidR="00DD6A81" w:rsidRPr="00302CCC">
        <w:rPr>
          <w:rFonts w:ascii="Times New Roman" w:hAnsi="Times New Roman"/>
          <w:b/>
          <w:bCs/>
          <w:i/>
          <w:noProof w:val="0"/>
        </w:rPr>
        <w:t>s</w:t>
      </w:r>
    </w:p>
    <w:p w14:paraId="3518DEC6" w14:textId="77777777" w:rsidR="00AD06E7" w:rsidRDefault="00AD06E7" w:rsidP="005B56A2">
      <w:pPr>
        <w:jc w:val="both"/>
        <w:rPr>
          <w:rFonts w:ascii="Times New Roman" w:hAnsi="Times New Roman"/>
        </w:rPr>
      </w:pPr>
    </w:p>
    <w:p w14:paraId="1B7E40B6" w14:textId="12C02CD6" w:rsidR="00F27C9A" w:rsidRDefault="00693730" w:rsidP="005B56A2">
      <w:pPr>
        <w:jc w:val="both"/>
        <w:rPr>
          <w:rFonts w:ascii="Times New Roman" w:hAnsi="Times New Roman"/>
        </w:rPr>
      </w:pPr>
      <w:r w:rsidRPr="00516AF3">
        <w:rPr>
          <w:rFonts w:ascii="Times New Roman" w:hAnsi="Times New Roman"/>
        </w:rPr>
        <w:t>We used SPSS Complex Samples 22</w:t>
      </w:r>
      <w:r w:rsidR="00DA5408" w:rsidRPr="00DA5408">
        <w:rPr>
          <w:rFonts w:ascii="Times New Roman" w:hAnsi="Times New Roman"/>
          <w:vertAlign w:val="superscript"/>
        </w:rPr>
        <w:t>™</w:t>
      </w:r>
      <w:r w:rsidRPr="00516AF3">
        <w:rPr>
          <w:rFonts w:ascii="Times New Roman" w:hAnsi="Times New Roman"/>
        </w:rPr>
        <w:t xml:space="preserve"> to adjust our analyses for the complex design of the MYRBS. Analyses were adjusted for student-reported </w:t>
      </w:r>
      <w:r w:rsidR="00E30804">
        <w:rPr>
          <w:rFonts w:ascii="Times New Roman" w:hAnsi="Times New Roman"/>
        </w:rPr>
        <w:t>age</w:t>
      </w:r>
      <w:r w:rsidR="00E30804" w:rsidRPr="00516AF3">
        <w:rPr>
          <w:rFonts w:ascii="Times New Roman" w:hAnsi="Times New Roman"/>
        </w:rPr>
        <w:t xml:space="preserve"> </w:t>
      </w:r>
      <w:r w:rsidRPr="00516AF3">
        <w:rPr>
          <w:rFonts w:ascii="Times New Roman" w:hAnsi="Times New Roman"/>
        </w:rPr>
        <w:t>and ethnicity (White chosen as reference group) when appropriate.</w:t>
      </w:r>
      <w:r w:rsidR="00131AA2" w:rsidRPr="00516AF3">
        <w:rPr>
          <w:rFonts w:ascii="Times New Roman" w:hAnsi="Times New Roman"/>
        </w:rPr>
        <w:t xml:space="preserve"> As an exception, we did not adj</w:t>
      </w:r>
      <w:r w:rsidR="00DA5408">
        <w:rPr>
          <w:rFonts w:ascii="Times New Roman" w:hAnsi="Times New Roman"/>
        </w:rPr>
        <w:t>ust for ethnicity for the “smoke</w:t>
      </w:r>
      <w:r w:rsidR="00131AA2" w:rsidRPr="00516AF3">
        <w:rPr>
          <w:rFonts w:ascii="Times New Roman" w:hAnsi="Times New Roman"/>
        </w:rPr>
        <w:t xml:space="preserve">d daily in past month” outcome due to </w:t>
      </w:r>
      <w:r w:rsidR="00DA5408">
        <w:rPr>
          <w:rFonts w:ascii="Times New Roman" w:hAnsi="Times New Roman"/>
        </w:rPr>
        <w:t xml:space="preserve">the </w:t>
      </w:r>
      <w:r w:rsidR="00131AA2" w:rsidRPr="00516AF3">
        <w:rPr>
          <w:rFonts w:ascii="Times New Roman" w:hAnsi="Times New Roman"/>
        </w:rPr>
        <w:t>low prevalance of this variable in our sample</w:t>
      </w:r>
      <w:r w:rsidR="004578F9">
        <w:rPr>
          <w:rFonts w:ascii="Times New Roman" w:hAnsi="Times New Roman"/>
        </w:rPr>
        <w:t xml:space="preserve"> </w:t>
      </w:r>
      <w:r w:rsidR="00131AA2" w:rsidRPr="00516AF3">
        <w:rPr>
          <w:rFonts w:ascii="Times New Roman" w:hAnsi="Times New Roman"/>
        </w:rPr>
        <w:t xml:space="preserve">(e.g., several cell sizes were 0 and thus some models were unable to be estimated). </w:t>
      </w:r>
      <w:r w:rsidRPr="00516AF3">
        <w:rPr>
          <w:rFonts w:ascii="Times New Roman" w:hAnsi="Times New Roman"/>
        </w:rPr>
        <w:t xml:space="preserve">All analyses were </w:t>
      </w:r>
      <w:r w:rsidR="007318CF">
        <w:rPr>
          <w:rFonts w:ascii="Times New Roman" w:hAnsi="Times New Roman"/>
        </w:rPr>
        <w:t>sex-</w:t>
      </w:r>
      <w:r w:rsidRPr="00516AF3">
        <w:rPr>
          <w:rFonts w:ascii="Times New Roman" w:hAnsi="Times New Roman"/>
        </w:rPr>
        <w:t xml:space="preserve">stratified given that preliminary results indicated significant differences in responses to tobacco use for boys and girls. </w:t>
      </w:r>
    </w:p>
    <w:p w14:paraId="73F0C306" w14:textId="77777777" w:rsidR="00F27C9A" w:rsidRDefault="00F27C9A" w:rsidP="005B56A2">
      <w:pPr>
        <w:jc w:val="both"/>
        <w:rPr>
          <w:rFonts w:ascii="Times New Roman" w:hAnsi="Times New Roman"/>
        </w:rPr>
      </w:pPr>
    </w:p>
    <w:p w14:paraId="7676BC08" w14:textId="0F2B998B" w:rsidR="00F27C9A" w:rsidRDefault="00DA5408" w:rsidP="005B56A2">
      <w:pPr>
        <w:jc w:val="both"/>
        <w:rPr>
          <w:rFonts w:ascii="Times New Roman" w:hAnsi="Times New Roman"/>
        </w:rPr>
      </w:pPr>
      <w:r>
        <w:rPr>
          <w:rFonts w:ascii="Times New Roman" w:hAnsi="Times New Roman"/>
        </w:rPr>
        <w:t xml:space="preserve">To assess </w:t>
      </w:r>
      <w:r w:rsidR="00693730" w:rsidRPr="00516AF3">
        <w:rPr>
          <w:rFonts w:ascii="Times New Roman" w:hAnsi="Times New Roman"/>
        </w:rPr>
        <w:t xml:space="preserve">the prevalence of tobacco </w:t>
      </w:r>
      <w:r>
        <w:rPr>
          <w:rFonts w:ascii="Times New Roman" w:hAnsi="Times New Roman"/>
        </w:rPr>
        <w:t>use in different sexual orientation groups</w:t>
      </w:r>
      <w:r w:rsidR="00693730" w:rsidRPr="00516AF3">
        <w:rPr>
          <w:rFonts w:ascii="Times New Roman" w:hAnsi="Times New Roman"/>
        </w:rPr>
        <w:t xml:space="preserve"> over time, we </w:t>
      </w:r>
      <w:r>
        <w:rPr>
          <w:rFonts w:ascii="Times New Roman" w:hAnsi="Times New Roman"/>
        </w:rPr>
        <w:t>conducted</w:t>
      </w:r>
      <w:r w:rsidR="00693730" w:rsidRPr="00516AF3">
        <w:rPr>
          <w:rFonts w:ascii="Times New Roman" w:hAnsi="Times New Roman"/>
        </w:rPr>
        <w:t xml:space="preserve"> crosstab analyses </w:t>
      </w:r>
      <w:r>
        <w:rPr>
          <w:rFonts w:ascii="Times New Roman" w:hAnsi="Times New Roman"/>
        </w:rPr>
        <w:t>within</w:t>
      </w:r>
      <w:r w:rsidR="00693730" w:rsidRPr="00516AF3">
        <w:rPr>
          <w:rFonts w:ascii="Times New Roman" w:hAnsi="Times New Roman"/>
        </w:rPr>
        <w:t xml:space="preserve"> each pooled survey wave. To determine </w:t>
      </w:r>
      <w:r w:rsidR="00051A9D">
        <w:rPr>
          <w:rFonts w:ascii="Times New Roman" w:hAnsi="Times New Roman"/>
        </w:rPr>
        <w:t xml:space="preserve">the significance of </w:t>
      </w:r>
      <w:r w:rsidR="00693730" w:rsidRPr="00516AF3">
        <w:rPr>
          <w:rFonts w:ascii="Times New Roman" w:hAnsi="Times New Roman"/>
        </w:rPr>
        <w:t>changes in tobacco use the first pooled wave (referent)</w:t>
      </w:r>
      <w:r>
        <w:rPr>
          <w:rFonts w:ascii="Times New Roman" w:hAnsi="Times New Roman"/>
        </w:rPr>
        <w:t xml:space="preserve"> and each subsequent wave</w:t>
      </w:r>
      <w:r w:rsidR="00693730" w:rsidRPr="00516AF3">
        <w:rPr>
          <w:rFonts w:ascii="Times New Roman" w:hAnsi="Times New Roman"/>
        </w:rPr>
        <w:t xml:space="preserve">, we </w:t>
      </w:r>
      <w:r w:rsidR="00051A9D">
        <w:rPr>
          <w:rFonts w:ascii="Times New Roman" w:hAnsi="Times New Roman"/>
        </w:rPr>
        <w:t xml:space="preserve">calculated </w:t>
      </w:r>
      <w:r w:rsidR="00693730" w:rsidRPr="00516AF3">
        <w:rPr>
          <w:rFonts w:ascii="Times New Roman" w:hAnsi="Times New Roman"/>
        </w:rPr>
        <w:t>odds ratios</w:t>
      </w:r>
      <w:r w:rsidR="00F27C9A">
        <w:rPr>
          <w:rFonts w:ascii="Times New Roman" w:hAnsi="Times New Roman"/>
        </w:rPr>
        <w:t xml:space="preserve"> (ORs)</w:t>
      </w:r>
      <w:r w:rsidR="00693730" w:rsidRPr="00516AF3">
        <w:rPr>
          <w:rFonts w:ascii="Times New Roman" w:hAnsi="Times New Roman"/>
        </w:rPr>
        <w:t xml:space="preserve"> </w:t>
      </w:r>
      <w:r w:rsidR="00051A9D">
        <w:rPr>
          <w:rFonts w:ascii="Times New Roman" w:hAnsi="Times New Roman"/>
        </w:rPr>
        <w:t>using</w:t>
      </w:r>
      <w:r w:rsidR="00693730" w:rsidRPr="00516AF3">
        <w:rPr>
          <w:rFonts w:ascii="Times New Roman" w:hAnsi="Times New Roman"/>
        </w:rPr>
        <w:t xml:space="preserve"> logistic regressions. </w:t>
      </w:r>
      <w:r w:rsidR="00051A9D">
        <w:rPr>
          <w:rFonts w:ascii="Times New Roman" w:hAnsi="Times New Roman"/>
        </w:rPr>
        <w:t xml:space="preserve">To determine whether </w:t>
      </w:r>
      <w:r w:rsidR="00693730" w:rsidRPr="00516AF3">
        <w:rPr>
          <w:rFonts w:ascii="Times New Roman" w:hAnsi="Times New Roman"/>
        </w:rPr>
        <w:t>sexual orienta</w:t>
      </w:r>
      <w:r w:rsidR="00051A9D">
        <w:rPr>
          <w:rFonts w:ascii="Times New Roman" w:hAnsi="Times New Roman"/>
        </w:rPr>
        <w:t xml:space="preserve">tion disparities in tobacco use were significant within </w:t>
      </w:r>
      <w:r w:rsidR="0071144B">
        <w:rPr>
          <w:rFonts w:ascii="Times New Roman" w:hAnsi="Times New Roman"/>
        </w:rPr>
        <w:t xml:space="preserve">sex </w:t>
      </w:r>
      <w:r w:rsidR="00051A9D">
        <w:rPr>
          <w:rFonts w:ascii="Times New Roman" w:hAnsi="Times New Roman"/>
        </w:rPr>
        <w:t xml:space="preserve">groups for each wave, </w:t>
      </w:r>
      <w:r w:rsidR="00693730" w:rsidRPr="00516AF3">
        <w:rPr>
          <w:rFonts w:ascii="Times New Roman" w:hAnsi="Times New Roman"/>
        </w:rPr>
        <w:t xml:space="preserve">we </w:t>
      </w:r>
      <w:r w:rsidR="00051A9D">
        <w:rPr>
          <w:rFonts w:ascii="Times New Roman" w:hAnsi="Times New Roman"/>
        </w:rPr>
        <w:t xml:space="preserve">calculated </w:t>
      </w:r>
      <w:r w:rsidR="00F27C9A">
        <w:rPr>
          <w:rFonts w:ascii="Times New Roman" w:hAnsi="Times New Roman"/>
        </w:rPr>
        <w:t xml:space="preserve">ORs </w:t>
      </w:r>
      <w:r w:rsidR="00051A9D">
        <w:rPr>
          <w:rFonts w:ascii="Times New Roman" w:hAnsi="Times New Roman"/>
        </w:rPr>
        <w:t xml:space="preserve"> using </w:t>
      </w:r>
      <w:r w:rsidR="00693730" w:rsidRPr="00516AF3">
        <w:rPr>
          <w:rFonts w:ascii="Times New Roman" w:hAnsi="Times New Roman"/>
        </w:rPr>
        <w:t>age- and ethnicity-adjusted logistic</w:t>
      </w:r>
      <w:r w:rsidR="00051A9D">
        <w:rPr>
          <w:rFonts w:ascii="Times New Roman" w:hAnsi="Times New Roman"/>
        </w:rPr>
        <w:t xml:space="preserve"> regressions</w:t>
      </w:r>
      <w:r w:rsidR="00693730" w:rsidRPr="00516AF3">
        <w:rPr>
          <w:rFonts w:ascii="Times New Roman" w:hAnsi="Times New Roman"/>
        </w:rPr>
        <w:t xml:space="preserve">. </w:t>
      </w:r>
    </w:p>
    <w:p w14:paraId="780E06BB" w14:textId="77777777" w:rsidR="00F27C9A" w:rsidRDefault="00F27C9A" w:rsidP="005B56A2">
      <w:pPr>
        <w:jc w:val="both"/>
        <w:rPr>
          <w:rFonts w:ascii="Times New Roman" w:hAnsi="Times New Roman"/>
        </w:rPr>
      </w:pPr>
    </w:p>
    <w:p w14:paraId="3312E8E8" w14:textId="3935C29F" w:rsidR="00F27C9A" w:rsidRDefault="00F27C9A" w:rsidP="00F27C9A">
      <w:pPr>
        <w:jc w:val="both"/>
        <w:rPr>
          <w:rFonts w:ascii="Times New Roman" w:hAnsi="Times New Roman"/>
        </w:rPr>
      </w:pPr>
      <w:r>
        <w:rPr>
          <w:rFonts w:ascii="Times New Roman" w:hAnsi="Times New Roman"/>
        </w:rPr>
        <w:t>W</w:t>
      </w:r>
      <w:r w:rsidR="00693730" w:rsidRPr="00516AF3">
        <w:rPr>
          <w:rFonts w:ascii="Times New Roman" w:hAnsi="Times New Roman"/>
        </w:rPr>
        <w:t>e used logistic regressions with wave-by-orientation interaction terms to test the main effects of sexual orientation (reference</w:t>
      </w:r>
      <w:r w:rsidR="00051A9D">
        <w:rPr>
          <w:rFonts w:ascii="Times New Roman" w:hAnsi="Times New Roman"/>
        </w:rPr>
        <w:t>:</w:t>
      </w:r>
      <w:r w:rsidR="00693730" w:rsidRPr="00516AF3">
        <w:rPr>
          <w:rFonts w:ascii="Times New Roman" w:hAnsi="Times New Roman"/>
        </w:rPr>
        <w:t xml:space="preserve"> heterosexual</w:t>
      </w:r>
      <w:r w:rsidR="00051A9D">
        <w:rPr>
          <w:rFonts w:ascii="Times New Roman" w:hAnsi="Times New Roman"/>
        </w:rPr>
        <w:t xml:space="preserve">), </w:t>
      </w:r>
      <w:r w:rsidR="00693730" w:rsidRPr="00516AF3">
        <w:rPr>
          <w:rFonts w:ascii="Times New Roman" w:hAnsi="Times New Roman"/>
        </w:rPr>
        <w:t>wave (reference</w:t>
      </w:r>
      <w:r w:rsidR="00051A9D">
        <w:rPr>
          <w:rFonts w:ascii="Times New Roman" w:hAnsi="Times New Roman"/>
        </w:rPr>
        <w:t>:</w:t>
      </w:r>
      <w:r w:rsidR="00693730" w:rsidRPr="00516AF3">
        <w:rPr>
          <w:rFonts w:ascii="Times New Roman" w:hAnsi="Times New Roman"/>
        </w:rPr>
        <w:t xml:space="preserve"> 1999/2001)</w:t>
      </w:r>
      <w:r w:rsidR="00051A9D">
        <w:rPr>
          <w:rFonts w:ascii="Times New Roman" w:hAnsi="Times New Roman"/>
        </w:rPr>
        <w:t>,</w:t>
      </w:r>
      <w:r w:rsidR="00693730" w:rsidRPr="00516AF3">
        <w:rPr>
          <w:rFonts w:ascii="Times New Roman" w:hAnsi="Times New Roman"/>
        </w:rPr>
        <w:t xml:space="preserve"> and orientation*wave to explore whether </w:t>
      </w:r>
      <w:r w:rsidR="00051A9D">
        <w:rPr>
          <w:rFonts w:ascii="Times New Roman" w:hAnsi="Times New Roman"/>
        </w:rPr>
        <w:t xml:space="preserve">sexual orientation </w:t>
      </w:r>
      <w:r w:rsidR="00693730" w:rsidRPr="00516AF3">
        <w:rPr>
          <w:rFonts w:ascii="Times New Roman" w:hAnsi="Times New Roman"/>
        </w:rPr>
        <w:t>disparities have changed since 1999/2001.</w:t>
      </w:r>
      <w:r>
        <w:rPr>
          <w:rFonts w:ascii="Times New Roman" w:hAnsi="Times New Roman"/>
        </w:rPr>
        <w:t xml:space="preserve"> </w:t>
      </w:r>
      <w:r w:rsidR="003E2A9C">
        <w:rPr>
          <w:rFonts w:ascii="Times New Roman" w:hAnsi="Times New Roman"/>
        </w:rPr>
        <w:t xml:space="preserve">We chose the reference year as 1999/2001 for ease in interpreation of changing trends and disparities; when sensitivty analyses were conducted with 2011/2013 as the referent year for all analyses, the patterns and significance of results were consistent. </w:t>
      </w:r>
      <w:r w:rsidR="00051A9D">
        <w:rPr>
          <w:rFonts w:ascii="Times New Roman" w:hAnsi="Times New Roman"/>
        </w:rPr>
        <w:t>T</w:t>
      </w:r>
      <w:r w:rsidR="00693730" w:rsidRPr="00516AF3">
        <w:rPr>
          <w:rFonts w:ascii="Times New Roman" w:hAnsi="Times New Roman"/>
        </w:rPr>
        <w:t xml:space="preserve">o test </w:t>
      </w:r>
      <w:r w:rsidR="00051A9D">
        <w:rPr>
          <w:rFonts w:ascii="Times New Roman" w:hAnsi="Times New Roman"/>
        </w:rPr>
        <w:t xml:space="preserve">specifically </w:t>
      </w:r>
      <w:r w:rsidR="00693730" w:rsidRPr="00516AF3">
        <w:rPr>
          <w:rFonts w:ascii="Times New Roman" w:hAnsi="Times New Roman"/>
        </w:rPr>
        <w:t xml:space="preserve">whether </w:t>
      </w:r>
      <w:r w:rsidR="00051A9D">
        <w:rPr>
          <w:rFonts w:ascii="Times New Roman" w:hAnsi="Times New Roman"/>
        </w:rPr>
        <w:t xml:space="preserve">sexual orientation </w:t>
      </w:r>
      <w:r w:rsidR="00693730" w:rsidRPr="00516AF3">
        <w:rPr>
          <w:rFonts w:ascii="Times New Roman" w:hAnsi="Times New Roman"/>
        </w:rPr>
        <w:lastRenderedPageBreak/>
        <w:t xml:space="preserve">disparities </w:t>
      </w:r>
      <w:r w:rsidR="00051A9D">
        <w:rPr>
          <w:rFonts w:ascii="Times New Roman" w:hAnsi="Times New Roman"/>
        </w:rPr>
        <w:t xml:space="preserve">in tobacco use </w:t>
      </w:r>
      <w:r w:rsidR="00693730" w:rsidRPr="00516AF3">
        <w:rPr>
          <w:rFonts w:ascii="Times New Roman" w:hAnsi="Times New Roman"/>
        </w:rPr>
        <w:t>had widened, narrowed, or remained the same</w:t>
      </w:r>
      <w:r w:rsidR="00051A9D">
        <w:rPr>
          <w:rFonts w:ascii="Times New Roman" w:hAnsi="Times New Roman"/>
        </w:rPr>
        <w:t xml:space="preserve"> over time</w:t>
      </w:r>
      <w:r w:rsidR="00693730" w:rsidRPr="00516AF3">
        <w:rPr>
          <w:rFonts w:ascii="Times New Roman" w:hAnsi="Times New Roman"/>
        </w:rPr>
        <w:t xml:space="preserve">, we </w:t>
      </w:r>
      <w:r w:rsidR="004744A3">
        <w:rPr>
          <w:rFonts w:ascii="Times New Roman" w:hAnsi="Times New Roman"/>
        </w:rPr>
        <w:t>divided an odds ratio for LGB tobacco use in a pooled survey wave (e.g., 2011/2013)</w:t>
      </w:r>
      <w:r w:rsidR="00C24D29">
        <w:rPr>
          <w:rFonts w:ascii="Times New Roman" w:hAnsi="Times New Roman"/>
        </w:rPr>
        <w:t xml:space="preserve"> </w:t>
      </w:r>
      <w:r w:rsidR="00693730" w:rsidRPr="00516AF3">
        <w:rPr>
          <w:rFonts w:ascii="Times New Roman" w:hAnsi="Times New Roman"/>
        </w:rPr>
        <w:t xml:space="preserve">by </w:t>
      </w:r>
      <w:r w:rsidR="00051A9D">
        <w:rPr>
          <w:rFonts w:ascii="Times New Roman" w:hAnsi="Times New Roman"/>
        </w:rPr>
        <w:t xml:space="preserve">the </w:t>
      </w:r>
      <w:r w:rsidR="004744A3">
        <w:rPr>
          <w:rFonts w:ascii="Times New Roman" w:hAnsi="Times New Roman"/>
        </w:rPr>
        <w:t xml:space="preserve">same </w:t>
      </w:r>
      <w:r w:rsidR="00693730" w:rsidRPr="00516AF3">
        <w:rPr>
          <w:rFonts w:ascii="Times New Roman" w:hAnsi="Times New Roman"/>
        </w:rPr>
        <w:t xml:space="preserve">odds ratio for </w:t>
      </w:r>
      <w:r w:rsidR="00051A9D">
        <w:rPr>
          <w:rFonts w:ascii="Times New Roman" w:hAnsi="Times New Roman"/>
        </w:rPr>
        <w:t xml:space="preserve">the 1991/2001 </w:t>
      </w:r>
      <w:r w:rsidR="004744A3">
        <w:rPr>
          <w:rFonts w:ascii="Times New Roman" w:hAnsi="Times New Roman"/>
        </w:rPr>
        <w:t>reference wave</w:t>
      </w:r>
      <w:r w:rsidR="00051A9D">
        <w:rPr>
          <w:rFonts w:ascii="Times New Roman" w:hAnsi="Times New Roman"/>
        </w:rPr>
        <w:t xml:space="preserve">. </w:t>
      </w:r>
      <w:r w:rsidR="00C77725">
        <w:rPr>
          <w:rFonts w:ascii="Times New Roman" w:hAnsi="Times New Roman"/>
        </w:rPr>
        <w:t xml:space="preserve">When an OR </w:t>
      </w:r>
      <w:r w:rsidR="00613BD1" w:rsidRPr="00613BD1">
        <w:rPr>
          <w:rFonts w:ascii="Times New Roman" w:hAnsi="Times New Roman"/>
        </w:rPr>
        <w:t>interaction term</w:t>
      </w:r>
      <w:r w:rsidR="00C77725">
        <w:rPr>
          <w:rFonts w:ascii="Times New Roman" w:hAnsi="Times New Roman"/>
        </w:rPr>
        <w:t xml:space="preserve"> is st</w:t>
      </w:r>
      <w:r w:rsidR="00C77725" w:rsidRPr="00613BD1">
        <w:rPr>
          <w:rFonts w:ascii="Times New Roman" w:hAnsi="Times New Roman"/>
        </w:rPr>
        <w:t>atistically significant</w:t>
      </w:r>
      <w:r w:rsidR="00C77725">
        <w:rPr>
          <w:rFonts w:ascii="Times New Roman" w:hAnsi="Times New Roman"/>
        </w:rPr>
        <w:t>,</w:t>
      </w:r>
      <w:r w:rsidR="00C77725" w:rsidRPr="00613BD1">
        <w:rPr>
          <w:rFonts w:ascii="Times New Roman" w:hAnsi="Times New Roman"/>
        </w:rPr>
        <w:t xml:space="preserve"> </w:t>
      </w:r>
      <w:r w:rsidR="00613BD1" w:rsidRPr="00613BD1">
        <w:rPr>
          <w:rFonts w:ascii="Times New Roman" w:hAnsi="Times New Roman"/>
        </w:rPr>
        <w:t xml:space="preserve">the gap in </w:t>
      </w:r>
      <w:r w:rsidR="00256703">
        <w:rPr>
          <w:rFonts w:ascii="Times New Roman" w:hAnsi="Times New Roman"/>
        </w:rPr>
        <w:t>cigarette smoking</w:t>
      </w:r>
      <w:r w:rsidR="00613BD1" w:rsidRPr="00613BD1">
        <w:rPr>
          <w:rFonts w:ascii="Times New Roman" w:hAnsi="Times New Roman"/>
        </w:rPr>
        <w:t xml:space="preserve"> between </w:t>
      </w:r>
      <w:r w:rsidR="001B1878">
        <w:rPr>
          <w:rFonts w:ascii="Times New Roman" w:hAnsi="Times New Roman"/>
        </w:rPr>
        <w:t xml:space="preserve">sexual minority and heteroexual adolescents </w:t>
      </w:r>
      <w:r w:rsidR="00613BD1" w:rsidRPr="00613BD1">
        <w:rPr>
          <w:rFonts w:ascii="Times New Roman" w:hAnsi="Times New Roman"/>
        </w:rPr>
        <w:t>has significantly widened or narrowed over time</w:t>
      </w:r>
      <w:r w:rsidR="001B1878">
        <w:rPr>
          <w:rFonts w:ascii="Times New Roman" w:hAnsi="Times New Roman"/>
        </w:rPr>
        <w:t xml:space="preserve">. </w:t>
      </w:r>
      <w:r w:rsidR="004744A3">
        <w:rPr>
          <w:rFonts w:ascii="Times New Roman" w:hAnsi="Times New Roman"/>
        </w:rPr>
        <w:t>In other words, we calculated a ratio of ratios</w:t>
      </w:r>
      <w:r w:rsidR="00693730" w:rsidRPr="00516AF3">
        <w:rPr>
          <w:rFonts w:ascii="Times New Roman" w:hAnsi="Times New Roman"/>
        </w:rPr>
        <w:t xml:space="preserve"> to determine if </w:t>
      </w:r>
      <w:r w:rsidR="004744A3">
        <w:rPr>
          <w:rFonts w:ascii="Times New Roman" w:hAnsi="Times New Roman"/>
        </w:rPr>
        <w:t>the</w:t>
      </w:r>
      <w:r w:rsidR="00693730" w:rsidRPr="00516AF3">
        <w:rPr>
          <w:rFonts w:ascii="Times New Roman" w:hAnsi="Times New Roman"/>
        </w:rPr>
        <w:t xml:space="preserve"> gap in </w:t>
      </w:r>
      <w:r w:rsidR="004744A3">
        <w:rPr>
          <w:rFonts w:ascii="Times New Roman" w:hAnsi="Times New Roman"/>
        </w:rPr>
        <w:t>a tobacco use</w:t>
      </w:r>
      <w:r w:rsidR="00693730" w:rsidRPr="00516AF3">
        <w:rPr>
          <w:rFonts w:ascii="Times New Roman" w:hAnsi="Times New Roman"/>
        </w:rPr>
        <w:t xml:space="preserve"> outcome had changed over time for a particular </w:t>
      </w:r>
      <w:r w:rsidR="004744A3">
        <w:rPr>
          <w:rFonts w:ascii="Times New Roman" w:hAnsi="Times New Roman"/>
        </w:rPr>
        <w:t xml:space="preserve">sexual orientation </w:t>
      </w:r>
      <w:r w:rsidR="00693730" w:rsidRPr="00516AF3">
        <w:rPr>
          <w:rFonts w:ascii="Times New Roman" w:hAnsi="Times New Roman"/>
        </w:rPr>
        <w:t xml:space="preserve">subgroup compared to the heterosexual reference group of the same sex. </w:t>
      </w:r>
      <w:r>
        <w:rPr>
          <w:rFonts w:ascii="Times New Roman" w:hAnsi="Times New Roman"/>
        </w:rPr>
        <w:t xml:space="preserve">To interpret these interactions, </w:t>
      </w:r>
      <w:r w:rsidRPr="00F27C9A">
        <w:rPr>
          <w:rFonts w:ascii="Times New Roman" w:hAnsi="Times New Roman"/>
        </w:rPr>
        <w:t>OR</w:t>
      </w:r>
      <w:r>
        <w:rPr>
          <w:rFonts w:ascii="Times New Roman" w:hAnsi="Times New Roman"/>
        </w:rPr>
        <w:t>s</w:t>
      </w:r>
      <w:r w:rsidRPr="00F27C9A">
        <w:rPr>
          <w:rFonts w:ascii="Times New Roman" w:hAnsi="Times New Roman"/>
        </w:rPr>
        <w:t xml:space="preserve"> greater than 1 </w:t>
      </w:r>
      <w:r>
        <w:rPr>
          <w:rFonts w:ascii="Times New Roman" w:hAnsi="Times New Roman"/>
        </w:rPr>
        <w:t>indicate a cigarette smoking behavior</w:t>
      </w:r>
      <w:r w:rsidRPr="00F27C9A">
        <w:rPr>
          <w:rFonts w:ascii="Times New Roman" w:hAnsi="Times New Roman"/>
        </w:rPr>
        <w:t xml:space="preserve"> in a year was larger th</w:t>
      </w:r>
      <w:r>
        <w:rPr>
          <w:rFonts w:ascii="Times New Roman" w:hAnsi="Times New Roman"/>
        </w:rPr>
        <w:t xml:space="preserve">an in the reference year, indicating </w:t>
      </w:r>
      <w:r w:rsidRPr="00F27C9A">
        <w:rPr>
          <w:rFonts w:ascii="Times New Roman" w:hAnsi="Times New Roman"/>
        </w:rPr>
        <w:t>the</w:t>
      </w:r>
      <w:r>
        <w:rPr>
          <w:rFonts w:ascii="Times New Roman" w:hAnsi="Times New Roman"/>
        </w:rPr>
        <w:t xml:space="preserve"> said</w:t>
      </w:r>
      <w:r w:rsidR="000164D5">
        <w:rPr>
          <w:rFonts w:ascii="Times New Roman" w:hAnsi="Times New Roman"/>
        </w:rPr>
        <w:t xml:space="preserve"> gap is widening</w:t>
      </w:r>
      <w:r w:rsidRPr="00F27C9A">
        <w:rPr>
          <w:rFonts w:ascii="Times New Roman" w:hAnsi="Times New Roman"/>
        </w:rPr>
        <w:t xml:space="preserve">, and </w:t>
      </w:r>
      <w:r w:rsidR="000164D5">
        <w:rPr>
          <w:rFonts w:ascii="Times New Roman" w:hAnsi="Times New Roman"/>
        </w:rPr>
        <w:t xml:space="preserve">ORs less than 1 suggests the cigarette use disparity  </w:t>
      </w:r>
      <w:r w:rsidRPr="00F27C9A">
        <w:rPr>
          <w:rFonts w:ascii="Times New Roman" w:hAnsi="Times New Roman"/>
        </w:rPr>
        <w:t>in a year was small</w:t>
      </w:r>
      <w:r w:rsidR="000164D5">
        <w:rPr>
          <w:rFonts w:ascii="Times New Roman" w:hAnsi="Times New Roman"/>
        </w:rPr>
        <w:t xml:space="preserve">er than in a reference year, indicating </w:t>
      </w:r>
      <w:r w:rsidR="000164D5" w:rsidRPr="00F27C9A">
        <w:rPr>
          <w:rFonts w:ascii="Times New Roman" w:hAnsi="Times New Roman"/>
        </w:rPr>
        <w:t>the</w:t>
      </w:r>
      <w:r w:rsidR="000164D5">
        <w:rPr>
          <w:rFonts w:ascii="Times New Roman" w:hAnsi="Times New Roman"/>
        </w:rPr>
        <w:t xml:space="preserve"> said gap is narrowing</w:t>
      </w:r>
      <w:r w:rsidRPr="00F27C9A">
        <w:rPr>
          <w:rFonts w:ascii="Times New Roman" w:hAnsi="Times New Roman"/>
        </w:rPr>
        <w:t>.</w:t>
      </w:r>
      <w:r>
        <w:rPr>
          <w:rFonts w:ascii="Times New Roman" w:hAnsi="Times New Roman"/>
        </w:rPr>
        <w:t xml:space="preserve">  </w:t>
      </w:r>
    </w:p>
    <w:p w14:paraId="1565FFA8" w14:textId="0145F39A" w:rsidR="00693730" w:rsidRPr="00516AF3" w:rsidRDefault="00693730" w:rsidP="00B974B6">
      <w:pPr>
        <w:jc w:val="both"/>
        <w:rPr>
          <w:rFonts w:ascii="Times New Roman" w:hAnsi="Times New Roman"/>
        </w:rPr>
      </w:pPr>
    </w:p>
    <w:p w14:paraId="050D944B" w14:textId="77777777" w:rsidR="00AD06E7" w:rsidRDefault="00AD06E7" w:rsidP="005B56A2">
      <w:pPr>
        <w:contextualSpacing/>
        <w:jc w:val="both"/>
        <w:rPr>
          <w:rFonts w:ascii="Times New Roman" w:hAnsi="Times New Roman"/>
          <w:b/>
          <w:bCs/>
          <w:noProof w:val="0"/>
        </w:rPr>
      </w:pPr>
    </w:p>
    <w:p w14:paraId="74FEC6ED" w14:textId="60A03A70" w:rsidR="00DD6A81" w:rsidRPr="00516AF3" w:rsidRDefault="00302CCC" w:rsidP="005B56A2">
      <w:pPr>
        <w:contextualSpacing/>
        <w:jc w:val="both"/>
        <w:rPr>
          <w:rFonts w:ascii="Times New Roman" w:hAnsi="Times New Roman"/>
          <w:b/>
          <w:bCs/>
          <w:noProof w:val="0"/>
        </w:rPr>
      </w:pPr>
      <w:r>
        <w:rPr>
          <w:rFonts w:ascii="Times New Roman" w:hAnsi="Times New Roman"/>
          <w:b/>
          <w:bCs/>
          <w:noProof w:val="0"/>
        </w:rPr>
        <w:t xml:space="preserve">3. </w:t>
      </w:r>
      <w:r w:rsidR="00DD6A81" w:rsidRPr="00516AF3">
        <w:rPr>
          <w:rFonts w:ascii="Times New Roman" w:hAnsi="Times New Roman"/>
          <w:b/>
          <w:bCs/>
          <w:noProof w:val="0"/>
        </w:rPr>
        <w:t>Results</w:t>
      </w:r>
    </w:p>
    <w:p w14:paraId="6D226F73" w14:textId="77777777" w:rsidR="00AD06E7" w:rsidRDefault="00AD06E7" w:rsidP="005B56A2">
      <w:pPr>
        <w:contextualSpacing/>
        <w:jc w:val="both"/>
        <w:rPr>
          <w:rFonts w:ascii="Times New Roman" w:hAnsi="Times New Roman"/>
          <w:bCs/>
          <w:noProof w:val="0"/>
        </w:rPr>
      </w:pPr>
    </w:p>
    <w:p w14:paraId="5D1A8AA2" w14:textId="77777777" w:rsidR="00200E5C" w:rsidRPr="00516AF3" w:rsidRDefault="00200E5C" w:rsidP="005B56A2">
      <w:pPr>
        <w:contextualSpacing/>
        <w:jc w:val="both"/>
        <w:rPr>
          <w:rFonts w:ascii="Times New Roman" w:hAnsi="Times New Roman"/>
          <w:bCs/>
          <w:noProof w:val="0"/>
        </w:rPr>
      </w:pPr>
      <w:r w:rsidRPr="00516AF3">
        <w:rPr>
          <w:rFonts w:ascii="Times New Roman" w:hAnsi="Times New Roman"/>
          <w:bCs/>
          <w:noProof w:val="0"/>
        </w:rPr>
        <w:t>Table 1 presents the sample demographics disaggregated by sex and sexual orientation for each of the four pooled survey waves. In general,</w:t>
      </w:r>
      <w:r w:rsidR="004744A3">
        <w:rPr>
          <w:rFonts w:ascii="Times New Roman" w:hAnsi="Times New Roman"/>
          <w:bCs/>
          <w:noProof w:val="0"/>
        </w:rPr>
        <w:t xml:space="preserve"> heterosexuals made up </w:t>
      </w:r>
      <w:r w:rsidR="00EF007D">
        <w:rPr>
          <w:rFonts w:ascii="Times New Roman" w:hAnsi="Times New Roman"/>
          <w:bCs/>
          <w:noProof w:val="0"/>
        </w:rPr>
        <w:t>most of</w:t>
      </w:r>
      <w:r w:rsidRPr="00516AF3">
        <w:rPr>
          <w:rFonts w:ascii="Times New Roman" w:hAnsi="Times New Roman"/>
          <w:bCs/>
          <w:noProof w:val="0"/>
        </w:rPr>
        <w:t xml:space="preserve"> the overall sample across all four waves, but the </w:t>
      </w:r>
      <w:r w:rsidR="00EF007D">
        <w:rPr>
          <w:rFonts w:ascii="Times New Roman" w:hAnsi="Times New Roman"/>
          <w:bCs/>
          <w:noProof w:val="0"/>
        </w:rPr>
        <w:t xml:space="preserve">proportion of </w:t>
      </w:r>
      <w:r w:rsidRPr="00516AF3">
        <w:rPr>
          <w:rFonts w:ascii="Times New Roman" w:hAnsi="Times New Roman"/>
          <w:bCs/>
          <w:noProof w:val="0"/>
        </w:rPr>
        <w:t xml:space="preserve">all </w:t>
      </w:r>
      <w:r w:rsidR="00EF007D">
        <w:rPr>
          <w:rFonts w:ascii="Times New Roman" w:hAnsi="Times New Roman"/>
          <w:bCs/>
          <w:noProof w:val="0"/>
        </w:rPr>
        <w:t xml:space="preserve">sexual minority </w:t>
      </w:r>
      <w:r w:rsidRPr="00516AF3">
        <w:rPr>
          <w:rFonts w:ascii="Times New Roman" w:hAnsi="Times New Roman"/>
          <w:bCs/>
          <w:noProof w:val="0"/>
        </w:rPr>
        <w:t>subgroups (</w:t>
      </w:r>
      <w:r w:rsidR="003F0089">
        <w:rPr>
          <w:rFonts w:ascii="Times New Roman" w:hAnsi="Times New Roman"/>
          <w:bCs/>
          <w:noProof w:val="0"/>
        </w:rPr>
        <w:t>g</w:t>
      </w:r>
      <w:r w:rsidR="00C03C79">
        <w:rPr>
          <w:rFonts w:ascii="Times New Roman" w:hAnsi="Times New Roman"/>
          <w:bCs/>
          <w:noProof w:val="0"/>
        </w:rPr>
        <w:t>irls and boys</w:t>
      </w:r>
      <w:r w:rsidR="00EF007D">
        <w:rPr>
          <w:rFonts w:ascii="Times New Roman" w:hAnsi="Times New Roman"/>
          <w:bCs/>
          <w:noProof w:val="0"/>
        </w:rPr>
        <w:t xml:space="preserve"> identifying as lesbian, </w:t>
      </w:r>
      <w:r w:rsidRPr="00516AF3">
        <w:rPr>
          <w:rFonts w:ascii="Times New Roman" w:hAnsi="Times New Roman"/>
          <w:bCs/>
          <w:noProof w:val="0"/>
        </w:rPr>
        <w:t xml:space="preserve">gay, </w:t>
      </w:r>
      <w:r w:rsidR="00EF007D">
        <w:rPr>
          <w:rFonts w:ascii="Times New Roman" w:hAnsi="Times New Roman"/>
          <w:bCs/>
          <w:noProof w:val="0"/>
        </w:rPr>
        <w:t xml:space="preserve">or </w:t>
      </w:r>
      <w:r w:rsidRPr="00516AF3">
        <w:rPr>
          <w:rFonts w:ascii="Times New Roman" w:hAnsi="Times New Roman"/>
          <w:bCs/>
          <w:noProof w:val="0"/>
        </w:rPr>
        <w:t xml:space="preserve">bisexual) </w:t>
      </w:r>
      <w:r w:rsidR="00EF007D">
        <w:rPr>
          <w:rFonts w:ascii="Times New Roman" w:hAnsi="Times New Roman"/>
          <w:bCs/>
          <w:noProof w:val="0"/>
        </w:rPr>
        <w:t xml:space="preserve">increased </w:t>
      </w:r>
      <w:r w:rsidRPr="00516AF3">
        <w:rPr>
          <w:rFonts w:ascii="Times New Roman" w:hAnsi="Times New Roman"/>
          <w:bCs/>
          <w:noProof w:val="0"/>
        </w:rPr>
        <w:t xml:space="preserve">consistently over time </w:t>
      </w:r>
      <w:r w:rsidR="00EF007D">
        <w:rPr>
          <w:rFonts w:ascii="Times New Roman" w:hAnsi="Times New Roman"/>
          <w:bCs/>
          <w:noProof w:val="0"/>
        </w:rPr>
        <w:t>after</w:t>
      </w:r>
      <w:r w:rsidRPr="00516AF3">
        <w:rPr>
          <w:rFonts w:ascii="Times New Roman" w:hAnsi="Times New Roman"/>
          <w:bCs/>
          <w:noProof w:val="0"/>
        </w:rPr>
        <w:t xml:space="preserve"> 1999/2001.</w:t>
      </w:r>
    </w:p>
    <w:p w14:paraId="5E454C6E" w14:textId="77777777" w:rsidR="00AD06E7" w:rsidRDefault="00AD06E7" w:rsidP="005B56A2">
      <w:pPr>
        <w:contextualSpacing/>
        <w:jc w:val="both"/>
        <w:rPr>
          <w:rFonts w:ascii="Times New Roman" w:hAnsi="Times New Roman"/>
          <w:bCs/>
          <w:noProof w:val="0"/>
        </w:rPr>
      </w:pPr>
    </w:p>
    <w:p w14:paraId="2392012A" w14:textId="739F16CF" w:rsidR="00AD06E7" w:rsidRDefault="00EF007D" w:rsidP="005B56A2">
      <w:pPr>
        <w:contextualSpacing/>
        <w:jc w:val="both"/>
        <w:rPr>
          <w:rFonts w:ascii="Times New Roman" w:hAnsi="Times New Roman"/>
        </w:rPr>
      </w:pPr>
      <w:r>
        <w:rPr>
          <w:rFonts w:ascii="Times New Roman" w:hAnsi="Times New Roman"/>
          <w:bCs/>
          <w:noProof w:val="0"/>
        </w:rPr>
        <w:t>Table 2 shows</w:t>
      </w:r>
      <w:r w:rsidR="00200E5C" w:rsidRPr="00516AF3">
        <w:rPr>
          <w:rFonts w:ascii="Times New Roman" w:hAnsi="Times New Roman"/>
          <w:bCs/>
          <w:noProof w:val="0"/>
        </w:rPr>
        <w:t xml:space="preserve"> the prevalence of tobacco use, disaggregate</w:t>
      </w:r>
      <w:r>
        <w:rPr>
          <w:rFonts w:ascii="Times New Roman" w:hAnsi="Times New Roman"/>
          <w:bCs/>
          <w:noProof w:val="0"/>
        </w:rPr>
        <w:t>d by sex and sexual orientation</w:t>
      </w:r>
      <w:r w:rsidR="00200E5C" w:rsidRPr="00516AF3">
        <w:rPr>
          <w:rFonts w:ascii="Times New Roman" w:hAnsi="Times New Roman"/>
          <w:bCs/>
          <w:noProof w:val="0"/>
        </w:rPr>
        <w:t xml:space="preserve"> for each survey wave. </w:t>
      </w:r>
      <w:r w:rsidR="003F0089">
        <w:rPr>
          <w:rFonts w:ascii="Times New Roman" w:hAnsi="Times New Roman"/>
          <w:bCs/>
          <w:noProof w:val="0"/>
        </w:rPr>
        <w:t>Using</w:t>
      </w:r>
      <w:r w:rsidR="003F0089" w:rsidRPr="00516AF3">
        <w:rPr>
          <w:rFonts w:ascii="Times New Roman" w:hAnsi="Times New Roman"/>
          <w:bCs/>
          <w:noProof w:val="0"/>
        </w:rPr>
        <w:t xml:space="preserve"> odds ratio</w:t>
      </w:r>
      <w:r w:rsidR="003F0089">
        <w:rPr>
          <w:rFonts w:ascii="Times New Roman" w:hAnsi="Times New Roman"/>
          <w:bCs/>
          <w:noProof w:val="0"/>
        </w:rPr>
        <w:t xml:space="preserve">s adjusted by school </w:t>
      </w:r>
      <w:r w:rsidR="00E30804">
        <w:rPr>
          <w:rFonts w:ascii="Times New Roman" w:hAnsi="Times New Roman"/>
          <w:bCs/>
          <w:noProof w:val="0"/>
        </w:rPr>
        <w:t xml:space="preserve">age </w:t>
      </w:r>
      <w:r w:rsidR="003F0089">
        <w:rPr>
          <w:rFonts w:ascii="Times New Roman" w:hAnsi="Times New Roman"/>
          <w:bCs/>
          <w:noProof w:val="0"/>
        </w:rPr>
        <w:t>and ethnicity, w</w:t>
      </w:r>
      <w:r w:rsidR="00200E5C" w:rsidRPr="00516AF3">
        <w:rPr>
          <w:rFonts w:ascii="Times New Roman" w:hAnsi="Times New Roman"/>
          <w:bCs/>
          <w:noProof w:val="0"/>
        </w:rPr>
        <w:t xml:space="preserve">e indicated </w:t>
      </w:r>
      <w:r>
        <w:rPr>
          <w:rFonts w:ascii="Times New Roman" w:hAnsi="Times New Roman"/>
          <w:bCs/>
          <w:noProof w:val="0"/>
        </w:rPr>
        <w:t xml:space="preserve">for each survey wave </w:t>
      </w:r>
      <w:r w:rsidR="00200E5C" w:rsidRPr="00516AF3">
        <w:rPr>
          <w:rFonts w:ascii="Times New Roman" w:hAnsi="Times New Roman"/>
          <w:bCs/>
          <w:noProof w:val="0"/>
        </w:rPr>
        <w:t xml:space="preserve">whether the prevalence of </w:t>
      </w:r>
      <w:r w:rsidR="003F0089">
        <w:rPr>
          <w:rFonts w:ascii="Times New Roman" w:hAnsi="Times New Roman"/>
          <w:bCs/>
          <w:noProof w:val="0"/>
        </w:rPr>
        <w:t xml:space="preserve">tobacco use </w:t>
      </w:r>
      <w:r w:rsidR="00200E5C" w:rsidRPr="00516AF3">
        <w:rPr>
          <w:rFonts w:ascii="Times New Roman" w:hAnsi="Times New Roman"/>
          <w:bCs/>
          <w:noProof w:val="0"/>
        </w:rPr>
        <w:t xml:space="preserve">changed </w:t>
      </w:r>
      <w:r w:rsidR="003F0089">
        <w:rPr>
          <w:rFonts w:ascii="Times New Roman" w:hAnsi="Times New Roman"/>
          <w:bCs/>
          <w:noProof w:val="0"/>
        </w:rPr>
        <w:t xml:space="preserve">significantly </w:t>
      </w:r>
      <w:r w:rsidR="00200E5C" w:rsidRPr="00516AF3">
        <w:rPr>
          <w:rFonts w:ascii="Times New Roman" w:hAnsi="Times New Roman"/>
          <w:bCs/>
          <w:noProof w:val="0"/>
        </w:rPr>
        <w:t>compared to the first survey wave</w:t>
      </w:r>
      <w:r w:rsidR="003F0089">
        <w:rPr>
          <w:rFonts w:ascii="Times New Roman" w:hAnsi="Times New Roman"/>
          <w:bCs/>
          <w:noProof w:val="0"/>
        </w:rPr>
        <w:t>.</w:t>
      </w:r>
      <w:r w:rsidR="003820C0">
        <w:rPr>
          <w:rFonts w:ascii="Times New Roman" w:hAnsi="Times New Roman"/>
          <w:bCs/>
          <w:noProof w:val="0"/>
        </w:rPr>
        <w:t xml:space="preserve"> </w:t>
      </w:r>
      <w:r w:rsidR="003F0089">
        <w:rPr>
          <w:rFonts w:ascii="Times New Roman" w:hAnsi="Times New Roman"/>
          <w:bCs/>
          <w:noProof w:val="0"/>
        </w:rPr>
        <w:t xml:space="preserve">The overall </w:t>
      </w:r>
      <w:r w:rsidR="003F0089" w:rsidRPr="00516AF3">
        <w:rPr>
          <w:rFonts w:ascii="Times New Roman" w:hAnsi="Times New Roman"/>
        </w:rPr>
        <w:t xml:space="preserve">use of tobacco decreased </w:t>
      </w:r>
      <w:r w:rsidR="003F0089">
        <w:rPr>
          <w:rFonts w:ascii="Times New Roman" w:hAnsi="Times New Roman"/>
        </w:rPr>
        <w:t xml:space="preserve">fairly consistently </w:t>
      </w:r>
      <w:r w:rsidR="003F0089" w:rsidRPr="00516AF3">
        <w:rPr>
          <w:rFonts w:ascii="Times New Roman" w:hAnsi="Times New Roman"/>
        </w:rPr>
        <w:t xml:space="preserve">over the four survey waves. In some cases, this </w:t>
      </w:r>
      <w:r w:rsidR="003F0089">
        <w:rPr>
          <w:rFonts w:ascii="Times New Roman" w:hAnsi="Times New Roman"/>
        </w:rPr>
        <w:t>decline in use was more th</w:t>
      </w:r>
      <w:r w:rsidR="003F1F1C">
        <w:rPr>
          <w:rFonts w:ascii="Times New Roman" w:hAnsi="Times New Roman"/>
        </w:rPr>
        <w:t xml:space="preserve">an </w:t>
      </w:r>
      <w:r w:rsidR="003F0089">
        <w:rPr>
          <w:rFonts w:ascii="Times New Roman" w:hAnsi="Times New Roman"/>
        </w:rPr>
        <w:t>300%</w:t>
      </w:r>
      <w:r w:rsidR="003F0089" w:rsidRPr="00516AF3">
        <w:rPr>
          <w:rFonts w:ascii="Times New Roman" w:hAnsi="Times New Roman"/>
        </w:rPr>
        <w:t xml:space="preserve">. </w:t>
      </w:r>
      <w:r w:rsidR="003F1F1C">
        <w:rPr>
          <w:rFonts w:ascii="Times New Roman" w:hAnsi="Times New Roman"/>
          <w:bCs/>
          <w:noProof w:val="0"/>
        </w:rPr>
        <w:t>Among lesbian girls, there were large increases</w:t>
      </w:r>
      <w:r w:rsidR="003F1F1C">
        <w:rPr>
          <w:rFonts w:ascii="Times New Roman" w:hAnsi="Times New Roman"/>
        </w:rPr>
        <w:t xml:space="preserve"> between 1999/2001 and 2003/2005</w:t>
      </w:r>
      <w:r w:rsidR="003F1F1C" w:rsidRPr="00516AF3">
        <w:rPr>
          <w:rFonts w:ascii="Times New Roman" w:hAnsi="Times New Roman"/>
        </w:rPr>
        <w:t xml:space="preserve"> in </w:t>
      </w:r>
      <w:r w:rsidR="003F1F1C">
        <w:rPr>
          <w:rFonts w:ascii="Times New Roman" w:hAnsi="Times New Roman"/>
        </w:rPr>
        <w:t>reporting early-age smoking and reporting a history of smoking.</w:t>
      </w:r>
    </w:p>
    <w:p w14:paraId="33435CA2" w14:textId="77777777" w:rsidR="003F1F1C" w:rsidRDefault="003F1F1C" w:rsidP="005B56A2">
      <w:pPr>
        <w:contextualSpacing/>
        <w:jc w:val="both"/>
        <w:rPr>
          <w:rFonts w:ascii="Times New Roman" w:hAnsi="Times New Roman"/>
          <w:bCs/>
          <w:noProof w:val="0"/>
        </w:rPr>
      </w:pPr>
    </w:p>
    <w:p w14:paraId="3A458B6B" w14:textId="51CF973E" w:rsidR="00693730" w:rsidRPr="00B73D41" w:rsidRDefault="006D556E" w:rsidP="005B56A2">
      <w:pPr>
        <w:contextualSpacing/>
        <w:jc w:val="both"/>
        <w:rPr>
          <w:rFonts w:ascii="Times New Roman" w:hAnsi="Times New Roman"/>
        </w:rPr>
      </w:pPr>
      <w:r w:rsidRPr="00516AF3">
        <w:rPr>
          <w:rFonts w:ascii="Times New Roman" w:hAnsi="Times New Roman"/>
        </w:rPr>
        <w:t xml:space="preserve">Next, </w:t>
      </w:r>
      <w:r w:rsidR="003F0089">
        <w:rPr>
          <w:rFonts w:ascii="Times New Roman" w:hAnsi="Times New Roman"/>
        </w:rPr>
        <w:t xml:space="preserve">we examined whether or not sexual orientation </w:t>
      </w:r>
      <w:r w:rsidR="00693730" w:rsidRPr="00516AF3">
        <w:rPr>
          <w:rFonts w:ascii="Times New Roman" w:hAnsi="Times New Roman"/>
        </w:rPr>
        <w:t xml:space="preserve">disparities in </w:t>
      </w:r>
      <w:r w:rsidR="003F0089">
        <w:rPr>
          <w:rFonts w:ascii="Times New Roman" w:hAnsi="Times New Roman"/>
        </w:rPr>
        <w:t>tobacco</w:t>
      </w:r>
      <w:r w:rsidR="00693730" w:rsidRPr="00516AF3">
        <w:rPr>
          <w:rFonts w:ascii="Times New Roman" w:hAnsi="Times New Roman"/>
        </w:rPr>
        <w:t xml:space="preserve"> use </w:t>
      </w:r>
      <w:r w:rsidR="003F0089">
        <w:rPr>
          <w:rFonts w:ascii="Times New Roman" w:hAnsi="Times New Roman"/>
        </w:rPr>
        <w:t xml:space="preserve">persisted despite the overall declines in use. </w:t>
      </w:r>
      <w:r w:rsidR="0072366A" w:rsidRPr="00516AF3">
        <w:rPr>
          <w:rFonts w:ascii="Times New Roman" w:hAnsi="Times New Roman"/>
          <w:bCs/>
          <w:noProof w:val="0"/>
        </w:rPr>
        <w:t xml:space="preserve">Table 3 presents </w:t>
      </w:r>
      <w:r w:rsidR="003F0089">
        <w:rPr>
          <w:rFonts w:ascii="Times New Roman" w:hAnsi="Times New Roman"/>
          <w:bCs/>
          <w:noProof w:val="0"/>
        </w:rPr>
        <w:t xml:space="preserve">these disparities, again </w:t>
      </w:r>
      <w:r w:rsidR="003F0089" w:rsidRPr="00516AF3">
        <w:rPr>
          <w:rFonts w:ascii="Times New Roman" w:hAnsi="Times New Roman"/>
          <w:bCs/>
          <w:noProof w:val="0"/>
        </w:rPr>
        <w:t>disaggregate</w:t>
      </w:r>
      <w:r w:rsidR="003F0089">
        <w:rPr>
          <w:rFonts w:ascii="Times New Roman" w:hAnsi="Times New Roman"/>
          <w:bCs/>
          <w:noProof w:val="0"/>
        </w:rPr>
        <w:t>d by sex and sexual orientation</w:t>
      </w:r>
      <w:r w:rsidR="003F0089" w:rsidRPr="00516AF3">
        <w:rPr>
          <w:rFonts w:ascii="Times New Roman" w:hAnsi="Times New Roman"/>
          <w:bCs/>
          <w:noProof w:val="0"/>
        </w:rPr>
        <w:t xml:space="preserve"> for each survey wave. </w:t>
      </w:r>
      <w:r w:rsidR="0072366A" w:rsidRPr="00516AF3">
        <w:rPr>
          <w:rFonts w:ascii="Times New Roman" w:hAnsi="Times New Roman"/>
          <w:bCs/>
          <w:noProof w:val="0"/>
        </w:rPr>
        <w:t xml:space="preserve">In every statistically significant comparison (indicated by adjusted odds ratios in boldface font), sexual minority subgroups were more likely to have engaged in tobacco use compared to their heterosexual counterparts. For example, in the 2007/2009 wave, </w:t>
      </w:r>
      <w:r w:rsidR="003F1F1C">
        <w:rPr>
          <w:rFonts w:ascii="Times New Roman" w:hAnsi="Times New Roman"/>
          <w:bCs/>
          <w:noProof w:val="0"/>
        </w:rPr>
        <w:t>sexual minority</w:t>
      </w:r>
      <w:r w:rsidR="00C03C79">
        <w:rPr>
          <w:rFonts w:ascii="Times New Roman" w:hAnsi="Times New Roman"/>
          <w:bCs/>
          <w:noProof w:val="0"/>
        </w:rPr>
        <w:t xml:space="preserve"> girls and boys</w:t>
      </w:r>
      <w:r w:rsidR="0072366A" w:rsidRPr="00516AF3">
        <w:rPr>
          <w:rFonts w:ascii="Times New Roman" w:hAnsi="Times New Roman"/>
          <w:bCs/>
          <w:noProof w:val="0"/>
        </w:rPr>
        <w:t xml:space="preserve"> were </w:t>
      </w:r>
      <w:r w:rsidR="00C03C79">
        <w:rPr>
          <w:rFonts w:ascii="Times New Roman" w:hAnsi="Times New Roman"/>
          <w:bCs/>
          <w:noProof w:val="0"/>
        </w:rPr>
        <w:t xml:space="preserve">all </w:t>
      </w:r>
      <w:r w:rsidR="0072366A" w:rsidRPr="00516AF3">
        <w:rPr>
          <w:rFonts w:ascii="Times New Roman" w:hAnsi="Times New Roman"/>
          <w:bCs/>
          <w:noProof w:val="0"/>
        </w:rPr>
        <w:t>more likely to have engaged in tobacco use than heterosexuals</w:t>
      </w:r>
      <w:r w:rsidR="00C03C79">
        <w:rPr>
          <w:rFonts w:ascii="Times New Roman" w:hAnsi="Times New Roman"/>
          <w:bCs/>
          <w:noProof w:val="0"/>
        </w:rPr>
        <w:t xml:space="preserve"> in their corresponding sex group</w:t>
      </w:r>
      <w:r w:rsidR="0072366A" w:rsidRPr="00516AF3">
        <w:rPr>
          <w:rFonts w:ascii="Times New Roman" w:hAnsi="Times New Roman"/>
          <w:bCs/>
          <w:noProof w:val="0"/>
        </w:rPr>
        <w:t xml:space="preserve">. Sexual minority boys and girls </w:t>
      </w:r>
      <w:r w:rsidR="00693730" w:rsidRPr="00516AF3">
        <w:rPr>
          <w:rFonts w:ascii="Times New Roman" w:hAnsi="Times New Roman"/>
          <w:bCs/>
          <w:noProof w:val="0"/>
        </w:rPr>
        <w:t xml:space="preserve">had </w:t>
      </w:r>
      <w:r w:rsidR="00B73D41">
        <w:rPr>
          <w:rFonts w:ascii="Times New Roman" w:hAnsi="Times New Roman"/>
          <w:bCs/>
          <w:noProof w:val="0"/>
        </w:rPr>
        <w:t>higher odds</w:t>
      </w:r>
      <w:r w:rsidR="00693730" w:rsidRPr="00516AF3">
        <w:rPr>
          <w:rFonts w:ascii="Times New Roman" w:hAnsi="Times New Roman"/>
          <w:bCs/>
          <w:noProof w:val="0"/>
        </w:rPr>
        <w:t xml:space="preserve"> </w:t>
      </w:r>
      <w:r w:rsidR="0072366A" w:rsidRPr="00516AF3">
        <w:rPr>
          <w:rFonts w:ascii="Times New Roman" w:hAnsi="Times New Roman"/>
          <w:bCs/>
          <w:noProof w:val="0"/>
        </w:rPr>
        <w:t xml:space="preserve">of </w:t>
      </w:r>
      <w:r w:rsidR="004578F9">
        <w:rPr>
          <w:rFonts w:ascii="Times New Roman" w:hAnsi="Times New Roman"/>
          <w:bCs/>
          <w:noProof w:val="0"/>
        </w:rPr>
        <w:t xml:space="preserve">early onset </w:t>
      </w:r>
      <w:r w:rsidR="0072366A" w:rsidRPr="00516AF3">
        <w:rPr>
          <w:rFonts w:ascii="Times New Roman" w:hAnsi="Times New Roman"/>
          <w:bCs/>
          <w:noProof w:val="0"/>
        </w:rPr>
        <w:t>smoking compared to heterosexual boys and girls</w:t>
      </w:r>
      <w:r w:rsidR="00B73D41">
        <w:rPr>
          <w:rFonts w:ascii="Times New Roman" w:hAnsi="Times New Roman"/>
          <w:bCs/>
          <w:noProof w:val="0"/>
        </w:rPr>
        <w:t xml:space="preserve"> in most waves.</w:t>
      </w:r>
      <w:r w:rsidR="0072366A" w:rsidRPr="00516AF3">
        <w:rPr>
          <w:rFonts w:ascii="Times New Roman" w:hAnsi="Times New Roman"/>
          <w:bCs/>
          <w:noProof w:val="0"/>
        </w:rPr>
        <w:t xml:space="preserve"> </w:t>
      </w:r>
      <w:r w:rsidR="00C03C79">
        <w:rPr>
          <w:rFonts w:ascii="Times New Roman" w:hAnsi="Times New Roman"/>
          <w:bCs/>
          <w:noProof w:val="0"/>
        </w:rPr>
        <w:t>I</w:t>
      </w:r>
      <w:r w:rsidR="00E816D8" w:rsidRPr="00516AF3">
        <w:rPr>
          <w:rFonts w:ascii="Times New Roman" w:hAnsi="Times New Roman"/>
          <w:bCs/>
          <w:noProof w:val="0"/>
        </w:rPr>
        <w:t xml:space="preserve">n </w:t>
      </w:r>
      <w:r w:rsidR="00A57C89" w:rsidRPr="00516AF3">
        <w:rPr>
          <w:rFonts w:ascii="Times New Roman" w:hAnsi="Times New Roman"/>
          <w:bCs/>
          <w:noProof w:val="0"/>
        </w:rPr>
        <w:t xml:space="preserve">the </w:t>
      </w:r>
      <w:r w:rsidR="004B48D3" w:rsidRPr="00516AF3">
        <w:rPr>
          <w:rFonts w:ascii="Times New Roman" w:hAnsi="Times New Roman"/>
          <w:bCs/>
          <w:noProof w:val="0"/>
        </w:rPr>
        <w:t xml:space="preserve">most recent </w:t>
      </w:r>
      <w:r w:rsidR="00A57C89" w:rsidRPr="00516AF3">
        <w:rPr>
          <w:rFonts w:ascii="Times New Roman" w:hAnsi="Times New Roman"/>
          <w:bCs/>
          <w:noProof w:val="0"/>
        </w:rPr>
        <w:t>wave</w:t>
      </w:r>
      <w:r w:rsidR="00C03C79">
        <w:rPr>
          <w:rFonts w:ascii="Times New Roman" w:hAnsi="Times New Roman"/>
          <w:bCs/>
          <w:noProof w:val="0"/>
        </w:rPr>
        <w:t xml:space="preserve"> (2011/2013)</w:t>
      </w:r>
      <w:r w:rsidR="00A57C89" w:rsidRPr="00516AF3">
        <w:rPr>
          <w:rFonts w:ascii="Times New Roman" w:hAnsi="Times New Roman"/>
          <w:bCs/>
          <w:noProof w:val="0"/>
        </w:rPr>
        <w:t>, lesbian</w:t>
      </w:r>
      <w:r w:rsidR="004B48D3" w:rsidRPr="00516AF3">
        <w:rPr>
          <w:rFonts w:ascii="Times New Roman" w:hAnsi="Times New Roman"/>
          <w:bCs/>
          <w:noProof w:val="0"/>
        </w:rPr>
        <w:t xml:space="preserve"> girls were nearly 8</w:t>
      </w:r>
      <w:r w:rsidR="00693730" w:rsidRPr="00516AF3">
        <w:rPr>
          <w:rFonts w:ascii="Times New Roman" w:hAnsi="Times New Roman"/>
          <w:bCs/>
          <w:noProof w:val="0"/>
        </w:rPr>
        <w:t xml:space="preserve"> times more likely </w:t>
      </w:r>
      <w:r w:rsidR="00B73D41">
        <w:rPr>
          <w:rFonts w:ascii="Times New Roman" w:hAnsi="Times New Roman"/>
          <w:bCs/>
          <w:noProof w:val="0"/>
        </w:rPr>
        <w:t xml:space="preserve">(confidence interval from 2.27—17.32) </w:t>
      </w:r>
      <w:r w:rsidR="00E816D8" w:rsidRPr="00516AF3">
        <w:rPr>
          <w:rFonts w:ascii="Times New Roman" w:hAnsi="Times New Roman"/>
          <w:bCs/>
          <w:noProof w:val="0"/>
        </w:rPr>
        <w:t>to have smoked daily compared to their heterosexual counterparts.</w:t>
      </w:r>
      <w:r w:rsidR="004578F9">
        <w:rPr>
          <w:rFonts w:ascii="Times New Roman" w:hAnsi="Times New Roman"/>
          <w:bCs/>
          <w:noProof w:val="0"/>
        </w:rPr>
        <w:t xml:space="preserve"> </w:t>
      </w:r>
      <w:r w:rsidR="004B48D3" w:rsidRPr="00516AF3">
        <w:rPr>
          <w:rFonts w:ascii="Times New Roman" w:hAnsi="Times New Roman"/>
        </w:rPr>
        <w:t>In the same wave</w:t>
      </w:r>
      <w:r w:rsidR="00C03C79">
        <w:rPr>
          <w:rFonts w:ascii="Times New Roman" w:hAnsi="Times New Roman"/>
        </w:rPr>
        <w:t xml:space="preserve">, bisexual boys were </w:t>
      </w:r>
      <w:r w:rsidR="00B73D41">
        <w:rPr>
          <w:rFonts w:ascii="Times New Roman" w:hAnsi="Times New Roman"/>
        </w:rPr>
        <w:t>nearly five</w:t>
      </w:r>
      <w:r w:rsidR="00693730" w:rsidRPr="00516AF3">
        <w:rPr>
          <w:rFonts w:ascii="Times New Roman" w:hAnsi="Times New Roman"/>
        </w:rPr>
        <w:t xml:space="preserve"> times more likely </w:t>
      </w:r>
      <w:r w:rsidR="00B73D41">
        <w:rPr>
          <w:rFonts w:ascii="Times New Roman" w:hAnsi="Times New Roman"/>
        </w:rPr>
        <w:t xml:space="preserve">(confidence interval from 1.63—11.27) </w:t>
      </w:r>
      <w:r w:rsidR="00693730" w:rsidRPr="00516AF3">
        <w:rPr>
          <w:rFonts w:ascii="Times New Roman" w:hAnsi="Times New Roman"/>
        </w:rPr>
        <w:t>to</w:t>
      </w:r>
      <w:r w:rsidR="00C03C79">
        <w:rPr>
          <w:rFonts w:ascii="Times New Roman" w:hAnsi="Times New Roman"/>
        </w:rPr>
        <w:t xml:space="preserve"> have</w:t>
      </w:r>
      <w:r w:rsidR="00693730" w:rsidRPr="00516AF3">
        <w:rPr>
          <w:rFonts w:ascii="Times New Roman" w:hAnsi="Times New Roman"/>
        </w:rPr>
        <w:t xml:space="preserve"> smoke</w:t>
      </w:r>
      <w:r w:rsidR="00C03C79">
        <w:rPr>
          <w:rFonts w:ascii="Times New Roman" w:hAnsi="Times New Roman"/>
        </w:rPr>
        <w:t>d</w:t>
      </w:r>
      <w:r w:rsidR="00693730" w:rsidRPr="00516AF3">
        <w:rPr>
          <w:rFonts w:ascii="Times New Roman" w:hAnsi="Times New Roman"/>
        </w:rPr>
        <w:t xml:space="preserve"> daily in the past month compared to their heterosexual counterparts</w:t>
      </w:r>
      <w:r w:rsidR="004B48D3" w:rsidRPr="00516AF3">
        <w:rPr>
          <w:rFonts w:ascii="Times New Roman" w:hAnsi="Times New Roman"/>
        </w:rPr>
        <w:t>.</w:t>
      </w:r>
    </w:p>
    <w:p w14:paraId="1902562D" w14:textId="77777777" w:rsidR="00AD06E7" w:rsidRDefault="00AD06E7" w:rsidP="005B56A2">
      <w:pPr>
        <w:ind w:right="20"/>
        <w:jc w:val="both"/>
        <w:rPr>
          <w:rFonts w:ascii="Times New Roman" w:hAnsi="Times New Roman"/>
        </w:rPr>
      </w:pPr>
    </w:p>
    <w:p w14:paraId="09B0A8B5" w14:textId="42659894" w:rsidR="00693730" w:rsidRPr="00516AF3" w:rsidRDefault="00693730" w:rsidP="005B56A2">
      <w:pPr>
        <w:ind w:right="20"/>
        <w:jc w:val="both"/>
        <w:rPr>
          <w:rFonts w:ascii="Times New Roman" w:hAnsi="Times New Roman"/>
        </w:rPr>
      </w:pPr>
      <w:r w:rsidRPr="00516AF3">
        <w:rPr>
          <w:rFonts w:ascii="Times New Roman" w:hAnsi="Times New Roman"/>
        </w:rPr>
        <w:t xml:space="preserve">Our </w:t>
      </w:r>
      <w:r w:rsidR="00C03C79">
        <w:rPr>
          <w:rFonts w:ascii="Times New Roman" w:hAnsi="Times New Roman"/>
        </w:rPr>
        <w:t>final objective</w:t>
      </w:r>
      <w:r w:rsidRPr="00516AF3">
        <w:rPr>
          <w:rFonts w:ascii="Times New Roman" w:hAnsi="Times New Roman"/>
        </w:rPr>
        <w:t xml:space="preserve"> was to determine whether sexual orientation disparities in tob</w:t>
      </w:r>
      <w:r w:rsidR="00C03C79">
        <w:rPr>
          <w:rFonts w:ascii="Times New Roman" w:hAnsi="Times New Roman"/>
        </w:rPr>
        <w:t>acco use have changed over time</w:t>
      </w:r>
      <w:r w:rsidR="00DF627D">
        <w:rPr>
          <w:rFonts w:ascii="Times New Roman" w:hAnsi="Times New Roman"/>
        </w:rPr>
        <w:t>; Table 4 presents these findings</w:t>
      </w:r>
      <w:r w:rsidRPr="00516AF3">
        <w:rPr>
          <w:rFonts w:ascii="Times New Roman" w:hAnsi="Times New Roman"/>
        </w:rPr>
        <w:t xml:space="preserve">. We found no significant ratio of </w:t>
      </w:r>
      <w:r w:rsidR="004B48D3" w:rsidRPr="00516AF3">
        <w:rPr>
          <w:rFonts w:ascii="Times New Roman" w:hAnsi="Times New Roman"/>
        </w:rPr>
        <w:t>ORs</w:t>
      </w:r>
      <w:r w:rsidR="00BB6F0F">
        <w:rPr>
          <w:rFonts w:ascii="Times New Roman" w:hAnsi="Times New Roman"/>
        </w:rPr>
        <w:t xml:space="preserve"> for boys; t</w:t>
      </w:r>
      <w:r w:rsidRPr="00516AF3">
        <w:rPr>
          <w:rFonts w:ascii="Times New Roman" w:hAnsi="Times New Roman"/>
        </w:rPr>
        <w:t xml:space="preserve">hat is, tobacco use disparities have </w:t>
      </w:r>
      <w:r w:rsidR="00D307DF">
        <w:rPr>
          <w:rFonts w:ascii="Times New Roman" w:hAnsi="Times New Roman"/>
        </w:rPr>
        <w:t>not changed significantly</w:t>
      </w:r>
      <w:r w:rsidRPr="00516AF3">
        <w:rPr>
          <w:rFonts w:ascii="Times New Roman" w:hAnsi="Times New Roman"/>
        </w:rPr>
        <w:t xml:space="preserve"> for </w:t>
      </w:r>
      <w:r w:rsidR="00C03C79">
        <w:rPr>
          <w:rFonts w:ascii="Times New Roman" w:hAnsi="Times New Roman"/>
        </w:rPr>
        <w:t>gay and bisexual</w:t>
      </w:r>
      <w:r w:rsidRPr="00516AF3">
        <w:rPr>
          <w:rFonts w:ascii="Times New Roman" w:hAnsi="Times New Roman"/>
        </w:rPr>
        <w:t xml:space="preserve"> boys s</w:t>
      </w:r>
      <w:r w:rsidR="00C03C79">
        <w:rPr>
          <w:rFonts w:ascii="Times New Roman" w:hAnsi="Times New Roman"/>
        </w:rPr>
        <w:t>ince 1999/2001. Between 1999/2001 and 2003/2005, however, there was widening inequality between lesbian girls and heterosexual girls</w:t>
      </w:r>
      <w:r w:rsidRPr="00516AF3">
        <w:rPr>
          <w:rFonts w:ascii="Times New Roman" w:hAnsi="Times New Roman"/>
        </w:rPr>
        <w:t xml:space="preserve"> in </w:t>
      </w:r>
      <w:r w:rsidR="00C03C79">
        <w:rPr>
          <w:rFonts w:ascii="Times New Roman" w:hAnsi="Times New Roman"/>
        </w:rPr>
        <w:t xml:space="preserve">terms of </w:t>
      </w:r>
      <w:r w:rsidR="004578F9">
        <w:rPr>
          <w:rFonts w:ascii="Times New Roman" w:hAnsi="Times New Roman"/>
        </w:rPr>
        <w:t>early onset smoking</w:t>
      </w:r>
      <w:r w:rsidR="00285F1B">
        <w:rPr>
          <w:rFonts w:ascii="Times New Roman" w:hAnsi="Times New Roman"/>
        </w:rPr>
        <w:t xml:space="preserve"> and ever smoking</w:t>
      </w:r>
      <w:r w:rsidR="004578F9">
        <w:rPr>
          <w:rFonts w:ascii="Times New Roman" w:hAnsi="Times New Roman"/>
        </w:rPr>
        <w:t>.</w:t>
      </w:r>
    </w:p>
    <w:p w14:paraId="5944EF9C" w14:textId="77777777" w:rsidR="00AD06E7" w:rsidRDefault="00AD06E7" w:rsidP="005B56A2">
      <w:pPr>
        <w:contextualSpacing/>
        <w:jc w:val="both"/>
        <w:rPr>
          <w:rFonts w:ascii="Times New Roman" w:hAnsi="Times New Roman"/>
          <w:b/>
          <w:bCs/>
          <w:noProof w:val="0"/>
        </w:rPr>
      </w:pPr>
    </w:p>
    <w:p w14:paraId="44A914EE" w14:textId="4C2872D7" w:rsidR="00693730" w:rsidRDefault="00302CCC" w:rsidP="005B56A2">
      <w:pPr>
        <w:contextualSpacing/>
        <w:jc w:val="both"/>
        <w:rPr>
          <w:rFonts w:ascii="Times New Roman" w:hAnsi="Times New Roman"/>
          <w:b/>
          <w:bCs/>
          <w:noProof w:val="0"/>
        </w:rPr>
      </w:pPr>
      <w:r>
        <w:rPr>
          <w:rFonts w:ascii="Times New Roman" w:hAnsi="Times New Roman"/>
          <w:b/>
          <w:bCs/>
          <w:noProof w:val="0"/>
        </w:rPr>
        <w:lastRenderedPageBreak/>
        <w:t xml:space="preserve">4. </w:t>
      </w:r>
      <w:r w:rsidR="00DD6A81" w:rsidRPr="00AD06E7">
        <w:rPr>
          <w:rFonts w:ascii="Times New Roman" w:hAnsi="Times New Roman"/>
          <w:b/>
          <w:bCs/>
          <w:noProof w:val="0"/>
        </w:rPr>
        <w:t>Discussion</w:t>
      </w:r>
    </w:p>
    <w:p w14:paraId="2594BF76" w14:textId="77777777" w:rsidR="00745EE1" w:rsidRDefault="00745EE1" w:rsidP="005B56A2">
      <w:pPr>
        <w:contextualSpacing/>
        <w:jc w:val="both"/>
        <w:rPr>
          <w:rFonts w:ascii="Times New Roman" w:hAnsi="Times New Roman"/>
          <w:b/>
          <w:bCs/>
          <w:noProof w:val="0"/>
        </w:rPr>
      </w:pPr>
    </w:p>
    <w:p w14:paraId="5681D2E7" w14:textId="6693FAD0" w:rsidR="00BB6F0F" w:rsidRDefault="00745EE1" w:rsidP="005B56A2">
      <w:pPr>
        <w:jc w:val="both"/>
        <w:rPr>
          <w:rFonts w:ascii="Times New Roman" w:hAnsi="Times New Roman"/>
        </w:rPr>
      </w:pPr>
      <w:r>
        <w:rPr>
          <w:rFonts w:ascii="Times New Roman" w:hAnsi="Times New Roman"/>
          <w:bCs/>
          <w:noProof w:val="0"/>
        </w:rPr>
        <w:t>The results here show that both experimentation with tobacco and entrenched daily smoking among youth have declined markedly since 2000</w:t>
      </w:r>
      <w:r w:rsidR="00AD490D">
        <w:rPr>
          <w:rFonts w:ascii="Times New Roman" w:hAnsi="Times New Roman"/>
          <w:bCs/>
          <w:noProof w:val="0"/>
        </w:rPr>
        <w:t>: T</w:t>
      </w:r>
      <w:r w:rsidR="007A24CF">
        <w:rPr>
          <w:rFonts w:ascii="Times New Roman" w:hAnsi="Times New Roman"/>
          <w:bCs/>
          <w:noProof w:val="0"/>
        </w:rPr>
        <w:t xml:space="preserve">hese declines </w:t>
      </w:r>
      <w:r w:rsidR="00AD490D">
        <w:rPr>
          <w:rFonts w:ascii="Times New Roman" w:hAnsi="Times New Roman"/>
          <w:bCs/>
          <w:noProof w:val="0"/>
        </w:rPr>
        <w:t>were present</w:t>
      </w:r>
      <w:r w:rsidR="007A24CF">
        <w:rPr>
          <w:rFonts w:ascii="Times New Roman" w:hAnsi="Times New Roman"/>
          <w:bCs/>
          <w:noProof w:val="0"/>
        </w:rPr>
        <w:t xml:space="preserve"> in all sex and sexual orientation groups. This suggests that both tobacco control programs in Massachusetts and corresponding shifts in social attitudes toward smoking have affected smoking behaviors in diverse segments of society. </w:t>
      </w:r>
      <w:r w:rsidR="007A24CF">
        <w:rPr>
          <w:rFonts w:ascii="Times New Roman" w:hAnsi="Times New Roman"/>
        </w:rPr>
        <w:t>At the same time</w:t>
      </w:r>
      <w:r w:rsidR="00693730" w:rsidRPr="00AD06E7">
        <w:rPr>
          <w:rFonts w:ascii="Times New Roman" w:hAnsi="Times New Roman"/>
        </w:rPr>
        <w:t xml:space="preserve">, sexual orientation disparities in tobacco use </w:t>
      </w:r>
      <w:r w:rsidR="007A24CF">
        <w:rPr>
          <w:rFonts w:ascii="Times New Roman" w:hAnsi="Times New Roman"/>
        </w:rPr>
        <w:t>among youth</w:t>
      </w:r>
      <w:r w:rsidR="00BB6F0F">
        <w:rPr>
          <w:rFonts w:ascii="Times New Roman" w:hAnsi="Times New Roman"/>
        </w:rPr>
        <w:t xml:space="preserve"> in Massachusetts</w:t>
      </w:r>
      <w:r w:rsidR="00693730" w:rsidRPr="00AD06E7">
        <w:rPr>
          <w:rFonts w:ascii="Times New Roman" w:hAnsi="Times New Roman"/>
        </w:rPr>
        <w:t>are pervasive</w:t>
      </w:r>
      <w:r w:rsidR="00550FA3">
        <w:rPr>
          <w:rFonts w:ascii="Times New Roman" w:hAnsi="Times New Roman"/>
        </w:rPr>
        <w:t xml:space="preserve">; </w:t>
      </w:r>
      <w:r w:rsidR="00CB4815">
        <w:rPr>
          <w:rFonts w:ascii="Times New Roman" w:hAnsi="Times New Roman"/>
        </w:rPr>
        <w:t>LGB</w:t>
      </w:r>
      <w:r w:rsidR="00550FA3">
        <w:rPr>
          <w:rFonts w:ascii="Times New Roman" w:hAnsi="Times New Roman"/>
        </w:rPr>
        <w:t xml:space="preserve"> youth are about three to eight times </w:t>
      </w:r>
      <w:r w:rsidR="0038485E">
        <w:rPr>
          <w:rFonts w:ascii="Times New Roman" w:hAnsi="Times New Roman"/>
        </w:rPr>
        <w:t>more</w:t>
      </w:r>
      <w:r w:rsidR="00550FA3">
        <w:rPr>
          <w:rFonts w:ascii="Times New Roman" w:hAnsi="Times New Roman"/>
        </w:rPr>
        <w:t xml:space="preserve"> likely to report being a </w:t>
      </w:r>
      <w:r w:rsidR="0038485E">
        <w:rPr>
          <w:rFonts w:ascii="Times New Roman" w:hAnsi="Times New Roman"/>
        </w:rPr>
        <w:t>daily</w:t>
      </w:r>
      <w:r w:rsidR="00550FA3">
        <w:rPr>
          <w:rFonts w:ascii="Times New Roman" w:hAnsi="Times New Roman"/>
        </w:rPr>
        <w:t xml:space="preserve"> smoker depending on their sex and sexual orientation category</w:t>
      </w:r>
      <w:r w:rsidR="00693730" w:rsidRPr="00AD06E7">
        <w:rPr>
          <w:rFonts w:ascii="Times New Roman" w:hAnsi="Times New Roman"/>
        </w:rPr>
        <w:t xml:space="preserve">. </w:t>
      </w:r>
      <w:r w:rsidR="00BB6F0F">
        <w:rPr>
          <w:rFonts w:ascii="Times New Roman" w:hAnsi="Times New Roman"/>
        </w:rPr>
        <w:t xml:space="preserve">The tobacco use problem </w:t>
      </w:r>
      <w:r w:rsidR="00550FA3">
        <w:rPr>
          <w:rFonts w:ascii="Times New Roman" w:hAnsi="Times New Roman"/>
        </w:rPr>
        <w:t>is most</w:t>
      </w:r>
      <w:r w:rsidR="00BB6F0F">
        <w:rPr>
          <w:rFonts w:ascii="Times New Roman" w:hAnsi="Times New Roman"/>
        </w:rPr>
        <w:t xml:space="preserve"> critical </w:t>
      </w:r>
      <w:r w:rsidR="001258BD">
        <w:rPr>
          <w:rFonts w:ascii="Times New Roman" w:hAnsi="Times New Roman"/>
        </w:rPr>
        <w:t>among</w:t>
      </w:r>
      <w:r w:rsidR="00BB6F0F">
        <w:rPr>
          <w:rFonts w:ascii="Times New Roman" w:hAnsi="Times New Roman"/>
        </w:rPr>
        <w:t xml:space="preserve"> sexual minority girls. The disparities between heterosexual and lesbian or bisexual girls are not only wider than those for boys, they  have also worsened over time in the case of self-identified lesbian girls. This worst-case scenario of high and increasingly unequal use among lesbian (compared to heterosexual</w:t>
      </w:r>
      <w:r w:rsidR="0038485E">
        <w:rPr>
          <w:rFonts w:ascii="Times New Roman" w:hAnsi="Times New Roman"/>
        </w:rPr>
        <w:t>)</w:t>
      </w:r>
      <w:r w:rsidR="00BB6F0F">
        <w:rPr>
          <w:rFonts w:ascii="Times New Roman" w:hAnsi="Times New Roman"/>
        </w:rPr>
        <w:t xml:space="preserve"> girls mirrors Newcomb et al.’s (2014) finding that youth who are gay or lesbian rather than bisexual have the worst tobacco use outcomes. The results also echo </w:t>
      </w:r>
      <w:r w:rsidR="007A0110">
        <w:rPr>
          <w:rFonts w:ascii="Times New Roman" w:hAnsi="Times New Roman"/>
        </w:rPr>
        <w:t>recent youth studies (Corliss et al.</w:t>
      </w:r>
      <w:r w:rsidR="00C24D29">
        <w:rPr>
          <w:rFonts w:ascii="Times New Roman" w:hAnsi="Times New Roman"/>
        </w:rPr>
        <w:t>,</w:t>
      </w:r>
      <w:r w:rsidR="007A0110">
        <w:rPr>
          <w:rFonts w:ascii="Times New Roman" w:hAnsi="Times New Roman"/>
        </w:rPr>
        <w:t xml:space="preserve"> 2013) and </w:t>
      </w:r>
      <w:r w:rsidR="00BB6F0F">
        <w:rPr>
          <w:rFonts w:ascii="Times New Roman" w:hAnsi="Times New Roman"/>
        </w:rPr>
        <w:t xml:space="preserve">previous adult studies </w:t>
      </w:r>
      <w:r w:rsidR="00550FA3">
        <w:rPr>
          <w:rFonts w:ascii="Times New Roman" w:hAnsi="Times New Roman"/>
        </w:rPr>
        <w:t xml:space="preserve">reporting greater sexual orientation disparities in tobacco use among women </w:t>
      </w:r>
      <w:r w:rsidR="0038485E">
        <w:rPr>
          <w:rFonts w:ascii="Times New Roman" w:hAnsi="Times New Roman"/>
        </w:rPr>
        <w:t>than</w:t>
      </w:r>
      <w:r w:rsidR="00550FA3">
        <w:rPr>
          <w:rFonts w:ascii="Times New Roman" w:hAnsi="Times New Roman"/>
        </w:rPr>
        <w:t xml:space="preserve"> men</w:t>
      </w:r>
      <w:r w:rsidR="00BB6F0F">
        <w:rPr>
          <w:rFonts w:ascii="Times New Roman" w:hAnsi="Times New Roman"/>
        </w:rPr>
        <w:t xml:space="preserve"> (Boehmer et al.</w:t>
      </w:r>
      <w:r w:rsidR="00C24D29">
        <w:rPr>
          <w:rFonts w:ascii="Times New Roman" w:hAnsi="Times New Roman"/>
        </w:rPr>
        <w:t>,</w:t>
      </w:r>
      <w:r w:rsidR="00BB6F0F">
        <w:rPr>
          <w:rFonts w:ascii="Times New Roman" w:hAnsi="Times New Roman"/>
        </w:rPr>
        <w:t xml:space="preserve"> 2012; </w:t>
      </w:r>
      <w:r w:rsidR="00550FA3">
        <w:rPr>
          <w:rFonts w:ascii="Times New Roman" w:hAnsi="Times New Roman"/>
        </w:rPr>
        <w:t>Fallin et al.</w:t>
      </w:r>
      <w:r w:rsidR="00C24D29">
        <w:rPr>
          <w:rFonts w:ascii="Times New Roman" w:hAnsi="Times New Roman"/>
        </w:rPr>
        <w:t>,</w:t>
      </w:r>
      <w:r w:rsidR="00550FA3">
        <w:rPr>
          <w:rFonts w:ascii="Times New Roman" w:hAnsi="Times New Roman"/>
        </w:rPr>
        <w:t xml:space="preserve"> 2015</w:t>
      </w:r>
      <w:r w:rsidR="00BB6F0F">
        <w:rPr>
          <w:rFonts w:ascii="Times New Roman" w:hAnsi="Times New Roman"/>
        </w:rPr>
        <w:t xml:space="preserve">). </w:t>
      </w:r>
      <w:r w:rsidR="00550FA3">
        <w:rPr>
          <w:rFonts w:ascii="Times New Roman" w:hAnsi="Times New Roman"/>
        </w:rPr>
        <w:t>While most youth populations are smoking less than they used to, sexual minority youth and especially sexual minority girls are not improving as quickly</w:t>
      </w:r>
      <w:r w:rsidR="005B56A2">
        <w:rPr>
          <w:rFonts w:ascii="Times New Roman" w:hAnsi="Times New Roman"/>
        </w:rPr>
        <w:t xml:space="preserve"> despite the most critical </w:t>
      </w:r>
      <w:r w:rsidR="009B1CEB" w:rsidRPr="004578F9">
        <w:rPr>
          <w:rFonts w:ascii="Times New Roman" w:hAnsi="Times New Roman"/>
        </w:rPr>
        <w:t>need</w:t>
      </w:r>
      <w:r w:rsidR="005B56A2">
        <w:rPr>
          <w:rFonts w:ascii="Times New Roman" w:hAnsi="Times New Roman"/>
        </w:rPr>
        <w:t xml:space="preserve"> for improvement.</w:t>
      </w:r>
    </w:p>
    <w:p w14:paraId="4D84DB3B" w14:textId="77777777" w:rsidR="00BB6F0F" w:rsidRDefault="00BB6F0F" w:rsidP="005B56A2">
      <w:pPr>
        <w:contextualSpacing/>
        <w:jc w:val="both"/>
        <w:rPr>
          <w:rFonts w:ascii="Times New Roman" w:hAnsi="Times New Roman"/>
        </w:rPr>
      </w:pPr>
    </w:p>
    <w:p w14:paraId="7CDB552D" w14:textId="0B4EA4F9" w:rsidR="007A24CF" w:rsidRDefault="007A24CF" w:rsidP="005B56A2">
      <w:pPr>
        <w:contextualSpacing/>
        <w:jc w:val="both"/>
        <w:rPr>
          <w:rFonts w:ascii="Times New Roman" w:hAnsi="Times New Roman"/>
        </w:rPr>
      </w:pPr>
      <w:r>
        <w:rPr>
          <w:rFonts w:ascii="Times New Roman" w:hAnsi="Times New Roman"/>
        </w:rPr>
        <w:t xml:space="preserve">The fact that </w:t>
      </w:r>
      <w:r w:rsidR="00BB6F0F">
        <w:rPr>
          <w:rFonts w:ascii="Times New Roman" w:hAnsi="Times New Roman"/>
        </w:rPr>
        <w:t xml:space="preserve">these patterns </w:t>
      </w:r>
      <w:r w:rsidR="0020467D">
        <w:rPr>
          <w:rFonts w:ascii="Times New Roman" w:hAnsi="Times New Roman"/>
        </w:rPr>
        <w:t>were</w:t>
      </w:r>
      <w:r w:rsidR="00BB6F0F">
        <w:rPr>
          <w:rFonts w:ascii="Times New Roman" w:hAnsi="Times New Roman"/>
        </w:rPr>
        <w:t xml:space="preserve"> observed</w:t>
      </w:r>
      <w:r w:rsidR="004578F9">
        <w:rPr>
          <w:rFonts w:ascii="Times New Roman" w:hAnsi="Times New Roman"/>
        </w:rPr>
        <w:t xml:space="preserve"> </w:t>
      </w:r>
      <w:r>
        <w:rPr>
          <w:rFonts w:ascii="Times New Roman" w:hAnsi="Times New Roman"/>
        </w:rPr>
        <w:t xml:space="preserve">in the state of Massachusetts is particularly telling. </w:t>
      </w:r>
      <w:r w:rsidR="0092676C">
        <w:rPr>
          <w:rFonts w:ascii="Times New Roman" w:hAnsi="Times New Roman"/>
        </w:rPr>
        <w:t>Massachusetts was among the first U.S. states to legalize civil partnership and then same-sex marriage. It also has generally progressive and inclusive social welfare policies and programs compared to many other states, as evidenced by early inclusion of s</w:t>
      </w:r>
      <w:r w:rsidR="00342E7D">
        <w:rPr>
          <w:rFonts w:ascii="Times New Roman" w:hAnsi="Times New Roman"/>
        </w:rPr>
        <w:t xml:space="preserve">exual orientation in the MYRBS. </w:t>
      </w:r>
      <w:r w:rsidR="00D307DF">
        <w:rPr>
          <w:rFonts w:ascii="Times New Roman" w:hAnsi="Times New Roman"/>
          <w:bCs/>
          <w:noProof w:val="0"/>
        </w:rPr>
        <w:t>T</w:t>
      </w:r>
      <w:r w:rsidR="00AE67E9" w:rsidRPr="002F3AD6">
        <w:rPr>
          <w:rFonts w:ascii="Times New Roman" w:hAnsi="Times New Roman"/>
          <w:bCs/>
          <w:noProof w:val="0"/>
        </w:rPr>
        <w:t xml:space="preserve">hese policies </w:t>
      </w:r>
      <w:r w:rsidR="00D307DF">
        <w:rPr>
          <w:rFonts w:ascii="Times New Roman" w:hAnsi="Times New Roman"/>
          <w:bCs/>
          <w:noProof w:val="0"/>
        </w:rPr>
        <w:t xml:space="preserve">may </w:t>
      </w:r>
      <w:r w:rsidR="00AE67E9" w:rsidRPr="002F3AD6">
        <w:rPr>
          <w:rFonts w:ascii="Times New Roman" w:hAnsi="Times New Roman"/>
          <w:bCs/>
          <w:noProof w:val="0"/>
        </w:rPr>
        <w:t xml:space="preserve">represent a framework </w:t>
      </w:r>
      <w:r w:rsidR="00D307DF">
        <w:rPr>
          <w:rFonts w:ascii="Times New Roman" w:hAnsi="Times New Roman"/>
          <w:bCs/>
          <w:noProof w:val="0"/>
        </w:rPr>
        <w:t>through which tobacco control programming specifically aimed at sexual minority youth can be leveraged</w:t>
      </w:r>
      <w:r w:rsidR="00AE67E9" w:rsidRPr="002F3AD6">
        <w:rPr>
          <w:rFonts w:ascii="Times New Roman" w:hAnsi="Times New Roman"/>
          <w:bCs/>
          <w:noProof w:val="0"/>
        </w:rPr>
        <w:t>.</w:t>
      </w:r>
      <w:r w:rsidR="008F6933">
        <w:rPr>
          <w:rFonts w:ascii="Times New Roman" w:hAnsi="Times New Roman"/>
          <w:bCs/>
          <w:noProof w:val="0"/>
        </w:rPr>
        <w:t xml:space="preserve"> </w:t>
      </w:r>
      <w:r w:rsidR="00342E7D">
        <w:rPr>
          <w:rFonts w:ascii="Times New Roman" w:hAnsi="Times New Roman"/>
        </w:rPr>
        <w:t xml:space="preserve">Several factors could explain the persistence of sexual orientation-based tobacco use disparities among Massachusetts youth. Research on other ‘liberal’ jurisidctions, such as the Netherlands, has revealed that </w:t>
      </w:r>
      <w:r w:rsidR="002D72A8">
        <w:rPr>
          <w:rFonts w:ascii="Times New Roman" w:hAnsi="Times New Roman"/>
        </w:rPr>
        <w:t>legal equalities for sexual minority people</w:t>
      </w:r>
      <w:r w:rsidR="00342E7D">
        <w:rPr>
          <w:rFonts w:ascii="Times New Roman" w:hAnsi="Times New Roman"/>
        </w:rPr>
        <w:t xml:space="preserve"> are not always a good approximation of </w:t>
      </w:r>
      <w:r w:rsidR="002D72A8">
        <w:rPr>
          <w:rFonts w:ascii="Times New Roman" w:hAnsi="Times New Roman"/>
        </w:rPr>
        <w:t>inclusivity and often elide under-the-surface forms of</w:t>
      </w:r>
      <w:r w:rsidR="00C24D29">
        <w:rPr>
          <w:rFonts w:ascii="Times New Roman" w:hAnsi="Times New Roman"/>
        </w:rPr>
        <w:t xml:space="preserve"> othering (Aggarwal and Gerrets, </w:t>
      </w:r>
      <w:r w:rsidR="002D72A8">
        <w:rPr>
          <w:rFonts w:ascii="Times New Roman" w:hAnsi="Times New Roman"/>
        </w:rPr>
        <w:t>2014). Recent research has suggested that microaggressions, or verbal slights that diminish sexual minority identities, play as much of a role in stress among LGB youth as structural forms of discrimination (Nadal et al.</w:t>
      </w:r>
      <w:r w:rsidR="00C24D29">
        <w:rPr>
          <w:rFonts w:ascii="Times New Roman" w:hAnsi="Times New Roman"/>
        </w:rPr>
        <w:t>,</w:t>
      </w:r>
      <w:r w:rsidR="002D72A8">
        <w:rPr>
          <w:rFonts w:ascii="Times New Roman" w:hAnsi="Times New Roman"/>
        </w:rPr>
        <w:t xml:space="preserve"> 2011). It may also be that current interventions to stop smoking in the broader populati</w:t>
      </w:r>
      <w:r w:rsidR="003E1079">
        <w:rPr>
          <w:rFonts w:ascii="Times New Roman" w:hAnsi="Times New Roman"/>
        </w:rPr>
        <w:t xml:space="preserve">on are not reaching LGB youth or are counteracted by the other stressors that LGB students are facing. For example, </w:t>
      </w:r>
      <w:r w:rsidR="003458DE">
        <w:rPr>
          <w:rFonts w:ascii="Times New Roman" w:hAnsi="Times New Roman"/>
        </w:rPr>
        <w:t xml:space="preserve">students may be taught in health class that they are likely to first encounter smoking in </w:t>
      </w:r>
      <w:r w:rsidR="003E1079">
        <w:rPr>
          <w:rFonts w:ascii="Times New Roman" w:hAnsi="Times New Roman"/>
        </w:rPr>
        <w:t>large-group social settings (e.g., parties) whereas LGB st</w:t>
      </w:r>
      <w:r w:rsidR="003458DE">
        <w:rPr>
          <w:rFonts w:ascii="Times New Roman" w:hAnsi="Times New Roman"/>
        </w:rPr>
        <w:t xml:space="preserve">udents might turn to smoking when </w:t>
      </w:r>
      <w:r w:rsidR="003E1079">
        <w:rPr>
          <w:rFonts w:ascii="Times New Roman" w:hAnsi="Times New Roman"/>
        </w:rPr>
        <w:t xml:space="preserve">they feel </w:t>
      </w:r>
      <w:r w:rsidR="009B1CEB" w:rsidRPr="004578F9">
        <w:rPr>
          <w:rFonts w:ascii="Times New Roman" w:hAnsi="Times New Roman"/>
        </w:rPr>
        <w:t>excluded</w:t>
      </w:r>
      <w:r w:rsidR="00CB4815">
        <w:rPr>
          <w:rFonts w:ascii="Times New Roman" w:hAnsi="Times New Roman"/>
        </w:rPr>
        <w:t xml:space="preserve"> </w:t>
      </w:r>
      <w:r w:rsidR="003E1079">
        <w:rPr>
          <w:rFonts w:ascii="Times New Roman" w:hAnsi="Times New Roman"/>
        </w:rPr>
        <w:t>from group activities (e.g., sports teams</w:t>
      </w:r>
      <w:r w:rsidR="003458DE">
        <w:rPr>
          <w:rFonts w:ascii="Times New Roman" w:hAnsi="Times New Roman"/>
        </w:rPr>
        <w:t xml:space="preserve"> and social events</w:t>
      </w:r>
      <w:r w:rsidR="003E1079">
        <w:rPr>
          <w:rFonts w:ascii="Times New Roman" w:hAnsi="Times New Roman"/>
        </w:rPr>
        <w:t>) or are seeking out b</w:t>
      </w:r>
      <w:r w:rsidR="00550FA3">
        <w:rPr>
          <w:rFonts w:ascii="Times New Roman" w:hAnsi="Times New Roman"/>
        </w:rPr>
        <w:t xml:space="preserve">ars, </w:t>
      </w:r>
      <w:r w:rsidR="003E1079">
        <w:rPr>
          <w:rFonts w:ascii="Times New Roman" w:hAnsi="Times New Roman"/>
        </w:rPr>
        <w:t>clubs</w:t>
      </w:r>
      <w:r w:rsidR="00550FA3">
        <w:rPr>
          <w:rFonts w:ascii="Times New Roman" w:hAnsi="Times New Roman"/>
        </w:rPr>
        <w:t>, or other spaces where smoking is prevalent</w:t>
      </w:r>
      <w:r w:rsidR="003E1079">
        <w:rPr>
          <w:rFonts w:ascii="Times New Roman" w:hAnsi="Times New Roman"/>
        </w:rPr>
        <w:t xml:space="preserve"> as an alternative form of social connection. </w:t>
      </w:r>
    </w:p>
    <w:p w14:paraId="055F8B06" w14:textId="77777777" w:rsidR="00AE08FF" w:rsidRDefault="00AE08FF" w:rsidP="005B56A2">
      <w:pPr>
        <w:contextualSpacing/>
        <w:jc w:val="both"/>
        <w:rPr>
          <w:rFonts w:ascii="Times New Roman" w:hAnsi="Times New Roman"/>
        </w:rPr>
      </w:pPr>
    </w:p>
    <w:p w14:paraId="6A8C7568" w14:textId="77777777" w:rsidR="003E1079" w:rsidRDefault="003E1079" w:rsidP="005B56A2">
      <w:pPr>
        <w:contextualSpacing/>
        <w:jc w:val="both"/>
        <w:rPr>
          <w:rFonts w:ascii="Times New Roman" w:hAnsi="Times New Roman"/>
        </w:rPr>
      </w:pPr>
    </w:p>
    <w:p w14:paraId="298113B0" w14:textId="620478F2" w:rsidR="00691045" w:rsidRDefault="00302CCC" w:rsidP="005B56A2">
      <w:pPr>
        <w:jc w:val="both"/>
        <w:rPr>
          <w:rFonts w:ascii="Times New Roman" w:hAnsi="Times New Roman"/>
          <w:b/>
          <w:bCs/>
          <w:noProof w:val="0"/>
        </w:rPr>
      </w:pPr>
      <w:r>
        <w:rPr>
          <w:rFonts w:ascii="Times New Roman" w:hAnsi="Times New Roman"/>
          <w:b/>
          <w:bCs/>
          <w:noProof w:val="0"/>
        </w:rPr>
        <w:t>4.1.</w:t>
      </w:r>
      <w:r w:rsidR="00FB79A8">
        <w:rPr>
          <w:rFonts w:ascii="Times New Roman" w:hAnsi="Times New Roman"/>
          <w:b/>
          <w:bCs/>
          <w:noProof w:val="0"/>
        </w:rPr>
        <w:t xml:space="preserve"> </w:t>
      </w:r>
      <w:r w:rsidR="00691045" w:rsidRPr="00AD06E7">
        <w:rPr>
          <w:rFonts w:ascii="Times New Roman" w:hAnsi="Times New Roman"/>
          <w:b/>
          <w:bCs/>
          <w:noProof w:val="0"/>
        </w:rPr>
        <w:t>Limitations</w:t>
      </w:r>
    </w:p>
    <w:p w14:paraId="57DD18E8" w14:textId="77777777" w:rsidR="00CF3C57" w:rsidRDefault="00CF3C57" w:rsidP="005B56A2">
      <w:pPr>
        <w:jc w:val="both"/>
        <w:rPr>
          <w:rFonts w:ascii="Times New Roman" w:hAnsi="Times New Roman"/>
          <w:b/>
          <w:bCs/>
          <w:noProof w:val="0"/>
        </w:rPr>
      </w:pPr>
    </w:p>
    <w:p w14:paraId="5811718B" w14:textId="335BD1FA" w:rsidR="00A779B1" w:rsidRDefault="00A779B1" w:rsidP="005B56A2">
      <w:pPr>
        <w:jc w:val="both"/>
        <w:rPr>
          <w:rFonts w:ascii="Times New Roman" w:hAnsi="Times New Roman"/>
          <w:bCs/>
          <w:noProof w:val="0"/>
        </w:rPr>
      </w:pPr>
      <w:r>
        <w:rPr>
          <w:rFonts w:ascii="Times New Roman" w:hAnsi="Times New Roman"/>
          <w:bCs/>
          <w:noProof w:val="0"/>
        </w:rPr>
        <w:t xml:space="preserve">There are a few limitations to this study that must be considered. First, there are some limitations inherent in sexual orientation analyses of MYRBS despite the overall robustness of the survey. The </w:t>
      </w:r>
      <w:r w:rsidRPr="002F3AD6">
        <w:rPr>
          <w:rFonts w:ascii="Times New Roman" w:hAnsi="Times New Roman"/>
          <w:bCs/>
          <w:noProof w:val="0"/>
        </w:rPr>
        <w:t>numbers of sexual minority youth in the</w:t>
      </w:r>
      <w:r w:rsidR="009017B0">
        <w:rPr>
          <w:rFonts w:ascii="Times New Roman" w:hAnsi="Times New Roman"/>
          <w:bCs/>
          <w:noProof w:val="0"/>
        </w:rPr>
        <w:t xml:space="preserve"> </w:t>
      </w:r>
      <w:r w:rsidRPr="002F3AD6">
        <w:rPr>
          <w:rFonts w:ascii="Times New Roman" w:hAnsi="Times New Roman"/>
          <w:bCs/>
          <w:noProof w:val="0"/>
        </w:rPr>
        <w:t>unweighted sample data</w:t>
      </w:r>
      <w:r>
        <w:rPr>
          <w:rFonts w:ascii="Times New Roman" w:hAnsi="Times New Roman"/>
          <w:bCs/>
          <w:noProof w:val="0"/>
        </w:rPr>
        <w:t xml:space="preserve"> are relatively small and should be interpreted with some caution. There are a fe</w:t>
      </w:r>
      <w:r w:rsidR="004578F9">
        <w:rPr>
          <w:rFonts w:ascii="Times New Roman" w:hAnsi="Times New Roman"/>
          <w:bCs/>
          <w:noProof w:val="0"/>
        </w:rPr>
        <w:t xml:space="preserve">w potential reasons for small numbers </w:t>
      </w:r>
      <w:r>
        <w:rPr>
          <w:rFonts w:ascii="Times New Roman" w:hAnsi="Times New Roman"/>
          <w:bCs/>
          <w:noProof w:val="0"/>
        </w:rPr>
        <w:t xml:space="preserve">of </w:t>
      </w:r>
      <w:r>
        <w:rPr>
          <w:rFonts w:ascii="Times New Roman" w:hAnsi="Times New Roman"/>
          <w:bCs/>
          <w:noProof w:val="0"/>
        </w:rPr>
        <w:lastRenderedPageBreak/>
        <w:t>LGB youth. S</w:t>
      </w:r>
      <w:r w:rsidRPr="002F3AD6">
        <w:rPr>
          <w:rFonts w:ascii="Times New Roman" w:hAnsi="Times New Roman"/>
          <w:bCs/>
          <w:noProof w:val="0"/>
        </w:rPr>
        <w:t>ocietal stigma toward sexual</w:t>
      </w:r>
      <w:r w:rsidR="004578F9">
        <w:rPr>
          <w:rFonts w:ascii="Times New Roman" w:hAnsi="Times New Roman"/>
          <w:bCs/>
          <w:noProof w:val="0"/>
        </w:rPr>
        <w:t xml:space="preserve"> </w:t>
      </w:r>
      <w:r w:rsidRPr="002F3AD6">
        <w:rPr>
          <w:rFonts w:ascii="Times New Roman" w:hAnsi="Times New Roman"/>
          <w:bCs/>
          <w:noProof w:val="0"/>
        </w:rPr>
        <w:t xml:space="preserve">minorities may </w:t>
      </w:r>
      <w:r>
        <w:rPr>
          <w:rFonts w:ascii="Times New Roman" w:hAnsi="Times New Roman"/>
          <w:bCs/>
          <w:noProof w:val="0"/>
        </w:rPr>
        <w:t>have led to</w:t>
      </w:r>
      <w:r w:rsidRPr="002F3AD6">
        <w:rPr>
          <w:rFonts w:ascii="Times New Roman" w:hAnsi="Times New Roman"/>
          <w:bCs/>
          <w:noProof w:val="0"/>
        </w:rPr>
        <w:t xml:space="preserve"> underreporting of sexual</w:t>
      </w:r>
      <w:r>
        <w:rPr>
          <w:rFonts w:ascii="Times New Roman" w:hAnsi="Times New Roman"/>
          <w:bCs/>
          <w:noProof w:val="0"/>
        </w:rPr>
        <w:t xml:space="preserve"> minority status, particularly in earlier survey years. In addition, the sexual orientation variable used here was based on self-identification rather than behavior</w:t>
      </w:r>
      <w:r w:rsidR="003C0BD9">
        <w:rPr>
          <w:rFonts w:ascii="Times New Roman" w:hAnsi="Times New Roman"/>
          <w:bCs/>
          <w:noProof w:val="0"/>
        </w:rPr>
        <w:t xml:space="preserve">. </w:t>
      </w:r>
      <w:r w:rsidR="003B62B0" w:rsidRPr="003B62B0">
        <w:rPr>
          <w:rFonts w:ascii="Times New Roman" w:hAnsi="Times New Roman"/>
          <w:bCs/>
          <w:noProof w:val="0"/>
        </w:rPr>
        <w:t>Self-identification may be biased toward individuals who fit into a culturally prescribed model of sexual orientation and therefore have greater sel</w:t>
      </w:r>
      <w:r w:rsidR="003B62B0">
        <w:rPr>
          <w:rFonts w:ascii="Times New Roman" w:hAnsi="Times New Roman"/>
          <w:bCs/>
          <w:noProof w:val="0"/>
        </w:rPr>
        <w:t xml:space="preserve">f-acceptance and social support (Savin-Williams, </w:t>
      </w:r>
      <w:r w:rsidR="003B62B0" w:rsidRPr="003B62B0">
        <w:rPr>
          <w:rFonts w:ascii="Times New Roman" w:hAnsi="Times New Roman"/>
          <w:bCs/>
          <w:noProof w:val="0"/>
        </w:rPr>
        <w:t>2001)</w:t>
      </w:r>
      <w:r w:rsidR="00A835FA">
        <w:rPr>
          <w:rFonts w:ascii="Times New Roman" w:hAnsi="Times New Roman"/>
          <w:bCs/>
          <w:noProof w:val="0"/>
        </w:rPr>
        <w:t>. Risk behaviors such as smoking</w:t>
      </w:r>
      <w:r w:rsidR="00F23B7A">
        <w:rPr>
          <w:rFonts w:ascii="Times New Roman" w:hAnsi="Times New Roman"/>
          <w:bCs/>
          <w:noProof w:val="0"/>
        </w:rPr>
        <w:t>, then, may</w:t>
      </w:r>
      <w:r w:rsidR="00A835FA">
        <w:rPr>
          <w:rFonts w:ascii="Times New Roman" w:hAnsi="Times New Roman"/>
          <w:bCs/>
          <w:noProof w:val="0"/>
        </w:rPr>
        <w:t xml:space="preserve"> be </w:t>
      </w:r>
      <w:r w:rsidR="000B42DA">
        <w:rPr>
          <w:rFonts w:ascii="Times New Roman" w:hAnsi="Times New Roman"/>
          <w:bCs/>
          <w:noProof w:val="0"/>
        </w:rPr>
        <w:t xml:space="preserve">even </w:t>
      </w:r>
      <w:r w:rsidR="00A835FA">
        <w:rPr>
          <w:rFonts w:ascii="Times New Roman" w:hAnsi="Times New Roman"/>
          <w:bCs/>
          <w:noProof w:val="0"/>
        </w:rPr>
        <w:t xml:space="preserve">more prevalent in individuals who have attraction to or sexual interaction with the same or both sexes but do not identify as lesbian, gay, or bisexual. </w:t>
      </w:r>
    </w:p>
    <w:p w14:paraId="303DC59A" w14:textId="77777777" w:rsidR="00A779B1" w:rsidRDefault="00A779B1" w:rsidP="005B56A2">
      <w:pPr>
        <w:jc w:val="both"/>
        <w:rPr>
          <w:rFonts w:ascii="Times New Roman" w:hAnsi="Times New Roman"/>
          <w:bCs/>
          <w:noProof w:val="0"/>
        </w:rPr>
      </w:pPr>
    </w:p>
    <w:p w14:paraId="4CD27232" w14:textId="0D0FEAF7" w:rsidR="002F3AD6" w:rsidRDefault="00AE08FF" w:rsidP="005B56A2">
      <w:pPr>
        <w:jc w:val="both"/>
        <w:rPr>
          <w:rFonts w:ascii="Times New Roman" w:hAnsi="Times New Roman"/>
          <w:bCs/>
          <w:noProof w:val="0"/>
        </w:rPr>
      </w:pPr>
      <w:r>
        <w:rPr>
          <w:rFonts w:ascii="Times New Roman" w:hAnsi="Times New Roman"/>
          <w:bCs/>
          <w:noProof w:val="0"/>
        </w:rPr>
        <w:t xml:space="preserve">Second, </w:t>
      </w:r>
      <w:r w:rsidR="004824E5">
        <w:rPr>
          <w:rFonts w:ascii="Times New Roman" w:hAnsi="Times New Roman"/>
          <w:bCs/>
          <w:noProof w:val="0"/>
        </w:rPr>
        <w:t>The Massachusetts d</w:t>
      </w:r>
      <w:r w:rsidR="002F3AD6" w:rsidRPr="002F3AD6">
        <w:rPr>
          <w:rFonts w:ascii="Times New Roman" w:hAnsi="Times New Roman"/>
          <w:bCs/>
          <w:noProof w:val="0"/>
        </w:rPr>
        <w:t xml:space="preserve">ata presented here </w:t>
      </w:r>
      <w:r w:rsidR="004824E5">
        <w:rPr>
          <w:rFonts w:ascii="Times New Roman" w:hAnsi="Times New Roman"/>
          <w:bCs/>
          <w:noProof w:val="0"/>
        </w:rPr>
        <w:t>may not be gen</w:t>
      </w:r>
      <w:r w:rsidR="002F3AD6" w:rsidRPr="002F3AD6">
        <w:rPr>
          <w:rFonts w:ascii="Times New Roman" w:hAnsi="Times New Roman"/>
          <w:bCs/>
          <w:noProof w:val="0"/>
        </w:rPr>
        <w:t xml:space="preserve">eralizable to other states. </w:t>
      </w:r>
      <w:r w:rsidR="007606EA">
        <w:rPr>
          <w:rFonts w:ascii="Times New Roman" w:hAnsi="Times New Roman"/>
          <w:bCs/>
          <w:noProof w:val="0"/>
        </w:rPr>
        <w:t xml:space="preserve">Massachusetts has </w:t>
      </w:r>
      <w:r w:rsidR="00692E3F">
        <w:rPr>
          <w:rFonts w:ascii="Times New Roman" w:hAnsi="Times New Roman"/>
          <w:bCs/>
          <w:noProof w:val="0"/>
        </w:rPr>
        <w:t>led</w:t>
      </w:r>
      <w:r w:rsidR="007606EA">
        <w:rPr>
          <w:rFonts w:ascii="Times New Roman" w:hAnsi="Times New Roman"/>
          <w:bCs/>
          <w:noProof w:val="0"/>
        </w:rPr>
        <w:t xml:space="preserve"> the United States in terms of both tobacco control efforts and policies to protect the rights of sexual minorities. </w:t>
      </w:r>
      <w:r w:rsidR="00692E3F">
        <w:rPr>
          <w:rFonts w:ascii="Times New Roman" w:hAnsi="Times New Roman"/>
          <w:bCs/>
          <w:noProof w:val="0"/>
        </w:rPr>
        <w:t>Prior to the current era of legal equalities for LGBT people, Massachusetts was one of the few states to design school programming</w:t>
      </w:r>
      <w:r w:rsidR="00692E3F" w:rsidRPr="002F3AD6">
        <w:rPr>
          <w:rFonts w:ascii="Times New Roman" w:hAnsi="Times New Roman"/>
          <w:bCs/>
          <w:noProof w:val="0"/>
        </w:rPr>
        <w:t xml:space="preserve"> to prevent harassment of sexual minority youth </w:t>
      </w:r>
      <w:r w:rsidR="00692E3F">
        <w:rPr>
          <w:rFonts w:ascii="Times New Roman" w:hAnsi="Times New Roman"/>
          <w:bCs/>
          <w:noProof w:val="0"/>
        </w:rPr>
        <w:t>(Szalacha</w:t>
      </w:r>
      <w:r w:rsidR="00C24D29">
        <w:rPr>
          <w:rFonts w:ascii="Times New Roman" w:hAnsi="Times New Roman"/>
          <w:bCs/>
          <w:noProof w:val="0"/>
        </w:rPr>
        <w:t>,</w:t>
      </w:r>
      <w:r w:rsidR="00692E3F">
        <w:rPr>
          <w:rFonts w:ascii="Times New Roman" w:hAnsi="Times New Roman"/>
          <w:bCs/>
          <w:noProof w:val="0"/>
        </w:rPr>
        <w:t xml:space="preserve"> 2003). Rates of smoking among LGB youth may therefore be much higher in regions (e.g., the South, the Midwest) where tobacco use is more prevalent (</w:t>
      </w:r>
      <w:r>
        <w:rPr>
          <w:rFonts w:ascii="Times New Roman" w:hAnsi="Times New Roman"/>
          <w:bCs/>
          <w:noProof w:val="0"/>
        </w:rPr>
        <w:t>Brown et al.</w:t>
      </w:r>
      <w:r w:rsidR="00C24D29">
        <w:rPr>
          <w:rFonts w:ascii="Times New Roman" w:hAnsi="Times New Roman"/>
          <w:bCs/>
          <w:noProof w:val="0"/>
        </w:rPr>
        <w:t>,</w:t>
      </w:r>
      <w:r>
        <w:rPr>
          <w:rFonts w:ascii="Times New Roman" w:hAnsi="Times New Roman"/>
          <w:bCs/>
          <w:noProof w:val="0"/>
        </w:rPr>
        <w:t xml:space="preserve"> 2001; </w:t>
      </w:r>
      <w:r w:rsidR="00692E3F">
        <w:rPr>
          <w:rFonts w:ascii="Times New Roman" w:hAnsi="Times New Roman"/>
          <w:bCs/>
          <w:noProof w:val="0"/>
        </w:rPr>
        <w:t>Jamal et al.</w:t>
      </w:r>
      <w:r w:rsidR="00C24D29">
        <w:rPr>
          <w:rFonts w:ascii="Times New Roman" w:hAnsi="Times New Roman"/>
          <w:bCs/>
          <w:noProof w:val="0"/>
        </w:rPr>
        <w:t>,</w:t>
      </w:r>
      <w:r w:rsidR="00692E3F">
        <w:rPr>
          <w:rFonts w:ascii="Times New Roman" w:hAnsi="Times New Roman"/>
          <w:bCs/>
          <w:noProof w:val="0"/>
        </w:rPr>
        <w:t xml:space="preserve"> 2015) and supportive infrastructures for sexual minorities are less developed</w:t>
      </w:r>
      <w:r w:rsidR="0015376C">
        <w:rPr>
          <w:rFonts w:ascii="Times New Roman" w:hAnsi="Times New Roman"/>
          <w:bCs/>
          <w:noProof w:val="0"/>
        </w:rPr>
        <w:t xml:space="preserve"> </w:t>
      </w:r>
      <w:r w:rsidR="0015376C" w:rsidRPr="0015376C">
        <w:rPr>
          <w:rFonts w:ascii="Times New Roman" w:hAnsi="Times New Roman"/>
          <w:bCs/>
          <w:noProof w:val="0"/>
        </w:rPr>
        <w:t>(Norman-Major</w:t>
      </w:r>
      <w:r w:rsidR="0015376C">
        <w:rPr>
          <w:rFonts w:ascii="Times New Roman" w:hAnsi="Times New Roman"/>
          <w:bCs/>
          <w:noProof w:val="0"/>
        </w:rPr>
        <w:t>,</w:t>
      </w:r>
      <w:r w:rsidR="0015376C" w:rsidRPr="0015376C">
        <w:rPr>
          <w:rFonts w:ascii="Times New Roman" w:hAnsi="Times New Roman"/>
          <w:bCs/>
          <w:noProof w:val="0"/>
        </w:rPr>
        <w:t xml:space="preserve"> 2013)</w:t>
      </w:r>
      <w:r w:rsidR="00692E3F">
        <w:rPr>
          <w:rFonts w:ascii="Times New Roman" w:hAnsi="Times New Roman"/>
          <w:bCs/>
          <w:noProof w:val="0"/>
        </w:rPr>
        <w:t>.</w:t>
      </w:r>
    </w:p>
    <w:p w14:paraId="1AC4BB7A" w14:textId="77777777" w:rsidR="00785312" w:rsidRDefault="00785312" w:rsidP="005B56A2">
      <w:pPr>
        <w:jc w:val="both"/>
        <w:rPr>
          <w:rFonts w:ascii="Times New Roman" w:hAnsi="Times New Roman"/>
          <w:bCs/>
          <w:noProof w:val="0"/>
        </w:rPr>
      </w:pPr>
    </w:p>
    <w:p w14:paraId="0858EDDF" w14:textId="58EE7830" w:rsidR="00785312" w:rsidRDefault="00785312" w:rsidP="005B56A2">
      <w:pPr>
        <w:jc w:val="both"/>
        <w:rPr>
          <w:rFonts w:ascii="Times New Roman" w:hAnsi="Times New Roman"/>
          <w:bCs/>
          <w:noProof w:val="0"/>
        </w:rPr>
      </w:pPr>
      <w:r>
        <w:rPr>
          <w:rFonts w:ascii="Times New Roman" w:hAnsi="Times New Roman"/>
          <w:bCs/>
          <w:noProof w:val="0"/>
        </w:rPr>
        <w:t xml:space="preserve">Third, the data utilized only asked about sex assigned at birth, yet there may be distinct patterns and disparities in cigarette smoking among gender diverse youth—including those who </w:t>
      </w:r>
      <w:r w:rsidR="00B73D41">
        <w:rPr>
          <w:rFonts w:ascii="Times New Roman" w:hAnsi="Times New Roman"/>
          <w:bCs/>
          <w:noProof w:val="0"/>
        </w:rPr>
        <w:t>identify as</w:t>
      </w:r>
      <w:r>
        <w:rPr>
          <w:rFonts w:ascii="Times New Roman" w:hAnsi="Times New Roman"/>
          <w:bCs/>
          <w:noProof w:val="0"/>
        </w:rPr>
        <w:t xml:space="preserve"> non-binary, transgender, or genderqueer. Future research should take into consideration the gender identity of participants in addition to sexual identity.  </w:t>
      </w:r>
    </w:p>
    <w:p w14:paraId="4073CC6B" w14:textId="77777777" w:rsidR="000B42DA" w:rsidRDefault="000B42DA" w:rsidP="005B56A2">
      <w:pPr>
        <w:jc w:val="both"/>
        <w:rPr>
          <w:rFonts w:ascii="Times New Roman" w:hAnsi="Times New Roman"/>
          <w:bCs/>
          <w:noProof w:val="0"/>
        </w:rPr>
      </w:pPr>
    </w:p>
    <w:p w14:paraId="3576000F" w14:textId="6804999E" w:rsidR="00AE08FF" w:rsidRDefault="00F23B7A" w:rsidP="005B56A2">
      <w:pPr>
        <w:jc w:val="both"/>
        <w:rPr>
          <w:rFonts w:ascii="Times New Roman" w:hAnsi="Times New Roman"/>
          <w:color w:val="FF0000"/>
        </w:rPr>
      </w:pPr>
      <w:r>
        <w:rPr>
          <w:rFonts w:ascii="Times New Roman" w:hAnsi="Times New Roman"/>
          <w:bCs/>
          <w:noProof w:val="0"/>
        </w:rPr>
        <w:t>Finally, this study was not able to assess the degree to which any of the observed declines in cigarette smoking</w:t>
      </w:r>
      <w:r w:rsidR="00131575">
        <w:rPr>
          <w:rFonts w:ascii="Times New Roman" w:hAnsi="Times New Roman"/>
          <w:bCs/>
          <w:noProof w:val="0"/>
        </w:rPr>
        <w:t xml:space="preserve"> are attributable to the use of electronic cigarettes (e-cigarettes).</w:t>
      </w:r>
      <w:r w:rsidR="000A75A8">
        <w:rPr>
          <w:rFonts w:ascii="Times New Roman" w:hAnsi="Times New Roman"/>
          <w:bCs/>
          <w:noProof w:val="0"/>
        </w:rPr>
        <w:t xml:space="preserve"> It has been estimated that 3.7% of U.S. adults have used</w:t>
      </w:r>
      <w:r w:rsidR="009017B0">
        <w:rPr>
          <w:rFonts w:ascii="Times New Roman" w:hAnsi="Times New Roman"/>
          <w:bCs/>
          <w:noProof w:val="0"/>
        </w:rPr>
        <w:t xml:space="preserve"> </w:t>
      </w:r>
      <w:r w:rsidR="000A75A8">
        <w:rPr>
          <w:rFonts w:ascii="Times New Roman" w:hAnsi="Times New Roman"/>
          <w:bCs/>
          <w:noProof w:val="0"/>
        </w:rPr>
        <w:t>e-cigarettes (Jamal et al.</w:t>
      </w:r>
      <w:r w:rsidR="00C24D29">
        <w:rPr>
          <w:rFonts w:ascii="Times New Roman" w:hAnsi="Times New Roman"/>
          <w:bCs/>
          <w:noProof w:val="0"/>
        </w:rPr>
        <w:t>,</w:t>
      </w:r>
      <w:r w:rsidR="000A75A8">
        <w:rPr>
          <w:rFonts w:ascii="Times New Roman" w:hAnsi="Times New Roman"/>
          <w:bCs/>
          <w:noProof w:val="0"/>
        </w:rPr>
        <w:t xml:space="preserve"> 2015). </w:t>
      </w:r>
      <w:r w:rsidR="005B56A2">
        <w:rPr>
          <w:rFonts w:ascii="Times New Roman" w:hAnsi="Times New Roman"/>
          <w:bCs/>
          <w:noProof w:val="0"/>
        </w:rPr>
        <w:t xml:space="preserve">Few studies </w:t>
      </w:r>
      <w:r w:rsidR="002E4166">
        <w:rPr>
          <w:rFonts w:ascii="Times New Roman" w:hAnsi="Times New Roman"/>
          <w:bCs/>
          <w:noProof w:val="0"/>
        </w:rPr>
        <w:t xml:space="preserve">exist </w:t>
      </w:r>
      <w:r w:rsidR="005B56A2">
        <w:rPr>
          <w:rFonts w:ascii="Times New Roman" w:hAnsi="Times New Roman"/>
          <w:bCs/>
          <w:noProof w:val="0"/>
        </w:rPr>
        <w:t>on the prevalence of e-cigarette use, or vaping, across different sub-populations. A study by Emery et al. (2014), however, found that gay men and lesbians were significantly more likely to share information about e-cigarettes through online interfaces compared to their heterosexual counterparts. This may reflect targeted marketing of e-cigarettes to sexual minority communities or a growing awareness of the tobacco problem within those communities.</w:t>
      </w:r>
    </w:p>
    <w:p w14:paraId="454359CE" w14:textId="77777777" w:rsidR="00FC4DB4" w:rsidRPr="002F3AD6" w:rsidRDefault="00FC4DB4" w:rsidP="002F3AD6">
      <w:pPr>
        <w:rPr>
          <w:rFonts w:ascii="Times New Roman" w:hAnsi="Times New Roman"/>
          <w:bCs/>
          <w:noProof w:val="0"/>
        </w:rPr>
      </w:pPr>
    </w:p>
    <w:p w14:paraId="73B1AB4F" w14:textId="3A4CE9F1" w:rsidR="00A9150C" w:rsidRDefault="00A9150C" w:rsidP="00516AF3">
      <w:pPr>
        <w:rPr>
          <w:rFonts w:ascii="Times New Roman" w:hAnsi="Times New Roman"/>
          <w:b/>
          <w:bCs/>
          <w:noProof w:val="0"/>
        </w:rPr>
      </w:pPr>
      <w:r>
        <w:rPr>
          <w:rFonts w:ascii="Times New Roman" w:hAnsi="Times New Roman"/>
          <w:b/>
          <w:bCs/>
          <w:noProof w:val="0"/>
        </w:rPr>
        <w:t>4.2. Conclusion</w:t>
      </w:r>
    </w:p>
    <w:p w14:paraId="0205F9CD" w14:textId="77777777" w:rsidR="00A9150C" w:rsidRDefault="00A9150C" w:rsidP="00516AF3">
      <w:pPr>
        <w:rPr>
          <w:rFonts w:ascii="Times New Roman" w:hAnsi="Times New Roman"/>
          <w:b/>
          <w:bCs/>
          <w:noProof w:val="0"/>
        </w:rPr>
      </w:pPr>
    </w:p>
    <w:p w14:paraId="06B2D970" w14:textId="64933A10" w:rsidR="00CB4815" w:rsidRDefault="00A9150C" w:rsidP="00A9150C">
      <w:pPr>
        <w:rPr>
          <w:rFonts w:ascii="Times New Roman" w:eastAsia="Times New Roman" w:hAnsi="Times New Roman"/>
          <w:noProof w:val="0"/>
          <w:color w:val="000000"/>
        </w:rPr>
      </w:pPr>
      <w:r w:rsidRPr="00B974B6">
        <w:rPr>
          <w:rFonts w:ascii="Times New Roman" w:eastAsia="Times New Roman" w:hAnsi="Times New Roman"/>
          <w:noProof w:val="0"/>
          <w:color w:val="000000"/>
        </w:rPr>
        <w:t>As health researchers begin taking stock of the contextual (i.e., non-individual) determinants of health in LGB populations, they must consider how minority stress is rooted in both place and historical time (Lewis</w:t>
      </w:r>
      <w:r w:rsidR="00FC6579">
        <w:rPr>
          <w:rFonts w:ascii="Times New Roman" w:eastAsia="Times New Roman" w:hAnsi="Times New Roman"/>
          <w:noProof w:val="0"/>
          <w:color w:val="000000"/>
        </w:rPr>
        <w:t>,</w:t>
      </w:r>
      <w:r w:rsidRPr="00B974B6">
        <w:rPr>
          <w:rFonts w:ascii="Times New Roman" w:eastAsia="Times New Roman" w:hAnsi="Times New Roman"/>
          <w:noProof w:val="0"/>
          <w:color w:val="000000"/>
        </w:rPr>
        <w:t xml:space="preserve"> 2009; </w:t>
      </w:r>
      <w:proofErr w:type="spellStart"/>
      <w:r w:rsidRPr="00B974B6">
        <w:rPr>
          <w:rFonts w:ascii="Times New Roman" w:eastAsia="Times New Roman" w:hAnsi="Times New Roman"/>
          <w:noProof w:val="0"/>
          <w:color w:val="000000"/>
        </w:rPr>
        <w:t>Hatzenbuehler</w:t>
      </w:r>
      <w:proofErr w:type="spellEnd"/>
      <w:r w:rsidRPr="00B974B6">
        <w:rPr>
          <w:rFonts w:ascii="Times New Roman" w:eastAsia="Times New Roman" w:hAnsi="Times New Roman"/>
          <w:noProof w:val="0"/>
          <w:color w:val="000000"/>
        </w:rPr>
        <w:t xml:space="preserve"> et al., 2009; Lewis</w:t>
      </w:r>
      <w:r w:rsidR="00FC6579">
        <w:rPr>
          <w:rFonts w:ascii="Times New Roman" w:eastAsia="Times New Roman" w:hAnsi="Times New Roman"/>
          <w:noProof w:val="0"/>
          <w:color w:val="000000"/>
        </w:rPr>
        <w:t>,</w:t>
      </w:r>
      <w:r w:rsidRPr="00B974B6">
        <w:rPr>
          <w:rFonts w:ascii="Times New Roman" w:eastAsia="Times New Roman" w:hAnsi="Times New Roman"/>
          <w:noProof w:val="0"/>
          <w:color w:val="000000"/>
        </w:rPr>
        <w:t xml:space="preserve"> 201</w:t>
      </w:r>
      <w:r w:rsidR="00CB4815">
        <w:rPr>
          <w:rFonts w:ascii="Times New Roman" w:eastAsia="Times New Roman" w:hAnsi="Times New Roman"/>
          <w:noProof w:val="0"/>
          <w:color w:val="000000"/>
        </w:rPr>
        <w:t>7</w:t>
      </w:r>
      <w:r w:rsidRPr="00B974B6">
        <w:rPr>
          <w:rFonts w:ascii="Times New Roman" w:eastAsia="Times New Roman" w:hAnsi="Times New Roman"/>
          <w:noProof w:val="0"/>
          <w:color w:val="000000"/>
        </w:rPr>
        <w:t>). The level of stress that LGB youth experience may be informed by religious climate (</w:t>
      </w:r>
      <w:proofErr w:type="spellStart"/>
      <w:r w:rsidRPr="00B974B6">
        <w:rPr>
          <w:rFonts w:ascii="Times New Roman" w:eastAsia="Times New Roman" w:hAnsi="Times New Roman"/>
          <w:noProof w:val="0"/>
          <w:color w:val="000000"/>
        </w:rPr>
        <w:t>Hatzenbuehler</w:t>
      </w:r>
      <w:proofErr w:type="spellEnd"/>
      <w:r w:rsidRPr="00B974B6">
        <w:rPr>
          <w:rFonts w:ascii="Times New Roman" w:eastAsia="Times New Roman" w:hAnsi="Times New Roman"/>
          <w:noProof w:val="0"/>
          <w:color w:val="000000"/>
        </w:rPr>
        <w:t xml:space="preserve"> et al., 2012), policies that discriminate against sexual minorities (</w:t>
      </w:r>
      <w:proofErr w:type="spellStart"/>
      <w:r w:rsidRPr="00B974B6">
        <w:rPr>
          <w:rFonts w:ascii="Times New Roman" w:eastAsia="Times New Roman" w:hAnsi="Times New Roman"/>
          <w:noProof w:val="0"/>
          <w:color w:val="000000"/>
        </w:rPr>
        <w:t>Hatzenbuehler</w:t>
      </w:r>
      <w:proofErr w:type="spellEnd"/>
      <w:r w:rsidRPr="00B974B6">
        <w:rPr>
          <w:rFonts w:ascii="Times New Roman" w:eastAsia="Times New Roman" w:hAnsi="Times New Roman"/>
          <w:noProof w:val="0"/>
          <w:color w:val="000000"/>
        </w:rPr>
        <w:t xml:space="preserve"> et al.</w:t>
      </w:r>
      <w:r w:rsidR="00FC6579">
        <w:rPr>
          <w:rFonts w:ascii="Times New Roman" w:eastAsia="Times New Roman" w:hAnsi="Times New Roman"/>
          <w:noProof w:val="0"/>
          <w:color w:val="000000"/>
        </w:rPr>
        <w:t>,</w:t>
      </w:r>
      <w:r w:rsidRPr="00B974B6">
        <w:rPr>
          <w:rFonts w:ascii="Times New Roman" w:eastAsia="Times New Roman" w:hAnsi="Times New Roman"/>
          <w:noProof w:val="0"/>
          <w:color w:val="000000"/>
        </w:rPr>
        <w:t xml:space="preserve"> 2009), or other place-level factors. Places with greater concentrations of LGB people and organizations, as well as those with policies that explicitly prohibit discrimination against sexual minorities, tend to have a protective effect on substance use and mental health in LGB youth (</w:t>
      </w:r>
      <w:proofErr w:type="spellStart"/>
      <w:r w:rsidRPr="00B974B6">
        <w:rPr>
          <w:rFonts w:ascii="Times New Roman" w:eastAsia="Times New Roman" w:hAnsi="Times New Roman"/>
          <w:noProof w:val="0"/>
          <w:color w:val="000000"/>
        </w:rPr>
        <w:t>Hatzenbuehler</w:t>
      </w:r>
      <w:proofErr w:type="spellEnd"/>
      <w:r w:rsidRPr="00B974B6">
        <w:rPr>
          <w:rFonts w:ascii="Times New Roman" w:eastAsia="Times New Roman" w:hAnsi="Times New Roman"/>
          <w:noProof w:val="0"/>
          <w:color w:val="000000"/>
        </w:rPr>
        <w:t xml:space="preserve"> et al., 2011; </w:t>
      </w:r>
      <w:proofErr w:type="spellStart"/>
      <w:r w:rsidRPr="00B974B6">
        <w:rPr>
          <w:rFonts w:ascii="Times New Roman" w:eastAsia="Times New Roman" w:hAnsi="Times New Roman"/>
          <w:noProof w:val="0"/>
          <w:color w:val="000000"/>
        </w:rPr>
        <w:t>Hatzenbuehler</w:t>
      </w:r>
      <w:proofErr w:type="spellEnd"/>
      <w:r w:rsidRPr="00B974B6">
        <w:rPr>
          <w:rFonts w:ascii="Times New Roman" w:eastAsia="Times New Roman" w:hAnsi="Times New Roman"/>
          <w:noProof w:val="0"/>
          <w:color w:val="000000"/>
        </w:rPr>
        <w:t xml:space="preserve"> et al.</w:t>
      </w:r>
      <w:r w:rsidR="00FC6579">
        <w:rPr>
          <w:rFonts w:ascii="Times New Roman" w:eastAsia="Times New Roman" w:hAnsi="Times New Roman"/>
          <w:noProof w:val="0"/>
          <w:color w:val="000000"/>
        </w:rPr>
        <w:t>,</w:t>
      </w:r>
      <w:r w:rsidRPr="00B974B6">
        <w:rPr>
          <w:rFonts w:ascii="Times New Roman" w:eastAsia="Times New Roman" w:hAnsi="Times New Roman"/>
          <w:noProof w:val="0"/>
          <w:color w:val="000000"/>
        </w:rPr>
        <w:t xml:space="preserve"> 2014; </w:t>
      </w:r>
      <w:proofErr w:type="spellStart"/>
      <w:r w:rsidRPr="00B974B6">
        <w:rPr>
          <w:rFonts w:ascii="Times New Roman" w:eastAsia="Times New Roman" w:hAnsi="Times New Roman"/>
          <w:noProof w:val="0"/>
          <w:color w:val="000000"/>
        </w:rPr>
        <w:t>Mustanski</w:t>
      </w:r>
      <w:proofErr w:type="spellEnd"/>
      <w:r w:rsidRPr="00B974B6">
        <w:rPr>
          <w:rFonts w:ascii="Times New Roman" w:eastAsia="Times New Roman" w:hAnsi="Times New Roman"/>
          <w:noProof w:val="0"/>
          <w:color w:val="000000"/>
        </w:rPr>
        <w:t xml:space="preserve"> et al.</w:t>
      </w:r>
      <w:r w:rsidR="00FC6579">
        <w:rPr>
          <w:rFonts w:ascii="Times New Roman" w:eastAsia="Times New Roman" w:hAnsi="Times New Roman"/>
          <w:noProof w:val="0"/>
          <w:color w:val="000000"/>
        </w:rPr>
        <w:t>,</w:t>
      </w:r>
      <w:r w:rsidRPr="00B974B6">
        <w:rPr>
          <w:rFonts w:ascii="Times New Roman" w:eastAsia="Times New Roman" w:hAnsi="Times New Roman"/>
          <w:noProof w:val="0"/>
          <w:color w:val="000000"/>
        </w:rPr>
        <w:t xml:space="preserve"> 2013). </w:t>
      </w:r>
    </w:p>
    <w:p w14:paraId="7C6E8CAE" w14:textId="77777777" w:rsidR="00CB4815" w:rsidRDefault="00CB4815" w:rsidP="00A9150C">
      <w:pPr>
        <w:rPr>
          <w:rFonts w:ascii="Times New Roman" w:eastAsia="Times New Roman" w:hAnsi="Times New Roman"/>
          <w:noProof w:val="0"/>
          <w:color w:val="000000"/>
        </w:rPr>
      </w:pPr>
    </w:p>
    <w:p w14:paraId="19EED3B3" w14:textId="32017191" w:rsidR="00A9150C" w:rsidRPr="00B974B6" w:rsidRDefault="00A9150C" w:rsidP="00A9150C">
      <w:pPr>
        <w:rPr>
          <w:rFonts w:ascii="Times New Roman" w:eastAsia="Times New Roman" w:hAnsi="Times New Roman"/>
          <w:noProof w:val="0"/>
          <w:color w:val="000000"/>
        </w:rPr>
      </w:pPr>
      <w:r w:rsidRPr="00B974B6">
        <w:rPr>
          <w:rFonts w:ascii="Times New Roman" w:eastAsia="Times New Roman" w:hAnsi="Times New Roman"/>
          <w:noProof w:val="0"/>
          <w:color w:val="000000"/>
        </w:rPr>
        <w:t xml:space="preserve">Life course theory (Elder, 1994) may provide a useful framework for understanding differential impacts of the changing social environment on smoking in LGB youth. Life course theory argues that life trajectories, including health events and outcomes, are influenced by both age and </w:t>
      </w:r>
      <w:r w:rsidRPr="00B974B6">
        <w:rPr>
          <w:rFonts w:ascii="Times New Roman" w:eastAsia="Times New Roman" w:hAnsi="Times New Roman"/>
          <w:noProof w:val="0"/>
          <w:color w:val="000000"/>
        </w:rPr>
        <w:lastRenderedPageBreak/>
        <w:t>historical time (Lewis, 2014). Individuals’ experiences of historical contexts, in turn, are influenced by their respective life stages, the places they live in, and the institutions, policies, and practices that comprise those places. Separating these influences on LGB smoking may require statistical models that parse the temporal effects of broader tobacco control efforts on LGB people (e.g., early adoption smoking bans in the Northeast and on the West Coast) versus factors related to social environments affecting LGB people (e.g., Democratic voting patterns and early adoption of same-sex partnership and adoption rights in these same states). Studies in this vein may reveal the extent to which tobacco control efforts may continue to fail LGB people even in the context of more s</w:t>
      </w:r>
      <w:r w:rsidRPr="00A9150C">
        <w:rPr>
          <w:rFonts w:ascii="Times New Roman" w:eastAsia="Times New Roman" w:hAnsi="Times New Roman"/>
          <w:noProof w:val="0"/>
          <w:color w:val="000000"/>
        </w:rPr>
        <w:t>upportive social environments.</w:t>
      </w:r>
    </w:p>
    <w:p w14:paraId="7A3C457A" w14:textId="77777777" w:rsidR="00A9150C" w:rsidRPr="00A9150C" w:rsidRDefault="00A9150C" w:rsidP="00A9150C">
      <w:pPr>
        <w:rPr>
          <w:rFonts w:ascii="Times New Roman" w:eastAsia="Times New Roman" w:hAnsi="Times New Roman"/>
          <w:noProof w:val="0"/>
        </w:rPr>
      </w:pPr>
    </w:p>
    <w:p w14:paraId="33B78C6F" w14:textId="77777777" w:rsidR="00A9150C" w:rsidRDefault="00A9150C" w:rsidP="00516AF3">
      <w:pPr>
        <w:rPr>
          <w:rFonts w:ascii="Times New Roman" w:hAnsi="Times New Roman"/>
          <w:b/>
          <w:bCs/>
          <w:noProof w:val="0"/>
        </w:rPr>
      </w:pPr>
    </w:p>
    <w:p w14:paraId="78339FEC" w14:textId="77777777" w:rsidR="00A745B5" w:rsidRDefault="00A745B5" w:rsidP="00516AF3">
      <w:pPr>
        <w:rPr>
          <w:rFonts w:ascii="Times New Roman" w:hAnsi="Times New Roman"/>
          <w:b/>
          <w:bCs/>
          <w:noProof w:val="0"/>
        </w:rPr>
      </w:pPr>
    </w:p>
    <w:p w14:paraId="6F8B1FCF" w14:textId="77777777" w:rsidR="00A745B5" w:rsidRDefault="00A745B5" w:rsidP="00516AF3">
      <w:pPr>
        <w:rPr>
          <w:rFonts w:ascii="Times New Roman" w:hAnsi="Times New Roman"/>
          <w:b/>
          <w:bCs/>
          <w:noProof w:val="0"/>
        </w:rPr>
      </w:pPr>
    </w:p>
    <w:p w14:paraId="51039319" w14:textId="77777777" w:rsidR="009017B0" w:rsidRDefault="009017B0" w:rsidP="00516AF3">
      <w:pPr>
        <w:rPr>
          <w:rFonts w:ascii="Times New Roman" w:hAnsi="Times New Roman"/>
          <w:b/>
          <w:bCs/>
          <w:noProof w:val="0"/>
        </w:rPr>
        <w:sectPr w:rsidR="009017B0" w:rsidSect="003F5006">
          <w:pgSz w:w="12240" w:h="15840"/>
          <w:pgMar w:top="1440" w:right="1440" w:bottom="1440" w:left="1440" w:header="720" w:footer="720" w:gutter="0"/>
          <w:cols w:space="720"/>
          <w:titlePg/>
          <w:docGrid w:linePitch="360"/>
        </w:sectPr>
      </w:pPr>
    </w:p>
    <w:p w14:paraId="47504ACD" w14:textId="2093612C" w:rsidR="00DD6A81" w:rsidRDefault="00DD6A81" w:rsidP="00516AF3">
      <w:pPr>
        <w:rPr>
          <w:rFonts w:ascii="Times New Roman" w:hAnsi="Times New Roman"/>
          <w:b/>
          <w:bCs/>
          <w:noProof w:val="0"/>
        </w:rPr>
      </w:pPr>
      <w:r w:rsidRPr="00AD06E7">
        <w:rPr>
          <w:rFonts w:ascii="Times New Roman" w:hAnsi="Times New Roman"/>
          <w:b/>
          <w:bCs/>
          <w:noProof w:val="0"/>
        </w:rPr>
        <w:lastRenderedPageBreak/>
        <w:t>References</w:t>
      </w:r>
      <w:bookmarkStart w:id="1" w:name="_MON_1531057200"/>
      <w:bookmarkStart w:id="2" w:name="_MON_1536382171"/>
      <w:bookmarkEnd w:id="1"/>
      <w:bookmarkEnd w:id="2"/>
    </w:p>
    <w:p w14:paraId="6E6F336C" w14:textId="77777777" w:rsidR="00C24D29" w:rsidRDefault="00C24D29" w:rsidP="00516AF3">
      <w:pPr>
        <w:rPr>
          <w:rFonts w:ascii="Times New Roman" w:hAnsi="Times New Roman"/>
          <w:b/>
          <w:bCs/>
          <w:noProof w:val="0"/>
        </w:rPr>
      </w:pPr>
    </w:p>
    <w:p w14:paraId="54615CA3" w14:textId="15D1F0BE" w:rsidR="00C24D29" w:rsidRDefault="00C24D29" w:rsidP="00CC7AFC">
      <w:pPr>
        <w:ind w:left="567" w:hanging="567"/>
        <w:rPr>
          <w:rFonts w:ascii="Times New Roman" w:hAnsi="Times New Roman"/>
          <w:bCs/>
          <w:noProof w:val="0"/>
        </w:rPr>
      </w:pPr>
      <w:r w:rsidRPr="00C24D29">
        <w:rPr>
          <w:rFonts w:ascii="Times New Roman" w:hAnsi="Times New Roman"/>
          <w:bCs/>
          <w:noProof w:val="0"/>
        </w:rPr>
        <w:t xml:space="preserve">Aldrich, M. C., Hidalgo, B., </w:t>
      </w:r>
      <w:proofErr w:type="spellStart"/>
      <w:r w:rsidRPr="00C24D29">
        <w:rPr>
          <w:rFonts w:ascii="Times New Roman" w:hAnsi="Times New Roman"/>
          <w:bCs/>
          <w:noProof w:val="0"/>
        </w:rPr>
        <w:t>Widome</w:t>
      </w:r>
      <w:proofErr w:type="spellEnd"/>
      <w:r w:rsidRPr="00C24D29">
        <w:rPr>
          <w:rFonts w:ascii="Times New Roman" w:hAnsi="Times New Roman"/>
          <w:bCs/>
          <w:noProof w:val="0"/>
        </w:rPr>
        <w:t xml:space="preserve">, R., </w:t>
      </w:r>
      <w:proofErr w:type="spellStart"/>
      <w:r w:rsidRPr="00C24D29">
        <w:rPr>
          <w:rFonts w:ascii="Times New Roman" w:hAnsi="Times New Roman"/>
          <w:bCs/>
          <w:noProof w:val="0"/>
        </w:rPr>
        <w:t>Briss</w:t>
      </w:r>
      <w:proofErr w:type="spellEnd"/>
      <w:r w:rsidRPr="00C24D29">
        <w:rPr>
          <w:rFonts w:ascii="Times New Roman" w:hAnsi="Times New Roman"/>
          <w:bCs/>
          <w:noProof w:val="0"/>
        </w:rPr>
        <w:t>, P., Bro</w:t>
      </w:r>
      <w:r>
        <w:rPr>
          <w:rFonts w:ascii="Times New Roman" w:hAnsi="Times New Roman"/>
          <w:bCs/>
          <w:noProof w:val="0"/>
        </w:rPr>
        <w:t xml:space="preserve">wnson, R. C., </w:t>
      </w:r>
      <w:proofErr w:type="spellStart"/>
      <w:r>
        <w:rPr>
          <w:rFonts w:ascii="Times New Roman" w:hAnsi="Times New Roman"/>
          <w:bCs/>
          <w:noProof w:val="0"/>
        </w:rPr>
        <w:t>Teutsch</w:t>
      </w:r>
      <w:proofErr w:type="spellEnd"/>
      <w:r>
        <w:rPr>
          <w:rFonts w:ascii="Times New Roman" w:hAnsi="Times New Roman"/>
          <w:bCs/>
          <w:noProof w:val="0"/>
        </w:rPr>
        <w:t>, S. M, 2015</w:t>
      </w:r>
      <w:r w:rsidRPr="00C24D29">
        <w:rPr>
          <w:rFonts w:ascii="Times New Roman" w:hAnsi="Times New Roman"/>
          <w:bCs/>
          <w:noProof w:val="0"/>
        </w:rPr>
        <w:t>. The role of epidemiology in evidence-based policy making: a case study of tobacco use in youth</w:t>
      </w:r>
      <w:r>
        <w:rPr>
          <w:rFonts w:ascii="Times New Roman" w:hAnsi="Times New Roman"/>
          <w:bCs/>
          <w:noProof w:val="0"/>
        </w:rPr>
        <w:t xml:space="preserve">. </w:t>
      </w:r>
      <w:r w:rsidR="00C07810">
        <w:rPr>
          <w:rFonts w:ascii="Times New Roman" w:hAnsi="Times New Roman"/>
          <w:bCs/>
          <w:noProof w:val="0"/>
        </w:rPr>
        <w:t>Ann</w:t>
      </w:r>
      <w:r w:rsidR="00B523D0">
        <w:rPr>
          <w:rFonts w:ascii="Times New Roman" w:hAnsi="Times New Roman"/>
          <w:bCs/>
          <w:noProof w:val="0"/>
        </w:rPr>
        <w:t>.</w:t>
      </w:r>
      <w:r w:rsidR="00C07810">
        <w:rPr>
          <w:rFonts w:ascii="Times New Roman" w:hAnsi="Times New Roman"/>
          <w:bCs/>
          <w:noProof w:val="0"/>
        </w:rPr>
        <w:t xml:space="preserve"> </w:t>
      </w:r>
      <w:proofErr w:type="spellStart"/>
      <w:r w:rsidR="00C07810">
        <w:rPr>
          <w:rFonts w:ascii="Times New Roman" w:hAnsi="Times New Roman"/>
          <w:bCs/>
          <w:noProof w:val="0"/>
        </w:rPr>
        <w:t>Epidemiol</w:t>
      </w:r>
      <w:proofErr w:type="spellEnd"/>
      <w:r w:rsidR="00205813">
        <w:rPr>
          <w:rFonts w:ascii="Times New Roman" w:hAnsi="Times New Roman"/>
          <w:bCs/>
          <w:noProof w:val="0"/>
        </w:rPr>
        <w:t xml:space="preserve">. </w:t>
      </w:r>
      <w:r>
        <w:rPr>
          <w:rFonts w:ascii="Times New Roman" w:hAnsi="Times New Roman"/>
          <w:bCs/>
          <w:noProof w:val="0"/>
        </w:rPr>
        <w:t>25,</w:t>
      </w:r>
      <w:r w:rsidRPr="00C24D29">
        <w:rPr>
          <w:rFonts w:ascii="Times New Roman" w:hAnsi="Times New Roman"/>
          <w:bCs/>
          <w:noProof w:val="0"/>
        </w:rPr>
        <w:t xml:space="preserve"> 360-365.</w:t>
      </w:r>
      <w:r w:rsidRPr="00C24D29">
        <w:t xml:space="preserve"> </w:t>
      </w:r>
      <w:r w:rsidRPr="00C24D29">
        <w:rPr>
          <w:rFonts w:ascii="Times New Roman" w:hAnsi="Times New Roman"/>
          <w:bCs/>
          <w:noProof w:val="0"/>
        </w:rPr>
        <w:t>doi:10.1016/j.annepidem.2014.03.005</w:t>
      </w:r>
    </w:p>
    <w:p w14:paraId="2917DC99" w14:textId="77777777" w:rsidR="00C24D29" w:rsidRDefault="00C24D29" w:rsidP="00CC7AFC">
      <w:pPr>
        <w:ind w:left="567" w:hanging="567"/>
        <w:rPr>
          <w:rFonts w:ascii="Times New Roman" w:hAnsi="Times New Roman"/>
          <w:bCs/>
          <w:noProof w:val="0"/>
        </w:rPr>
      </w:pPr>
    </w:p>
    <w:p w14:paraId="4C048E24" w14:textId="147C44EA" w:rsidR="00AD06E7" w:rsidRDefault="00C07810" w:rsidP="00516AF3">
      <w:pPr>
        <w:ind w:left="567" w:hanging="567"/>
        <w:rPr>
          <w:rFonts w:ascii="Times New Roman" w:hAnsi="Times New Roman"/>
          <w:bCs/>
          <w:noProof w:val="0"/>
        </w:rPr>
      </w:pPr>
      <w:r w:rsidRPr="00C07810">
        <w:rPr>
          <w:rFonts w:ascii="Times New Roman" w:hAnsi="Times New Roman"/>
          <w:bCs/>
          <w:noProof w:val="0"/>
        </w:rPr>
        <w:t>B</w:t>
      </w:r>
      <w:r>
        <w:rPr>
          <w:rFonts w:ascii="Times New Roman" w:hAnsi="Times New Roman"/>
          <w:bCs/>
          <w:noProof w:val="0"/>
        </w:rPr>
        <w:t xml:space="preserve">aams, L., Talmage, C.A., Russell S.T., 2017. </w:t>
      </w:r>
      <w:r w:rsidRPr="00C07810">
        <w:rPr>
          <w:rFonts w:ascii="Times New Roman" w:hAnsi="Times New Roman"/>
          <w:bCs/>
          <w:noProof w:val="0"/>
        </w:rPr>
        <w:t>Economic costs of bias-based bullying</w:t>
      </w:r>
      <w:r>
        <w:rPr>
          <w:rFonts w:ascii="Times New Roman" w:hAnsi="Times New Roman"/>
          <w:bCs/>
          <w:noProof w:val="0"/>
        </w:rPr>
        <w:t xml:space="preserve">. </w:t>
      </w:r>
      <w:r w:rsidR="00205813">
        <w:rPr>
          <w:rFonts w:ascii="Times New Roman" w:hAnsi="Times New Roman"/>
          <w:bCs/>
          <w:noProof w:val="0"/>
        </w:rPr>
        <w:t>Sch. Psychol. Q.</w:t>
      </w:r>
      <w:r>
        <w:rPr>
          <w:rFonts w:ascii="Times New Roman" w:hAnsi="Times New Roman"/>
          <w:bCs/>
          <w:noProof w:val="0"/>
        </w:rPr>
        <w:t xml:space="preserve"> 32,</w:t>
      </w:r>
      <w:r w:rsidRPr="00C07810">
        <w:rPr>
          <w:rFonts w:ascii="Times New Roman" w:hAnsi="Times New Roman"/>
          <w:bCs/>
          <w:noProof w:val="0"/>
        </w:rPr>
        <w:t xml:space="preserve"> 422-433.</w:t>
      </w:r>
      <w:r w:rsidRPr="00C07810">
        <w:t xml:space="preserve"> </w:t>
      </w:r>
      <w:r w:rsidRPr="00C07810">
        <w:rPr>
          <w:rFonts w:ascii="Times New Roman" w:hAnsi="Times New Roman"/>
          <w:bCs/>
          <w:noProof w:val="0"/>
        </w:rPr>
        <w:t>doi:10.1037/spq0000211</w:t>
      </w:r>
    </w:p>
    <w:p w14:paraId="3E95A1B5" w14:textId="77777777" w:rsidR="00C07810" w:rsidRPr="00AD06E7" w:rsidRDefault="00C07810" w:rsidP="00C07810">
      <w:pPr>
        <w:rPr>
          <w:rFonts w:ascii="Times New Roman" w:hAnsi="Times New Roman"/>
          <w:bCs/>
          <w:noProof w:val="0"/>
        </w:rPr>
      </w:pPr>
    </w:p>
    <w:p w14:paraId="24D2A885" w14:textId="49E99AE6" w:rsidR="00CB1CBD" w:rsidRDefault="00C07810" w:rsidP="00516AF3">
      <w:pPr>
        <w:ind w:left="567" w:hanging="567"/>
        <w:rPr>
          <w:rFonts w:ascii="Times New Roman" w:hAnsi="Times New Roman"/>
          <w:bCs/>
          <w:noProof w:val="0"/>
        </w:rPr>
      </w:pPr>
      <w:r w:rsidRPr="00C07810">
        <w:rPr>
          <w:rFonts w:ascii="Times New Roman" w:hAnsi="Times New Roman" w:hint="eastAsia"/>
          <w:bCs/>
          <w:noProof w:val="0"/>
        </w:rPr>
        <w:t>Balsam, K. F.</w:t>
      </w:r>
      <w:r>
        <w:rPr>
          <w:rFonts w:ascii="Times New Roman" w:hAnsi="Times New Roman" w:hint="eastAsia"/>
          <w:bCs/>
          <w:noProof w:val="0"/>
        </w:rPr>
        <w:t xml:space="preserve">, </w:t>
      </w:r>
      <w:proofErr w:type="spellStart"/>
      <w:r>
        <w:rPr>
          <w:rFonts w:ascii="Times New Roman" w:hAnsi="Times New Roman" w:hint="eastAsia"/>
          <w:bCs/>
          <w:noProof w:val="0"/>
        </w:rPr>
        <w:t>Beadnell</w:t>
      </w:r>
      <w:proofErr w:type="spellEnd"/>
      <w:r>
        <w:rPr>
          <w:rFonts w:ascii="Times New Roman" w:hAnsi="Times New Roman" w:hint="eastAsia"/>
          <w:bCs/>
          <w:noProof w:val="0"/>
        </w:rPr>
        <w:t>, B., Riggs, K. R., 2012. Understanding sexual orientation health disparities in s</w:t>
      </w:r>
      <w:r w:rsidRPr="00C07810">
        <w:rPr>
          <w:rFonts w:ascii="Times New Roman" w:hAnsi="Times New Roman" w:hint="eastAsia"/>
          <w:bCs/>
          <w:noProof w:val="0"/>
        </w:rPr>
        <w:t xml:space="preserve">moking: A </w:t>
      </w:r>
      <w:r>
        <w:rPr>
          <w:rFonts w:ascii="Times New Roman" w:hAnsi="Times New Roman" w:hint="eastAsia"/>
          <w:bCs/>
          <w:noProof w:val="0"/>
        </w:rPr>
        <w:t>populati</w:t>
      </w:r>
      <w:r>
        <w:rPr>
          <w:rFonts w:ascii="Times New Roman" w:hAnsi="Times New Roman"/>
          <w:bCs/>
          <w:noProof w:val="0"/>
        </w:rPr>
        <w:t>o</w:t>
      </w:r>
      <w:r>
        <w:rPr>
          <w:rFonts w:ascii="Times New Roman" w:hAnsi="Times New Roman" w:hint="eastAsia"/>
          <w:bCs/>
          <w:noProof w:val="0"/>
        </w:rPr>
        <w:t>n-based a</w:t>
      </w:r>
      <w:r w:rsidRPr="00C07810">
        <w:rPr>
          <w:rFonts w:ascii="Times New Roman" w:hAnsi="Times New Roman" w:hint="eastAsia"/>
          <w:bCs/>
          <w:noProof w:val="0"/>
        </w:rPr>
        <w:t xml:space="preserve">nalysis. </w:t>
      </w:r>
      <w:r>
        <w:rPr>
          <w:rFonts w:ascii="Times New Roman" w:hAnsi="Times New Roman"/>
          <w:bCs/>
          <w:noProof w:val="0"/>
        </w:rPr>
        <w:t>Am</w:t>
      </w:r>
      <w:r w:rsidR="00B523D0">
        <w:rPr>
          <w:rFonts w:ascii="Times New Roman" w:hAnsi="Times New Roman"/>
          <w:bCs/>
          <w:noProof w:val="0"/>
        </w:rPr>
        <w:t>.</w:t>
      </w:r>
      <w:r>
        <w:rPr>
          <w:rFonts w:ascii="Times New Roman" w:hAnsi="Times New Roman"/>
          <w:bCs/>
          <w:noProof w:val="0"/>
        </w:rPr>
        <w:t xml:space="preserve"> J</w:t>
      </w:r>
      <w:r w:rsidR="00B523D0">
        <w:rPr>
          <w:rFonts w:ascii="Times New Roman" w:hAnsi="Times New Roman"/>
          <w:bCs/>
          <w:noProof w:val="0"/>
        </w:rPr>
        <w:t>.</w:t>
      </w:r>
      <w:r>
        <w:rPr>
          <w:rFonts w:ascii="Times New Roman" w:hAnsi="Times New Roman"/>
          <w:bCs/>
          <w:noProof w:val="0"/>
        </w:rPr>
        <w:t xml:space="preserve"> </w:t>
      </w:r>
      <w:proofErr w:type="spellStart"/>
      <w:r>
        <w:rPr>
          <w:rFonts w:ascii="Times New Roman" w:hAnsi="Times New Roman"/>
          <w:bCs/>
          <w:noProof w:val="0"/>
        </w:rPr>
        <w:t>Orthopsychiat</w:t>
      </w:r>
      <w:proofErr w:type="spellEnd"/>
      <w:r>
        <w:rPr>
          <w:rFonts w:ascii="Times New Roman" w:hAnsi="Times New Roman"/>
          <w:bCs/>
          <w:noProof w:val="0"/>
        </w:rPr>
        <w:t>.</w:t>
      </w:r>
      <w:r>
        <w:rPr>
          <w:rFonts w:ascii="Times New Roman" w:hAnsi="Times New Roman" w:hint="eastAsia"/>
          <w:bCs/>
          <w:noProof w:val="0"/>
        </w:rPr>
        <w:t xml:space="preserve"> 82, </w:t>
      </w:r>
      <w:r w:rsidRPr="00C07810">
        <w:rPr>
          <w:rFonts w:ascii="Times New Roman" w:hAnsi="Times New Roman" w:hint="eastAsia"/>
          <w:bCs/>
          <w:noProof w:val="0"/>
        </w:rPr>
        <w:t>482-493.</w:t>
      </w:r>
      <w:r w:rsidR="00B106A9" w:rsidRPr="00B106A9">
        <w:t xml:space="preserve"> </w:t>
      </w:r>
      <w:r w:rsidR="00B106A9" w:rsidRPr="00B106A9">
        <w:rPr>
          <w:rFonts w:ascii="Times New Roman" w:hAnsi="Times New Roman"/>
          <w:bCs/>
          <w:noProof w:val="0"/>
        </w:rPr>
        <w:t>doi:1</w:t>
      </w:r>
      <w:r w:rsidR="00B106A9">
        <w:rPr>
          <w:rFonts w:ascii="Times New Roman" w:hAnsi="Times New Roman"/>
          <w:bCs/>
          <w:noProof w:val="0"/>
        </w:rPr>
        <w:t>0.1111/j.1939-0025.2012.01186.x</w:t>
      </w:r>
    </w:p>
    <w:p w14:paraId="7A8CD01E" w14:textId="77777777" w:rsidR="00C07810" w:rsidRPr="00AD06E7" w:rsidRDefault="00C07810" w:rsidP="00516AF3">
      <w:pPr>
        <w:ind w:left="567" w:hanging="567"/>
        <w:rPr>
          <w:rFonts w:ascii="Times New Roman" w:hAnsi="Times New Roman"/>
          <w:bCs/>
          <w:noProof w:val="0"/>
        </w:rPr>
      </w:pPr>
    </w:p>
    <w:p w14:paraId="4097B28F" w14:textId="21E845B8" w:rsidR="00CB1CBD" w:rsidRDefault="00205813" w:rsidP="00516AF3">
      <w:pPr>
        <w:ind w:left="567" w:hanging="567"/>
        <w:rPr>
          <w:rFonts w:ascii="Times New Roman" w:hAnsi="Times New Roman"/>
          <w:bCs/>
          <w:noProof w:val="0"/>
        </w:rPr>
      </w:pPr>
      <w:r>
        <w:rPr>
          <w:rFonts w:ascii="Times New Roman" w:hAnsi="Times New Roman"/>
          <w:bCs/>
          <w:noProof w:val="0"/>
        </w:rPr>
        <w:t xml:space="preserve">Brown, T.N., </w:t>
      </w:r>
      <w:r w:rsidR="00CB1CBD" w:rsidRPr="00AD06E7">
        <w:rPr>
          <w:rFonts w:ascii="Times New Roman" w:hAnsi="Times New Roman"/>
          <w:bCs/>
          <w:noProof w:val="0"/>
        </w:rPr>
        <w:t>Schulenburg, J.G.</w:t>
      </w:r>
      <w:r>
        <w:rPr>
          <w:rFonts w:ascii="Times New Roman" w:hAnsi="Times New Roman"/>
          <w:bCs/>
          <w:noProof w:val="0"/>
        </w:rPr>
        <w:t>,</w:t>
      </w:r>
      <w:r w:rsidR="00CB1CBD" w:rsidRPr="00AD06E7">
        <w:rPr>
          <w:rFonts w:ascii="Times New Roman" w:hAnsi="Times New Roman"/>
          <w:bCs/>
          <w:noProof w:val="0"/>
        </w:rPr>
        <w:t xml:space="preserve"> Bachman, </w:t>
      </w:r>
      <w:proofErr w:type="spellStart"/>
      <w:r w:rsidR="00CB1CBD" w:rsidRPr="00AD06E7">
        <w:rPr>
          <w:rFonts w:ascii="Times New Roman" w:hAnsi="Times New Roman"/>
          <w:bCs/>
          <w:noProof w:val="0"/>
        </w:rPr>
        <w:t>O’Malley</w:t>
      </w:r>
      <w:proofErr w:type="gramStart"/>
      <w:r w:rsidR="00D42290">
        <w:rPr>
          <w:rFonts w:ascii="Times New Roman" w:hAnsi="Times New Roman"/>
          <w:bCs/>
          <w:noProof w:val="0"/>
        </w:rPr>
        <w:t>,P</w:t>
      </w:r>
      <w:proofErr w:type="spellEnd"/>
      <w:proofErr w:type="gramEnd"/>
      <w:r w:rsidR="00D42290">
        <w:rPr>
          <w:rFonts w:ascii="Times New Roman" w:hAnsi="Times New Roman"/>
          <w:bCs/>
          <w:noProof w:val="0"/>
        </w:rPr>
        <w:t>.,</w:t>
      </w:r>
      <w:r w:rsidR="00CB1CBD" w:rsidRPr="00AD06E7">
        <w:rPr>
          <w:rFonts w:ascii="Times New Roman" w:hAnsi="Times New Roman"/>
          <w:bCs/>
          <w:noProof w:val="0"/>
        </w:rPr>
        <w:t xml:space="preserve"> </w:t>
      </w:r>
      <w:r>
        <w:rPr>
          <w:rFonts w:ascii="Times New Roman" w:hAnsi="Times New Roman"/>
          <w:bCs/>
          <w:noProof w:val="0"/>
        </w:rPr>
        <w:t>2001. Are risk and protective factors for substance use consistent a</w:t>
      </w:r>
      <w:r w:rsidR="001032A1" w:rsidRPr="00AD06E7">
        <w:rPr>
          <w:rFonts w:ascii="Times New Roman" w:hAnsi="Times New Roman"/>
          <w:bCs/>
          <w:noProof w:val="0"/>
        </w:rPr>
        <w:t>c</w:t>
      </w:r>
      <w:r>
        <w:rPr>
          <w:rFonts w:ascii="Times New Roman" w:hAnsi="Times New Roman"/>
          <w:bCs/>
          <w:noProof w:val="0"/>
        </w:rPr>
        <w:t>ross historical time? National data from the high school c</w:t>
      </w:r>
      <w:r w:rsidR="001032A1" w:rsidRPr="00AD06E7">
        <w:rPr>
          <w:rFonts w:ascii="Times New Roman" w:hAnsi="Times New Roman"/>
          <w:bCs/>
          <w:noProof w:val="0"/>
        </w:rPr>
        <w:t xml:space="preserve">lasses of 1976 through 1997. </w:t>
      </w:r>
      <w:r>
        <w:rPr>
          <w:rFonts w:ascii="Times New Roman" w:hAnsi="Times New Roman"/>
          <w:bCs/>
          <w:noProof w:val="0"/>
        </w:rPr>
        <w:t>Prev</w:t>
      </w:r>
      <w:r w:rsidR="00B523D0">
        <w:rPr>
          <w:rFonts w:ascii="Times New Roman" w:hAnsi="Times New Roman"/>
          <w:bCs/>
          <w:noProof w:val="0"/>
        </w:rPr>
        <w:t>.</w:t>
      </w:r>
      <w:r>
        <w:rPr>
          <w:rFonts w:ascii="Times New Roman" w:hAnsi="Times New Roman"/>
          <w:bCs/>
          <w:noProof w:val="0"/>
        </w:rPr>
        <w:t xml:space="preserve"> Sci. 2, </w:t>
      </w:r>
      <w:r w:rsidR="001032A1" w:rsidRPr="00AD06E7">
        <w:rPr>
          <w:rFonts w:ascii="Times New Roman" w:hAnsi="Times New Roman"/>
          <w:bCs/>
          <w:noProof w:val="0"/>
        </w:rPr>
        <w:t xml:space="preserve">29–43. </w:t>
      </w:r>
    </w:p>
    <w:p w14:paraId="16A9F34A" w14:textId="77777777" w:rsidR="00CC7AFC" w:rsidRDefault="00CC7AFC" w:rsidP="00516AF3">
      <w:pPr>
        <w:ind w:left="567" w:hanging="567"/>
        <w:rPr>
          <w:rFonts w:ascii="Times New Roman" w:hAnsi="Times New Roman"/>
          <w:bCs/>
          <w:noProof w:val="0"/>
        </w:rPr>
      </w:pPr>
    </w:p>
    <w:p w14:paraId="10E72179" w14:textId="0AD4DACA" w:rsidR="00CC7AFC" w:rsidRDefault="00CC7AFC" w:rsidP="00CC7AFC">
      <w:pPr>
        <w:ind w:left="567" w:hanging="567"/>
        <w:rPr>
          <w:rFonts w:ascii="Times New Roman" w:hAnsi="Times New Roman"/>
          <w:bCs/>
          <w:noProof w:val="0"/>
        </w:rPr>
      </w:pPr>
      <w:r>
        <w:rPr>
          <w:rFonts w:ascii="Times New Roman" w:hAnsi="Times New Roman"/>
          <w:bCs/>
          <w:noProof w:val="0"/>
        </w:rPr>
        <w:t>Bybee, J.A.,</w:t>
      </w:r>
      <w:r w:rsidRPr="00CC7AFC">
        <w:rPr>
          <w:rFonts w:ascii="Times New Roman" w:hAnsi="Times New Roman"/>
          <w:bCs/>
          <w:noProof w:val="0"/>
        </w:rPr>
        <w:t xml:space="preserve"> Sullivan</w:t>
      </w:r>
      <w:r>
        <w:rPr>
          <w:rFonts w:ascii="Times New Roman" w:hAnsi="Times New Roman"/>
          <w:bCs/>
          <w:noProof w:val="0"/>
        </w:rPr>
        <w:t xml:space="preserve">, </w:t>
      </w:r>
      <w:r w:rsidRPr="00CC7AFC">
        <w:rPr>
          <w:rFonts w:ascii="Times New Roman" w:hAnsi="Times New Roman"/>
          <w:bCs/>
          <w:noProof w:val="0"/>
        </w:rPr>
        <w:t>E</w:t>
      </w:r>
      <w:r>
        <w:rPr>
          <w:rFonts w:ascii="Times New Roman" w:hAnsi="Times New Roman"/>
          <w:bCs/>
          <w:noProof w:val="0"/>
        </w:rPr>
        <w:t>.</w:t>
      </w:r>
      <w:r w:rsidR="00205813">
        <w:rPr>
          <w:rFonts w:ascii="Times New Roman" w:hAnsi="Times New Roman"/>
          <w:bCs/>
          <w:noProof w:val="0"/>
        </w:rPr>
        <w:t>L.,</w:t>
      </w:r>
      <w:r>
        <w:rPr>
          <w:rFonts w:ascii="Times New Roman" w:hAnsi="Times New Roman"/>
          <w:bCs/>
          <w:noProof w:val="0"/>
        </w:rPr>
        <w:t xml:space="preserve"> </w:t>
      </w:r>
      <w:proofErr w:type="spellStart"/>
      <w:r w:rsidRPr="00CC7AFC">
        <w:rPr>
          <w:rFonts w:ascii="Times New Roman" w:hAnsi="Times New Roman"/>
          <w:bCs/>
          <w:noProof w:val="0"/>
        </w:rPr>
        <w:t>Zielonka</w:t>
      </w:r>
      <w:proofErr w:type="spellEnd"/>
      <w:r>
        <w:rPr>
          <w:rFonts w:ascii="Times New Roman" w:hAnsi="Times New Roman"/>
          <w:bCs/>
          <w:noProof w:val="0"/>
        </w:rPr>
        <w:t xml:space="preserve">, </w:t>
      </w:r>
      <w:r w:rsidR="00205813">
        <w:rPr>
          <w:rFonts w:ascii="Times New Roman" w:hAnsi="Times New Roman"/>
          <w:bCs/>
          <w:noProof w:val="0"/>
        </w:rPr>
        <w:t xml:space="preserve">E., </w:t>
      </w:r>
      <w:proofErr w:type="spellStart"/>
      <w:r>
        <w:rPr>
          <w:rFonts w:ascii="Times New Roman" w:hAnsi="Times New Roman"/>
          <w:bCs/>
          <w:noProof w:val="0"/>
        </w:rPr>
        <w:t>Moes</w:t>
      </w:r>
      <w:proofErr w:type="spellEnd"/>
      <w:r w:rsidR="00205813">
        <w:rPr>
          <w:rFonts w:ascii="Times New Roman" w:hAnsi="Times New Roman"/>
          <w:bCs/>
          <w:noProof w:val="0"/>
        </w:rPr>
        <w:t>, E</w:t>
      </w:r>
      <w:r>
        <w:rPr>
          <w:rFonts w:ascii="Times New Roman" w:hAnsi="Times New Roman"/>
          <w:bCs/>
          <w:noProof w:val="0"/>
        </w:rPr>
        <w:t>.</w:t>
      </w:r>
      <w:r w:rsidR="00D42290">
        <w:rPr>
          <w:rFonts w:ascii="Times New Roman" w:hAnsi="Times New Roman"/>
          <w:bCs/>
          <w:noProof w:val="0"/>
        </w:rPr>
        <w:t>,</w:t>
      </w:r>
      <w:r w:rsidR="00205813">
        <w:rPr>
          <w:rFonts w:ascii="Times New Roman" w:hAnsi="Times New Roman"/>
          <w:bCs/>
          <w:noProof w:val="0"/>
        </w:rPr>
        <w:t xml:space="preserve"> 1999.</w:t>
      </w:r>
      <w:r>
        <w:rPr>
          <w:rFonts w:ascii="Times New Roman" w:hAnsi="Times New Roman"/>
          <w:bCs/>
          <w:noProof w:val="0"/>
        </w:rPr>
        <w:t xml:space="preserve"> </w:t>
      </w:r>
      <w:r w:rsidR="00205813" w:rsidRPr="00205813">
        <w:rPr>
          <w:rFonts w:ascii="Times New Roman" w:hAnsi="Times New Roman"/>
          <w:bCs/>
          <w:noProof w:val="0"/>
        </w:rPr>
        <w:t>Are gay men in worse mental health than heterosexual men? The role of age, shame and guilt, and coming-out</w:t>
      </w:r>
      <w:r>
        <w:rPr>
          <w:rFonts w:ascii="Times New Roman" w:hAnsi="Times New Roman"/>
          <w:bCs/>
          <w:noProof w:val="0"/>
        </w:rPr>
        <w:t xml:space="preserve">. </w:t>
      </w:r>
      <w:r w:rsidR="00793B23" w:rsidRPr="00793B23">
        <w:rPr>
          <w:rFonts w:ascii="Times New Roman" w:hAnsi="Times New Roman"/>
          <w:bCs/>
          <w:noProof w:val="0"/>
        </w:rPr>
        <w:t>J</w:t>
      </w:r>
      <w:r w:rsidR="00B523D0">
        <w:rPr>
          <w:rFonts w:ascii="Times New Roman" w:hAnsi="Times New Roman"/>
          <w:bCs/>
          <w:noProof w:val="0"/>
        </w:rPr>
        <w:t>.</w:t>
      </w:r>
      <w:r w:rsidR="00793B23" w:rsidRPr="00793B23">
        <w:rPr>
          <w:rFonts w:ascii="Times New Roman" w:hAnsi="Times New Roman"/>
          <w:bCs/>
          <w:noProof w:val="0"/>
        </w:rPr>
        <w:t xml:space="preserve"> Adult</w:t>
      </w:r>
      <w:r w:rsidR="00B523D0">
        <w:rPr>
          <w:rFonts w:ascii="Times New Roman" w:hAnsi="Times New Roman"/>
          <w:bCs/>
          <w:noProof w:val="0"/>
        </w:rPr>
        <w:t>.</w:t>
      </w:r>
      <w:r w:rsidR="00793B23" w:rsidRPr="00793B23">
        <w:rPr>
          <w:rFonts w:ascii="Times New Roman" w:hAnsi="Times New Roman"/>
          <w:bCs/>
          <w:noProof w:val="0"/>
        </w:rPr>
        <w:t xml:space="preserve"> Dev</w:t>
      </w:r>
      <w:r w:rsidR="00793B23">
        <w:rPr>
          <w:rFonts w:ascii="Times New Roman" w:hAnsi="Times New Roman"/>
          <w:bCs/>
          <w:i/>
          <w:noProof w:val="0"/>
        </w:rPr>
        <w:t>.</w:t>
      </w:r>
      <w:r>
        <w:rPr>
          <w:rFonts w:ascii="Times New Roman" w:hAnsi="Times New Roman"/>
          <w:bCs/>
          <w:noProof w:val="0"/>
        </w:rPr>
        <w:t xml:space="preserve"> </w:t>
      </w:r>
      <w:r w:rsidR="00793B23">
        <w:rPr>
          <w:rFonts w:ascii="Times New Roman" w:hAnsi="Times New Roman"/>
          <w:bCs/>
          <w:noProof w:val="0"/>
        </w:rPr>
        <w:t xml:space="preserve">16, </w:t>
      </w:r>
      <w:r>
        <w:rPr>
          <w:rFonts w:ascii="Times New Roman" w:hAnsi="Times New Roman"/>
          <w:bCs/>
          <w:noProof w:val="0"/>
        </w:rPr>
        <w:t>144–154.</w:t>
      </w:r>
      <w:r w:rsidR="00793B23">
        <w:rPr>
          <w:rFonts w:ascii="Times New Roman" w:hAnsi="Times New Roman"/>
          <w:bCs/>
          <w:noProof w:val="0"/>
        </w:rPr>
        <w:t xml:space="preserve"> </w:t>
      </w:r>
      <w:r w:rsidR="00793B23" w:rsidRPr="00793B23">
        <w:rPr>
          <w:rFonts w:ascii="Times New Roman" w:hAnsi="Times New Roman"/>
          <w:bCs/>
          <w:noProof w:val="0"/>
        </w:rPr>
        <w:t>doi:10.1007/s10804-009-9059-x</w:t>
      </w:r>
    </w:p>
    <w:p w14:paraId="0DFBCC4B" w14:textId="77777777" w:rsidR="00CC7AFC" w:rsidRDefault="00CC7AFC" w:rsidP="0016579E">
      <w:pPr>
        <w:rPr>
          <w:rFonts w:ascii="Times New Roman" w:hAnsi="Times New Roman"/>
          <w:bCs/>
          <w:noProof w:val="0"/>
        </w:rPr>
      </w:pPr>
    </w:p>
    <w:p w14:paraId="142BCDFF" w14:textId="048A4D84" w:rsidR="004152E6" w:rsidRDefault="00D40C70" w:rsidP="00516AF3">
      <w:pPr>
        <w:ind w:left="567" w:hanging="567"/>
        <w:rPr>
          <w:rFonts w:ascii="Times New Roman" w:hAnsi="Times New Roman"/>
          <w:bCs/>
          <w:noProof w:val="0"/>
        </w:rPr>
      </w:pPr>
      <w:r w:rsidRPr="00D40C70">
        <w:rPr>
          <w:rFonts w:ascii="Times New Roman" w:hAnsi="Times New Roman"/>
          <w:bCs/>
          <w:noProof w:val="0"/>
        </w:rPr>
        <w:t xml:space="preserve">Corliss, H. L., </w:t>
      </w:r>
      <w:proofErr w:type="spellStart"/>
      <w:r w:rsidRPr="00D40C70">
        <w:rPr>
          <w:rFonts w:ascii="Times New Roman" w:hAnsi="Times New Roman"/>
          <w:bCs/>
          <w:noProof w:val="0"/>
        </w:rPr>
        <w:t>Wadler</w:t>
      </w:r>
      <w:proofErr w:type="spellEnd"/>
      <w:r w:rsidRPr="00D40C70">
        <w:rPr>
          <w:rFonts w:ascii="Times New Roman" w:hAnsi="Times New Roman"/>
          <w:bCs/>
          <w:noProof w:val="0"/>
        </w:rPr>
        <w:t xml:space="preserve">, B. M., Jun, H. J., Rosario, M., </w:t>
      </w:r>
      <w:proofErr w:type="spellStart"/>
      <w:r w:rsidRPr="00D40C70">
        <w:rPr>
          <w:rFonts w:ascii="Times New Roman" w:hAnsi="Times New Roman"/>
          <w:bCs/>
          <w:noProof w:val="0"/>
        </w:rPr>
        <w:t>Wypij</w:t>
      </w:r>
      <w:proofErr w:type="spellEnd"/>
      <w:r w:rsidRPr="00D40C70">
        <w:rPr>
          <w:rFonts w:ascii="Times New Roman" w:hAnsi="Times New Roman"/>
          <w:bCs/>
          <w:noProof w:val="0"/>
        </w:rPr>
        <w:t>, D., F</w:t>
      </w:r>
      <w:r w:rsidR="00753EE2">
        <w:rPr>
          <w:rFonts w:ascii="Times New Roman" w:hAnsi="Times New Roman"/>
          <w:bCs/>
          <w:noProof w:val="0"/>
        </w:rPr>
        <w:t>razier, A. L., Austin, S. B., 2012.</w:t>
      </w:r>
      <w:r w:rsidRPr="00D40C70">
        <w:rPr>
          <w:rFonts w:ascii="Times New Roman" w:hAnsi="Times New Roman"/>
          <w:bCs/>
          <w:noProof w:val="0"/>
        </w:rPr>
        <w:t xml:space="preserve"> Sexual-orientation disparities in cigarette smoking in a longitudinal cohort study of adolescents. Nicotine</w:t>
      </w:r>
      <w:r w:rsidR="00753EE2">
        <w:rPr>
          <w:rFonts w:ascii="Times New Roman" w:hAnsi="Times New Roman"/>
          <w:bCs/>
          <w:noProof w:val="0"/>
        </w:rPr>
        <w:t xml:space="preserve"> </w:t>
      </w:r>
      <w:proofErr w:type="spellStart"/>
      <w:r w:rsidR="00753EE2">
        <w:rPr>
          <w:rFonts w:ascii="Times New Roman" w:hAnsi="Times New Roman"/>
          <w:bCs/>
          <w:noProof w:val="0"/>
        </w:rPr>
        <w:t>Tob</w:t>
      </w:r>
      <w:proofErr w:type="spellEnd"/>
      <w:r w:rsidR="00753EE2">
        <w:rPr>
          <w:rFonts w:ascii="Times New Roman" w:hAnsi="Times New Roman"/>
          <w:bCs/>
          <w:noProof w:val="0"/>
        </w:rPr>
        <w:t>. Res. 15,</w:t>
      </w:r>
      <w:r w:rsidRPr="00D40C70">
        <w:rPr>
          <w:rFonts w:ascii="Times New Roman" w:hAnsi="Times New Roman"/>
          <w:bCs/>
          <w:noProof w:val="0"/>
        </w:rPr>
        <w:t xml:space="preserve"> 213-222.</w:t>
      </w:r>
      <w:r w:rsidR="00753EE2" w:rsidRPr="00753EE2">
        <w:t xml:space="preserve"> </w:t>
      </w:r>
      <w:r w:rsidR="00753EE2" w:rsidRPr="00753EE2">
        <w:rPr>
          <w:rFonts w:ascii="Times New Roman" w:hAnsi="Times New Roman"/>
          <w:bCs/>
          <w:noProof w:val="0"/>
        </w:rPr>
        <w:t>doi:10.1093/</w:t>
      </w:r>
      <w:proofErr w:type="spellStart"/>
      <w:r w:rsidR="00753EE2" w:rsidRPr="00753EE2">
        <w:rPr>
          <w:rFonts w:ascii="Times New Roman" w:hAnsi="Times New Roman"/>
          <w:bCs/>
          <w:noProof w:val="0"/>
        </w:rPr>
        <w:t>ntr</w:t>
      </w:r>
      <w:proofErr w:type="spellEnd"/>
      <w:r w:rsidR="00753EE2" w:rsidRPr="00753EE2">
        <w:rPr>
          <w:rFonts w:ascii="Times New Roman" w:hAnsi="Times New Roman"/>
          <w:bCs/>
          <w:noProof w:val="0"/>
        </w:rPr>
        <w:t>/nts114</w:t>
      </w:r>
    </w:p>
    <w:p w14:paraId="2A55FA55" w14:textId="77777777" w:rsidR="00D40C70" w:rsidRPr="00AD06E7" w:rsidRDefault="00D40C70" w:rsidP="00516AF3">
      <w:pPr>
        <w:ind w:left="567" w:hanging="567"/>
        <w:rPr>
          <w:rFonts w:ascii="Times New Roman" w:hAnsi="Times New Roman"/>
          <w:bCs/>
          <w:noProof w:val="0"/>
        </w:rPr>
      </w:pPr>
    </w:p>
    <w:p w14:paraId="07A3C631" w14:textId="4A14B716" w:rsidR="00C24D29" w:rsidRDefault="00753EE2" w:rsidP="00516AF3">
      <w:pPr>
        <w:ind w:left="567" w:hanging="567"/>
        <w:rPr>
          <w:rFonts w:ascii="Times New Roman" w:hAnsi="Times New Roman"/>
          <w:bCs/>
          <w:noProof w:val="0"/>
        </w:rPr>
      </w:pPr>
      <w:proofErr w:type="spellStart"/>
      <w:r w:rsidRPr="00753EE2">
        <w:rPr>
          <w:rFonts w:ascii="Times New Roman" w:hAnsi="Times New Roman"/>
          <w:bCs/>
          <w:noProof w:val="0"/>
        </w:rPr>
        <w:t>Fallin</w:t>
      </w:r>
      <w:proofErr w:type="spellEnd"/>
      <w:r w:rsidRPr="00753EE2">
        <w:rPr>
          <w:rFonts w:ascii="Times New Roman" w:hAnsi="Times New Roman"/>
          <w:bCs/>
          <w:noProof w:val="0"/>
        </w:rPr>
        <w:t xml:space="preserve">, A., </w:t>
      </w:r>
      <w:proofErr w:type="spellStart"/>
      <w:r w:rsidRPr="00753EE2">
        <w:rPr>
          <w:rFonts w:ascii="Times New Roman" w:hAnsi="Times New Roman"/>
          <w:bCs/>
          <w:noProof w:val="0"/>
        </w:rPr>
        <w:t>Goodin</w:t>
      </w:r>
      <w:proofErr w:type="spellEnd"/>
      <w:r>
        <w:rPr>
          <w:rFonts w:ascii="Times New Roman" w:hAnsi="Times New Roman"/>
          <w:bCs/>
          <w:noProof w:val="0"/>
        </w:rPr>
        <w:t>, A., Lee, Y. O., Bennett, K., 2015.</w:t>
      </w:r>
      <w:r w:rsidRPr="00753EE2">
        <w:rPr>
          <w:rFonts w:ascii="Times New Roman" w:hAnsi="Times New Roman"/>
          <w:bCs/>
          <w:noProof w:val="0"/>
        </w:rPr>
        <w:t xml:space="preserve"> Smoking characteristics among lesbian, gay, and bisexual adults. </w:t>
      </w:r>
      <w:r>
        <w:rPr>
          <w:rFonts w:ascii="Times New Roman" w:hAnsi="Times New Roman"/>
          <w:bCs/>
          <w:noProof w:val="0"/>
        </w:rPr>
        <w:t>Prev. Med.</w:t>
      </w:r>
      <w:r w:rsidRPr="00753EE2">
        <w:rPr>
          <w:rFonts w:ascii="Times New Roman" w:hAnsi="Times New Roman"/>
          <w:bCs/>
          <w:noProof w:val="0"/>
        </w:rPr>
        <w:t xml:space="preserve"> 74, 123-130.</w:t>
      </w:r>
      <w:r w:rsidRPr="00753EE2">
        <w:t xml:space="preserve"> </w:t>
      </w:r>
      <w:r>
        <w:rPr>
          <w:rFonts w:ascii="Times New Roman" w:hAnsi="Times New Roman"/>
          <w:bCs/>
          <w:noProof w:val="0"/>
        </w:rPr>
        <w:t>do</w:t>
      </w:r>
      <w:r w:rsidRPr="00753EE2">
        <w:rPr>
          <w:rFonts w:ascii="Times New Roman" w:hAnsi="Times New Roman"/>
          <w:bCs/>
          <w:noProof w:val="0"/>
        </w:rPr>
        <w:t>i:10.1016/j.ypmed.2014.11.026</w:t>
      </w:r>
    </w:p>
    <w:p w14:paraId="234FD1DC" w14:textId="77777777" w:rsidR="00753EE2" w:rsidRDefault="00753EE2" w:rsidP="00516AF3">
      <w:pPr>
        <w:ind w:left="567" w:hanging="567"/>
        <w:rPr>
          <w:rFonts w:ascii="Times New Roman" w:hAnsi="Times New Roman"/>
          <w:bCs/>
          <w:noProof w:val="0"/>
        </w:rPr>
      </w:pPr>
    </w:p>
    <w:p w14:paraId="33B539E8" w14:textId="1049F558" w:rsidR="00C24D29" w:rsidRDefault="00C24D29" w:rsidP="00516AF3">
      <w:pPr>
        <w:ind w:left="567" w:hanging="567"/>
        <w:rPr>
          <w:rFonts w:ascii="Times New Roman" w:hAnsi="Times New Roman"/>
          <w:bCs/>
          <w:noProof w:val="0"/>
        </w:rPr>
      </w:pPr>
      <w:r w:rsidRPr="00C24D29">
        <w:rPr>
          <w:rFonts w:ascii="Times New Roman" w:hAnsi="Times New Roman"/>
          <w:bCs/>
          <w:noProof w:val="0"/>
        </w:rPr>
        <w:t>Fish, J. N., Watson, R. J.,</w:t>
      </w:r>
      <w:r w:rsidR="00753EE2">
        <w:rPr>
          <w:rFonts w:ascii="Times New Roman" w:hAnsi="Times New Roman"/>
          <w:bCs/>
          <w:noProof w:val="0"/>
        </w:rPr>
        <w:t xml:space="preserve"> Porta, C. M., Russell, S. T., </w:t>
      </w:r>
      <w:proofErr w:type="spellStart"/>
      <w:r w:rsidR="00753EE2">
        <w:rPr>
          <w:rFonts w:ascii="Times New Roman" w:hAnsi="Times New Roman"/>
          <w:bCs/>
          <w:noProof w:val="0"/>
        </w:rPr>
        <w:t>Saewyc</w:t>
      </w:r>
      <w:proofErr w:type="spellEnd"/>
      <w:r w:rsidR="00753EE2">
        <w:rPr>
          <w:rFonts w:ascii="Times New Roman" w:hAnsi="Times New Roman"/>
          <w:bCs/>
          <w:noProof w:val="0"/>
        </w:rPr>
        <w:t>, E. M., 2017</w:t>
      </w:r>
      <w:r w:rsidRPr="00C24D29">
        <w:rPr>
          <w:rFonts w:ascii="Times New Roman" w:hAnsi="Times New Roman"/>
          <w:bCs/>
          <w:noProof w:val="0"/>
        </w:rPr>
        <w:t>. Are alcohol-related disparities between sexual minority and heterosexual youth decreasing? Addiction.</w:t>
      </w:r>
      <w:r w:rsidR="00753EE2">
        <w:rPr>
          <w:rFonts w:ascii="Times New Roman" w:hAnsi="Times New Roman"/>
          <w:bCs/>
          <w:noProof w:val="0"/>
        </w:rPr>
        <w:t xml:space="preserve"> Online Early View. </w:t>
      </w:r>
      <w:r w:rsidRPr="00C24D29">
        <w:rPr>
          <w:rFonts w:ascii="Times New Roman" w:hAnsi="Times New Roman"/>
          <w:bCs/>
          <w:noProof w:val="0"/>
        </w:rPr>
        <w:t xml:space="preserve">doi:10.1111/add.13896  </w:t>
      </w:r>
    </w:p>
    <w:p w14:paraId="2A70C810" w14:textId="77777777" w:rsidR="00BB6F0F" w:rsidRDefault="00BB6F0F" w:rsidP="00516AF3">
      <w:pPr>
        <w:ind w:left="567" w:hanging="567"/>
        <w:rPr>
          <w:rFonts w:ascii="Times New Roman" w:hAnsi="Times New Roman"/>
          <w:bCs/>
          <w:noProof w:val="0"/>
        </w:rPr>
      </w:pPr>
    </w:p>
    <w:p w14:paraId="7F6D1849" w14:textId="763C56D3" w:rsidR="004152E6" w:rsidRDefault="00753EE2" w:rsidP="00434D56">
      <w:pPr>
        <w:ind w:left="567" w:hanging="567"/>
        <w:rPr>
          <w:rFonts w:ascii="Times New Roman" w:hAnsi="Times New Roman"/>
          <w:bCs/>
          <w:noProof w:val="0"/>
        </w:rPr>
      </w:pPr>
      <w:r w:rsidRPr="00753EE2">
        <w:rPr>
          <w:rFonts w:ascii="Times New Roman" w:hAnsi="Times New Roman" w:hint="eastAsia"/>
          <w:bCs/>
          <w:noProof w:val="0"/>
        </w:rPr>
        <w:t xml:space="preserve">French, S. A., Story, M., </w:t>
      </w:r>
      <w:proofErr w:type="spellStart"/>
      <w:r w:rsidRPr="00753EE2">
        <w:rPr>
          <w:rFonts w:ascii="Times New Roman" w:hAnsi="Times New Roman" w:hint="eastAsia"/>
          <w:bCs/>
          <w:noProof w:val="0"/>
        </w:rPr>
        <w:t>Remafedi</w:t>
      </w:r>
      <w:proofErr w:type="spellEnd"/>
      <w:r w:rsidRPr="00753EE2">
        <w:rPr>
          <w:rFonts w:ascii="Times New Roman" w:hAnsi="Times New Roman" w:hint="eastAsia"/>
          <w:bCs/>
          <w:noProof w:val="0"/>
        </w:rPr>
        <w:t xml:space="preserve">, G., </w:t>
      </w:r>
      <w:r>
        <w:rPr>
          <w:rFonts w:ascii="Times New Roman" w:hAnsi="Times New Roman" w:hint="eastAsia"/>
          <w:bCs/>
          <w:noProof w:val="0"/>
        </w:rPr>
        <w:t>Resnick, M. D., Blum, R. W., 1996</w:t>
      </w:r>
      <w:r w:rsidRPr="00753EE2">
        <w:rPr>
          <w:rFonts w:ascii="Times New Roman" w:hAnsi="Times New Roman" w:hint="eastAsia"/>
          <w:bCs/>
          <w:noProof w:val="0"/>
        </w:rPr>
        <w:t>. Sexual orientation and prevalence of body dissatisfaction and eating disordered behaviors: A population</w:t>
      </w:r>
      <w:r>
        <w:rPr>
          <w:rFonts w:ascii="Times New Roman" w:hAnsi="Times New Roman"/>
          <w:bCs/>
          <w:noProof w:val="0"/>
        </w:rPr>
        <w:t>-</w:t>
      </w:r>
      <w:r w:rsidRPr="00753EE2">
        <w:rPr>
          <w:rFonts w:ascii="Times New Roman" w:hAnsi="Times New Roman" w:hint="eastAsia"/>
          <w:bCs/>
          <w:noProof w:val="0"/>
        </w:rPr>
        <w:t xml:space="preserve">based study of adolescents. </w:t>
      </w:r>
      <w:r>
        <w:rPr>
          <w:rFonts w:ascii="Times New Roman" w:hAnsi="Times New Roman"/>
          <w:bCs/>
          <w:noProof w:val="0"/>
        </w:rPr>
        <w:t xml:space="preserve">Int. J. Eat </w:t>
      </w:r>
      <w:proofErr w:type="spellStart"/>
      <w:r>
        <w:rPr>
          <w:rFonts w:ascii="Times New Roman" w:hAnsi="Times New Roman"/>
          <w:bCs/>
          <w:noProof w:val="0"/>
        </w:rPr>
        <w:t>Disord</w:t>
      </w:r>
      <w:proofErr w:type="spellEnd"/>
      <w:r>
        <w:rPr>
          <w:rFonts w:ascii="Times New Roman" w:hAnsi="Times New Roman"/>
          <w:bCs/>
          <w:noProof w:val="0"/>
        </w:rPr>
        <w:t>.</w:t>
      </w:r>
      <w:r>
        <w:rPr>
          <w:rFonts w:ascii="Times New Roman" w:hAnsi="Times New Roman" w:hint="eastAsia"/>
          <w:bCs/>
          <w:noProof w:val="0"/>
        </w:rPr>
        <w:t xml:space="preserve"> 19, </w:t>
      </w:r>
      <w:r w:rsidRPr="00753EE2">
        <w:rPr>
          <w:rFonts w:ascii="Times New Roman" w:hAnsi="Times New Roman"/>
          <w:bCs/>
          <w:noProof w:val="0"/>
        </w:rPr>
        <w:t>119-126.</w:t>
      </w:r>
      <w:r w:rsidRPr="00753EE2">
        <w:t xml:space="preserve"> </w:t>
      </w:r>
      <w:proofErr w:type="gramStart"/>
      <w:r w:rsidRPr="00753EE2">
        <w:rPr>
          <w:rFonts w:ascii="Times New Roman" w:hAnsi="Times New Roman"/>
          <w:bCs/>
          <w:noProof w:val="0"/>
        </w:rPr>
        <w:t>doi:</w:t>
      </w:r>
      <w:proofErr w:type="gramEnd"/>
      <w:r w:rsidRPr="00753EE2">
        <w:rPr>
          <w:rFonts w:ascii="Times New Roman" w:hAnsi="Times New Roman"/>
          <w:bCs/>
          <w:noProof w:val="0"/>
        </w:rPr>
        <w:t>10.1002/(SICI)1098-108X(199603)19:2&lt;119::AID-EAT2&gt;3.0.CO;2-Q</w:t>
      </w:r>
    </w:p>
    <w:p w14:paraId="3F6493EA" w14:textId="77777777" w:rsidR="00753EE2" w:rsidRPr="00AD06E7" w:rsidRDefault="00753EE2" w:rsidP="00434D56">
      <w:pPr>
        <w:ind w:left="567" w:hanging="567"/>
        <w:rPr>
          <w:rFonts w:ascii="Times New Roman" w:hAnsi="Times New Roman"/>
          <w:bCs/>
          <w:noProof w:val="0"/>
        </w:rPr>
      </w:pPr>
    </w:p>
    <w:p w14:paraId="02197918" w14:textId="114A65E2" w:rsidR="00A745B5" w:rsidRDefault="00045107" w:rsidP="00C81353">
      <w:pPr>
        <w:ind w:left="567" w:hanging="567"/>
        <w:rPr>
          <w:rFonts w:ascii="Times New Roman" w:hAnsi="Times New Roman"/>
          <w:bCs/>
          <w:noProof w:val="0"/>
        </w:rPr>
      </w:pPr>
      <w:r>
        <w:rPr>
          <w:rFonts w:ascii="Times New Roman" w:hAnsi="Times New Roman"/>
          <w:bCs/>
          <w:noProof w:val="0"/>
        </w:rPr>
        <w:t>Hammack, P. L., Cohler, B. J., 2011</w:t>
      </w:r>
      <w:r w:rsidR="00914E50" w:rsidRPr="00914E50">
        <w:rPr>
          <w:rFonts w:ascii="Times New Roman" w:hAnsi="Times New Roman"/>
          <w:bCs/>
          <w:noProof w:val="0"/>
        </w:rPr>
        <w:t xml:space="preserve">. Narrative, identity, and the politics of exclusion: Social change and the gay and lesbian life course. </w:t>
      </w:r>
      <w:r w:rsidR="00914E50">
        <w:rPr>
          <w:rFonts w:ascii="Times New Roman" w:hAnsi="Times New Roman"/>
          <w:bCs/>
          <w:noProof w:val="0"/>
        </w:rPr>
        <w:t>Sex</w:t>
      </w:r>
      <w:r w:rsidR="00E62365">
        <w:rPr>
          <w:rFonts w:ascii="Times New Roman" w:hAnsi="Times New Roman"/>
          <w:bCs/>
          <w:noProof w:val="0"/>
        </w:rPr>
        <w:t>.</w:t>
      </w:r>
      <w:r w:rsidR="00914E50">
        <w:rPr>
          <w:rFonts w:ascii="Times New Roman" w:hAnsi="Times New Roman"/>
          <w:bCs/>
          <w:noProof w:val="0"/>
        </w:rPr>
        <w:t xml:space="preserve"> Res</w:t>
      </w:r>
      <w:r w:rsidR="00E62365">
        <w:rPr>
          <w:rFonts w:ascii="Times New Roman" w:hAnsi="Times New Roman"/>
          <w:bCs/>
          <w:noProof w:val="0"/>
        </w:rPr>
        <w:t>.</w:t>
      </w:r>
      <w:r w:rsidR="00914E50">
        <w:rPr>
          <w:rFonts w:ascii="Times New Roman" w:hAnsi="Times New Roman"/>
          <w:bCs/>
          <w:noProof w:val="0"/>
        </w:rPr>
        <w:t xml:space="preserve"> Soc</w:t>
      </w:r>
      <w:r w:rsidR="00E62365">
        <w:rPr>
          <w:rFonts w:ascii="Times New Roman" w:hAnsi="Times New Roman"/>
          <w:bCs/>
          <w:noProof w:val="0"/>
        </w:rPr>
        <w:t>.</w:t>
      </w:r>
      <w:r w:rsidR="00914E50">
        <w:rPr>
          <w:rFonts w:ascii="Times New Roman" w:hAnsi="Times New Roman"/>
          <w:bCs/>
          <w:noProof w:val="0"/>
        </w:rPr>
        <w:t xml:space="preserve"> Policy. 8, 162. </w:t>
      </w:r>
      <w:r w:rsidR="00EF4C8E">
        <w:rPr>
          <w:rFonts w:ascii="Times New Roman" w:hAnsi="Times New Roman"/>
          <w:bCs/>
          <w:noProof w:val="0"/>
        </w:rPr>
        <w:t>d</w:t>
      </w:r>
      <w:r w:rsidR="00914E50">
        <w:rPr>
          <w:rFonts w:ascii="Times New Roman" w:hAnsi="Times New Roman"/>
          <w:bCs/>
          <w:noProof w:val="0"/>
        </w:rPr>
        <w:t>oi:</w:t>
      </w:r>
      <w:r w:rsidR="00914E50" w:rsidRPr="00914E50">
        <w:rPr>
          <w:rFonts w:ascii="Times New Roman" w:hAnsi="Times New Roman"/>
          <w:bCs/>
          <w:noProof w:val="0"/>
        </w:rPr>
        <w:t>10.1007/s13178-011-0060-3</w:t>
      </w:r>
    </w:p>
    <w:p w14:paraId="4D0FD5EF" w14:textId="77777777" w:rsidR="00914E50" w:rsidRDefault="00914E50" w:rsidP="00C81353">
      <w:pPr>
        <w:ind w:left="567" w:hanging="567"/>
        <w:rPr>
          <w:rFonts w:ascii="Times New Roman" w:hAnsi="Times New Roman"/>
          <w:bCs/>
          <w:noProof w:val="0"/>
        </w:rPr>
      </w:pPr>
    </w:p>
    <w:p w14:paraId="6B84B33E" w14:textId="1FE8CD87" w:rsidR="00C24D29" w:rsidRDefault="00C24D29" w:rsidP="00C81353">
      <w:pPr>
        <w:ind w:left="567" w:hanging="567"/>
        <w:rPr>
          <w:rFonts w:ascii="Times New Roman" w:hAnsi="Times New Roman"/>
          <w:bCs/>
          <w:noProof w:val="0"/>
        </w:rPr>
      </w:pPr>
      <w:r w:rsidRPr="00C24D29">
        <w:rPr>
          <w:rFonts w:ascii="Times New Roman" w:hAnsi="Times New Roman"/>
          <w:bCs/>
          <w:noProof w:val="0"/>
        </w:rPr>
        <w:t>Hammack</w:t>
      </w:r>
      <w:r w:rsidR="00E62365">
        <w:rPr>
          <w:rFonts w:ascii="Times New Roman" w:hAnsi="Times New Roman"/>
          <w:bCs/>
          <w:noProof w:val="0"/>
        </w:rPr>
        <w:t>,</w:t>
      </w:r>
      <w:r w:rsidRPr="00C24D29">
        <w:rPr>
          <w:rFonts w:ascii="Times New Roman" w:hAnsi="Times New Roman"/>
          <w:bCs/>
          <w:noProof w:val="0"/>
        </w:rPr>
        <w:t xml:space="preserve"> P</w:t>
      </w:r>
      <w:r w:rsidR="00E62365">
        <w:rPr>
          <w:rFonts w:ascii="Times New Roman" w:hAnsi="Times New Roman"/>
          <w:bCs/>
          <w:noProof w:val="0"/>
        </w:rPr>
        <w:t>.</w:t>
      </w:r>
      <w:r w:rsidRPr="00C24D29">
        <w:rPr>
          <w:rFonts w:ascii="Times New Roman" w:hAnsi="Times New Roman"/>
          <w:bCs/>
          <w:noProof w:val="0"/>
        </w:rPr>
        <w:t>L</w:t>
      </w:r>
      <w:r w:rsidR="00E62365">
        <w:rPr>
          <w:rFonts w:ascii="Times New Roman" w:hAnsi="Times New Roman"/>
          <w:bCs/>
          <w:noProof w:val="0"/>
        </w:rPr>
        <w:t>.</w:t>
      </w:r>
      <w:r w:rsidRPr="00C24D29">
        <w:rPr>
          <w:rFonts w:ascii="Times New Roman" w:hAnsi="Times New Roman"/>
          <w:bCs/>
          <w:noProof w:val="0"/>
        </w:rPr>
        <w:t>, Frost</w:t>
      </w:r>
      <w:r w:rsidR="00E62365">
        <w:rPr>
          <w:rFonts w:ascii="Times New Roman" w:hAnsi="Times New Roman"/>
          <w:bCs/>
          <w:noProof w:val="0"/>
        </w:rPr>
        <w:t>,</w:t>
      </w:r>
      <w:r w:rsidRPr="00C24D29">
        <w:rPr>
          <w:rFonts w:ascii="Times New Roman" w:hAnsi="Times New Roman"/>
          <w:bCs/>
          <w:noProof w:val="0"/>
        </w:rPr>
        <w:t xml:space="preserve"> D</w:t>
      </w:r>
      <w:r w:rsidR="00E62365">
        <w:rPr>
          <w:rFonts w:ascii="Times New Roman" w:hAnsi="Times New Roman"/>
          <w:bCs/>
          <w:noProof w:val="0"/>
        </w:rPr>
        <w:t>.</w:t>
      </w:r>
      <w:r w:rsidRPr="00C24D29">
        <w:rPr>
          <w:rFonts w:ascii="Times New Roman" w:hAnsi="Times New Roman"/>
          <w:bCs/>
          <w:noProof w:val="0"/>
        </w:rPr>
        <w:t>M</w:t>
      </w:r>
      <w:r w:rsidR="00E62365">
        <w:rPr>
          <w:rFonts w:ascii="Times New Roman" w:hAnsi="Times New Roman"/>
          <w:bCs/>
          <w:noProof w:val="0"/>
        </w:rPr>
        <w:t>.</w:t>
      </w:r>
      <w:r w:rsidRPr="00C24D29">
        <w:rPr>
          <w:rFonts w:ascii="Times New Roman" w:hAnsi="Times New Roman"/>
          <w:bCs/>
          <w:noProof w:val="0"/>
        </w:rPr>
        <w:t>, Meyer</w:t>
      </w:r>
      <w:r w:rsidR="00E62365">
        <w:rPr>
          <w:rFonts w:ascii="Times New Roman" w:hAnsi="Times New Roman"/>
          <w:bCs/>
          <w:noProof w:val="0"/>
        </w:rPr>
        <w:t>,</w:t>
      </w:r>
      <w:r w:rsidRPr="00C24D29">
        <w:rPr>
          <w:rFonts w:ascii="Times New Roman" w:hAnsi="Times New Roman"/>
          <w:bCs/>
          <w:noProof w:val="0"/>
        </w:rPr>
        <w:t xml:space="preserve"> I</w:t>
      </w:r>
      <w:r w:rsidR="00E62365">
        <w:rPr>
          <w:rFonts w:ascii="Times New Roman" w:hAnsi="Times New Roman"/>
          <w:bCs/>
          <w:noProof w:val="0"/>
        </w:rPr>
        <w:t>.</w:t>
      </w:r>
      <w:r w:rsidRPr="00C24D29">
        <w:rPr>
          <w:rFonts w:ascii="Times New Roman" w:hAnsi="Times New Roman"/>
          <w:bCs/>
          <w:noProof w:val="0"/>
        </w:rPr>
        <w:t>H</w:t>
      </w:r>
      <w:r w:rsidR="00E62365">
        <w:rPr>
          <w:rFonts w:ascii="Times New Roman" w:hAnsi="Times New Roman"/>
          <w:bCs/>
          <w:noProof w:val="0"/>
        </w:rPr>
        <w:t>.</w:t>
      </w:r>
      <w:r w:rsidRPr="00C24D29">
        <w:rPr>
          <w:rFonts w:ascii="Times New Roman" w:hAnsi="Times New Roman"/>
          <w:bCs/>
          <w:noProof w:val="0"/>
        </w:rPr>
        <w:t xml:space="preserve">, </w:t>
      </w:r>
      <w:proofErr w:type="spellStart"/>
      <w:r w:rsidRPr="00C24D29">
        <w:rPr>
          <w:rFonts w:ascii="Times New Roman" w:hAnsi="Times New Roman"/>
          <w:bCs/>
          <w:noProof w:val="0"/>
        </w:rPr>
        <w:t>Pletta</w:t>
      </w:r>
      <w:proofErr w:type="spellEnd"/>
      <w:r w:rsidR="00E62365">
        <w:rPr>
          <w:rFonts w:ascii="Times New Roman" w:hAnsi="Times New Roman"/>
          <w:bCs/>
          <w:noProof w:val="0"/>
        </w:rPr>
        <w:t>,</w:t>
      </w:r>
      <w:r w:rsidRPr="00C24D29">
        <w:rPr>
          <w:rFonts w:ascii="Times New Roman" w:hAnsi="Times New Roman"/>
          <w:bCs/>
          <w:noProof w:val="0"/>
        </w:rPr>
        <w:t xml:space="preserve"> D.</w:t>
      </w:r>
      <w:r w:rsidR="00E62365">
        <w:rPr>
          <w:rFonts w:ascii="Times New Roman" w:hAnsi="Times New Roman"/>
          <w:bCs/>
          <w:noProof w:val="0"/>
        </w:rPr>
        <w:t xml:space="preserve"> In Press.</w:t>
      </w:r>
      <w:r w:rsidRPr="00C24D29">
        <w:rPr>
          <w:rFonts w:ascii="Times New Roman" w:hAnsi="Times New Roman"/>
          <w:bCs/>
          <w:noProof w:val="0"/>
        </w:rPr>
        <w:t xml:space="preserve"> Gay men’s health and identity: Social change and the life course. </w:t>
      </w:r>
      <w:r w:rsidR="00E62365">
        <w:rPr>
          <w:rFonts w:ascii="Times New Roman" w:hAnsi="Times New Roman"/>
          <w:bCs/>
          <w:noProof w:val="0"/>
        </w:rPr>
        <w:t xml:space="preserve">Arch. Sex </w:t>
      </w:r>
      <w:proofErr w:type="spellStart"/>
      <w:r w:rsidR="00E62365">
        <w:rPr>
          <w:rFonts w:ascii="Times New Roman" w:hAnsi="Times New Roman"/>
          <w:bCs/>
          <w:noProof w:val="0"/>
        </w:rPr>
        <w:t>Behav</w:t>
      </w:r>
      <w:proofErr w:type="spellEnd"/>
      <w:r w:rsidR="00E62365">
        <w:rPr>
          <w:rFonts w:ascii="Times New Roman" w:hAnsi="Times New Roman"/>
          <w:bCs/>
          <w:noProof w:val="0"/>
        </w:rPr>
        <w:t xml:space="preserve">. </w:t>
      </w:r>
    </w:p>
    <w:p w14:paraId="0F790CB2" w14:textId="77777777" w:rsidR="00C24D29" w:rsidRDefault="00C24D29" w:rsidP="00C81353">
      <w:pPr>
        <w:ind w:left="567" w:hanging="567"/>
        <w:rPr>
          <w:rFonts w:ascii="Times New Roman" w:hAnsi="Times New Roman"/>
          <w:bCs/>
          <w:noProof w:val="0"/>
        </w:rPr>
      </w:pPr>
    </w:p>
    <w:p w14:paraId="14CE21AA" w14:textId="3058F63E" w:rsidR="00A745B5" w:rsidRDefault="00E62365" w:rsidP="00A745B5">
      <w:pPr>
        <w:ind w:left="567" w:hanging="567"/>
        <w:rPr>
          <w:rFonts w:ascii="Times New Roman" w:hAnsi="Times New Roman"/>
          <w:bCs/>
          <w:noProof w:val="0"/>
        </w:rPr>
      </w:pPr>
      <w:proofErr w:type="spellStart"/>
      <w:r w:rsidRPr="00E62365">
        <w:rPr>
          <w:rFonts w:ascii="Times New Roman" w:hAnsi="Times New Roman"/>
          <w:bCs/>
          <w:noProof w:val="0"/>
        </w:rPr>
        <w:lastRenderedPageBreak/>
        <w:t>Hatzenbueh</w:t>
      </w:r>
      <w:r>
        <w:rPr>
          <w:rFonts w:ascii="Times New Roman" w:hAnsi="Times New Roman"/>
          <w:bCs/>
          <w:noProof w:val="0"/>
        </w:rPr>
        <w:t>ler</w:t>
      </w:r>
      <w:proofErr w:type="spellEnd"/>
      <w:r>
        <w:rPr>
          <w:rFonts w:ascii="Times New Roman" w:hAnsi="Times New Roman"/>
          <w:bCs/>
          <w:noProof w:val="0"/>
        </w:rPr>
        <w:t xml:space="preserve">, M. L., </w:t>
      </w:r>
      <w:proofErr w:type="spellStart"/>
      <w:r>
        <w:rPr>
          <w:rFonts w:ascii="Times New Roman" w:hAnsi="Times New Roman"/>
          <w:bCs/>
          <w:noProof w:val="0"/>
        </w:rPr>
        <w:t>Pachankis</w:t>
      </w:r>
      <w:proofErr w:type="spellEnd"/>
      <w:r>
        <w:rPr>
          <w:rFonts w:ascii="Times New Roman" w:hAnsi="Times New Roman"/>
          <w:bCs/>
          <w:noProof w:val="0"/>
        </w:rPr>
        <w:t>, J. E., Wolff, J., 2012</w:t>
      </w:r>
      <w:r w:rsidRPr="00E62365">
        <w:rPr>
          <w:rFonts w:ascii="Times New Roman" w:hAnsi="Times New Roman"/>
          <w:bCs/>
          <w:noProof w:val="0"/>
        </w:rPr>
        <w:t xml:space="preserve">. Religious climate and health risk behaviors in sexual minority youths: A population-based study. </w:t>
      </w:r>
      <w:r>
        <w:rPr>
          <w:rFonts w:ascii="Times New Roman" w:hAnsi="Times New Roman"/>
          <w:bCs/>
          <w:noProof w:val="0"/>
        </w:rPr>
        <w:t>Am. J. Public Health.</w:t>
      </w:r>
      <w:r w:rsidRPr="00E62365">
        <w:rPr>
          <w:rFonts w:ascii="Times New Roman" w:hAnsi="Times New Roman"/>
          <w:bCs/>
          <w:noProof w:val="0"/>
        </w:rPr>
        <w:t xml:space="preserve"> </w:t>
      </w:r>
      <w:r>
        <w:rPr>
          <w:rFonts w:ascii="Times New Roman" w:hAnsi="Times New Roman"/>
          <w:bCs/>
          <w:noProof w:val="0"/>
        </w:rPr>
        <w:t xml:space="preserve">102, </w:t>
      </w:r>
      <w:r w:rsidRPr="00E62365">
        <w:rPr>
          <w:rFonts w:ascii="Times New Roman" w:hAnsi="Times New Roman"/>
          <w:bCs/>
          <w:noProof w:val="0"/>
        </w:rPr>
        <w:t>657-663.</w:t>
      </w:r>
      <w:r w:rsidRPr="00E62365">
        <w:t xml:space="preserve"> </w:t>
      </w:r>
      <w:r w:rsidRPr="00E62365">
        <w:rPr>
          <w:rFonts w:ascii="Times New Roman" w:hAnsi="Times New Roman"/>
          <w:bCs/>
          <w:noProof w:val="0"/>
        </w:rPr>
        <w:t>doi:10.2105/AJPH.2011.300517</w:t>
      </w:r>
    </w:p>
    <w:p w14:paraId="58E95F3C" w14:textId="77777777" w:rsidR="00E62365" w:rsidRDefault="00E62365" w:rsidP="00A745B5">
      <w:pPr>
        <w:ind w:left="567" w:hanging="567"/>
        <w:rPr>
          <w:rFonts w:ascii="Times New Roman" w:hAnsi="Times New Roman"/>
          <w:bCs/>
          <w:noProof w:val="0"/>
        </w:rPr>
      </w:pPr>
    </w:p>
    <w:p w14:paraId="452A993A" w14:textId="194EE482" w:rsidR="00A745B5" w:rsidRDefault="00E62365" w:rsidP="00A745B5">
      <w:pPr>
        <w:ind w:left="567" w:hanging="567"/>
        <w:rPr>
          <w:rFonts w:ascii="Times New Roman" w:hAnsi="Times New Roman"/>
          <w:bCs/>
          <w:noProof w:val="0"/>
        </w:rPr>
      </w:pPr>
      <w:proofErr w:type="spellStart"/>
      <w:r w:rsidRPr="00E62365">
        <w:rPr>
          <w:rFonts w:ascii="Times New Roman" w:hAnsi="Times New Roman"/>
          <w:bCs/>
          <w:noProof w:val="0"/>
        </w:rPr>
        <w:t>Hatze</w:t>
      </w:r>
      <w:r>
        <w:rPr>
          <w:rFonts w:ascii="Times New Roman" w:hAnsi="Times New Roman"/>
          <w:bCs/>
          <w:noProof w:val="0"/>
        </w:rPr>
        <w:t>nbuehler</w:t>
      </w:r>
      <w:proofErr w:type="spellEnd"/>
      <w:r>
        <w:rPr>
          <w:rFonts w:ascii="Times New Roman" w:hAnsi="Times New Roman"/>
          <w:bCs/>
          <w:noProof w:val="0"/>
        </w:rPr>
        <w:t>, M. L., Keyes, K. M., McLaughlin, K. A., 2011</w:t>
      </w:r>
      <w:r w:rsidRPr="00E62365">
        <w:rPr>
          <w:rFonts w:ascii="Times New Roman" w:hAnsi="Times New Roman"/>
          <w:bCs/>
          <w:noProof w:val="0"/>
        </w:rPr>
        <w:t xml:space="preserve">. The protective effects of social/contextual factors on psychiatric morbidity in LGB populations. </w:t>
      </w:r>
      <w:r>
        <w:rPr>
          <w:rFonts w:ascii="Times New Roman" w:hAnsi="Times New Roman"/>
          <w:bCs/>
          <w:noProof w:val="0"/>
        </w:rPr>
        <w:t xml:space="preserve">Int. J. </w:t>
      </w:r>
      <w:proofErr w:type="spellStart"/>
      <w:r>
        <w:rPr>
          <w:rFonts w:ascii="Times New Roman" w:hAnsi="Times New Roman"/>
          <w:bCs/>
          <w:noProof w:val="0"/>
        </w:rPr>
        <w:t>Epidemiol</w:t>
      </w:r>
      <w:proofErr w:type="spellEnd"/>
      <w:r>
        <w:rPr>
          <w:rFonts w:ascii="Times New Roman" w:hAnsi="Times New Roman"/>
          <w:bCs/>
          <w:noProof w:val="0"/>
        </w:rPr>
        <w:t>. 40, 1</w:t>
      </w:r>
      <w:r w:rsidRPr="00E62365">
        <w:rPr>
          <w:rFonts w:ascii="Times New Roman" w:hAnsi="Times New Roman"/>
          <w:bCs/>
          <w:noProof w:val="0"/>
        </w:rPr>
        <w:t>071-1080.</w:t>
      </w:r>
      <w:r>
        <w:rPr>
          <w:rFonts w:ascii="Times New Roman" w:hAnsi="Times New Roman"/>
          <w:bCs/>
          <w:noProof w:val="0"/>
        </w:rPr>
        <w:t xml:space="preserve"> </w:t>
      </w:r>
      <w:r w:rsidRPr="00E62365">
        <w:rPr>
          <w:rFonts w:ascii="Times New Roman" w:hAnsi="Times New Roman"/>
          <w:bCs/>
          <w:noProof w:val="0"/>
        </w:rPr>
        <w:t>doi:10.1093/</w:t>
      </w:r>
      <w:proofErr w:type="spellStart"/>
      <w:r w:rsidRPr="00E62365">
        <w:rPr>
          <w:rFonts w:ascii="Times New Roman" w:hAnsi="Times New Roman"/>
          <w:bCs/>
          <w:noProof w:val="0"/>
        </w:rPr>
        <w:t>ije</w:t>
      </w:r>
      <w:proofErr w:type="spellEnd"/>
      <w:r w:rsidRPr="00E62365">
        <w:rPr>
          <w:rFonts w:ascii="Times New Roman" w:hAnsi="Times New Roman"/>
          <w:bCs/>
          <w:noProof w:val="0"/>
        </w:rPr>
        <w:t>/dyr019</w:t>
      </w:r>
    </w:p>
    <w:p w14:paraId="74B43D4B" w14:textId="77777777" w:rsidR="00E62365" w:rsidRPr="00A745B5" w:rsidRDefault="00E62365" w:rsidP="00A745B5">
      <w:pPr>
        <w:ind w:left="567" w:hanging="567"/>
        <w:rPr>
          <w:rFonts w:ascii="Times New Roman" w:hAnsi="Times New Roman"/>
          <w:bCs/>
          <w:noProof w:val="0"/>
        </w:rPr>
      </w:pPr>
    </w:p>
    <w:p w14:paraId="0E45308C" w14:textId="61164AD8" w:rsidR="00A745B5" w:rsidRDefault="00A745B5" w:rsidP="00A745B5">
      <w:pPr>
        <w:ind w:left="567" w:hanging="567"/>
        <w:rPr>
          <w:rFonts w:ascii="Times New Roman" w:hAnsi="Times New Roman"/>
          <w:bCs/>
          <w:noProof w:val="0"/>
        </w:rPr>
      </w:pPr>
      <w:proofErr w:type="spellStart"/>
      <w:r w:rsidRPr="00A745B5">
        <w:rPr>
          <w:rFonts w:ascii="Times New Roman" w:hAnsi="Times New Roman"/>
          <w:bCs/>
          <w:noProof w:val="0"/>
        </w:rPr>
        <w:t>Hatzenbuehler</w:t>
      </w:r>
      <w:proofErr w:type="spellEnd"/>
      <w:r w:rsidRPr="00A745B5">
        <w:rPr>
          <w:rFonts w:ascii="Times New Roman" w:hAnsi="Times New Roman"/>
          <w:bCs/>
          <w:noProof w:val="0"/>
        </w:rPr>
        <w:t>, M., 2010. Social factors as determinan</w:t>
      </w:r>
      <w:r>
        <w:rPr>
          <w:rFonts w:ascii="Times New Roman" w:hAnsi="Times New Roman"/>
          <w:bCs/>
          <w:noProof w:val="0"/>
        </w:rPr>
        <w:t xml:space="preserve">ts of mental health disparities </w:t>
      </w:r>
      <w:r w:rsidRPr="00A745B5">
        <w:rPr>
          <w:rFonts w:ascii="Times New Roman" w:hAnsi="Times New Roman"/>
          <w:bCs/>
          <w:noProof w:val="0"/>
        </w:rPr>
        <w:t>in LGBT populations: impl</w:t>
      </w:r>
      <w:r>
        <w:rPr>
          <w:rFonts w:ascii="Times New Roman" w:hAnsi="Times New Roman"/>
          <w:bCs/>
          <w:noProof w:val="0"/>
        </w:rPr>
        <w:t xml:space="preserve">ications for public policy. </w:t>
      </w:r>
      <w:r w:rsidR="00DB49BC" w:rsidRPr="00DB49BC">
        <w:rPr>
          <w:rFonts w:ascii="Times New Roman" w:hAnsi="Times New Roman"/>
          <w:bCs/>
          <w:noProof w:val="0"/>
        </w:rPr>
        <w:t>Soc</w:t>
      </w:r>
      <w:r w:rsidR="00DB49BC">
        <w:rPr>
          <w:rFonts w:ascii="Times New Roman" w:hAnsi="Times New Roman"/>
          <w:bCs/>
          <w:noProof w:val="0"/>
        </w:rPr>
        <w:t>.</w:t>
      </w:r>
      <w:r w:rsidR="00DB49BC" w:rsidRPr="00DB49BC">
        <w:rPr>
          <w:rFonts w:ascii="Times New Roman" w:hAnsi="Times New Roman"/>
          <w:bCs/>
          <w:noProof w:val="0"/>
        </w:rPr>
        <w:t xml:space="preserve"> </w:t>
      </w:r>
      <w:proofErr w:type="spellStart"/>
      <w:r w:rsidR="00DB49BC" w:rsidRPr="00DB49BC">
        <w:rPr>
          <w:rFonts w:ascii="Times New Roman" w:hAnsi="Times New Roman"/>
          <w:bCs/>
          <w:noProof w:val="0"/>
        </w:rPr>
        <w:t>Iss</w:t>
      </w:r>
      <w:proofErr w:type="spellEnd"/>
      <w:r w:rsidR="00DB49BC">
        <w:rPr>
          <w:rFonts w:ascii="Times New Roman" w:hAnsi="Times New Roman"/>
          <w:bCs/>
          <w:noProof w:val="0"/>
        </w:rPr>
        <w:t>.</w:t>
      </w:r>
      <w:r w:rsidR="00DB49BC" w:rsidRPr="00DB49BC">
        <w:rPr>
          <w:rFonts w:ascii="Times New Roman" w:hAnsi="Times New Roman"/>
          <w:bCs/>
          <w:noProof w:val="0"/>
        </w:rPr>
        <w:t xml:space="preserve"> Policy Rev</w:t>
      </w:r>
      <w:r w:rsidR="00DB49BC">
        <w:rPr>
          <w:rFonts w:ascii="Times New Roman" w:hAnsi="Times New Roman"/>
          <w:bCs/>
          <w:i/>
          <w:noProof w:val="0"/>
        </w:rPr>
        <w:t xml:space="preserve">. </w:t>
      </w:r>
      <w:r w:rsidR="00DB49BC">
        <w:rPr>
          <w:rFonts w:ascii="Times New Roman" w:hAnsi="Times New Roman"/>
          <w:bCs/>
          <w:noProof w:val="0"/>
        </w:rPr>
        <w:t>3,</w:t>
      </w:r>
      <w:r>
        <w:rPr>
          <w:rFonts w:ascii="Times New Roman" w:hAnsi="Times New Roman"/>
          <w:bCs/>
          <w:noProof w:val="0"/>
        </w:rPr>
        <w:t xml:space="preserve"> </w:t>
      </w:r>
      <w:r w:rsidRPr="00A745B5">
        <w:rPr>
          <w:rFonts w:ascii="Times New Roman" w:hAnsi="Times New Roman"/>
          <w:bCs/>
          <w:noProof w:val="0"/>
        </w:rPr>
        <w:t>31–62.</w:t>
      </w:r>
      <w:r w:rsidR="009D565B" w:rsidRPr="009D565B">
        <w:t xml:space="preserve"> </w:t>
      </w:r>
      <w:r w:rsidR="009D565B" w:rsidRPr="009D565B">
        <w:rPr>
          <w:rFonts w:ascii="Times New Roman" w:hAnsi="Times New Roman"/>
          <w:bCs/>
          <w:noProof w:val="0"/>
        </w:rPr>
        <w:t>doi:10.1111/j.1751-2409.2010.01017.x</w:t>
      </w:r>
    </w:p>
    <w:p w14:paraId="02A10F5F" w14:textId="77777777" w:rsidR="00E62365" w:rsidRPr="00A745B5" w:rsidRDefault="00E62365" w:rsidP="00A745B5">
      <w:pPr>
        <w:ind w:left="567" w:hanging="567"/>
        <w:rPr>
          <w:rFonts w:ascii="Times New Roman" w:hAnsi="Times New Roman"/>
          <w:bCs/>
          <w:noProof w:val="0"/>
        </w:rPr>
      </w:pPr>
    </w:p>
    <w:p w14:paraId="0F64229C" w14:textId="2AAE841B" w:rsidR="00A745B5" w:rsidRPr="00AD06E7" w:rsidRDefault="00F458C6" w:rsidP="00A745B5">
      <w:pPr>
        <w:ind w:left="567" w:hanging="567"/>
        <w:rPr>
          <w:rFonts w:ascii="Times New Roman" w:hAnsi="Times New Roman"/>
          <w:bCs/>
          <w:noProof w:val="0"/>
        </w:rPr>
      </w:pPr>
      <w:proofErr w:type="spellStart"/>
      <w:r>
        <w:rPr>
          <w:rFonts w:ascii="Times New Roman" w:hAnsi="Times New Roman"/>
          <w:bCs/>
          <w:noProof w:val="0"/>
        </w:rPr>
        <w:t>Hatzenbuehler</w:t>
      </w:r>
      <w:proofErr w:type="spellEnd"/>
      <w:r>
        <w:rPr>
          <w:rFonts w:ascii="Times New Roman" w:hAnsi="Times New Roman"/>
          <w:bCs/>
          <w:noProof w:val="0"/>
        </w:rPr>
        <w:t xml:space="preserve">, M., </w:t>
      </w:r>
      <w:r w:rsidR="00A745B5" w:rsidRPr="00A745B5">
        <w:rPr>
          <w:rFonts w:ascii="Times New Roman" w:hAnsi="Times New Roman"/>
          <w:bCs/>
          <w:noProof w:val="0"/>
        </w:rPr>
        <w:t>Keyes,</w:t>
      </w:r>
      <w:r>
        <w:rPr>
          <w:rFonts w:ascii="Times New Roman" w:hAnsi="Times New Roman"/>
          <w:bCs/>
          <w:noProof w:val="0"/>
        </w:rPr>
        <w:t xml:space="preserve"> K.,</w:t>
      </w:r>
      <w:r w:rsidR="00A745B5" w:rsidRPr="00A745B5">
        <w:rPr>
          <w:rFonts w:ascii="Times New Roman" w:hAnsi="Times New Roman"/>
          <w:bCs/>
          <w:noProof w:val="0"/>
        </w:rPr>
        <w:t xml:space="preserve"> </w:t>
      </w:r>
      <w:proofErr w:type="spellStart"/>
      <w:r w:rsidR="00A745B5">
        <w:rPr>
          <w:rFonts w:ascii="Times New Roman" w:hAnsi="Times New Roman"/>
          <w:bCs/>
          <w:noProof w:val="0"/>
        </w:rPr>
        <w:t>Hasin</w:t>
      </w:r>
      <w:proofErr w:type="spellEnd"/>
      <w:r>
        <w:rPr>
          <w:rFonts w:ascii="Times New Roman" w:hAnsi="Times New Roman"/>
          <w:bCs/>
          <w:noProof w:val="0"/>
        </w:rPr>
        <w:t>, D.,</w:t>
      </w:r>
      <w:r w:rsidR="00A745B5" w:rsidRPr="00A745B5">
        <w:rPr>
          <w:rFonts w:ascii="Times New Roman" w:hAnsi="Times New Roman"/>
          <w:bCs/>
          <w:noProof w:val="0"/>
        </w:rPr>
        <w:t xml:space="preserve"> 2009. State</w:t>
      </w:r>
      <w:r w:rsidR="00A745B5">
        <w:rPr>
          <w:rFonts w:ascii="Times New Roman" w:hAnsi="Times New Roman"/>
          <w:bCs/>
          <w:noProof w:val="0"/>
        </w:rPr>
        <w:t xml:space="preserve">-level policies and psychiatric </w:t>
      </w:r>
      <w:r w:rsidR="00A745B5" w:rsidRPr="00A745B5">
        <w:rPr>
          <w:rFonts w:ascii="Times New Roman" w:hAnsi="Times New Roman"/>
          <w:bCs/>
          <w:noProof w:val="0"/>
        </w:rPr>
        <w:t>morbidity in lesbian, gay, and bisexual population</w:t>
      </w:r>
      <w:r w:rsidR="00A745B5">
        <w:rPr>
          <w:rFonts w:ascii="Times New Roman" w:hAnsi="Times New Roman"/>
          <w:bCs/>
          <w:noProof w:val="0"/>
        </w:rPr>
        <w:t>s</w:t>
      </w:r>
      <w:r>
        <w:rPr>
          <w:rFonts w:ascii="Times New Roman" w:hAnsi="Times New Roman"/>
          <w:bCs/>
          <w:noProof w:val="0"/>
        </w:rPr>
        <w:t xml:space="preserve">. Am. J. Public Health. 99, </w:t>
      </w:r>
      <w:r w:rsidR="00A745B5" w:rsidRPr="00A745B5">
        <w:rPr>
          <w:rFonts w:ascii="Times New Roman" w:hAnsi="Times New Roman"/>
          <w:bCs/>
          <w:noProof w:val="0"/>
        </w:rPr>
        <w:t>2275–2281.</w:t>
      </w:r>
      <w:r w:rsidRPr="00F458C6">
        <w:t xml:space="preserve"> </w:t>
      </w:r>
      <w:r w:rsidRPr="00F458C6">
        <w:rPr>
          <w:rFonts w:ascii="Times New Roman" w:hAnsi="Times New Roman"/>
          <w:bCs/>
          <w:noProof w:val="0"/>
        </w:rPr>
        <w:t>doi:10.2105/AJPH.2008.153510</w:t>
      </w:r>
    </w:p>
    <w:p w14:paraId="0F90738C" w14:textId="77777777" w:rsidR="00536F91" w:rsidRPr="00AD06E7" w:rsidRDefault="00536F91" w:rsidP="00516AF3">
      <w:pPr>
        <w:ind w:left="567" w:hanging="567"/>
        <w:rPr>
          <w:rFonts w:ascii="Times New Roman" w:hAnsi="Times New Roman"/>
          <w:bCs/>
          <w:noProof w:val="0"/>
        </w:rPr>
      </w:pPr>
    </w:p>
    <w:p w14:paraId="33AD702B" w14:textId="0075C08B" w:rsidR="00536F91" w:rsidRPr="00AD06E7" w:rsidRDefault="00F458C6" w:rsidP="00516AF3">
      <w:pPr>
        <w:ind w:left="567" w:hanging="567"/>
        <w:rPr>
          <w:rFonts w:ascii="Times New Roman" w:hAnsi="Times New Roman"/>
          <w:bCs/>
          <w:noProof w:val="0"/>
        </w:rPr>
      </w:pPr>
      <w:proofErr w:type="spellStart"/>
      <w:r>
        <w:rPr>
          <w:rFonts w:ascii="Times New Roman" w:hAnsi="Times New Roman"/>
          <w:bCs/>
          <w:noProof w:val="0"/>
        </w:rPr>
        <w:t>Hatzenbuehler</w:t>
      </w:r>
      <w:proofErr w:type="spellEnd"/>
      <w:r>
        <w:rPr>
          <w:rFonts w:ascii="Times New Roman" w:hAnsi="Times New Roman"/>
          <w:bCs/>
          <w:noProof w:val="0"/>
        </w:rPr>
        <w:t>, M.L., 2014. Structural stigma and cigarette smoking in a prospective cohort study of sexual minority and heterosexual y</w:t>
      </w:r>
      <w:r w:rsidR="00536F91" w:rsidRPr="00AD06E7">
        <w:rPr>
          <w:rFonts w:ascii="Times New Roman" w:hAnsi="Times New Roman"/>
          <w:bCs/>
          <w:noProof w:val="0"/>
        </w:rPr>
        <w:t xml:space="preserve">outh. </w:t>
      </w:r>
      <w:r>
        <w:rPr>
          <w:rFonts w:ascii="Times New Roman" w:hAnsi="Times New Roman"/>
          <w:bCs/>
          <w:noProof w:val="0"/>
        </w:rPr>
        <w:t xml:space="preserve">Ann. </w:t>
      </w:r>
      <w:proofErr w:type="spellStart"/>
      <w:r>
        <w:rPr>
          <w:rFonts w:ascii="Times New Roman" w:hAnsi="Times New Roman"/>
          <w:bCs/>
          <w:noProof w:val="0"/>
        </w:rPr>
        <w:t>Behav</w:t>
      </w:r>
      <w:proofErr w:type="spellEnd"/>
      <w:r>
        <w:rPr>
          <w:rFonts w:ascii="Times New Roman" w:hAnsi="Times New Roman"/>
          <w:bCs/>
          <w:noProof w:val="0"/>
        </w:rPr>
        <w:t>. Med.</w:t>
      </w:r>
      <w:r w:rsidR="00536F91" w:rsidRPr="00AD06E7">
        <w:rPr>
          <w:rFonts w:ascii="Times New Roman" w:hAnsi="Times New Roman"/>
          <w:bCs/>
          <w:noProof w:val="0"/>
        </w:rPr>
        <w:t xml:space="preserve"> 48 –56.</w:t>
      </w:r>
      <w:r w:rsidRPr="00F458C6">
        <w:t xml:space="preserve"> </w:t>
      </w:r>
      <w:r>
        <w:rPr>
          <w:rFonts w:ascii="Times New Roman" w:hAnsi="Times New Roman"/>
          <w:bCs/>
          <w:noProof w:val="0"/>
        </w:rPr>
        <w:t>doi:0.1007/s12160-013-9548-9</w:t>
      </w:r>
    </w:p>
    <w:p w14:paraId="368C184A" w14:textId="77777777" w:rsidR="0091598A" w:rsidRPr="00AD06E7" w:rsidRDefault="0091598A" w:rsidP="00B974B6">
      <w:pPr>
        <w:rPr>
          <w:rFonts w:ascii="Times New Roman" w:hAnsi="Times New Roman"/>
          <w:bCs/>
          <w:noProof w:val="0"/>
        </w:rPr>
      </w:pPr>
    </w:p>
    <w:p w14:paraId="378CA786" w14:textId="75B5DF46" w:rsidR="0091598A" w:rsidRPr="00AD06E7" w:rsidRDefault="003F5006" w:rsidP="00516AF3">
      <w:pPr>
        <w:ind w:left="567" w:hanging="567"/>
        <w:rPr>
          <w:rFonts w:ascii="Times New Roman" w:hAnsi="Times New Roman"/>
          <w:bCs/>
          <w:noProof w:val="0"/>
        </w:rPr>
      </w:pPr>
      <w:r w:rsidRPr="003F5006">
        <w:rPr>
          <w:rFonts w:ascii="Times New Roman" w:hAnsi="Times New Roman"/>
          <w:bCs/>
          <w:noProof w:val="0"/>
        </w:rPr>
        <w:t xml:space="preserve">Jamal, A., </w:t>
      </w:r>
      <w:proofErr w:type="spellStart"/>
      <w:r w:rsidRPr="003F5006">
        <w:rPr>
          <w:rFonts w:ascii="Times New Roman" w:hAnsi="Times New Roman"/>
          <w:bCs/>
          <w:noProof w:val="0"/>
        </w:rPr>
        <w:t>Homa</w:t>
      </w:r>
      <w:proofErr w:type="spellEnd"/>
      <w:r w:rsidRPr="003F5006">
        <w:rPr>
          <w:rFonts w:ascii="Times New Roman" w:hAnsi="Times New Roman"/>
          <w:bCs/>
          <w:noProof w:val="0"/>
        </w:rPr>
        <w:t>, D. M., O'Connor, E., Babb, S. D., Caraballo, R. S., Singh, T., ... &amp; King, B. A.</w:t>
      </w:r>
      <w:r>
        <w:rPr>
          <w:rFonts w:ascii="Times New Roman" w:hAnsi="Times New Roman"/>
          <w:bCs/>
          <w:noProof w:val="0"/>
        </w:rPr>
        <w:t>, 2015</w:t>
      </w:r>
      <w:r w:rsidRPr="003F5006">
        <w:rPr>
          <w:rFonts w:ascii="Times New Roman" w:hAnsi="Times New Roman"/>
          <w:bCs/>
          <w:noProof w:val="0"/>
        </w:rPr>
        <w:t xml:space="preserve">. Current cigarette smoking among adults—United States, 2005–2014. </w:t>
      </w:r>
      <w:r w:rsidR="00C3260B">
        <w:rPr>
          <w:rFonts w:ascii="Times New Roman" w:hAnsi="Times New Roman"/>
          <w:bCs/>
          <w:noProof w:val="0"/>
        </w:rPr>
        <w:t xml:space="preserve">MMWR-Morbid. Mortal. W. 64, </w:t>
      </w:r>
      <w:r w:rsidR="0091598A" w:rsidRPr="00AD06E7">
        <w:rPr>
          <w:rFonts w:ascii="Times New Roman" w:hAnsi="Times New Roman"/>
          <w:bCs/>
          <w:noProof w:val="0"/>
        </w:rPr>
        <w:t>1233–1240.</w:t>
      </w:r>
    </w:p>
    <w:p w14:paraId="2A0394F3" w14:textId="77777777" w:rsidR="004152E6" w:rsidRPr="00AD06E7" w:rsidRDefault="004152E6" w:rsidP="00516AF3">
      <w:pPr>
        <w:ind w:left="567" w:hanging="567"/>
        <w:rPr>
          <w:rFonts w:ascii="Times New Roman" w:hAnsi="Times New Roman"/>
          <w:bCs/>
          <w:noProof w:val="0"/>
        </w:rPr>
      </w:pPr>
    </w:p>
    <w:p w14:paraId="6675FCE0" w14:textId="6E9D55E4" w:rsidR="004152E6" w:rsidRDefault="003F5006" w:rsidP="00516AF3">
      <w:pPr>
        <w:ind w:left="567" w:hanging="567"/>
        <w:rPr>
          <w:rFonts w:ascii="Times New Roman" w:hAnsi="Times New Roman"/>
          <w:bCs/>
          <w:noProof w:val="0"/>
        </w:rPr>
      </w:pPr>
      <w:r w:rsidRPr="003F5006">
        <w:rPr>
          <w:rFonts w:ascii="Times New Roman" w:hAnsi="Times New Roman"/>
          <w:bCs/>
          <w:noProof w:val="0"/>
        </w:rPr>
        <w:t>Lee, J. G., G</w:t>
      </w:r>
      <w:r>
        <w:rPr>
          <w:rFonts w:ascii="Times New Roman" w:hAnsi="Times New Roman"/>
          <w:bCs/>
          <w:noProof w:val="0"/>
        </w:rPr>
        <w:t>riffin, G. K., &amp; Melvin, C. L., 2009</w:t>
      </w:r>
      <w:r w:rsidRPr="003F5006">
        <w:rPr>
          <w:rFonts w:ascii="Times New Roman" w:hAnsi="Times New Roman"/>
          <w:bCs/>
          <w:noProof w:val="0"/>
        </w:rPr>
        <w:t>. Tobacco use among sexual minor</w:t>
      </w:r>
      <w:r>
        <w:rPr>
          <w:rFonts w:ascii="Times New Roman" w:hAnsi="Times New Roman"/>
          <w:bCs/>
          <w:noProof w:val="0"/>
        </w:rPr>
        <w:t>ities, USA, 1987-2007 (May): A systematic r</w:t>
      </w:r>
      <w:r w:rsidRPr="003F5006">
        <w:rPr>
          <w:rFonts w:ascii="Times New Roman" w:hAnsi="Times New Roman"/>
          <w:bCs/>
          <w:noProof w:val="0"/>
        </w:rPr>
        <w:t>eview</w:t>
      </w:r>
      <w:r>
        <w:rPr>
          <w:rFonts w:ascii="Times New Roman" w:hAnsi="Times New Roman"/>
          <w:bCs/>
          <w:noProof w:val="0"/>
        </w:rPr>
        <w:t xml:space="preserve">. </w:t>
      </w:r>
      <w:proofErr w:type="spellStart"/>
      <w:r>
        <w:rPr>
          <w:rFonts w:ascii="Times New Roman" w:hAnsi="Times New Roman"/>
          <w:bCs/>
          <w:noProof w:val="0"/>
        </w:rPr>
        <w:t>Tob</w:t>
      </w:r>
      <w:proofErr w:type="spellEnd"/>
      <w:r>
        <w:rPr>
          <w:rFonts w:ascii="Times New Roman" w:hAnsi="Times New Roman"/>
          <w:bCs/>
          <w:noProof w:val="0"/>
        </w:rPr>
        <w:t xml:space="preserve">. Control. 18, </w:t>
      </w:r>
      <w:r w:rsidR="004152E6" w:rsidRPr="00AD06E7">
        <w:rPr>
          <w:rFonts w:ascii="Times New Roman" w:hAnsi="Times New Roman"/>
          <w:bCs/>
          <w:noProof w:val="0"/>
        </w:rPr>
        <w:t xml:space="preserve">275–282. </w:t>
      </w:r>
    </w:p>
    <w:p w14:paraId="57730BF8" w14:textId="77777777" w:rsidR="007A24CF" w:rsidRDefault="007A24CF" w:rsidP="00516AF3">
      <w:pPr>
        <w:ind w:left="567" w:hanging="567"/>
        <w:rPr>
          <w:rFonts w:ascii="Times New Roman" w:hAnsi="Times New Roman"/>
          <w:bCs/>
          <w:noProof w:val="0"/>
        </w:rPr>
      </w:pPr>
    </w:p>
    <w:p w14:paraId="739F06D4" w14:textId="6CBCC26B" w:rsidR="007A24CF" w:rsidRDefault="003F5006" w:rsidP="007A24CF">
      <w:pPr>
        <w:ind w:left="567" w:hanging="567"/>
        <w:rPr>
          <w:rFonts w:ascii="Times New Roman" w:hAnsi="Times New Roman"/>
          <w:bCs/>
          <w:noProof w:val="0"/>
        </w:rPr>
      </w:pPr>
      <w:r>
        <w:rPr>
          <w:rFonts w:ascii="Times New Roman" w:hAnsi="Times New Roman"/>
          <w:bCs/>
          <w:noProof w:val="0"/>
        </w:rPr>
        <w:t xml:space="preserve">Lewis, N.M., </w:t>
      </w:r>
      <w:r w:rsidR="007A24CF" w:rsidRPr="007A24CF">
        <w:rPr>
          <w:rFonts w:ascii="Times New Roman" w:hAnsi="Times New Roman"/>
          <w:bCs/>
          <w:noProof w:val="0"/>
        </w:rPr>
        <w:t>2014. Rupture, resilience, and ris</w:t>
      </w:r>
      <w:r w:rsidR="007A24CF">
        <w:rPr>
          <w:rFonts w:ascii="Times New Roman" w:hAnsi="Times New Roman"/>
          <w:bCs/>
          <w:noProof w:val="0"/>
        </w:rPr>
        <w:t xml:space="preserve">k: relationships between mental </w:t>
      </w:r>
      <w:r w:rsidR="007A24CF" w:rsidRPr="007A24CF">
        <w:rPr>
          <w:rFonts w:ascii="Times New Roman" w:hAnsi="Times New Roman"/>
          <w:bCs/>
          <w:noProof w:val="0"/>
        </w:rPr>
        <w:t>health and migration among gay-identified men in North America</w:t>
      </w:r>
      <w:r>
        <w:rPr>
          <w:rFonts w:ascii="Times New Roman" w:hAnsi="Times New Roman"/>
          <w:bCs/>
          <w:noProof w:val="0"/>
        </w:rPr>
        <w:t xml:space="preserve">. Health Place. 27, </w:t>
      </w:r>
      <w:r w:rsidR="007A24CF">
        <w:rPr>
          <w:rFonts w:ascii="Times New Roman" w:hAnsi="Times New Roman"/>
          <w:bCs/>
          <w:noProof w:val="0"/>
        </w:rPr>
        <w:t>212–</w:t>
      </w:r>
      <w:r w:rsidR="007A24CF" w:rsidRPr="007A24CF">
        <w:rPr>
          <w:rFonts w:ascii="Times New Roman" w:hAnsi="Times New Roman"/>
          <w:bCs/>
          <w:noProof w:val="0"/>
        </w:rPr>
        <w:t>219.</w:t>
      </w:r>
      <w:r w:rsidRPr="003F5006">
        <w:t xml:space="preserve"> </w:t>
      </w:r>
      <w:r w:rsidRPr="003F5006">
        <w:rPr>
          <w:rFonts w:ascii="Times New Roman" w:hAnsi="Times New Roman"/>
          <w:bCs/>
          <w:noProof w:val="0"/>
        </w:rPr>
        <w:t>doi:10.1016/j.healthplace.2014.03.002</w:t>
      </w:r>
    </w:p>
    <w:p w14:paraId="116B3FFA" w14:textId="77777777" w:rsidR="003312EC" w:rsidRDefault="003312EC" w:rsidP="007A24CF">
      <w:pPr>
        <w:ind w:left="567" w:hanging="567"/>
        <w:rPr>
          <w:rFonts w:ascii="Times New Roman" w:hAnsi="Times New Roman"/>
          <w:bCs/>
          <w:noProof w:val="0"/>
        </w:rPr>
      </w:pPr>
    </w:p>
    <w:p w14:paraId="49052F70" w14:textId="1747446A" w:rsidR="003312EC" w:rsidRDefault="003312EC" w:rsidP="007A24CF">
      <w:pPr>
        <w:ind w:left="567" w:hanging="567"/>
        <w:rPr>
          <w:rFonts w:ascii="Times New Roman" w:hAnsi="Times New Roman"/>
          <w:bCs/>
          <w:noProof w:val="0"/>
        </w:rPr>
      </w:pPr>
      <w:r w:rsidRPr="003312EC">
        <w:rPr>
          <w:rFonts w:ascii="Times New Roman" w:hAnsi="Times New Roman"/>
          <w:bCs/>
          <w:noProof w:val="0"/>
        </w:rPr>
        <w:t>Lewis, N.M. 2017. Researching LGB health and social policy: methodological issues and future directions. Journal of Public Health Policy</w:t>
      </w:r>
      <w:r>
        <w:rPr>
          <w:rFonts w:ascii="Times New Roman" w:hAnsi="Times New Roman"/>
          <w:bCs/>
          <w:noProof w:val="0"/>
        </w:rPr>
        <w:t xml:space="preserve">. 38, </w:t>
      </w:r>
      <w:r w:rsidRPr="003312EC">
        <w:rPr>
          <w:rFonts w:ascii="Times New Roman" w:hAnsi="Times New Roman"/>
          <w:bCs/>
          <w:noProof w:val="0"/>
        </w:rPr>
        <w:t xml:space="preserve">80–87.  </w:t>
      </w:r>
    </w:p>
    <w:p w14:paraId="36D5D5C6" w14:textId="77777777" w:rsidR="00507E02" w:rsidRPr="00AD06E7" w:rsidRDefault="00507E02" w:rsidP="00B974B6">
      <w:pPr>
        <w:rPr>
          <w:rFonts w:ascii="Times New Roman" w:hAnsi="Times New Roman"/>
          <w:bCs/>
          <w:noProof w:val="0"/>
        </w:rPr>
      </w:pPr>
    </w:p>
    <w:p w14:paraId="4476CFFE" w14:textId="2FA2C2FB" w:rsidR="00507E02" w:rsidRPr="00AD06E7" w:rsidRDefault="00507E02" w:rsidP="007A24CF">
      <w:pPr>
        <w:ind w:left="567" w:hanging="567"/>
        <w:rPr>
          <w:rFonts w:ascii="Times New Roman" w:hAnsi="Times New Roman"/>
          <w:bCs/>
          <w:noProof w:val="0"/>
        </w:rPr>
      </w:pPr>
      <w:r w:rsidRPr="00AD06E7">
        <w:rPr>
          <w:rFonts w:ascii="Times New Roman" w:hAnsi="Times New Roman"/>
          <w:bCs/>
          <w:noProof w:val="0"/>
        </w:rPr>
        <w:t>Lewis, N.</w:t>
      </w:r>
      <w:r w:rsidR="003F5006">
        <w:rPr>
          <w:rFonts w:ascii="Times New Roman" w:hAnsi="Times New Roman"/>
          <w:bCs/>
          <w:noProof w:val="0"/>
        </w:rPr>
        <w:t>M.,</w:t>
      </w:r>
      <w:r w:rsidRPr="00AD06E7">
        <w:rPr>
          <w:rFonts w:ascii="Times New Roman" w:hAnsi="Times New Roman"/>
          <w:bCs/>
          <w:noProof w:val="0"/>
        </w:rPr>
        <w:t xml:space="preserve"> 2009. </w:t>
      </w:r>
      <w:r w:rsidR="007A24CF" w:rsidRPr="007A24CF">
        <w:rPr>
          <w:rFonts w:ascii="Times New Roman" w:hAnsi="Times New Roman"/>
          <w:bCs/>
          <w:noProof w:val="0"/>
        </w:rPr>
        <w:t>Mental health in sexual minorities:</w:t>
      </w:r>
      <w:r w:rsidR="007A24CF">
        <w:rPr>
          <w:rFonts w:ascii="Times New Roman" w:hAnsi="Times New Roman"/>
          <w:bCs/>
          <w:noProof w:val="0"/>
        </w:rPr>
        <w:t xml:space="preserve"> recent indicators, trends, and </w:t>
      </w:r>
      <w:r w:rsidR="007A24CF" w:rsidRPr="007A24CF">
        <w:rPr>
          <w:rFonts w:ascii="Times New Roman" w:hAnsi="Times New Roman"/>
          <w:bCs/>
          <w:noProof w:val="0"/>
        </w:rPr>
        <w:t>their relationships to place in North America and Europe</w:t>
      </w:r>
      <w:r w:rsidR="003F5006">
        <w:rPr>
          <w:rFonts w:ascii="Times New Roman" w:hAnsi="Times New Roman"/>
          <w:bCs/>
          <w:noProof w:val="0"/>
        </w:rPr>
        <w:t xml:space="preserve">. Health Place. 15, </w:t>
      </w:r>
      <w:r w:rsidR="007A24CF" w:rsidRPr="007A24CF">
        <w:rPr>
          <w:rFonts w:ascii="Times New Roman" w:hAnsi="Times New Roman"/>
          <w:bCs/>
          <w:noProof w:val="0"/>
        </w:rPr>
        <w:t>1029–1045.</w:t>
      </w:r>
      <w:r w:rsidR="003F5006" w:rsidRPr="003F5006">
        <w:t xml:space="preserve"> </w:t>
      </w:r>
      <w:r w:rsidR="003F5006" w:rsidRPr="003F5006">
        <w:rPr>
          <w:rFonts w:ascii="Times New Roman" w:hAnsi="Times New Roman"/>
          <w:bCs/>
          <w:noProof w:val="0"/>
        </w:rPr>
        <w:t>doi:10.1016/j.healthplace.2009.05.003</w:t>
      </w:r>
    </w:p>
    <w:p w14:paraId="1D160C8E" w14:textId="77777777" w:rsidR="00CB1CBD" w:rsidRPr="00AD06E7" w:rsidRDefault="00CB1CBD" w:rsidP="00516AF3">
      <w:pPr>
        <w:ind w:left="567" w:hanging="567"/>
        <w:rPr>
          <w:rFonts w:ascii="Times New Roman" w:hAnsi="Times New Roman"/>
          <w:bCs/>
          <w:noProof w:val="0"/>
        </w:rPr>
      </w:pPr>
    </w:p>
    <w:p w14:paraId="168967CF" w14:textId="25994DEC" w:rsidR="00536F91" w:rsidRDefault="003F5006" w:rsidP="00516AF3">
      <w:pPr>
        <w:ind w:left="567" w:hanging="567"/>
        <w:rPr>
          <w:rFonts w:ascii="Times New Roman" w:hAnsi="Times New Roman"/>
          <w:bCs/>
          <w:noProof w:val="0"/>
        </w:rPr>
      </w:pPr>
      <w:r>
        <w:rPr>
          <w:rFonts w:ascii="Times New Roman" w:hAnsi="Times New Roman"/>
          <w:bCs/>
          <w:noProof w:val="0"/>
        </w:rPr>
        <w:t xml:space="preserve">Lightwood, J., </w:t>
      </w:r>
      <w:proofErr w:type="spellStart"/>
      <w:r>
        <w:rPr>
          <w:rFonts w:ascii="Times New Roman" w:hAnsi="Times New Roman"/>
          <w:bCs/>
          <w:noProof w:val="0"/>
        </w:rPr>
        <w:t>Glantz</w:t>
      </w:r>
      <w:proofErr w:type="spellEnd"/>
      <w:r>
        <w:rPr>
          <w:rFonts w:ascii="Times New Roman" w:hAnsi="Times New Roman"/>
          <w:bCs/>
          <w:noProof w:val="0"/>
        </w:rPr>
        <w:t>, S. A., 2013</w:t>
      </w:r>
      <w:r w:rsidRPr="003F5006">
        <w:rPr>
          <w:rFonts w:ascii="Times New Roman" w:hAnsi="Times New Roman"/>
          <w:bCs/>
          <w:noProof w:val="0"/>
        </w:rPr>
        <w:t>. The effect of the California tobacco control program on smoking prevalence, cigarette consumption, and healthcare co</w:t>
      </w:r>
      <w:r>
        <w:rPr>
          <w:rFonts w:ascii="Times New Roman" w:hAnsi="Times New Roman"/>
          <w:bCs/>
          <w:noProof w:val="0"/>
        </w:rPr>
        <w:t xml:space="preserve">sts: 1989–2008. PLOS One. 8, </w:t>
      </w:r>
      <w:r w:rsidRPr="003F5006">
        <w:rPr>
          <w:rFonts w:ascii="Times New Roman" w:hAnsi="Times New Roman"/>
          <w:bCs/>
          <w:noProof w:val="0"/>
        </w:rPr>
        <w:t>e47145.</w:t>
      </w:r>
    </w:p>
    <w:p w14:paraId="132286C1" w14:textId="77777777" w:rsidR="003F5006" w:rsidRPr="00AD06E7" w:rsidRDefault="003F5006" w:rsidP="00516AF3">
      <w:pPr>
        <w:ind w:left="567" w:hanging="567"/>
        <w:rPr>
          <w:rFonts w:ascii="Times New Roman" w:hAnsi="Times New Roman"/>
          <w:bCs/>
          <w:noProof w:val="0"/>
        </w:rPr>
      </w:pPr>
    </w:p>
    <w:p w14:paraId="765ED1D3" w14:textId="0F2A66AD" w:rsidR="00BB6F0F" w:rsidRDefault="003F5006" w:rsidP="00516AF3">
      <w:pPr>
        <w:ind w:left="567" w:hanging="567"/>
        <w:rPr>
          <w:rFonts w:ascii="Times New Roman" w:hAnsi="Times New Roman"/>
          <w:bCs/>
          <w:noProof w:val="0"/>
        </w:rPr>
      </w:pPr>
      <w:r w:rsidRPr="003F5006">
        <w:rPr>
          <w:rFonts w:ascii="Times New Roman" w:hAnsi="Times New Roman"/>
          <w:bCs/>
          <w:noProof w:val="0"/>
        </w:rPr>
        <w:t>Marshal, M. P., Friedman, M. S.</w:t>
      </w:r>
      <w:r>
        <w:rPr>
          <w:rFonts w:ascii="Times New Roman" w:hAnsi="Times New Roman"/>
          <w:bCs/>
          <w:noProof w:val="0"/>
        </w:rPr>
        <w:t>, Stall, R., Thompson, A. L., 2009.</w:t>
      </w:r>
      <w:r w:rsidRPr="003F5006">
        <w:rPr>
          <w:rFonts w:ascii="Times New Roman" w:hAnsi="Times New Roman"/>
          <w:bCs/>
          <w:noProof w:val="0"/>
        </w:rPr>
        <w:t xml:space="preserve"> Individual trajectories of substance use in lesbian, gay and bisexual youth and heteros</w:t>
      </w:r>
      <w:r>
        <w:rPr>
          <w:rFonts w:ascii="Times New Roman" w:hAnsi="Times New Roman"/>
          <w:bCs/>
          <w:noProof w:val="0"/>
        </w:rPr>
        <w:t xml:space="preserve">exual youth. Addiction. 104, </w:t>
      </w:r>
      <w:r w:rsidRPr="003F5006">
        <w:rPr>
          <w:rFonts w:ascii="Times New Roman" w:hAnsi="Times New Roman"/>
          <w:bCs/>
          <w:noProof w:val="0"/>
        </w:rPr>
        <w:t>974-981.</w:t>
      </w:r>
      <w:r w:rsidRPr="003F5006">
        <w:t xml:space="preserve"> </w:t>
      </w:r>
      <w:r w:rsidRPr="003F5006">
        <w:rPr>
          <w:rFonts w:ascii="Times New Roman" w:hAnsi="Times New Roman"/>
          <w:bCs/>
          <w:noProof w:val="0"/>
        </w:rPr>
        <w:t>doi:10.1111/j.1360-0443.2009.02531.x</w:t>
      </w:r>
    </w:p>
    <w:p w14:paraId="75CA8E04" w14:textId="3BA33001" w:rsidR="00503623" w:rsidRDefault="00BA71FB" w:rsidP="00516AF3">
      <w:pPr>
        <w:ind w:left="567" w:hanging="567"/>
        <w:rPr>
          <w:rFonts w:ascii="Times New Roman" w:hAnsi="Times New Roman"/>
          <w:bCs/>
          <w:noProof w:val="0"/>
        </w:rPr>
      </w:pPr>
      <w:r w:rsidRPr="00BA71FB">
        <w:rPr>
          <w:rFonts w:ascii="Times New Roman" w:hAnsi="Times New Roman"/>
          <w:bCs/>
          <w:noProof w:val="0"/>
        </w:rPr>
        <w:lastRenderedPageBreak/>
        <w:t xml:space="preserve">Matthews, D. D., </w:t>
      </w:r>
      <w:proofErr w:type="spellStart"/>
      <w:r w:rsidRPr="00BA71FB">
        <w:rPr>
          <w:rFonts w:ascii="Times New Roman" w:hAnsi="Times New Roman"/>
          <w:bCs/>
          <w:noProof w:val="0"/>
        </w:rPr>
        <w:t>Blo</w:t>
      </w:r>
      <w:r>
        <w:rPr>
          <w:rFonts w:ascii="Times New Roman" w:hAnsi="Times New Roman"/>
          <w:bCs/>
          <w:noProof w:val="0"/>
        </w:rPr>
        <w:t>snich</w:t>
      </w:r>
      <w:proofErr w:type="spellEnd"/>
      <w:r>
        <w:rPr>
          <w:rFonts w:ascii="Times New Roman" w:hAnsi="Times New Roman"/>
          <w:bCs/>
          <w:noProof w:val="0"/>
        </w:rPr>
        <w:t>, J. R., Farmer, G. W., Adams, B. J., 2014.</w:t>
      </w:r>
      <w:r w:rsidRPr="00BA71FB">
        <w:rPr>
          <w:rFonts w:ascii="Times New Roman" w:hAnsi="Times New Roman"/>
          <w:bCs/>
          <w:noProof w:val="0"/>
        </w:rPr>
        <w:t xml:space="preserve"> Operational definitions of sexual orientation and estimates of adolesce</w:t>
      </w:r>
      <w:r w:rsidR="00E61E84">
        <w:rPr>
          <w:rFonts w:ascii="Times New Roman" w:hAnsi="Times New Roman"/>
          <w:bCs/>
          <w:noProof w:val="0"/>
        </w:rPr>
        <w:t>nt health risk behaviors. LGBT Health. 1</w:t>
      </w:r>
      <w:r w:rsidRPr="00BA71FB">
        <w:rPr>
          <w:rFonts w:ascii="Times New Roman" w:hAnsi="Times New Roman"/>
          <w:bCs/>
          <w:noProof w:val="0"/>
        </w:rPr>
        <w:t>, 42-49.</w:t>
      </w:r>
      <w:r w:rsidR="00E61E84">
        <w:rPr>
          <w:rFonts w:ascii="Times New Roman" w:hAnsi="Times New Roman"/>
          <w:bCs/>
          <w:noProof w:val="0"/>
        </w:rPr>
        <w:t xml:space="preserve"> </w:t>
      </w:r>
      <w:r w:rsidR="00E61E84" w:rsidRPr="00E61E84">
        <w:rPr>
          <w:rFonts w:ascii="Times New Roman" w:hAnsi="Times New Roman"/>
          <w:bCs/>
          <w:noProof w:val="0"/>
        </w:rPr>
        <w:t>doi:10.1089/lgbt.2013.0002</w:t>
      </w:r>
    </w:p>
    <w:p w14:paraId="19910F92" w14:textId="77777777" w:rsidR="004B4EA9" w:rsidRDefault="004B4EA9" w:rsidP="00516AF3">
      <w:pPr>
        <w:ind w:left="567" w:hanging="567"/>
        <w:rPr>
          <w:rFonts w:ascii="Times New Roman" w:hAnsi="Times New Roman"/>
          <w:bCs/>
          <w:noProof w:val="0"/>
        </w:rPr>
      </w:pPr>
    </w:p>
    <w:p w14:paraId="6D0F0D48" w14:textId="6EB086AB" w:rsidR="004B4EA9" w:rsidRDefault="004B4EA9" w:rsidP="00516AF3">
      <w:pPr>
        <w:ind w:left="567" w:hanging="567"/>
        <w:rPr>
          <w:rFonts w:ascii="Times New Roman" w:hAnsi="Times New Roman"/>
          <w:bCs/>
          <w:noProof w:val="0"/>
        </w:rPr>
      </w:pPr>
      <w:r>
        <w:rPr>
          <w:rFonts w:ascii="Times New Roman" w:hAnsi="Times New Roman"/>
          <w:bCs/>
          <w:noProof w:val="0"/>
        </w:rPr>
        <w:t>Meyer, I. H., 2003</w:t>
      </w:r>
      <w:r w:rsidRPr="004B4EA9">
        <w:rPr>
          <w:rFonts w:ascii="Times New Roman" w:hAnsi="Times New Roman"/>
          <w:bCs/>
          <w:noProof w:val="0"/>
        </w:rPr>
        <w:t xml:space="preserve">. Prejudice, social stress, and mental health in lesbian, gay, and bisexual populations: conceptual issues and research evidence. </w:t>
      </w:r>
      <w:r>
        <w:rPr>
          <w:rFonts w:ascii="Times New Roman" w:hAnsi="Times New Roman"/>
          <w:bCs/>
          <w:noProof w:val="0"/>
        </w:rPr>
        <w:t>Psych. Bull., 129,</w:t>
      </w:r>
      <w:r w:rsidRPr="004B4EA9">
        <w:rPr>
          <w:rFonts w:ascii="Times New Roman" w:hAnsi="Times New Roman"/>
          <w:bCs/>
          <w:noProof w:val="0"/>
        </w:rPr>
        <w:t xml:space="preserve"> 674</w:t>
      </w:r>
      <w:r>
        <w:rPr>
          <w:rFonts w:ascii="Times New Roman" w:hAnsi="Times New Roman"/>
          <w:bCs/>
          <w:noProof w:val="0"/>
        </w:rPr>
        <w:t xml:space="preserve">-697. </w:t>
      </w:r>
      <w:r w:rsidRPr="004B4EA9">
        <w:rPr>
          <w:rFonts w:ascii="Times New Roman" w:hAnsi="Times New Roman"/>
          <w:bCs/>
          <w:noProof w:val="0"/>
        </w:rPr>
        <w:t>doi:10.1037/0033-2909.129.5.674</w:t>
      </w:r>
    </w:p>
    <w:p w14:paraId="1816FC7A" w14:textId="77777777" w:rsidR="00BA71FB" w:rsidRDefault="00BA71FB" w:rsidP="00516AF3">
      <w:pPr>
        <w:ind w:left="567" w:hanging="567"/>
        <w:rPr>
          <w:rFonts w:ascii="Times New Roman" w:hAnsi="Times New Roman"/>
          <w:bCs/>
          <w:noProof w:val="0"/>
        </w:rPr>
      </w:pPr>
    </w:p>
    <w:p w14:paraId="1CBF8F0D" w14:textId="2B921E6D" w:rsidR="00B93881" w:rsidRDefault="007243C8" w:rsidP="00516AF3">
      <w:pPr>
        <w:ind w:left="567" w:hanging="567"/>
        <w:rPr>
          <w:rFonts w:ascii="Times New Roman" w:hAnsi="Times New Roman"/>
          <w:bCs/>
          <w:noProof w:val="0"/>
        </w:rPr>
      </w:pPr>
      <w:r w:rsidRPr="007243C8">
        <w:rPr>
          <w:rFonts w:ascii="Times New Roman" w:hAnsi="Times New Roman"/>
          <w:bCs/>
          <w:noProof w:val="0"/>
        </w:rPr>
        <w:t xml:space="preserve">Nadal, K. L., Wong, Y., Issa, </w:t>
      </w:r>
      <w:r>
        <w:rPr>
          <w:rFonts w:ascii="Times New Roman" w:hAnsi="Times New Roman"/>
          <w:bCs/>
          <w:noProof w:val="0"/>
        </w:rPr>
        <w:t xml:space="preserve">M. A., </w:t>
      </w:r>
      <w:proofErr w:type="spellStart"/>
      <w:r>
        <w:rPr>
          <w:rFonts w:ascii="Times New Roman" w:hAnsi="Times New Roman"/>
          <w:bCs/>
          <w:noProof w:val="0"/>
        </w:rPr>
        <w:t>Meterko</w:t>
      </w:r>
      <w:proofErr w:type="spellEnd"/>
      <w:r>
        <w:rPr>
          <w:rFonts w:ascii="Times New Roman" w:hAnsi="Times New Roman"/>
          <w:bCs/>
          <w:noProof w:val="0"/>
        </w:rPr>
        <w:t xml:space="preserve">, V., Leon, J., </w:t>
      </w:r>
      <w:r w:rsidRPr="007243C8">
        <w:rPr>
          <w:rFonts w:ascii="Times New Roman" w:hAnsi="Times New Roman"/>
          <w:bCs/>
          <w:noProof w:val="0"/>
        </w:rPr>
        <w:t>Wid</w:t>
      </w:r>
      <w:r>
        <w:rPr>
          <w:rFonts w:ascii="Times New Roman" w:hAnsi="Times New Roman"/>
          <w:bCs/>
          <w:noProof w:val="0"/>
        </w:rPr>
        <w:t>eman, M., 2011</w:t>
      </w:r>
      <w:r w:rsidRPr="007243C8">
        <w:rPr>
          <w:rFonts w:ascii="Times New Roman" w:hAnsi="Times New Roman"/>
          <w:bCs/>
          <w:noProof w:val="0"/>
        </w:rPr>
        <w:t xml:space="preserve">. Sexual orientation microaggressions: Processes and coping mechanisms for lesbian, gay, and bisexual individuals. </w:t>
      </w:r>
      <w:r w:rsidR="00A5160B">
        <w:rPr>
          <w:rFonts w:ascii="Times New Roman" w:hAnsi="Times New Roman"/>
          <w:bCs/>
          <w:noProof w:val="0"/>
        </w:rPr>
        <w:t xml:space="preserve">J </w:t>
      </w:r>
      <w:r w:rsidRPr="007243C8">
        <w:rPr>
          <w:rFonts w:ascii="Times New Roman" w:hAnsi="Times New Roman"/>
          <w:bCs/>
          <w:noProof w:val="0"/>
        </w:rPr>
        <w:t xml:space="preserve">LGBT </w:t>
      </w:r>
      <w:proofErr w:type="spellStart"/>
      <w:r w:rsidR="00A5160B">
        <w:rPr>
          <w:rFonts w:ascii="Times New Roman" w:hAnsi="Times New Roman"/>
          <w:bCs/>
          <w:noProof w:val="0"/>
        </w:rPr>
        <w:t>Iss</w:t>
      </w:r>
      <w:proofErr w:type="spellEnd"/>
      <w:r w:rsidR="00A5160B">
        <w:rPr>
          <w:rFonts w:ascii="Times New Roman" w:hAnsi="Times New Roman"/>
          <w:bCs/>
          <w:noProof w:val="0"/>
        </w:rPr>
        <w:t>.</w:t>
      </w:r>
      <w:r w:rsidRPr="007243C8">
        <w:rPr>
          <w:rFonts w:ascii="Times New Roman" w:hAnsi="Times New Roman"/>
          <w:bCs/>
          <w:noProof w:val="0"/>
        </w:rPr>
        <w:t xml:space="preserve"> </w:t>
      </w:r>
      <w:r w:rsidR="00A5160B">
        <w:rPr>
          <w:rFonts w:ascii="Times New Roman" w:hAnsi="Times New Roman"/>
          <w:bCs/>
          <w:noProof w:val="0"/>
        </w:rPr>
        <w:t>Counsel. 5</w:t>
      </w:r>
      <w:r w:rsidRPr="007243C8">
        <w:rPr>
          <w:rFonts w:ascii="Times New Roman" w:hAnsi="Times New Roman"/>
          <w:bCs/>
          <w:noProof w:val="0"/>
        </w:rPr>
        <w:t>, 21-46.</w:t>
      </w:r>
      <w:r w:rsidR="007026B6" w:rsidRPr="007026B6">
        <w:t xml:space="preserve"> </w:t>
      </w:r>
      <w:r w:rsidR="007026B6" w:rsidRPr="007026B6">
        <w:rPr>
          <w:rFonts w:ascii="Times New Roman" w:hAnsi="Times New Roman"/>
          <w:bCs/>
          <w:noProof w:val="0"/>
        </w:rPr>
        <w:t>doi:10.1080/15538605.2011.554606</w:t>
      </w:r>
    </w:p>
    <w:p w14:paraId="753D97D7" w14:textId="77777777" w:rsidR="007243C8" w:rsidRPr="00AD06E7" w:rsidRDefault="007243C8" w:rsidP="00516AF3">
      <w:pPr>
        <w:ind w:left="567" w:hanging="567"/>
        <w:rPr>
          <w:rFonts w:ascii="Times New Roman" w:hAnsi="Times New Roman"/>
          <w:bCs/>
          <w:noProof w:val="0"/>
        </w:rPr>
      </w:pPr>
    </w:p>
    <w:p w14:paraId="4D949939" w14:textId="6F5C27BD" w:rsidR="001032A1" w:rsidRDefault="00290169" w:rsidP="00516AF3">
      <w:pPr>
        <w:ind w:left="567" w:hanging="567"/>
        <w:rPr>
          <w:rFonts w:ascii="Times New Roman" w:hAnsi="Times New Roman"/>
          <w:bCs/>
          <w:noProof w:val="0"/>
        </w:rPr>
      </w:pPr>
      <w:r w:rsidRPr="00290169">
        <w:rPr>
          <w:rFonts w:ascii="Times New Roman" w:hAnsi="Times New Roman"/>
          <w:bCs/>
          <w:noProof w:val="0"/>
        </w:rPr>
        <w:t xml:space="preserve">Newcomb, M. </w:t>
      </w:r>
      <w:r>
        <w:rPr>
          <w:rFonts w:ascii="Times New Roman" w:hAnsi="Times New Roman"/>
          <w:bCs/>
          <w:noProof w:val="0"/>
        </w:rPr>
        <w:t xml:space="preserve">E., Heinz, A. J., Birkett, M., </w:t>
      </w:r>
      <w:proofErr w:type="spellStart"/>
      <w:r>
        <w:rPr>
          <w:rFonts w:ascii="Times New Roman" w:hAnsi="Times New Roman"/>
          <w:bCs/>
          <w:noProof w:val="0"/>
        </w:rPr>
        <w:t>Mustanski</w:t>
      </w:r>
      <w:proofErr w:type="spellEnd"/>
      <w:r>
        <w:rPr>
          <w:rFonts w:ascii="Times New Roman" w:hAnsi="Times New Roman"/>
          <w:bCs/>
          <w:noProof w:val="0"/>
        </w:rPr>
        <w:t>, B., 2014</w:t>
      </w:r>
      <w:r w:rsidRPr="00290169">
        <w:rPr>
          <w:rFonts w:ascii="Times New Roman" w:hAnsi="Times New Roman"/>
          <w:bCs/>
          <w:noProof w:val="0"/>
        </w:rPr>
        <w:t xml:space="preserve">. A longitudinal examination of risk and protective factors for cigarette smoking among lesbian, gay, bisexual, and transgender youth. </w:t>
      </w:r>
      <w:r>
        <w:rPr>
          <w:rFonts w:ascii="Times New Roman" w:hAnsi="Times New Roman"/>
          <w:bCs/>
          <w:noProof w:val="0"/>
        </w:rPr>
        <w:t xml:space="preserve">J. </w:t>
      </w:r>
      <w:r w:rsidRPr="00290169">
        <w:rPr>
          <w:rFonts w:ascii="Times New Roman" w:hAnsi="Times New Roman"/>
          <w:bCs/>
          <w:noProof w:val="0"/>
        </w:rPr>
        <w:t>Adolescent Health, 54(5), 558-564.</w:t>
      </w:r>
      <w:r w:rsidRPr="00290169">
        <w:t xml:space="preserve"> </w:t>
      </w:r>
      <w:r w:rsidRPr="00290169">
        <w:rPr>
          <w:rFonts w:ascii="Times New Roman" w:hAnsi="Times New Roman"/>
          <w:bCs/>
          <w:noProof w:val="0"/>
        </w:rPr>
        <w:t>doi:10.1016/j.jadohealth.2013.10.208</w:t>
      </w:r>
    </w:p>
    <w:p w14:paraId="0A1496DF" w14:textId="77777777" w:rsidR="00C65FE1" w:rsidRDefault="00C65FE1" w:rsidP="00516AF3">
      <w:pPr>
        <w:ind w:left="567" w:hanging="567"/>
        <w:rPr>
          <w:rFonts w:ascii="Times New Roman" w:hAnsi="Times New Roman"/>
          <w:bCs/>
          <w:noProof w:val="0"/>
        </w:rPr>
      </w:pPr>
    </w:p>
    <w:p w14:paraId="52EC8C27" w14:textId="0D184BCB" w:rsidR="00C65FE1" w:rsidRDefault="00C65FE1" w:rsidP="00C65FE1">
      <w:pPr>
        <w:ind w:left="567" w:hanging="567"/>
        <w:rPr>
          <w:rFonts w:ascii="Times New Roman" w:hAnsi="Times New Roman"/>
          <w:bCs/>
          <w:noProof w:val="0"/>
        </w:rPr>
      </w:pPr>
      <w:r w:rsidRPr="003312EC">
        <w:rPr>
          <w:rFonts w:ascii="Times New Roman" w:hAnsi="Times New Roman"/>
          <w:bCs/>
          <w:noProof w:val="0"/>
        </w:rPr>
        <w:t>Norman-Majo</w:t>
      </w:r>
      <w:r>
        <w:rPr>
          <w:rFonts w:ascii="Times New Roman" w:hAnsi="Times New Roman"/>
          <w:bCs/>
          <w:noProof w:val="0"/>
        </w:rPr>
        <w:t>r, K. 2013. Walking the talk: Do public systems have the infrastructure necessary to implement and enforce LGBT and gender identity r</w:t>
      </w:r>
      <w:r w:rsidRPr="003312EC">
        <w:rPr>
          <w:rFonts w:ascii="Times New Roman" w:hAnsi="Times New Roman"/>
          <w:bCs/>
          <w:noProof w:val="0"/>
        </w:rPr>
        <w:t>ights? Journal of Public Man</w:t>
      </w:r>
      <w:r>
        <w:rPr>
          <w:rFonts w:ascii="Times New Roman" w:hAnsi="Times New Roman"/>
          <w:bCs/>
          <w:noProof w:val="0"/>
        </w:rPr>
        <w:t xml:space="preserve">agement &amp; Social Policy. 19, </w:t>
      </w:r>
      <w:r w:rsidRPr="003312EC">
        <w:rPr>
          <w:rFonts w:ascii="Times New Roman" w:hAnsi="Times New Roman"/>
          <w:bCs/>
          <w:noProof w:val="0"/>
        </w:rPr>
        <w:t>31-49.</w:t>
      </w:r>
    </w:p>
    <w:p w14:paraId="56C4C3B4" w14:textId="77777777" w:rsidR="00290169" w:rsidRPr="00AD06E7" w:rsidRDefault="00290169" w:rsidP="00516AF3">
      <w:pPr>
        <w:ind w:left="567" w:hanging="567"/>
        <w:rPr>
          <w:rFonts w:ascii="Times New Roman" w:hAnsi="Times New Roman"/>
          <w:bCs/>
          <w:noProof w:val="0"/>
        </w:rPr>
      </w:pPr>
    </w:p>
    <w:p w14:paraId="64B67DA6" w14:textId="4BD5443B" w:rsidR="00A745B5" w:rsidRDefault="00460B9E" w:rsidP="00516AF3">
      <w:pPr>
        <w:ind w:left="567" w:hanging="567"/>
        <w:rPr>
          <w:rFonts w:ascii="Times New Roman" w:hAnsi="Times New Roman"/>
          <w:bCs/>
          <w:noProof w:val="0"/>
        </w:rPr>
      </w:pPr>
      <w:r w:rsidRPr="00460B9E">
        <w:rPr>
          <w:rFonts w:ascii="Times New Roman" w:hAnsi="Times New Roman"/>
          <w:bCs/>
          <w:noProof w:val="0"/>
        </w:rPr>
        <w:t xml:space="preserve">Orbell, S., </w:t>
      </w:r>
      <w:proofErr w:type="spellStart"/>
      <w:r w:rsidRPr="00460B9E">
        <w:rPr>
          <w:rFonts w:ascii="Times New Roman" w:hAnsi="Times New Roman"/>
          <w:bCs/>
          <w:noProof w:val="0"/>
        </w:rPr>
        <w:t>Lidierth</w:t>
      </w:r>
      <w:proofErr w:type="spellEnd"/>
      <w:r w:rsidRPr="00460B9E">
        <w:rPr>
          <w:rFonts w:ascii="Times New Roman" w:hAnsi="Times New Roman"/>
          <w:bCs/>
          <w:noProof w:val="0"/>
        </w:rPr>
        <w:t xml:space="preserve">, P., Henderson, C. J., </w:t>
      </w:r>
      <w:proofErr w:type="spellStart"/>
      <w:r w:rsidRPr="00460B9E">
        <w:rPr>
          <w:rFonts w:ascii="Times New Roman" w:hAnsi="Times New Roman"/>
          <w:bCs/>
          <w:noProof w:val="0"/>
        </w:rPr>
        <w:t>Geeraert</w:t>
      </w:r>
      <w:proofErr w:type="spellEnd"/>
      <w:r w:rsidRPr="00460B9E">
        <w:rPr>
          <w:rFonts w:ascii="Times New Roman" w:hAnsi="Times New Roman"/>
          <w:bCs/>
          <w:noProof w:val="0"/>
        </w:rPr>
        <w:t>,</w:t>
      </w:r>
      <w:r>
        <w:rPr>
          <w:rFonts w:ascii="Times New Roman" w:hAnsi="Times New Roman"/>
          <w:bCs/>
          <w:noProof w:val="0"/>
        </w:rPr>
        <w:t xml:space="preserve"> N., </w:t>
      </w:r>
      <w:proofErr w:type="spellStart"/>
      <w:r>
        <w:rPr>
          <w:rFonts w:ascii="Times New Roman" w:hAnsi="Times New Roman"/>
          <w:bCs/>
          <w:noProof w:val="0"/>
        </w:rPr>
        <w:t>Uller</w:t>
      </w:r>
      <w:proofErr w:type="spellEnd"/>
      <w:r>
        <w:rPr>
          <w:rFonts w:ascii="Times New Roman" w:hAnsi="Times New Roman"/>
          <w:bCs/>
          <w:noProof w:val="0"/>
        </w:rPr>
        <w:t xml:space="preserve">, C., </w:t>
      </w:r>
      <w:proofErr w:type="spellStart"/>
      <w:r>
        <w:rPr>
          <w:rFonts w:ascii="Times New Roman" w:hAnsi="Times New Roman"/>
          <w:bCs/>
          <w:noProof w:val="0"/>
        </w:rPr>
        <w:t>Uskul</w:t>
      </w:r>
      <w:proofErr w:type="spellEnd"/>
      <w:r>
        <w:rPr>
          <w:rFonts w:ascii="Times New Roman" w:hAnsi="Times New Roman"/>
          <w:bCs/>
          <w:noProof w:val="0"/>
        </w:rPr>
        <w:t xml:space="preserve">, A. K., </w:t>
      </w:r>
      <w:proofErr w:type="spellStart"/>
      <w:r>
        <w:rPr>
          <w:rFonts w:ascii="Times New Roman" w:hAnsi="Times New Roman"/>
          <w:bCs/>
          <w:noProof w:val="0"/>
        </w:rPr>
        <w:t>Kyriakaki</w:t>
      </w:r>
      <w:proofErr w:type="spellEnd"/>
      <w:r>
        <w:rPr>
          <w:rFonts w:ascii="Times New Roman" w:hAnsi="Times New Roman"/>
          <w:bCs/>
          <w:noProof w:val="0"/>
        </w:rPr>
        <w:t>, M., 2009</w:t>
      </w:r>
      <w:r w:rsidRPr="00460B9E">
        <w:rPr>
          <w:rFonts w:ascii="Times New Roman" w:hAnsi="Times New Roman"/>
          <w:bCs/>
          <w:noProof w:val="0"/>
        </w:rPr>
        <w:t xml:space="preserve">. Social–cognitive beliefs, alcohol, and tobacco use: A prospective community study of change following a ban on smoking in </w:t>
      </w:r>
      <w:r>
        <w:rPr>
          <w:rFonts w:ascii="Times New Roman" w:hAnsi="Times New Roman"/>
          <w:bCs/>
          <w:noProof w:val="0"/>
        </w:rPr>
        <w:t>public places. Health Psychol. 28</w:t>
      </w:r>
      <w:r w:rsidRPr="00460B9E">
        <w:rPr>
          <w:rFonts w:ascii="Times New Roman" w:hAnsi="Times New Roman"/>
          <w:bCs/>
          <w:noProof w:val="0"/>
        </w:rPr>
        <w:t>, 753</w:t>
      </w:r>
      <w:r>
        <w:rPr>
          <w:rFonts w:ascii="Times New Roman" w:hAnsi="Times New Roman"/>
          <w:bCs/>
          <w:noProof w:val="0"/>
        </w:rPr>
        <w:t>-761</w:t>
      </w:r>
      <w:r w:rsidRPr="00460B9E">
        <w:rPr>
          <w:rFonts w:ascii="Times New Roman" w:hAnsi="Times New Roman"/>
          <w:bCs/>
          <w:noProof w:val="0"/>
        </w:rPr>
        <w:t xml:space="preserve">. </w:t>
      </w:r>
      <w:r>
        <w:rPr>
          <w:rFonts w:ascii="Times New Roman" w:hAnsi="Times New Roman"/>
          <w:bCs/>
          <w:noProof w:val="0"/>
        </w:rPr>
        <w:t>doi:</w:t>
      </w:r>
      <w:r w:rsidRPr="00460B9E">
        <w:rPr>
          <w:rFonts w:ascii="Times New Roman" w:hAnsi="Times New Roman"/>
          <w:bCs/>
          <w:noProof w:val="0"/>
        </w:rPr>
        <w:t>10.1037/a0016943</w:t>
      </w:r>
    </w:p>
    <w:p w14:paraId="1E8FE274" w14:textId="77777777" w:rsidR="00460B9E" w:rsidRDefault="00460B9E" w:rsidP="00516AF3">
      <w:pPr>
        <w:ind w:left="567" w:hanging="567"/>
        <w:rPr>
          <w:rFonts w:ascii="Times New Roman" w:hAnsi="Times New Roman"/>
          <w:bCs/>
          <w:noProof w:val="0"/>
        </w:rPr>
      </w:pPr>
    </w:p>
    <w:p w14:paraId="402835DF" w14:textId="51AFD296" w:rsidR="00C24D29" w:rsidRDefault="00CC2C3E" w:rsidP="00516AF3">
      <w:pPr>
        <w:ind w:left="567" w:hanging="567"/>
        <w:rPr>
          <w:rFonts w:ascii="Times New Roman" w:hAnsi="Times New Roman"/>
          <w:bCs/>
          <w:noProof w:val="0"/>
        </w:rPr>
      </w:pPr>
      <w:proofErr w:type="spellStart"/>
      <w:r w:rsidRPr="00CC2C3E">
        <w:rPr>
          <w:rFonts w:ascii="Times New Roman" w:hAnsi="Times New Roman"/>
          <w:bCs/>
          <w:noProof w:val="0"/>
        </w:rPr>
        <w:t>Pizacani</w:t>
      </w:r>
      <w:proofErr w:type="spellEnd"/>
      <w:r w:rsidRPr="00CC2C3E">
        <w:rPr>
          <w:rFonts w:ascii="Times New Roman" w:hAnsi="Times New Roman"/>
          <w:bCs/>
          <w:noProof w:val="0"/>
        </w:rPr>
        <w:t xml:space="preserve">, B. A., Rohde, K., </w:t>
      </w:r>
      <w:proofErr w:type="spellStart"/>
      <w:r w:rsidRPr="00CC2C3E">
        <w:rPr>
          <w:rFonts w:ascii="Times New Roman" w:hAnsi="Times New Roman"/>
          <w:bCs/>
          <w:noProof w:val="0"/>
        </w:rPr>
        <w:t>Bushore</w:t>
      </w:r>
      <w:proofErr w:type="spellEnd"/>
      <w:r w:rsidRPr="00CC2C3E">
        <w:rPr>
          <w:rFonts w:ascii="Times New Roman" w:hAnsi="Times New Roman"/>
          <w:bCs/>
          <w:noProof w:val="0"/>
        </w:rPr>
        <w:t>, C., Stark, M. J.</w:t>
      </w:r>
      <w:r>
        <w:rPr>
          <w:rFonts w:ascii="Times New Roman" w:hAnsi="Times New Roman"/>
          <w:bCs/>
          <w:noProof w:val="0"/>
        </w:rPr>
        <w:t xml:space="preserve">, Maher, J. E., Dilley, J. A., </w:t>
      </w:r>
      <w:proofErr w:type="spellStart"/>
      <w:r>
        <w:rPr>
          <w:rFonts w:ascii="Times New Roman" w:hAnsi="Times New Roman"/>
          <w:bCs/>
          <w:noProof w:val="0"/>
        </w:rPr>
        <w:t>Boysun</w:t>
      </w:r>
      <w:proofErr w:type="spellEnd"/>
      <w:r>
        <w:rPr>
          <w:rFonts w:ascii="Times New Roman" w:hAnsi="Times New Roman"/>
          <w:bCs/>
          <w:noProof w:val="0"/>
        </w:rPr>
        <w:t>, M. J., 2009</w:t>
      </w:r>
      <w:r w:rsidRPr="00CC2C3E">
        <w:rPr>
          <w:rFonts w:ascii="Times New Roman" w:hAnsi="Times New Roman"/>
          <w:bCs/>
          <w:noProof w:val="0"/>
        </w:rPr>
        <w:t xml:space="preserve">. Smoking-related knowledge, attitudes and behaviors in the lesbian, gay and bisexual community: A population-based study from the US Pacific Northwest. </w:t>
      </w:r>
      <w:r>
        <w:rPr>
          <w:rFonts w:ascii="Times New Roman" w:hAnsi="Times New Roman"/>
          <w:bCs/>
          <w:noProof w:val="0"/>
        </w:rPr>
        <w:t>Prev. Med. 48</w:t>
      </w:r>
      <w:r w:rsidRPr="00CC2C3E">
        <w:rPr>
          <w:rFonts w:ascii="Times New Roman" w:hAnsi="Times New Roman"/>
          <w:bCs/>
          <w:noProof w:val="0"/>
        </w:rPr>
        <w:t>, 555-561.</w:t>
      </w:r>
      <w:r w:rsidRPr="00CC2C3E">
        <w:t xml:space="preserve"> </w:t>
      </w:r>
      <w:r w:rsidRPr="00CC2C3E">
        <w:rPr>
          <w:rFonts w:ascii="Times New Roman" w:hAnsi="Times New Roman"/>
          <w:bCs/>
          <w:noProof w:val="0"/>
        </w:rPr>
        <w:t>doi:10.1016/j.ypmed.2009.03.013</w:t>
      </w:r>
    </w:p>
    <w:p w14:paraId="24184484" w14:textId="77777777" w:rsidR="003312EC" w:rsidRDefault="003312EC" w:rsidP="00516AF3">
      <w:pPr>
        <w:ind w:left="567" w:hanging="567"/>
        <w:rPr>
          <w:rFonts w:ascii="Times New Roman" w:hAnsi="Times New Roman"/>
          <w:bCs/>
          <w:noProof w:val="0"/>
        </w:rPr>
      </w:pPr>
    </w:p>
    <w:p w14:paraId="520943A9" w14:textId="0AEC1346" w:rsidR="003312EC" w:rsidRDefault="003312EC" w:rsidP="003312EC">
      <w:pPr>
        <w:ind w:left="567" w:hanging="567"/>
        <w:rPr>
          <w:rFonts w:ascii="Times New Roman" w:hAnsi="Times New Roman"/>
          <w:bCs/>
          <w:noProof w:val="0"/>
        </w:rPr>
      </w:pPr>
      <w:r w:rsidRPr="003312EC">
        <w:rPr>
          <w:rFonts w:ascii="Times New Roman" w:hAnsi="Times New Roman"/>
          <w:bCs/>
          <w:noProof w:val="0"/>
        </w:rPr>
        <w:t>Rosario, M., Scrimshaw, E.</w:t>
      </w:r>
      <w:r>
        <w:rPr>
          <w:rFonts w:ascii="Times New Roman" w:hAnsi="Times New Roman"/>
          <w:bCs/>
          <w:noProof w:val="0"/>
        </w:rPr>
        <w:t>W., Hunter, J. 2011. Cigarette smoking as a coping strategy: Negative i</w:t>
      </w:r>
      <w:r w:rsidRPr="003312EC">
        <w:rPr>
          <w:rFonts w:ascii="Times New Roman" w:hAnsi="Times New Roman"/>
          <w:bCs/>
          <w:noProof w:val="0"/>
        </w:rPr>
        <w:t>mplicat</w:t>
      </w:r>
      <w:r>
        <w:rPr>
          <w:rFonts w:ascii="Times New Roman" w:hAnsi="Times New Roman"/>
          <w:bCs/>
          <w:noProof w:val="0"/>
        </w:rPr>
        <w:t>ions for subsequent psychological distress among lesbian, gay, and bisexual y</w:t>
      </w:r>
      <w:r w:rsidRPr="003312EC">
        <w:rPr>
          <w:rFonts w:ascii="Times New Roman" w:hAnsi="Times New Roman"/>
          <w:bCs/>
          <w:noProof w:val="0"/>
        </w:rPr>
        <w:t>ouths. Journal</w:t>
      </w:r>
      <w:r>
        <w:rPr>
          <w:rFonts w:ascii="Times New Roman" w:hAnsi="Times New Roman"/>
          <w:bCs/>
          <w:noProof w:val="0"/>
        </w:rPr>
        <w:t xml:space="preserve"> of Pediatric Psychology.  26, </w:t>
      </w:r>
      <w:r w:rsidRPr="003312EC">
        <w:rPr>
          <w:rFonts w:ascii="Times New Roman" w:hAnsi="Times New Roman"/>
          <w:bCs/>
          <w:noProof w:val="0"/>
        </w:rPr>
        <w:t xml:space="preserve">731–742.  </w:t>
      </w:r>
    </w:p>
    <w:p w14:paraId="6D5D9E1F" w14:textId="77777777" w:rsidR="00CC2C3E" w:rsidRDefault="00CC2C3E" w:rsidP="00516AF3">
      <w:pPr>
        <w:ind w:left="567" w:hanging="567"/>
        <w:rPr>
          <w:rFonts w:ascii="Times New Roman" w:hAnsi="Times New Roman"/>
          <w:bCs/>
          <w:noProof w:val="0"/>
        </w:rPr>
      </w:pPr>
    </w:p>
    <w:p w14:paraId="665E75BF" w14:textId="16442F12" w:rsidR="00C24D29" w:rsidRDefault="00A66CBF" w:rsidP="00516AF3">
      <w:pPr>
        <w:ind w:left="567" w:hanging="567"/>
        <w:rPr>
          <w:rFonts w:ascii="Times New Roman" w:hAnsi="Times New Roman"/>
          <w:bCs/>
          <w:noProof w:val="0"/>
        </w:rPr>
      </w:pPr>
      <w:r>
        <w:rPr>
          <w:rFonts w:ascii="Times New Roman" w:hAnsi="Times New Roman"/>
          <w:bCs/>
          <w:noProof w:val="0"/>
        </w:rPr>
        <w:t>Russell, S. T., Fish, J. N., 2016</w:t>
      </w:r>
      <w:r w:rsidR="00CC2C3E" w:rsidRPr="00CC2C3E">
        <w:rPr>
          <w:rFonts w:ascii="Times New Roman" w:hAnsi="Times New Roman"/>
          <w:bCs/>
          <w:noProof w:val="0"/>
        </w:rPr>
        <w:t xml:space="preserve">. Mental health in lesbian, gay, bisexual, and transgender (LGBT) youth. </w:t>
      </w:r>
      <w:proofErr w:type="spellStart"/>
      <w:r w:rsidR="00CC2C3E">
        <w:rPr>
          <w:rFonts w:ascii="Times New Roman" w:hAnsi="Times New Roman"/>
          <w:bCs/>
          <w:noProof w:val="0"/>
        </w:rPr>
        <w:t>Annu</w:t>
      </w:r>
      <w:proofErr w:type="spellEnd"/>
      <w:r w:rsidR="00CC2C3E">
        <w:rPr>
          <w:rFonts w:ascii="Times New Roman" w:hAnsi="Times New Roman"/>
          <w:bCs/>
          <w:noProof w:val="0"/>
        </w:rPr>
        <w:t xml:space="preserve">. Rev. </w:t>
      </w:r>
      <w:proofErr w:type="spellStart"/>
      <w:r w:rsidR="00CC2C3E">
        <w:rPr>
          <w:rFonts w:ascii="Times New Roman" w:hAnsi="Times New Roman"/>
          <w:bCs/>
          <w:noProof w:val="0"/>
        </w:rPr>
        <w:t>Clin</w:t>
      </w:r>
      <w:proofErr w:type="spellEnd"/>
      <w:r w:rsidR="00CC2C3E">
        <w:rPr>
          <w:rFonts w:ascii="Times New Roman" w:hAnsi="Times New Roman"/>
          <w:bCs/>
          <w:noProof w:val="0"/>
        </w:rPr>
        <w:t xml:space="preserve">. Psycho. </w:t>
      </w:r>
      <w:r w:rsidR="00CC2C3E" w:rsidRPr="00CC2C3E">
        <w:rPr>
          <w:rFonts w:ascii="Times New Roman" w:hAnsi="Times New Roman"/>
          <w:bCs/>
          <w:noProof w:val="0"/>
        </w:rPr>
        <w:t>12, 465-487.</w:t>
      </w:r>
      <w:r w:rsidR="00CC2C3E" w:rsidRPr="00CC2C3E">
        <w:t xml:space="preserve"> </w:t>
      </w:r>
      <w:r w:rsidR="00CC2C3E" w:rsidRPr="00CC2C3E">
        <w:rPr>
          <w:rFonts w:ascii="Times New Roman" w:hAnsi="Times New Roman"/>
          <w:bCs/>
          <w:noProof w:val="0"/>
        </w:rPr>
        <w:t>doi:10.1146/annurev-clinpsy-021815-093153</w:t>
      </w:r>
    </w:p>
    <w:p w14:paraId="5FBCE442" w14:textId="77777777" w:rsidR="00CC2C3E" w:rsidRDefault="00CC2C3E" w:rsidP="00516AF3">
      <w:pPr>
        <w:ind w:left="567" w:hanging="567"/>
        <w:rPr>
          <w:rFonts w:ascii="Times New Roman" w:hAnsi="Times New Roman"/>
          <w:bCs/>
          <w:noProof w:val="0"/>
        </w:rPr>
      </w:pPr>
    </w:p>
    <w:p w14:paraId="265AE16B" w14:textId="22976344" w:rsidR="00C81353" w:rsidRDefault="00F952DB" w:rsidP="00516AF3">
      <w:pPr>
        <w:ind w:left="567" w:hanging="567"/>
        <w:rPr>
          <w:rFonts w:ascii="Times New Roman" w:hAnsi="Times New Roman"/>
          <w:bCs/>
          <w:noProof w:val="0"/>
        </w:rPr>
      </w:pPr>
      <w:r w:rsidRPr="00F952DB">
        <w:rPr>
          <w:rFonts w:ascii="Times New Roman" w:hAnsi="Times New Roman"/>
          <w:bCs/>
          <w:noProof w:val="0"/>
        </w:rPr>
        <w:t xml:space="preserve">Ryan, C., Russell, </w:t>
      </w:r>
      <w:r w:rsidR="00546B7A">
        <w:rPr>
          <w:rFonts w:ascii="Times New Roman" w:hAnsi="Times New Roman"/>
          <w:bCs/>
          <w:noProof w:val="0"/>
        </w:rPr>
        <w:t xml:space="preserve">S. T., Huebner, D., Diaz, R., </w:t>
      </w:r>
      <w:r w:rsidRPr="00F952DB">
        <w:rPr>
          <w:rFonts w:ascii="Times New Roman" w:hAnsi="Times New Roman"/>
          <w:bCs/>
          <w:noProof w:val="0"/>
        </w:rPr>
        <w:t>Sanch</w:t>
      </w:r>
      <w:r w:rsidR="00546B7A">
        <w:rPr>
          <w:rFonts w:ascii="Times New Roman" w:hAnsi="Times New Roman"/>
          <w:bCs/>
          <w:noProof w:val="0"/>
        </w:rPr>
        <w:t>ez, J., 2010</w:t>
      </w:r>
      <w:r w:rsidRPr="00F952DB">
        <w:rPr>
          <w:rFonts w:ascii="Times New Roman" w:hAnsi="Times New Roman"/>
          <w:bCs/>
          <w:noProof w:val="0"/>
        </w:rPr>
        <w:t xml:space="preserve">. Family acceptance in adolescence and the health of LGBT young adults. Journal of Child and </w:t>
      </w:r>
      <w:r w:rsidR="00546B7A">
        <w:rPr>
          <w:rFonts w:ascii="Times New Roman" w:hAnsi="Times New Roman"/>
          <w:bCs/>
          <w:noProof w:val="0"/>
        </w:rPr>
        <w:t>Adolescent Psychiatric Nursing. 23</w:t>
      </w:r>
      <w:r w:rsidRPr="00F952DB">
        <w:rPr>
          <w:rFonts w:ascii="Times New Roman" w:hAnsi="Times New Roman"/>
          <w:bCs/>
          <w:noProof w:val="0"/>
        </w:rPr>
        <w:t>, 205-213.</w:t>
      </w:r>
      <w:r w:rsidR="00546B7A" w:rsidRPr="00546B7A">
        <w:t xml:space="preserve"> </w:t>
      </w:r>
      <w:r w:rsidR="00546B7A" w:rsidRPr="00546B7A">
        <w:rPr>
          <w:rFonts w:ascii="Times New Roman" w:hAnsi="Times New Roman"/>
          <w:bCs/>
          <w:noProof w:val="0"/>
        </w:rPr>
        <w:t>doi:10.1111/j.1744-6171.2010.00246.x</w:t>
      </w:r>
    </w:p>
    <w:p w14:paraId="1DAC2A6A" w14:textId="77777777" w:rsidR="003312EC" w:rsidRDefault="003312EC" w:rsidP="00516AF3">
      <w:pPr>
        <w:ind w:left="567" w:hanging="567"/>
        <w:rPr>
          <w:rFonts w:ascii="Times New Roman" w:hAnsi="Times New Roman"/>
          <w:bCs/>
          <w:noProof w:val="0"/>
        </w:rPr>
      </w:pPr>
    </w:p>
    <w:p w14:paraId="73A1C505" w14:textId="3B5C1CC4" w:rsidR="003312EC" w:rsidRDefault="003312EC" w:rsidP="003312EC">
      <w:pPr>
        <w:ind w:left="567" w:hanging="567"/>
        <w:rPr>
          <w:rFonts w:ascii="Times New Roman" w:hAnsi="Times New Roman"/>
          <w:bCs/>
          <w:noProof w:val="0"/>
        </w:rPr>
      </w:pPr>
      <w:r w:rsidRPr="003312EC">
        <w:rPr>
          <w:rFonts w:ascii="Times New Roman" w:hAnsi="Times New Roman"/>
          <w:bCs/>
          <w:noProof w:val="0"/>
        </w:rPr>
        <w:t>Savin-Williams, R. 2001. A critique of research on sexual-minority youths</w:t>
      </w:r>
      <w:r>
        <w:rPr>
          <w:rFonts w:ascii="Times New Roman" w:hAnsi="Times New Roman"/>
          <w:bCs/>
          <w:noProof w:val="0"/>
        </w:rPr>
        <w:t>. Journal of Adolescence. 24,</w:t>
      </w:r>
      <w:r w:rsidRPr="003312EC">
        <w:rPr>
          <w:rFonts w:ascii="Times New Roman" w:hAnsi="Times New Roman"/>
          <w:bCs/>
          <w:noProof w:val="0"/>
        </w:rPr>
        <w:t xml:space="preserve"> 5-13. </w:t>
      </w:r>
    </w:p>
    <w:p w14:paraId="2094ED58" w14:textId="77777777" w:rsidR="00F952DB" w:rsidRDefault="00F952DB" w:rsidP="00B974B6">
      <w:pPr>
        <w:rPr>
          <w:rFonts w:ascii="Times New Roman" w:hAnsi="Times New Roman"/>
          <w:bCs/>
          <w:noProof w:val="0"/>
        </w:rPr>
      </w:pPr>
    </w:p>
    <w:p w14:paraId="51F7A2CE" w14:textId="4E071118" w:rsidR="004152E6" w:rsidRDefault="00675F8A" w:rsidP="00516AF3">
      <w:pPr>
        <w:ind w:left="567" w:hanging="567"/>
        <w:rPr>
          <w:rFonts w:ascii="Times New Roman" w:hAnsi="Times New Roman"/>
          <w:bCs/>
          <w:noProof w:val="0"/>
        </w:rPr>
      </w:pPr>
      <w:r w:rsidRPr="00675F8A">
        <w:rPr>
          <w:rFonts w:ascii="Times New Roman" w:hAnsi="Times New Roman"/>
          <w:bCs/>
          <w:noProof w:val="0"/>
        </w:rPr>
        <w:lastRenderedPageBreak/>
        <w:t>Stall, R., Mills, T. C., Williamson, J., Hart, T., Greenwood, G., P</w:t>
      </w:r>
      <w:r>
        <w:rPr>
          <w:rFonts w:ascii="Times New Roman" w:hAnsi="Times New Roman"/>
          <w:bCs/>
          <w:noProof w:val="0"/>
        </w:rPr>
        <w:t>aul, J., ... Catania, J. A., 2003</w:t>
      </w:r>
      <w:r w:rsidRPr="00675F8A">
        <w:rPr>
          <w:rFonts w:ascii="Times New Roman" w:hAnsi="Times New Roman"/>
          <w:bCs/>
          <w:noProof w:val="0"/>
        </w:rPr>
        <w:t xml:space="preserve">. Association of co-occurring psychosocial health problems and increased vulnerability to HIV/AIDS among urban men who have sex with men. </w:t>
      </w:r>
      <w:r>
        <w:rPr>
          <w:rFonts w:ascii="Times New Roman" w:hAnsi="Times New Roman"/>
          <w:bCs/>
          <w:noProof w:val="0"/>
        </w:rPr>
        <w:t>Am. J. Public Health. 93</w:t>
      </w:r>
      <w:r w:rsidRPr="00675F8A">
        <w:rPr>
          <w:rFonts w:ascii="Times New Roman" w:hAnsi="Times New Roman"/>
          <w:bCs/>
          <w:noProof w:val="0"/>
        </w:rPr>
        <w:t>, 939-942. doi:10.2105/AJPH.93.6.939</w:t>
      </w:r>
    </w:p>
    <w:p w14:paraId="07F77189" w14:textId="77777777" w:rsidR="00675F8A" w:rsidRPr="00AD06E7" w:rsidRDefault="00675F8A" w:rsidP="00516AF3">
      <w:pPr>
        <w:ind w:left="567" w:hanging="567"/>
        <w:rPr>
          <w:rFonts w:ascii="Times New Roman" w:hAnsi="Times New Roman"/>
          <w:bCs/>
          <w:noProof w:val="0"/>
        </w:rPr>
      </w:pPr>
    </w:p>
    <w:p w14:paraId="071B1D96" w14:textId="6E52658A" w:rsidR="00EC45CB" w:rsidRDefault="00E6360E" w:rsidP="00516AF3">
      <w:pPr>
        <w:ind w:left="567" w:hanging="567"/>
        <w:rPr>
          <w:rFonts w:ascii="Times New Roman" w:hAnsi="Times New Roman"/>
          <w:bCs/>
          <w:noProof w:val="0"/>
        </w:rPr>
      </w:pPr>
      <w:proofErr w:type="spellStart"/>
      <w:r w:rsidRPr="00E6360E">
        <w:rPr>
          <w:rFonts w:ascii="Times New Roman" w:hAnsi="Times New Roman"/>
          <w:bCs/>
          <w:noProof w:val="0"/>
        </w:rPr>
        <w:t>Stepleman</w:t>
      </w:r>
      <w:proofErr w:type="spellEnd"/>
      <w:r w:rsidRPr="00E6360E">
        <w:rPr>
          <w:rFonts w:ascii="Times New Roman" w:hAnsi="Times New Roman"/>
          <w:bCs/>
          <w:noProof w:val="0"/>
        </w:rPr>
        <w:t xml:space="preserve">, L. M., Lopez, E. J., </w:t>
      </w:r>
      <w:r w:rsidR="00066E31">
        <w:rPr>
          <w:rFonts w:ascii="Times New Roman" w:hAnsi="Times New Roman"/>
          <w:bCs/>
          <w:noProof w:val="0"/>
        </w:rPr>
        <w:t xml:space="preserve">Rawlins, W., </w:t>
      </w:r>
      <w:proofErr w:type="spellStart"/>
      <w:r w:rsidR="00066E31">
        <w:rPr>
          <w:rFonts w:ascii="Times New Roman" w:hAnsi="Times New Roman"/>
          <w:bCs/>
          <w:noProof w:val="0"/>
        </w:rPr>
        <w:t>Heboyan</w:t>
      </w:r>
      <w:proofErr w:type="spellEnd"/>
      <w:r w:rsidR="00066E31">
        <w:rPr>
          <w:rFonts w:ascii="Times New Roman" w:hAnsi="Times New Roman"/>
          <w:bCs/>
          <w:noProof w:val="0"/>
        </w:rPr>
        <w:t>, V., 2017</w:t>
      </w:r>
      <w:r w:rsidRPr="00E6360E">
        <w:rPr>
          <w:rFonts w:ascii="Times New Roman" w:hAnsi="Times New Roman"/>
          <w:bCs/>
          <w:noProof w:val="0"/>
        </w:rPr>
        <w:t xml:space="preserve">. Smoking out Health Disparities in Sexual and Gender Minorities: Lessons from the National Adult Tobacco Survey. Open </w:t>
      </w:r>
      <w:r>
        <w:rPr>
          <w:rFonts w:ascii="Times New Roman" w:hAnsi="Times New Roman"/>
          <w:bCs/>
          <w:noProof w:val="0"/>
        </w:rPr>
        <w:t>J. Soc. Sci., 5,</w:t>
      </w:r>
      <w:r w:rsidRPr="00E6360E">
        <w:rPr>
          <w:rFonts w:ascii="Times New Roman" w:hAnsi="Times New Roman"/>
          <w:bCs/>
          <w:noProof w:val="0"/>
        </w:rPr>
        <w:t xml:space="preserve"> 1</w:t>
      </w:r>
      <w:r>
        <w:rPr>
          <w:rFonts w:ascii="Times New Roman" w:hAnsi="Times New Roman"/>
          <w:bCs/>
          <w:noProof w:val="0"/>
        </w:rPr>
        <w:t>-13</w:t>
      </w:r>
      <w:r w:rsidRPr="00E6360E">
        <w:rPr>
          <w:rFonts w:ascii="Times New Roman" w:hAnsi="Times New Roman"/>
          <w:bCs/>
          <w:noProof w:val="0"/>
        </w:rPr>
        <w:t>.</w:t>
      </w:r>
      <w:r>
        <w:rPr>
          <w:rFonts w:ascii="Times New Roman" w:hAnsi="Times New Roman"/>
          <w:bCs/>
          <w:noProof w:val="0"/>
        </w:rPr>
        <w:t xml:space="preserve"> </w:t>
      </w:r>
      <w:r w:rsidRPr="00E6360E">
        <w:rPr>
          <w:rFonts w:ascii="Times New Roman" w:hAnsi="Times New Roman"/>
          <w:bCs/>
          <w:noProof w:val="0"/>
        </w:rPr>
        <w:t>doi:10.4236/jss.2017.58001</w:t>
      </w:r>
    </w:p>
    <w:p w14:paraId="59C2EB38" w14:textId="77777777" w:rsidR="00E6360E" w:rsidRDefault="00E6360E" w:rsidP="00516AF3">
      <w:pPr>
        <w:ind w:left="567" w:hanging="567"/>
        <w:rPr>
          <w:rFonts w:ascii="Times New Roman" w:hAnsi="Times New Roman"/>
          <w:bCs/>
          <w:noProof w:val="0"/>
        </w:rPr>
      </w:pPr>
    </w:p>
    <w:p w14:paraId="6D37444C" w14:textId="01F343AD" w:rsidR="00CB1CBD" w:rsidRPr="00AD06E7" w:rsidRDefault="00066E31" w:rsidP="00507E02">
      <w:pPr>
        <w:ind w:left="567" w:hanging="567"/>
        <w:rPr>
          <w:rFonts w:ascii="Times New Roman" w:hAnsi="Times New Roman"/>
          <w:bCs/>
          <w:noProof w:val="0"/>
        </w:rPr>
      </w:pPr>
      <w:r>
        <w:rPr>
          <w:rFonts w:ascii="Times New Roman" w:hAnsi="Times New Roman"/>
          <w:bCs/>
          <w:noProof w:val="0"/>
        </w:rPr>
        <w:t>Szalacha, L.A., 2003</w:t>
      </w:r>
      <w:r w:rsidRPr="00066E31">
        <w:rPr>
          <w:rFonts w:ascii="Times New Roman" w:hAnsi="Times New Roman"/>
          <w:bCs/>
          <w:noProof w:val="0"/>
        </w:rPr>
        <w:t xml:space="preserve">. Safer sexual diversity climates: Lessons learned from an evaluation of Massachusetts safe schools program for gay and lesbian students. </w:t>
      </w:r>
      <w:r>
        <w:rPr>
          <w:rFonts w:ascii="Times New Roman" w:hAnsi="Times New Roman"/>
          <w:bCs/>
          <w:noProof w:val="0"/>
        </w:rPr>
        <w:t>Am. Educ. Res. J. 110,</w:t>
      </w:r>
      <w:r w:rsidRPr="00066E31">
        <w:rPr>
          <w:rFonts w:ascii="Times New Roman" w:hAnsi="Times New Roman"/>
          <w:bCs/>
          <w:noProof w:val="0"/>
        </w:rPr>
        <w:t xml:space="preserve"> 58-88.</w:t>
      </w:r>
      <w:r w:rsidRPr="00066E31">
        <w:t xml:space="preserve"> </w:t>
      </w:r>
      <w:r w:rsidRPr="00066E31">
        <w:rPr>
          <w:rFonts w:ascii="Times New Roman" w:hAnsi="Times New Roman"/>
          <w:bCs/>
          <w:noProof w:val="0"/>
        </w:rPr>
        <w:t>doi:10.1086/377673</w:t>
      </w:r>
    </w:p>
    <w:p w14:paraId="7C43F770" w14:textId="77777777" w:rsidR="00CB1CBD" w:rsidRPr="00AD06E7" w:rsidRDefault="00CB1CBD" w:rsidP="00507E02">
      <w:pPr>
        <w:ind w:left="567" w:hanging="567"/>
        <w:rPr>
          <w:rFonts w:ascii="Times New Roman" w:hAnsi="Times New Roman"/>
          <w:bCs/>
          <w:noProof w:val="0"/>
        </w:rPr>
      </w:pPr>
    </w:p>
    <w:p w14:paraId="5678902D" w14:textId="77777777" w:rsidR="00536F91" w:rsidRPr="00AD06E7" w:rsidRDefault="00536F91" w:rsidP="00507E02">
      <w:pPr>
        <w:ind w:left="567" w:hanging="567"/>
        <w:rPr>
          <w:rFonts w:ascii="Times New Roman" w:hAnsi="Times New Roman"/>
          <w:bCs/>
          <w:noProof w:val="0"/>
        </w:rPr>
      </w:pPr>
    </w:p>
    <w:p w14:paraId="6A3FFE5D" w14:textId="77777777" w:rsidR="00507E02" w:rsidRPr="00AD06E7" w:rsidRDefault="00507E02" w:rsidP="00507E02">
      <w:pPr>
        <w:rPr>
          <w:rFonts w:ascii="Times New Roman" w:hAnsi="Times New Roman"/>
          <w:b/>
          <w:bCs/>
          <w:noProof w:val="0"/>
        </w:rPr>
      </w:pPr>
    </w:p>
    <w:p w14:paraId="340E24D4" w14:textId="77777777" w:rsidR="00507E02" w:rsidRPr="0070674F" w:rsidRDefault="00507E02" w:rsidP="00507E02">
      <w:pPr>
        <w:spacing w:line="480" w:lineRule="auto"/>
        <w:jc w:val="both"/>
        <w:rPr>
          <w:rFonts w:ascii="Times New Roman" w:hAnsi="Times New Roman"/>
          <w:b/>
          <w:bCs/>
          <w:noProof w:val="0"/>
          <w:color w:val="262626"/>
        </w:rPr>
        <w:sectPr w:rsidR="00507E02" w:rsidRPr="0070674F" w:rsidSect="003F5006">
          <w:pgSz w:w="12240" w:h="15840"/>
          <w:pgMar w:top="1440" w:right="1440" w:bottom="1440" w:left="1440" w:header="720" w:footer="720" w:gutter="0"/>
          <w:cols w:space="720"/>
          <w:titlePg/>
          <w:docGrid w:linePitch="360"/>
        </w:sectPr>
      </w:pPr>
    </w:p>
    <w:tbl>
      <w:tblPr>
        <w:tblW w:w="10110" w:type="dxa"/>
        <w:tblLook w:val="04A0" w:firstRow="1" w:lastRow="0" w:firstColumn="1" w:lastColumn="0" w:noHBand="0" w:noVBand="1"/>
      </w:tblPr>
      <w:tblGrid>
        <w:gridCol w:w="1831"/>
        <w:gridCol w:w="1031"/>
        <w:gridCol w:w="1035"/>
        <w:gridCol w:w="1031"/>
        <w:gridCol w:w="1035"/>
        <w:gridCol w:w="1031"/>
        <w:gridCol w:w="1035"/>
        <w:gridCol w:w="1031"/>
        <w:gridCol w:w="1040"/>
        <w:gridCol w:w="10"/>
      </w:tblGrid>
      <w:tr w:rsidR="00200E5C" w:rsidRPr="00922EF4" w14:paraId="0BFFF834" w14:textId="77777777" w:rsidTr="00200E5C">
        <w:trPr>
          <w:gridAfter w:val="1"/>
          <w:wAfter w:w="10" w:type="dxa"/>
          <w:trHeight w:val="268"/>
        </w:trPr>
        <w:tc>
          <w:tcPr>
            <w:tcW w:w="1831" w:type="dxa"/>
            <w:tcBorders>
              <w:top w:val="nil"/>
              <w:left w:val="nil"/>
              <w:bottom w:val="nil"/>
              <w:right w:val="nil"/>
            </w:tcBorders>
            <w:shd w:val="clear" w:color="auto" w:fill="auto"/>
            <w:noWrap/>
            <w:vAlign w:val="center"/>
            <w:hideMark/>
          </w:tcPr>
          <w:p w14:paraId="1DA7BA33" w14:textId="77777777" w:rsidR="00922EF4" w:rsidRPr="00922EF4" w:rsidRDefault="00922EF4" w:rsidP="00922EF4">
            <w:pPr>
              <w:rPr>
                <w:rFonts w:ascii="Times New Roman" w:eastAsia="Times New Roman" w:hAnsi="Times New Roman"/>
                <w:noProof w:val="0"/>
                <w:color w:val="000000"/>
              </w:rPr>
            </w:pPr>
            <w:r w:rsidRPr="00922EF4">
              <w:rPr>
                <w:rFonts w:ascii="Times New Roman" w:eastAsia="Times New Roman" w:hAnsi="Times New Roman"/>
                <w:noProof w:val="0"/>
                <w:color w:val="000000"/>
              </w:rPr>
              <w:lastRenderedPageBreak/>
              <w:t>Table 1</w:t>
            </w:r>
          </w:p>
        </w:tc>
        <w:tc>
          <w:tcPr>
            <w:tcW w:w="1031" w:type="dxa"/>
            <w:tcBorders>
              <w:top w:val="nil"/>
              <w:left w:val="nil"/>
              <w:bottom w:val="nil"/>
              <w:right w:val="nil"/>
            </w:tcBorders>
            <w:shd w:val="clear" w:color="auto" w:fill="auto"/>
            <w:noWrap/>
            <w:vAlign w:val="center"/>
            <w:hideMark/>
          </w:tcPr>
          <w:p w14:paraId="469F008E" w14:textId="77777777" w:rsidR="00922EF4" w:rsidRPr="00922EF4" w:rsidRDefault="00922EF4" w:rsidP="00922EF4">
            <w:pPr>
              <w:rPr>
                <w:rFonts w:ascii="Times New Roman" w:eastAsia="Times New Roman" w:hAnsi="Times New Roman"/>
                <w:noProof w:val="0"/>
                <w:color w:val="000000"/>
              </w:rPr>
            </w:pPr>
          </w:p>
        </w:tc>
        <w:tc>
          <w:tcPr>
            <w:tcW w:w="1035" w:type="dxa"/>
            <w:tcBorders>
              <w:top w:val="nil"/>
              <w:left w:val="nil"/>
              <w:bottom w:val="nil"/>
              <w:right w:val="nil"/>
            </w:tcBorders>
            <w:shd w:val="clear" w:color="auto" w:fill="auto"/>
            <w:noWrap/>
            <w:vAlign w:val="center"/>
            <w:hideMark/>
          </w:tcPr>
          <w:p w14:paraId="5CE5331B" w14:textId="77777777" w:rsidR="00922EF4" w:rsidRPr="00922EF4" w:rsidRDefault="00922EF4" w:rsidP="00922EF4">
            <w:pPr>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bottom"/>
            <w:hideMark/>
          </w:tcPr>
          <w:p w14:paraId="5FE685BF" w14:textId="77777777" w:rsidR="00922EF4" w:rsidRPr="00922EF4" w:rsidRDefault="00922EF4" w:rsidP="00922EF4">
            <w:pPr>
              <w:rPr>
                <w:rFonts w:ascii="Times New Roman" w:eastAsia="Times New Roman" w:hAnsi="Times New Roman"/>
                <w:noProof w:val="0"/>
                <w:sz w:val="20"/>
                <w:szCs w:val="20"/>
              </w:rPr>
            </w:pPr>
          </w:p>
        </w:tc>
        <w:tc>
          <w:tcPr>
            <w:tcW w:w="1035" w:type="dxa"/>
            <w:tcBorders>
              <w:top w:val="nil"/>
              <w:left w:val="nil"/>
              <w:bottom w:val="nil"/>
              <w:right w:val="nil"/>
            </w:tcBorders>
            <w:shd w:val="clear" w:color="auto" w:fill="auto"/>
            <w:noWrap/>
            <w:vAlign w:val="bottom"/>
            <w:hideMark/>
          </w:tcPr>
          <w:p w14:paraId="29A5E2A7" w14:textId="77777777" w:rsidR="00922EF4" w:rsidRPr="00922EF4" w:rsidRDefault="00922EF4" w:rsidP="00922EF4">
            <w:pPr>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bottom"/>
            <w:hideMark/>
          </w:tcPr>
          <w:p w14:paraId="5BF4FA95" w14:textId="77777777" w:rsidR="00922EF4" w:rsidRPr="00922EF4" w:rsidRDefault="00922EF4" w:rsidP="00922EF4">
            <w:pPr>
              <w:rPr>
                <w:rFonts w:ascii="Times New Roman" w:eastAsia="Times New Roman" w:hAnsi="Times New Roman"/>
                <w:noProof w:val="0"/>
                <w:sz w:val="20"/>
                <w:szCs w:val="20"/>
              </w:rPr>
            </w:pPr>
          </w:p>
        </w:tc>
        <w:tc>
          <w:tcPr>
            <w:tcW w:w="1035" w:type="dxa"/>
            <w:tcBorders>
              <w:top w:val="nil"/>
              <w:left w:val="nil"/>
              <w:bottom w:val="nil"/>
              <w:right w:val="nil"/>
            </w:tcBorders>
            <w:shd w:val="clear" w:color="auto" w:fill="auto"/>
            <w:noWrap/>
            <w:vAlign w:val="bottom"/>
            <w:hideMark/>
          </w:tcPr>
          <w:p w14:paraId="603DFEC4" w14:textId="77777777" w:rsidR="00922EF4" w:rsidRPr="00922EF4" w:rsidRDefault="00922EF4" w:rsidP="00922EF4">
            <w:pPr>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bottom"/>
            <w:hideMark/>
          </w:tcPr>
          <w:p w14:paraId="4563A0D6" w14:textId="77777777" w:rsidR="00922EF4" w:rsidRPr="00922EF4" w:rsidRDefault="00922EF4" w:rsidP="00922EF4">
            <w:pPr>
              <w:rPr>
                <w:rFonts w:ascii="Times New Roman" w:eastAsia="Times New Roman" w:hAnsi="Times New Roman"/>
                <w:noProof w:val="0"/>
                <w:sz w:val="20"/>
                <w:szCs w:val="20"/>
              </w:rPr>
            </w:pPr>
          </w:p>
        </w:tc>
        <w:tc>
          <w:tcPr>
            <w:tcW w:w="1040" w:type="dxa"/>
            <w:tcBorders>
              <w:top w:val="nil"/>
              <w:left w:val="nil"/>
              <w:bottom w:val="nil"/>
              <w:right w:val="nil"/>
            </w:tcBorders>
            <w:shd w:val="clear" w:color="auto" w:fill="auto"/>
            <w:noWrap/>
            <w:vAlign w:val="bottom"/>
            <w:hideMark/>
          </w:tcPr>
          <w:p w14:paraId="1A1E0058" w14:textId="77777777" w:rsidR="00922EF4" w:rsidRPr="00922EF4" w:rsidRDefault="00922EF4" w:rsidP="00922EF4">
            <w:pPr>
              <w:rPr>
                <w:rFonts w:ascii="Times New Roman" w:eastAsia="Times New Roman" w:hAnsi="Times New Roman"/>
                <w:noProof w:val="0"/>
                <w:sz w:val="20"/>
                <w:szCs w:val="20"/>
              </w:rPr>
            </w:pPr>
          </w:p>
        </w:tc>
      </w:tr>
      <w:tr w:rsidR="00200E5C" w:rsidRPr="00922EF4" w14:paraId="32F0334C" w14:textId="77777777" w:rsidTr="00200E5C">
        <w:trPr>
          <w:gridAfter w:val="1"/>
          <w:wAfter w:w="10" w:type="dxa"/>
          <w:trHeight w:val="268"/>
        </w:trPr>
        <w:tc>
          <w:tcPr>
            <w:tcW w:w="1831" w:type="dxa"/>
            <w:tcBorders>
              <w:top w:val="nil"/>
              <w:left w:val="nil"/>
              <w:bottom w:val="nil"/>
              <w:right w:val="nil"/>
            </w:tcBorders>
            <w:shd w:val="clear" w:color="auto" w:fill="auto"/>
            <w:noWrap/>
            <w:vAlign w:val="center"/>
            <w:hideMark/>
          </w:tcPr>
          <w:p w14:paraId="75E19A42" w14:textId="77777777" w:rsidR="00922EF4" w:rsidRPr="00922EF4" w:rsidRDefault="00922EF4" w:rsidP="00922EF4">
            <w:pPr>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center"/>
            <w:hideMark/>
          </w:tcPr>
          <w:p w14:paraId="6AE7DF18" w14:textId="77777777" w:rsidR="00922EF4" w:rsidRPr="00922EF4" w:rsidRDefault="00922EF4" w:rsidP="00922EF4">
            <w:pPr>
              <w:rPr>
                <w:rFonts w:ascii="Times New Roman" w:eastAsia="Times New Roman" w:hAnsi="Times New Roman"/>
                <w:noProof w:val="0"/>
                <w:sz w:val="20"/>
                <w:szCs w:val="20"/>
              </w:rPr>
            </w:pPr>
          </w:p>
        </w:tc>
        <w:tc>
          <w:tcPr>
            <w:tcW w:w="1035" w:type="dxa"/>
            <w:tcBorders>
              <w:top w:val="nil"/>
              <w:left w:val="nil"/>
              <w:bottom w:val="nil"/>
              <w:right w:val="nil"/>
            </w:tcBorders>
            <w:shd w:val="clear" w:color="auto" w:fill="auto"/>
            <w:noWrap/>
            <w:vAlign w:val="center"/>
            <w:hideMark/>
          </w:tcPr>
          <w:p w14:paraId="5C668524" w14:textId="77777777" w:rsidR="00922EF4" w:rsidRPr="00922EF4" w:rsidRDefault="00922EF4" w:rsidP="00922EF4">
            <w:pPr>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bottom"/>
            <w:hideMark/>
          </w:tcPr>
          <w:p w14:paraId="640EA5CB" w14:textId="77777777" w:rsidR="00922EF4" w:rsidRPr="00922EF4" w:rsidRDefault="00922EF4" w:rsidP="00922EF4">
            <w:pPr>
              <w:rPr>
                <w:rFonts w:ascii="Times New Roman" w:eastAsia="Times New Roman" w:hAnsi="Times New Roman"/>
                <w:noProof w:val="0"/>
                <w:sz w:val="20"/>
                <w:szCs w:val="20"/>
              </w:rPr>
            </w:pPr>
          </w:p>
        </w:tc>
        <w:tc>
          <w:tcPr>
            <w:tcW w:w="1035" w:type="dxa"/>
            <w:tcBorders>
              <w:top w:val="nil"/>
              <w:left w:val="nil"/>
              <w:bottom w:val="nil"/>
              <w:right w:val="nil"/>
            </w:tcBorders>
            <w:shd w:val="clear" w:color="auto" w:fill="auto"/>
            <w:noWrap/>
            <w:vAlign w:val="bottom"/>
            <w:hideMark/>
          </w:tcPr>
          <w:p w14:paraId="20FB5648" w14:textId="77777777" w:rsidR="00922EF4" w:rsidRPr="00922EF4" w:rsidRDefault="00922EF4" w:rsidP="00922EF4">
            <w:pPr>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bottom"/>
            <w:hideMark/>
          </w:tcPr>
          <w:p w14:paraId="6529D375" w14:textId="77777777" w:rsidR="00922EF4" w:rsidRPr="00922EF4" w:rsidRDefault="00922EF4" w:rsidP="00922EF4">
            <w:pPr>
              <w:rPr>
                <w:rFonts w:ascii="Times New Roman" w:eastAsia="Times New Roman" w:hAnsi="Times New Roman"/>
                <w:noProof w:val="0"/>
                <w:sz w:val="20"/>
                <w:szCs w:val="20"/>
              </w:rPr>
            </w:pPr>
          </w:p>
        </w:tc>
        <w:tc>
          <w:tcPr>
            <w:tcW w:w="1035" w:type="dxa"/>
            <w:tcBorders>
              <w:top w:val="nil"/>
              <w:left w:val="nil"/>
              <w:bottom w:val="nil"/>
              <w:right w:val="nil"/>
            </w:tcBorders>
            <w:shd w:val="clear" w:color="auto" w:fill="auto"/>
            <w:noWrap/>
            <w:vAlign w:val="bottom"/>
            <w:hideMark/>
          </w:tcPr>
          <w:p w14:paraId="10A21E67" w14:textId="77777777" w:rsidR="00922EF4" w:rsidRPr="00922EF4" w:rsidRDefault="00922EF4" w:rsidP="00922EF4">
            <w:pPr>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bottom"/>
            <w:hideMark/>
          </w:tcPr>
          <w:p w14:paraId="3675024D" w14:textId="77777777" w:rsidR="00922EF4" w:rsidRPr="00922EF4" w:rsidRDefault="00922EF4" w:rsidP="00922EF4">
            <w:pPr>
              <w:rPr>
                <w:rFonts w:ascii="Times New Roman" w:eastAsia="Times New Roman" w:hAnsi="Times New Roman"/>
                <w:noProof w:val="0"/>
                <w:sz w:val="20"/>
                <w:szCs w:val="20"/>
              </w:rPr>
            </w:pPr>
          </w:p>
        </w:tc>
        <w:tc>
          <w:tcPr>
            <w:tcW w:w="1040" w:type="dxa"/>
            <w:tcBorders>
              <w:top w:val="nil"/>
              <w:left w:val="nil"/>
              <w:bottom w:val="nil"/>
              <w:right w:val="nil"/>
            </w:tcBorders>
            <w:shd w:val="clear" w:color="auto" w:fill="auto"/>
            <w:noWrap/>
            <w:vAlign w:val="bottom"/>
            <w:hideMark/>
          </w:tcPr>
          <w:p w14:paraId="41E6163E" w14:textId="77777777" w:rsidR="00922EF4" w:rsidRPr="00922EF4" w:rsidRDefault="00922EF4" w:rsidP="00922EF4">
            <w:pPr>
              <w:rPr>
                <w:rFonts w:ascii="Times New Roman" w:eastAsia="Times New Roman" w:hAnsi="Times New Roman"/>
                <w:noProof w:val="0"/>
                <w:sz w:val="20"/>
                <w:szCs w:val="20"/>
              </w:rPr>
            </w:pPr>
          </w:p>
        </w:tc>
      </w:tr>
      <w:tr w:rsidR="00922EF4" w:rsidRPr="00922EF4" w14:paraId="6C4AAC2E" w14:textId="77777777" w:rsidTr="00200E5C">
        <w:trPr>
          <w:trHeight w:val="286"/>
        </w:trPr>
        <w:tc>
          <w:tcPr>
            <w:tcW w:w="10110" w:type="dxa"/>
            <w:gridSpan w:val="10"/>
            <w:tcBorders>
              <w:top w:val="nil"/>
              <w:left w:val="nil"/>
              <w:bottom w:val="single" w:sz="8" w:space="0" w:color="auto"/>
              <w:right w:val="nil"/>
            </w:tcBorders>
            <w:shd w:val="clear" w:color="auto" w:fill="auto"/>
            <w:noWrap/>
            <w:vAlign w:val="center"/>
            <w:hideMark/>
          </w:tcPr>
          <w:p w14:paraId="43ECBE3B" w14:textId="70BA4C27" w:rsidR="00922EF4" w:rsidRPr="00922EF4" w:rsidRDefault="00922EF4" w:rsidP="0071144B">
            <w:pPr>
              <w:rPr>
                <w:rFonts w:ascii="Times New Roman" w:eastAsia="Times New Roman" w:hAnsi="Times New Roman"/>
                <w:i/>
                <w:noProof w:val="0"/>
                <w:color w:val="000000"/>
              </w:rPr>
            </w:pPr>
            <w:r w:rsidRPr="00922EF4">
              <w:rPr>
                <w:rFonts w:ascii="Times New Roman" w:eastAsia="Times New Roman" w:hAnsi="Times New Roman"/>
                <w:i/>
                <w:noProof w:val="0"/>
                <w:color w:val="000000"/>
              </w:rPr>
              <w:t xml:space="preserve">Sample Sizes* and </w:t>
            </w:r>
            <w:proofErr w:type="spellStart"/>
            <w:r w:rsidRPr="00922EF4">
              <w:rPr>
                <w:rFonts w:ascii="Times New Roman" w:eastAsia="Times New Roman" w:hAnsi="Times New Roman"/>
                <w:i/>
                <w:noProof w:val="0"/>
                <w:color w:val="000000"/>
              </w:rPr>
              <w:t>Percents</w:t>
            </w:r>
            <w:proofErr w:type="spellEnd"/>
            <w:r w:rsidRPr="00922EF4">
              <w:rPr>
                <w:rFonts w:ascii="Times New Roman" w:eastAsia="Times New Roman" w:hAnsi="Times New Roman"/>
                <w:i/>
                <w:noProof w:val="0"/>
                <w:color w:val="000000"/>
              </w:rPr>
              <w:t xml:space="preserve">** for the Massachusetts YRBS data, by Wave and </w:t>
            </w:r>
            <w:r w:rsidR="0071144B">
              <w:rPr>
                <w:rFonts w:ascii="Times New Roman" w:eastAsia="Times New Roman" w:hAnsi="Times New Roman"/>
                <w:i/>
                <w:noProof w:val="0"/>
                <w:color w:val="000000"/>
              </w:rPr>
              <w:t>Sex</w:t>
            </w:r>
          </w:p>
        </w:tc>
      </w:tr>
      <w:tr w:rsidR="00200E5C" w:rsidRPr="00922EF4" w14:paraId="58A865F5" w14:textId="77777777" w:rsidTr="00200E5C">
        <w:trPr>
          <w:trHeight w:val="309"/>
        </w:trPr>
        <w:tc>
          <w:tcPr>
            <w:tcW w:w="1831" w:type="dxa"/>
            <w:tcBorders>
              <w:top w:val="nil"/>
              <w:left w:val="nil"/>
              <w:bottom w:val="single" w:sz="8" w:space="0" w:color="auto"/>
              <w:right w:val="nil"/>
            </w:tcBorders>
            <w:shd w:val="clear" w:color="auto" w:fill="auto"/>
            <w:noWrap/>
            <w:vAlign w:val="center"/>
            <w:hideMark/>
          </w:tcPr>
          <w:p w14:paraId="07BC5D3F" w14:textId="77777777" w:rsidR="00922EF4" w:rsidRPr="00922EF4" w:rsidRDefault="00922EF4" w:rsidP="00922EF4">
            <w:pPr>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 </w:t>
            </w:r>
          </w:p>
        </w:tc>
        <w:tc>
          <w:tcPr>
            <w:tcW w:w="2066" w:type="dxa"/>
            <w:gridSpan w:val="2"/>
            <w:tcBorders>
              <w:top w:val="single" w:sz="8" w:space="0" w:color="auto"/>
              <w:left w:val="nil"/>
              <w:bottom w:val="single" w:sz="8" w:space="0" w:color="auto"/>
              <w:right w:val="nil"/>
            </w:tcBorders>
            <w:shd w:val="clear" w:color="auto" w:fill="auto"/>
            <w:noWrap/>
            <w:vAlign w:val="center"/>
            <w:hideMark/>
          </w:tcPr>
          <w:p w14:paraId="6051E92A" w14:textId="77777777" w:rsidR="00922EF4" w:rsidRPr="00922EF4" w:rsidRDefault="00922EF4" w:rsidP="00922EF4">
            <w:pPr>
              <w:jc w:val="center"/>
              <w:rPr>
                <w:rFonts w:ascii="Times New Roman" w:eastAsia="Times New Roman" w:hAnsi="Times New Roman"/>
                <w:b/>
                <w:bCs/>
                <w:noProof w:val="0"/>
                <w:color w:val="000000"/>
                <w:sz w:val="22"/>
                <w:szCs w:val="22"/>
              </w:rPr>
            </w:pPr>
            <w:r w:rsidRPr="00922EF4">
              <w:rPr>
                <w:rFonts w:ascii="Times New Roman" w:eastAsia="Times New Roman" w:hAnsi="Times New Roman"/>
                <w:b/>
                <w:bCs/>
                <w:noProof w:val="0"/>
                <w:color w:val="000000"/>
                <w:sz w:val="22"/>
                <w:szCs w:val="22"/>
              </w:rPr>
              <w:t>1999/2001</w:t>
            </w:r>
          </w:p>
        </w:tc>
        <w:tc>
          <w:tcPr>
            <w:tcW w:w="2066" w:type="dxa"/>
            <w:gridSpan w:val="2"/>
            <w:tcBorders>
              <w:top w:val="single" w:sz="8" w:space="0" w:color="auto"/>
              <w:left w:val="nil"/>
              <w:bottom w:val="single" w:sz="8" w:space="0" w:color="auto"/>
              <w:right w:val="nil"/>
            </w:tcBorders>
            <w:shd w:val="clear" w:color="auto" w:fill="auto"/>
            <w:noWrap/>
            <w:vAlign w:val="center"/>
            <w:hideMark/>
          </w:tcPr>
          <w:p w14:paraId="416AE1B3" w14:textId="77777777" w:rsidR="00922EF4" w:rsidRPr="00922EF4" w:rsidRDefault="00922EF4" w:rsidP="00922EF4">
            <w:pPr>
              <w:jc w:val="center"/>
              <w:rPr>
                <w:rFonts w:ascii="Times New Roman" w:eastAsia="Times New Roman" w:hAnsi="Times New Roman"/>
                <w:b/>
                <w:bCs/>
                <w:noProof w:val="0"/>
                <w:color w:val="000000"/>
                <w:sz w:val="22"/>
                <w:szCs w:val="22"/>
              </w:rPr>
            </w:pPr>
            <w:r w:rsidRPr="00922EF4">
              <w:rPr>
                <w:rFonts w:ascii="Times New Roman" w:eastAsia="Times New Roman" w:hAnsi="Times New Roman"/>
                <w:b/>
                <w:bCs/>
                <w:noProof w:val="0"/>
                <w:color w:val="000000"/>
                <w:sz w:val="22"/>
                <w:szCs w:val="22"/>
              </w:rPr>
              <w:t>2003/2005</w:t>
            </w:r>
          </w:p>
        </w:tc>
        <w:tc>
          <w:tcPr>
            <w:tcW w:w="2066" w:type="dxa"/>
            <w:gridSpan w:val="2"/>
            <w:tcBorders>
              <w:top w:val="single" w:sz="8" w:space="0" w:color="auto"/>
              <w:left w:val="nil"/>
              <w:bottom w:val="single" w:sz="8" w:space="0" w:color="auto"/>
              <w:right w:val="nil"/>
            </w:tcBorders>
            <w:shd w:val="clear" w:color="auto" w:fill="auto"/>
            <w:noWrap/>
            <w:vAlign w:val="center"/>
            <w:hideMark/>
          </w:tcPr>
          <w:p w14:paraId="3C616A04" w14:textId="77777777" w:rsidR="00922EF4" w:rsidRPr="00922EF4" w:rsidRDefault="00922EF4" w:rsidP="00922EF4">
            <w:pPr>
              <w:jc w:val="center"/>
              <w:rPr>
                <w:rFonts w:ascii="Times New Roman" w:eastAsia="Times New Roman" w:hAnsi="Times New Roman"/>
                <w:b/>
                <w:bCs/>
                <w:noProof w:val="0"/>
                <w:color w:val="000000"/>
                <w:sz w:val="22"/>
                <w:szCs w:val="22"/>
              </w:rPr>
            </w:pPr>
            <w:r w:rsidRPr="00922EF4">
              <w:rPr>
                <w:rFonts w:ascii="Times New Roman" w:eastAsia="Times New Roman" w:hAnsi="Times New Roman"/>
                <w:b/>
                <w:bCs/>
                <w:noProof w:val="0"/>
                <w:color w:val="000000"/>
                <w:sz w:val="22"/>
                <w:szCs w:val="22"/>
              </w:rPr>
              <w:t>2007/2009</w:t>
            </w:r>
          </w:p>
        </w:tc>
        <w:tc>
          <w:tcPr>
            <w:tcW w:w="2081" w:type="dxa"/>
            <w:gridSpan w:val="3"/>
            <w:tcBorders>
              <w:top w:val="single" w:sz="8" w:space="0" w:color="auto"/>
              <w:left w:val="nil"/>
              <w:bottom w:val="single" w:sz="8" w:space="0" w:color="auto"/>
              <w:right w:val="nil"/>
            </w:tcBorders>
            <w:shd w:val="clear" w:color="auto" w:fill="auto"/>
            <w:noWrap/>
            <w:vAlign w:val="center"/>
            <w:hideMark/>
          </w:tcPr>
          <w:p w14:paraId="002CFB11" w14:textId="77777777" w:rsidR="00922EF4" w:rsidRPr="00922EF4" w:rsidRDefault="00922EF4" w:rsidP="00922EF4">
            <w:pPr>
              <w:jc w:val="center"/>
              <w:rPr>
                <w:rFonts w:ascii="Times New Roman" w:eastAsia="Times New Roman" w:hAnsi="Times New Roman"/>
                <w:b/>
                <w:bCs/>
                <w:noProof w:val="0"/>
                <w:color w:val="000000"/>
                <w:sz w:val="22"/>
                <w:szCs w:val="22"/>
              </w:rPr>
            </w:pPr>
            <w:r w:rsidRPr="00922EF4">
              <w:rPr>
                <w:rFonts w:ascii="Times New Roman" w:eastAsia="Times New Roman" w:hAnsi="Times New Roman"/>
                <w:b/>
                <w:bCs/>
                <w:noProof w:val="0"/>
                <w:color w:val="000000"/>
                <w:sz w:val="22"/>
                <w:szCs w:val="22"/>
              </w:rPr>
              <w:t>2011/2013</w:t>
            </w:r>
          </w:p>
        </w:tc>
      </w:tr>
      <w:tr w:rsidR="00200E5C" w:rsidRPr="00922EF4" w14:paraId="315416AD" w14:textId="77777777" w:rsidTr="00200E5C">
        <w:trPr>
          <w:gridAfter w:val="1"/>
          <w:wAfter w:w="10" w:type="dxa"/>
          <w:trHeight w:val="268"/>
        </w:trPr>
        <w:tc>
          <w:tcPr>
            <w:tcW w:w="1831" w:type="dxa"/>
            <w:tcBorders>
              <w:top w:val="nil"/>
              <w:left w:val="nil"/>
              <w:bottom w:val="nil"/>
              <w:right w:val="nil"/>
            </w:tcBorders>
            <w:shd w:val="clear" w:color="auto" w:fill="auto"/>
            <w:noWrap/>
            <w:vAlign w:val="center"/>
            <w:hideMark/>
          </w:tcPr>
          <w:p w14:paraId="4F5C5D58" w14:textId="77777777" w:rsidR="00922EF4" w:rsidRPr="00922EF4" w:rsidRDefault="00922EF4" w:rsidP="00922EF4">
            <w:pPr>
              <w:rPr>
                <w:rFonts w:ascii="Times New Roman" w:eastAsia="Times New Roman" w:hAnsi="Times New Roman"/>
                <w:b/>
                <w:bCs/>
                <w:noProof w:val="0"/>
                <w:color w:val="000000"/>
                <w:sz w:val="22"/>
                <w:szCs w:val="22"/>
              </w:rPr>
            </w:pPr>
            <w:r w:rsidRPr="00922EF4">
              <w:rPr>
                <w:rFonts w:ascii="Times New Roman" w:eastAsia="Times New Roman" w:hAnsi="Times New Roman"/>
                <w:b/>
                <w:bCs/>
                <w:noProof w:val="0"/>
                <w:color w:val="000000"/>
                <w:sz w:val="22"/>
                <w:szCs w:val="22"/>
              </w:rPr>
              <w:t>Male</w:t>
            </w:r>
          </w:p>
        </w:tc>
        <w:tc>
          <w:tcPr>
            <w:tcW w:w="1031" w:type="dxa"/>
            <w:tcBorders>
              <w:top w:val="nil"/>
              <w:left w:val="nil"/>
              <w:bottom w:val="nil"/>
              <w:right w:val="nil"/>
            </w:tcBorders>
            <w:shd w:val="clear" w:color="auto" w:fill="auto"/>
            <w:noWrap/>
            <w:vAlign w:val="center"/>
            <w:hideMark/>
          </w:tcPr>
          <w:p w14:paraId="2575CC11" w14:textId="77777777" w:rsidR="00922EF4" w:rsidRPr="00922EF4" w:rsidRDefault="00922EF4" w:rsidP="00922EF4">
            <w:pPr>
              <w:rPr>
                <w:rFonts w:ascii="Times New Roman" w:eastAsia="Times New Roman" w:hAnsi="Times New Roman"/>
                <w:b/>
                <w:bCs/>
                <w:noProof w:val="0"/>
                <w:color w:val="000000"/>
                <w:sz w:val="22"/>
                <w:szCs w:val="22"/>
              </w:rPr>
            </w:pPr>
          </w:p>
        </w:tc>
        <w:tc>
          <w:tcPr>
            <w:tcW w:w="1035" w:type="dxa"/>
            <w:tcBorders>
              <w:top w:val="nil"/>
              <w:left w:val="nil"/>
              <w:bottom w:val="nil"/>
              <w:right w:val="nil"/>
            </w:tcBorders>
            <w:shd w:val="clear" w:color="auto" w:fill="auto"/>
            <w:noWrap/>
            <w:vAlign w:val="center"/>
            <w:hideMark/>
          </w:tcPr>
          <w:p w14:paraId="33226C83" w14:textId="77777777" w:rsidR="00922EF4" w:rsidRPr="00922EF4" w:rsidRDefault="00922EF4" w:rsidP="00922EF4">
            <w:pPr>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center"/>
            <w:hideMark/>
          </w:tcPr>
          <w:p w14:paraId="4AA9AA3E" w14:textId="77777777" w:rsidR="00922EF4" w:rsidRPr="00922EF4" w:rsidRDefault="00922EF4" w:rsidP="00922EF4">
            <w:pPr>
              <w:rPr>
                <w:rFonts w:ascii="Times New Roman" w:eastAsia="Times New Roman" w:hAnsi="Times New Roman"/>
                <w:noProof w:val="0"/>
                <w:sz w:val="20"/>
                <w:szCs w:val="20"/>
              </w:rPr>
            </w:pPr>
          </w:p>
        </w:tc>
        <w:tc>
          <w:tcPr>
            <w:tcW w:w="1035" w:type="dxa"/>
            <w:tcBorders>
              <w:top w:val="nil"/>
              <w:left w:val="nil"/>
              <w:bottom w:val="nil"/>
              <w:right w:val="nil"/>
            </w:tcBorders>
            <w:shd w:val="clear" w:color="auto" w:fill="auto"/>
            <w:noWrap/>
            <w:vAlign w:val="center"/>
            <w:hideMark/>
          </w:tcPr>
          <w:p w14:paraId="69F4DF64" w14:textId="77777777" w:rsidR="00922EF4" w:rsidRPr="00922EF4" w:rsidRDefault="00922EF4" w:rsidP="00922EF4">
            <w:pPr>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center"/>
            <w:hideMark/>
          </w:tcPr>
          <w:p w14:paraId="722AFB7B" w14:textId="77777777" w:rsidR="00922EF4" w:rsidRPr="00922EF4" w:rsidRDefault="00922EF4" w:rsidP="00922EF4">
            <w:pPr>
              <w:rPr>
                <w:rFonts w:ascii="Times New Roman" w:eastAsia="Times New Roman" w:hAnsi="Times New Roman"/>
                <w:noProof w:val="0"/>
                <w:sz w:val="20"/>
                <w:szCs w:val="20"/>
              </w:rPr>
            </w:pPr>
          </w:p>
        </w:tc>
        <w:tc>
          <w:tcPr>
            <w:tcW w:w="1035" w:type="dxa"/>
            <w:tcBorders>
              <w:top w:val="nil"/>
              <w:left w:val="nil"/>
              <w:bottom w:val="nil"/>
              <w:right w:val="nil"/>
            </w:tcBorders>
            <w:shd w:val="clear" w:color="auto" w:fill="auto"/>
            <w:noWrap/>
            <w:vAlign w:val="center"/>
            <w:hideMark/>
          </w:tcPr>
          <w:p w14:paraId="75FE9D0F" w14:textId="77777777" w:rsidR="00922EF4" w:rsidRPr="00922EF4" w:rsidRDefault="00922EF4" w:rsidP="00922EF4">
            <w:pPr>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center"/>
            <w:hideMark/>
          </w:tcPr>
          <w:p w14:paraId="43DC408F" w14:textId="77777777" w:rsidR="00922EF4" w:rsidRPr="00922EF4" w:rsidRDefault="00922EF4" w:rsidP="00922EF4">
            <w:pPr>
              <w:rPr>
                <w:rFonts w:ascii="Times New Roman" w:eastAsia="Times New Roman" w:hAnsi="Times New Roman"/>
                <w:noProof w:val="0"/>
                <w:sz w:val="20"/>
                <w:szCs w:val="20"/>
              </w:rPr>
            </w:pPr>
          </w:p>
        </w:tc>
        <w:tc>
          <w:tcPr>
            <w:tcW w:w="1040" w:type="dxa"/>
            <w:tcBorders>
              <w:top w:val="nil"/>
              <w:left w:val="nil"/>
              <w:bottom w:val="nil"/>
              <w:right w:val="nil"/>
            </w:tcBorders>
            <w:shd w:val="clear" w:color="auto" w:fill="auto"/>
            <w:noWrap/>
            <w:vAlign w:val="bottom"/>
            <w:hideMark/>
          </w:tcPr>
          <w:p w14:paraId="73A58E61" w14:textId="77777777" w:rsidR="00922EF4" w:rsidRPr="00922EF4" w:rsidRDefault="00922EF4" w:rsidP="00922EF4">
            <w:pPr>
              <w:rPr>
                <w:rFonts w:ascii="Times New Roman" w:eastAsia="Times New Roman" w:hAnsi="Times New Roman"/>
                <w:noProof w:val="0"/>
                <w:sz w:val="20"/>
                <w:szCs w:val="20"/>
              </w:rPr>
            </w:pPr>
          </w:p>
        </w:tc>
      </w:tr>
      <w:tr w:rsidR="00200E5C" w:rsidRPr="00922EF4" w14:paraId="68787C92" w14:textId="77777777" w:rsidTr="00200E5C">
        <w:trPr>
          <w:gridAfter w:val="1"/>
          <w:wAfter w:w="10" w:type="dxa"/>
          <w:trHeight w:val="268"/>
        </w:trPr>
        <w:tc>
          <w:tcPr>
            <w:tcW w:w="1831" w:type="dxa"/>
            <w:tcBorders>
              <w:top w:val="nil"/>
              <w:left w:val="nil"/>
              <w:bottom w:val="nil"/>
              <w:right w:val="nil"/>
            </w:tcBorders>
            <w:shd w:val="clear" w:color="auto" w:fill="auto"/>
            <w:noWrap/>
            <w:vAlign w:val="center"/>
            <w:hideMark/>
          </w:tcPr>
          <w:p w14:paraId="01F6B302"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Heterosexual</w:t>
            </w:r>
          </w:p>
        </w:tc>
        <w:tc>
          <w:tcPr>
            <w:tcW w:w="1031" w:type="dxa"/>
            <w:tcBorders>
              <w:top w:val="nil"/>
              <w:left w:val="nil"/>
              <w:bottom w:val="nil"/>
              <w:right w:val="nil"/>
            </w:tcBorders>
            <w:shd w:val="clear" w:color="auto" w:fill="auto"/>
            <w:noWrap/>
            <w:vAlign w:val="center"/>
            <w:hideMark/>
          </w:tcPr>
          <w:p w14:paraId="703E0421"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4,054</w:t>
            </w:r>
          </w:p>
        </w:tc>
        <w:tc>
          <w:tcPr>
            <w:tcW w:w="1035" w:type="dxa"/>
            <w:tcBorders>
              <w:top w:val="nil"/>
              <w:left w:val="nil"/>
              <w:bottom w:val="nil"/>
              <w:right w:val="nil"/>
            </w:tcBorders>
            <w:shd w:val="clear" w:color="auto" w:fill="auto"/>
            <w:noWrap/>
            <w:vAlign w:val="center"/>
            <w:hideMark/>
          </w:tcPr>
          <w:p w14:paraId="16314CDF"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(95.1%)</w:t>
            </w:r>
          </w:p>
        </w:tc>
        <w:tc>
          <w:tcPr>
            <w:tcW w:w="1031" w:type="dxa"/>
            <w:tcBorders>
              <w:top w:val="nil"/>
              <w:left w:val="nil"/>
              <w:bottom w:val="nil"/>
              <w:right w:val="nil"/>
            </w:tcBorders>
            <w:shd w:val="clear" w:color="auto" w:fill="auto"/>
            <w:noWrap/>
            <w:vAlign w:val="center"/>
            <w:hideMark/>
          </w:tcPr>
          <w:p w14:paraId="7C5EBA2F"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3,279</w:t>
            </w:r>
          </w:p>
        </w:tc>
        <w:tc>
          <w:tcPr>
            <w:tcW w:w="1035" w:type="dxa"/>
            <w:tcBorders>
              <w:top w:val="nil"/>
              <w:left w:val="nil"/>
              <w:bottom w:val="nil"/>
              <w:right w:val="nil"/>
            </w:tcBorders>
            <w:shd w:val="clear" w:color="auto" w:fill="auto"/>
            <w:noWrap/>
            <w:vAlign w:val="center"/>
            <w:hideMark/>
          </w:tcPr>
          <w:p w14:paraId="59199F99"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(95.4%)</w:t>
            </w:r>
          </w:p>
        </w:tc>
        <w:tc>
          <w:tcPr>
            <w:tcW w:w="1031" w:type="dxa"/>
            <w:tcBorders>
              <w:top w:val="nil"/>
              <w:left w:val="nil"/>
              <w:bottom w:val="nil"/>
              <w:right w:val="nil"/>
            </w:tcBorders>
            <w:shd w:val="clear" w:color="auto" w:fill="auto"/>
            <w:noWrap/>
            <w:vAlign w:val="center"/>
            <w:hideMark/>
          </w:tcPr>
          <w:p w14:paraId="470C9A9B"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2,712</w:t>
            </w:r>
          </w:p>
        </w:tc>
        <w:tc>
          <w:tcPr>
            <w:tcW w:w="1035" w:type="dxa"/>
            <w:tcBorders>
              <w:top w:val="nil"/>
              <w:left w:val="nil"/>
              <w:bottom w:val="nil"/>
              <w:right w:val="nil"/>
            </w:tcBorders>
            <w:shd w:val="clear" w:color="auto" w:fill="auto"/>
            <w:noWrap/>
            <w:vAlign w:val="center"/>
            <w:hideMark/>
          </w:tcPr>
          <w:p w14:paraId="499406F9"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(94.6%)</w:t>
            </w:r>
          </w:p>
        </w:tc>
        <w:tc>
          <w:tcPr>
            <w:tcW w:w="1031" w:type="dxa"/>
            <w:tcBorders>
              <w:top w:val="nil"/>
              <w:left w:val="nil"/>
              <w:bottom w:val="nil"/>
              <w:right w:val="nil"/>
            </w:tcBorders>
            <w:shd w:val="clear" w:color="auto" w:fill="auto"/>
            <w:noWrap/>
            <w:vAlign w:val="center"/>
            <w:hideMark/>
          </w:tcPr>
          <w:p w14:paraId="4EDC500E"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2,565</w:t>
            </w:r>
          </w:p>
        </w:tc>
        <w:tc>
          <w:tcPr>
            <w:tcW w:w="1040" w:type="dxa"/>
            <w:tcBorders>
              <w:top w:val="nil"/>
              <w:left w:val="nil"/>
              <w:bottom w:val="nil"/>
              <w:right w:val="nil"/>
            </w:tcBorders>
            <w:shd w:val="clear" w:color="auto" w:fill="auto"/>
            <w:noWrap/>
            <w:vAlign w:val="bottom"/>
            <w:hideMark/>
          </w:tcPr>
          <w:p w14:paraId="74F7FB81"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(94.4%)</w:t>
            </w:r>
          </w:p>
        </w:tc>
      </w:tr>
      <w:tr w:rsidR="00200E5C" w:rsidRPr="00922EF4" w14:paraId="1D12D1E3" w14:textId="77777777" w:rsidTr="00200E5C">
        <w:trPr>
          <w:gridAfter w:val="1"/>
          <w:wAfter w:w="10" w:type="dxa"/>
          <w:trHeight w:val="268"/>
        </w:trPr>
        <w:tc>
          <w:tcPr>
            <w:tcW w:w="1831" w:type="dxa"/>
            <w:tcBorders>
              <w:top w:val="nil"/>
              <w:left w:val="nil"/>
              <w:bottom w:val="nil"/>
              <w:right w:val="nil"/>
            </w:tcBorders>
            <w:shd w:val="clear" w:color="auto" w:fill="auto"/>
            <w:noWrap/>
            <w:vAlign w:val="center"/>
            <w:hideMark/>
          </w:tcPr>
          <w:p w14:paraId="714FDEDA"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Bisexual</w:t>
            </w:r>
          </w:p>
        </w:tc>
        <w:tc>
          <w:tcPr>
            <w:tcW w:w="1031" w:type="dxa"/>
            <w:tcBorders>
              <w:top w:val="nil"/>
              <w:left w:val="nil"/>
              <w:bottom w:val="nil"/>
              <w:right w:val="nil"/>
            </w:tcBorders>
            <w:shd w:val="clear" w:color="auto" w:fill="auto"/>
            <w:noWrap/>
            <w:vAlign w:val="center"/>
            <w:hideMark/>
          </w:tcPr>
          <w:p w14:paraId="20254E07"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60</w:t>
            </w:r>
          </w:p>
        </w:tc>
        <w:tc>
          <w:tcPr>
            <w:tcW w:w="1035" w:type="dxa"/>
            <w:tcBorders>
              <w:top w:val="nil"/>
              <w:left w:val="nil"/>
              <w:bottom w:val="nil"/>
              <w:right w:val="nil"/>
            </w:tcBorders>
            <w:shd w:val="clear" w:color="auto" w:fill="auto"/>
            <w:noWrap/>
            <w:vAlign w:val="center"/>
            <w:hideMark/>
          </w:tcPr>
          <w:p w14:paraId="522F2DB2"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(1.3%)</w:t>
            </w:r>
          </w:p>
        </w:tc>
        <w:tc>
          <w:tcPr>
            <w:tcW w:w="1031" w:type="dxa"/>
            <w:tcBorders>
              <w:top w:val="nil"/>
              <w:left w:val="nil"/>
              <w:bottom w:val="nil"/>
              <w:right w:val="nil"/>
            </w:tcBorders>
            <w:shd w:val="clear" w:color="auto" w:fill="auto"/>
            <w:noWrap/>
            <w:vAlign w:val="center"/>
            <w:hideMark/>
          </w:tcPr>
          <w:p w14:paraId="76F8E69E"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46</w:t>
            </w:r>
          </w:p>
        </w:tc>
        <w:tc>
          <w:tcPr>
            <w:tcW w:w="1035" w:type="dxa"/>
            <w:tcBorders>
              <w:top w:val="nil"/>
              <w:left w:val="nil"/>
              <w:bottom w:val="nil"/>
              <w:right w:val="nil"/>
            </w:tcBorders>
            <w:shd w:val="clear" w:color="auto" w:fill="auto"/>
            <w:noWrap/>
            <w:vAlign w:val="center"/>
            <w:hideMark/>
          </w:tcPr>
          <w:p w14:paraId="45B43D40"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(1.3%)</w:t>
            </w:r>
          </w:p>
        </w:tc>
        <w:tc>
          <w:tcPr>
            <w:tcW w:w="1031" w:type="dxa"/>
            <w:tcBorders>
              <w:top w:val="nil"/>
              <w:left w:val="nil"/>
              <w:bottom w:val="nil"/>
              <w:right w:val="nil"/>
            </w:tcBorders>
            <w:shd w:val="clear" w:color="auto" w:fill="auto"/>
            <w:noWrap/>
            <w:vAlign w:val="center"/>
            <w:hideMark/>
          </w:tcPr>
          <w:p w14:paraId="2E9E91D9"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52</w:t>
            </w:r>
          </w:p>
        </w:tc>
        <w:tc>
          <w:tcPr>
            <w:tcW w:w="1035" w:type="dxa"/>
            <w:tcBorders>
              <w:top w:val="nil"/>
              <w:left w:val="nil"/>
              <w:bottom w:val="nil"/>
              <w:right w:val="nil"/>
            </w:tcBorders>
            <w:shd w:val="clear" w:color="auto" w:fill="auto"/>
            <w:noWrap/>
            <w:vAlign w:val="center"/>
            <w:hideMark/>
          </w:tcPr>
          <w:p w14:paraId="144E0442"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(1.8%)</w:t>
            </w:r>
          </w:p>
        </w:tc>
        <w:tc>
          <w:tcPr>
            <w:tcW w:w="1031" w:type="dxa"/>
            <w:tcBorders>
              <w:top w:val="nil"/>
              <w:left w:val="nil"/>
              <w:bottom w:val="nil"/>
              <w:right w:val="nil"/>
            </w:tcBorders>
            <w:shd w:val="clear" w:color="auto" w:fill="auto"/>
            <w:noWrap/>
            <w:vAlign w:val="center"/>
            <w:hideMark/>
          </w:tcPr>
          <w:p w14:paraId="100603F6"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54</w:t>
            </w:r>
          </w:p>
        </w:tc>
        <w:tc>
          <w:tcPr>
            <w:tcW w:w="1040" w:type="dxa"/>
            <w:tcBorders>
              <w:top w:val="nil"/>
              <w:left w:val="nil"/>
              <w:bottom w:val="nil"/>
              <w:right w:val="nil"/>
            </w:tcBorders>
            <w:shd w:val="clear" w:color="auto" w:fill="auto"/>
            <w:noWrap/>
            <w:vAlign w:val="bottom"/>
            <w:hideMark/>
          </w:tcPr>
          <w:p w14:paraId="51D2BFBF"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(2.0%)</w:t>
            </w:r>
          </w:p>
        </w:tc>
      </w:tr>
      <w:tr w:rsidR="00200E5C" w:rsidRPr="00922EF4" w14:paraId="1C298647" w14:textId="77777777" w:rsidTr="00200E5C">
        <w:trPr>
          <w:gridAfter w:val="1"/>
          <w:wAfter w:w="10" w:type="dxa"/>
          <w:trHeight w:val="268"/>
        </w:trPr>
        <w:tc>
          <w:tcPr>
            <w:tcW w:w="1831" w:type="dxa"/>
            <w:tcBorders>
              <w:top w:val="nil"/>
              <w:left w:val="nil"/>
              <w:bottom w:val="nil"/>
              <w:right w:val="nil"/>
            </w:tcBorders>
            <w:shd w:val="clear" w:color="auto" w:fill="auto"/>
            <w:noWrap/>
            <w:vAlign w:val="center"/>
            <w:hideMark/>
          </w:tcPr>
          <w:p w14:paraId="760AC096"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Gay</w:t>
            </w:r>
          </w:p>
        </w:tc>
        <w:tc>
          <w:tcPr>
            <w:tcW w:w="1031" w:type="dxa"/>
            <w:tcBorders>
              <w:top w:val="nil"/>
              <w:left w:val="nil"/>
              <w:bottom w:val="nil"/>
              <w:right w:val="nil"/>
            </w:tcBorders>
            <w:shd w:val="clear" w:color="auto" w:fill="auto"/>
            <w:noWrap/>
            <w:vAlign w:val="center"/>
            <w:hideMark/>
          </w:tcPr>
          <w:p w14:paraId="158B3381"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37</w:t>
            </w:r>
          </w:p>
        </w:tc>
        <w:tc>
          <w:tcPr>
            <w:tcW w:w="1035" w:type="dxa"/>
            <w:tcBorders>
              <w:top w:val="nil"/>
              <w:left w:val="nil"/>
              <w:bottom w:val="nil"/>
              <w:right w:val="nil"/>
            </w:tcBorders>
            <w:shd w:val="clear" w:color="auto" w:fill="auto"/>
            <w:noWrap/>
            <w:vAlign w:val="center"/>
            <w:hideMark/>
          </w:tcPr>
          <w:p w14:paraId="18439CD4"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(0.8%)</w:t>
            </w:r>
          </w:p>
        </w:tc>
        <w:tc>
          <w:tcPr>
            <w:tcW w:w="1031" w:type="dxa"/>
            <w:tcBorders>
              <w:top w:val="nil"/>
              <w:left w:val="nil"/>
              <w:bottom w:val="nil"/>
              <w:right w:val="nil"/>
            </w:tcBorders>
            <w:shd w:val="clear" w:color="auto" w:fill="auto"/>
            <w:noWrap/>
            <w:vAlign w:val="center"/>
            <w:hideMark/>
          </w:tcPr>
          <w:p w14:paraId="74E436FF"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41</w:t>
            </w:r>
          </w:p>
        </w:tc>
        <w:tc>
          <w:tcPr>
            <w:tcW w:w="1035" w:type="dxa"/>
            <w:tcBorders>
              <w:top w:val="nil"/>
              <w:left w:val="nil"/>
              <w:bottom w:val="nil"/>
              <w:right w:val="nil"/>
            </w:tcBorders>
            <w:shd w:val="clear" w:color="auto" w:fill="auto"/>
            <w:noWrap/>
            <w:vAlign w:val="center"/>
            <w:hideMark/>
          </w:tcPr>
          <w:p w14:paraId="721EC780"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(1.2%)</w:t>
            </w:r>
          </w:p>
        </w:tc>
        <w:tc>
          <w:tcPr>
            <w:tcW w:w="1031" w:type="dxa"/>
            <w:tcBorders>
              <w:top w:val="nil"/>
              <w:left w:val="nil"/>
              <w:bottom w:val="nil"/>
              <w:right w:val="nil"/>
            </w:tcBorders>
            <w:shd w:val="clear" w:color="auto" w:fill="auto"/>
            <w:noWrap/>
            <w:vAlign w:val="center"/>
            <w:hideMark/>
          </w:tcPr>
          <w:p w14:paraId="21D864E0"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64</w:t>
            </w:r>
          </w:p>
        </w:tc>
        <w:tc>
          <w:tcPr>
            <w:tcW w:w="1035" w:type="dxa"/>
            <w:tcBorders>
              <w:top w:val="nil"/>
              <w:left w:val="nil"/>
              <w:bottom w:val="nil"/>
              <w:right w:val="nil"/>
            </w:tcBorders>
            <w:shd w:val="clear" w:color="auto" w:fill="auto"/>
            <w:noWrap/>
            <w:vAlign w:val="center"/>
            <w:hideMark/>
          </w:tcPr>
          <w:p w14:paraId="05A2A418"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(2.1%)</w:t>
            </w:r>
          </w:p>
        </w:tc>
        <w:tc>
          <w:tcPr>
            <w:tcW w:w="1031" w:type="dxa"/>
            <w:tcBorders>
              <w:top w:val="nil"/>
              <w:left w:val="nil"/>
              <w:bottom w:val="nil"/>
              <w:right w:val="nil"/>
            </w:tcBorders>
            <w:shd w:val="clear" w:color="auto" w:fill="auto"/>
            <w:noWrap/>
            <w:vAlign w:val="center"/>
            <w:hideMark/>
          </w:tcPr>
          <w:p w14:paraId="4B7DE178"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47</w:t>
            </w:r>
          </w:p>
        </w:tc>
        <w:tc>
          <w:tcPr>
            <w:tcW w:w="1040" w:type="dxa"/>
            <w:tcBorders>
              <w:top w:val="nil"/>
              <w:left w:val="nil"/>
              <w:bottom w:val="nil"/>
              <w:right w:val="nil"/>
            </w:tcBorders>
            <w:shd w:val="clear" w:color="auto" w:fill="auto"/>
            <w:noWrap/>
            <w:vAlign w:val="bottom"/>
            <w:hideMark/>
          </w:tcPr>
          <w:p w14:paraId="373F8DA3"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(1.7%)</w:t>
            </w:r>
          </w:p>
        </w:tc>
      </w:tr>
      <w:tr w:rsidR="00200E5C" w:rsidRPr="00922EF4" w14:paraId="158AF26D" w14:textId="77777777" w:rsidTr="00200E5C">
        <w:trPr>
          <w:gridAfter w:val="1"/>
          <w:wAfter w:w="10" w:type="dxa"/>
          <w:trHeight w:val="268"/>
        </w:trPr>
        <w:tc>
          <w:tcPr>
            <w:tcW w:w="1831" w:type="dxa"/>
            <w:tcBorders>
              <w:top w:val="nil"/>
              <w:left w:val="nil"/>
              <w:bottom w:val="nil"/>
              <w:right w:val="nil"/>
            </w:tcBorders>
            <w:shd w:val="clear" w:color="auto" w:fill="auto"/>
            <w:noWrap/>
            <w:vAlign w:val="center"/>
            <w:hideMark/>
          </w:tcPr>
          <w:p w14:paraId="00110007" w14:textId="77777777" w:rsidR="00922EF4" w:rsidRPr="00922EF4" w:rsidRDefault="00922EF4" w:rsidP="00922EF4">
            <w:pPr>
              <w:rPr>
                <w:rFonts w:ascii="Times New Roman" w:eastAsia="Times New Roman" w:hAnsi="Times New Roman"/>
                <w:b/>
                <w:bCs/>
                <w:noProof w:val="0"/>
                <w:color w:val="000000"/>
                <w:sz w:val="22"/>
                <w:szCs w:val="22"/>
              </w:rPr>
            </w:pPr>
            <w:r w:rsidRPr="00922EF4">
              <w:rPr>
                <w:rFonts w:ascii="Times New Roman" w:eastAsia="Times New Roman" w:hAnsi="Times New Roman"/>
                <w:b/>
                <w:bCs/>
                <w:noProof w:val="0"/>
                <w:color w:val="000000"/>
                <w:sz w:val="22"/>
                <w:szCs w:val="22"/>
              </w:rPr>
              <w:t>Female</w:t>
            </w:r>
          </w:p>
        </w:tc>
        <w:tc>
          <w:tcPr>
            <w:tcW w:w="1031" w:type="dxa"/>
            <w:tcBorders>
              <w:top w:val="nil"/>
              <w:left w:val="nil"/>
              <w:bottom w:val="nil"/>
              <w:right w:val="nil"/>
            </w:tcBorders>
            <w:shd w:val="clear" w:color="auto" w:fill="auto"/>
            <w:noWrap/>
            <w:vAlign w:val="center"/>
            <w:hideMark/>
          </w:tcPr>
          <w:p w14:paraId="273AC2CB" w14:textId="77777777" w:rsidR="00922EF4" w:rsidRPr="00922EF4" w:rsidRDefault="00922EF4" w:rsidP="00922EF4">
            <w:pPr>
              <w:rPr>
                <w:rFonts w:ascii="Times New Roman" w:eastAsia="Times New Roman" w:hAnsi="Times New Roman"/>
                <w:b/>
                <w:bCs/>
                <w:noProof w:val="0"/>
                <w:color w:val="000000"/>
                <w:sz w:val="22"/>
                <w:szCs w:val="22"/>
              </w:rPr>
            </w:pPr>
          </w:p>
        </w:tc>
        <w:tc>
          <w:tcPr>
            <w:tcW w:w="1035" w:type="dxa"/>
            <w:tcBorders>
              <w:top w:val="nil"/>
              <w:left w:val="nil"/>
              <w:bottom w:val="nil"/>
              <w:right w:val="nil"/>
            </w:tcBorders>
            <w:shd w:val="clear" w:color="auto" w:fill="auto"/>
            <w:noWrap/>
            <w:vAlign w:val="center"/>
            <w:hideMark/>
          </w:tcPr>
          <w:p w14:paraId="144FACB5" w14:textId="77777777" w:rsidR="00922EF4" w:rsidRPr="00922EF4" w:rsidRDefault="00922EF4" w:rsidP="00922EF4">
            <w:pPr>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center"/>
            <w:hideMark/>
          </w:tcPr>
          <w:p w14:paraId="4FA15D64" w14:textId="77777777" w:rsidR="00922EF4" w:rsidRPr="00922EF4" w:rsidRDefault="00922EF4" w:rsidP="00922EF4">
            <w:pPr>
              <w:rPr>
                <w:rFonts w:ascii="Times New Roman" w:eastAsia="Times New Roman" w:hAnsi="Times New Roman"/>
                <w:noProof w:val="0"/>
                <w:sz w:val="20"/>
                <w:szCs w:val="20"/>
              </w:rPr>
            </w:pPr>
          </w:p>
        </w:tc>
        <w:tc>
          <w:tcPr>
            <w:tcW w:w="1035" w:type="dxa"/>
            <w:tcBorders>
              <w:top w:val="nil"/>
              <w:left w:val="nil"/>
              <w:bottom w:val="nil"/>
              <w:right w:val="nil"/>
            </w:tcBorders>
            <w:shd w:val="clear" w:color="auto" w:fill="auto"/>
            <w:noWrap/>
            <w:vAlign w:val="center"/>
            <w:hideMark/>
          </w:tcPr>
          <w:p w14:paraId="7C88A3A9" w14:textId="77777777" w:rsidR="00922EF4" w:rsidRPr="00922EF4" w:rsidRDefault="00922EF4" w:rsidP="00922EF4">
            <w:pPr>
              <w:jc w:val="right"/>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center"/>
            <w:hideMark/>
          </w:tcPr>
          <w:p w14:paraId="20FB7E89" w14:textId="77777777" w:rsidR="00922EF4" w:rsidRPr="00922EF4" w:rsidRDefault="00922EF4" w:rsidP="00922EF4">
            <w:pPr>
              <w:jc w:val="right"/>
              <w:rPr>
                <w:rFonts w:ascii="Times New Roman" w:eastAsia="Times New Roman" w:hAnsi="Times New Roman"/>
                <w:noProof w:val="0"/>
                <w:sz w:val="20"/>
                <w:szCs w:val="20"/>
              </w:rPr>
            </w:pPr>
          </w:p>
        </w:tc>
        <w:tc>
          <w:tcPr>
            <w:tcW w:w="1035" w:type="dxa"/>
            <w:tcBorders>
              <w:top w:val="nil"/>
              <w:left w:val="nil"/>
              <w:bottom w:val="nil"/>
              <w:right w:val="nil"/>
            </w:tcBorders>
            <w:shd w:val="clear" w:color="auto" w:fill="auto"/>
            <w:noWrap/>
            <w:vAlign w:val="center"/>
            <w:hideMark/>
          </w:tcPr>
          <w:p w14:paraId="6B321639" w14:textId="77777777" w:rsidR="00922EF4" w:rsidRPr="00922EF4" w:rsidRDefault="00922EF4" w:rsidP="00922EF4">
            <w:pPr>
              <w:jc w:val="right"/>
              <w:rPr>
                <w:rFonts w:ascii="Times New Roman" w:eastAsia="Times New Roman" w:hAnsi="Times New Roman"/>
                <w:noProof w:val="0"/>
                <w:sz w:val="20"/>
                <w:szCs w:val="20"/>
              </w:rPr>
            </w:pPr>
          </w:p>
        </w:tc>
        <w:tc>
          <w:tcPr>
            <w:tcW w:w="1031" w:type="dxa"/>
            <w:tcBorders>
              <w:top w:val="nil"/>
              <w:left w:val="nil"/>
              <w:bottom w:val="nil"/>
              <w:right w:val="nil"/>
            </w:tcBorders>
            <w:shd w:val="clear" w:color="auto" w:fill="auto"/>
            <w:noWrap/>
            <w:vAlign w:val="center"/>
            <w:hideMark/>
          </w:tcPr>
          <w:p w14:paraId="7B8B7B58" w14:textId="77777777" w:rsidR="00922EF4" w:rsidRPr="00922EF4" w:rsidRDefault="00922EF4" w:rsidP="00922EF4">
            <w:pPr>
              <w:jc w:val="right"/>
              <w:rPr>
                <w:rFonts w:ascii="Times New Roman" w:eastAsia="Times New Roman" w:hAnsi="Times New Roman"/>
                <w:noProof w:val="0"/>
                <w:sz w:val="20"/>
                <w:szCs w:val="20"/>
              </w:rPr>
            </w:pPr>
          </w:p>
        </w:tc>
        <w:tc>
          <w:tcPr>
            <w:tcW w:w="1040" w:type="dxa"/>
            <w:tcBorders>
              <w:top w:val="nil"/>
              <w:left w:val="nil"/>
              <w:bottom w:val="nil"/>
              <w:right w:val="nil"/>
            </w:tcBorders>
            <w:shd w:val="clear" w:color="auto" w:fill="auto"/>
            <w:noWrap/>
            <w:vAlign w:val="bottom"/>
            <w:hideMark/>
          </w:tcPr>
          <w:p w14:paraId="3107DBE0" w14:textId="77777777" w:rsidR="00922EF4" w:rsidRPr="00922EF4" w:rsidRDefault="00922EF4" w:rsidP="00922EF4">
            <w:pPr>
              <w:jc w:val="right"/>
              <w:rPr>
                <w:rFonts w:ascii="Times New Roman" w:eastAsia="Times New Roman" w:hAnsi="Times New Roman"/>
                <w:noProof w:val="0"/>
                <w:sz w:val="20"/>
                <w:szCs w:val="20"/>
              </w:rPr>
            </w:pPr>
          </w:p>
        </w:tc>
      </w:tr>
      <w:tr w:rsidR="00200E5C" w:rsidRPr="00922EF4" w14:paraId="2385B671" w14:textId="77777777" w:rsidTr="00200E5C">
        <w:trPr>
          <w:gridAfter w:val="1"/>
          <w:wAfter w:w="10" w:type="dxa"/>
          <w:trHeight w:val="268"/>
        </w:trPr>
        <w:tc>
          <w:tcPr>
            <w:tcW w:w="1831" w:type="dxa"/>
            <w:tcBorders>
              <w:top w:val="nil"/>
              <w:left w:val="nil"/>
              <w:bottom w:val="nil"/>
              <w:right w:val="nil"/>
            </w:tcBorders>
            <w:shd w:val="clear" w:color="auto" w:fill="auto"/>
            <w:noWrap/>
            <w:vAlign w:val="center"/>
            <w:hideMark/>
          </w:tcPr>
          <w:p w14:paraId="0E82EF1B"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Heterosexual</w:t>
            </w:r>
          </w:p>
        </w:tc>
        <w:tc>
          <w:tcPr>
            <w:tcW w:w="1031" w:type="dxa"/>
            <w:tcBorders>
              <w:top w:val="nil"/>
              <w:left w:val="nil"/>
              <w:bottom w:val="nil"/>
              <w:right w:val="nil"/>
            </w:tcBorders>
            <w:shd w:val="clear" w:color="auto" w:fill="auto"/>
            <w:noWrap/>
            <w:vAlign w:val="center"/>
            <w:hideMark/>
          </w:tcPr>
          <w:p w14:paraId="501B986E"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3,902</w:t>
            </w:r>
          </w:p>
        </w:tc>
        <w:tc>
          <w:tcPr>
            <w:tcW w:w="1035" w:type="dxa"/>
            <w:tcBorders>
              <w:top w:val="nil"/>
              <w:left w:val="nil"/>
              <w:bottom w:val="nil"/>
              <w:right w:val="nil"/>
            </w:tcBorders>
            <w:shd w:val="clear" w:color="auto" w:fill="auto"/>
            <w:noWrap/>
            <w:vAlign w:val="center"/>
            <w:hideMark/>
          </w:tcPr>
          <w:p w14:paraId="4DB38196"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(93.9%)</w:t>
            </w:r>
          </w:p>
        </w:tc>
        <w:tc>
          <w:tcPr>
            <w:tcW w:w="1031" w:type="dxa"/>
            <w:tcBorders>
              <w:top w:val="nil"/>
              <w:left w:val="nil"/>
              <w:bottom w:val="nil"/>
              <w:right w:val="nil"/>
            </w:tcBorders>
            <w:shd w:val="clear" w:color="auto" w:fill="auto"/>
            <w:noWrap/>
            <w:vAlign w:val="center"/>
            <w:hideMark/>
          </w:tcPr>
          <w:p w14:paraId="7A7F3839"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3,306</w:t>
            </w:r>
          </w:p>
        </w:tc>
        <w:tc>
          <w:tcPr>
            <w:tcW w:w="1035" w:type="dxa"/>
            <w:tcBorders>
              <w:top w:val="nil"/>
              <w:left w:val="nil"/>
              <w:bottom w:val="nil"/>
              <w:right w:val="nil"/>
            </w:tcBorders>
            <w:shd w:val="clear" w:color="auto" w:fill="auto"/>
            <w:noWrap/>
            <w:vAlign w:val="center"/>
            <w:hideMark/>
          </w:tcPr>
          <w:p w14:paraId="7D9CCFA6"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(93.0%)</w:t>
            </w:r>
          </w:p>
        </w:tc>
        <w:tc>
          <w:tcPr>
            <w:tcW w:w="1031" w:type="dxa"/>
            <w:tcBorders>
              <w:top w:val="nil"/>
              <w:left w:val="nil"/>
              <w:bottom w:val="nil"/>
              <w:right w:val="nil"/>
            </w:tcBorders>
            <w:shd w:val="clear" w:color="auto" w:fill="auto"/>
            <w:noWrap/>
            <w:vAlign w:val="center"/>
            <w:hideMark/>
          </w:tcPr>
          <w:p w14:paraId="03D717B5"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2,630</w:t>
            </w:r>
          </w:p>
        </w:tc>
        <w:tc>
          <w:tcPr>
            <w:tcW w:w="1035" w:type="dxa"/>
            <w:tcBorders>
              <w:top w:val="nil"/>
              <w:left w:val="nil"/>
              <w:bottom w:val="nil"/>
              <w:right w:val="nil"/>
            </w:tcBorders>
            <w:shd w:val="clear" w:color="auto" w:fill="auto"/>
            <w:noWrap/>
            <w:vAlign w:val="center"/>
            <w:hideMark/>
          </w:tcPr>
          <w:p w14:paraId="6DB52CBB"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(90.7%)</w:t>
            </w:r>
          </w:p>
        </w:tc>
        <w:tc>
          <w:tcPr>
            <w:tcW w:w="1031" w:type="dxa"/>
            <w:tcBorders>
              <w:top w:val="nil"/>
              <w:left w:val="nil"/>
              <w:bottom w:val="nil"/>
              <w:right w:val="nil"/>
            </w:tcBorders>
            <w:shd w:val="clear" w:color="auto" w:fill="auto"/>
            <w:noWrap/>
            <w:vAlign w:val="center"/>
            <w:hideMark/>
          </w:tcPr>
          <w:p w14:paraId="5A81E1B1"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2,397</w:t>
            </w:r>
          </w:p>
        </w:tc>
        <w:tc>
          <w:tcPr>
            <w:tcW w:w="1040" w:type="dxa"/>
            <w:tcBorders>
              <w:top w:val="nil"/>
              <w:left w:val="nil"/>
              <w:bottom w:val="nil"/>
              <w:right w:val="nil"/>
            </w:tcBorders>
            <w:shd w:val="clear" w:color="auto" w:fill="auto"/>
            <w:noWrap/>
            <w:vAlign w:val="bottom"/>
            <w:hideMark/>
          </w:tcPr>
          <w:p w14:paraId="43BC2289"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(89.1%)</w:t>
            </w:r>
          </w:p>
        </w:tc>
      </w:tr>
      <w:tr w:rsidR="00200E5C" w:rsidRPr="00922EF4" w14:paraId="375B5466" w14:textId="77777777" w:rsidTr="00200E5C">
        <w:trPr>
          <w:gridAfter w:val="1"/>
          <w:wAfter w:w="10" w:type="dxa"/>
          <w:trHeight w:val="268"/>
        </w:trPr>
        <w:tc>
          <w:tcPr>
            <w:tcW w:w="1831" w:type="dxa"/>
            <w:tcBorders>
              <w:top w:val="nil"/>
              <w:left w:val="nil"/>
              <w:bottom w:val="nil"/>
              <w:right w:val="nil"/>
            </w:tcBorders>
            <w:shd w:val="clear" w:color="auto" w:fill="auto"/>
            <w:noWrap/>
            <w:vAlign w:val="center"/>
            <w:hideMark/>
          </w:tcPr>
          <w:p w14:paraId="5BB4CA44"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Bisexual</w:t>
            </w:r>
          </w:p>
        </w:tc>
        <w:tc>
          <w:tcPr>
            <w:tcW w:w="1031" w:type="dxa"/>
            <w:tcBorders>
              <w:top w:val="nil"/>
              <w:left w:val="nil"/>
              <w:bottom w:val="nil"/>
              <w:right w:val="nil"/>
            </w:tcBorders>
            <w:shd w:val="clear" w:color="auto" w:fill="auto"/>
            <w:noWrap/>
            <w:vAlign w:val="center"/>
            <w:hideMark/>
          </w:tcPr>
          <w:p w14:paraId="41C07BE7"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133</w:t>
            </w:r>
          </w:p>
        </w:tc>
        <w:tc>
          <w:tcPr>
            <w:tcW w:w="1035" w:type="dxa"/>
            <w:tcBorders>
              <w:top w:val="nil"/>
              <w:left w:val="nil"/>
              <w:bottom w:val="nil"/>
              <w:right w:val="nil"/>
            </w:tcBorders>
            <w:shd w:val="clear" w:color="auto" w:fill="auto"/>
            <w:noWrap/>
            <w:vAlign w:val="center"/>
            <w:hideMark/>
          </w:tcPr>
          <w:p w14:paraId="105E27A9"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(3.3%)</w:t>
            </w:r>
          </w:p>
        </w:tc>
        <w:tc>
          <w:tcPr>
            <w:tcW w:w="1031" w:type="dxa"/>
            <w:tcBorders>
              <w:top w:val="nil"/>
              <w:left w:val="nil"/>
              <w:bottom w:val="nil"/>
              <w:right w:val="nil"/>
            </w:tcBorders>
            <w:shd w:val="clear" w:color="auto" w:fill="auto"/>
            <w:noWrap/>
            <w:vAlign w:val="center"/>
            <w:hideMark/>
          </w:tcPr>
          <w:p w14:paraId="0724309A"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153</w:t>
            </w:r>
          </w:p>
        </w:tc>
        <w:tc>
          <w:tcPr>
            <w:tcW w:w="1035" w:type="dxa"/>
            <w:tcBorders>
              <w:top w:val="nil"/>
              <w:left w:val="nil"/>
              <w:bottom w:val="nil"/>
              <w:right w:val="nil"/>
            </w:tcBorders>
            <w:shd w:val="clear" w:color="auto" w:fill="auto"/>
            <w:noWrap/>
            <w:vAlign w:val="center"/>
            <w:hideMark/>
          </w:tcPr>
          <w:p w14:paraId="12692BE3"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(4.1%)</w:t>
            </w:r>
          </w:p>
        </w:tc>
        <w:tc>
          <w:tcPr>
            <w:tcW w:w="1031" w:type="dxa"/>
            <w:tcBorders>
              <w:top w:val="nil"/>
              <w:left w:val="nil"/>
              <w:bottom w:val="nil"/>
              <w:right w:val="nil"/>
            </w:tcBorders>
            <w:shd w:val="clear" w:color="auto" w:fill="auto"/>
            <w:noWrap/>
            <w:vAlign w:val="center"/>
            <w:hideMark/>
          </w:tcPr>
          <w:p w14:paraId="67C54FD2"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182</w:t>
            </w:r>
          </w:p>
        </w:tc>
        <w:tc>
          <w:tcPr>
            <w:tcW w:w="1035" w:type="dxa"/>
            <w:tcBorders>
              <w:top w:val="nil"/>
              <w:left w:val="nil"/>
              <w:bottom w:val="nil"/>
              <w:right w:val="nil"/>
            </w:tcBorders>
            <w:shd w:val="clear" w:color="auto" w:fill="auto"/>
            <w:noWrap/>
            <w:vAlign w:val="center"/>
            <w:hideMark/>
          </w:tcPr>
          <w:p w14:paraId="17941983"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(6.3%)</w:t>
            </w:r>
          </w:p>
        </w:tc>
        <w:tc>
          <w:tcPr>
            <w:tcW w:w="1031" w:type="dxa"/>
            <w:tcBorders>
              <w:top w:val="nil"/>
              <w:left w:val="nil"/>
              <w:bottom w:val="nil"/>
              <w:right w:val="nil"/>
            </w:tcBorders>
            <w:shd w:val="clear" w:color="auto" w:fill="auto"/>
            <w:noWrap/>
            <w:vAlign w:val="center"/>
            <w:hideMark/>
          </w:tcPr>
          <w:p w14:paraId="27A3717C"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177</w:t>
            </w:r>
          </w:p>
        </w:tc>
        <w:tc>
          <w:tcPr>
            <w:tcW w:w="1040" w:type="dxa"/>
            <w:tcBorders>
              <w:top w:val="nil"/>
              <w:left w:val="nil"/>
              <w:bottom w:val="nil"/>
              <w:right w:val="nil"/>
            </w:tcBorders>
            <w:shd w:val="clear" w:color="auto" w:fill="auto"/>
            <w:noWrap/>
            <w:vAlign w:val="bottom"/>
            <w:hideMark/>
          </w:tcPr>
          <w:p w14:paraId="4445730B"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(6.8%)</w:t>
            </w:r>
          </w:p>
        </w:tc>
      </w:tr>
      <w:tr w:rsidR="00200E5C" w:rsidRPr="00922EF4" w14:paraId="75AE68B8" w14:textId="77777777" w:rsidTr="00200E5C">
        <w:trPr>
          <w:gridAfter w:val="1"/>
          <w:wAfter w:w="10" w:type="dxa"/>
          <w:trHeight w:val="286"/>
        </w:trPr>
        <w:tc>
          <w:tcPr>
            <w:tcW w:w="1831" w:type="dxa"/>
            <w:tcBorders>
              <w:top w:val="nil"/>
              <w:left w:val="nil"/>
              <w:bottom w:val="single" w:sz="8" w:space="0" w:color="auto"/>
              <w:right w:val="nil"/>
            </w:tcBorders>
            <w:shd w:val="clear" w:color="auto" w:fill="auto"/>
            <w:noWrap/>
            <w:vAlign w:val="center"/>
            <w:hideMark/>
          </w:tcPr>
          <w:p w14:paraId="45C19A02"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Lesbian</w:t>
            </w:r>
          </w:p>
        </w:tc>
        <w:tc>
          <w:tcPr>
            <w:tcW w:w="1031" w:type="dxa"/>
            <w:tcBorders>
              <w:top w:val="nil"/>
              <w:left w:val="nil"/>
              <w:bottom w:val="single" w:sz="8" w:space="0" w:color="auto"/>
              <w:right w:val="nil"/>
            </w:tcBorders>
            <w:shd w:val="clear" w:color="auto" w:fill="auto"/>
            <w:noWrap/>
            <w:vAlign w:val="center"/>
            <w:hideMark/>
          </w:tcPr>
          <w:p w14:paraId="2F3E071C"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15</w:t>
            </w:r>
          </w:p>
        </w:tc>
        <w:tc>
          <w:tcPr>
            <w:tcW w:w="1035" w:type="dxa"/>
            <w:tcBorders>
              <w:top w:val="nil"/>
              <w:left w:val="nil"/>
              <w:bottom w:val="single" w:sz="8" w:space="0" w:color="auto"/>
              <w:right w:val="nil"/>
            </w:tcBorders>
            <w:shd w:val="clear" w:color="auto" w:fill="auto"/>
            <w:noWrap/>
            <w:vAlign w:val="center"/>
            <w:hideMark/>
          </w:tcPr>
          <w:p w14:paraId="79A3827A"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(0.4%)</w:t>
            </w:r>
          </w:p>
        </w:tc>
        <w:tc>
          <w:tcPr>
            <w:tcW w:w="1031" w:type="dxa"/>
            <w:tcBorders>
              <w:top w:val="nil"/>
              <w:left w:val="nil"/>
              <w:bottom w:val="single" w:sz="8" w:space="0" w:color="auto"/>
              <w:right w:val="nil"/>
            </w:tcBorders>
            <w:shd w:val="clear" w:color="auto" w:fill="auto"/>
            <w:noWrap/>
            <w:vAlign w:val="center"/>
            <w:hideMark/>
          </w:tcPr>
          <w:p w14:paraId="10D18333"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25</w:t>
            </w:r>
          </w:p>
        </w:tc>
        <w:tc>
          <w:tcPr>
            <w:tcW w:w="1035" w:type="dxa"/>
            <w:tcBorders>
              <w:top w:val="nil"/>
              <w:left w:val="nil"/>
              <w:bottom w:val="single" w:sz="8" w:space="0" w:color="auto"/>
              <w:right w:val="nil"/>
            </w:tcBorders>
            <w:shd w:val="clear" w:color="auto" w:fill="auto"/>
            <w:noWrap/>
            <w:vAlign w:val="center"/>
            <w:hideMark/>
          </w:tcPr>
          <w:p w14:paraId="50A2FF30"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(0.6%)</w:t>
            </w:r>
          </w:p>
        </w:tc>
        <w:tc>
          <w:tcPr>
            <w:tcW w:w="1031" w:type="dxa"/>
            <w:tcBorders>
              <w:top w:val="nil"/>
              <w:left w:val="nil"/>
              <w:bottom w:val="single" w:sz="8" w:space="0" w:color="auto"/>
              <w:right w:val="nil"/>
            </w:tcBorders>
            <w:shd w:val="clear" w:color="auto" w:fill="auto"/>
            <w:noWrap/>
            <w:vAlign w:val="center"/>
            <w:hideMark/>
          </w:tcPr>
          <w:p w14:paraId="1824AF1A"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36</w:t>
            </w:r>
          </w:p>
        </w:tc>
        <w:tc>
          <w:tcPr>
            <w:tcW w:w="1035" w:type="dxa"/>
            <w:tcBorders>
              <w:top w:val="nil"/>
              <w:left w:val="nil"/>
              <w:bottom w:val="single" w:sz="8" w:space="0" w:color="auto"/>
              <w:right w:val="nil"/>
            </w:tcBorders>
            <w:shd w:val="clear" w:color="auto" w:fill="auto"/>
            <w:noWrap/>
            <w:vAlign w:val="center"/>
            <w:hideMark/>
          </w:tcPr>
          <w:p w14:paraId="525E4A0B"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(1.2%)</w:t>
            </w:r>
          </w:p>
        </w:tc>
        <w:tc>
          <w:tcPr>
            <w:tcW w:w="1031" w:type="dxa"/>
            <w:tcBorders>
              <w:top w:val="nil"/>
              <w:left w:val="nil"/>
              <w:bottom w:val="single" w:sz="8" w:space="0" w:color="auto"/>
              <w:right w:val="nil"/>
            </w:tcBorders>
            <w:shd w:val="clear" w:color="auto" w:fill="auto"/>
            <w:noWrap/>
            <w:vAlign w:val="center"/>
            <w:hideMark/>
          </w:tcPr>
          <w:p w14:paraId="064B5A6C" w14:textId="77777777" w:rsidR="00922EF4" w:rsidRPr="00922EF4" w:rsidRDefault="00922EF4" w:rsidP="00922EF4">
            <w:pPr>
              <w:jc w:val="right"/>
              <w:rPr>
                <w:rFonts w:ascii="Times New Roman" w:eastAsia="Times New Roman" w:hAnsi="Times New Roman"/>
                <w:noProof w:val="0"/>
                <w:color w:val="000000"/>
                <w:sz w:val="22"/>
                <w:szCs w:val="22"/>
              </w:rPr>
            </w:pPr>
            <w:bookmarkStart w:id="3" w:name="RANGE!H12"/>
            <w:r w:rsidRPr="00922EF4">
              <w:rPr>
                <w:rFonts w:ascii="Times New Roman" w:eastAsia="Times New Roman" w:hAnsi="Times New Roman"/>
                <w:noProof w:val="0"/>
                <w:color w:val="000000"/>
                <w:sz w:val="22"/>
                <w:szCs w:val="22"/>
              </w:rPr>
              <w:t>35</w:t>
            </w:r>
            <w:bookmarkEnd w:id="3"/>
          </w:p>
        </w:tc>
        <w:tc>
          <w:tcPr>
            <w:tcW w:w="1040" w:type="dxa"/>
            <w:tcBorders>
              <w:top w:val="nil"/>
              <w:left w:val="nil"/>
              <w:bottom w:val="nil"/>
              <w:right w:val="nil"/>
            </w:tcBorders>
            <w:shd w:val="clear" w:color="auto" w:fill="auto"/>
            <w:noWrap/>
            <w:vAlign w:val="bottom"/>
            <w:hideMark/>
          </w:tcPr>
          <w:p w14:paraId="13D88D38" w14:textId="77777777" w:rsidR="00922EF4" w:rsidRPr="00922EF4" w:rsidRDefault="00922EF4" w:rsidP="00922EF4">
            <w:pPr>
              <w:jc w:val="right"/>
              <w:rPr>
                <w:rFonts w:ascii="Times New Roman" w:eastAsia="Times New Roman" w:hAnsi="Times New Roman"/>
                <w:noProof w:val="0"/>
                <w:color w:val="000000"/>
                <w:sz w:val="22"/>
                <w:szCs w:val="22"/>
              </w:rPr>
            </w:pPr>
            <w:r w:rsidRPr="00922EF4">
              <w:rPr>
                <w:rFonts w:ascii="Times New Roman" w:eastAsia="Times New Roman" w:hAnsi="Times New Roman"/>
                <w:noProof w:val="0"/>
                <w:color w:val="000000"/>
                <w:sz w:val="22"/>
                <w:szCs w:val="22"/>
              </w:rPr>
              <w:t>(1.4%)</w:t>
            </w:r>
          </w:p>
        </w:tc>
      </w:tr>
      <w:tr w:rsidR="00922EF4" w:rsidRPr="00922EF4" w14:paraId="3DC8FEF4" w14:textId="77777777" w:rsidTr="00200E5C">
        <w:trPr>
          <w:trHeight w:val="276"/>
        </w:trPr>
        <w:tc>
          <w:tcPr>
            <w:tcW w:w="10110" w:type="dxa"/>
            <w:gridSpan w:val="10"/>
            <w:vMerge w:val="restart"/>
            <w:tcBorders>
              <w:top w:val="single" w:sz="8" w:space="0" w:color="auto"/>
              <w:left w:val="nil"/>
              <w:bottom w:val="nil"/>
              <w:right w:val="nil"/>
            </w:tcBorders>
            <w:shd w:val="clear" w:color="auto" w:fill="auto"/>
            <w:vAlign w:val="center"/>
            <w:hideMark/>
          </w:tcPr>
          <w:p w14:paraId="3EF450B5" w14:textId="7C541E77" w:rsidR="00922EF4" w:rsidRPr="00922EF4" w:rsidRDefault="00922EF4" w:rsidP="0071144B">
            <w:pPr>
              <w:rPr>
                <w:rFonts w:ascii="Times New Roman" w:eastAsia="Times New Roman" w:hAnsi="Times New Roman"/>
                <w:noProof w:val="0"/>
                <w:color w:val="000000"/>
              </w:rPr>
            </w:pPr>
            <w:r w:rsidRPr="00922EF4">
              <w:rPr>
                <w:rFonts w:ascii="Times New Roman" w:eastAsia="Times New Roman" w:hAnsi="Times New Roman"/>
                <w:noProof w:val="0"/>
                <w:color w:val="000000"/>
              </w:rPr>
              <w:t xml:space="preserve">Notes: *Sample sizes are unweighted Ns; ** </w:t>
            </w:r>
            <w:proofErr w:type="spellStart"/>
            <w:r w:rsidRPr="00922EF4">
              <w:rPr>
                <w:rFonts w:ascii="Times New Roman" w:eastAsia="Times New Roman" w:hAnsi="Times New Roman"/>
                <w:noProof w:val="0"/>
                <w:color w:val="000000"/>
              </w:rPr>
              <w:t>Percents</w:t>
            </w:r>
            <w:proofErr w:type="spellEnd"/>
            <w:r w:rsidRPr="00922EF4">
              <w:rPr>
                <w:rFonts w:ascii="Times New Roman" w:eastAsia="Times New Roman" w:hAnsi="Times New Roman"/>
                <w:noProof w:val="0"/>
                <w:color w:val="000000"/>
              </w:rPr>
              <w:t xml:space="preserve"> are weighted.  Within each </w:t>
            </w:r>
            <w:r w:rsidR="0071144B">
              <w:rPr>
                <w:rFonts w:ascii="Times New Roman" w:eastAsia="Times New Roman" w:hAnsi="Times New Roman"/>
                <w:noProof w:val="0"/>
                <w:color w:val="000000"/>
              </w:rPr>
              <w:t>w</w:t>
            </w:r>
            <w:r w:rsidRPr="00922EF4">
              <w:rPr>
                <w:rFonts w:ascii="Times New Roman" w:eastAsia="Times New Roman" w:hAnsi="Times New Roman"/>
                <w:noProof w:val="0"/>
                <w:color w:val="000000"/>
              </w:rPr>
              <w:t xml:space="preserve">ave and </w:t>
            </w:r>
            <w:r w:rsidR="0071144B">
              <w:rPr>
                <w:rFonts w:ascii="Times New Roman" w:eastAsia="Times New Roman" w:hAnsi="Times New Roman"/>
                <w:noProof w:val="0"/>
                <w:color w:val="000000"/>
              </w:rPr>
              <w:t>sex</w:t>
            </w:r>
            <w:r w:rsidR="0071144B" w:rsidRPr="00922EF4">
              <w:rPr>
                <w:rFonts w:ascii="Times New Roman" w:eastAsia="Times New Roman" w:hAnsi="Times New Roman"/>
                <w:noProof w:val="0"/>
                <w:color w:val="000000"/>
              </w:rPr>
              <w:t xml:space="preserve"> </w:t>
            </w:r>
            <w:r w:rsidRPr="00922EF4">
              <w:rPr>
                <w:rFonts w:ascii="Times New Roman" w:eastAsia="Times New Roman" w:hAnsi="Times New Roman"/>
                <w:noProof w:val="0"/>
                <w:color w:val="000000"/>
              </w:rPr>
              <w:t xml:space="preserve">group, </w:t>
            </w:r>
            <w:proofErr w:type="spellStart"/>
            <w:r w:rsidRPr="00922EF4">
              <w:rPr>
                <w:rFonts w:ascii="Times New Roman" w:eastAsia="Times New Roman" w:hAnsi="Times New Roman"/>
                <w:noProof w:val="0"/>
                <w:color w:val="000000"/>
              </w:rPr>
              <w:t>percents</w:t>
            </w:r>
            <w:proofErr w:type="spellEnd"/>
            <w:r w:rsidRPr="00922EF4">
              <w:rPr>
                <w:rFonts w:ascii="Times New Roman" w:eastAsia="Times New Roman" w:hAnsi="Times New Roman"/>
                <w:noProof w:val="0"/>
                <w:color w:val="000000"/>
              </w:rPr>
              <w:t xml:space="preserve"> do not add up to 100% because youth who </w:t>
            </w:r>
            <w:r w:rsidR="002C2DB6" w:rsidRPr="00922EF4">
              <w:rPr>
                <w:rFonts w:ascii="Times New Roman" w:eastAsia="Times New Roman" w:hAnsi="Times New Roman"/>
                <w:noProof w:val="0"/>
                <w:color w:val="000000"/>
              </w:rPr>
              <w:t>answered,</w:t>
            </w:r>
            <w:r w:rsidRPr="00922EF4">
              <w:rPr>
                <w:rFonts w:ascii="Times New Roman" w:eastAsia="Times New Roman" w:hAnsi="Times New Roman"/>
                <w:noProof w:val="0"/>
                <w:color w:val="000000"/>
              </w:rPr>
              <w:t xml:space="preserve"> “not sure” on the sexual identity question are not included here</w:t>
            </w:r>
            <w:r w:rsidRPr="00922EF4">
              <w:rPr>
                <w:rFonts w:ascii="Calibri" w:eastAsia="Times New Roman" w:hAnsi="Calibri"/>
                <w:noProof w:val="0"/>
                <w:color w:val="000000"/>
                <w:sz w:val="22"/>
                <w:szCs w:val="22"/>
              </w:rPr>
              <w:t>.</w:t>
            </w:r>
          </w:p>
        </w:tc>
      </w:tr>
      <w:tr w:rsidR="00922EF4" w:rsidRPr="00922EF4" w14:paraId="3A1B90BE" w14:textId="77777777" w:rsidTr="00200E5C">
        <w:trPr>
          <w:trHeight w:val="281"/>
        </w:trPr>
        <w:tc>
          <w:tcPr>
            <w:tcW w:w="10110" w:type="dxa"/>
            <w:gridSpan w:val="10"/>
            <w:vMerge/>
            <w:tcBorders>
              <w:top w:val="single" w:sz="8" w:space="0" w:color="auto"/>
              <w:left w:val="nil"/>
              <w:bottom w:val="nil"/>
              <w:right w:val="nil"/>
            </w:tcBorders>
            <w:vAlign w:val="center"/>
            <w:hideMark/>
          </w:tcPr>
          <w:p w14:paraId="62E9B041" w14:textId="77777777" w:rsidR="00922EF4" w:rsidRPr="00922EF4" w:rsidRDefault="00922EF4" w:rsidP="00922EF4">
            <w:pPr>
              <w:rPr>
                <w:rFonts w:ascii="Times New Roman" w:eastAsia="Times New Roman" w:hAnsi="Times New Roman"/>
                <w:noProof w:val="0"/>
                <w:color w:val="000000"/>
              </w:rPr>
            </w:pPr>
          </w:p>
        </w:tc>
      </w:tr>
    </w:tbl>
    <w:p w14:paraId="4E8CAEC7" w14:textId="77777777" w:rsidR="00DD6A81" w:rsidRDefault="00DD6A81" w:rsidP="00922EF4">
      <w:pPr>
        <w:tabs>
          <w:tab w:val="left" w:pos="3215"/>
        </w:tabs>
        <w:rPr>
          <w:rFonts w:ascii="Times New Roman" w:hAnsi="Times New Roman"/>
          <w:b/>
          <w:bCs/>
          <w:noProof w:val="0"/>
          <w:color w:val="262626"/>
        </w:rPr>
      </w:pPr>
    </w:p>
    <w:p w14:paraId="0619D566" w14:textId="77777777" w:rsidR="00922EF4" w:rsidRDefault="00922EF4" w:rsidP="00922EF4">
      <w:pPr>
        <w:tabs>
          <w:tab w:val="left" w:pos="3215"/>
        </w:tabs>
        <w:rPr>
          <w:rFonts w:ascii="Times New Roman" w:hAnsi="Times New Roman"/>
        </w:rPr>
        <w:sectPr w:rsidR="00922EF4" w:rsidSect="00922EF4">
          <w:pgSz w:w="12240" w:h="15840"/>
          <w:pgMar w:top="1440" w:right="1440" w:bottom="1440" w:left="1440" w:header="720" w:footer="720" w:gutter="0"/>
          <w:cols w:space="720"/>
          <w:titlePg/>
          <w:docGrid w:linePitch="360"/>
        </w:sectPr>
      </w:pPr>
    </w:p>
    <w:tbl>
      <w:tblPr>
        <w:tblW w:w="12960" w:type="dxa"/>
        <w:tblLook w:val="04A0" w:firstRow="1" w:lastRow="0" w:firstColumn="1" w:lastColumn="0" w:noHBand="0" w:noVBand="1"/>
      </w:tblPr>
      <w:tblGrid>
        <w:gridCol w:w="1564"/>
        <w:gridCol w:w="1334"/>
        <w:gridCol w:w="1333"/>
        <w:gridCol w:w="1333"/>
        <w:gridCol w:w="1333"/>
        <w:gridCol w:w="2021"/>
        <w:gridCol w:w="2021"/>
        <w:gridCol w:w="2021"/>
      </w:tblGrid>
      <w:tr w:rsidR="00B30017" w:rsidRPr="00B30017" w14:paraId="62B5E228" w14:textId="77777777" w:rsidTr="00B30017">
        <w:trPr>
          <w:trHeight w:val="186"/>
        </w:trPr>
        <w:tc>
          <w:tcPr>
            <w:tcW w:w="0" w:type="auto"/>
            <w:gridSpan w:val="8"/>
            <w:tcBorders>
              <w:top w:val="nil"/>
              <w:left w:val="nil"/>
              <w:bottom w:val="nil"/>
              <w:right w:val="nil"/>
            </w:tcBorders>
            <w:shd w:val="clear" w:color="auto" w:fill="auto"/>
            <w:noWrap/>
            <w:vAlign w:val="center"/>
            <w:hideMark/>
          </w:tcPr>
          <w:p w14:paraId="281C5A03" w14:textId="77777777" w:rsidR="00B30017" w:rsidRPr="00B30017" w:rsidRDefault="00B30017" w:rsidP="00B30017">
            <w:pP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lastRenderedPageBreak/>
              <w:t>Table 2.</w:t>
            </w:r>
          </w:p>
        </w:tc>
      </w:tr>
      <w:tr w:rsidR="00B30017" w:rsidRPr="00B30017" w14:paraId="2301FC44" w14:textId="77777777" w:rsidTr="00B30017">
        <w:trPr>
          <w:trHeight w:val="186"/>
        </w:trPr>
        <w:tc>
          <w:tcPr>
            <w:tcW w:w="0" w:type="auto"/>
            <w:tcBorders>
              <w:top w:val="nil"/>
              <w:left w:val="nil"/>
              <w:bottom w:val="nil"/>
              <w:right w:val="nil"/>
            </w:tcBorders>
            <w:shd w:val="clear" w:color="auto" w:fill="auto"/>
            <w:noWrap/>
            <w:vAlign w:val="center"/>
            <w:hideMark/>
          </w:tcPr>
          <w:p w14:paraId="76B1F3CA" w14:textId="77777777" w:rsidR="00B30017" w:rsidRPr="00B30017" w:rsidRDefault="00B30017" w:rsidP="00B30017">
            <w:pPr>
              <w:rPr>
                <w:rFonts w:ascii="Times New Roman" w:eastAsia="Times New Roman" w:hAnsi="Times New Roman"/>
                <w:noProof w:val="0"/>
                <w:color w:val="000000"/>
                <w:sz w:val="22"/>
                <w:szCs w:val="22"/>
              </w:rPr>
            </w:pPr>
          </w:p>
        </w:tc>
        <w:tc>
          <w:tcPr>
            <w:tcW w:w="0" w:type="auto"/>
            <w:tcBorders>
              <w:top w:val="nil"/>
              <w:left w:val="nil"/>
              <w:bottom w:val="nil"/>
              <w:right w:val="nil"/>
            </w:tcBorders>
            <w:shd w:val="clear" w:color="auto" w:fill="auto"/>
            <w:noWrap/>
            <w:vAlign w:val="bottom"/>
            <w:hideMark/>
          </w:tcPr>
          <w:p w14:paraId="23E295BA" w14:textId="77777777" w:rsidR="00B30017" w:rsidRPr="00B30017" w:rsidRDefault="00B30017" w:rsidP="00B30017">
            <w:pPr>
              <w:jc w:val="both"/>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noWrap/>
            <w:vAlign w:val="bottom"/>
            <w:hideMark/>
          </w:tcPr>
          <w:p w14:paraId="4696D876" w14:textId="77777777" w:rsidR="00B30017" w:rsidRPr="00B30017" w:rsidRDefault="00B30017" w:rsidP="00B30017">
            <w:pP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noWrap/>
            <w:vAlign w:val="bottom"/>
            <w:hideMark/>
          </w:tcPr>
          <w:p w14:paraId="23FB032E" w14:textId="77777777" w:rsidR="00B30017" w:rsidRPr="00B30017" w:rsidRDefault="00B30017" w:rsidP="00B30017">
            <w:pP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noWrap/>
            <w:vAlign w:val="bottom"/>
            <w:hideMark/>
          </w:tcPr>
          <w:p w14:paraId="6FB5CD28" w14:textId="77777777" w:rsidR="00B30017" w:rsidRPr="00B30017" w:rsidRDefault="00B30017" w:rsidP="00B30017">
            <w:pP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noWrap/>
            <w:vAlign w:val="bottom"/>
            <w:hideMark/>
          </w:tcPr>
          <w:p w14:paraId="2C8C6261" w14:textId="77777777" w:rsidR="00B30017" w:rsidRPr="00B30017" w:rsidRDefault="00B30017" w:rsidP="00B30017">
            <w:pP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noWrap/>
            <w:vAlign w:val="bottom"/>
            <w:hideMark/>
          </w:tcPr>
          <w:p w14:paraId="20A6FDFB" w14:textId="77777777" w:rsidR="00B30017" w:rsidRPr="00B30017" w:rsidRDefault="00B30017" w:rsidP="00B30017">
            <w:pP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noWrap/>
            <w:vAlign w:val="bottom"/>
            <w:hideMark/>
          </w:tcPr>
          <w:p w14:paraId="416A3863" w14:textId="77777777" w:rsidR="00B30017" w:rsidRPr="00B30017" w:rsidRDefault="00B30017" w:rsidP="00B30017">
            <w:pPr>
              <w:rPr>
                <w:rFonts w:ascii="Times New Roman" w:eastAsia="Times New Roman" w:hAnsi="Times New Roman"/>
                <w:noProof w:val="0"/>
                <w:sz w:val="22"/>
                <w:szCs w:val="22"/>
              </w:rPr>
            </w:pPr>
          </w:p>
        </w:tc>
      </w:tr>
      <w:tr w:rsidR="00B30017" w:rsidRPr="00B30017" w14:paraId="54861074" w14:textId="77777777" w:rsidTr="00B30017">
        <w:trPr>
          <w:trHeight w:val="198"/>
        </w:trPr>
        <w:tc>
          <w:tcPr>
            <w:tcW w:w="0" w:type="auto"/>
            <w:gridSpan w:val="8"/>
            <w:tcBorders>
              <w:top w:val="nil"/>
              <w:left w:val="nil"/>
              <w:bottom w:val="single" w:sz="8" w:space="0" w:color="auto"/>
              <w:right w:val="nil"/>
            </w:tcBorders>
            <w:shd w:val="clear" w:color="auto" w:fill="auto"/>
            <w:noWrap/>
            <w:vAlign w:val="center"/>
            <w:hideMark/>
          </w:tcPr>
          <w:p w14:paraId="1E378F6D" w14:textId="77777777" w:rsidR="00B30017" w:rsidRPr="00B30017" w:rsidRDefault="00B30017" w:rsidP="00B30017">
            <w:pP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Trends in Last 12-month Tobacco Use to Between 1999/2001 and 2011/2013, by Sexual Orientation</w:t>
            </w:r>
          </w:p>
        </w:tc>
      </w:tr>
      <w:tr w:rsidR="00B30017" w:rsidRPr="00B30017" w14:paraId="29A3401D" w14:textId="77777777" w:rsidTr="00B30017">
        <w:trPr>
          <w:trHeight w:val="198"/>
        </w:trPr>
        <w:tc>
          <w:tcPr>
            <w:tcW w:w="0" w:type="auto"/>
            <w:tcBorders>
              <w:top w:val="nil"/>
              <w:left w:val="nil"/>
              <w:bottom w:val="nil"/>
              <w:right w:val="nil"/>
            </w:tcBorders>
            <w:shd w:val="clear" w:color="auto" w:fill="auto"/>
            <w:vAlign w:val="center"/>
            <w:hideMark/>
          </w:tcPr>
          <w:p w14:paraId="36321366" w14:textId="77777777" w:rsidR="00B30017" w:rsidRPr="00B30017" w:rsidRDefault="00B30017" w:rsidP="00B30017">
            <w:pPr>
              <w:rPr>
                <w:rFonts w:ascii="Times New Roman" w:eastAsia="Times New Roman" w:hAnsi="Times New Roman"/>
                <w:noProof w:val="0"/>
                <w:color w:val="000000"/>
                <w:sz w:val="22"/>
                <w:szCs w:val="22"/>
              </w:rPr>
            </w:pPr>
          </w:p>
        </w:tc>
        <w:tc>
          <w:tcPr>
            <w:tcW w:w="0" w:type="auto"/>
            <w:gridSpan w:val="4"/>
            <w:tcBorders>
              <w:top w:val="single" w:sz="8" w:space="0" w:color="auto"/>
              <w:left w:val="nil"/>
              <w:bottom w:val="nil"/>
              <w:right w:val="nil"/>
            </w:tcBorders>
            <w:shd w:val="clear" w:color="auto" w:fill="auto"/>
            <w:vAlign w:val="center"/>
            <w:hideMark/>
          </w:tcPr>
          <w:p w14:paraId="3A1F010E" w14:textId="77777777" w:rsidR="00B30017" w:rsidRPr="00B30017" w:rsidRDefault="00B3001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 </w:t>
            </w:r>
          </w:p>
        </w:tc>
        <w:tc>
          <w:tcPr>
            <w:tcW w:w="0" w:type="auto"/>
            <w:tcBorders>
              <w:top w:val="nil"/>
              <w:left w:val="nil"/>
              <w:bottom w:val="single" w:sz="8" w:space="0" w:color="auto"/>
              <w:right w:val="nil"/>
            </w:tcBorders>
            <w:shd w:val="clear" w:color="auto" w:fill="auto"/>
            <w:vAlign w:val="center"/>
            <w:hideMark/>
          </w:tcPr>
          <w:p w14:paraId="5278371F" w14:textId="77777777" w:rsidR="00B30017" w:rsidRPr="00B30017" w:rsidRDefault="00B3001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Trend 99/01 - 03/05</w:t>
            </w:r>
          </w:p>
        </w:tc>
        <w:tc>
          <w:tcPr>
            <w:tcW w:w="0" w:type="auto"/>
            <w:tcBorders>
              <w:top w:val="nil"/>
              <w:left w:val="nil"/>
              <w:bottom w:val="single" w:sz="8" w:space="0" w:color="auto"/>
              <w:right w:val="nil"/>
            </w:tcBorders>
            <w:shd w:val="clear" w:color="auto" w:fill="auto"/>
            <w:vAlign w:val="center"/>
            <w:hideMark/>
          </w:tcPr>
          <w:p w14:paraId="68E79393" w14:textId="77777777" w:rsidR="00B30017" w:rsidRPr="00B30017" w:rsidRDefault="00B3001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Trend 99/01 - 07/09</w:t>
            </w:r>
          </w:p>
        </w:tc>
        <w:tc>
          <w:tcPr>
            <w:tcW w:w="0" w:type="auto"/>
            <w:tcBorders>
              <w:top w:val="nil"/>
              <w:left w:val="nil"/>
              <w:bottom w:val="single" w:sz="8" w:space="0" w:color="auto"/>
              <w:right w:val="nil"/>
            </w:tcBorders>
            <w:shd w:val="clear" w:color="auto" w:fill="auto"/>
            <w:vAlign w:val="center"/>
            <w:hideMark/>
          </w:tcPr>
          <w:p w14:paraId="17155D26" w14:textId="77777777" w:rsidR="00B30017" w:rsidRPr="00B30017" w:rsidRDefault="00B3001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Trend 99/01 - 11/13</w:t>
            </w:r>
          </w:p>
        </w:tc>
      </w:tr>
      <w:tr w:rsidR="00087E07" w:rsidRPr="00B30017" w14:paraId="3B31CA0B" w14:textId="77777777" w:rsidTr="00B30017">
        <w:trPr>
          <w:gridAfter w:val="3"/>
          <w:trHeight w:val="198"/>
        </w:trPr>
        <w:tc>
          <w:tcPr>
            <w:tcW w:w="0" w:type="auto"/>
            <w:tcBorders>
              <w:top w:val="nil"/>
              <w:left w:val="nil"/>
              <w:bottom w:val="single" w:sz="8" w:space="0" w:color="auto"/>
              <w:right w:val="nil"/>
            </w:tcBorders>
            <w:shd w:val="clear" w:color="auto" w:fill="auto"/>
            <w:vAlign w:val="center"/>
            <w:hideMark/>
          </w:tcPr>
          <w:p w14:paraId="76DF730C" w14:textId="77777777" w:rsidR="00087E07" w:rsidRPr="00B30017"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 </w:t>
            </w:r>
          </w:p>
        </w:tc>
        <w:tc>
          <w:tcPr>
            <w:tcW w:w="0" w:type="auto"/>
            <w:tcBorders>
              <w:top w:val="nil"/>
              <w:left w:val="nil"/>
              <w:bottom w:val="single" w:sz="8" w:space="0" w:color="auto"/>
              <w:right w:val="nil"/>
            </w:tcBorders>
            <w:shd w:val="clear" w:color="auto" w:fill="auto"/>
            <w:vAlign w:val="center"/>
            <w:hideMark/>
          </w:tcPr>
          <w:p w14:paraId="754D7D61" w14:textId="77777777" w:rsidR="00087E07" w:rsidRPr="00B30017"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1999/2001</w:t>
            </w:r>
          </w:p>
        </w:tc>
        <w:tc>
          <w:tcPr>
            <w:tcW w:w="0" w:type="auto"/>
            <w:tcBorders>
              <w:top w:val="nil"/>
              <w:left w:val="nil"/>
              <w:bottom w:val="single" w:sz="8" w:space="0" w:color="auto"/>
              <w:right w:val="nil"/>
            </w:tcBorders>
            <w:shd w:val="clear" w:color="auto" w:fill="auto"/>
            <w:vAlign w:val="center"/>
            <w:hideMark/>
          </w:tcPr>
          <w:p w14:paraId="38CFF357" w14:textId="77777777" w:rsidR="00087E07" w:rsidRPr="00B30017"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2003/2005</w:t>
            </w:r>
          </w:p>
        </w:tc>
        <w:tc>
          <w:tcPr>
            <w:tcW w:w="0" w:type="auto"/>
            <w:tcBorders>
              <w:top w:val="nil"/>
              <w:left w:val="nil"/>
              <w:bottom w:val="single" w:sz="8" w:space="0" w:color="auto"/>
              <w:right w:val="nil"/>
            </w:tcBorders>
            <w:shd w:val="clear" w:color="auto" w:fill="auto"/>
            <w:vAlign w:val="center"/>
            <w:hideMark/>
          </w:tcPr>
          <w:p w14:paraId="1CB72940" w14:textId="77777777" w:rsidR="00087E07" w:rsidRPr="00B30017"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2007/2009</w:t>
            </w:r>
          </w:p>
        </w:tc>
        <w:tc>
          <w:tcPr>
            <w:tcW w:w="0" w:type="auto"/>
            <w:tcBorders>
              <w:top w:val="nil"/>
              <w:left w:val="nil"/>
              <w:bottom w:val="single" w:sz="8" w:space="0" w:color="auto"/>
              <w:right w:val="nil"/>
            </w:tcBorders>
            <w:shd w:val="clear" w:color="auto" w:fill="auto"/>
            <w:vAlign w:val="center"/>
            <w:hideMark/>
          </w:tcPr>
          <w:p w14:paraId="39B62B28" w14:textId="77777777" w:rsidR="00087E07" w:rsidRPr="00B30017"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2011/2013</w:t>
            </w:r>
          </w:p>
        </w:tc>
      </w:tr>
      <w:tr w:rsidR="00B30017" w:rsidRPr="00B30017" w14:paraId="051507FE" w14:textId="77777777" w:rsidTr="00B30017">
        <w:trPr>
          <w:trHeight w:val="186"/>
        </w:trPr>
        <w:tc>
          <w:tcPr>
            <w:tcW w:w="0" w:type="auto"/>
            <w:gridSpan w:val="8"/>
            <w:tcBorders>
              <w:top w:val="single" w:sz="8" w:space="0" w:color="auto"/>
              <w:left w:val="nil"/>
              <w:bottom w:val="single" w:sz="4" w:space="0" w:color="auto"/>
              <w:right w:val="nil"/>
            </w:tcBorders>
            <w:shd w:val="clear" w:color="000000" w:fill="D9D9D9"/>
            <w:vAlign w:val="center"/>
            <w:hideMark/>
          </w:tcPr>
          <w:p w14:paraId="0020CAE9" w14:textId="77777777" w:rsidR="00B30017" w:rsidRPr="00B30017" w:rsidRDefault="00B3001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 xml:space="preserve">Ever Smoked </w:t>
            </w:r>
            <w:r w:rsidR="006E0559" w:rsidRPr="00B30017">
              <w:rPr>
                <w:rFonts w:ascii="Times New Roman" w:eastAsia="Times New Roman" w:hAnsi="Times New Roman"/>
                <w:b/>
                <w:bCs/>
                <w:noProof w:val="0"/>
                <w:color w:val="000000"/>
                <w:sz w:val="22"/>
                <w:szCs w:val="22"/>
              </w:rPr>
              <w:t>Cigarettes</w:t>
            </w:r>
          </w:p>
        </w:tc>
      </w:tr>
      <w:tr w:rsidR="00087E07" w:rsidRPr="00B30017" w14:paraId="1FF7FD15" w14:textId="77777777" w:rsidTr="00B30017">
        <w:trPr>
          <w:trHeight w:val="186"/>
        </w:trPr>
        <w:tc>
          <w:tcPr>
            <w:tcW w:w="0" w:type="auto"/>
            <w:tcBorders>
              <w:top w:val="nil"/>
              <w:left w:val="nil"/>
              <w:bottom w:val="nil"/>
              <w:right w:val="nil"/>
            </w:tcBorders>
            <w:shd w:val="clear" w:color="auto" w:fill="auto"/>
            <w:vAlign w:val="center"/>
            <w:hideMark/>
          </w:tcPr>
          <w:p w14:paraId="12E0495C" w14:textId="77777777" w:rsidR="00087E07" w:rsidRPr="00B30017" w:rsidRDefault="00087E07" w:rsidP="00B30017">
            <w:pPr>
              <w:jc w:val="both"/>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Male</w:t>
            </w:r>
          </w:p>
        </w:tc>
        <w:tc>
          <w:tcPr>
            <w:tcW w:w="0" w:type="auto"/>
            <w:tcBorders>
              <w:top w:val="nil"/>
              <w:left w:val="nil"/>
              <w:bottom w:val="nil"/>
              <w:right w:val="nil"/>
            </w:tcBorders>
            <w:shd w:val="clear" w:color="auto" w:fill="auto"/>
            <w:vAlign w:val="center"/>
            <w:hideMark/>
          </w:tcPr>
          <w:p w14:paraId="416B051B" w14:textId="77777777" w:rsidR="00087E07" w:rsidRPr="00B30017" w:rsidRDefault="00087E07" w:rsidP="00B30017">
            <w:pPr>
              <w:jc w:val="both"/>
              <w:rPr>
                <w:rFonts w:ascii="Times New Roman" w:eastAsia="Times New Roman" w:hAnsi="Times New Roman"/>
                <w:b/>
                <w:bCs/>
                <w:noProof w:val="0"/>
                <w:color w:val="000000"/>
                <w:sz w:val="22"/>
                <w:szCs w:val="22"/>
              </w:rPr>
            </w:pPr>
          </w:p>
        </w:tc>
        <w:tc>
          <w:tcPr>
            <w:tcW w:w="0" w:type="auto"/>
            <w:tcBorders>
              <w:top w:val="nil"/>
              <w:left w:val="nil"/>
              <w:bottom w:val="nil"/>
              <w:right w:val="nil"/>
            </w:tcBorders>
            <w:shd w:val="clear" w:color="auto" w:fill="auto"/>
            <w:vAlign w:val="center"/>
            <w:hideMark/>
          </w:tcPr>
          <w:p w14:paraId="41AFB6AF"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0D003FE1"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5D9F4838"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42A27000" w14:textId="562434EF" w:rsidR="00087E07" w:rsidRPr="00B30017" w:rsidRDefault="00087E07" w:rsidP="00B30017">
            <w:pPr>
              <w:jc w:val="center"/>
              <w:rPr>
                <w:rFonts w:ascii="Times New Roman" w:eastAsia="Times New Roman" w:hAnsi="Times New Roman"/>
                <w:noProof w:val="0"/>
                <w:sz w:val="22"/>
                <w:szCs w:val="22"/>
              </w:rPr>
            </w:pPr>
            <w:proofErr w:type="spellStart"/>
            <w:r>
              <w:rPr>
                <w:rFonts w:ascii="Times New Roman" w:eastAsia="Times New Roman" w:hAnsi="Times New Roman"/>
                <w:noProof w:val="0"/>
                <w:color w:val="000000"/>
                <w:sz w:val="22"/>
                <w:szCs w:val="22"/>
              </w:rPr>
              <w:t>a</w:t>
            </w:r>
            <w:r w:rsidRPr="00B30017">
              <w:rPr>
                <w:rFonts w:ascii="Times New Roman" w:eastAsia="Times New Roman" w:hAnsi="Times New Roman"/>
                <w:noProof w:val="0"/>
                <w:color w:val="000000"/>
                <w:sz w:val="22"/>
                <w:szCs w:val="22"/>
              </w:rPr>
              <w:t>OR</w:t>
            </w:r>
            <w:proofErr w:type="spellEnd"/>
            <w:r w:rsidRPr="00B30017">
              <w:rPr>
                <w:rFonts w:ascii="Times New Roman" w:eastAsia="Times New Roman" w:hAnsi="Times New Roman"/>
                <w:noProof w:val="0"/>
                <w:color w:val="000000"/>
                <w:sz w:val="22"/>
                <w:szCs w:val="22"/>
              </w:rPr>
              <w:t xml:space="preserve"> (95% CI)</w:t>
            </w:r>
          </w:p>
        </w:tc>
        <w:tc>
          <w:tcPr>
            <w:tcW w:w="0" w:type="auto"/>
            <w:tcBorders>
              <w:top w:val="nil"/>
              <w:left w:val="nil"/>
              <w:bottom w:val="nil"/>
              <w:right w:val="nil"/>
            </w:tcBorders>
            <w:shd w:val="clear" w:color="auto" w:fill="auto"/>
            <w:vAlign w:val="center"/>
            <w:hideMark/>
          </w:tcPr>
          <w:p w14:paraId="6CAF79CD" w14:textId="12CBB8B1" w:rsidR="00087E07" w:rsidRPr="00B30017" w:rsidRDefault="00087E07" w:rsidP="00B30017">
            <w:pPr>
              <w:jc w:val="center"/>
              <w:rPr>
                <w:rFonts w:ascii="Times New Roman" w:eastAsia="Times New Roman" w:hAnsi="Times New Roman"/>
                <w:noProof w:val="0"/>
                <w:sz w:val="22"/>
                <w:szCs w:val="22"/>
              </w:rPr>
            </w:pPr>
            <w:proofErr w:type="spellStart"/>
            <w:r>
              <w:rPr>
                <w:rFonts w:ascii="Times New Roman" w:eastAsia="Times New Roman" w:hAnsi="Times New Roman"/>
                <w:noProof w:val="0"/>
                <w:color w:val="000000"/>
                <w:sz w:val="22"/>
                <w:szCs w:val="22"/>
              </w:rPr>
              <w:t>a</w:t>
            </w:r>
            <w:r w:rsidRPr="00B30017">
              <w:rPr>
                <w:rFonts w:ascii="Times New Roman" w:eastAsia="Times New Roman" w:hAnsi="Times New Roman"/>
                <w:noProof w:val="0"/>
                <w:color w:val="000000"/>
                <w:sz w:val="22"/>
                <w:szCs w:val="22"/>
              </w:rPr>
              <w:t>OR</w:t>
            </w:r>
            <w:proofErr w:type="spellEnd"/>
            <w:r w:rsidRPr="00B30017">
              <w:rPr>
                <w:rFonts w:ascii="Times New Roman" w:eastAsia="Times New Roman" w:hAnsi="Times New Roman"/>
                <w:noProof w:val="0"/>
                <w:color w:val="000000"/>
                <w:sz w:val="22"/>
                <w:szCs w:val="22"/>
              </w:rPr>
              <w:t xml:space="preserve"> (95% CI)</w:t>
            </w:r>
          </w:p>
        </w:tc>
        <w:tc>
          <w:tcPr>
            <w:tcW w:w="0" w:type="auto"/>
            <w:tcBorders>
              <w:top w:val="nil"/>
              <w:left w:val="nil"/>
              <w:bottom w:val="nil"/>
              <w:right w:val="nil"/>
            </w:tcBorders>
            <w:shd w:val="clear" w:color="auto" w:fill="auto"/>
            <w:vAlign w:val="center"/>
            <w:hideMark/>
          </w:tcPr>
          <w:p w14:paraId="22E0AA75" w14:textId="5523FFB7" w:rsidR="00087E07" w:rsidRPr="00B30017" w:rsidRDefault="00087E07" w:rsidP="00B30017">
            <w:pPr>
              <w:jc w:val="center"/>
              <w:rPr>
                <w:rFonts w:ascii="Times New Roman" w:eastAsia="Times New Roman" w:hAnsi="Times New Roman"/>
                <w:noProof w:val="0"/>
                <w:sz w:val="22"/>
                <w:szCs w:val="22"/>
              </w:rPr>
            </w:pPr>
            <w:proofErr w:type="spellStart"/>
            <w:r>
              <w:rPr>
                <w:rFonts w:ascii="Times New Roman" w:eastAsia="Times New Roman" w:hAnsi="Times New Roman"/>
                <w:noProof w:val="0"/>
                <w:color w:val="000000"/>
                <w:sz w:val="22"/>
                <w:szCs w:val="22"/>
              </w:rPr>
              <w:t>a</w:t>
            </w:r>
            <w:r w:rsidRPr="00B30017">
              <w:rPr>
                <w:rFonts w:ascii="Times New Roman" w:eastAsia="Times New Roman" w:hAnsi="Times New Roman"/>
                <w:noProof w:val="0"/>
                <w:color w:val="000000"/>
                <w:sz w:val="22"/>
                <w:szCs w:val="22"/>
              </w:rPr>
              <w:t>OR</w:t>
            </w:r>
            <w:proofErr w:type="spellEnd"/>
            <w:r w:rsidRPr="00B30017">
              <w:rPr>
                <w:rFonts w:ascii="Times New Roman" w:eastAsia="Times New Roman" w:hAnsi="Times New Roman"/>
                <w:noProof w:val="0"/>
                <w:color w:val="000000"/>
                <w:sz w:val="22"/>
                <w:szCs w:val="22"/>
              </w:rPr>
              <w:t xml:space="preserve"> (95% CI)</w:t>
            </w:r>
          </w:p>
        </w:tc>
      </w:tr>
      <w:tr w:rsidR="00087E07" w:rsidRPr="00B30017" w14:paraId="2A5C2AAE" w14:textId="77777777" w:rsidTr="00B30017">
        <w:trPr>
          <w:trHeight w:val="210"/>
        </w:trPr>
        <w:tc>
          <w:tcPr>
            <w:tcW w:w="0" w:type="auto"/>
            <w:tcBorders>
              <w:top w:val="nil"/>
              <w:left w:val="nil"/>
              <w:bottom w:val="nil"/>
              <w:right w:val="nil"/>
            </w:tcBorders>
            <w:shd w:val="clear" w:color="auto" w:fill="auto"/>
            <w:vAlign w:val="center"/>
            <w:hideMark/>
          </w:tcPr>
          <w:p w14:paraId="07B4D969"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Heterosexual</w:t>
            </w:r>
          </w:p>
        </w:tc>
        <w:tc>
          <w:tcPr>
            <w:tcW w:w="0" w:type="auto"/>
            <w:tcBorders>
              <w:top w:val="nil"/>
              <w:left w:val="nil"/>
              <w:bottom w:val="nil"/>
              <w:right w:val="nil"/>
            </w:tcBorders>
            <w:shd w:val="clear" w:color="auto" w:fill="auto"/>
            <w:noWrap/>
            <w:vAlign w:val="center"/>
            <w:hideMark/>
          </w:tcPr>
          <w:p w14:paraId="40054F43"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64.6%</w:t>
            </w:r>
          </w:p>
        </w:tc>
        <w:tc>
          <w:tcPr>
            <w:tcW w:w="0" w:type="auto"/>
            <w:tcBorders>
              <w:top w:val="nil"/>
              <w:left w:val="nil"/>
              <w:bottom w:val="nil"/>
              <w:right w:val="nil"/>
            </w:tcBorders>
            <w:shd w:val="clear" w:color="auto" w:fill="auto"/>
            <w:noWrap/>
            <w:vAlign w:val="center"/>
            <w:hideMark/>
          </w:tcPr>
          <w:p w14:paraId="26BE8712"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51.7%</w:t>
            </w:r>
          </w:p>
        </w:tc>
        <w:tc>
          <w:tcPr>
            <w:tcW w:w="0" w:type="auto"/>
            <w:tcBorders>
              <w:top w:val="nil"/>
              <w:left w:val="nil"/>
              <w:bottom w:val="nil"/>
              <w:right w:val="nil"/>
            </w:tcBorders>
            <w:shd w:val="clear" w:color="auto" w:fill="auto"/>
            <w:noWrap/>
            <w:vAlign w:val="center"/>
            <w:hideMark/>
          </w:tcPr>
          <w:p w14:paraId="76508D2F"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45.3%</w:t>
            </w:r>
          </w:p>
        </w:tc>
        <w:tc>
          <w:tcPr>
            <w:tcW w:w="0" w:type="auto"/>
            <w:tcBorders>
              <w:top w:val="nil"/>
              <w:left w:val="nil"/>
              <w:bottom w:val="nil"/>
              <w:right w:val="nil"/>
            </w:tcBorders>
            <w:shd w:val="clear" w:color="auto" w:fill="auto"/>
            <w:noWrap/>
            <w:vAlign w:val="center"/>
            <w:hideMark/>
          </w:tcPr>
          <w:p w14:paraId="0B454781"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36.9%</w:t>
            </w:r>
          </w:p>
        </w:tc>
        <w:tc>
          <w:tcPr>
            <w:tcW w:w="0" w:type="auto"/>
            <w:tcBorders>
              <w:top w:val="nil"/>
              <w:left w:val="nil"/>
              <w:bottom w:val="nil"/>
              <w:right w:val="nil"/>
            </w:tcBorders>
            <w:shd w:val="clear" w:color="auto" w:fill="auto"/>
            <w:noWrap/>
            <w:hideMark/>
          </w:tcPr>
          <w:p w14:paraId="7BD4C40D" w14:textId="77777777" w:rsidR="00087E07" w:rsidRPr="00B30017" w:rsidRDefault="00087E07" w:rsidP="00B30017">
            <w:pPr>
              <w:jc w:val="center"/>
              <w:rPr>
                <w:rFonts w:ascii="Times New Roman" w:eastAsia="Times New Roman" w:hAnsi="Times New Roman"/>
                <w:b/>
                <w:bCs/>
                <w:noProof w:val="0"/>
                <w:sz w:val="22"/>
                <w:szCs w:val="22"/>
              </w:rPr>
            </w:pPr>
            <w:r w:rsidRPr="00B30017">
              <w:rPr>
                <w:rFonts w:ascii="Times New Roman" w:eastAsia="Times New Roman" w:hAnsi="Times New Roman"/>
                <w:b/>
                <w:bCs/>
                <w:noProof w:val="0"/>
                <w:sz w:val="22"/>
                <w:szCs w:val="22"/>
              </w:rPr>
              <w:t>0.58 (0.50-0.68)</w:t>
            </w:r>
          </w:p>
        </w:tc>
        <w:tc>
          <w:tcPr>
            <w:tcW w:w="0" w:type="auto"/>
            <w:tcBorders>
              <w:top w:val="nil"/>
              <w:left w:val="nil"/>
              <w:bottom w:val="nil"/>
              <w:right w:val="nil"/>
            </w:tcBorders>
            <w:shd w:val="clear" w:color="auto" w:fill="auto"/>
            <w:hideMark/>
          </w:tcPr>
          <w:p w14:paraId="2C721CA9"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0.45 (0.37-0.54)</w:t>
            </w:r>
          </w:p>
        </w:tc>
        <w:tc>
          <w:tcPr>
            <w:tcW w:w="0" w:type="auto"/>
            <w:tcBorders>
              <w:top w:val="nil"/>
              <w:left w:val="nil"/>
              <w:bottom w:val="nil"/>
              <w:right w:val="nil"/>
            </w:tcBorders>
            <w:shd w:val="clear" w:color="auto" w:fill="auto"/>
            <w:hideMark/>
          </w:tcPr>
          <w:p w14:paraId="30C255A3"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0.22 (0.18-0.28)</w:t>
            </w:r>
          </w:p>
        </w:tc>
      </w:tr>
      <w:tr w:rsidR="00087E07" w:rsidRPr="00B30017" w14:paraId="5D100805" w14:textId="77777777" w:rsidTr="00B30017">
        <w:trPr>
          <w:trHeight w:val="210"/>
        </w:trPr>
        <w:tc>
          <w:tcPr>
            <w:tcW w:w="0" w:type="auto"/>
            <w:tcBorders>
              <w:top w:val="nil"/>
              <w:left w:val="nil"/>
              <w:bottom w:val="nil"/>
              <w:right w:val="nil"/>
            </w:tcBorders>
            <w:shd w:val="clear" w:color="auto" w:fill="auto"/>
            <w:vAlign w:val="center"/>
            <w:hideMark/>
          </w:tcPr>
          <w:p w14:paraId="2CDE0E3C"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Bisexual</w:t>
            </w:r>
          </w:p>
        </w:tc>
        <w:tc>
          <w:tcPr>
            <w:tcW w:w="0" w:type="auto"/>
            <w:tcBorders>
              <w:top w:val="nil"/>
              <w:left w:val="nil"/>
              <w:bottom w:val="nil"/>
              <w:right w:val="nil"/>
            </w:tcBorders>
            <w:shd w:val="clear" w:color="auto" w:fill="auto"/>
            <w:noWrap/>
            <w:vAlign w:val="center"/>
            <w:hideMark/>
          </w:tcPr>
          <w:p w14:paraId="5DD4D00A"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83.0%</w:t>
            </w:r>
          </w:p>
        </w:tc>
        <w:tc>
          <w:tcPr>
            <w:tcW w:w="0" w:type="auto"/>
            <w:tcBorders>
              <w:top w:val="nil"/>
              <w:left w:val="nil"/>
              <w:bottom w:val="nil"/>
              <w:right w:val="nil"/>
            </w:tcBorders>
            <w:shd w:val="clear" w:color="auto" w:fill="auto"/>
            <w:noWrap/>
            <w:vAlign w:val="center"/>
            <w:hideMark/>
          </w:tcPr>
          <w:p w14:paraId="483DEAF8"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69.5%</w:t>
            </w:r>
          </w:p>
        </w:tc>
        <w:tc>
          <w:tcPr>
            <w:tcW w:w="0" w:type="auto"/>
            <w:tcBorders>
              <w:top w:val="nil"/>
              <w:left w:val="nil"/>
              <w:bottom w:val="nil"/>
              <w:right w:val="nil"/>
            </w:tcBorders>
            <w:shd w:val="clear" w:color="auto" w:fill="auto"/>
            <w:noWrap/>
            <w:vAlign w:val="center"/>
            <w:hideMark/>
          </w:tcPr>
          <w:p w14:paraId="0A6C160C"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68.6%</w:t>
            </w:r>
          </w:p>
        </w:tc>
        <w:tc>
          <w:tcPr>
            <w:tcW w:w="0" w:type="auto"/>
            <w:tcBorders>
              <w:top w:val="nil"/>
              <w:left w:val="nil"/>
              <w:bottom w:val="nil"/>
              <w:right w:val="nil"/>
            </w:tcBorders>
            <w:shd w:val="clear" w:color="auto" w:fill="auto"/>
            <w:noWrap/>
            <w:vAlign w:val="center"/>
            <w:hideMark/>
          </w:tcPr>
          <w:p w14:paraId="6F9677B0"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47.3%</w:t>
            </w:r>
          </w:p>
        </w:tc>
        <w:tc>
          <w:tcPr>
            <w:tcW w:w="0" w:type="auto"/>
            <w:tcBorders>
              <w:top w:val="nil"/>
              <w:left w:val="nil"/>
              <w:bottom w:val="nil"/>
              <w:right w:val="nil"/>
            </w:tcBorders>
            <w:shd w:val="clear" w:color="auto" w:fill="auto"/>
            <w:noWrap/>
            <w:hideMark/>
          </w:tcPr>
          <w:p w14:paraId="7A7A9704"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0.29 (0.17-0.51)</w:t>
            </w:r>
          </w:p>
        </w:tc>
        <w:tc>
          <w:tcPr>
            <w:tcW w:w="0" w:type="auto"/>
            <w:tcBorders>
              <w:top w:val="nil"/>
              <w:left w:val="nil"/>
              <w:bottom w:val="nil"/>
              <w:right w:val="nil"/>
            </w:tcBorders>
            <w:shd w:val="clear" w:color="auto" w:fill="auto"/>
            <w:hideMark/>
          </w:tcPr>
          <w:p w14:paraId="4C006CDD"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0.45 (0.25-0.81)</w:t>
            </w:r>
          </w:p>
        </w:tc>
        <w:tc>
          <w:tcPr>
            <w:tcW w:w="0" w:type="auto"/>
            <w:tcBorders>
              <w:top w:val="nil"/>
              <w:left w:val="nil"/>
              <w:bottom w:val="nil"/>
              <w:right w:val="nil"/>
            </w:tcBorders>
            <w:shd w:val="clear" w:color="auto" w:fill="auto"/>
            <w:hideMark/>
          </w:tcPr>
          <w:p w14:paraId="475D303A"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0.13 (0.07-0.24)</w:t>
            </w:r>
          </w:p>
        </w:tc>
      </w:tr>
      <w:tr w:rsidR="00087E07" w:rsidRPr="00B30017" w14:paraId="76E9F7CA" w14:textId="77777777" w:rsidTr="00B30017">
        <w:trPr>
          <w:trHeight w:val="210"/>
        </w:trPr>
        <w:tc>
          <w:tcPr>
            <w:tcW w:w="0" w:type="auto"/>
            <w:tcBorders>
              <w:top w:val="nil"/>
              <w:left w:val="nil"/>
              <w:bottom w:val="nil"/>
              <w:right w:val="nil"/>
            </w:tcBorders>
            <w:shd w:val="clear" w:color="auto" w:fill="auto"/>
            <w:vAlign w:val="center"/>
            <w:hideMark/>
          </w:tcPr>
          <w:p w14:paraId="4B1097AF"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Gay</w:t>
            </w:r>
          </w:p>
        </w:tc>
        <w:tc>
          <w:tcPr>
            <w:tcW w:w="0" w:type="auto"/>
            <w:tcBorders>
              <w:top w:val="nil"/>
              <w:left w:val="nil"/>
              <w:bottom w:val="nil"/>
              <w:right w:val="nil"/>
            </w:tcBorders>
            <w:shd w:val="clear" w:color="auto" w:fill="auto"/>
            <w:noWrap/>
            <w:vAlign w:val="center"/>
            <w:hideMark/>
          </w:tcPr>
          <w:p w14:paraId="5697F5AE"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79.7%</w:t>
            </w:r>
          </w:p>
        </w:tc>
        <w:tc>
          <w:tcPr>
            <w:tcW w:w="0" w:type="auto"/>
            <w:tcBorders>
              <w:top w:val="nil"/>
              <w:left w:val="nil"/>
              <w:bottom w:val="nil"/>
              <w:right w:val="nil"/>
            </w:tcBorders>
            <w:shd w:val="clear" w:color="auto" w:fill="auto"/>
            <w:noWrap/>
            <w:vAlign w:val="center"/>
            <w:hideMark/>
          </w:tcPr>
          <w:p w14:paraId="1EB8FDA3"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61.7%</w:t>
            </w:r>
          </w:p>
        </w:tc>
        <w:tc>
          <w:tcPr>
            <w:tcW w:w="0" w:type="auto"/>
            <w:tcBorders>
              <w:top w:val="nil"/>
              <w:left w:val="nil"/>
              <w:bottom w:val="nil"/>
              <w:right w:val="nil"/>
            </w:tcBorders>
            <w:shd w:val="clear" w:color="auto" w:fill="auto"/>
            <w:noWrap/>
            <w:vAlign w:val="center"/>
            <w:hideMark/>
          </w:tcPr>
          <w:p w14:paraId="39E71F7F"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76.7%</w:t>
            </w:r>
          </w:p>
        </w:tc>
        <w:tc>
          <w:tcPr>
            <w:tcW w:w="0" w:type="auto"/>
            <w:tcBorders>
              <w:top w:val="nil"/>
              <w:left w:val="nil"/>
              <w:bottom w:val="nil"/>
              <w:right w:val="nil"/>
            </w:tcBorders>
            <w:shd w:val="clear" w:color="auto" w:fill="auto"/>
            <w:noWrap/>
            <w:vAlign w:val="center"/>
            <w:hideMark/>
          </w:tcPr>
          <w:p w14:paraId="72B01756"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43.3%</w:t>
            </w:r>
          </w:p>
        </w:tc>
        <w:tc>
          <w:tcPr>
            <w:tcW w:w="0" w:type="auto"/>
            <w:tcBorders>
              <w:top w:val="nil"/>
              <w:left w:val="nil"/>
              <w:bottom w:val="nil"/>
              <w:right w:val="nil"/>
            </w:tcBorders>
            <w:shd w:val="clear" w:color="auto" w:fill="auto"/>
            <w:noWrap/>
            <w:hideMark/>
          </w:tcPr>
          <w:p w14:paraId="687C3407"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0.41 (0.26-0.65)</w:t>
            </w:r>
          </w:p>
        </w:tc>
        <w:tc>
          <w:tcPr>
            <w:tcW w:w="0" w:type="auto"/>
            <w:tcBorders>
              <w:top w:val="nil"/>
              <w:left w:val="nil"/>
              <w:bottom w:val="nil"/>
              <w:right w:val="nil"/>
            </w:tcBorders>
            <w:shd w:val="clear" w:color="auto" w:fill="auto"/>
            <w:hideMark/>
          </w:tcPr>
          <w:p w14:paraId="7FE4DF0F"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0.42 (0.35-0.50)</w:t>
            </w:r>
          </w:p>
        </w:tc>
        <w:tc>
          <w:tcPr>
            <w:tcW w:w="0" w:type="auto"/>
            <w:tcBorders>
              <w:top w:val="nil"/>
              <w:left w:val="nil"/>
              <w:bottom w:val="nil"/>
              <w:right w:val="nil"/>
            </w:tcBorders>
            <w:shd w:val="clear" w:color="auto" w:fill="auto"/>
            <w:hideMark/>
          </w:tcPr>
          <w:p w14:paraId="0A4E3F95"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0.13 (0.08-0.21)</w:t>
            </w:r>
          </w:p>
        </w:tc>
      </w:tr>
      <w:tr w:rsidR="00087E07" w:rsidRPr="00B30017" w14:paraId="6AC6D7E0" w14:textId="77777777" w:rsidTr="00B30017">
        <w:trPr>
          <w:trHeight w:val="210"/>
        </w:trPr>
        <w:tc>
          <w:tcPr>
            <w:tcW w:w="0" w:type="auto"/>
            <w:tcBorders>
              <w:top w:val="nil"/>
              <w:left w:val="nil"/>
              <w:bottom w:val="nil"/>
              <w:right w:val="nil"/>
            </w:tcBorders>
            <w:shd w:val="clear" w:color="auto" w:fill="auto"/>
            <w:vAlign w:val="center"/>
            <w:hideMark/>
          </w:tcPr>
          <w:p w14:paraId="08D3F739" w14:textId="77777777" w:rsidR="00087E07" w:rsidRPr="00B30017" w:rsidRDefault="00087E07" w:rsidP="00B30017">
            <w:pPr>
              <w:jc w:val="both"/>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Female</w:t>
            </w:r>
          </w:p>
        </w:tc>
        <w:tc>
          <w:tcPr>
            <w:tcW w:w="0" w:type="auto"/>
            <w:tcBorders>
              <w:top w:val="nil"/>
              <w:left w:val="nil"/>
              <w:bottom w:val="nil"/>
              <w:right w:val="nil"/>
            </w:tcBorders>
            <w:shd w:val="clear" w:color="auto" w:fill="auto"/>
            <w:vAlign w:val="center"/>
            <w:hideMark/>
          </w:tcPr>
          <w:p w14:paraId="46BFFC7B" w14:textId="77777777" w:rsidR="00087E07" w:rsidRPr="00B30017" w:rsidRDefault="00087E07" w:rsidP="00B30017">
            <w:pPr>
              <w:jc w:val="both"/>
              <w:rPr>
                <w:rFonts w:ascii="Times New Roman" w:eastAsia="Times New Roman" w:hAnsi="Times New Roman"/>
                <w:b/>
                <w:bCs/>
                <w:noProof w:val="0"/>
                <w:color w:val="000000"/>
                <w:sz w:val="22"/>
                <w:szCs w:val="22"/>
              </w:rPr>
            </w:pPr>
          </w:p>
        </w:tc>
        <w:tc>
          <w:tcPr>
            <w:tcW w:w="0" w:type="auto"/>
            <w:tcBorders>
              <w:top w:val="nil"/>
              <w:left w:val="nil"/>
              <w:bottom w:val="nil"/>
              <w:right w:val="nil"/>
            </w:tcBorders>
            <w:shd w:val="clear" w:color="auto" w:fill="auto"/>
            <w:vAlign w:val="center"/>
            <w:hideMark/>
          </w:tcPr>
          <w:p w14:paraId="4E45CC0E"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66B218F7"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59749A70"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hideMark/>
          </w:tcPr>
          <w:p w14:paraId="6955AB4D"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hideMark/>
          </w:tcPr>
          <w:p w14:paraId="1699A967"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hideMark/>
          </w:tcPr>
          <w:p w14:paraId="200494A2" w14:textId="77777777" w:rsidR="00087E07" w:rsidRPr="00B30017" w:rsidRDefault="00087E07" w:rsidP="00B30017">
            <w:pPr>
              <w:jc w:val="center"/>
              <w:rPr>
                <w:rFonts w:ascii="Times New Roman" w:eastAsia="Times New Roman" w:hAnsi="Times New Roman"/>
                <w:noProof w:val="0"/>
                <w:sz w:val="22"/>
                <w:szCs w:val="22"/>
              </w:rPr>
            </w:pPr>
          </w:p>
        </w:tc>
      </w:tr>
      <w:tr w:rsidR="00087E07" w:rsidRPr="00B30017" w14:paraId="126AB48C" w14:textId="77777777" w:rsidTr="00B30017">
        <w:trPr>
          <w:trHeight w:val="210"/>
        </w:trPr>
        <w:tc>
          <w:tcPr>
            <w:tcW w:w="0" w:type="auto"/>
            <w:tcBorders>
              <w:top w:val="nil"/>
              <w:left w:val="nil"/>
              <w:bottom w:val="nil"/>
              <w:right w:val="nil"/>
            </w:tcBorders>
            <w:shd w:val="clear" w:color="auto" w:fill="auto"/>
            <w:vAlign w:val="center"/>
            <w:hideMark/>
          </w:tcPr>
          <w:p w14:paraId="6954A216"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Heterosexual</w:t>
            </w:r>
          </w:p>
        </w:tc>
        <w:tc>
          <w:tcPr>
            <w:tcW w:w="0" w:type="auto"/>
            <w:tcBorders>
              <w:top w:val="nil"/>
              <w:left w:val="nil"/>
              <w:bottom w:val="nil"/>
              <w:right w:val="nil"/>
            </w:tcBorders>
            <w:shd w:val="clear" w:color="auto" w:fill="auto"/>
            <w:noWrap/>
            <w:vAlign w:val="center"/>
            <w:hideMark/>
          </w:tcPr>
          <w:p w14:paraId="6EDB0D9E"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64.2%</w:t>
            </w:r>
          </w:p>
        </w:tc>
        <w:tc>
          <w:tcPr>
            <w:tcW w:w="0" w:type="auto"/>
            <w:tcBorders>
              <w:top w:val="nil"/>
              <w:left w:val="nil"/>
              <w:bottom w:val="nil"/>
              <w:right w:val="nil"/>
            </w:tcBorders>
            <w:shd w:val="clear" w:color="auto" w:fill="auto"/>
            <w:noWrap/>
            <w:vAlign w:val="center"/>
            <w:hideMark/>
          </w:tcPr>
          <w:p w14:paraId="64A64841"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50.2%</w:t>
            </w:r>
          </w:p>
        </w:tc>
        <w:tc>
          <w:tcPr>
            <w:tcW w:w="0" w:type="auto"/>
            <w:tcBorders>
              <w:top w:val="nil"/>
              <w:left w:val="nil"/>
              <w:bottom w:val="nil"/>
              <w:right w:val="nil"/>
            </w:tcBorders>
            <w:shd w:val="clear" w:color="auto" w:fill="auto"/>
            <w:noWrap/>
            <w:vAlign w:val="center"/>
            <w:hideMark/>
          </w:tcPr>
          <w:p w14:paraId="5A2EC825"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41.1%</w:t>
            </w:r>
          </w:p>
        </w:tc>
        <w:tc>
          <w:tcPr>
            <w:tcW w:w="0" w:type="auto"/>
            <w:tcBorders>
              <w:top w:val="nil"/>
              <w:left w:val="nil"/>
              <w:bottom w:val="nil"/>
              <w:right w:val="nil"/>
            </w:tcBorders>
            <w:shd w:val="clear" w:color="auto" w:fill="auto"/>
            <w:noWrap/>
            <w:vAlign w:val="center"/>
            <w:hideMark/>
          </w:tcPr>
          <w:p w14:paraId="4FC107CF"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29.9%</w:t>
            </w:r>
          </w:p>
        </w:tc>
        <w:tc>
          <w:tcPr>
            <w:tcW w:w="0" w:type="auto"/>
            <w:tcBorders>
              <w:top w:val="nil"/>
              <w:left w:val="nil"/>
              <w:bottom w:val="nil"/>
              <w:right w:val="nil"/>
            </w:tcBorders>
            <w:shd w:val="clear" w:color="auto" w:fill="auto"/>
            <w:noWrap/>
            <w:hideMark/>
          </w:tcPr>
          <w:p w14:paraId="3B557E45"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0.56 (0.47-0.67)</w:t>
            </w:r>
          </w:p>
        </w:tc>
        <w:tc>
          <w:tcPr>
            <w:tcW w:w="0" w:type="auto"/>
            <w:tcBorders>
              <w:top w:val="nil"/>
              <w:left w:val="nil"/>
              <w:bottom w:val="nil"/>
              <w:right w:val="nil"/>
            </w:tcBorders>
            <w:shd w:val="clear" w:color="auto" w:fill="auto"/>
            <w:noWrap/>
            <w:hideMark/>
          </w:tcPr>
          <w:p w14:paraId="59D9F063"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0.39 (0.33-0.46)</w:t>
            </w:r>
          </w:p>
        </w:tc>
        <w:tc>
          <w:tcPr>
            <w:tcW w:w="0" w:type="auto"/>
            <w:tcBorders>
              <w:top w:val="nil"/>
              <w:left w:val="nil"/>
              <w:bottom w:val="nil"/>
              <w:right w:val="nil"/>
            </w:tcBorders>
            <w:shd w:val="clear" w:color="auto" w:fill="auto"/>
            <w:noWrap/>
            <w:hideMark/>
          </w:tcPr>
          <w:p w14:paraId="18E7DF35"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0.23 (0.20-0.27)</w:t>
            </w:r>
          </w:p>
        </w:tc>
      </w:tr>
      <w:tr w:rsidR="00087E07" w:rsidRPr="00B30017" w14:paraId="604A1B2F" w14:textId="77777777" w:rsidTr="00B30017">
        <w:trPr>
          <w:trHeight w:val="210"/>
        </w:trPr>
        <w:tc>
          <w:tcPr>
            <w:tcW w:w="0" w:type="auto"/>
            <w:tcBorders>
              <w:top w:val="nil"/>
              <w:left w:val="nil"/>
              <w:bottom w:val="nil"/>
              <w:right w:val="nil"/>
            </w:tcBorders>
            <w:shd w:val="clear" w:color="auto" w:fill="auto"/>
            <w:vAlign w:val="center"/>
            <w:hideMark/>
          </w:tcPr>
          <w:p w14:paraId="229D0C7E"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Bisexual</w:t>
            </w:r>
          </w:p>
        </w:tc>
        <w:tc>
          <w:tcPr>
            <w:tcW w:w="0" w:type="auto"/>
            <w:tcBorders>
              <w:top w:val="nil"/>
              <w:left w:val="nil"/>
              <w:bottom w:val="nil"/>
              <w:right w:val="nil"/>
            </w:tcBorders>
            <w:shd w:val="clear" w:color="auto" w:fill="auto"/>
            <w:noWrap/>
            <w:vAlign w:val="center"/>
            <w:hideMark/>
          </w:tcPr>
          <w:p w14:paraId="7DF508FF"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87.3%</w:t>
            </w:r>
          </w:p>
        </w:tc>
        <w:tc>
          <w:tcPr>
            <w:tcW w:w="0" w:type="auto"/>
            <w:tcBorders>
              <w:top w:val="nil"/>
              <w:left w:val="nil"/>
              <w:bottom w:val="nil"/>
              <w:right w:val="nil"/>
            </w:tcBorders>
            <w:shd w:val="clear" w:color="auto" w:fill="auto"/>
            <w:noWrap/>
            <w:vAlign w:val="center"/>
            <w:hideMark/>
          </w:tcPr>
          <w:p w14:paraId="3C672CED"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81.9%</w:t>
            </w:r>
          </w:p>
        </w:tc>
        <w:tc>
          <w:tcPr>
            <w:tcW w:w="0" w:type="auto"/>
            <w:tcBorders>
              <w:top w:val="nil"/>
              <w:left w:val="nil"/>
              <w:bottom w:val="nil"/>
              <w:right w:val="nil"/>
            </w:tcBorders>
            <w:shd w:val="clear" w:color="auto" w:fill="auto"/>
            <w:noWrap/>
            <w:vAlign w:val="center"/>
            <w:hideMark/>
          </w:tcPr>
          <w:p w14:paraId="5D33578A"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72.9%</w:t>
            </w:r>
          </w:p>
        </w:tc>
        <w:tc>
          <w:tcPr>
            <w:tcW w:w="0" w:type="auto"/>
            <w:tcBorders>
              <w:top w:val="nil"/>
              <w:left w:val="nil"/>
              <w:bottom w:val="nil"/>
              <w:right w:val="nil"/>
            </w:tcBorders>
            <w:shd w:val="clear" w:color="auto" w:fill="auto"/>
            <w:noWrap/>
            <w:vAlign w:val="center"/>
            <w:hideMark/>
          </w:tcPr>
          <w:p w14:paraId="15B22200"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61.1%</w:t>
            </w:r>
          </w:p>
        </w:tc>
        <w:tc>
          <w:tcPr>
            <w:tcW w:w="0" w:type="auto"/>
            <w:tcBorders>
              <w:top w:val="nil"/>
              <w:left w:val="nil"/>
              <w:bottom w:val="nil"/>
              <w:right w:val="nil"/>
            </w:tcBorders>
            <w:shd w:val="clear" w:color="auto" w:fill="auto"/>
            <w:hideMark/>
          </w:tcPr>
          <w:p w14:paraId="6DCF1DCF" w14:textId="77777777" w:rsidR="00087E07" w:rsidRPr="00B30017"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0.66 (0.35-1.26)</w:t>
            </w:r>
          </w:p>
        </w:tc>
        <w:tc>
          <w:tcPr>
            <w:tcW w:w="0" w:type="auto"/>
            <w:tcBorders>
              <w:top w:val="nil"/>
              <w:left w:val="nil"/>
              <w:bottom w:val="nil"/>
              <w:right w:val="nil"/>
            </w:tcBorders>
            <w:shd w:val="clear" w:color="auto" w:fill="auto"/>
            <w:hideMark/>
          </w:tcPr>
          <w:p w14:paraId="3DB776CD"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0.40 (0.22-0.71)</w:t>
            </w:r>
          </w:p>
        </w:tc>
        <w:tc>
          <w:tcPr>
            <w:tcW w:w="0" w:type="auto"/>
            <w:tcBorders>
              <w:top w:val="nil"/>
              <w:left w:val="nil"/>
              <w:bottom w:val="nil"/>
              <w:right w:val="nil"/>
            </w:tcBorders>
            <w:shd w:val="clear" w:color="auto" w:fill="auto"/>
            <w:hideMark/>
          </w:tcPr>
          <w:p w14:paraId="42555FD4"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0.23 (0.13-0.42)</w:t>
            </w:r>
          </w:p>
        </w:tc>
      </w:tr>
      <w:tr w:rsidR="00087E07" w:rsidRPr="00B30017" w14:paraId="5DF61E80" w14:textId="77777777" w:rsidTr="00B30017">
        <w:trPr>
          <w:trHeight w:val="210"/>
        </w:trPr>
        <w:tc>
          <w:tcPr>
            <w:tcW w:w="0" w:type="auto"/>
            <w:tcBorders>
              <w:top w:val="nil"/>
              <w:left w:val="nil"/>
              <w:bottom w:val="single" w:sz="4" w:space="0" w:color="auto"/>
              <w:right w:val="nil"/>
            </w:tcBorders>
            <w:shd w:val="clear" w:color="auto" w:fill="auto"/>
            <w:vAlign w:val="center"/>
            <w:hideMark/>
          </w:tcPr>
          <w:p w14:paraId="1601CBBE"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Lesbian</w:t>
            </w:r>
          </w:p>
        </w:tc>
        <w:tc>
          <w:tcPr>
            <w:tcW w:w="0" w:type="auto"/>
            <w:tcBorders>
              <w:top w:val="nil"/>
              <w:left w:val="nil"/>
              <w:bottom w:val="single" w:sz="8" w:space="0" w:color="auto"/>
              <w:right w:val="nil"/>
            </w:tcBorders>
            <w:shd w:val="clear" w:color="auto" w:fill="auto"/>
            <w:noWrap/>
            <w:vAlign w:val="center"/>
            <w:hideMark/>
          </w:tcPr>
          <w:p w14:paraId="5DF2008D"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76.3%</w:t>
            </w:r>
          </w:p>
        </w:tc>
        <w:tc>
          <w:tcPr>
            <w:tcW w:w="0" w:type="auto"/>
            <w:tcBorders>
              <w:top w:val="nil"/>
              <w:left w:val="nil"/>
              <w:bottom w:val="single" w:sz="8" w:space="0" w:color="auto"/>
              <w:right w:val="nil"/>
            </w:tcBorders>
            <w:shd w:val="clear" w:color="auto" w:fill="auto"/>
            <w:noWrap/>
            <w:vAlign w:val="center"/>
            <w:hideMark/>
          </w:tcPr>
          <w:p w14:paraId="280C1AD5"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97.5%</w:t>
            </w:r>
          </w:p>
        </w:tc>
        <w:tc>
          <w:tcPr>
            <w:tcW w:w="0" w:type="auto"/>
            <w:tcBorders>
              <w:top w:val="nil"/>
              <w:left w:val="nil"/>
              <w:bottom w:val="single" w:sz="8" w:space="0" w:color="auto"/>
              <w:right w:val="nil"/>
            </w:tcBorders>
            <w:shd w:val="clear" w:color="auto" w:fill="auto"/>
            <w:noWrap/>
            <w:vAlign w:val="center"/>
            <w:hideMark/>
          </w:tcPr>
          <w:p w14:paraId="736E2FA6"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81.1%</w:t>
            </w:r>
          </w:p>
        </w:tc>
        <w:tc>
          <w:tcPr>
            <w:tcW w:w="0" w:type="auto"/>
            <w:tcBorders>
              <w:top w:val="nil"/>
              <w:left w:val="nil"/>
              <w:bottom w:val="single" w:sz="8" w:space="0" w:color="auto"/>
              <w:right w:val="nil"/>
            </w:tcBorders>
            <w:shd w:val="clear" w:color="auto" w:fill="auto"/>
            <w:noWrap/>
            <w:vAlign w:val="center"/>
            <w:hideMark/>
          </w:tcPr>
          <w:p w14:paraId="6526DE13"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61.8%</w:t>
            </w:r>
          </w:p>
        </w:tc>
        <w:tc>
          <w:tcPr>
            <w:tcW w:w="0" w:type="auto"/>
            <w:tcBorders>
              <w:top w:val="nil"/>
              <w:left w:val="nil"/>
              <w:bottom w:val="single" w:sz="4" w:space="0" w:color="auto"/>
              <w:right w:val="nil"/>
            </w:tcBorders>
            <w:shd w:val="clear" w:color="auto" w:fill="auto"/>
            <w:hideMark/>
          </w:tcPr>
          <w:p w14:paraId="1F2278F6"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12.56 (11.11-14.20)</w:t>
            </w:r>
          </w:p>
        </w:tc>
        <w:tc>
          <w:tcPr>
            <w:tcW w:w="0" w:type="auto"/>
            <w:tcBorders>
              <w:top w:val="nil"/>
              <w:left w:val="nil"/>
              <w:bottom w:val="single" w:sz="4" w:space="0" w:color="auto"/>
              <w:right w:val="nil"/>
            </w:tcBorders>
            <w:shd w:val="clear" w:color="auto" w:fill="auto"/>
            <w:hideMark/>
          </w:tcPr>
          <w:p w14:paraId="08874B17" w14:textId="77777777" w:rsidR="00087E07" w:rsidRPr="00B30017"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1.12 (0.48-3.08)</w:t>
            </w:r>
          </w:p>
        </w:tc>
        <w:tc>
          <w:tcPr>
            <w:tcW w:w="0" w:type="auto"/>
            <w:tcBorders>
              <w:top w:val="nil"/>
              <w:left w:val="nil"/>
              <w:bottom w:val="single" w:sz="4" w:space="0" w:color="auto"/>
              <w:right w:val="nil"/>
            </w:tcBorders>
            <w:shd w:val="clear" w:color="auto" w:fill="auto"/>
            <w:hideMark/>
          </w:tcPr>
          <w:p w14:paraId="49585D0A"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0.44 (0.23-0.82)</w:t>
            </w:r>
          </w:p>
        </w:tc>
      </w:tr>
      <w:tr w:rsidR="00087E07" w:rsidRPr="00B30017" w14:paraId="143C06AD" w14:textId="77777777" w:rsidTr="00B30017">
        <w:trPr>
          <w:trHeight w:val="186"/>
        </w:trPr>
        <w:tc>
          <w:tcPr>
            <w:tcW w:w="0" w:type="auto"/>
            <w:gridSpan w:val="8"/>
            <w:tcBorders>
              <w:top w:val="single" w:sz="8" w:space="0" w:color="auto"/>
              <w:left w:val="nil"/>
              <w:bottom w:val="single" w:sz="4" w:space="0" w:color="auto"/>
              <w:right w:val="nil"/>
            </w:tcBorders>
            <w:shd w:val="clear" w:color="000000" w:fill="D9D9D9"/>
            <w:vAlign w:val="center"/>
            <w:hideMark/>
          </w:tcPr>
          <w:p w14:paraId="45FCF47C" w14:textId="2993BD0C" w:rsidR="00087E07" w:rsidRPr="00B30017" w:rsidRDefault="00087E07" w:rsidP="00B30017">
            <w:pPr>
              <w:jc w:val="center"/>
              <w:rPr>
                <w:rFonts w:ascii="Times New Roman" w:eastAsia="Times New Roman" w:hAnsi="Times New Roman"/>
                <w:b/>
                <w:bCs/>
                <w:noProof w:val="0"/>
                <w:color w:val="000000"/>
                <w:sz w:val="22"/>
                <w:szCs w:val="22"/>
              </w:rPr>
            </w:pPr>
            <w:r>
              <w:rPr>
                <w:rFonts w:ascii="Times New Roman" w:eastAsia="Times New Roman" w:hAnsi="Times New Roman"/>
                <w:b/>
                <w:bCs/>
                <w:noProof w:val="0"/>
                <w:color w:val="000000"/>
                <w:sz w:val="22"/>
                <w:szCs w:val="22"/>
              </w:rPr>
              <w:t>Early Onset Smoking</w:t>
            </w:r>
          </w:p>
        </w:tc>
      </w:tr>
      <w:tr w:rsidR="00087E07" w:rsidRPr="00B30017" w14:paraId="6AB82405" w14:textId="77777777" w:rsidTr="00B30017">
        <w:trPr>
          <w:trHeight w:val="186"/>
        </w:trPr>
        <w:tc>
          <w:tcPr>
            <w:tcW w:w="0" w:type="auto"/>
            <w:tcBorders>
              <w:top w:val="nil"/>
              <w:left w:val="nil"/>
              <w:bottom w:val="nil"/>
              <w:right w:val="nil"/>
            </w:tcBorders>
            <w:shd w:val="clear" w:color="auto" w:fill="auto"/>
            <w:vAlign w:val="center"/>
            <w:hideMark/>
          </w:tcPr>
          <w:p w14:paraId="5DD8D537" w14:textId="77777777" w:rsidR="00087E07" w:rsidRPr="00B30017" w:rsidRDefault="00087E07" w:rsidP="00B30017">
            <w:pPr>
              <w:jc w:val="both"/>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Male</w:t>
            </w:r>
          </w:p>
        </w:tc>
        <w:tc>
          <w:tcPr>
            <w:tcW w:w="0" w:type="auto"/>
            <w:tcBorders>
              <w:top w:val="nil"/>
              <w:left w:val="nil"/>
              <w:bottom w:val="nil"/>
              <w:right w:val="nil"/>
            </w:tcBorders>
            <w:shd w:val="clear" w:color="auto" w:fill="auto"/>
            <w:vAlign w:val="center"/>
            <w:hideMark/>
          </w:tcPr>
          <w:p w14:paraId="62788BED" w14:textId="77777777" w:rsidR="00087E07" w:rsidRPr="00B30017" w:rsidRDefault="00087E07" w:rsidP="00B30017">
            <w:pPr>
              <w:jc w:val="both"/>
              <w:rPr>
                <w:rFonts w:ascii="Times New Roman" w:eastAsia="Times New Roman" w:hAnsi="Times New Roman"/>
                <w:b/>
                <w:bCs/>
                <w:noProof w:val="0"/>
                <w:color w:val="000000"/>
                <w:sz w:val="22"/>
                <w:szCs w:val="22"/>
              </w:rPr>
            </w:pPr>
          </w:p>
        </w:tc>
        <w:tc>
          <w:tcPr>
            <w:tcW w:w="0" w:type="auto"/>
            <w:tcBorders>
              <w:top w:val="nil"/>
              <w:left w:val="nil"/>
              <w:bottom w:val="nil"/>
              <w:right w:val="nil"/>
            </w:tcBorders>
            <w:shd w:val="clear" w:color="auto" w:fill="auto"/>
            <w:vAlign w:val="center"/>
            <w:hideMark/>
          </w:tcPr>
          <w:p w14:paraId="459CE0FC"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2E6FEDE1"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17058B69"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4AC1F73D" w14:textId="7875861D" w:rsidR="00087E07" w:rsidRPr="00B30017" w:rsidRDefault="00087E07" w:rsidP="00B30017">
            <w:pPr>
              <w:jc w:val="center"/>
              <w:rPr>
                <w:rFonts w:ascii="Times New Roman" w:eastAsia="Times New Roman" w:hAnsi="Times New Roman"/>
                <w:noProof w:val="0"/>
                <w:sz w:val="22"/>
                <w:szCs w:val="22"/>
              </w:rPr>
            </w:pPr>
            <w:proofErr w:type="spellStart"/>
            <w:r>
              <w:rPr>
                <w:rFonts w:ascii="Times New Roman" w:eastAsia="Times New Roman" w:hAnsi="Times New Roman"/>
                <w:noProof w:val="0"/>
                <w:color w:val="000000"/>
                <w:sz w:val="22"/>
                <w:szCs w:val="22"/>
              </w:rPr>
              <w:t>a</w:t>
            </w:r>
            <w:r w:rsidRPr="00B30017">
              <w:rPr>
                <w:rFonts w:ascii="Times New Roman" w:eastAsia="Times New Roman" w:hAnsi="Times New Roman"/>
                <w:noProof w:val="0"/>
                <w:color w:val="000000"/>
                <w:sz w:val="22"/>
                <w:szCs w:val="22"/>
              </w:rPr>
              <w:t>OR</w:t>
            </w:r>
            <w:proofErr w:type="spellEnd"/>
            <w:r w:rsidRPr="00B30017">
              <w:rPr>
                <w:rFonts w:ascii="Times New Roman" w:eastAsia="Times New Roman" w:hAnsi="Times New Roman"/>
                <w:noProof w:val="0"/>
                <w:color w:val="000000"/>
                <w:sz w:val="22"/>
                <w:szCs w:val="22"/>
              </w:rPr>
              <w:t xml:space="preserve"> (95% CI)</w:t>
            </w:r>
          </w:p>
        </w:tc>
        <w:tc>
          <w:tcPr>
            <w:tcW w:w="0" w:type="auto"/>
            <w:tcBorders>
              <w:top w:val="nil"/>
              <w:left w:val="nil"/>
              <w:bottom w:val="nil"/>
              <w:right w:val="nil"/>
            </w:tcBorders>
            <w:shd w:val="clear" w:color="auto" w:fill="auto"/>
            <w:vAlign w:val="center"/>
            <w:hideMark/>
          </w:tcPr>
          <w:p w14:paraId="0E36AC90" w14:textId="10C3B0EB" w:rsidR="00087E07" w:rsidRPr="00B30017" w:rsidRDefault="00087E07" w:rsidP="00B30017">
            <w:pPr>
              <w:jc w:val="center"/>
              <w:rPr>
                <w:rFonts w:ascii="Times New Roman" w:eastAsia="Times New Roman" w:hAnsi="Times New Roman"/>
                <w:noProof w:val="0"/>
                <w:sz w:val="22"/>
                <w:szCs w:val="22"/>
              </w:rPr>
            </w:pPr>
            <w:proofErr w:type="spellStart"/>
            <w:r>
              <w:rPr>
                <w:rFonts w:ascii="Times New Roman" w:eastAsia="Times New Roman" w:hAnsi="Times New Roman"/>
                <w:noProof w:val="0"/>
                <w:color w:val="000000"/>
                <w:sz w:val="22"/>
                <w:szCs w:val="22"/>
              </w:rPr>
              <w:t>a</w:t>
            </w:r>
            <w:r w:rsidRPr="00B30017">
              <w:rPr>
                <w:rFonts w:ascii="Times New Roman" w:eastAsia="Times New Roman" w:hAnsi="Times New Roman"/>
                <w:noProof w:val="0"/>
                <w:color w:val="000000"/>
                <w:sz w:val="22"/>
                <w:szCs w:val="22"/>
              </w:rPr>
              <w:t>OR</w:t>
            </w:r>
            <w:proofErr w:type="spellEnd"/>
            <w:r w:rsidRPr="00B30017">
              <w:rPr>
                <w:rFonts w:ascii="Times New Roman" w:eastAsia="Times New Roman" w:hAnsi="Times New Roman"/>
                <w:noProof w:val="0"/>
                <w:color w:val="000000"/>
                <w:sz w:val="22"/>
                <w:szCs w:val="22"/>
              </w:rPr>
              <w:t xml:space="preserve"> (95% CI)</w:t>
            </w:r>
          </w:p>
        </w:tc>
        <w:tc>
          <w:tcPr>
            <w:tcW w:w="0" w:type="auto"/>
            <w:tcBorders>
              <w:top w:val="nil"/>
              <w:left w:val="nil"/>
              <w:bottom w:val="nil"/>
              <w:right w:val="nil"/>
            </w:tcBorders>
            <w:shd w:val="clear" w:color="auto" w:fill="auto"/>
            <w:vAlign w:val="center"/>
            <w:hideMark/>
          </w:tcPr>
          <w:p w14:paraId="6286DC23" w14:textId="09769910" w:rsidR="00087E07" w:rsidRPr="00B30017" w:rsidRDefault="00087E07" w:rsidP="00B30017">
            <w:pPr>
              <w:jc w:val="center"/>
              <w:rPr>
                <w:rFonts w:ascii="Times New Roman" w:eastAsia="Times New Roman" w:hAnsi="Times New Roman"/>
                <w:noProof w:val="0"/>
                <w:sz w:val="22"/>
                <w:szCs w:val="22"/>
              </w:rPr>
            </w:pPr>
            <w:proofErr w:type="spellStart"/>
            <w:r>
              <w:rPr>
                <w:rFonts w:ascii="Times New Roman" w:eastAsia="Times New Roman" w:hAnsi="Times New Roman"/>
                <w:noProof w:val="0"/>
                <w:color w:val="000000"/>
                <w:sz w:val="22"/>
                <w:szCs w:val="22"/>
              </w:rPr>
              <w:t>a</w:t>
            </w:r>
            <w:r w:rsidRPr="00B30017">
              <w:rPr>
                <w:rFonts w:ascii="Times New Roman" w:eastAsia="Times New Roman" w:hAnsi="Times New Roman"/>
                <w:noProof w:val="0"/>
                <w:color w:val="000000"/>
                <w:sz w:val="22"/>
                <w:szCs w:val="22"/>
              </w:rPr>
              <w:t>OR</w:t>
            </w:r>
            <w:proofErr w:type="spellEnd"/>
            <w:r w:rsidRPr="00B30017">
              <w:rPr>
                <w:rFonts w:ascii="Times New Roman" w:eastAsia="Times New Roman" w:hAnsi="Times New Roman"/>
                <w:noProof w:val="0"/>
                <w:color w:val="000000"/>
                <w:sz w:val="22"/>
                <w:szCs w:val="22"/>
              </w:rPr>
              <w:t xml:space="preserve"> (95% CI)</w:t>
            </w:r>
          </w:p>
        </w:tc>
      </w:tr>
      <w:tr w:rsidR="00087E07" w:rsidRPr="00B30017" w14:paraId="147E44B6" w14:textId="77777777" w:rsidTr="00B30017">
        <w:trPr>
          <w:trHeight w:val="186"/>
        </w:trPr>
        <w:tc>
          <w:tcPr>
            <w:tcW w:w="0" w:type="auto"/>
            <w:tcBorders>
              <w:top w:val="nil"/>
              <w:left w:val="nil"/>
              <w:bottom w:val="nil"/>
              <w:right w:val="nil"/>
            </w:tcBorders>
            <w:shd w:val="clear" w:color="auto" w:fill="auto"/>
            <w:vAlign w:val="center"/>
            <w:hideMark/>
          </w:tcPr>
          <w:p w14:paraId="354AD6F1"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Heterosexual</w:t>
            </w:r>
          </w:p>
        </w:tc>
        <w:tc>
          <w:tcPr>
            <w:tcW w:w="0" w:type="auto"/>
            <w:tcBorders>
              <w:top w:val="nil"/>
              <w:left w:val="nil"/>
              <w:bottom w:val="nil"/>
              <w:right w:val="nil"/>
            </w:tcBorders>
            <w:shd w:val="clear" w:color="auto" w:fill="auto"/>
            <w:noWrap/>
            <w:vAlign w:val="center"/>
            <w:hideMark/>
          </w:tcPr>
          <w:p w14:paraId="1324B073"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22.3%</w:t>
            </w:r>
          </w:p>
        </w:tc>
        <w:tc>
          <w:tcPr>
            <w:tcW w:w="0" w:type="auto"/>
            <w:tcBorders>
              <w:top w:val="nil"/>
              <w:left w:val="nil"/>
              <w:bottom w:val="nil"/>
              <w:right w:val="nil"/>
            </w:tcBorders>
            <w:shd w:val="clear" w:color="auto" w:fill="auto"/>
            <w:noWrap/>
            <w:vAlign w:val="center"/>
            <w:hideMark/>
          </w:tcPr>
          <w:p w14:paraId="0191D78A"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14.3%</w:t>
            </w:r>
          </w:p>
        </w:tc>
        <w:tc>
          <w:tcPr>
            <w:tcW w:w="0" w:type="auto"/>
            <w:tcBorders>
              <w:top w:val="nil"/>
              <w:left w:val="nil"/>
              <w:bottom w:val="nil"/>
              <w:right w:val="nil"/>
            </w:tcBorders>
            <w:shd w:val="clear" w:color="auto" w:fill="auto"/>
            <w:noWrap/>
            <w:vAlign w:val="center"/>
            <w:hideMark/>
          </w:tcPr>
          <w:p w14:paraId="53067F9B"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11.5%</w:t>
            </w:r>
          </w:p>
        </w:tc>
        <w:tc>
          <w:tcPr>
            <w:tcW w:w="0" w:type="auto"/>
            <w:tcBorders>
              <w:top w:val="nil"/>
              <w:left w:val="nil"/>
              <w:bottom w:val="nil"/>
              <w:right w:val="nil"/>
            </w:tcBorders>
            <w:shd w:val="clear" w:color="auto" w:fill="auto"/>
            <w:noWrap/>
            <w:vAlign w:val="center"/>
            <w:hideMark/>
          </w:tcPr>
          <w:p w14:paraId="3B5A392C"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6.0%</w:t>
            </w:r>
          </w:p>
        </w:tc>
        <w:tc>
          <w:tcPr>
            <w:tcW w:w="0" w:type="auto"/>
            <w:tcBorders>
              <w:top w:val="nil"/>
              <w:left w:val="nil"/>
              <w:bottom w:val="nil"/>
              <w:right w:val="nil"/>
            </w:tcBorders>
            <w:shd w:val="clear" w:color="auto" w:fill="auto"/>
            <w:noWrap/>
            <w:vAlign w:val="center"/>
            <w:hideMark/>
          </w:tcPr>
          <w:p w14:paraId="0F502674" w14:textId="77777777" w:rsidR="00087E07" w:rsidRPr="00B30017" w:rsidRDefault="00087E07" w:rsidP="00B30017">
            <w:pPr>
              <w:jc w:val="center"/>
              <w:rPr>
                <w:rFonts w:ascii="Times New Roman" w:eastAsia="Times New Roman" w:hAnsi="Times New Roman"/>
                <w:b/>
                <w:bCs/>
                <w:noProof w:val="0"/>
                <w:sz w:val="22"/>
                <w:szCs w:val="22"/>
              </w:rPr>
            </w:pPr>
            <w:r w:rsidRPr="00B30017">
              <w:rPr>
                <w:rFonts w:ascii="Times New Roman" w:eastAsia="Times New Roman" w:hAnsi="Times New Roman"/>
                <w:b/>
                <w:bCs/>
                <w:noProof w:val="0"/>
                <w:sz w:val="22"/>
                <w:szCs w:val="22"/>
              </w:rPr>
              <w:t>0.67 (0.58-0.78)</w:t>
            </w:r>
          </w:p>
        </w:tc>
        <w:tc>
          <w:tcPr>
            <w:tcW w:w="0" w:type="auto"/>
            <w:tcBorders>
              <w:top w:val="nil"/>
              <w:left w:val="nil"/>
              <w:bottom w:val="nil"/>
              <w:right w:val="nil"/>
            </w:tcBorders>
            <w:shd w:val="clear" w:color="auto" w:fill="auto"/>
            <w:noWrap/>
            <w:vAlign w:val="center"/>
            <w:hideMark/>
          </w:tcPr>
          <w:p w14:paraId="10DFDEF9"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0.56 (0.47-0.66)</w:t>
            </w:r>
          </w:p>
        </w:tc>
        <w:tc>
          <w:tcPr>
            <w:tcW w:w="0" w:type="auto"/>
            <w:tcBorders>
              <w:top w:val="nil"/>
              <w:left w:val="nil"/>
              <w:bottom w:val="nil"/>
              <w:right w:val="nil"/>
            </w:tcBorders>
            <w:shd w:val="clear" w:color="auto" w:fill="auto"/>
            <w:noWrap/>
            <w:vAlign w:val="center"/>
            <w:hideMark/>
          </w:tcPr>
          <w:p w14:paraId="7779BE16"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0.41 (0.34-0.50)</w:t>
            </w:r>
          </w:p>
        </w:tc>
      </w:tr>
      <w:tr w:rsidR="00087E07" w:rsidRPr="00B30017" w14:paraId="2A778A39" w14:textId="77777777" w:rsidTr="00B30017">
        <w:trPr>
          <w:trHeight w:val="186"/>
        </w:trPr>
        <w:tc>
          <w:tcPr>
            <w:tcW w:w="0" w:type="auto"/>
            <w:tcBorders>
              <w:top w:val="nil"/>
              <w:left w:val="nil"/>
              <w:bottom w:val="nil"/>
              <w:right w:val="nil"/>
            </w:tcBorders>
            <w:shd w:val="clear" w:color="auto" w:fill="auto"/>
            <w:vAlign w:val="center"/>
            <w:hideMark/>
          </w:tcPr>
          <w:p w14:paraId="4B1EB130"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Bisexual</w:t>
            </w:r>
          </w:p>
        </w:tc>
        <w:tc>
          <w:tcPr>
            <w:tcW w:w="0" w:type="auto"/>
            <w:tcBorders>
              <w:top w:val="nil"/>
              <w:left w:val="nil"/>
              <w:bottom w:val="nil"/>
              <w:right w:val="nil"/>
            </w:tcBorders>
            <w:shd w:val="clear" w:color="auto" w:fill="auto"/>
            <w:noWrap/>
            <w:vAlign w:val="center"/>
            <w:hideMark/>
          </w:tcPr>
          <w:p w14:paraId="73806BAE"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50.2%</w:t>
            </w:r>
          </w:p>
        </w:tc>
        <w:tc>
          <w:tcPr>
            <w:tcW w:w="0" w:type="auto"/>
            <w:tcBorders>
              <w:top w:val="nil"/>
              <w:left w:val="nil"/>
              <w:bottom w:val="nil"/>
              <w:right w:val="nil"/>
            </w:tcBorders>
            <w:shd w:val="clear" w:color="auto" w:fill="auto"/>
            <w:noWrap/>
            <w:vAlign w:val="center"/>
            <w:hideMark/>
          </w:tcPr>
          <w:p w14:paraId="20AFEBF9"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22.4%</w:t>
            </w:r>
          </w:p>
        </w:tc>
        <w:tc>
          <w:tcPr>
            <w:tcW w:w="0" w:type="auto"/>
            <w:tcBorders>
              <w:top w:val="nil"/>
              <w:left w:val="nil"/>
              <w:bottom w:val="nil"/>
              <w:right w:val="nil"/>
            </w:tcBorders>
            <w:shd w:val="clear" w:color="auto" w:fill="auto"/>
            <w:noWrap/>
            <w:vAlign w:val="center"/>
            <w:hideMark/>
          </w:tcPr>
          <w:p w14:paraId="17FC6961"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34.0%</w:t>
            </w:r>
          </w:p>
        </w:tc>
        <w:tc>
          <w:tcPr>
            <w:tcW w:w="0" w:type="auto"/>
            <w:tcBorders>
              <w:top w:val="nil"/>
              <w:left w:val="nil"/>
              <w:bottom w:val="nil"/>
              <w:right w:val="nil"/>
            </w:tcBorders>
            <w:shd w:val="clear" w:color="auto" w:fill="auto"/>
            <w:noWrap/>
            <w:vAlign w:val="center"/>
            <w:hideMark/>
          </w:tcPr>
          <w:p w14:paraId="49637160"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12.1%</w:t>
            </w:r>
          </w:p>
        </w:tc>
        <w:tc>
          <w:tcPr>
            <w:tcW w:w="0" w:type="auto"/>
            <w:tcBorders>
              <w:top w:val="nil"/>
              <w:left w:val="nil"/>
              <w:bottom w:val="nil"/>
              <w:right w:val="nil"/>
            </w:tcBorders>
            <w:shd w:val="clear" w:color="auto" w:fill="auto"/>
            <w:vAlign w:val="center"/>
            <w:hideMark/>
          </w:tcPr>
          <w:p w14:paraId="07014021"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0.58 (0.38-0.90)</w:t>
            </w:r>
          </w:p>
        </w:tc>
        <w:tc>
          <w:tcPr>
            <w:tcW w:w="0" w:type="auto"/>
            <w:tcBorders>
              <w:top w:val="nil"/>
              <w:left w:val="nil"/>
              <w:bottom w:val="nil"/>
              <w:right w:val="nil"/>
            </w:tcBorders>
            <w:shd w:val="clear" w:color="auto" w:fill="auto"/>
            <w:vAlign w:val="center"/>
            <w:hideMark/>
          </w:tcPr>
          <w:p w14:paraId="5605D3B4" w14:textId="77777777" w:rsidR="00087E07" w:rsidRPr="00B30017"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0.61 (0.35-1.08)</w:t>
            </w:r>
          </w:p>
        </w:tc>
        <w:tc>
          <w:tcPr>
            <w:tcW w:w="0" w:type="auto"/>
            <w:tcBorders>
              <w:top w:val="nil"/>
              <w:left w:val="nil"/>
              <w:bottom w:val="nil"/>
              <w:right w:val="nil"/>
            </w:tcBorders>
            <w:shd w:val="clear" w:color="auto" w:fill="auto"/>
            <w:vAlign w:val="center"/>
            <w:hideMark/>
          </w:tcPr>
          <w:p w14:paraId="3897968E"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0.26 (0.14-0.46)</w:t>
            </w:r>
          </w:p>
        </w:tc>
      </w:tr>
      <w:tr w:rsidR="00087E07" w:rsidRPr="00B30017" w14:paraId="00F02AA4" w14:textId="77777777" w:rsidTr="00B30017">
        <w:trPr>
          <w:trHeight w:val="186"/>
        </w:trPr>
        <w:tc>
          <w:tcPr>
            <w:tcW w:w="0" w:type="auto"/>
            <w:tcBorders>
              <w:top w:val="nil"/>
              <w:left w:val="nil"/>
              <w:bottom w:val="nil"/>
              <w:right w:val="nil"/>
            </w:tcBorders>
            <w:shd w:val="clear" w:color="auto" w:fill="auto"/>
            <w:vAlign w:val="center"/>
            <w:hideMark/>
          </w:tcPr>
          <w:p w14:paraId="46FE6EDE"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Gay</w:t>
            </w:r>
          </w:p>
        </w:tc>
        <w:tc>
          <w:tcPr>
            <w:tcW w:w="0" w:type="auto"/>
            <w:tcBorders>
              <w:top w:val="nil"/>
              <w:left w:val="nil"/>
              <w:bottom w:val="nil"/>
              <w:right w:val="nil"/>
            </w:tcBorders>
            <w:shd w:val="clear" w:color="auto" w:fill="auto"/>
            <w:noWrap/>
            <w:vAlign w:val="center"/>
            <w:hideMark/>
          </w:tcPr>
          <w:p w14:paraId="29F02366"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55.8%</w:t>
            </w:r>
          </w:p>
        </w:tc>
        <w:tc>
          <w:tcPr>
            <w:tcW w:w="0" w:type="auto"/>
            <w:tcBorders>
              <w:top w:val="nil"/>
              <w:left w:val="nil"/>
              <w:bottom w:val="nil"/>
              <w:right w:val="nil"/>
            </w:tcBorders>
            <w:shd w:val="clear" w:color="auto" w:fill="auto"/>
            <w:noWrap/>
            <w:vAlign w:val="center"/>
            <w:hideMark/>
          </w:tcPr>
          <w:p w14:paraId="7C8AD758"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35.0%</w:t>
            </w:r>
          </w:p>
        </w:tc>
        <w:tc>
          <w:tcPr>
            <w:tcW w:w="0" w:type="auto"/>
            <w:tcBorders>
              <w:top w:val="nil"/>
              <w:left w:val="nil"/>
              <w:bottom w:val="nil"/>
              <w:right w:val="nil"/>
            </w:tcBorders>
            <w:shd w:val="clear" w:color="auto" w:fill="auto"/>
            <w:noWrap/>
            <w:vAlign w:val="center"/>
            <w:hideMark/>
          </w:tcPr>
          <w:p w14:paraId="75743C42"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34.9%</w:t>
            </w:r>
          </w:p>
        </w:tc>
        <w:tc>
          <w:tcPr>
            <w:tcW w:w="0" w:type="auto"/>
            <w:tcBorders>
              <w:top w:val="nil"/>
              <w:left w:val="nil"/>
              <w:bottom w:val="nil"/>
              <w:right w:val="nil"/>
            </w:tcBorders>
            <w:shd w:val="clear" w:color="auto" w:fill="auto"/>
            <w:noWrap/>
            <w:vAlign w:val="center"/>
            <w:hideMark/>
          </w:tcPr>
          <w:p w14:paraId="0738A265"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14.0%</w:t>
            </w:r>
          </w:p>
        </w:tc>
        <w:tc>
          <w:tcPr>
            <w:tcW w:w="0" w:type="auto"/>
            <w:tcBorders>
              <w:top w:val="nil"/>
              <w:left w:val="nil"/>
              <w:bottom w:val="nil"/>
              <w:right w:val="nil"/>
            </w:tcBorders>
            <w:shd w:val="clear" w:color="auto" w:fill="auto"/>
            <w:vAlign w:val="center"/>
            <w:hideMark/>
          </w:tcPr>
          <w:p w14:paraId="22BABE41"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0.38 (0.19-0.75)</w:t>
            </w:r>
          </w:p>
        </w:tc>
        <w:tc>
          <w:tcPr>
            <w:tcW w:w="0" w:type="auto"/>
            <w:tcBorders>
              <w:top w:val="nil"/>
              <w:left w:val="nil"/>
              <w:bottom w:val="nil"/>
              <w:right w:val="nil"/>
            </w:tcBorders>
            <w:shd w:val="clear" w:color="auto" w:fill="auto"/>
            <w:vAlign w:val="center"/>
            <w:hideMark/>
          </w:tcPr>
          <w:p w14:paraId="71219AFA"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0.36 (0.18-0.71)</w:t>
            </w:r>
          </w:p>
        </w:tc>
        <w:tc>
          <w:tcPr>
            <w:tcW w:w="0" w:type="auto"/>
            <w:tcBorders>
              <w:top w:val="nil"/>
              <w:left w:val="nil"/>
              <w:bottom w:val="nil"/>
              <w:right w:val="nil"/>
            </w:tcBorders>
            <w:shd w:val="clear" w:color="auto" w:fill="auto"/>
            <w:vAlign w:val="center"/>
            <w:hideMark/>
          </w:tcPr>
          <w:p w14:paraId="31436115"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0.19 (0.10-0.36)</w:t>
            </w:r>
          </w:p>
        </w:tc>
      </w:tr>
      <w:tr w:rsidR="00087E07" w:rsidRPr="00B30017" w14:paraId="482D68A8" w14:textId="77777777" w:rsidTr="00B30017">
        <w:trPr>
          <w:trHeight w:val="186"/>
        </w:trPr>
        <w:tc>
          <w:tcPr>
            <w:tcW w:w="0" w:type="auto"/>
            <w:tcBorders>
              <w:top w:val="nil"/>
              <w:left w:val="nil"/>
              <w:bottom w:val="nil"/>
              <w:right w:val="nil"/>
            </w:tcBorders>
            <w:shd w:val="clear" w:color="auto" w:fill="auto"/>
            <w:vAlign w:val="center"/>
            <w:hideMark/>
          </w:tcPr>
          <w:p w14:paraId="18A0780C" w14:textId="77777777" w:rsidR="00087E07" w:rsidRPr="00B30017" w:rsidRDefault="00087E07" w:rsidP="00B30017">
            <w:pPr>
              <w:jc w:val="both"/>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Female</w:t>
            </w:r>
          </w:p>
        </w:tc>
        <w:tc>
          <w:tcPr>
            <w:tcW w:w="0" w:type="auto"/>
            <w:tcBorders>
              <w:top w:val="nil"/>
              <w:left w:val="nil"/>
              <w:bottom w:val="nil"/>
              <w:right w:val="nil"/>
            </w:tcBorders>
            <w:shd w:val="clear" w:color="auto" w:fill="auto"/>
            <w:vAlign w:val="center"/>
            <w:hideMark/>
          </w:tcPr>
          <w:p w14:paraId="5F2A2D1D" w14:textId="77777777" w:rsidR="00087E07" w:rsidRPr="00B30017" w:rsidRDefault="00087E07" w:rsidP="00B30017">
            <w:pPr>
              <w:jc w:val="both"/>
              <w:rPr>
                <w:rFonts w:ascii="Times New Roman" w:eastAsia="Times New Roman" w:hAnsi="Times New Roman"/>
                <w:b/>
                <w:bCs/>
                <w:noProof w:val="0"/>
                <w:color w:val="000000"/>
                <w:sz w:val="22"/>
                <w:szCs w:val="22"/>
              </w:rPr>
            </w:pPr>
          </w:p>
        </w:tc>
        <w:tc>
          <w:tcPr>
            <w:tcW w:w="0" w:type="auto"/>
            <w:tcBorders>
              <w:top w:val="nil"/>
              <w:left w:val="nil"/>
              <w:bottom w:val="nil"/>
              <w:right w:val="nil"/>
            </w:tcBorders>
            <w:shd w:val="clear" w:color="auto" w:fill="auto"/>
            <w:vAlign w:val="center"/>
            <w:hideMark/>
          </w:tcPr>
          <w:p w14:paraId="7011A52F"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6FFAF6F4"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09E0EAA7"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1496AD76"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73894275"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73C7845A" w14:textId="77777777" w:rsidR="00087E07" w:rsidRPr="00B30017" w:rsidRDefault="00087E07" w:rsidP="00B30017">
            <w:pPr>
              <w:jc w:val="center"/>
              <w:rPr>
                <w:rFonts w:ascii="Times New Roman" w:eastAsia="Times New Roman" w:hAnsi="Times New Roman"/>
                <w:noProof w:val="0"/>
                <w:sz w:val="22"/>
                <w:szCs w:val="22"/>
              </w:rPr>
            </w:pPr>
          </w:p>
        </w:tc>
      </w:tr>
      <w:tr w:rsidR="00087E07" w:rsidRPr="00B30017" w14:paraId="53A6EE5A" w14:textId="77777777" w:rsidTr="004578F9">
        <w:trPr>
          <w:trHeight w:val="297"/>
        </w:trPr>
        <w:tc>
          <w:tcPr>
            <w:tcW w:w="0" w:type="auto"/>
            <w:tcBorders>
              <w:top w:val="nil"/>
              <w:left w:val="nil"/>
              <w:bottom w:val="nil"/>
              <w:right w:val="nil"/>
            </w:tcBorders>
            <w:shd w:val="clear" w:color="auto" w:fill="auto"/>
            <w:vAlign w:val="center"/>
            <w:hideMark/>
          </w:tcPr>
          <w:p w14:paraId="1114C788"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Heterosexual</w:t>
            </w:r>
          </w:p>
        </w:tc>
        <w:tc>
          <w:tcPr>
            <w:tcW w:w="0" w:type="auto"/>
            <w:tcBorders>
              <w:top w:val="nil"/>
              <w:left w:val="nil"/>
              <w:bottom w:val="nil"/>
              <w:right w:val="nil"/>
            </w:tcBorders>
            <w:shd w:val="clear" w:color="auto" w:fill="auto"/>
            <w:noWrap/>
            <w:vAlign w:val="center"/>
            <w:hideMark/>
          </w:tcPr>
          <w:p w14:paraId="65375F5B"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18.9%</w:t>
            </w:r>
          </w:p>
        </w:tc>
        <w:tc>
          <w:tcPr>
            <w:tcW w:w="0" w:type="auto"/>
            <w:tcBorders>
              <w:top w:val="nil"/>
              <w:left w:val="nil"/>
              <w:bottom w:val="nil"/>
              <w:right w:val="nil"/>
            </w:tcBorders>
            <w:shd w:val="clear" w:color="auto" w:fill="auto"/>
            <w:noWrap/>
            <w:vAlign w:val="center"/>
            <w:hideMark/>
          </w:tcPr>
          <w:p w14:paraId="185213AE"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12.3%</w:t>
            </w:r>
          </w:p>
        </w:tc>
        <w:tc>
          <w:tcPr>
            <w:tcW w:w="0" w:type="auto"/>
            <w:tcBorders>
              <w:top w:val="nil"/>
              <w:left w:val="nil"/>
              <w:bottom w:val="nil"/>
              <w:right w:val="nil"/>
            </w:tcBorders>
            <w:shd w:val="clear" w:color="auto" w:fill="auto"/>
            <w:noWrap/>
            <w:vAlign w:val="center"/>
            <w:hideMark/>
          </w:tcPr>
          <w:p w14:paraId="1FC9CA16"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7.5%</w:t>
            </w:r>
          </w:p>
        </w:tc>
        <w:tc>
          <w:tcPr>
            <w:tcW w:w="0" w:type="auto"/>
            <w:tcBorders>
              <w:top w:val="nil"/>
              <w:left w:val="nil"/>
              <w:bottom w:val="nil"/>
              <w:right w:val="nil"/>
            </w:tcBorders>
            <w:shd w:val="clear" w:color="auto" w:fill="auto"/>
            <w:noWrap/>
            <w:vAlign w:val="center"/>
            <w:hideMark/>
          </w:tcPr>
          <w:p w14:paraId="1B5A7999"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3.9%</w:t>
            </w:r>
          </w:p>
        </w:tc>
        <w:tc>
          <w:tcPr>
            <w:tcW w:w="0" w:type="auto"/>
            <w:tcBorders>
              <w:top w:val="nil"/>
              <w:left w:val="nil"/>
              <w:bottom w:val="nil"/>
              <w:right w:val="nil"/>
            </w:tcBorders>
            <w:shd w:val="clear" w:color="auto" w:fill="auto"/>
            <w:noWrap/>
            <w:vAlign w:val="center"/>
            <w:hideMark/>
          </w:tcPr>
          <w:p w14:paraId="78F7A09F" w14:textId="77777777" w:rsidR="00087E07" w:rsidRPr="00B30017" w:rsidRDefault="00087E07" w:rsidP="00B30017">
            <w:pPr>
              <w:jc w:val="center"/>
              <w:rPr>
                <w:rFonts w:ascii="Times New Roman" w:eastAsia="Times New Roman" w:hAnsi="Times New Roman"/>
                <w:b/>
                <w:bCs/>
                <w:noProof w:val="0"/>
                <w:sz w:val="22"/>
                <w:szCs w:val="22"/>
              </w:rPr>
            </w:pPr>
            <w:r w:rsidRPr="00B30017">
              <w:rPr>
                <w:rFonts w:ascii="Times New Roman" w:eastAsia="Times New Roman" w:hAnsi="Times New Roman"/>
                <w:b/>
                <w:bCs/>
                <w:noProof w:val="0"/>
                <w:sz w:val="22"/>
                <w:szCs w:val="22"/>
              </w:rPr>
              <w:t>0.63 (0.53-0.76)</w:t>
            </w:r>
          </w:p>
        </w:tc>
        <w:tc>
          <w:tcPr>
            <w:tcW w:w="0" w:type="auto"/>
            <w:tcBorders>
              <w:top w:val="nil"/>
              <w:left w:val="nil"/>
              <w:bottom w:val="nil"/>
              <w:right w:val="nil"/>
            </w:tcBorders>
            <w:shd w:val="clear" w:color="auto" w:fill="auto"/>
            <w:noWrap/>
            <w:vAlign w:val="center"/>
            <w:hideMark/>
          </w:tcPr>
          <w:p w14:paraId="4ED9DCE3"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0.42 (0.35-0.51)</w:t>
            </w:r>
          </w:p>
        </w:tc>
        <w:tc>
          <w:tcPr>
            <w:tcW w:w="0" w:type="auto"/>
            <w:tcBorders>
              <w:top w:val="nil"/>
              <w:left w:val="nil"/>
              <w:bottom w:val="nil"/>
              <w:right w:val="nil"/>
            </w:tcBorders>
            <w:shd w:val="clear" w:color="auto" w:fill="auto"/>
            <w:noWrap/>
            <w:vAlign w:val="center"/>
            <w:hideMark/>
          </w:tcPr>
          <w:p w14:paraId="16FBC450"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0.25 (0.20-0.31)</w:t>
            </w:r>
          </w:p>
        </w:tc>
      </w:tr>
      <w:tr w:rsidR="00087E07" w:rsidRPr="00B30017" w14:paraId="6B357E7C" w14:textId="77777777" w:rsidTr="00B30017">
        <w:trPr>
          <w:trHeight w:val="186"/>
        </w:trPr>
        <w:tc>
          <w:tcPr>
            <w:tcW w:w="0" w:type="auto"/>
            <w:tcBorders>
              <w:top w:val="nil"/>
              <w:left w:val="nil"/>
              <w:bottom w:val="nil"/>
              <w:right w:val="nil"/>
            </w:tcBorders>
            <w:shd w:val="clear" w:color="auto" w:fill="auto"/>
            <w:vAlign w:val="center"/>
            <w:hideMark/>
          </w:tcPr>
          <w:p w14:paraId="4612E2DD"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Bisexual</w:t>
            </w:r>
          </w:p>
        </w:tc>
        <w:tc>
          <w:tcPr>
            <w:tcW w:w="0" w:type="auto"/>
            <w:tcBorders>
              <w:top w:val="nil"/>
              <w:left w:val="nil"/>
              <w:bottom w:val="nil"/>
              <w:right w:val="nil"/>
            </w:tcBorders>
            <w:shd w:val="clear" w:color="auto" w:fill="auto"/>
            <w:noWrap/>
            <w:vAlign w:val="center"/>
            <w:hideMark/>
          </w:tcPr>
          <w:p w14:paraId="5D960EE7"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44.0%</w:t>
            </w:r>
          </w:p>
        </w:tc>
        <w:tc>
          <w:tcPr>
            <w:tcW w:w="0" w:type="auto"/>
            <w:tcBorders>
              <w:top w:val="nil"/>
              <w:left w:val="nil"/>
              <w:bottom w:val="nil"/>
              <w:right w:val="nil"/>
            </w:tcBorders>
            <w:shd w:val="clear" w:color="auto" w:fill="auto"/>
            <w:noWrap/>
            <w:vAlign w:val="center"/>
            <w:hideMark/>
          </w:tcPr>
          <w:p w14:paraId="60C68CDB"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33.4%</w:t>
            </w:r>
          </w:p>
        </w:tc>
        <w:tc>
          <w:tcPr>
            <w:tcW w:w="0" w:type="auto"/>
            <w:tcBorders>
              <w:top w:val="nil"/>
              <w:left w:val="nil"/>
              <w:bottom w:val="nil"/>
              <w:right w:val="nil"/>
            </w:tcBorders>
            <w:shd w:val="clear" w:color="auto" w:fill="auto"/>
            <w:noWrap/>
            <w:vAlign w:val="center"/>
            <w:hideMark/>
          </w:tcPr>
          <w:p w14:paraId="3C169EB3"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24.6%</w:t>
            </w:r>
          </w:p>
        </w:tc>
        <w:tc>
          <w:tcPr>
            <w:tcW w:w="0" w:type="auto"/>
            <w:tcBorders>
              <w:top w:val="nil"/>
              <w:left w:val="nil"/>
              <w:bottom w:val="nil"/>
              <w:right w:val="nil"/>
            </w:tcBorders>
            <w:shd w:val="clear" w:color="auto" w:fill="auto"/>
            <w:noWrap/>
            <w:vAlign w:val="center"/>
            <w:hideMark/>
          </w:tcPr>
          <w:p w14:paraId="4AD31D81"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21.9%</w:t>
            </w:r>
          </w:p>
        </w:tc>
        <w:tc>
          <w:tcPr>
            <w:tcW w:w="0" w:type="auto"/>
            <w:tcBorders>
              <w:top w:val="nil"/>
              <w:left w:val="nil"/>
              <w:bottom w:val="nil"/>
              <w:right w:val="nil"/>
            </w:tcBorders>
            <w:shd w:val="clear" w:color="auto" w:fill="auto"/>
            <w:vAlign w:val="center"/>
            <w:hideMark/>
          </w:tcPr>
          <w:p w14:paraId="201FCDF5" w14:textId="77777777" w:rsidR="00087E07" w:rsidRPr="00B30017"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0.71 (0.47-1.06)</w:t>
            </w:r>
          </w:p>
        </w:tc>
        <w:tc>
          <w:tcPr>
            <w:tcW w:w="0" w:type="auto"/>
            <w:tcBorders>
              <w:top w:val="nil"/>
              <w:left w:val="nil"/>
              <w:bottom w:val="nil"/>
              <w:right w:val="nil"/>
            </w:tcBorders>
            <w:shd w:val="clear" w:color="auto" w:fill="auto"/>
            <w:vAlign w:val="center"/>
            <w:hideMark/>
          </w:tcPr>
          <w:p w14:paraId="7F2CFFA6"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0.46 (0.31-0.79)</w:t>
            </w:r>
          </w:p>
        </w:tc>
        <w:tc>
          <w:tcPr>
            <w:tcW w:w="0" w:type="auto"/>
            <w:tcBorders>
              <w:top w:val="nil"/>
              <w:left w:val="nil"/>
              <w:bottom w:val="nil"/>
              <w:right w:val="nil"/>
            </w:tcBorders>
            <w:shd w:val="clear" w:color="auto" w:fill="auto"/>
            <w:vAlign w:val="center"/>
            <w:hideMark/>
          </w:tcPr>
          <w:p w14:paraId="7C5886BA"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0.26 (0.18-0.39)</w:t>
            </w:r>
          </w:p>
        </w:tc>
      </w:tr>
      <w:tr w:rsidR="00087E07" w:rsidRPr="00B30017" w14:paraId="20CE8040" w14:textId="77777777" w:rsidTr="00B30017">
        <w:trPr>
          <w:trHeight w:val="198"/>
        </w:trPr>
        <w:tc>
          <w:tcPr>
            <w:tcW w:w="0" w:type="auto"/>
            <w:tcBorders>
              <w:top w:val="nil"/>
              <w:left w:val="nil"/>
              <w:bottom w:val="single" w:sz="4" w:space="0" w:color="auto"/>
              <w:right w:val="nil"/>
            </w:tcBorders>
            <w:shd w:val="clear" w:color="auto" w:fill="auto"/>
            <w:vAlign w:val="center"/>
            <w:hideMark/>
          </w:tcPr>
          <w:p w14:paraId="7E42510E"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Lesbian</w:t>
            </w:r>
          </w:p>
        </w:tc>
        <w:tc>
          <w:tcPr>
            <w:tcW w:w="0" w:type="auto"/>
            <w:tcBorders>
              <w:top w:val="nil"/>
              <w:left w:val="nil"/>
              <w:bottom w:val="single" w:sz="8" w:space="0" w:color="auto"/>
              <w:right w:val="nil"/>
            </w:tcBorders>
            <w:shd w:val="clear" w:color="auto" w:fill="auto"/>
            <w:noWrap/>
            <w:vAlign w:val="center"/>
            <w:hideMark/>
          </w:tcPr>
          <w:p w14:paraId="512C8996"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24.5%</w:t>
            </w:r>
          </w:p>
        </w:tc>
        <w:tc>
          <w:tcPr>
            <w:tcW w:w="0" w:type="auto"/>
            <w:tcBorders>
              <w:top w:val="nil"/>
              <w:left w:val="nil"/>
              <w:bottom w:val="single" w:sz="8" w:space="0" w:color="auto"/>
              <w:right w:val="nil"/>
            </w:tcBorders>
            <w:shd w:val="clear" w:color="auto" w:fill="auto"/>
            <w:noWrap/>
            <w:vAlign w:val="center"/>
            <w:hideMark/>
          </w:tcPr>
          <w:p w14:paraId="34A710F1"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51.5%</w:t>
            </w:r>
          </w:p>
        </w:tc>
        <w:tc>
          <w:tcPr>
            <w:tcW w:w="0" w:type="auto"/>
            <w:tcBorders>
              <w:top w:val="nil"/>
              <w:left w:val="nil"/>
              <w:bottom w:val="single" w:sz="8" w:space="0" w:color="auto"/>
              <w:right w:val="nil"/>
            </w:tcBorders>
            <w:shd w:val="clear" w:color="auto" w:fill="auto"/>
            <w:noWrap/>
            <w:vAlign w:val="center"/>
            <w:hideMark/>
          </w:tcPr>
          <w:p w14:paraId="0841B20A"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30.4%</w:t>
            </w:r>
          </w:p>
        </w:tc>
        <w:tc>
          <w:tcPr>
            <w:tcW w:w="0" w:type="auto"/>
            <w:tcBorders>
              <w:top w:val="nil"/>
              <w:left w:val="nil"/>
              <w:bottom w:val="single" w:sz="8" w:space="0" w:color="auto"/>
              <w:right w:val="nil"/>
            </w:tcBorders>
            <w:shd w:val="clear" w:color="auto" w:fill="auto"/>
            <w:noWrap/>
            <w:vAlign w:val="center"/>
            <w:hideMark/>
          </w:tcPr>
          <w:p w14:paraId="5B57DDDB"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19.0%</w:t>
            </w:r>
          </w:p>
        </w:tc>
        <w:tc>
          <w:tcPr>
            <w:tcW w:w="0" w:type="auto"/>
            <w:tcBorders>
              <w:top w:val="nil"/>
              <w:left w:val="nil"/>
              <w:bottom w:val="single" w:sz="4" w:space="0" w:color="auto"/>
              <w:right w:val="nil"/>
            </w:tcBorders>
            <w:shd w:val="clear" w:color="auto" w:fill="auto"/>
            <w:vAlign w:val="center"/>
            <w:hideMark/>
          </w:tcPr>
          <w:p w14:paraId="54E70B8D"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4.10 (2.20-7.66)</w:t>
            </w:r>
          </w:p>
        </w:tc>
        <w:tc>
          <w:tcPr>
            <w:tcW w:w="0" w:type="auto"/>
            <w:tcBorders>
              <w:top w:val="nil"/>
              <w:left w:val="nil"/>
              <w:bottom w:val="single" w:sz="4" w:space="0" w:color="auto"/>
              <w:right w:val="nil"/>
            </w:tcBorders>
            <w:shd w:val="clear" w:color="auto" w:fill="auto"/>
            <w:vAlign w:val="center"/>
            <w:hideMark/>
          </w:tcPr>
          <w:p w14:paraId="3EB2F6C4" w14:textId="77777777" w:rsidR="00087E07" w:rsidRPr="00B30017" w:rsidRDefault="00087E07" w:rsidP="00B30017">
            <w:pPr>
              <w:jc w:val="center"/>
              <w:rPr>
                <w:rFonts w:ascii="Times New Roman" w:eastAsia="Times New Roman" w:hAnsi="Times New Roman"/>
                <w:noProof w:val="0"/>
                <w:color w:val="000000"/>
                <w:sz w:val="22"/>
                <w:szCs w:val="22"/>
              </w:rPr>
            </w:pPr>
            <w:r w:rsidRPr="003D6A43">
              <w:rPr>
                <w:rFonts w:ascii="Times New Roman" w:eastAsia="Times New Roman" w:hAnsi="Times New Roman"/>
                <w:noProof w:val="0"/>
                <w:color w:val="000000" w:themeColor="text1"/>
                <w:sz w:val="22"/>
                <w:szCs w:val="22"/>
              </w:rPr>
              <w:t>0.93 (0.47-1.83)</w:t>
            </w:r>
          </w:p>
        </w:tc>
        <w:tc>
          <w:tcPr>
            <w:tcW w:w="0" w:type="auto"/>
            <w:tcBorders>
              <w:top w:val="nil"/>
              <w:left w:val="nil"/>
              <w:bottom w:val="single" w:sz="4" w:space="0" w:color="auto"/>
              <w:right w:val="nil"/>
            </w:tcBorders>
            <w:shd w:val="clear" w:color="auto" w:fill="auto"/>
            <w:vAlign w:val="center"/>
            <w:hideMark/>
          </w:tcPr>
          <w:p w14:paraId="72B18F2C" w14:textId="77777777" w:rsidR="00087E07" w:rsidRPr="00B30017"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0.68 (0.33-1.38)</w:t>
            </w:r>
          </w:p>
        </w:tc>
      </w:tr>
      <w:tr w:rsidR="00087E07" w:rsidRPr="00B30017" w14:paraId="796CC164" w14:textId="77777777" w:rsidTr="00B30017">
        <w:trPr>
          <w:trHeight w:val="186"/>
        </w:trPr>
        <w:tc>
          <w:tcPr>
            <w:tcW w:w="0" w:type="auto"/>
            <w:gridSpan w:val="8"/>
            <w:tcBorders>
              <w:top w:val="single" w:sz="8" w:space="0" w:color="auto"/>
              <w:left w:val="nil"/>
              <w:bottom w:val="single" w:sz="4" w:space="0" w:color="auto"/>
              <w:right w:val="nil"/>
            </w:tcBorders>
            <w:shd w:val="clear" w:color="000000" w:fill="D9D9D9"/>
            <w:vAlign w:val="center"/>
            <w:hideMark/>
          </w:tcPr>
          <w:p w14:paraId="2D1AD511"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Smoked Daily in Past 30 Days</w:t>
            </w:r>
          </w:p>
        </w:tc>
      </w:tr>
      <w:tr w:rsidR="00087E07" w:rsidRPr="00B30017" w14:paraId="12E05E24" w14:textId="77777777" w:rsidTr="00B30017">
        <w:trPr>
          <w:trHeight w:val="186"/>
        </w:trPr>
        <w:tc>
          <w:tcPr>
            <w:tcW w:w="0" w:type="auto"/>
            <w:tcBorders>
              <w:top w:val="nil"/>
              <w:left w:val="nil"/>
              <w:bottom w:val="nil"/>
              <w:right w:val="nil"/>
            </w:tcBorders>
            <w:shd w:val="clear" w:color="auto" w:fill="auto"/>
            <w:vAlign w:val="center"/>
            <w:hideMark/>
          </w:tcPr>
          <w:p w14:paraId="5C441FD3" w14:textId="77777777" w:rsidR="00087E07" w:rsidRPr="00B30017" w:rsidRDefault="00087E07" w:rsidP="00B30017">
            <w:pPr>
              <w:jc w:val="both"/>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Male</w:t>
            </w:r>
          </w:p>
        </w:tc>
        <w:tc>
          <w:tcPr>
            <w:tcW w:w="0" w:type="auto"/>
            <w:tcBorders>
              <w:top w:val="nil"/>
              <w:left w:val="nil"/>
              <w:bottom w:val="nil"/>
              <w:right w:val="nil"/>
            </w:tcBorders>
            <w:shd w:val="clear" w:color="auto" w:fill="auto"/>
            <w:vAlign w:val="center"/>
            <w:hideMark/>
          </w:tcPr>
          <w:p w14:paraId="3C85BD4A" w14:textId="77777777" w:rsidR="00087E07" w:rsidRPr="00B30017" w:rsidRDefault="00087E07" w:rsidP="00B30017">
            <w:pPr>
              <w:jc w:val="both"/>
              <w:rPr>
                <w:rFonts w:ascii="Times New Roman" w:eastAsia="Times New Roman" w:hAnsi="Times New Roman"/>
                <w:b/>
                <w:bCs/>
                <w:noProof w:val="0"/>
                <w:color w:val="000000"/>
                <w:sz w:val="22"/>
                <w:szCs w:val="22"/>
              </w:rPr>
            </w:pPr>
          </w:p>
        </w:tc>
        <w:tc>
          <w:tcPr>
            <w:tcW w:w="0" w:type="auto"/>
            <w:tcBorders>
              <w:top w:val="nil"/>
              <w:left w:val="nil"/>
              <w:bottom w:val="nil"/>
              <w:right w:val="nil"/>
            </w:tcBorders>
            <w:shd w:val="clear" w:color="auto" w:fill="auto"/>
            <w:vAlign w:val="center"/>
            <w:hideMark/>
          </w:tcPr>
          <w:p w14:paraId="71BB9F57"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45DCB62E"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3F45DA01"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75C9234A" w14:textId="400A918D" w:rsidR="00087E07" w:rsidRPr="00B30017" w:rsidRDefault="00E30804" w:rsidP="00B30017">
            <w:pPr>
              <w:jc w:val="center"/>
              <w:rPr>
                <w:rFonts w:ascii="Times New Roman" w:eastAsia="Times New Roman" w:hAnsi="Times New Roman"/>
                <w:noProof w:val="0"/>
                <w:sz w:val="22"/>
                <w:szCs w:val="22"/>
              </w:rPr>
            </w:pPr>
            <w:proofErr w:type="spellStart"/>
            <w:r>
              <w:rPr>
                <w:rFonts w:ascii="Times New Roman" w:eastAsia="Times New Roman" w:hAnsi="Times New Roman"/>
                <w:noProof w:val="0"/>
                <w:color w:val="000000"/>
                <w:sz w:val="22"/>
                <w:szCs w:val="22"/>
              </w:rPr>
              <w:t>b</w:t>
            </w:r>
            <w:r w:rsidR="00087E07" w:rsidRPr="00B30017">
              <w:rPr>
                <w:rFonts w:ascii="Times New Roman" w:eastAsia="Times New Roman" w:hAnsi="Times New Roman"/>
                <w:noProof w:val="0"/>
                <w:color w:val="000000"/>
                <w:sz w:val="22"/>
                <w:szCs w:val="22"/>
              </w:rPr>
              <w:t>OR</w:t>
            </w:r>
            <w:proofErr w:type="spellEnd"/>
            <w:r w:rsidR="00087E07" w:rsidRPr="00B30017">
              <w:rPr>
                <w:rFonts w:ascii="Times New Roman" w:eastAsia="Times New Roman" w:hAnsi="Times New Roman"/>
                <w:noProof w:val="0"/>
                <w:color w:val="000000"/>
                <w:sz w:val="22"/>
                <w:szCs w:val="22"/>
              </w:rPr>
              <w:t xml:space="preserve"> (95% CI)</w:t>
            </w:r>
          </w:p>
        </w:tc>
        <w:tc>
          <w:tcPr>
            <w:tcW w:w="0" w:type="auto"/>
            <w:tcBorders>
              <w:top w:val="nil"/>
              <w:left w:val="nil"/>
              <w:bottom w:val="nil"/>
              <w:right w:val="nil"/>
            </w:tcBorders>
            <w:shd w:val="clear" w:color="auto" w:fill="auto"/>
            <w:vAlign w:val="center"/>
            <w:hideMark/>
          </w:tcPr>
          <w:p w14:paraId="405BC04C" w14:textId="46EDF4E1" w:rsidR="00087E07" w:rsidRPr="00B30017" w:rsidRDefault="00E30804" w:rsidP="00B30017">
            <w:pPr>
              <w:jc w:val="center"/>
              <w:rPr>
                <w:rFonts w:ascii="Times New Roman" w:eastAsia="Times New Roman" w:hAnsi="Times New Roman"/>
                <w:noProof w:val="0"/>
                <w:sz w:val="22"/>
                <w:szCs w:val="22"/>
              </w:rPr>
            </w:pPr>
            <w:proofErr w:type="spellStart"/>
            <w:r>
              <w:rPr>
                <w:rFonts w:ascii="Times New Roman" w:eastAsia="Times New Roman" w:hAnsi="Times New Roman"/>
                <w:noProof w:val="0"/>
                <w:color w:val="000000"/>
                <w:sz w:val="22"/>
                <w:szCs w:val="22"/>
              </w:rPr>
              <w:t>b</w:t>
            </w:r>
            <w:r w:rsidR="00087E07" w:rsidRPr="00B30017">
              <w:rPr>
                <w:rFonts w:ascii="Times New Roman" w:eastAsia="Times New Roman" w:hAnsi="Times New Roman"/>
                <w:noProof w:val="0"/>
                <w:color w:val="000000"/>
                <w:sz w:val="22"/>
                <w:szCs w:val="22"/>
              </w:rPr>
              <w:t>OR</w:t>
            </w:r>
            <w:proofErr w:type="spellEnd"/>
            <w:r w:rsidR="00087E07" w:rsidRPr="00B30017">
              <w:rPr>
                <w:rFonts w:ascii="Times New Roman" w:eastAsia="Times New Roman" w:hAnsi="Times New Roman"/>
                <w:noProof w:val="0"/>
                <w:color w:val="000000"/>
                <w:sz w:val="22"/>
                <w:szCs w:val="22"/>
              </w:rPr>
              <w:t xml:space="preserve"> (95% CI)</w:t>
            </w:r>
          </w:p>
        </w:tc>
        <w:tc>
          <w:tcPr>
            <w:tcW w:w="0" w:type="auto"/>
            <w:tcBorders>
              <w:top w:val="nil"/>
              <w:left w:val="nil"/>
              <w:bottom w:val="nil"/>
              <w:right w:val="nil"/>
            </w:tcBorders>
            <w:shd w:val="clear" w:color="auto" w:fill="auto"/>
            <w:vAlign w:val="center"/>
            <w:hideMark/>
          </w:tcPr>
          <w:p w14:paraId="1AED0B8A" w14:textId="4F94B48A" w:rsidR="00087E07" w:rsidRPr="00B30017" w:rsidRDefault="00E30804" w:rsidP="00B30017">
            <w:pPr>
              <w:jc w:val="center"/>
              <w:rPr>
                <w:rFonts w:ascii="Times New Roman" w:eastAsia="Times New Roman" w:hAnsi="Times New Roman"/>
                <w:noProof w:val="0"/>
                <w:sz w:val="22"/>
                <w:szCs w:val="22"/>
              </w:rPr>
            </w:pPr>
            <w:proofErr w:type="spellStart"/>
            <w:r>
              <w:rPr>
                <w:rFonts w:ascii="Times New Roman" w:eastAsia="Times New Roman" w:hAnsi="Times New Roman"/>
                <w:noProof w:val="0"/>
                <w:color w:val="000000"/>
                <w:sz w:val="22"/>
                <w:szCs w:val="22"/>
              </w:rPr>
              <w:t>b</w:t>
            </w:r>
            <w:r w:rsidR="00087E07" w:rsidRPr="00B30017">
              <w:rPr>
                <w:rFonts w:ascii="Times New Roman" w:eastAsia="Times New Roman" w:hAnsi="Times New Roman"/>
                <w:noProof w:val="0"/>
                <w:color w:val="000000"/>
                <w:sz w:val="22"/>
                <w:szCs w:val="22"/>
              </w:rPr>
              <w:t>OR</w:t>
            </w:r>
            <w:proofErr w:type="spellEnd"/>
            <w:r w:rsidR="00087E07" w:rsidRPr="00B30017">
              <w:rPr>
                <w:rFonts w:ascii="Times New Roman" w:eastAsia="Times New Roman" w:hAnsi="Times New Roman"/>
                <w:noProof w:val="0"/>
                <w:color w:val="000000"/>
                <w:sz w:val="22"/>
                <w:szCs w:val="22"/>
              </w:rPr>
              <w:t xml:space="preserve"> (95% CI)</w:t>
            </w:r>
          </w:p>
        </w:tc>
      </w:tr>
      <w:tr w:rsidR="00087E07" w:rsidRPr="00B30017" w14:paraId="5AB5155C" w14:textId="77777777" w:rsidTr="00B30017">
        <w:trPr>
          <w:trHeight w:val="186"/>
        </w:trPr>
        <w:tc>
          <w:tcPr>
            <w:tcW w:w="0" w:type="auto"/>
            <w:tcBorders>
              <w:top w:val="nil"/>
              <w:left w:val="nil"/>
              <w:bottom w:val="nil"/>
              <w:right w:val="nil"/>
            </w:tcBorders>
            <w:shd w:val="clear" w:color="auto" w:fill="auto"/>
            <w:vAlign w:val="center"/>
            <w:hideMark/>
          </w:tcPr>
          <w:p w14:paraId="4488369D"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Heterosexual</w:t>
            </w:r>
          </w:p>
        </w:tc>
        <w:tc>
          <w:tcPr>
            <w:tcW w:w="0" w:type="auto"/>
            <w:tcBorders>
              <w:top w:val="nil"/>
              <w:left w:val="nil"/>
              <w:bottom w:val="nil"/>
              <w:right w:val="nil"/>
            </w:tcBorders>
            <w:shd w:val="clear" w:color="auto" w:fill="auto"/>
            <w:noWrap/>
            <w:hideMark/>
          </w:tcPr>
          <w:p w14:paraId="38A3ECF8"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10.9%</w:t>
            </w:r>
          </w:p>
        </w:tc>
        <w:tc>
          <w:tcPr>
            <w:tcW w:w="0" w:type="auto"/>
            <w:tcBorders>
              <w:top w:val="nil"/>
              <w:left w:val="nil"/>
              <w:bottom w:val="nil"/>
              <w:right w:val="nil"/>
            </w:tcBorders>
            <w:shd w:val="clear" w:color="auto" w:fill="auto"/>
            <w:noWrap/>
            <w:hideMark/>
          </w:tcPr>
          <w:p w14:paraId="03C6A7F6"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6.5%</w:t>
            </w:r>
          </w:p>
        </w:tc>
        <w:tc>
          <w:tcPr>
            <w:tcW w:w="0" w:type="auto"/>
            <w:tcBorders>
              <w:top w:val="nil"/>
              <w:left w:val="nil"/>
              <w:bottom w:val="nil"/>
              <w:right w:val="nil"/>
            </w:tcBorders>
            <w:shd w:val="clear" w:color="auto" w:fill="auto"/>
            <w:noWrap/>
            <w:hideMark/>
          </w:tcPr>
          <w:p w14:paraId="77262EE1"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5.3%</w:t>
            </w:r>
          </w:p>
        </w:tc>
        <w:tc>
          <w:tcPr>
            <w:tcW w:w="0" w:type="auto"/>
            <w:tcBorders>
              <w:top w:val="nil"/>
              <w:left w:val="nil"/>
              <w:bottom w:val="nil"/>
              <w:right w:val="nil"/>
            </w:tcBorders>
            <w:shd w:val="clear" w:color="auto" w:fill="auto"/>
            <w:noWrap/>
            <w:hideMark/>
          </w:tcPr>
          <w:p w14:paraId="0EE15584"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3.4%</w:t>
            </w:r>
          </w:p>
        </w:tc>
        <w:tc>
          <w:tcPr>
            <w:tcW w:w="0" w:type="auto"/>
            <w:tcBorders>
              <w:top w:val="nil"/>
              <w:left w:val="nil"/>
              <w:bottom w:val="nil"/>
              <w:right w:val="nil"/>
            </w:tcBorders>
            <w:shd w:val="clear" w:color="auto" w:fill="auto"/>
            <w:noWrap/>
            <w:vAlign w:val="bottom"/>
            <w:hideMark/>
          </w:tcPr>
          <w:p w14:paraId="759A7274" w14:textId="3FED76B3" w:rsidR="00087E07" w:rsidRPr="00B30017" w:rsidRDefault="00087E07" w:rsidP="00B30017">
            <w:pPr>
              <w:jc w:val="center"/>
              <w:rPr>
                <w:rFonts w:ascii="Times New Roman" w:eastAsia="Times New Roman" w:hAnsi="Times New Roman"/>
                <w:b/>
                <w:bCs/>
                <w:noProof w:val="0"/>
                <w:color w:val="000000"/>
                <w:sz w:val="22"/>
                <w:szCs w:val="22"/>
              </w:rPr>
            </w:pPr>
            <w:r>
              <w:rPr>
                <w:rFonts w:ascii="Times New Roman" w:eastAsia="Times New Roman" w:hAnsi="Times New Roman"/>
                <w:b/>
                <w:bCs/>
                <w:noProof w:val="0"/>
                <w:color w:val="000000"/>
                <w:sz w:val="22"/>
                <w:szCs w:val="22"/>
              </w:rPr>
              <w:t>0.36 (0.18-0.75</w:t>
            </w:r>
            <w:r w:rsidRPr="00B30017">
              <w:rPr>
                <w:rFonts w:ascii="Times New Roman" w:eastAsia="Times New Roman" w:hAnsi="Times New Roman"/>
                <w:b/>
                <w:bCs/>
                <w:noProof w:val="0"/>
                <w:color w:val="000000"/>
                <w:sz w:val="22"/>
                <w:szCs w:val="22"/>
              </w:rPr>
              <w:t>)</w:t>
            </w:r>
          </w:p>
        </w:tc>
        <w:tc>
          <w:tcPr>
            <w:tcW w:w="0" w:type="auto"/>
            <w:tcBorders>
              <w:top w:val="nil"/>
              <w:left w:val="nil"/>
              <w:bottom w:val="nil"/>
              <w:right w:val="nil"/>
            </w:tcBorders>
            <w:shd w:val="clear" w:color="auto" w:fill="auto"/>
            <w:noWrap/>
            <w:vAlign w:val="bottom"/>
            <w:hideMark/>
          </w:tcPr>
          <w:p w14:paraId="4125D39C"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0.42 (0.20-0.85)</w:t>
            </w:r>
          </w:p>
        </w:tc>
        <w:tc>
          <w:tcPr>
            <w:tcW w:w="0" w:type="auto"/>
            <w:tcBorders>
              <w:top w:val="nil"/>
              <w:left w:val="nil"/>
              <w:bottom w:val="nil"/>
              <w:right w:val="nil"/>
            </w:tcBorders>
            <w:shd w:val="clear" w:color="auto" w:fill="auto"/>
            <w:noWrap/>
            <w:vAlign w:val="bottom"/>
            <w:hideMark/>
          </w:tcPr>
          <w:p w14:paraId="6333F118" w14:textId="2F55768C" w:rsidR="00087E07" w:rsidRPr="003D6A43" w:rsidRDefault="00087E07" w:rsidP="00B30017">
            <w:pPr>
              <w:jc w:val="center"/>
              <w:rPr>
                <w:rFonts w:ascii="Times New Roman" w:eastAsia="Times New Roman" w:hAnsi="Times New Roman"/>
                <w:bCs/>
                <w:noProof w:val="0"/>
                <w:color w:val="000000"/>
                <w:sz w:val="22"/>
                <w:szCs w:val="22"/>
              </w:rPr>
            </w:pPr>
            <w:r w:rsidRPr="00B30017">
              <w:rPr>
                <w:rFonts w:ascii="Times New Roman" w:eastAsia="Times New Roman" w:hAnsi="Times New Roman"/>
                <w:b/>
                <w:bCs/>
                <w:noProof w:val="0"/>
                <w:color w:val="000000"/>
                <w:sz w:val="22"/>
                <w:szCs w:val="22"/>
              </w:rPr>
              <w:t>0.29 (0.21-0.40)</w:t>
            </w:r>
          </w:p>
        </w:tc>
      </w:tr>
      <w:tr w:rsidR="00087E07" w:rsidRPr="00B30017" w14:paraId="78E0B6BF" w14:textId="77777777" w:rsidTr="00FC6579">
        <w:trPr>
          <w:trHeight w:val="186"/>
        </w:trPr>
        <w:tc>
          <w:tcPr>
            <w:tcW w:w="0" w:type="auto"/>
            <w:tcBorders>
              <w:top w:val="nil"/>
              <w:left w:val="nil"/>
              <w:bottom w:val="nil"/>
              <w:right w:val="nil"/>
            </w:tcBorders>
            <w:shd w:val="clear" w:color="auto" w:fill="auto"/>
            <w:vAlign w:val="center"/>
            <w:hideMark/>
          </w:tcPr>
          <w:p w14:paraId="70015CFC"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Bisexual</w:t>
            </w:r>
          </w:p>
        </w:tc>
        <w:tc>
          <w:tcPr>
            <w:tcW w:w="0" w:type="auto"/>
            <w:tcBorders>
              <w:top w:val="nil"/>
              <w:left w:val="nil"/>
              <w:bottom w:val="nil"/>
              <w:right w:val="nil"/>
            </w:tcBorders>
            <w:shd w:val="clear" w:color="auto" w:fill="auto"/>
            <w:noWrap/>
            <w:hideMark/>
          </w:tcPr>
          <w:p w14:paraId="7F592555"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25.8%</w:t>
            </w:r>
          </w:p>
        </w:tc>
        <w:tc>
          <w:tcPr>
            <w:tcW w:w="0" w:type="auto"/>
            <w:tcBorders>
              <w:top w:val="nil"/>
              <w:left w:val="nil"/>
              <w:bottom w:val="nil"/>
              <w:right w:val="nil"/>
            </w:tcBorders>
            <w:shd w:val="clear" w:color="auto" w:fill="auto"/>
            <w:noWrap/>
            <w:hideMark/>
          </w:tcPr>
          <w:p w14:paraId="19FA1C67"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16.9%</w:t>
            </w:r>
          </w:p>
        </w:tc>
        <w:tc>
          <w:tcPr>
            <w:tcW w:w="0" w:type="auto"/>
            <w:tcBorders>
              <w:top w:val="nil"/>
              <w:left w:val="nil"/>
              <w:bottom w:val="nil"/>
              <w:right w:val="nil"/>
            </w:tcBorders>
            <w:shd w:val="clear" w:color="auto" w:fill="auto"/>
            <w:noWrap/>
            <w:hideMark/>
          </w:tcPr>
          <w:p w14:paraId="2B204BE6"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18.7%</w:t>
            </w:r>
          </w:p>
        </w:tc>
        <w:tc>
          <w:tcPr>
            <w:tcW w:w="0" w:type="auto"/>
            <w:tcBorders>
              <w:top w:val="nil"/>
              <w:left w:val="nil"/>
              <w:bottom w:val="nil"/>
              <w:right w:val="nil"/>
            </w:tcBorders>
            <w:shd w:val="clear" w:color="auto" w:fill="auto"/>
            <w:noWrap/>
            <w:hideMark/>
          </w:tcPr>
          <w:p w14:paraId="110C7E0A"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12.8%</w:t>
            </w:r>
          </w:p>
        </w:tc>
        <w:tc>
          <w:tcPr>
            <w:tcW w:w="0" w:type="auto"/>
            <w:tcBorders>
              <w:top w:val="nil"/>
              <w:left w:val="nil"/>
              <w:bottom w:val="nil"/>
              <w:right w:val="nil"/>
            </w:tcBorders>
            <w:shd w:val="clear" w:color="auto" w:fill="auto"/>
            <w:noWrap/>
            <w:vAlign w:val="bottom"/>
            <w:hideMark/>
          </w:tcPr>
          <w:p w14:paraId="274C040D" w14:textId="1219DD58" w:rsidR="00087E07" w:rsidRPr="003D6A43" w:rsidRDefault="00087E07" w:rsidP="00B30017">
            <w:pPr>
              <w:jc w:val="center"/>
              <w:rPr>
                <w:rFonts w:ascii="Times New Roman" w:eastAsia="Times New Roman" w:hAnsi="Times New Roman"/>
                <w:bCs/>
                <w:noProof w:val="0"/>
                <w:color w:val="000000"/>
                <w:sz w:val="22"/>
                <w:szCs w:val="22"/>
              </w:rPr>
            </w:pPr>
            <w:r w:rsidRPr="003D6A43">
              <w:rPr>
                <w:rFonts w:ascii="Times New Roman" w:eastAsia="Times New Roman" w:hAnsi="Times New Roman"/>
                <w:bCs/>
                <w:noProof w:val="0"/>
                <w:color w:val="000000"/>
                <w:sz w:val="22"/>
                <w:szCs w:val="22"/>
              </w:rPr>
              <w:t>0.60 (0.33-1.07)</w:t>
            </w:r>
          </w:p>
        </w:tc>
        <w:tc>
          <w:tcPr>
            <w:tcW w:w="0" w:type="auto"/>
            <w:tcBorders>
              <w:top w:val="nil"/>
              <w:left w:val="nil"/>
              <w:bottom w:val="nil"/>
              <w:right w:val="nil"/>
            </w:tcBorders>
            <w:shd w:val="clear" w:color="auto" w:fill="auto"/>
            <w:vAlign w:val="center"/>
            <w:hideMark/>
          </w:tcPr>
          <w:p w14:paraId="2A4425F7" w14:textId="77777777" w:rsidR="00087E07" w:rsidRPr="00B30017"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0.63 (0.40-1.01)</w:t>
            </w:r>
          </w:p>
        </w:tc>
        <w:tc>
          <w:tcPr>
            <w:tcW w:w="0" w:type="auto"/>
            <w:tcBorders>
              <w:top w:val="nil"/>
              <w:left w:val="nil"/>
              <w:bottom w:val="nil"/>
              <w:right w:val="nil"/>
            </w:tcBorders>
            <w:shd w:val="clear" w:color="auto" w:fill="auto"/>
            <w:vAlign w:val="bottom"/>
            <w:hideMark/>
          </w:tcPr>
          <w:p w14:paraId="137133E6" w14:textId="440DDDA5" w:rsidR="00087E07" w:rsidRPr="003D6A43" w:rsidRDefault="00087E07" w:rsidP="00B30017">
            <w:pPr>
              <w:jc w:val="center"/>
              <w:rPr>
                <w:rFonts w:ascii="Times New Roman" w:eastAsia="Times New Roman" w:hAnsi="Times New Roman"/>
                <w:noProof w:val="0"/>
                <w:color w:val="000000"/>
                <w:sz w:val="22"/>
                <w:szCs w:val="22"/>
              </w:rPr>
            </w:pPr>
            <w:r w:rsidRPr="00B30017">
              <w:rPr>
                <w:rFonts w:ascii="Times New Roman" w:eastAsia="Times New Roman" w:hAnsi="Times New Roman"/>
                <w:b/>
                <w:bCs/>
                <w:noProof w:val="0"/>
                <w:color w:val="000000"/>
                <w:sz w:val="22"/>
                <w:szCs w:val="22"/>
              </w:rPr>
              <w:t>0.47 (0.36-0.61)</w:t>
            </w:r>
          </w:p>
        </w:tc>
      </w:tr>
      <w:tr w:rsidR="00087E07" w:rsidRPr="00B30017" w14:paraId="30090175" w14:textId="77777777" w:rsidTr="00FC6579">
        <w:trPr>
          <w:trHeight w:val="186"/>
        </w:trPr>
        <w:tc>
          <w:tcPr>
            <w:tcW w:w="0" w:type="auto"/>
            <w:tcBorders>
              <w:top w:val="nil"/>
              <w:left w:val="nil"/>
              <w:bottom w:val="nil"/>
              <w:right w:val="nil"/>
            </w:tcBorders>
            <w:shd w:val="clear" w:color="auto" w:fill="auto"/>
            <w:vAlign w:val="center"/>
            <w:hideMark/>
          </w:tcPr>
          <w:p w14:paraId="5FCFC66E"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Gay</w:t>
            </w:r>
          </w:p>
        </w:tc>
        <w:tc>
          <w:tcPr>
            <w:tcW w:w="0" w:type="auto"/>
            <w:tcBorders>
              <w:top w:val="nil"/>
              <w:left w:val="nil"/>
              <w:bottom w:val="nil"/>
              <w:right w:val="nil"/>
            </w:tcBorders>
            <w:shd w:val="clear" w:color="auto" w:fill="auto"/>
            <w:noWrap/>
            <w:hideMark/>
          </w:tcPr>
          <w:p w14:paraId="40FC4C58"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34.8%</w:t>
            </w:r>
          </w:p>
        </w:tc>
        <w:tc>
          <w:tcPr>
            <w:tcW w:w="0" w:type="auto"/>
            <w:tcBorders>
              <w:top w:val="nil"/>
              <w:left w:val="nil"/>
              <w:bottom w:val="nil"/>
              <w:right w:val="nil"/>
            </w:tcBorders>
            <w:shd w:val="clear" w:color="auto" w:fill="auto"/>
            <w:noWrap/>
            <w:hideMark/>
          </w:tcPr>
          <w:p w14:paraId="2A099267"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21.2%</w:t>
            </w:r>
          </w:p>
        </w:tc>
        <w:tc>
          <w:tcPr>
            <w:tcW w:w="0" w:type="auto"/>
            <w:tcBorders>
              <w:top w:val="nil"/>
              <w:left w:val="nil"/>
              <w:bottom w:val="nil"/>
              <w:right w:val="nil"/>
            </w:tcBorders>
            <w:shd w:val="clear" w:color="auto" w:fill="auto"/>
            <w:noWrap/>
            <w:hideMark/>
          </w:tcPr>
          <w:p w14:paraId="4C42495E"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24.5%</w:t>
            </w:r>
          </w:p>
        </w:tc>
        <w:tc>
          <w:tcPr>
            <w:tcW w:w="0" w:type="auto"/>
            <w:tcBorders>
              <w:top w:val="nil"/>
              <w:left w:val="nil"/>
              <w:bottom w:val="nil"/>
              <w:right w:val="nil"/>
            </w:tcBorders>
            <w:shd w:val="clear" w:color="auto" w:fill="auto"/>
            <w:noWrap/>
            <w:hideMark/>
          </w:tcPr>
          <w:p w14:paraId="26056DB9"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16.9%</w:t>
            </w:r>
          </w:p>
        </w:tc>
        <w:tc>
          <w:tcPr>
            <w:tcW w:w="0" w:type="auto"/>
            <w:tcBorders>
              <w:top w:val="nil"/>
              <w:left w:val="nil"/>
              <w:bottom w:val="nil"/>
              <w:right w:val="nil"/>
            </w:tcBorders>
            <w:shd w:val="clear" w:color="auto" w:fill="auto"/>
            <w:noWrap/>
            <w:vAlign w:val="bottom"/>
            <w:hideMark/>
          </w:tcPr>
          <w:p w14:paraId="394F0C21" w14:textId="71456A35" w:rsidR="00087E07" w:rsidRPr="00B30017" w:rsidRDefault="00087E07" w:rsidP="00B30017">
            <w:pPr>
              <w:jc w:val="center"/>
              <w:rPr>
                <w:rFonts w:ascii="Times New Roman" w:eastAsia="Times New Roman" w:hAnsi="Times New Roman"/>
                <w:b/>
                <w:bCs/>
                <w:noProof w:val="0"/>
                <w:color w:val="000000"/>
                <w:sz w:val="22"/>
                <w:szCs w:val="22"/>
              </w:rPr>
            </w:pPr>
            <w:r>
              <w:rPr>
                <w:rFonts w:ascii="Times New Roman" w:eastAsia="Times New Roman" w:hAnsi="Times New Roman"/>
                <w:b/>
                <w:bCs/>
                <w:noProof w:val="0"/>
                <w:color w:val="000000"/>
                <w:sz w:val="22"/>
                <w:szCs w:val="22"/>
              </w:rPr>
              <w:t>0.4</w:t>
            </w:r>
            <w:r w:rsidRPr="00B30017">
              <w:rPr>
                <w:rFonts w:ascii="Times New Roman" w:eastAsia="Times New Roman" w:hAnsi="Times New Roman"/>
                <w:b/>
                <w:bCs/>
                <w:noProof w:val="0"/>
                <w:color w:val="000000"/>
                <w:sz w:val="22"/>
                <w:szCs w:val="22"/>
              </w:rPr>
              <w:t>9 (0.</w:t>
            </w:r>
            <w:r>
              <w:rPr>
                <w:rFonts w:ascii="Times New Roman" w:eastAsia="Times New Roman" w:hAnsi="Times New Roman"/>
                <w:b/>
                <w:bCs/>
                <w:noProof w:val="0"/>
                <w:color w:val="000000"/>
                <w:sz w:val="22"/>
                <w:szCs w:val="22"/>
              </w:rPr>
              <w:t>24-0.97</w:t>
            </w:r>
            <w:r w:rsidRPr="00B30017">
              <w:rPr>
                <w:rFonts w:ascii="Times New Roman" w:eastAsia="Times New Roman" w:hAnsi="Times New Roman"/>
                <w:b/>
                <w:bCs/>
                <w:noProof w:val="0"/>
                <w:color w:val="000000"/>
                <w:sz w:val="22"/>
                <w:szCs w:val="22"/>
              </w:rPr>
              <w:t>)</w:t>
            </w:r>
          </w:p>
        </w:tc>
        <w:tc>
          <w:tcPr>
            <w:tcW w:w="0" w:type="auto"/>
            <w:tcBorders>
              <w:top w:val="nil"/>
              <w:left w:val="nil"/>
              <w:bottom w:val="nil"/>
              <w:right w:val="nil"/>
            </w:tcBorders>
            <w:shd w:val="clear" w:color="auto" w:fill="auto"/>
            <w:vAlign w:val="center"/>
            <w:hideMark/>
          </w:tcPr>
          <w:p w14:paraId="28911120"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0.59 (0.39-0.89)</w:t>
            </w:r>
          </w:p>
        </w:tc>
        <w:tc>
          <w:tcPr>
            <w:tcW w:w="0" w:type="auto"/>
            <w:tcBorders>
              <w:top w:val="nil"/>
              <w:left w:val="nil"/>
              <w:bottom w:val="nil"/>
              <w:right w:val="nil"/>
            </w:tcBorders>
            <w:shd w:val="clear" w:color="auto" w:fill="auto"/>
            <w:vAlign w:val="bottom"/>
            <w:hideMark/>
          </w:tcPr>
          <w:p w14:paraId="604AC8DF" w14:textId="1997B75E" w:rsidR="00087E07" w:rsidRPr="003D6A43" w:rsidRDefault="00087E07" w:rsidP="00B30017">
            <w:pPr>
              <w:jc w:val="center"/>
              <w:rPr>
                <w:rFonts w:ascii="Times New Roman" w:eastAsia="Times New Roman" w:hAnsi="Times New Roman"/>
                <w:bCs/>
                <w:noProof w:val="0"/>
                <w:color w:val="000000"/>
                <w:sz w:val="22"/>
                <w:szCs w:val="22"/>
              </w:rPr>
            </w:pPr>
            <w:r w:rsidRPr="00B30017">
              <w:rPr>
                <w:rFonts w:ascii="Times New Roman" w:eastAsia="Times New Roman" w:hAnsi="Times New Roman"/>
                <w:b/>
                <w:bCs/>
                <w:noProof w:val="0"/>
                <w:color w:val="000000"/>
                <w:sz w:val="22"/>
                <w:szCs w:val="22"/>
              </w:rPr>
              <w:t>0.59 (0.47-0.74)</w:t>
            </w:r>
          </w:p>
        </w:tc>
      </w:tr>
      <w:tr w:rsidR="00087E07" w:rsidRPr="00B30017" w14:paraId="4F1611DC" w14:textId="77777777" w:rsidTr="00B30017">
        <w:trPr>
          <w:trHeight w:val="186"/>
        </w:trPr>
        <w:tc>
          <w:tcPr>
            <w:tcW w:w="0" w:type="auto"/>
            <w:tcBorders>
              <w:top w:val="nil"/>
              <w:left w:val="nil"/>
              <w:bottom w:val="nil"/>
              <w:right w:val="nil"/>
            </w:tcBorders>
            <w:shd w:val="clear" w:color="auto" w:fill="auto"/>
            <w:vAlign w:val="center"/>
            <w:hideMark/>
          </w:tcPr>
          <w:p w14:paraId="6489B54D" w14:textId="77777777" w:rsidR="00087E07" w:rsidRPr="00B30017" w:rsidRDefault="00087E07" w:rsidP="00B30017">
            <w:pPr>
              <w:jc w:val="both"/>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Female</w:t>
            </w:r>
          </w:p>
        </w:tc>
        <w:tc>
          <w:tcPr>
            <w:tcW w:w="0" w:type="auto"/>
            <w:tcBorders>
              <w:top w:val="nil"/>
              <w:left w:val="nil"/>
              <w:bottom w:val="nil"/>
              <w:right w:val="nil"/>
            </w:tcBorders>
            <w:shd w:val="clear" w:color="auto" w:fill="auto"/>
            <w:vAlign w:val="center"/>
            <w:hideMark/>
          </w:tcPr>
          <w:p w14:paraId="11FD35F9" w14:textId="77777777" w:rsidR="00087E07" w:rsidRPr="00B30017" w:rsidRDefault="00087E07" w:rsidP="00B30017">
            <w:pPr>
              <w:jc w:val="both"/>
              <w:rPr>
                <w:rFonts w:ascii="Times New Roman" w:eastAsia="Times New Roman" w:hAnsi="Times New Roman"/>
                <w:b/>
                <w:bCs/>
                <w:noProof w:val="0"/>
                <w:color w:val="000000"/>
                <w:sz w:val="22"/>
                <w:szCs w:val="22"/>
              </w:rPr>
            </w:pPr>
          </w:p>
        </w:tc>
        <w:tc>
          <w:tcPr>
            <w:tcW w:w="0" w:type="auto"/>
            <w:tcBorders>
              <w:top w:val="nil"/>
              <w:left w:val="nil"/>
              <w:bottom w:val="nil"/>
              <w:right w:val="nil"/>
            </w:tcBorders>
            <w:shd w:val="clear" w:color="auto" w:fill="auto"/>
            <w:vAlign w:val="center"/>
            <w:hideMark/>
          </w:tcPr>
          <w:p w14:paraId="3A0C539F"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05F0BD27"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7F953218"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19AFB403"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0499A325" w14:textId="77777777" w:rsidR="00087E07" w:rsidRPr="00B30017" w:rsidRDefault="00087E07" w:rsidP="00B30017">
            <w:pPr>
              <w:jc w:val="center"/>
              <w:rPr>
                <w:rFonts w:ascii="Times New Roman" w:eastAsia="Times New Roman" w:hAnsi="Times New Roman"/>
                <w:noProof w:val="0"/>
                <w:sz w:val="22"/>
                <w:szCs w:val="22"/>
              </w:rPr>
            </w:pPr>
          </w:p>
        </w:tc>
        <w:tc>
          <w:tcPr>
            <w:tcW w:w="0" w:type="auto"/>
            <w:tcBorders>
              <w:top w:val="nil"/>
              <w:left w:val="nil"/>
              <w:bottom w:val="nil"/>
              <w:right w:val="nil"/>
            </w:tcBorders>
            <w:shd w:val="clear" w:color="auto" w:fill="auto"/>
            <w:vAlign w:val="center"/>
            <w:hideMark/>
          </w:tcPr>
          <w:p w14:paraId="151483EF" w14:textId="77777777" w:rsidR="00087E07" w:rsidRPr="003D6A43" w:rsidRDefault="00087E07" w:rsidP="00B30017">
            <w:pPr>
              <w:jc w:val="center"/>
              <w:rPr>
                <w:rFonts w:ascii="Times New Roman" w:eastAsia="Times New Roman" w:hAnsi="Times New Roman"/>
                <w:noProof w:val="0"/>
                <w:sz w:val="22"/>
                <w:szCs w:val="22"/>
              </w:rPr>
            </w:pPr>
          </w:p>
        </w:tc>
      </w:tr>
      <w:tr w:rsidR="00087E07" w:rsidRPr="00B30017" w14:paraId="10FFBD60" w14:textId="77777777" w:rsidTr="00B30017">
        <w:trPr>
          <w:trHeight w:val="186"/>
        </w:trPr>
        <w:tc>
          <w:tcPr>
            <w:tcW w:w="0" w:type="auto"/>
            <w:tcBorders>
              <w:top w:val="nil"/>
              <w:left w:val="nil"/>
              <w:bottom w:val="nil"/>
              <w:right w:val="nil"/>
            </w:tcBorders>
            <w:shd w:val="clear" w:color="auto" w:fill="auto"/>
            <w:vAlign w:val="center"/>
            <w:hideMark/>
          </w:tcPr>
          <w:p w14:paraId="1CB7FAF1"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Heterosexual</w:t>
            </w:r>
          </w:p>
        </w:tc>
        <w:tc>
          <w:tcPr>
            <w:tcW w:w="0" w:type="auto"/>
            <w:tcBorders>
              <w:top w:val="nil"/>
              <w:left w:val="nil"/>
              <w:bottom w:val="nil"/>
              <w:right w:val="nil"/>
            </w:tcBorders>
            <w:shd w:val="clear" w:color="auto" w:fill="auto"/>
            <w:noWrap/>
            <w:hideMark/>
          </w:tcPr>
          <w:p w14:paraId="5922B71B"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10.6%</w:t>
            </w:r>
          </w:p>
        </w:tc>
        <w:tc>
          <w:tcPr>
            <w:tcW w:w="0" w:type="auto"/>
            <w:tcBorders>
              <w:top w:val="nil"/>
              <w:left w:val="nil"/>
              <w:bottom w:val="nil"/>
              <w:right w:val="nil"/>
            </w:tcBorders>
            <w:shd w:val="clear" w:color="auto" w:fill="auto"/>
            <w:noWrap/>
            <w:hideMark/>
          </w:tcPr>
          <w:p w14:paraId="23D7728F"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5.9%</w:t>
            </w:r>
          </w:p>
        </w:tc>
        <w:tc>
          <w:tcPr>
            <w:tcW w:w="0" w:type="auto"/>
            <w:tcBorders>
              <w:top w:val="nil"/>
              <w:left w:val="nil"/>
              <w:bottom w:val="nil"/>
              <w:right w:val="nil"/>
            </w:tcBorders>
            <w:shd w:val="clear" w:color="auto" w:fill="auto"/>
            <w:noWrap/>
            <w:hideMark/>
          </w:tcPr>
          <w:p w14:paraId="1B529312"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3.7%</w:t>
            </w:r>
          </w:p>
        </w:tc>
        <w:tc>
          <w:tcPr>
            <w:tcW w:w="0" w:type="auto"/>
            <w:tcBorders>
              <w:top w:val="nil"/>
              <w:left w:val="nil"/>
              <w:bottom w:val="nil"/>
              <w:right w:val="nil"/>
            </w:tcBorders>
            <w:shd w:val="clear" w:color="auto" w:fill="auto"/>
            <w:noWrap/>
            <w:hideMark/>
          </w:tcPr>
          <w:p w14:paraId="49E0D914"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1.9%</w:t>
            </w:r>
          </w:p>
        </w:tc>
        <w:tc>
          <w:tcPr>
            <w:tcW w:w="0" w:type="auto"/>
            <w:tcBorders>
              <w:top w:val="nil"/>
              <w:left w:val="nil"/>
              <w:bottom w:val="nil"/>
              <w:right w:val="nil"/>
            </w:tcBorders>
            <w:shd w:val="clear" w:color="auto" w:fill="auto"/>
            <w:noWrap/>
            <w:vAlign w:val="bottom"/>
            <w:hideMark/>
          </w:tcPr>
          <w:p w14:paraId="51F4AF4D" w14:textId="42303EEB" w:rsidR="00087E07" w:rsidRPr="003D6A43" w:rsidRDefault="00087E07" w:rsidP="00B30017">
            <w:pPr>
              <w:jc w:val="center"/>
              <w:rPr>
                <w:rFonts w:ascii="Times New Roman" w:eastAsia="Times New Roman" w:hAnsi="Times New Roman"/>
                <w:bCs/>
                <w:noProof w:val="0"/>
                <w:color w:val="000000" w:themeColor="text1"/>
                <w:sz w:val="22"/>
                <w:szCs w:val="22"/>
              </w:rPr>
            </w:pPr>
            <w:r w:rsidRPr="003D6A43">
              <w:rPr>
                <w:rFonts w:ascii="Times New Roman" w:eastAsia="Times New Roman" w:hAnsi="Times New Roman"/>
                <w:bCs/>
                <w:noProof w:val="0"/>
                <w:color w:val="000000" w:themeColor="text1"/>
                <w:sz w:val="22"/>
                <w:szCs w:val="22"/>
              </w:rPr>
              <w:t>0.56 (0.22-1.41)</w:t>
            </w:r>
          </w:p>
        </w:tc>
        <w:tc>
          <w:tcPr>
            <w:tcW w:w="0" w:type="auto"/>
            <w:tcBorders>
              <w:top w:val="nil"/>
              <w:left w:val="nil"/>
              <w:bottom w:val="nil"/>
              <w:right w:val="nil"/>
            </w:tcBorders>
            <w:shd w:val="clear" w:color="auto" w:fill="auto"/>
            <w:noWrap/>
            <w:vAlign w:val="bottom"/>
            <w:hideMark/>
          </w:tcPr>
          <w:p w14:paraId="32F6116A"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0.09 (0.04-0.19)</w:t>
            </w:r>
          </w:p>
        </w:tc>
        <w:tc>
          <w:tcPr>
            <w:tcW w:w="0" w:type="auto"/>
            <w:tcBorders>
              <w:top w:val="nil"/>
              <w:left w:val="nil"/>
              <w:bottom w:val="nil"/>
              <w:right w:val="nil"/>
            </w:tcBorders>
            <w:shd w:val="clear" w:color="auto" w:fill="auto"/>
            <w:noWrap/>
            <w:vAlign w:val="bottom"/>
            <w:hideMark/>
          </w:tcPr>
          <w:p w14:paraId="2506CD53" w14:textId="100F49E3" w:rsidR="00087E07" w:rsidRPr="003D6A43" w:rsidRDefault="00087E07" w:rsidP="00B30017">
            <w:pPr>
              <w:jc w:val="center"/>
              <w:rPr>
                <w:rFonts w:ascii="Times New Roman" w:eastAsia="Times New Roman" w:hAnsi="Times New Roman"/>
                <w:noProof w:val="0"/>
                <w:color w:val="FF0000"/>
                <w:sz w:val="22"/>
                <w:szCs w:val="22"/>
              </w:rPr>
            </w:pPr>
            <w:r w:rsidRPr="00B30017">
              <w:rPr>
                <w:rFonts w:ascii="Times New Roman" w:eastAsia="Times New Roman" w:hAnsi="Times New Roman"/>
                <w:b/>
                <w:bCs/>
                <w:noProof w:val="0"/>
                <w:color w:val="000000"/>
                <w:sz w:val="22"/>
                <w:szCs w:val="22"/>
              </w:rPr>
              <w:t>0.16 (0.11-0.24)</w:t>
            </w:r>
          </w:p>
        </w:tc>
      </w:tr>
      <w:tr w:rsidR="00087E07" w:rsidRPr="00B30017" w14:paraId="02CC730C" w14:textId="77777777" w:rsidTr="00FC6579">
        <w:trPr>
          <w:trHeight w:val="186"/>
        </w:trPr>
        <w:tc>
          <w:tcPr>
            <w:tcW w:w="0" w:type="auto"/>
            <w:tcBorders>
              <w:top w:val="nil"/>
              <w:left w:val="nil"/>
              <w:bottom w:val="nil"/>
              <w:right w:val="nil"/>
            </w:tcBorders>
            <w:shd w:val="clear" w:color="auto" w:fill="auto"/>
            <w:vAlign w:val="center"/>
            <w:hideMark/>
          </w:tcPr>
          <w:p w14:paraId="3E10C5A5"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Bisexual</w:t>
            </w:r>
          </w:p>
        </w:tc>
        <w:tc>
          <w:tcPr>
            <w:tcW w:w="0" w:type="auto"/>
            <w:tcBorders>
              <w:top w:val="nil"/>
              <w:left w:val="nil"/>
              <w:bottom w:val="nil"/>
              <w:right w:val="nil"/>
            </w:tcBorders>
            <w:shd w:val="clear" w:color="auto" w:fill="auto"/>
            <w:noWrap/>
            <w:hideMark/>
          </w:tcPr>
          <w:p w14:paraId="247B2681"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42.5%</w:t>
            </w:r>
          </w:p>
        </w:tc>
        <w:tc>
          <w:tcPr>
            <w:tcW w:w="0" w:type="auto"/>
            <w:tcBorders>
              <w:top w:val="nil"/>
              <w:left w:val="nil"/>
              <w:bottom w:val="nil"/>
              <w:right w:val="nil"/>
            </w:tcBorders>
            <w:shd w:val="clear" w:color="auto" w:fill="auto"/>
            <w:noWrap/>
            <w:hideMark/>
          </w:tcPr>
          <w:p w14:paraId="2380FB5B"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23.2%</w:t>
            </w:r>
          </w:p>
        </w:tc>
        <w:tc>
          <w:tcPr>
            <w:tcW w:w="0" w:type="auto"/>
            <w:tcBorders>
              <w:top w:val="nil"/>
              <w:left w:val="nil"/>
              <w:bottom w:val="nil"/>
              <w:right w:val="nil"/>
            </w:tcBorders>
            <w:shd w:val="clear" w:color="auto" w:fill="auto"/>
            <w:noWrap/>
            <w:hideMark/>
          </w:tcPr>
          <w:p w14:paraId="26379964"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18.6%</w:t>
            </w:r>
          </w:p>
        </w:tc>
        <w:tc>
          <w:tcPr>
            <w:tcW w:w="0" w:type="auto"/>
            <w:tcBorders>
              <w:top w:val="nil"/>
              <w:left w:val="nil"/>
              <w:bottom w:val="nil"/>
              <w:right w:val="nil"/>
            </w:tcBorders>
            <w:shd w:val="clear" w:color="auto" w:fill="auto"/>
            <w:noWrap/>
            <w:hideMark/>
          </w:tcPr>
          <w:p w14:paraId="3E04682C"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6.1%</w:t>
            </w:r>
          </w:p>
        </w:tc>
        <w:tc>
          <w:tcPr>
            <w:tcW w:w="0" w:type="auto"/>
            <w:tcBorders>
              <w:top w:val="nil"/>
              <w:left w:val="nil"/>
              <w:bottom w:val="nil"/>
              <w:right w:val="nil"/>
            </w:tcBorders>
            <w:shd w:val="clear" w:color="auto" w:fill="auto"/>
            <w:noWrap/>
            <w:vAlign w:val="bottom"/>
            <w:hideMark/>
          </w:tcPr>
          <w:p w14:paraId="4A1D2777" w14:textId="49BF1D58" w:rsidR="00087E07" w:rsidRPr="003D6A43" w:rsidRDefault="00087E07" w:rsidP="00B30017">
            <w:pPr>
              <w:jc w:val="center"/>
              <w:rPr>
                <w:rFonts w:ascii="Times New Roman" w:eastAsia="Times New Roman" w:hAnsi="Times New Roman"/>
                <w:bCs/>
                <w:noProof w:val="0"/>
                <w:color w:val="000000" w:themeColor="text1"/>
                <w:sz w:val="22"/>
                <w:szCs w:val="22"/>
              </w:rPr>
            </w:pPr>
            <w:r w:rsidRPr="003D6A43">
              <w:rPr>
                <w:rFonts w:ascii="Times New Roman" w:eastAsia="Times New Roman" w:hAnsi="Times New Roman"/>
                <w:bCs/>
                <w:noProof w:val="0"/>
                <w:color w:val="000000" w:themeColor="text1"/>
                <w:sz w:val="22"/>
                <w:szCs w:val="22"/>
              </w:rPr>
              <w:t>0.83 (0.53-1.29)</w:t>
            </w:r>
          </w:p>
        </w:tc>
        <w:tc>
          <w:tcPr>
            <w:tcW w:w="0" w:type="auto"/>
            <w:tcBorders>
              <w:top w:val="nil"/>
              <w:left w:val="nil"/>
              <w:bottom w:val="nil"/>
              <w:right w:val="nil"/>
            </w:tcBorders>
            <w:shd w:val="clear" w:color="auto" w:fill="auto"/>
            <w:vAlign w:val="center"/>
            <w:hideMark/>
          </w:tcPr>
          <w:p w14:paraId="5B7FE502"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0.31 (0.20-0.49)</w:t>
            </w:r>
          </w:p>
        </w:tc>
        <w:tc>
          <w:tcPr>
            <w:tcW w:w="0" w:type="auto"/>
            <w:tcBorders>
              <w:top w:val="nil"/>
              <w:left w:val="nil"/>
              <w:bottom w:val="nil"/>
              <w:right w:val="nil"/>
            </w:tcBorders>
            <w:shd w:val="clear" w:color="auto" w:fill="auto"/>
            <w:vAlign w:val="bottom"/>
            <w:hideMark/>
          </w:tcPr>
          <w:p w14:paraId="54816354" w14:textId="485522E9" w:rsidR="00087E07" w:rsidRPr="003D6A43" w:rsidRDefault="00087E07" w:rsidP="00B30017">
            <w:pPr>
              <w:jc w:val="center"/>
              <w:rPr>
                <w:rFonts w:ascii="Times New Roman" w:eastAsia="Times New Roman" w:hAnsi="Times New Roman"/>
                <w:noProof w:val="0"/>
                <w:color w:val="FF0000"/>
                <w:sz w:val="22"/>
                <w:szCs w:val="22"/>
              </w:rPr>
            </w:pPr>
            <w:r w:rsidRPr="00B30017">
              <w:rPr>
                <w:rFonts w:ascii="Times New Roman" w:eastAsia="Times New Roman" w:hAnsi="Times New Roman"/>
                <w:b/>
                <w:bCs/>
                <w:noProof w:val="0"/>
                <w:color w:val="000000"/>
                <w:sz w:val="22"/>
                <w:szCs w:val="22"/>
              </w:rPr>
              <w:t>0.33 (0.26-0.69)</w:t>
            </w:r>
          </w:p>
        </w:tc>
      </w:tr>
      <w:tr w:rsidR="00087E07" w:rsidRPr="00B30017" w14:paraId="1546DDB2" w14:textId="77777777" w:rsidTr="00FC6579">
        <w:trPr>
          <w:trHeight w:val="297"/>
        </w:trPr>
        <w:tc>
          <w:tcPr>
            <w:tcW w:w="0" w:type="auto"/>
            <w:tcBorders>
              <w:top w:val="nil"/>
              <w:left w:val="nil"/>
              <w:bottom w:val="single" w:sz="8" w:space="0" w:color="auto"/>
              <w:right w:val="nil"/>
            </w:tcBorders>
            <w:shd w:val="clear" w:color="auto" w:fill="auto"/>
            <w:vAlign w:val="center"/>
            <w:hideMark/>
          </w:tcPr>
          <w:p w14:paraId="78664B8D" w14:textId="77777777" w:rsidR="00087E07" w:rsidRPr="00B30017" w:rsidRDefault="00087E07" w:rsidP="00B30017">
            <w:pPr>
              <w:jc w:val="right"/>
              <w:rPr>
                <w:rFonts w:ascii="Times New Roman" w:eastAsia="Times New Roman" w:hAnsi="Times New Roman"/>
                <w:noProof w:val="0"/>
                <w:color w:val="000000"/>
                <w:sz w:val="22"/>
                <w:szCs w:val="22"/>
              </w:rPr>
            </w:pPr>
            <w:r w:rsidRPr="00B30017">
              <w:rPr>
                <w:rFonts w:ascii="Times New Roman" w:eastAsia="Times New Roman" w:hAnsi="Times New Roman"/>
                <w:noProof w:val="0"/>
                <w:color w:val="000000"/>
                <w:sz w:val="22"/>
                <w:szCs w:val="22"/>
              </w:rPr>
              <w:t>Lesbian</w:t>
            </w:r>
          </w:p>
        </w:tc>
        <w:tc>
          <w:tcPr>
            <w:tcW w:w="0" w:type="auto"/>
            <w:tcBorders>
              <w:top w:val="nil"/>
              <w:left w:val="nil"/>
              <w:bottom w:val="single" w:sz="8" w:space="0" w:color="auto"/>
              <w:right w:val="nil"/>
            </w:tcBorders>
            <w:shd w:val="clear" w:color="auto" w:fill="auto"/>
            <w:noWrap/>
            <w:hideMark/>
          </w:tcPr>
          <w:p w14:paraId="076D6946"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19.2%</w:t>
            </w:r>
          </w:p>
        </w:tc>
        <w:tc>
          <w:tcPr>
            <w:tcW w:w="0" w:type="auto"/>
            <w:tcBorders>
              <w:top w:val="nil"/>
              <w:left w:val="nil"/>
              <w:bottom w:val="single" w:sz="8" w:space="0" w:color="auto"/>
              <w:right w:val="nil"/>
            </w:tcBorders>
            <w:shd w:val="clear" w:color="auto" w:fill="auto"/>
            <w:noWrap/>
            <w:hideMark/>
          </w:tcPr>
          <w:p w14:paraId="0B6C4F04"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27.6%</w:t>
            </w:r>
          </w:p>
        </w:tc>
        <w:tc>
          <w:tcPr>
            <w:tcW w:w="0" w:type="auto"/>
            <w:tcBorders>
              <w:top w:val="nil"/>
              <w:left w:val="nil"/>
              <w:bottom w:val="single" w:sz="8" w:space="0" w:color="auto"/>
              <w:right w:val="nil"/>
            </w:tcBorders>
            <w:shd w:val="clear" w:color="auto" w:fill="auto"/>
            <w:noWrap/>
            <w:hideMark/>
          </w:tcPr>
          <w:p w14:paraId="552002DA"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16.4%</w:t>
            </w:r>
          </w:p>
        </w:tc>
        <w:tc>
          <w:tcPr>
            <w:tcW w:w="0" w:type="auto"/>
            <w:tcBorders>
              <w:top w:val="nil"/>
              <w:left w:val="nil"/>
              <w:bottom w:val="single" w:sz="8" w:space="0" w:color="auto"/>
              <w:right w:val="nil"/>
            </w:tcBorders>
            <w:shd w:val="clear" w:color="auto" w:fill="auto"/>
            <w:noWrap/>
            <w:hideMark/>
          </w:tcPr>
          <w:p w14:paraId="481A3A17" w14:textId="77777777" w:rsidR="00087E07" w:rsidRPr="00B30017" w:rsidRDefault="00087E07" w:rsidP="00B30017">
            <w:pPr>
              <w:jc w:val="right"/>
              <w:rPr>
                <w:rFonts w:ascii="Times New Roman" w:eastAsia="Times New Roman" w:hAnsi="Times New Roman"/>
                <w:noProof w:val="0"/>
                <w:color w:val="010205"/>
                <w:sz w:val="22"/>
                <w:szCs w:val="22"/>
              </w:rPr>
            </w:pPr>
            <w:r w:rsidRPr="00B30017">
              <w:rPr>
                <w:rFonts w:ascii="Times New Roman" w:eastAsia="Times New Roman" w:hAnsi="Times New Roman"/>
                <w:noProof w:val="0"/>
                <w:color w:val="010205"/>
                <w:sz w:val="22"/>
                <w:szCs w:val="22"/>
              </w:rPr>
              <w:t>11.9%</w:t>
            </w:r>
          </w:p>
        </w:tc>
        <w:tc>
          <w:tcPr>
            <w:tcW w:w="0" w:type="auto"/>
            <w:tcBorders>
              <w:top w:val="nil"/>
              <w:left w:val="nil"/>
              <w:bottom w:val="single" w:sz="8" w:space="0" w:color="auto"/>
              <w:right w:val="nil"/>
            </w:tcBorders>
            <w:shd w:val="clear" w:color="auto" w:fill="auto"/>
            <w:noWrap/>
            <w:vAlign w:val="bottom"/>
            <w:hideMark/>
          </w:tcPr>
          <w:p w14:paraId="3133567A" w14:textId="74B87D76" w:rsidR="00087E07" w:rsidRPr="003D6A43" w:rsidRDefault="00087E07" w:rsidP="00B30017">
            <w:pPr>
              <w:jc w:val="center"/>
              <w:rPr>
                <w:rFonts w:ascii="Times New Roman" w:eastAsia="Times New Roman" w:hAnsi="Times New Roman"/>
                <w:b/>
                <w:bCs/>
                <w:noProof w:val="0"/>
                <w:color w:val="000000" w:themeColor="text1"/>
                <w:sz w:val="22"/>
                <w:szCs w:val="22"/>
              </w:rPr>
            </w:pPr>
            <w:r w:rsidRPr="003D6A43">
              <w:rPr>
                <w:rFonts w:ascii="Times New Roman" w:eastAsia="Times New Roman" w:hAnsi="Times New Roman"/>
                <w:b/>
                <w:bCs/>
                <w:noProof w:val="0"/>
                <w:color w:val="000000" w:themeColor="text1"/>
                <w:sz w:val="22"/>
                <w:szCs w:val="22"/>
              </w:rPr>
              <w:t>1.71 (1.10-2.66)</w:t>
            </w:r>
          </w:p>
        </w:tc>
        <w:tc>
          <w:tcPr>
            <w:tcW w:w="0" w:type="auto"/>
            <w:tcBorders>
              <w:top w:val="nil"/>
              <w:left w:val="nil"/>
              <w:bottom w:val="single" w:sz="8" w:space="0" w:color="auto"/>
              <w:right w:val="nil"/>
            </w:tcBorders>
            <w:shd w:val="clear" w:color="auto" w:fill="auto"/>
            <w:vAlign w:val="center"/>
            <w:hideMark/>
          </w:tcPr>
          <w:p w14:paraId="19896329" w14:textId="77777777" w:rsidR="00087E07" w:rsidRPr="00B30017" w:rsidRDefault="00087E07" w:rsidP="00B30017">
            <w:pPr>
              <w:jc w:val="center"/>
              <w:rPr>
                <w:rFonts w:ascii="Times New Roman" w:eastAsia="Times New Roman" w:hAnsi="Times New Roman"/>
                <w:b/>
                <w:bCs/>
                <w:noProof w:val="0"/>
                <w:color w:val="000000"/>
                <w:sz w:val="22"/>
                <w:szCs w:val="22"/>
              </w:rPr>
            </w:pPr>
            <w:r w:rsidRPr="00B30017">
              <w:rPr>
                <w:rFonts w:ascii="Times New Roman" w:eastAsia="Times New Roman" w:hAnsi="Times New Roman"/>
                <w:b/>
                <w:bCs/>
                <w:noProof w:val="0"/>
                <w:color w:val="000000"/>
                <w:sz w:val="22"/>
                <w:szCs w:val="22"/>
              </w:rPr>
              <w:t>0.40 (0.25-0.63)</w:t>
            </w:r>
          </w:p>
        </w:tc>
        <w:tc>
          <w:tcPr>
            <w:tcW w:w="0" w:type="auto"/>
            <w:tcBorders>
              <w:top w:val="nil"/>
              <w:left w:val="nil"/>
              <w:bottom w:val="single" w:sz="8" w:space="0" w:color="auto"/>
              <w:right w:val="nil"/>
            </w:tcBorders>
            <w:shd w:val="clear" w:color="auto" w:fill="auto"/>
            <w:vAlign w:val="bottom"/>
            <w:hideMark/>
          </w:tcPr>
          <w:p w14:paraId="46ADD165" w14:textId="14529A6E" w:rsidR="00087E07" w:rsidRPr="003D6A43" w:rsidRDefault="00087E07" w:rsidP="00B30017">
            <w:pPr>
              <w:jc w:val="center"/>
              <w:rPr>
                <w:rFonts w:ascii="Times New Roman" w:eastAsia="Times New Roman" w:hAnsi="Times New Roman"/>
                <w:bCs/>
                <w:noProof w:val="0"/>
                <w:color w:val="FF0000"/>
                <w:sz w:val="22"/>
                <w:szCs w:val="22"/>
              </w:rPr>
            </w:pPr>
            <w:r w:rsidRPr="003D6A43">
              <w:rPr>
                <w:rFonts w:ascii="Times New Roman" w:eastAsia="Times New Roman" w:hAnsi="Times New Roman"/>
                <w:b/>
                <w:bCs/>
                <w:noProof w:val="0"/>
                <w:color w:val="000000" w:themeColor="text1"/>
                <w:sz w:val="22"/>
                <w:szCs w:val="22"/>
              </w:rPr>
              <w:t>0.53 (0.41-0.69)</w:t>
            </w:r>
          </w:p>
        </w:tc>
      </w:tr>
      <w:tr w:rsidR="00087E07" w:rsidRPr="00B30017" w14:paraId="39EDF5EE" w14:textId="77777777" w:rsidTr="00B30017">
        <w:trPr>
          <w:trHeight w:val="79"/>
        </w:trPr>
        <w:tc>
          <w:tcPr>
            <w:tcW w:w="0" w:type="auto"/>
            <w:gridSpan w:val="8"/>
            <w:tcBorders>
              <w:top w:val="single" w:sz="8" w:space="0" w:color="auto"/>
              <w:left w:val="nil"/>
              <w:bottom w:val="nil"/>
              <w:right w:val="nil"/>
            </w:tcBorders>
            <w:shd w:val="clear" w:color="auto" w:fill="auto"/>
            <w:noWrap/>
            <w:vAlign w:val="center"/>
            <w:hideMark/>
          </w:tcPr>
          <w:p w14:paraId="5AB3AC83" w14:textId="181044CF" w:rsidR="00087E07" w:rsidRPr="00B30017" w:rsidRDefault="00087E07" w:rsidP="00E30804">
            <w:pPr>
              <w:rPr>
                <w:rFonts w:ascii="Times New Roman" w:eastAsia="Times New Roman" w:hAnsi="Times New Roman"/>
                <w:i/>
                <w:iCs/>
                <w:noProof w:val="0"/>
                <w:color w:val="000000"/>
                <w:sz w:val="22"/>
                <w:szCs w:val="22"/>
              </w:rPr>
            </w:pPr>
            <w:r w:rsidRPr="00B30017">
              <w:rPr>
                <w:rFonts w:ascii="Times New Roman" w:eastAsia="Times New Roman" w:hAnsi="Times New Roman"/>
                <w:i/>
                <w:iCs/>
                <w:noProof w:val="0"/>
                <w:color w:val="000000"/>
                <w:sz w:val="22"/>
                <w:szCs w:val="22"/>
              </w:rPr>
              <w:t>Note</w:t>
            </w:r>
            <w:r w:rsidRPr="00B30017">
              <w:rPr>
                <w:rFonts w:ascii="Times New Roman" w:eastAsia="Times New Roman" w:hAnsi="Times New Roman"/>
                <w:noProof w:val="0"/>
                <w:color w:val="000000"/>
                <w:sz w:val="22"/>
                <w:szCs w:val="22"/>
              </w:rPr>
              <w:t xml:space="preserve">. </w:t>
            </w:r>
            <w:r w:rsidR="00E30804">
              <w:rPr>
                <w:rFonts w:ascii="Times New Roman" w:eastAsia="Times New Roman" w:hAnsi="Times New Roman"/>
                <w:noProof w:val="0"/>
                <w:color w:val="000000"/>
                <w:sz w:val="22"/>
                <w:szCs w:val="22"/>
              </w:rPr>
              <w:t>All o</w:t>
            </w:r>
            <w:r w:rsidRPr="00B30017">
              <w:rPr>
                <w:rFonts w:ascii="Times New Roman" w:eastAsia="Times New Roman" w:hAnsi="Times New Roman"/>
                <w:noProof w:val="0"/>
                <w:color w:val="000000"/>
                <w:sz w:val="22"/>
                <w:szCs w:val="22"/>
              </w:rPr>
              <w:t>utcomes were weighted</w:t>
            </w:r>
            <w:r>
              <w:rPr>
                <w:rFonts w:ascii="Times New Roman" w:eastAsia="Times New Roman" w:hAnsi="Times New Roman"/>
                <w:noProof w:val="0"/>
                <w:color w:val="000000"/>
                <w:sz w:val="22"/>
                <w:szCs w:val="22"/>
              </w:rPr>
              <w:t xml:space="preserve">. </w:t>
            </w:r>
            <w:proofErr w:type="spellStart"/>
            <w:proofErr w:type="gramStart"/>
            <w:r>
              <w:rPr>
                <w:rFonts w:ascii="Times New Roman" w:eastAsia="Times New Roman" w:hAnsi="Times New Roman"/>
                <w:noProof w:val="0"/>
                <w:color w:val="000000"/>
                <w:sz w:val="22"/>
                <w:szCs w:val="22"/>
              </w:rPr>
              <w:t>aOR</w:t>
            </w:r>
            <w:proofErr w:type="spellEnd"/>
            <w:proofErr w:type="gramEnd"/>
            <w:r>
              <w:rPr>
                <w:rFonts w:ascii="Times New Roman" w:eastAsia="Times New Roman" w:hAnsi="Times New Roman"/>
                <w:noProof w:val="0"/>
                <w:color w:val="000000"/>
                <w:sz w:val="22"/>
                <w:szCs w:val="22"/>
              </w:rPr>
              <w:t xml:space="preserve"> = adjusted odds ratio for ethnicity</w:t>
            </w:r>
            <w:r w:rsidR="00E30804">
              <w:rPr>
                <w:rFonts w:ascii="Times New Roman" w:eastAsia="Times New Roman" w:hAnsi="Times New Roman"/>
                <w:noProof w:val="0"/>
                <w:color w:val="000000"/>
                <w:sz w:val="22"/>
                <w:szCs w:val="22"/>
              </w:rPr>
              <w:t xml:space="preserve"> and age; </w:t>
            </w:r>
            <w:proofErr w:type="spellStart"/>
            <w:r w:rsidR="00E30804">
              <w:rPr>
                <w:rFonts w:ascii="Times New Roman" w:eastAsia="Times New Roman" w:hAnsi="Times New Roman"/>
                <w:noProof w:val="0"/>
                <w:color w:val="000000"/>
                <w:sz w:val="22"/>
                <w:szCs w:val="22"/>
              </w:rPr>
              <w:t>bOR</w:t>
            </w:r>
            <w:proofErr w:type="spellEnd"/>
            <w:r w:rsidR="00E30804">
              <w:rPr>
                <w:rFonts w:ascii="Times New Roman" w:eastAsia="Times New Roman" w:hAnsi="Times New Roman"/>
                <w:noProof w:val="0"/>
                <w:color w:val="000000"/>
                <w:sz w:val="22"/>
                <w:szCs w:val="22"/>
              </w:rPr>
              <w:t xml:space="preserve"> = adjusted odds ratio for age only.</w:t>
            </w:r>
            <w:r w:rsidRPr="00B30017">
              <w:rPr>
                <w:rFonts w:ascii="Times New Roman" w:eastAsia="Times New Roman" w:hAnsi="Times New Roman"/>
                <w:noProof w:val="0"/>
                <w:color w:val="000000"/>
                <w:sz w:val="22"/>
                <w:szCs w:val="22"/>
              </w:rPr>
              <w:t xml:space="preserve"> Due to low prevalence rates, "smoked daily in past 30 days" was adjusted for age but not race/ethnicity. </w:t>
            </w:r>
            <w:proofErr w:type="spellStart"/>
            <w:proofErr w:type="gramStart"/>
            <w:r w:rsidR="00E30804">
              <w:rPr>
                <w:rFonts w:ascii="Times New Roman" w:eastAsia="Times New Roman" w:hAnsi="Times New Roman"/>
                <w:noProof w:val="0"/>
                <w:color w:val="000000"/>
                <w:sz w:val="22"/>
                <w:szCs w:val="22"/>
              </w:rPr>
              <w:t>a</w:t>
            </w:r>
            <w:r w:rsidRPr="00B30017">
              <w:rPr>
                <w:rFonts w:ascii="Times New Roman" w:eastAsia="Times New Roman" w:hAnsi="Times New Roman"/>
                <w:noProof w:val="0"/>
                <w:color w:val="000000"/>
                <w:sz w:val="22"/>
                <w:szCs w:val="22"/>
              </w:rPr>
              <w:t>OR</w:t>
            </w:r>
            <w:proofErr w:type="spellEnd"/>
            <w:proofErr w:type="gramEnd"/>
            <w:r w:rsidR="00E30804">
              <w:rPr>
                <w:rFonts w:ascii="Times New Roman" w:eastAsia="Times New Roman" w:hAnsi="Times New Roman"/>
                <w:noProof w:val="0"/>
                <w:color w:val="000000"/>
                <w:sz w:val="22"/>
                <w:szCs w:val="22"/>
              </w:rPr>
              <w:t xml:space="preserve"> and </w:t>
            </w:r>
            <w:proofErr w:type="spellStart"/>
            <w:r w:rsidR="00E30804">
              <w:rPr>
                <w:rFonts w:ascii="Times New Roman" w:eastAsia="Times New Roman" w:hAnsi="Times New Roman"/>
                <w:noProof w:val="0"/>
                <w:color w:val="000000"/>
                <w:sz w:val="22"/>
                <w:szCs w:val="22"/>
              </w:rPr>
              <w:t>bOR</w:t>
            </w:r>
            <w:proofErr w:type="spellEnd"/>
            <w:r w:rsidR="00E30804">
              <w:rPr>
                <w:rFonts w:ascii="Times New Roman" w:eastAsia="Times New Roman" w:hAnsi="Times New Roman"/>
                <w:noProof w:val="0"/>
                <w:color w:val="000000"/>
                <w:sz w:val="22"/>
                <w:szCs w:val="22"/>
              </w:rPr>
              <w:t xml:space="preserve"> in bold </w:t>
            </w:r>
            <w:proofErr w:type="spellStart"/>
            <w:r w:rsidR="00E30804" w:rsidRPr="006E0559">
              <w:rPr>
                <w:rFonts w:ascii="Times New Roman" w:eastAsia="Times New Roman" w:hAnsi="Times New Roman"/>
                <w:noProof w:val="0"/>
                <w:color w:val="000000"/>
                <w:sz w:val="22"/>
                <w:szCs w:val="22"/>
              </w:rPr>
              <w:t>bold</w:t>
            </w:r>
            <w:proofErr w:type="spellEnd"/>
            <w:r w:rsidR="00E30804" w:rsidRPr="006E0559">
              <w:rPr>
                <w:rFonts w:ascii="Times New Roman" w:eastAsia="Times New Roman" w:hAnsi="Times New Roman"/>
                <w:noProof w:val="0"/>
                <w:color w:val="000000"/>
                <w:sz w:val="22"/>
                <w:szCs w:val="22"/>
              </w:rPr>
              <w:t xml:space="preserve"> indicates </w:t>
            </w:r>
            <w:r w:rsidR="00E30804" w:rsidRPr="006E0559">
              <w:rPr>
                <w:rFonts w:ascii="Times New Roman" w:eastAsia="Times New Roman" w:hAnsi="Times New Roman"/>
                <w:i/>
                <w:iCs/>
                <w:noProof w:val="0"/>
                <w:color w:val="000000"/>
                <w:sz w:val="22"/>
                <w:szCs w:val="22"/>
              </w:rPr>
              <w:t>p</w:t>
            </w:r>
            <w:r w:rsidR="00E30804">
              <w:rPr>
                <w:rFonts w:ascii="Times New Roman" w:eastAsia="Times New Roman" w:hAnsi="Times New Roman"/>
                <w:i/>
                <w:iCs/>
                <w:noProof w:val="0"/>
                <w:color w:val="000000"/>
                <w:sz w:val="22"/>
                <w:szCs w:val="22"/>
              </w:rPr>
              <w:t xml:space="preserve"> </w:t>
            </w:r>
            <w:r w:rsidR="00E30804" w:rsidRPr="006E0559">
              <w:rPr>
                <w:rFonts w:ascii="Times New Roman" w:eastAsia="Times New Roman" w:hAnsi="Times New Roman"/>
                <w:noProof w:val="0"/>
                <w:color w:val="000000"/>
                <w:sz w:val="22"/>
                <w:szCs w:val="22"/>
              </w:rPr>
              <w:t>&lt; .05</w:t>
            </w:r>
            <w:r w:rsidR="00E30804">
              <w:rPr>
                <w:rFonts w:ascii="Times New Roman" w:eastAsia="Times New Roman" w:hAnsi="Times New Roman"/>
                <w:noProof w:val="0"/>
                <w:color w:val="000000"/>
                <w:sz w:val="22"/>
                <w:szCs w:val="22"/>
              </w:rPr>
              <w:t xml:space="preserve">;  CI = </w:t>
            </w:r>
            <w:r w:rsidRPr="00B30017">
              <w:rPr>
                <w:rFonts w:ascii="Times New Roman" w:eastAsia="Times New Roman" w:hAnsi="Times New Roman"/>
                <w:noProof w:val="0"/>
                <w:color w:val="000000"/>
                <w:sz w:val="22"/>
                <w:szCs w:val="22"/>
              </w:rPr>
              <w:t>Confidence interval</w:t>
            </w:r>
            <w:r w:rsidR="00E30804">
              <w:rPr>
                <w:rFonts w:ascii="Times New Roman" w:eastAsia="Times New Roman" w:hAnsi="Times New Roman"/>
                <w:noProof w:val="0"/>
                <w:color w:val="000000"/>
                <w:sz w:val="22"/>
                <w:szCs w:val="22"/>
              </w:rPr>
              <w:t>.</w:t>
            </w:r>
          </w:p>
        </w:tc>
      </w:tr>
    </w:tbl>
    <w:p w14:paraId="79008B37" w14:textId="77777777" w:rsidR="004935FF" w:rsidRPr="004935FF" w:rsidRDefault="004935FF" w:rsidP="004935FF">
      <w:pPr>
        <w:tabs>
          <w:tab w:val="left" w:pos="3215"/>
        </w:tabs>
        <w:rPr>
          <w:rFonts w:ascii="Times New Roman" w:hAnsi="Times New Roman"/>
          <w:i/>
          <w:sz w:val="22"/>
          <w:szCs w:val="22"/>
        </w:rPr>
      </w:pPr>
    </w:p>
    <w:p w14:paraId="24E9C26E" w14:textId="77777777" w:rsidR="004935FF" w:rsidRPr="004935FF" w:rsidRDefault="004935FF" w:rsidP="004935FF">
      <w:pPr>
        <w:tabs>
          <w:tab w:val="left" w:pos="3215"/>
        </w:tabs>
        <w:rPr>
          <w:rFonts w:ascii="Times New Roman" w:hAnsi="Times New Roman"/>
          <w:sz w:val="22"/>
          <w:szCs w:val="22"/>
        </w:rPr>
        <w:sectPr w:rsidR="004935FF" w:rsidRPr="004935FF" w:rsidSect="00922EF4">
          <w:pgSz w:w="15840" w:h="12240" w:orient="landscape"/>
          <w:pgMar w:top="1440" w:right="1440" w:bottom="1440" w:left="1440" w:header="720" w:footer="720" w:gutter="0"/>
          <w:cols w:space="720"/>
          <w:titlePg/>
          <w:docGrid w:linePitch="360"/>
        </w:sectPr>
      </w:pPr>
    </w:p>
    <w:tbl>
      <w:tblPr>
        <w:tblW w:w="10534" w:type="dxa"/>
        <w:tblLook w:val="04A0" w:firstRow="1" w:lastRow="0" w:firstColumn="1" w:lastColumn="0" w:noHBand="0" w:noVBand="1"/>
      </w:tblPr>
      <w:tblGrid>
        <w:gridCol w:w="2350"/>
        <w:gridCol w:w="2046"/>
        <w:gridCol w:w="2046"/>
        <w:gridCol w:w="2046"/>
        <w:gridCol w:w="2046"/>
      </w:tblGrid>
      <w:tr w:rsidR="006E0559" w:rsidRPr="006E0559" w14:paraId="5DDA7F8D" w14:textId="77777777" w:rsidTr="006E0559">
        <w:trPr>
          <w:trHeight w:val="320"/>
        </w:trPr>
        <w:tc>
          <w:tcPr>
            <w:tcW w:w="2350" w:type="dxa"/>
            <w:tcBorders>
              <w:top w:val="nil"/>
              <w:left w:val="nil"/>
              <w:bottom w:val="nil"/>
              <w:right w:val="nil"/>
            </w:tcBorders>
            <w:shd w:val="clear" w:color="auto" w:fill="auto"/>
            <w:noWrap/>
            <w:vAlign w:val="center"/>
            <w:hideMark/>
          </w:tcPr>
          <w:p w14:paraId="36D4BCC5"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lastRenderedPageBreak/>
              <w:t>Table 3</w:t>
            </w:r>
            <w:r>
              <w:rPr>
                <w:rFonts w:ascii="Times New Roman" w:eastAsia="Times New Roman" w:hAnsi="Times New Roman"/>
                <w:noProof w:val="0"/>
                <w:color w:val="000000"/>
                <w:sz w:val="22"/>
                <w:szCs w:val="22"/>
              </w:rPr>
              <w:t>.</w:t>
            </w:r>
          </w:p>
        </w:tc>
        <w:tc>
          <w:tcPr>
            <w:tcW w:w="2046" w:type="dxa"/>
            <w:tcBorders>
              <w:top w:val="nil"/>
              <w:left w:val="nil"/>
              <w:bottom w:val="nil"/>
              <w:right w:val="nil"/>
            </w:tcBorders>
            <w:shd w:val="clear" w:color="auto" w:fill="auto"/>
            <w:noWrap/>
            <w:vAlign w:val="bottom"/>
            <w:hideMark/>
          </w:tcPr>
          <w:p w14:paraId="1A5A9DFF" w14:textId="77777777" w:rsidR="006E0559" w:rsidRPr="006E0559" w:rsidRDefault="006E0559" w:rsidP="006E0559">
            <w:pPr>
              <w:jc w:val="both"/>
              <w:rPr>
                <w:rFonts w:ascii="Times New Roman" w:eastAsia="Times New Roman" w:hAnsi="Times New Roman"/>
                <w:noProof w:val="0"/>
                <w:color w:val="000000"/>
                <w:sz w:val="22"/>
                <w:szCs w:val="22"/>
              </w:rPr>
            </w:pPr>
          </w:p>
        </w:tc>
        <w:tc>
          <w:tcPr>
            <w:tcW w:w="2046" w:type="dxa"/>
            <w:tcBorders>
              <w:top w:val="nil"/>
              <w:left w:val="nil"/>
              <w:bottom w:val="nil"/>
              <w:right w:val="nil"/>
            </w:tcBorders>
            <w:shd w:val="clear" w:color="auto" w:fill="auto"/>
            <w:noWrap/>
            <w:vAlign w:val="bottom"/>
            <w:hideMark/>
          </w:tcPr>
          <w:p w14:paraId="216BFD9B" w14:textId="77777777" w:rsidR="006E0559" w:rsidRPr="006E0559" w:rsidRDefault="006E0559" w:rsidP="006E0559">
            <w:pPr>
              <w:rPr>
                <w:rFonts w:ascii="Times New Roman" w:eastAsia="Times New Roman" w:hAnsi="Times New Roman"/>
                <w:noProof w:val="0"/>
                <w:sz w:val="20"/>
                <w:szCs w:val="20"/>
              </w:rPr>
            </w:pPr>
          </w:p>
        </w:tc>
        <w:tc>
          <w:tcPr>
            <w:tcW w:w="2046" w:type="dxa"/>
            <w:tcBorders>
              <w:top w:val="nil"/>
              <w:left w:val="nil"/>
              <w:bottom w:val="nil"/>
              <w:right w:val="nil"/>
            </w:tcBorders>
            <w:shd w:val="clear" w:color="auto" w:fill="auto"/>
            <w:noWrap/>
            <w:vAlign w:val="bottom"/>
            <w:hideMark/>
          </w:tcPr>
          <w:p w14:paraId="46ECDF1A" w14:textId="77777777" w:rsidR="006E0559" w:rsidRPr="006E0559" w:rsidRDefault="006E0559" w:rsidP="006E0559">
            <w:pPr>
              <w:rPr>
                <w:rFonts w:ascii="Times New Roman" w:eastAsia="Times New Roman" w:hAnsi="Times New Roman"/>
                <w:noProof w:val="0"/>
                <w:sz w:val="20"/>
                <w:szCs w:val="20"/>
              </w:rPr>
            </w:pPr>
          </w:p>
        </w:tc>
        <w:tc>
          <w:tcPr>
            <w:tcW w:w="2046" w:type="dxa"/>
            <w:tcBorders>
              <w:top w:val="nil"/>
              <w:left w:val="nil"/>
              <w:bottom w:val="nil"/>
              <w:right w:val="nil"/>
            </w:tcBorders>
            <w:shd w:val="clear" w:color="auto" w:fill="auto"/>
            <w:noWrap/>
            <w:vAlign w:val="bottom"/>
            <w:hideMark/>
          </w:tcPr>
          <w:p w14:paraId="0837C057" w14:textId="77777777" w:rsidR="006E0559" w:rsidRPr="006E0559" w:rsidRDefault="006E0559" w:rsidP="006E0559">
            <w:pPr>
              <w:rPr>
                <w:rFonts w:ascii="Times New Roman" w:eastAsia="Times New Roman" w:hAnsi="Times New Roman"/>
                <w:noProof w:val="0"/>
                <w:sz w:val="20"/>
                <w:szCs w:val="20"/>
              </w:rPr>
            </w:pPr>
          </w:p>
        </w:tc>
      </w:tr>
      <w:tr w:rsidR="006E0559" w:rsidRPr="006E0559" w14:paraId="71601464" w14:textId="77777777" w:rsidTr="006E0559">
        <w:trPr>
          <w:trHeight w:val="320"/>
        </w:trPr>
        <w:tc>
          <w:tcPr>
            <w:tcW w:w="2350" w:type="dxa"/>
            <w:tcBorders>
              <w:top w:val="nil"/>
              <w:left w:val="nil"/>
              <w:bottom w:val="nil"/>
              <w:right w:val="nil"/>
            </w:tcBorders>
            <w:shd w:val="clear" w:color="auto" w:fill="auto"/>
            <w:noWrap/>
            <w:vAlign w:val="center"/>
            <w:hideMark/>
          </w:tcPr>
          <w:p w14:paraId="225C3C09" w14:textId="77777777" w:rsidR="006E0559" w:rsidRPr="006E0559" w:rsidRDefault="006E0559" w:rsidP="006E0559">
            <w:pPr>
              <w:rPr>
                <w:rFonts w:ascii="Times New Roman" w:eastAsia="Times New Roman" w:hAnsi="Times New Roman"/>
                <w:noProof w:val="0"/>
                <w:sz w:val="20"/>
                <w:szCs w:val="20"/>
              </w:rPr>
            </w:pPr>
          </w:p>
        </w:tc>
        <w:tc>
          <w:tcPr>
            <w:tcW w:w="2046" w:type="dxa"/>
            <w:tcBorders>
              <w:top w:val="nil"/>
              <w:left w:val="nil"/>
              <w:bottom w:val="nil"/>
              <w:right w:val="nil"/>
            </w:tcBorders>
            <w:shd w:val="clear" w:color="auto" w:fill="auto"/>
            <w:noWrap/>
            <w:vAlign w:val="bottom"/>
            <w:hideMark/>
          </w:tcPr>
          <w:p w14:paraId="4777E9C1" w14:textId="77777777" w:rsidR="006E0559" w:rsidRPr="006E0559" w:rsidRDefault="006E0559" w:rsidP="006E0559">
            <w:pPr>
              <w:rPr>
                <w:rFonts w:ascii="Times New Roman" w:eastAsia="Times New Roman" w:hAnsi="Times New Roman"/>
                <w:noProof w:val="0"/>
                <w:sz w:val="20"/>
                <w:szCs w:val="20"/>
              </w:rPr>
            </w:pPr>
          </w:p>
        </w:tc>
        <w:tc>
          <w:tcPr>
            <w:tcW w:w="2046" w:type="dxa"/>
            <w:tcBorders>
              <w:top w:val="nil"/>
              <w:left w:val="nil"/>
              <w:bottom w:val="nil"/>
              <w:right w:val="nil"/>
            </w:tcBorders>
            <w:shd w:val="clear" w:color="auto" w:fill="auto"/>
            <w:noWrap/>
            <w:vAlign w:val="bottom"/>
            <w:hideMark/>
          </w:tcPr>
          <w:p w14:paraId="5E4F6BB3" w14:textId="77777777" w:rsidR="006E0559" w:rsidRPr="006E0559" w:rsidRDefault="006E0559" w:rsidP="006E0559">
            <w:pPr>
              <w:rPr>
                <w:rFonts w:ascii="Times New Roman" w:eastAsia="Times New Roman" w:hAnsi="Times New Roman"/>
                <w:noProof w:val="0"/>
                <w:sz w:val="20"/>
                <w:szCs w:val="20"/>
              </w:rPr>
            </w:pPr>
          </w:p>
        </w:tc>
        <w:tc>
          <w:tcPr>
            <w:tcW w:w="2046" w:type="dxa"/>
            <w:tcBorders>
              <w:top w:val="nil"/>
              <w:left w:val="nil"/>
              <w:bottom w:val="nil"/>
              <w:right w:val="nil"/>
            </w:tcBorders>
            <w:shd w:val="clear" w:color="auto" w:fill="auto"/>
            <w:noWrap/>
            <w:vAlign w:val="bottom"/>
            <w:hideMark/>
          </w:tcPr>
          <w:p w14:paraId="27E3A305" w14:textId="77777777" w:rsidR="006E0559" w:rsidRPr="006E0559" w:rsidRDefault="006E0559" w:rsidP="006E0559">
            <w:pPr>
              <w:rPr>
                <w:rFonts w:ascii="Times New Roman" w:eastAsia="Times New Roman" w:hAnsi="Times New Roman"/>
                <w:noProof w:val="0"/>
                <w:sz w:val="20"/>
                <w:szCs w:val="20"/>
              </w:rPr>
            </w:pPr>
          </w:p>
        </w:tc>
        <w:tc>
          <w:tcPr>
            <w:tcW w:w="2046" w:type="dxa"/>
            <w:tcBorders>
              <w:top w:val="nil"/>
              <w:left w:val="nil"/>
              <w:bottom w:val="nil"/>
              <w:right w:val="nil"/>
            </w:tcBorders>
            <w:shd w:val="clear" w:color="auto" w:fill="auto"/>
            <w:noWrap/>
            <w:vAlign w:val="bottom"/>
            <w:hideMark/>
          </w:tcPr>
          <w:p w14:paraId="62F1CD5B" w14:textId="77777777" w:rsidR="006E0559" w:rsidRPr="006E0559" w:rsidRDefault="006E0559" w:rsidP="006E0559">
            <w:pPr>
              <w:rPr>
                <w:rFonts w:ascii="Times New Roman" w:eastAsia="Times New Roman" w:hAnsi="Times New Roman"/>
                <w:noProof w:val="0"/>
                <w:sz w:val="20"/>
                <w:szCs w:val="20"/>
              </w:rPr>
            </w:pPr>
          </w:p>
        </w:tc>
      </w:tr>
      <w:tr w:rsidR="006E0559" w:rsidRPr="006E0559" w14:paraId="7943C608" w14:textId="77777777" w:rsidTr="006E0559">
        <w:trPr>
          <w:trHeight w:val="340"/>
        </w:trPr>
        <w:tc>
          <w:tcPr>
            <w:tcW w:w="10534" w:type="dxa"/>
            <w:gridSpan w:val="5"/>
            <w:tcBorders>
              <w:top w:val="nil"/>
              <w:left w:val="nil"/>
              <w:bottom w:val="single" w:sz="8" w:space="0" w:color="auto"/>
              <w:right w:val="nil"/>
            </w:tcBorders>
            <w:shd w:val="clear" w:color="auto" w:fill="auto"/>
            <w:noWrap/>
            <w:vAlign w:val="center"/>
            <w:hideMark/>
          </w:tcPr>
          <w:p w14:paraId="0DFB3598" w14:textId="77777777" w:rsidR="006E0559" w:rsidRPr="006E0559" w:rsidRDefault="006E0559" w:rsidP="006E0559">
            <w:pPr>
              <w:rPr>
                <w:rFonts w:ascii="Times New Roman" w:eastAsia="Times New Roman" w:hAnsi="Times New Roman"/>
                <w:i/>
                <w:noProof w:val="0"/>
                <w:color w:val="000000"/>
                <w:sz w:val="22"/>
                <w:szCs w:val="22"/>
              </w:rPr>
            </w:pPr>
            <w:r w:rsidRPr="006E0559">
              <w:rPr>
                <w:rFonts w:ascii="Times New Roman" w:eastAsia="Times New Roman" w:hAnsi="Times New Roman"/>
                <w:i/>
                <w:noProof w:val="0"/>
                <w:color w:val="000000"/>
                <w:sz w:val="22"/>
                <w:szCs w:val="22"/>
              </w:rPr>
              <w:t>Odds Ratios and 95% Confidence Intervals for Tobacco Use by Year (1999-2013): Comparisons by Sexual Orientation</w:t>
            </w:r>
          </w:p>
        </w:tc>
      </w:tr>
      <w:tr w:rsidR="006E0559" w:rsidRPr="006E0559" w14:paraId="409D71E4" w14:textId="77777777" w:rsidTr="006E0559">
        <w:trPr>
          <w:trHeight w:val="660"/>
        </w:trPr>
        <w:tc>
          <w:tcPr>
            <w:tcW w:w="2350" w:type="dxa"/>
            <w:tcBorders>
              <w:top w:val="nil"/>
              <w:left w:val="nil"/>
              <w:bottom w:val="single" w:sz="8" w:space="0" w:color="auto"/>
              <w:right w:val="nil"/>
            </w:tcBorders>
            <w:shd w:val="clear" w:color="auto" w:fill="auto"/>
            <w:vAlign w:val="center"/>
            <w:hideMark/>
          </w:tcPr>
          <w:p w14:paraId="38111B7D" w14:textId="77777777" w:rsidR="006E0559" w:rsidRPr="006E0559" w:rsidRDefault="006E0559" w:rsidP="006E0559">
            <w:pPr>
              <w:jc w:val="cente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 </w:t>
            </w:r>
          </w:p>
        </w:tc>
        <w:tc>
          <w:tcPr>
            <w:tcW w:w="2046" w:type="dxa"/>
            <w:tcBorders>
              <w:top w:val="nil"/>
              <w:left w:val="nil"/>
              <w:bottom w:val="single" w:sz="8" w:space="0" w:color="auto"/>
              <w:right w:val="nil"/>
            </w:tcBorders>
            <w:shd w:val="clear" w:color="auto" w:fill="auto"/>
            <w:vAlign w:val="center"/>
            <w:hideMark/>
          </w:tcPr>
          <w:p w14:paraId="03586A8C" w14:textId="77777777" w:rsidR="006E0559" w:rsidRPr="006E0559" w:rsidRDefault="006E0559" w:rsidP="006E0559">
            <w:pPr>
              <w:jc w:val="center"/>
              <w:rPr>
                <w:rFonts w:ascii="Times New Roman" w:eastAsia="Times New Roman" w:hAnsi="Times New Roman"/>
                <w:b/>
                <w:bCs/>
                <w:noProof w:val="0"/>
                <w:color w:val="000000"/>
              </w:rPr>
            </w:pPr>
            <w:r w:rsidRPr="006E0559">
              <w:rPr>
                <w:rFonts w:ascii="Times New Roman" w:eastAsia="Times New Roman" w:hAnsi="Times New Roman"/>
                <w:b/>
                <w:bCs/>
                <w:noProof w:val="0"/>
                <w:color w:val="000000"/>
              </w:rPr>
              <w:t>1999/2001</w:t>
            </w:r>
          </w:p>
        </w:tc>
        <w:tc>
          <w:tcPr>
            <w:tcW w:w="2046" w:type="dxa"/>
            <w:tcBorders>
              <w:top w:val="nil"/>
              <w:left w:val="nil"/>
              <w:bottom w:val="single" w:sz="8" w:space="0" w:color="auto"/>
              <w:right w:val="nil"/>
            </w:tcBorders>
            <w:shd w:val="clear" w:color="auto" w:fill="auto"/>
            <w:vAlign w:val="center"/>
            <w:hideMark/>
          </w:tcPr>
          <w:p w14:paraId="71FC320E" w14:textId="77777777" w:rsidR="006E0559" w:rsidRPr="006E0559" w:rsidRDefault="006E0559" w:rsidP="006E0559">
            <w:pPr>
              <w:jc w:val="center"/>
              <w:rPr>
                <w:rFonts w:ascii="Times New Roman" w:eastAsia="Times New Roman" w:hAnsi="Times New Roman"/>
                <w:b/>
                <w:bCs/>
                <w:noProof w:val="0"/>
                <w:color w:val="000000"/>
              </w:rPr>
            </w:pPr>
            <w:r w:rsidRPr="006E0559">
              <w:rPr>
                <w:rFonts w:ascii="Times New Roman" w:eastAsia="Times New Roman" w:hAnsi="Times New Roman"/>
                <w:b/>
                <w:bCs/>
                <w:noProof w:val="0"/>
                <w:color w:val="000000"/>
              </w:rPr>
              <w:t>2003/2005</w:t>
            </w:r>
          </w:p>
        </w:tc>
        <w:tc>
          <w:tcPr>
            <w:tcW w:w="2046" w:type="dxa"/>
            <w:tcBorders>
              <w:top w:val="nil"/>
              <w:left w:val="nil"/>
              <w:bottom w:val="single" w:sz="8" w:space="0" w:color="auto"/>
              <w:right w:val="nil"/>
            </w:tcBorders>
            <w:shd w:val="clear" w:color="auto" w:fill="auto"/>
            <w:vAlign w:val="center"/>
            <w:hideMark/>
          </w:tcPr>
          <w:p w14:paraId="731941F0" w14:textId="77777777" w:rsidR="006E0559" w:rsidRPr="006E0559" w:rsidRDefault="006E0559" w:rsidP="006E0559">
            <w:pPr>
              <w:jc w:val="center"/>
              <w:rPr>
                <w:rFonts w:ascii="Times New Roman" w:eastAsia="Times New Roman" w:hAnsi="Times New Roman"/>
                <w:b/>
                <w:bCs/>
                <w:noProof w:val="0"/>
                <w:color w:val="000000"/>
              </w:rPr>
            </w:pPr>
            <w:r w:rsidRPr="006E0559">
              <w:rPr>
                <w:rFonts w:ascii="Times New Roman" w:eastAsia="Times New Roman" w:hAnsi="Times New Roman"/>
                <w:b/>
                <w:bCs/>
                <w:noProof w:val="0"/>
                <w:color w:val="000000"/>
              </w:rPr>
              <w:t>2007/2009</w:t>
            </w:r>
          </w:p>
        </w:tc>
        <w:tc>
          <w:tcPr>
            <w:tcW w:w="2046" w:type="dxa"/>
            <w:tcBorders>
              <w:top w:val="nil"/>
              <w:left w:val="nil"/>
              <w:bottom w:val="single" w:sz="8" w:space="0" w:color="auto"/>
              <w:right w:val="nil"/>
            </w:tcBorders>
            <w:shd w:val="clear" w:color="auto" w:fill="auto"/>
            <w:vAlign w:val="center"/>
            <w:hideMark/>
          </w:tcPr>
          <w:p w14:paraId="2B0381F6" w14:textId="77777777" w:rsidR="006E0559" w:rsidRPr="006E0559" w:rsidRDefault="006E0559" w:rsidP="006E0559">
            <w:pPr>
              <w:jc w:val="center"/>
              <w:rPr>
                <w:rFonts w:ascii="Times New Roman" w:eastAsia="Times New Roman" w:hAnsi="Times New Roman"/>
                <w:b/>
                <w:bCs/>
                <w:noProof w:val="0"/>
                <w:color w:val="000000"/>
              </w:rPr>
            </w:pPr>
            <w:r w:rsidRPr="006E0559">
              <w:rPr>
                <w:rFonts w:ascii="Times New Roman" w:eastAsia="Times New Roman" w:hAnsi="Times New Roman"/>
                <w:b/>
                <w:bCs/>
                <w:noProof w:val="0"/>
                <w:color w:val="000000"/>
              </w:rPr>
              <w:t>2011/2013</w:t>
            </w:r>
          </w:p>
        </w:tc>
      </w:tr>
      <w:tr w:rsidR="006E0559" w:rsidRPr="006E0559" w14:paraId="3A8A9990" w14:textId="77777777" w:rsidTr="006E0559">
        <w:trPr>
          <w:trHeight w:val="340"/>
        </w:trPr>
        <w:tc>
          <w:tcPr>
            <w:tcW w:w="10534" w:type="dxa"/>
            <w:gridSpan w:val="5"/>
            <w:tcBorders>
              <w:top w:val="single" w:sz="8" w:space="0" w:color="auto"/>
              <w:left w:val="nil"/>
              <w:bottom w:val="single" w:sz="8" w:space="0" w:color="auto"/>
              <w:right w:val="nil"/>
            </w:tcBorders>
            <w:shd w:val="clear" w:color="000000" w:fill="D9D9D9"/>
            <w:vAlign w:val="center"/>
            <w:hideMark/>
          </w:tcPr>
          <w:p w14:paraId="73270227" w14:textId="77777777" w:rsidR="006E0559" w:rsidRPr="006E0559" w:rsidRDefault="006E0559" w:rsidP="006E0559">
            <w:pPr>
              <w:jc w:val="cente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Ever Smoked Cigarettes</w:t>
            </w:r>
          </w:p>
        </w:tc>
      </w:tr>
      <w:tr w:rsidR="006E0559" w:rsidRPr="006E0559" w14:paraId="306A812A" w14:textId="77777777" w:rsidTr="006E0559">
        <w:trPr>
          <w:trHeight w:val="320"/>
        </w:trPr>
        <w:tc>
          <w:tcPr>
            <w:tcW w:w="2350" w:type="dxa"/>
            <w:tcBorders>
              <w:top w:val="nil"/>
              <w:left w:val="nil"/>
              <w:bottom w:val="nil"/>
              <w:right w:val="nil"/>
            </w:tcBorders>
            <w:shd w:val="clear" w:color="auto" w:fill="auto"/>
            <w:vAlign w:val="center"/>
            <w:hideMark/>
          </w:tcPr>
          <w:p w14:paraId="72320BD7" w14:textId="77777777" w:rsidR="006E0559" w:rsidRPr="006E0559" w:rsidRDefault="006E0559" w:rsidP="006E0559">
            <w:pPr>
              <w:jc w:val="both"/>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Male</w:t>
            </w:r>
          </w:p>
        </w:tc>
        <w:tc>
          <w:tcPr>
            <w:tcW w:w="2046" w:type="dxa"/>
            <w:tcBorders>
              <w:top w:val="nil"/>
              <w:left w:val="nil"/>
              <w:bottom w:val="nil"/>
              <w:right w:val="nil"/>
            </w:tcBorders>
            <w:shd w:val="clear" w:color="auto" w:fill="auto"/>
            <w:vAlign w:val="center"/>
            <w:hideMark/>
          </w:tcPr>
          <w:p w14:paraId="04FD31D8" w14:textId="35BA3247" w:rsidR="006E0559" w:rsidRPr="006E0559" w:rsidRDefault="00E30804" w:rsidP="006E0559">
            <w:pPr>
              <w:jc w:val="both"/>
              <w:rPr>
                <w:rFonts w:ascii="Times New Roman" w:eastAsia="Times New Roman" w:hAnsi="Times New Roman"/>
                <w:b/>
                <w:bCs/>
                <w:noProof w:val="0"/>
                <w:color w:val="000000"/>
                <w:sz w:val="22"/>
                <w:szCs w:val="22"/>
              </w:rPr>
            </w:pPr>
            <w:proofErr w:type="spellStart"/>
            <w:r>
              <w:rPr>
                <w:rFonts w:ascii="Times New Roman" w:eastAsia="Times New Roman" w:hAnsi="Times New Roman"/>
                <w:b/>
                <w:bCs/>
                <w:noProof w:val="0"/>
                <w:color w:val="000000"/>
                <w:sz w:val="22"/>
                <w:szCs w:val="22"/>
              </w:rPr>
              <w:t>aOR</w:t>
            </w:r>
            <w:proofErr w:type="spellEnd"/>
            <w:r>
              <w:rPr>
                <w:rFonts w:ascii="Times New Roman" w:eastAsia="Times New Roman" w:hAnsi="Times New Roman"/>
                <w:b/>
                <w:bCs/>
                <w:noProof w:val="0"/>
                <w:color w:val="000000"/>
                <w:sz w:val="22"/>
                <w:szCs w:val="22"/>
              </w:rPr>
              <w:t xml:space="preserve"> (95% CI)</w:t>
            </w:r>
          </w:p>
        </w:tc>
        <w:tc>
          <w:tcPr>
            <w:tcW w:w="2046" w:type="dxa"/>
            <w:tcBorders>
              <w:top w:val="nil"/>
              <w:left w:val="nil"/>
              <w:bottom w:val="nil"/>
              <w:right w:val="nil"/>
            </w:tcBorders>
            <w:shd w:val="clear" w:color="auto" w:fill="auto"/>
            <w:vAlign w:val="center"/>
            <w:hideMark/>
          </w:tcPr>
          <w:p w14:paraId="006DCCF7" w14:textId="45FCC071" w:rsidR="006E0559" w:rsidRPr="006E0559" w:rsidRDefault="00E30804" w:rsidP="006E0559">
            <w:pPr>
              <w:rPr>
                <w:rFonts w:ascii="Times New Roman" w:eastAsia="Times New Roman" w:hAnsi="Times New Roman"/>
                <w:noProof w:val="0"/>
                <w:sz w:val="20"/>
                <w:szCs w:val="20"/>
              </w:rPr>
            </w:pPr>
            <w:proofErr w:type="spellStart"/>
            <w:r>
              <w:rPr>
                <w:rFonts w:ascii="Times New Roman" w:eastAsia="Times New Roman" w:hAnsi="Times New Roman"/>
                <w:b/>
                <w:bCs/>
                <w:noProof w:val="0"/>
                <w:color w:val="000000"/>
                <w:sz w:val="22"/>
                <w:szCs w:val="22"/>
              </w:rPr>
              <w:t>aOR</w:t>
            </w:r>
            <w:proofErr w:type="spellEnd"/>
            <w:r>
              <w:rPr>
                <w:rFonts w:ascii="Times New Roman" w:eastAsia="Times New Roman" w:hAnsi="Times New Roman"/>
                <w:b/>
                <w:bCs/>
                <w:noProof w:val="0"/>
                <w:color w:val="000000"/>
                <w:sz w:val="22"/>
                <w:szCs w:val="22"/>
              </w:rPr>
              <w:t xml:space="preserve"> (95% CI)</w:t>
            </w:r>
          </w:p>
        </w:tc>
        <w:tc>
          <w:tcPr>
            <w:tcW w:w="2046" w:type="dxa"/>
            <w:tcBorders>
              <w:top w:val="nil"/>
              <w:left w:val="nil"/>
              <w:bottom w:val="nil"/>
              <w:right w:val="nil"/>
            </w:tcBorders>
            <w:shd w:val="clear" w:color="auto" w:fill="auto"/>
            <w:vAlign w:val="center"/>
            <w:hideMark/>
          </w:tcPr>
          <w:p w14:paraId="0F5CDAA1" w14:textId="0C6F7CAE" w:rsidR="006E0559" w:rsidRPr="006E0559" w:rsidRDefault="00E30804" w:rsidP="006E0559">
            <w:pPr>
              <w:rPr>
                <w:rFonts w:ascii="Times New Roman" w:eastAsia="Times New Roman" w:hAnsi="Times New Roman"/>
                <w:noProof w:val="0"/>
                <w:sz w:val="20"/>
                <w:szCs w:val="20"/>
              </w:rPr>
            </w:pPr>
            <w:proofErr w:type="spellStart"/>
            <w:r>
              <w:rPr>
                <w:rFonts w:ascii="Times New Roman" w:eastAsia="Times New Roman" w:hAnsi="Times New Roman"/>
                <w:b/>
                <w:bCs/>
                <w:noProof w:val="0"/>
                <w:color w:val="000000"/>
                <w:sz w:val="22"/>
                <w:szCs w:val="22"/>
              </w:rPr>
              <w:t>aOR</w:t>
            </w:r>
            <w:proofErr w:type="spellEnd"/>
            <w:r>
              <w:rPr>
                <w:rFonts w:ascii="Times New Roman" w:eastAsia="Times New Roman" w:hAnsi="Times New Roman"/>
                <w:b/>
                <w:bCs/>
                <w:noProof w:val="0"/>
                <w:color w:val="000000"/>
                <w:sz w:val="22"/>
                <w:szCs w:val="22"/>
              </w:rPr>
              <w:t xml:space="preserve"> (95% CI)</w:t>
            </w:r>
          </w:p>
        </w:tc>
        <w:tc>
          <w:tcPr>
            <w:tcW w:w="2046" w:type="dxa"/>
            <w:tcBorders>
              <w:top w:val="nil"/>
              <w:left w:val="nil"/>
              <w:bottom w:val="nil"/>
              <w:right w:val="nil"/>
            </w:tcBorders>
            <w:shd w:val="clear" w:color="auto" w:fill="auto"/>
            <w:vAlign w:val="center"/>
            <w:hideMark/>
          </w:tcPr>
          <w:p w14:paraId="783BFD1F" w14:textId="2C0ED995" w:rsidR="006E0559" w:rsidRPr="006E0559" w:rsidRDefault="00E30804" w:rsidP="006E0559">
            <w:pPr>
              <w:rPr>
                <w:rFonts w:ascii="Times New Roman" w:eastAsia="Times New Roman" w:hAnsi="Times New Roman"/>
                <w:noProof w:val="0"/>
                <w:sz w:val="20"/>
                <w:szCs w:val="20"/>
              </w:rPr>
            </w:pPr>
            <w:proofErr w:type="spellStart"/>
            <w:r>
              <w:rPr>
                <w:rFonts w:ascii="Times New Roman" w:eastAsia="Times New Roman" w:hAnsi="Times New Roman"/>
                <w:b/>
                <w:bCs/>
                <w:noProof w:val="0"/>
                <w:color w:val="000000"/>
                <w:sz w:val="22"/>
                <w:szCs w:val="22"/>
              </w:rPr>
              <w:t>aOR</w:t>
            </w:r>
            <w:proofErr w:type="spellEnd"/>
            <w:r>
              <w:rPr>
                <w:rFonts w:ascii="Times New Roman" w:eastAsia="Times New Roman" w:hAnsi="Times New Roman"/>
                <w:b/>
                <w:bCs/>
                <w:noProof w:val="0"/>
                <w:color w:val="000000"/>
                <w:sz w:val="22"/>
                <w:szCs w:val="22"/>
              </w:rPr>
              <w:t xml:space="preserve"> (95% CI)</w:t>
            </w:r>
          </w:p>
        </w:tc>
      </w:tr>
      <w:tr w:rsidR="006E0559" w:rsidRPr="006E0559" w14:paraId="3E570629" w14:textId="77777777" w:rsidTr="006E0559">
        <w:trPr>
          <w:trHeight w:val="320"/>
        </w:trPr>
        <w:tc>
          <w:tcPr>
            <w:tcW w:w="2350" w:type="dxa"/>
            <w:tcBorders>
              <w:top w:val="nil"/>
              <w:left w:val="nil"/>
              <w:bottom w:val="nil"/>
              <w:right w:val="nil"/>
            </w:tcBorders>
            <w:shd w:val="clear" w:color="auto" w:fill="auto"/>
            <w:vAlign w:val="center"/>
            <w:hideMark/>
          </w:tcPr>
          <w:p w14:paraId="00EA03E6"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Heterosexual</w:t>
            </w:r>
          </w:p>
        </w:tc>
        <w:tc>
          <w:tcPr>
            <w:tcW w:w="2046" w:type="dxa"/>
            <w:tcBorders>
              <w:top w:val="nil"/>
              <w:left w:val="nil"/>
              <w:bottom w:val="nil"/>
              <w:right w:val="nil"/>
            </w:tcBorders>
            <w:shd w:val="clear" w:color="auto" w:fill="auto"/>
            <w:vAlign w:val="center"/>
            <w:hideMark/>
          </w:tcPr>
          <w:p w14:paraId="2CA447A7"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355D94E1"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62255E74"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4EA5811D"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r>
      <w:tr w:rsidR="006E0559" w:rsidRPr="006E0559" w14:paraId="46FF9F83" w14:textId="77777777" w:rsidTr="006E0559">
        <w:trPr>
          <w:trHeight w:val="320"/>
        </w:trPr>
        <w:tc>
          <w:tcPr>
            <w:tcW w:w="2350" w:type="dxa"/>
            <w:tcBorders>
              <w:top w:val="nil"/>
              <w:left w:val="nil"/>
              <w:bottom w:val="nil"/>
              <w:right w:val="nil"/>
            </w:tcBorders>
            <w:shd w:val="clear" w:color="auto" w:fill="auto"/>
            <w:vAlign w:val="center"/>
            <w:hideMark/>
          </w:tcPr>
          <w:p w14:paraId="2B941775"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w:t>
            </w:r>
          </w:p>
        </w:tc>
        <w:tc>
          <w:tcPr>
            <w:tcW w:w="2046" w:type="dxa"/>
            <w:tcBorders>
              <w:top w:val="nil"/>
              <w:left w:val="nil"/>
              <w:bottom w:val="nil"/>
              <w:right w:val="nil"/>
            </w:tcBorders>
            <w:shd w:val="clear" w:color="auto" w:fill="auto"/>
            <w:vAlign w:val="center"/>
            <w:hideMark/>
          </w:tcPr>
          <w:p w14:paraId="6B549EB2"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2.66 (1.25-5.63)</w:t>
            </w:r>
          </w:p>
        </w:tc>
        <w:tc>
          <w:tcPr>
            <w:tcW w:w="2046" w:type="dxa"/>
            <w:tcBorders>
              <w:top w:val="nil"/>
              <w:left w:val="nil"/>
              <w:bottom w:val="nil"/>
              <w:right w:val="nil"/>
            </w:tcBorders>
            <w:shd w:val="clear" w:color="auto" w:fill="auto"/>
            <w:vAlign w:val="center"/>
            <w:hideMark/>
          </w:tcPr>
          <w:p w14:paraId="2858FF89" w14:textId="77777777" w:rsidR="006E0559" w:rsidRPr="006E0559" w:rsidRDefault="006E0559" w:rsidP="006E0559">
            <w:pPr>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2.04 (0.99-4.20)</w:t>
            </w:r>
          </w:p>
        </w:tc>
        <w:tc>
          <w:tcPr>
            <w:tcW w:w="2046" w:type="dxa"/>
            <w:tcBorders>
              <w:top w:val="nil"/>
              <w:left w:val="nil"/>
              <w:bottom w:val="nil"/>
              <w:right w:val="nil"/>
            </w:tcBorders>
            <w:shd w:val="clear" w:color="auto" w:fill="auto"/>
            <w:vAlign w:val="center"/>
            <w:hideMark/>
          </w:tcPr>
          <w:p w14:paraId="795001C2"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3.09 (1.51-6.33)</w:t>
            </w:r>
          </w:p>
        </w:tc>
        <w:tc>
          <w:tcPr>
            <w:tcW w:w="2046" w:type="dxa"/>
            <w:tcBorders>
              <w:top w:val="nil"/>
              <w:left w:val="nil"/>
              <w:bottom w:val="nil"/>
              <w:right w:val="nil"/>
            </w:tcBorders>
            <w:shd w:val="clear" w:color="auto" w:fill="auto"/>
            <w:vAlign w:val="center"/>
            <w:hideMark/>
          </w:tcPr>
          <w:p w14:paraId="0D606B43" w14:textId="77777777" w:rsidR="006E0559" w:rsidRPr="006E0559" w:rsidRDefault="006E0559" w:rsidP="006E0559">
            <w:pPr>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1.59 (0.91-2.77)</w:t>
            </w:r>
          </w:p>
        </w:tc>
      </w:tr>
      <w:tr w:rsidR="006E0559" w:rsidRPr="006E0559" w14:paraId="1DB60E2A" w14:textId="77777777" w:rsidTr="006E0559">
        <w:trPr>
          <w:trHeight w:val="320"/>
        </w:trPr>
        <w:tc>
          <w:tcPr>
            <w:tcW w:w="2350" w:type="dxa"/>
            <w:tcBorders>
              <w:top w:val="nil"/>
              <w:left w:val="nil"/>
              <w:bottom w:val="nil"/>
              <w:right w:val="nil"/>
            </w:tcBorders>
            <w:shd w:val="clear" w:color="auto" w:fill="auto"/>
            <w:vAlign w:val="center"/>
            <w:hideMark/>
          </w:tcPr>
          <w:p w14:paraId="57974AF1"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w:t>
            </w:r>
          </w:p>
        </w:tc>
        <w:tc>
          <w:tcPr>
            <w:tcW w:w="2046" w:type="dxa"/>
            <w:tcBorders>
              <w:top w:val="nil"/>
              <w:left w:val="nil"/>
              <w:bottom w:val="nil"/>
              <w:right w:val="nil"/>
            </w:tcBorders>
            <w:shd w:val="clear" w:color="auto" w:fill="auto"/>
            <w:vAlign w:val="center"/>
            <w:hideMark/>
          </w:tcPr>
          <w:p w14:paraId="6222DE09" w14:textId="77777777" w:rsidR="006E0559" w:rsidRPr="006E0559" w:rsidRDefault="006E0559" w:rsidP="006E0559">
            <w:pPr>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2.19 (0.94-5.09)</w:t>
            </w:r>
          </w:p>
        </w:tc>
        <w:tc>
          <w:tcPr>
            <w:tcW w:w="2046" w:type="dxa"/>
            <w:tcBorders>
              <w:top w:val="nil"/>
              <w:left w:val="nil"/>
              <w:bottom w:val="nil"/>
              <w:right w:val="nil"/>
            </w:tcBorders>
            <w:shd w:val="clear" w:color="auto" w:fill="auto"/>
            <w:vAlign w:val="center"/>
            <w:hideMark/>
          </w:tcPr>
          <w:p w14:paraId="6EACDAFB" w14:textId="77777777" w:rsidR="006E0559" w:rsidRPr="006E0559" w:rsidRDefault="006E0559" w:rsidP="006E0559">
            <w:pPr>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1.46 (0.63-3.38)</w:t>
            </w:r>
          </w:p>
        </w:tc>
        <w:tc>
          <w:tcPr>
            <w:tcW w:w="2046" w:type="dxa"/>
            <w:tcBorders>
              <w:top w:val="nil"/>
              <w:left w:val="nil"/>
              <w:bottom w:val="nil"/>
              <w:right w:val="nil"/>
            </w:tcBorders>
            <w:shd w:val="clear" w:color="auto" w:fill="auto"/>
            <w:vAlign w:val="center"/>
            <w:hideMark/>
          </w:tcPr>
          <w:p w14:paraId="7859B59C"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3.93 (1.86-8.34)</w:t>
            </w:r>
          </w:p>
        </w:tc>
        <w:tc>
          <w:tcPr>
            <w:tcW w:w="2046" w:type="dxa"/>
            <w:tcBorders>
              <w:top w:val="nil"/>
              <w:left w:val="nil"/>
              <w:bottom w:val="nil"/>
              <w:right w:val="nil"/>
            </w:tcBorders>
            <w:shd w:val="clear" w:color="auto" w:fill="auto"/>
            <w:vAlign w:val="center"/>
            <w:hideMark/>
          </w:tcPr>
          <w:p w14:paraId="24990734" w14:textId="77777777" w:rsidR="006E0559" w:rsidRPr="006E0559" w:rsidRDefault="006E0559" w:rsidP="006E0559">
            <w:pPr>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1.18 (0.64-2.16)</w:t>
            </w:r>
          </w:p>
        </w:tc>
      </w:tr>
      <w:tr w:rsidR="006E0559" w:rsidRPr="006E0559" w14:paraId="76CF1667" w14:textId="77777777" w:rsidTr="006E0559">
        <w:trPr>
          <w:trHeight w:val="320"/>
        </w:trPr>
        <w:tc>
          <w:tcPr>
            <w:tcW w:w="2350" w:type="dxa"/>
            <w:tcBorders>
              <w:top w:val="nil"/>
              <w:left w:val="nil"/>
              <w:bottom w:val="nil"/>
              <w:right w:val="nil"/>
            </w:tcBorders>
            <w:shd w:val="clear" w:color="auto" w:fill="auto"/>
            <w:vAlign w:val="center"/>
            <w:hideMark/>
          </w:tcPr>
          <w:p w14:paraId="6C4A248B"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Female</w:t>
            </w:r>
          </w:p>
        </w:tc>
        <w:tc>
          <w:tcPr>
            <w:tcW w:w="2046" w:type="dxa"/>
            <w:tcBorders>
              <w:top w:val="nil"/>
              <w:left w:val="nil"/>
              <w:bottom w:val="nil"/>
              <w:right w:val="nil"/>
            </w:tcBorders>
            <w:shd w:val="clear" w:color="auto" w:fill="auto"/>
            <w:vAlign w:val="center"/>
            <w:hideMark/>
          </w:tcPr>
          <w:p w14:paraId="7368C6AE" w14:textId="77777777" w:rsidR="006E0559" w:rsidRPr="006E0559" w:rsidRDefault="006E0559" w:rsidP="006E0559">
            <w:pPr>
              <w:rPr>
                <w:rFonts w:ascii="Times New Roman" w:eastAsia="Times New Roman" w:hAnsi="Times New Roman"/>
                <w:b/>
                <w:bCs/>
                <w:noProof w:val="0"/>
                <w:color w:val="000000"/>
                <w:sz w:val="22"/>
                <w:szCs w:val="22"/>
              </w:rPr>
            </w:pPr>
          </w:p>
        </w:tc>
        <w:tc>
          <w:tcPr>
            <w:tcW w:w="2046" w:type="dxa"/>
            <w:tcBorders>
              <w:top w:val="nil"/>
              <w:left w:val="nil"/>
              <w:bottom w:val="nil"/>
              <w:right w:val="nil"/>
            </w:tcBorders>
            <w:shd w:val="clear" w:color="auto" w:fill="auto"/>
            <w:vAlign w:val="center"/>
            <w:hideMark/>
          </w:tcPr>
          <w:p w14:paraId="159AE77E" w14:textId="77777777" w:rsidR="006E0559" w:rsidRPr="006E0559" w:rsidRDefault="006E0559" w:rsidP="006E0559">
            <w:pPr>
              <w:rPr>
                <w:rFonts w:ascii="Times New Roman" w:eastAsia="Times New Roman" w:hAnsi="Times New Roman"/>
                <w:noProof w:val="0"/>
                <w:sz w:val="20"/>
                <w:szCs w:val="20"/>
              </w:rPr>
            </w:pPr>
          </w:p>
        </w:tc>
        <w:tc>
          <w:tcPr>
            <w:tcW w:w="2046" w:type="dxa"/>
            <w:tcBorders>
              <w:top w:val="nil"/>
              <w:left w:val="nil"/>
              <w:bottom w:val="nil"/>
              <w:right w:val="nil"/>
            </w:tcBorders>
            <w:shd w:val="clear" w:color="auto" w:fill="auto"/>
            <w:vAlign w:val="center"/>
            <w:hideMark/>
          </w:tcPr>
          <w:p w14:paraId="72AF7E00" w14:textId="77777777" w:rsidR="006E0559" w:rsidRPr="006E0559" w:rsidRDefault="006E0559" w:rsidP="006E0559">
            <w:pPr>
              <w:rPr>
                <w:rFonts w:ascii="Times New Roman" w:eastAsia="Times New Roman" w:hAnsi="Times New Roman"/>
                <w:noProof w:val="0"/>
                <w:sz w:val="20"/>
                <w:szCs w:val="20"/>
              </w:rPr>
            </w:pPr>
          </w:p>
        </w:tc>
        <w:tc>
          <w:tcPr>
            <w:tcW w:w="2046" w:type="dxa"/>
            <w:tcBorders>
              <w:top w:val="nil"/>
              <w:left w:val="nil"/>
              <w:bottom w:val="nil"/>
              <w:right w:val="nil"/>
            </w:tcBorders>
            <w:shd w:val="clear" w:color="auto" w:fill="auto"/>
            <w:vAlign w:val="center"/>
            <w:hideMark/>
          </w:tcPr>
          <w:p w14:paraId="5181ACCD" w14:textId="77777777" w:rsidR="006E0559" w:rsidRPr="006E0559" w:rsidRDefault="006E0559" w:rsidP="006E0559">
            <w:pPr>
              <w:rPr>
                <w:rFonts w:ascii="Times New Roman" w:eastAsia="Times New Roman" w:hAnsi="Times New Roman"/>
                <w:noProof w:val="0"/>
                <w:sz w:val="20"/>
                <w:szCs w:val="20"/>
              </w:rPr>
            </w:pPr>
          </w:p>
        </w:tc>
      </w:tr>
      <w:tr w:rsidR="006E0559" w:rsidRPr="006E0559" w14:paraId="135476C0" w14:textId="77777777" w:rsidTr="006E0559">
        <w:trPr>
          <w:trHeight w:val="320"/>
        </w:trPr>
        <w:tc>
          <w:tcPr>
            <w:tcW w:w="2350" w:type="dxa"/>
            <w:tcBorders>
              <w:top w:val="nil"/>
              <w:left w:val="nil"/>
              <w:bottom w:val="nil"/>
              <w:right w:val="nil"/>
            </w:tcBorders>
            <w:shd w:val="clear" w:color="auto" w:fill="auto"/>
            <w:vAlign w:val="center"/>
            <w:hideMark/>
          </w:tcPr>
          <w:p w14:paraId="019B56C5"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Heterosexual</w:t>
            </w:r>
          </w:p>
        </w:tc>
        <w:tc>
          <w:tcPr>
            <w:tcW w:w="2046" w:type="dxa"/>
            <w:tcBorders>
              <w:top w:val="nil"/>
              <w:left w:val="nil"/>
              <w:bottom w:val="nil"/>
              <w:right w:val="nil"/>
            </w:tcBorders>
            <w:shd w:val="clear" w:color="auto" w:fill="auto"/>
            <w:vAlign w:val="center"/>
            <w:hideMark/>
          </w:tcPr>
          <w:p w14:paraId="3F5C8607"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5B8E98CD"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0888E91C"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07639B96"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r>
      <w:tr w:rsidR="006E0559" w:rsidRPr="006E0559" w14:paraId="59BA6FA5" w14:textId="77777777" w:rsidTr="006E0559">
        <w:trPr>
          <w:trHeight w:val="320"/>
        </w:trPr>
        <w:tc>
          <w:tcPr>
            <w:tcW w:w="2350" w:type="dxa"/>
            <w:tcBorders>
              <w:top w:val="nil"/>
              <w:left w:val="nil"/>
              <w:bottom w:val="nil"/>
              <w:right w:val="nil"/>
            </w:tcBorders>
            <w:shd w:val="clear" w:color="auto" w:fill="auto"/>
            <w:vAlign w:val="center"/>
            <w:hideMark/>
          </w:tcPr>
          <w:p w14:paraId="2A5C7280"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w:t>
            </w:r>
          </w:p>
        </w:tc>
        <w:tc>
          <w:tcPr>
            <w:tcW w:w="2046" w:type="dxa"/>
            <w:tcBorders>
              <w:top w:val="nil"/>
              <w:left w:val="nil"/>
              <w:bottom w:val="nil"/>
              <w:right w:val="nil"/>
            </w:tcBorders>
            <w:shd w:val="clear" w:color="auto" w:fill="auto"/>
            <w:vAlign w:val="center"/>
            <w:hideMark/>
          </w:tcPr>
          <w:p w14:paraId="37A16EAB"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3.75 (2.19-6.42)</w:t>
            </w:r>
          </w:p>
        </w:tc>
        <w:tc>
          <w:tcPr>
            <w:tcW w:w="2046" w:type="dxa"/>
            <w:tcBorders>
              <w:top w:val="nil"/>
              <w:left w:val="nil"/>
              <w:bottom w:val="nil"/>
              <w:right w:val="nil"/>
            </w:tcBorders>
            <w:shd w:val="clear" w:color="auto" w:fill="auto"/>
            <w:vAlign w:val="center"/>
            <w:hideMark/>
          </w:tcPr>
          <w:p w14:paraId="471F6B9D"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4.42 (2.66-7.33)</w:t>
            </w:r>
          </w:p>
        </w:tc>
        <w:tc>
          <w:tcPr>
            <w:tcW w:w="2046" w:type="dxa"/>
            <w:tcBorders>
              <w:top w:val="nil"/>
              <w:left w:val="nil"/>
              <w:bottom w:val="nil"/>
              <w:right w:val="nil"/>
            </w:tcBorders>
            <w:shd w:val="clear" w:color="auto" w:fill="auto"/>
            <w:vAlign w:val="center"/>
            <w:hideMark/>
          </w:tcPr>
          <w:p w14:paraId="1B70498B"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3.92 (2.75-5.58)</w:t>
            </w:r>
          </w:p>
        </w:tc>
        <w:tc>
          <w:tcPr>
            <w:tcW w:w="2046" w:type="dxa"/>
            <w:tcBorders>
              <w:top w:val="nil"/>
              <w:left w:val="nil"/>
              <w:bottom w:val="nil"/>
              <w:right w:val="nil"/>
            </w:tcBorders>
            <w:shd w:val="clear" w:color="auto" w:fill="auto"/>
            <w:vAlign w:val="center"/>
            <w:hideMark/>
          </w:tcPr>
          <w:p w14:paraId="3DC2155D"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3.90 (2.63-5.79)</w:t>
            </w:r>
          </w:p>
        </w:tc>
      </w:tr>
      <w:tr w:rsidR="006E0559" w:rsidRPr="006E0559" w14:paraId="6F8105FA" w14:textId="77777777" w:rsidTr="006E0559">
        <w:trPr>
          <w:trHeight w:val="320"/>
        </w:trPr>
        <w:tc>
          <w:tcPr>
            <w:tcW w:w="2350" w:type="dxa"/>
            <w:tcBorders>
              <w:top w:val="nil"/>
              <w:left w:val="nil"/>
              <w:bottom w:val="single" w:sz="8" w:space="0" w:color="auto"/>
              <w:right w:val="nil"/>
            </w:tcBorders>
            <w:shd w:val="clear" w:color="auto" w:fill="auto"/>
            <w:vAlign w:val="center"/>
            <w:hideMark/>
          </w:tcPr>
          <w:p w14:paraId="6059E521"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Lesbian</w:t>
            </w:r>
          </w:p>
        </w:tc>
        <w:tc>
          <w:tcPr>
            <w:tcW w:w="2046" w:type="dxa"/>
            <w:tcBorders>
              <w:top w:val="nil"/>
              <w:left w:val="nil"/>
              <w:bottom w:val="nil"/>
              <w:right w:val="nil"/>
            </w:tcBorders>
            <w:shd w:val="clear" w:color="auto" w:fill="auto"/>
            <w:vAlign w:val="center"/>
            <w:hideMark/>
          </w:tcPr>
          <w:p w14:paraId="73B81B2C" w14:textId="77777777" w:rsidR="006E0559" w:rsidRPr="006E0559" w:rsidRDefault="006E0559" w:rsidP="006E0559">
            <w:pPr>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1.86 (0.48-7.25)</w:t>
            </w:r>
          </w:p>
        </w:tc>
        <w:tc>
          <w:tcPr>
            <w:tcW w:w="2046" w:type="dxa"/>
            <w:tcBorders>
              <w:top w:val="nil"/>
              <w:left w:val="nil"/>
              <w:bottom w:val="single" w:sz="8" w:space="0" w:color="auto"/>
              <w:right w:val="nil"/>
            </w:tcBorders>
            <w:shd w:val="clear" w:color="auto" w:fill="auto"/>
            <w:vAlign w:val="center"/>
            <w:hideMark/>
          </w:tcPr>
          <w:p w14:paraId="78F74E4F"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38.67 (5.32-281.11)</w:t>
            </w:r>
          </w:p>
        </w:tc>
        <w:tc>
          <w:tcPr>
            <w:tcW w:w="2046" w:type="dxa"/>
            <w:tcBorders>
              <w:top w:val="nil"/>
              <w:left w:val="nil"/>
              <w:bottom w:val="single" w:sz="8" w:space="0" w:color="auto"/>
              <w:right w:val="nil"/>
            </w:tcBorders>
            <w:shd w:val="clear" w:color="auto" w:fill="auto"/>
            <w:vAlign w:val="center"/>
            <w:hideMark/>
          </w:tcPr>
          <w:p w14:paraId="4284191F"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6.68 (2.03-22.02)</w:t>
            </w:r>
          </w:p>
        </w:tc>
        <w:tc>
          <w:tcPr>
            <w:tcW w:w="2046" w:type="dxa"/>
            <w:tcBorders>
              <w:top w:val="nil"/>
              <w:left w:val="nil"/>
              <w:bottom w:val="single" w:sz="8" w:space="0" w:color="auto"/>
              <w:right w:val="nil"/>
            </w:tcBorders>
            <w:shd w:val="clear" w:color="auto" w:fill="auto"/>
            <w:vAlign w:val="center"/>
            <w:hideMark/>
          </w:tcPr>
          <w:p w14:paraId="60C48DCE"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4.14 (1.97-8.70)</w:t>
            </w:r>
          </w:p>
        </w:tc>
      </w:tr>
      <w:tr w:rsidR="006E0559" w:rsidRPr="006E0559" w14:paraId="021C1F28" w14:textId="77777777" w:rsidTr="006E0559">
        <w:trPr>
          <w:trHeight w:val="360"/>
        </w:trPr>
        <w:tc>
          <w:tcPr>
            <w:tcW w:w="10534" w:type="dxa"/>
            <w:gridSpan w:val="5"/>
            <w:tcBorders>
              <w:top w:val="single" w:sz="8" w:space="0" w:color="auto"/>
              <w:left w:val="nil"/>
              <w:bottom w:val="single" w:sz="8" w:space="0" w:color="auto"/>
              <w:right w:val="nil"/>
            </w:tcBorders>
            <w:shd w:val="clear" w:color="000000" w:fill="D9D9D9"/>
            <w:vAlign w:val="center"/>
            <w:hideMark/>
          </w:tcPr>
          <w:p w14:paraId="43CF4879" w14:textId="53D00903" w:rsidR="006E0559" w:rsidRPr="006E0559" w:rsidRDefault="00545FC0" w:rsidP="006E0559">
            <w:pPr>
              <w:jc w:val="center"/>
              <w:rPr>
                <w:rFonts w:ascii="Times New Roman" w:eastAsia="Times New Roman" w:hAnsi="Times New Roman"/>
                <w:b/>
                <w:bCs/>
                <w:noProof w:val="0"/>
                <w:color w:val="000000"/>
                <w:sz w:val="22"/>
                <w:szCs w:val="22"/>
              </w:rPr>
            </w:pPr>
            <w:r>
              <w:rPr>
                <w:rFonts w:ascii="Times New Roman" w:eastAsia="Times New Roman" w:hAnsi="Times New Roman"/>
                <w:b/>
                <w:bCs/>
                <w:noProof w:val="0"/>
                <w:color w:val="000000"/>
                <w:sz w:val="22"/>
                <w:szCs w:val="22"/>
              </w:rPr>
              <w:t>Early Onset Smoking</w:t>
            </w:r>
          </w:p>
        </w:tc>
      </w:tr>
      <w:tr w:rsidR="006E0559" w:rsidRPr="006E0559" w14:paraId="125DFA1C" w14:textId="77777777" w:rsidTr="006E0559">
        <w:trPr>
          <w:trHeight w:val="320"/>
        </w:trPr>
        <w:tc>
          <w:tcPr>
            <w:tcW w:w="2350" w:type="dxa"/>
            <w:tcBorders>
              <w:top w:val="nil"/>
              <w:left w:val="nil"/>
              <w:bottom w:val="nil"/>
              <w:right w:val="nil"/>
            </w:tcBorders>
            <w:shd w:val="clear" w:color="auto" w:fill="auto"/>
            <w:vAlign w:val="center"/>
            <w:hideMark/>
          </w:tcPr>
          <w:p w14:paraId="0BE3E2CE" w14:textId="77777777" w:rsidR="006E0559" w:rsidRPr="006E0559" w:rsidRDefault="006E0559" w:rsidP="006E0559">
            <w:pPr>
              <w:jc w:val="both"/>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Male</w:t>
            </w:r>
          </w:p>
        </w:tc>
        <w:tc>
          <w:tcPr>
            <w:tcW w:w="2046" w:type="dxa"/>
            <w:tcBorders>
              <w:top w:val="nil"/>
              <w:left w:val="nil"/>
              <w:bottom w:val="nil"/>
              <w:right w:val="nil"/>
            </w:tcBorders>
            <w:shd w:val="clear" w:color="auto" w:fill="auto"/>
            <w:vAlign w:val="center"/>
            <w:hideMark/>
          </w:tcPr>
          <w:p w14:paraId="40809ED4" w14:textId="50BDEFB6" w:rsidR="006E0559" w:rsidRPr="006E0559" w:rsidRDefault="00E30804" w:rsidP="006E0559">
            <w:pPr>
              <w:jc w:val="both"/>
              <w:rPr>
                <w:rFonts w:ascii="Times New Roman" w:eastAsia="Times New Roman" w:hAnsi="Times New Roman"/>
                <w:b/>
                <w:bCs/>
                <w:noProof w:val="0"/>
                <w:color w:val="000000"/>
                <w:sz w:val="22"/>
                <w:szCs w:val="22"/>
              </w:rPr>
            </w:pPr>
            <w:proofErr w:type="spellStart"/>
            <w:r>
              <w:rPr>
                <w:rFonts w:ascii="Times New Roman" w:eastAsia="Times New Roman" w:hAnsi="Times New Roman"/>
                <w:b/>
                <w:bCs/>
                <w:noProof w:val="0"/>
                <w:color w:val="000000"/>
                <w:sz w:val="22"/>
                <w:szCs w:val="22"/>
              </w:rPr>
              <w:t>aOR</w:t>
            </w:r>
            <w:proofErr w:type="spellEnd"/>
            <w:r>
              <w:rPr>
                <w:rFonts w:ascii="Times New Roman" w:eastAsia="Times New Roman" w:hAnsi="Times New Roman"/>
                <w:b/>
                <w:bCs/>
                <w:noProof w:val="0"/>
                <w:color w:val="000000"/>
                <w:sz w:val="22"/>
                <w:szCs w:val="22"/>
              </w:rPr>
              <w:t xml:space="preserve"> (95% CI)</w:t>
            </w:r>
          </w:p>
        </w:tc>
        <w:tc>
          <w:tcPr>
            <w:tcW w:w="2046" w:type="dxa"/>
            <w:tcBorders>
              <w:top w:val="nil"/>
              <w:left w:val="nil"/>
              <w:bottom w:val="nil"/>
              <w:right w:val="nil"/>
            </w:tcBorders>
            <w:shd w:val="clear" w:color="auto" w:fill="auto"/>
            <w:vAlign w:val="center"/>
            <w:hideMark/>
          </w:tcPr>
          <w:p w14:paraId="2159F902" w14:textId="21A1F701" w:rsidR="006E0559" w:rsidRPr="006E0559" w:rsidRDefault="00E30804" w:rsidP="006E0559">
            <w:pPr>
              <w:rPr>
                <w:rFonts w:ascii="Times New Roman" w:eastAsia="Times New Roman" w:hAnsi="Times New Roman"/>
                <w:noProof w:val="0"/>
                <w:sz w:val="20"/>
                <w:szCs w:val="20"/>
              </w:rPr>
            </w:pPr>
            <w:proofErr w:type="spellStart"/>
            <w:r>
              <w:rPr>
                <w:rFonts w:ascii="Times New Roman" w:eastAsia="Times New Roman" w:hAnsi="Times New Roman"/>
                <w:b/>
                <w:bCs/>
                <w:noProof w:val="0"/>
                <w:color w:val="000000"/>
                <w:sz w:val="22"/>
                <w:szCs w:val="22"/>
              </w:rPr>
              <w:t>aOR</w:t>
            </w:r>
            <w:proofErr w:type="spellEnd"/>
            <w:r>
              <w:rPr>
                <w:rFonts w:ascii="Times New Roman" w:eastAsia="Times New Roman" w:hAnsi="Times New Roman"/>
                <w:b/>
                <w:bCs/>
                <w:noProof w:val="0"/>
                <w:color w:val="000000"/>
                <w:sz w:val="22"/>
                <w:szCs w:val="22"/>
              </w:rPr>
              <w:t xml:space="preserve"> (95% CI)</w:t>
            </w:r>
          </w:p>
        </w:tc>
        <w:tc>
          <w:tcPr>
            <w:tcW w:w="2046" w:type="dxa"/>
            <w:tcBorders>
              <w:top w:val="nil"/>
              <w:left w:val="nil"/>
              <w:bottom w:val="nil"/>
              <w:right w:val="nil"/>
            </w:tcBorders>
            <w:shd w:val="clear" w:color="auto" w:fill="auto"/>
            <w:vAlign w:val="center"/>
            <w:hideMark/>
          </w:tcPr>
          <w:p w14:paraId="13B28FA8" w14:textId="5D8DABB1" w:rsidR="006E0559" w:rsidRPr="006E0559" w:rsidRDefault="00E30804" w:rsidP="006E0559">
            <w:pPr>
              <w:rPr>
                <w:rFonts w:ascii="Times New Roman" w:eastAsia="Times New Roman" w:hAnsi="Times New Roman"/>
                <w:noProof w:val="0"/>
                <w:sz w:val="20"/>
                <w:szCs w:val="20"/>
              </w:rPr>
            </w:pPr>
            <w:proofErr w:type="spellStart"/>
            <w:r>
              <w:rPr>
                <w:rFonts w:ascii="Times New Roman" w:eastAsia="Times New Roman" w:hAnsi="Times New Roman"/>
                <w:b/>
                <w:bCs/>
                <w:noProof w:val="0"/>
                <w:color w:val="000000"/>
                <w:sz w:val="22"/>
                <w:szCs w:val="22"/>
              </w:rPr>
              <w:t>aOR</w:t>
            </w:r>
            <w:proofErr w:type="spellEnd"/>
            <w:r>
              <w:rPr>
                <w:rFonts w:ascii="Times New Roman" w:eastAsia="Times New Roman" w:hAnsi="Times New Roman"/>
                <w:b/>
                <w:bCs/>
                <w:noProof w:val="0"/>
                <w:color w:val="000000"/>
                <w:sz w:val="22"/>
                <w:szCs w:val="22"/>
              </w:rPr>
              <w:t xml:space="preserve"> (95% CI)</w:t>
            </w:r>
          </w:p>
        </w:tc>
        <w:tc>
          <w:tcPr>
            <w:tcW w:w="2046" w:type="dxa"/>
            <w:tcBorders>
              <w:top w:val="nil"/>
              <w:left w:val="nil"/>
              <w:bottom w:val="nil"/>
              <w:right w:val="nil"/>
            </w:tcBorders>
            <w:shd w:val="clear" w:color="auto" w:fill="auto"/>
            <w:vAlign w:val="center"/>
            <w:hideMark/>
          </w:tcPr>
          <w:p w14:paraId="443DCFE9" w14:textId="1F008656" w:rsidR="006E0559" w:rsidRPr="006E0559" w:rsidRDefault="00E30804" w:rsidP="006E0559">
            <w:pPr>
              <w:rPr>
                <w:rFonts w:ascii="Times New Roman" w:eastAsia="Times New Roman" w:hAnsi="Times New Roman"/>
                <w:noProof w:val="0"/>
                <w:sz w:val="20"/>
                <w:szCs w:val="20"/>
              </w:rPr>
            </w:pPr>
            <w:proofErr w:type="spellStart"/>
            <w:r>
              <w:rPr>
                <w:rFonts w:ascii="Times New Roman" w:eastAsia="Times New Roman" w:hAnsi="Times New Roman"/>
                <w:b/>
                <w:bCs/>
                <w:noProof w:val="0"/>
                <w:color w:val="000000"/>
                <w:sz w:val="22"/>
                <w:szCs w:val="22"/>
              </w:rPr>
              <w:t>aOR</w:t>
            </w:r>
            <w:proofErr w:type="spellEnd"/>
            <w:r>
              <w:rPr>
                <w:rFonts w:ascii="Times New Roman" w:eastAsia="Times New Roman" w:hAnsi="Times New Roman"/>
                <w:b/>
                <w:bCs/>
                <w:noProof w:val="0"/>
                <w:color w:val="000000"/>
                <w:sz w:val="22"/>
                <w:szCs w:val="22"/>
              </w:rPr>
              <w:t xml:space="preserve"> (95% CI)</w:t>
            </w:r>
          </w:p>
        </w:tc>
      </w:tr>
      <w:tr w:rsidR="006E0559" w:rsidRPr="006E0559" w14:paraId="075738C4" w14:textId="77777777" w:rsidTr="006E0559">
        <w:trPr>
          <w:trHeight w:val="320"/>
        </w:trPr>
        <w:tc>
          <w:tcPr>
            <w:tcW w:w="2350" w:type="dxa"/>
            <w:tcBorders>
              <w:top w:val="nil"/>
              <w:left w:val="nil"/>
              <w:bottom w:val="nil"/>
              <w:right w:val="nil"/>
            </w:tcBorders>
            <w:shd w:val="clear" w:color="auto" w:fill="auto"/>
            <w:vAlign w:val="center"/>
            <w:hideMark/>
          </w:tcPr>
          <w:p w14:paraId="3A50BD31"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Heterosexual</w:t>
            </w:r>
          </w:p>
        </w:tc>
        <w:tc>
          <w:tcPr>
            <w:tcW w:w="2046" w:type="dxa"/>
            <w:tcBorders>
              <w:top w:val="nil"/>
              <w:left w:val="nil"/>
              <w:bottom w:val="nil"/>
              <w:right w:val="nil"/>
            </w:tcBorders>
            <w:shd w:val="clear" w:color="auto" w:fill="auto"/>
            <w:vAlign w:val="center"/>
            <w:hideMark/>
          </w:tcPr>
          <w:p w14:paraId="4676E368"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59FEE81E"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231BB0D9"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785C4886"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r>
      <w:tr w:rsidR="006E0559" w:rsidRPr="006E0559" w14:paraId="0CC451D3" w14:textId="77777777" w:rsidTr="006E0559">
        <w:trPr>
          <w:trHeight w:val="320"/>
        </w:trPr>
        <w:tc>
          <w:tcPr>
            <w:tcW w:w="2350" w:type="dxa"/>
            <w:tcBorders>
              <w:top w:val="nil"/>
              <w:left w:val="nil"/>
              <w:bottom w:val="nil"/>
              <w:right w:val="nil"/>
            </w:tcBorders>
            <w:shd w:val="clear" w:color="auto" w:fill="auto"/>
            <w:vAlign w:val="center"/>
            <w:hideMark/>
          </w:tcPr>
          <w:p w14:paraId="382962E3"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w:t>
            </w:r>
          </w:p>
        </w:tc>
        <w:tc>
          <w:tcPr>
            <w:tcW w:w="2046" w:type="dxa"/>
            <w:tcBorders>
              <w:top w:val="nil"/>
              <w:left w:val="nil"/>
              <w:bottom w:val="nil"/>
              <w:right w:val="nil"/>
            </w:tcBorders>
            <w:shd w:val="clear" w:color="auto" w:fill="auto"/>
            <w:vAlign w:val="center"/>
            <w:hideMark/>
          </w:tcPr>
          <w:p w14:paraId="26C37456"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3.52 (1.85-6.71)</w:t>
            </w:r>
          </w:p>
        </w:tc>
        <w:tc>
          <w:tcPr>
            <w:tcW w:w="2046" w:type="dxa"/>
            <w:tcBorders>
              <w:top w:val="nil"/>
              <w:left w:val="nil"/>
              <w:bottom w:val="nil"/>
              <w:right w:val="nil"/>
            </w:tcBorders>
            <w:shd w:val="clear" w:color="auto" w:fill="auto"/>
            <w:vAlign w:val="center"/>
            <w:hideMark/>
          </w:tcPr>
          <w:p w14:paraId="3352C0DD" w14:textId="77777777" w:rsidR="006E0559" w:rsidRPr="006E0559" w:rsidRDefault="006E0559" w:rsidP="006E0559">
            <w:pPr>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1.74 (0.69-4.42)</w:t>
            </w:r>
          </w:p>
        </w:tc>
        <w:tc>
          <w:tcPr>
            <w:tcW w:w="2046" w:type="dxa"/>
            <w:tcBorders>
              <w:top w:val="nil"/>
              <w:left w:val="nil"/>
              <w:bottom w:val="nil"/>
              <w:right w:val="nil"/>
            </w:tcBorders>
            <w:shd w:val="clear" w:color="auto" w:fill="auto"/>
            <w:vAlign w:val="center"/>
            <w:hideMark/>
          </w:tcPr>
          <w:p w14:paraId="08BDABEA"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4.05 (2.13-7.69)</w:t>
            </w:r>
          </w:p>
        </w:tc>
        <w:tc>
          <w:tcPr>
            <w:tcW w:w="2046" w:type="dxa"/>
            <w:tcBorders>
              <w:top w:val="nil"/>
              <w:left w:val="nil"/>
              <w:bottom w:val="nil"/>
              <w:right w:val="nil"/>
            </w:tcBorders>
            <w:shd w:val="clear" w:color="auto" w:fill="auto"/>
            <w:vAlign w:val="center"/>
            <w:hideMark/>
          </w:tcPr>
          <w:p w14:paraId="6F78EA60" w14:textId="77777777" w:rsidR="006E0559" w:rsidRPr="006E0559" w:rsidRDefault="006E0559" w:rsidP="006E0559">
            <w:pPr>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2.15 (0.89-5.20)</w:t>
            </w:r>
          </w:p>
        </w:tc>
      </w:tr>
      <w:tr w:rsidR="006E0559" w:rsidRPr="006E0559" w14:paraId="5FC32F35" w14:textId="77777777" w:rsidTr="006E0559">
        <w:trPr>
          <w:trHeight w:val="320"/>
        </w:trPr>
        <w:tc>
          <w:tcPr>
            <w:tcW w:w="2350" w:type="dxa"/>
            <w:tcBorders>
              <w:top w:val="nil"/>
              <w:left w:val="nil"/>
              <w:bottom w:val="nil"/>
              <w:right w:val="nil"/>
            </w:tcBorders>
            <w:shd w:val="clear" w:color="auto" w:fill="auto"/>
            <w:vAlign w:val="center"/>
            <w:hideMark/>
          </w:tcPr>
          <w:p w14:paraId="6283C353"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w:t>
            </w:r>
          </w:p>
        </w:tc>
        <w:tc>
          <w:tcPr>
            <w:tcW w:w="2046" w:type="dxa"/>
            <w:tcBorders>
              <w:top w:val="nil"/>
              <w:left w:val="nil"/>
              <w:bottom w:val="nil"/>
              <w:right w:val="nil"/>
            </w:tcBorders>
            <w:shd w:val="clear" w:color="auto" w:fill="auto"/>
            <w:vAlign w:val="center"/>
            <w:hideMark/>
          </w:tcPr>
          <w:p w14:paraId="73E91F6A"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4.46 (2.41-8.24)</w:t>
            </w:r>
          </w:p>
        </w:tc>
        <w:tc>
          <w:tcPr>
            <w:tcW w:w="2046" w:type="dxa"/>
            <w:tcBorders>
              <w:top w:val="nil"/>
              <w:left w:val="nil"/>
              <w:bottom w:val="nil"/>
              <w:right w:val="nil"/>
            </w:tcBorders>
            <w:shd w:val="clear" w:color="auto" w:fill="auto"/>
            <w:vAlign w:val="center"/>
            <w:hideMark/>
          </w:tcPr>
          <w:p w14:paraId="516724A9"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3.25 (1.47-7.18)</w:t>
            </w:r>
          </w:p>
        </w:tc>
        <w:tc>
          <w:tcPr>
            <w:tcW w:w="2046" w:type="dxa"/>
            <w:tcBorders>
              <w:top w:val="nil"/>
              <w:left w:val="nil"/>
              <w:bottom w:val="nil"/>
              <w:right w:val="nil"/>
            </w:tcBorders>
            <w:shd w:val="clear" w:color="auto" w:fill="auto"/>
            <w:vAlign w:val="center"/>
            <w:hideMark/>
          </w:tcPr>
          <w:p w14:paraId="7CF64AAC"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4.11 (2.27-7.44)</w:t>
            </w:r>
          </w:p>
        </w:tc>
        <w:tc>
          <w:tcPr>
            <w:tcW w:w="2046" w:type="dxa"/>
            <w:tcBorders>
              <w:top w:val="nil"/>
              <w:left w:val="nil"/>
              <w:bottom w:val="nil"/>
              <w:right w:val="nil"/>
            </w:tcBorders>
            <w:shd w:val="clear" w:color="auto" w:fill="auto"/>
            <w:vAlign w:val="center"/>
            <w:hideMark/>
          </w:tcPr>
          <w:p w14:paraId="0F9B9C2D" w14:textId="77777777" w:rsidR="006E0559" w:rsidRPr="006E0559" w:rsidRDefault="006E0559" w:rsidP="006E0559">
            <w:pPr>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2.55 (0.91-7.15)</w:t>
            </w:r>
          </w:p>
        </w:tc>
      </w:tr>
      <w:tr w:rsidR="006E0559" w:rsidRPr="006E0559" w14:paraId="3B8985B0" w14:textId="77777777" w:rsidTr="006E0559">
        <w:trPr>
          <w:trHeight w:val="320"/>
        </w:trPr>
        <w:tc>
          <w:tcPr>
            <w:tcW w:w="2350" w:type="dxa"/>
            <w:tcBorders>
              <w:top w:val="nil"/>
              <w:left w:val="nil"/>
              <w:bottom w:val="nil"/>
              <w:right w:val="nil"/>
            </w:tcBorders>
            <w:shd w:val="clear" w:color="auto" w:fill="auto"/>
            <w:vAlign w:val="center"/>
            <w:hideMark/>
          </w:tcPr>
          <w:p w14:paraId="5DF6DB52"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Female</w:t>
            </w:r>
          </w:p>
        </w:tc>
        <w:tc>
          <w:tcPr>
            <w:tcW w:w="2046" w:type="dxa"/>
            <w:tcBorders>
              <w:top w:val="nil"/>
              <w:left w:val="nil"/>
              <w:bottom w:val="nil"/>
              <w:right w:val="nil"/>
            </w:tcBorders>
            <w:shd w:val="clear" w:color="auto" w:fill="auto"/>
            <w:vAlign w:val="center"/>
            <w:hideMark/>
          </w:tcPr>
          <w:p w14:paraId="6248B52D" w14:textId="77777777" w:rsidR="006E0559" w:rsidRPr="006E0559" w:rsidRDefault="006E0559" w:rsidP="006E0559">
            <w:pPr>
              <w:rPr>
                <w:rFonts w:ascii="Times New Roman" w:eastAsia="Times New Roman" w:hAnsi="Times New Roman"/>
                <w:b/>
                <w:bCs/>
                <w:noProof w:val="0"/>
                <w:color w:val="000000"/>
                <w:sz w:val="22"/>
                <w:szCs w:val="22"/>
              </w:rPr>
            </w:pPr>
          </w:p>
        </w:tc>
        <w:tc>
          <w:tcPr>
            <w:tcW w:w="2046" w:type="dxa"/>
            <w:tcBorders>
              <w:top w:val="nil"/>
              <w:left w:val="nil"/>
              <w:bottom w:val="nil"/>
              <w:right w:val="nil"/>
            </w:tcBorders>
            <w:shd w:val="clear" w:color="auto" w:fill="auto"/>
            <w:vAlign w:val="center"/>
            <w:hideMark/>
          </w:tcPr>
          <w:p w14:paraId="1A5B57C4" w14:textId="77777777" w:rsidR="006E0559" w:rsidRPr="006E0559" w:rsidRDefault="006E0559" w:rsidP="006E0559">
            <w:pPr>
              <w:rPr>
                <w:rFonts w:ascii="Times New Roman" w:eastAsia="Times New Roman" w:hAnsi="Times New Roman"/>
                <w:noProof w:val="0"/>
                <w:sz w:val="20"/>
                <w:szCs w:val="20"/>
              </w:rPr>
            </w:pPr>
          </w:p>
        </w:tc>
        <w:tc>
          <w:tcPr>
            <w:tcW w:w="2046" w:type="dxa"/>
            <w:tcBorders>
              <w:top w:val="nil"/>
              <w:left w:val="nil"/>
              <w:bottom w:val="nil"/>
              <w:right w:val="nil"/>
            </w:tcBorders>
            <w:shd w:val="clear" w:color="auto" w:fill="auto"/>
            <w:vAlign w:val="center"/>
            <w:hideMark/>
          </w:tcPr>
          <w:p w14:paraId="3D42BA91" w14:textId="77777777" w:rsidR="006E0559" w:rsidRPr="006E0559" w:rsidRDefault="006E0559" w:rsidP="006E0559">
            <w:pPr>
              <w:rPr>
                <w:rFonts w:ascii="Times New Roman" w:eastAsia="Times New Roman" w:hAnsi="Times New Roman"/>
                <w:noProof w:val="0"/>
                <w:sz w:val="20"/>
                <w:szCs w:val="20"/>
              </w:rPr>
            </w:pPr>
          </w:p>
        </w:tc>
        <w:tc>
          <w:tcPr>
            <w:tcW w:w="2046" w:type="dxa"/>
            <w:tcBorders>
              <w:top w:val="nil"/>
              <w:left w:val="nil"/>
              <w:bottom w:val="nil"/>
              <w:right w:val="nil"/>
            </w:tcBorders>
            <w:shd w:val="clear" w:color="auto" w:fill="auto"/>
            <w:vAlign w:val="center"/>
            <w:hideMark/>
          </w:tcPr>
          <w:p w14:paraId="43FC27A4" w14:textId="77777777" w:rsidR="006E0559" w:rsidRPr="006E0559" w:rsidRDefault="006E0559" w:rsidP="006E0559">
            <w:pPr>
              <w:rPr>
                <w:rFonts w:ascii="Times New Roman" w:eastAsia="Times New Roman" w:hAnsi="Times New Roman"/>
                <w:noProof w:val="0"/>
                <w:sz w:val="20"/>
                <w:szCs w:val="20"/>
              </w:rPr>
            </w:pPr>
          </w:p>
        </w:tc>
      </w:tr>
      <w:tr w:rsidR="006E0559" w:rsidRPr="006E0559" w14:paraId="096D3416" w14:textId="77777777" w:rsidTr="006E0559">
        <w:trPr>
          <w:trHeight w:val="320"/>
        </w:trPr>
        <w:tc>
          <w:tcPr>
            <w:tcW w:w="2350" w:type="dxa"/>
            <w:tcBorders>
              <w:top w:val="nil"/>
              <w:left w:val="nil"/>
              <w:bottom w:val="nil"/>
              <w:right w:val="nil"/>
            </w:tcBorders>
            <w:shd w:val="clear" w:color="auto" w:fill="auto"/>
            <w:vAlign w:val="center"/>
            <w:hideMark/>
          </w:tcPr>
          <w:p w14:paraId="25DA72E0"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Heterosexual</w:t>
            </w:r>
          </w:p>
        </w:tc>
        <w:tc>
          <w:tcPr>
            <w:tcW w:w="2046" w:type="dxa"/>
            <w:tcBorders>
              <w:top w:val="nil"/>
              <w:left w:val="nil"/>
              <w:bottom w:val="nil"/>
              <w:right w:val="nil"/>
            </w:tcBorders>
            <w:shd w:val="clear" w:color="auto" w:fill="auto"/>
            <w:vAlign w:val="center"/>
            <w:hideMark/>
          </w:tcPr>
          <w:p w14:paraId="4875CF38"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6A9B7AFF"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69CA78CD"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17894D75" w14:textId="77777777" w:rsidR="006E0559" w:rsidRPr="006E0559" w:rsidRDefault="006E0559"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r>
      <w:tr w:rsidR="006E0559" w:rsidRPr="006E0559" w14:paraId="17F722E8" w14:textId="77777777" w:rsidTr="006E0559">
        <w:trPr>
          <w:trHeight w:val="320"/>
        </w:trPr>
        <w:tc>
          <w:tcPr>
            <w:tcW w:w="2350" w:type="dxa"/>
            <w:tcBorders>
              <w:top w:val="nil"/>
              <w:left w:val="nil"/>
              <w:bottom w:val="nil"/>
              <w:right w:val="nil"/>
            </w:tcBorders>
            <w:shd w:val="clear" w:color="auto" w:fill="auto"/>
            <w:vAlign w:val="center"/>
            <w:hideMark/>
          </w:tcPr>
          <w:p w14:paraId="3D73D468"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w:t>
            </w:r>
          </w:p>
        </w:tc>
        <w:tc>
          <w:tcPr>
            <w:tcW w:w="2046" w:type="dxa"/>
            <w:tcBorders>
              <w:top w:val="nil"/>
              <w:left w:val="nil"/>
              <w:bottom w:val="nil"/>
              <w:right w:val="nil"/>
            </w:tcBorders>
            <w:shd w:val="clear" w:color="auto" w:fill="auto"/>
            <w:vAlign w:val="center"/>
            <w:hideMark/>
          </w:tcPr>
          <w:p w14:paraId="1FA87E43"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3.47 (2.43-4.94)</w:t>
            </w:r>
          </w:p>
        </w:tc>
        <w:tc>
          <w:tcPr>
            <w:tcW w:w="2046" w:type="dxa"/>
            <w:tcBorders>
              <w:top w:val="nil"/>
              <w:left w:val="nil"/>
              <w:bottom w:val="nil"/>
              <w:right w:val="nil"/>
            </w:tcBorders>
            <w:shd w:val="clear" w:color="auto" w:fill="auto"/>
            <w:vAlign w:val="center"/>
            <w:hideMark/>
          </w:tcPr>
          <w:p w14:paraId="1E009A12"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3.64 (2.19-6.05)</w:t>
            </w:r>
          </w:p>
        </w:tc>
        <w:tc>
          <w:tcPr>
            <w:tcW w:w="2046" w:type="dxa"/>
            <w:tcBorders>
              <w:top w:val="nil"/>
              <w:left w:val="nil"/>
              <w:bottom w:val="nil"/>
              <w:right w:val="nil"/>
            </w:tcBorders>
            <w:shd w:val="clear" w:color="auto" w:fill="auto"/>
            <w:vAlign w:val="center"/>
            <w:hideMark/>
          </w:tcPr>
          <w:p w14:paraId="18237431"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4.00 (2.81-5.70)</w:t>
            </w:r>
          </w:p>
        </w:tc>
        <w:tc>
          <w:tcPr>
            <w:tcW w:w="2046" w:type="dxa"/>
            <w:tcBorders>
              <w:top w:val="nil"/>
              <w:left w:val="nil"/>
              <w:bottom w:val="nil"/>
              <w:right w:val="nil"/>
            </w:tcBorders>
            <w:shd w:val="clear" w:color="auto" w:fill="auto"/>
            <w:vAlign w:val="center"/>
            <w:hideMark/>
          </w:tcPr>
          <w:p w14:paraId="232D3280"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6.99 (4.22-11.58)</w:t>
            </w:r>
          </w:p>
        </w:tc>
      </w:tr>
      <w:tr w:rsidR="006E0559" w:rsidRPr="006E0559" w14:paraId="4FAA5333" w14:textId="77777777" w:rsidTr="006E0559">
        <w:trPr>
          <w:trHeight w:val="340"/>
        </w:trPr>
        <w:tc>
          <w:tcPr>
            <w:tcW w:w="2350" w:type="dxa"/>
            <w:tcBorders>
              <w:top w:val="nil"/>
              <w:left w:val="nil"/>
              <w:bottom w:val="single" w:sz="8" w:space="0" w:color="auto"/>
              <w:right w:val="nil"/>
            </w:tcBorders>
            <w:shd w:val="clear" w:color="auto" w:fill="auto"/>
            <w:vAlign w:val="center"/>
            <w:hideMark/>
          </w:tcPr>
          <w:p w14:paraId="7F02DFEA" w14:textId="77777777" w:rsidR="006E0559" w:rsidRPr="006E0559" w:rsidRDefault="006E0559"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Lesbian</w:t>
            </w:r>
          </w:p>
        </w:tc>
        <w:tc>
          <w:tcPr>
            <w:tcW w:w="2046" w:type="dxa"/>
            <w:tcBorders>
              <w:top w:val="nil"/>
              <w:left w:val="nil"/>
              <w:bottom w:val="single" w:sz="8" w:space="0" w:color="auto"/>
              <w:right w:val="nil"/>
            </w:tcBorders>
            <w:shd w:val="clear" w:color="auto" w:fill="auto"/>
            <w:vAlign w:val="center"/>
            <w:hideMark/>
          </w:tcPr>
          <w:p w14:paraId="2C5518B5" w14:textId="77777777" w:rsidR="006E0559" w:rsidRPr="006E0559" w:rsidRDefault="006E0559" w:rsidP="006E0559">
            <w:pPr>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1.38 (0.39-4.87)</w:t>
            </w:r>
          </w:p>
        </w:tc>
        <w:tc>
          <w:tcPr>
            <w:tcW w:w="2046" w:type="dxa"/>
            <w:tcBorders>
              <w:top w:val="nil"/>
              <w:left w:val="nil"/>
              <w:bottom w:val="single" w:sz="8" w:space="0" w:color="auto"/>
              <w:right w:val="nil"/>
            </w:tcBorders>
            <w:shd w:val="clear" w:color="auto" w:fill="auto"/>
            <w:vAlign w:val="center"/>
            <w:hideMark/>
          </w:tcPr>
          <w:p w14:paraId="57A1A59A"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7.76 (2.93-20.58)</w:t>
            </w:r>
          </w:p>
        </w:tc>
        <w:tc>
          <w:tcPr>
            <w:tcW w:w="2046" w:type="dxa"/>
            <w:tcBorders>
              <w:top w:val="nil"/>
              <w:left w:val="nil"/>
              <w:bottom w:val="single" w:sz="8" w:space="0" w:color="auto"/>
              <w:right w:val="nil"/>
            </w:tcBorders>
            <w:shd w:val="clear" w:color="auto" w:fill="auto"/>
            <w:vAlign w:val="center"/>
            <w:hideMark/>
          </w:tcPr>
          <w:p w14:paraId="6F5AFA95"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5.36 (2.16-13.30)</w:t>
            </w:r>
          </w:p>
        </w:tc>
        <w:tc>
          <w:tcPr>
            <w:tcW w:w="2046" w:type="dxa"/>
            <w:tcBorders>
              <w:top w:val="nil"/>
              <w:left w:val="nil"/>
              <w:bottom w:val="single" w:sz="8" w:space="0" w:color="auto"/>
              <w:right w:val="nil"/>
            </w:tcBorders>
            <w:shd w:val="clear" w:color="auto" w:fill="auto"/>
            <w:vAlign w:val="center"/>
            <w:hideMark/>
          </w:tcPr>
          <w:p w14:paraId="104C06B7" w14:textId="77777777" w:rsidR="006E0559" w:rsidRPr="006E0559" w:rsidRDefault="006E0559"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5.92 (2.03-17.26)</w:t>
            </w:r>
          </w:p>
        </w:tc>
      </w:tr>
      <w:tr w:rsidR="006E0559" w:rsidRPr="006E0559" w14:paraId="38259796" w14:textId="77777777" w:rsidTr="006E0559">
        <w:trPr>
          <w:trHeight w:val="340"/>
        </w:trPr>
        <w:tc>
          <w:tcPr>
            <w:tcW w:w="10534" w:type="dxa"/>
            <w:gridSpan w:val="5"/>
            <w:tcBorders>
              <w:top w:val="single" w:sz="8" w:space="0" w:color="auto"/>
              <w:left w:val="nil"/>
              <w:bottom w:val="single" w:sz="8" w:space="0" w:color="auto"/>
              <w:right w:val="nil"/>
            </w:tcBorders>
            <w:shd w:val="clear" w:color="000000" w:fill="D9D9D9"/>
            <w:vAlign w:val="center"/>
            <w:hideMark/>
          </w:tcPr>
          <w:p w14:paraId="5446B89F" w14:textId="77777777" w:rsidR="006E0559" w:rsidRPr="006E0559" w:rsidRDefault="006E0559" w:rsidP="006E0559">
            <w:pPr>
              <w:jc w:val="cente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Smoked Daily in Past 30 Days</w:t>
            </w:r>
          </w:p>
        </w:tc>
      </w:tr>
      <w:tr w:rsidR="00E30804" w:rsidRPr="006E0559" w14:paraId="2880595B" w14:textId="77777777" w:rsidTr="006E0559">
        <w:trPr>
          <w:trHeight w:val="320"/>
        </w:trPr>
        <w:tc>
          <w:tcPr>
            <w:tcW w:w="2350" w:type="dxa"/>
            <w:tcBorders>
              <w:top w:val="nil"/>
              <w:left w:val="nil"/>
              <w:bottom w:val="nil"/>
              <w:right w:val="nil"/>
            </w:tcBorders>
            <w:shd w:val="clear" w:color="auto" w:fill="auto"/>
            <w:vAlign w:val="center"/>
            <w:hideMark/>
          </w:tcPr>
          <w:p w14:paraId="15351795" w14:textId="77777777" w:rsidR="00E30804" w:rsidRPr="006E0559" w:rsidRDefault="00E30804" w:rsidP="006E0559">
            <w:pPr>
              <w:jc w:val="both"/>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Male</w:t>
            </w:r>
          </w:p>
        </w:tc>
        <w:tc>
          <w:tcPr>
            <w:tcW w:w="2046" w:type="dxa"/>
            <w:tcBorders>
              <w:top w:val="nil"/>
              <w:left w:val="nil"/>
              <w:bottom w:val="nil"/>
              <w:right w:val="nil"/>
            </w:tcBorders>
            <w:shd w:val="clear" w:color="auto" w:fill="auto"/>
            <w:vAlign w:val="center"/>
            <w:hideMark/>
          </w:tcPr>
          <w:p w14:paraId="30D66A8C" w14:textId="713B7BAE" w:rsidR="00E30804" w:rsidRPr="006E0559" w:rsidRDefault="00E30804" w:rsidP="006E0559">
            <w:pPr>
              <w:jc w:val="both"/>
              <w:rPr>
                <w:rFonts w:ascii="Times New Roman" w:eastAsia="Times New Roman" w:hAnsi="Times New Roman"/>
                <w:b/>
                <w:bCs/>
                <w:noProof w:val="0"/>
                <w:color w:val="000000"/>
                <w:sz w:val="22"/>
                <w:szCs w:val="22"/>
              </w:rPr>
            </w:pPr>
            <w:proofErr w:type="spellStart"/>
            <w:r>
              <w:rPr>
                <w:rFonts w:ascii="Times New Roman" w:eastAsia="Times New Roman" w:hAnsi="Times New Roman"/>
                <w:b/>
                <w:bCs/>
                <w:noProof w:val="0"/>
                <w:color w:val="000000"/>
                <w:sz w:val="22"/>
                <w:szCs w:val="22"/>
              </w:rPr>
              <w:t>bOR</w:t>
            </w:r>
            <w:proofErr w:type="spellEnd"/>
            <w:r>
              <w:rPr>
                <w:rFonts w:ascii="Times New Roman" w:eastAsia="Times New Roman" w:hAnsi="Times New Roman"/>
                <w:b/>
                <w:bCs/>
                <w:noProof w:val="0"/>
                <w:color w:val="000000"/>
                <w:sz w:val="22"/>
                <w:szCs w:val="22"/>
              </w:rPr>
              <w:t xml:space="preserve"> (95% CI)</w:t>
            </w:r>
          </w:p>
        </w:tc>
        <w:tc>
          <w:tcPr>
            <w:tcW w:w="2046" w:type="dxa"/>
            <w:tcBorders>
              <w:top w:val="nil"/>
              <w:left w:val="nil"/>
              <w:bottom w:val="nil"/>
              <w:right w:val="nil"/>
            </w:tcBorders>
            <w:shd w:val="clear" w:color="auto" w:fill="auto"/>
            <w:vAlign w:val="center"/>
            <w:hideMark/>
          </w:tcPr>
          <w:p w14:paraId="2CC25846" w14:textId="6BB41423" w:rsidR="00E30804" w:rsidRPr="006E0559" w:rsidRDefault="00E30804" w:rsidP="006E0559">
            <w:pPr>
              <w:rPr>
                <w:rFonts w:ascii="Times New Roman" w:eastAsia="Times New Roman" w:hAnsi="Times New Roman"/>
                <w:noProof w:val="0"/>
                <w:sz w:val="20"/>
                <w:szCs w:val="20"/>
              </w:rPr>
            </w:pPr>
            <w:proofErr w:type="spellStart"/>
            <w:r>
              <w:rPr>
                <w:rFonts w:ascii="Times New Roman" w:eastAsia="Times New Roman" w:hAnsi="Times New Roman"/>
                <w:b/>
                <w:bCs/>
                <w:noProof w:val="0"/>
                <w:color w:val="000000"/>
                <w:sz w:val="22"/>
                <w:szCs w:val="22"/>
              </w:rPr>
              <w:t>bOR</w:t>
            </w:r>
            <w:proofErr w:type="spellEnd"/>
            <w:r>
              <w:rPr>
                <w:rFonts w:ascii="Times New Roman" w:eastAsia="Times New Roman" w:hAnsi="Times New Roman"/>
                <w:b/>
                <w:bCs/>
                <w:noProof w:val="0"/>
                <w:color w:val="000000"/>
                <w:sz w:val="22"/>
                <w:szCs w:val="22"/>
              </w:rPr>
              <w:t xml:space="preserve"> (95% CI)</w:t>
            </w:r>
          </w:p>
        </w:tc>
        <w:tc>
          <w:tcPr>
            <w:tcW w:w="2046" w:type="dxa"/>
            <w:tcBorders>
              <w:top w:val="nil"/>
              <w:left w:val="nil"/>
              <w:bottom w:val="nil"/>
              <w:right w:val="nil"/>
            </w:tcBorders>
            <w:shd w:val="clear" w:color="auto" w:fill="auto"/>
            <w:vAlign w:val="center"/>
            <w:hideMark/>
          </w:tcPr>
          <w:p w14:paraId="36C13FFC" w14:textId="7FE53656" w:rsidR="00E30804" w:rsidRPr="006E0559" w:rsidRDefault="00E30804" w:rsidP="006E0559">
            <w:pPr>
              <w:rPr>
                <w:rFonts w:ascii="Times New Roman" w:eastAsia="Times New Roman" w:hAnsi="Times New Roman"/>
                <w:noProof w:val="0"/>
                <w:sz w:val="20"/>
                <w:szCs w:val="20"/>
              </w:rPr>
            </w:pPr>
            <w:proofErr w:type="spellStart"/>
            <w:r>
              <w:rPr>
                <w:rFonts w:ascii="Times New Roman" w:eastAsia="Times New Roman" w:hAnsi="Times New Roman"/>
                <w:b/>
                <w:bCs/>
                <w:noProof w:val="0"/>
                <w:color w:val="000000"/>
                <w:sz w:val="22"/>
                <w:szCs w:val="22"/>
              </w:rPr>
              <w:t>bOR</w:t>
            </w:r>
            <w:proofErr w:type="spellEnd"/>
            <w:r>
              <w:rPr>
                <w:rFonts w:ascii="Times New Roman" w:eastAsia="Times New Roman" w:hAnsi="Times New Roman"/>
                <w:b/>
                <w:bCs/>
                <w:noProof w:val="0"/>
                <w:color w:val="000000"/>
                <w:sz w:val="22"/>
                <w:szCs w:val="22"/>
              </w:rPr>
              <w:t xml:space="preserve"> (95% CI)</w:t>
            </w:r>
          </w:p>
        </w:tc>
        <w:tc>
          <w:tcPr>
            <w:tcW w:w="2046" w:type="dxa"/>
            <w:tcBorders>
              <w:top w:val="nil"/>
              <w:left w:val="nil"/>
              <w:bottom w:val="nil"/>
              <w:right w:val="nil"/>
            </w:tcBorders>
            <w:shd w:val="clear" w:color="auto" w:fill="auto"/>
            <w:vAlign w:val="center"/>
            <w:hideMark/>
          </w:tcPr>
          <w:p w14:paraId="2EC0761F" w14:textId="7B0FE171" w:rsidR="00E30804" w:rsidRPr="006E0559" w:rsidRDefault="00E30804" w:rsidP="006E0559">
            <w:pPr>
              <w:rPr>
                <w:rFonts w:ascii="Times New Roman" w:eastAsia="Times New Roman" w:hAnsi="Times New Roman"/>
                <w:noProof w:val="0"/>
                <w:sz w:val="20"/>
                <w:szCs w:val="20"/>
              </w:rPr>
            </w:pPr>
            <w:proofErr w:type="spellStart"/>
            <w:r>
              <w:rPr>
                <w:rFonts w:ascii="Times New Roman" w:eastAsia="Times New Roman" w:hAnsi="Times New Roman"/>
                <w:b/>
                <w:bCs/>
                <w:noProof w:val="0"/>
                <w:color w:val="000000"/>
                <w:sz w:val="22"/>
                <w:szCs w:val="22"/>
              </w:rPr>
              <w:t>bOR</w:t>
            </w:r>
            <w:proofErr w:type="spellEnd"/>
            <w:r>
              <w:rPr>
                <w:rFonts w:ascii="Times New Roman" w:eastAsia="Times New Roman" w:hAnsi="Times New Roman"/>
                <w:b/>
                <w:bCs/>
                <w:noProof w:val="0"/>
                <w:color w:val="000000"/>
                <w:sz w:val="22"/>
                <w:szCs w:val="22"/>
              </w:rPr>
              <w:t xml:space="preserve"> (95% CI)</w:t>
            </w:r>
          </w:p>
        </w:tc>
      </w:tr>
      <w:tr w:rsidR="00E30804" w:rsidRPr="006E0559" w14:paraId="7875B80F" w14:textId="77777777" w:rsidTr="006E0559">
        <w:trPr>
          <w:trHeight w:val="320"/>
        </w:trPr>
        <w:tc>
          <w:tcPr>
            <w:tcW w:w="2350" w:type="dxa"/>
            <w:tcBorders>
              <w:top w:val="nil"/>
              <w:left w:val="nil"/>
              <w:bottom w:val="nil"/>
              <w:right w:val="nil"/>
            </w:tcBorders>
            <w:shd w:val="clear" w:color="auto" w:fill="auto"/>
            <w:vAlign w:val="center"/>
            <w:hideMark/>
          </w:tcPr>
          <w:p w14:paraId="5EF0C695" w14:textId="77777777" w:rsidR="00E30804" w:rsidRPr="006E0559" w:rsidRDefault="00E30804"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Heterosexual</w:t>
            </w:r>
          </w:p>
        </w:tc>
        <w:tc>
          <w:tcPr>
            <w:tcW w:w="2046" w:type="dxa"/>
            <w:tcBorders>
              <w:top w:val="nil"/>
              <w:left w:val="nil"/>
              <w:bottom w:val="nil"/>
              <w:right w:val="nil"/>
            </w:tcBorders>
            <w:shd w:val="clear" w:color="auto" w:fill="auto"/>
            <w:vAlign w:val="center"/>
            <w:hideMark/>
          </w:tcPr>
          <w:p w14:paraId="55FF29C1" w14:textId="77777777" w:rsidR="00E30804" w:rsidRPr="006E0559" w:rsidRDefault="00E30804"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38F1B2F8" w14:textId="77777777" w:rsidR="00E30804" w:rsidRPr="006E0559" w:rsidRDefault="00E30804"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2B6BB67A" w14:textId="77777777" w:rsidR="00E30804" w:rsidRPr="006E0559" w:rsidRDefault="00E30804" w:rsidP="006E0559">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5E442CC0" w14:textId="77777777" w:rsidR="00E30804" w:rsidRPr="006E0559" w:rsidRDefault="00E30804" w:rsidP="006E0559">
            <w:pPr>
              <w:jc w:val="both"/>
              <w:rPr>
                <w:rFonts w:ascii="Times New Roman" w:eastAsia="Times New Roman" w:hAnsi="Times New Roman"/>
                <w:noProof w:val="0"/>
                <w:color w:val="000000"/>
                <w:sz w:val="22"/>
                <w:szCs w:val="22"/>
              </w:rPr>
            </w:pPr>
          </w:p>
        </w:tc>
      </w:tr>
      <w:tr w:rsidR="00E30804" w:rsidRPr="006E0559" w14:paraId="43C8A734" w14:textId="77777777" w:rsidTr="006E0559">
        <w:trPr>
          <w:trHeight w:val="320"/>
        </w:trPr>
        <w:tc>
          <w:tcPr>
            <w:tcW w:w="2350" w:type="dxa"/>
            <w:tcBorders>
              <w:top w:val="nil"/>
              <w:left w:val="nil"/>
              <w:bottom w:val="nil"/>
              <w:right w:val="nil"/>
            </w:tcBorders>
            <w:shd w:val="clear" w:color="auto" w:fill="auto"/>
            <w:vAlign w:val="center"/>
            <w:hideMark/>
          </w:tcPr>
          <w:p w14:paraId="57231062" w14:textId="77777777" w:rsidR="00E30804" w:rsidRPr="006E0559" w:rsidRDefault="00E30804"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w:t>
            </w:r>
          </w:p>
        </w:tc>
        <w:tc>
          <w:tcPr>
            <w:tcW w:w="2046" w:type="dxa"/>
            <w:tcBorders>
              <w:top w:val="nil"/>
              <w:left w:val="nil"/>
              <w:bottom w:val="nil"/>
              <w:right w:val="nil"/>
            </w:tcBorders>
            <w:shd w:val="clear" w:color="auto" w:fill="auto"/>
            <w:noWrap/>
            <w:vAlign w:val="bottom"/>
            <w:hideMark/>
          </w:tcPr>
          <w:p w14:paraId="77386008" w14:textId="77777777" w:rsidR="00E30804" w:rsidRPr="00B974B6" w:rsidRDefault="00E30804" w:rsidP="006E0559">
            <w:pPr>
              <w:rPr>
                <w:rFonts w:ascii="Times New Roman" w:eastAsia="Times New Roman" w:hAnsi="Times New Roman"/>
                <w:b/>
                <w:bCs/>
                <w:noProof w:val="0"/>
                <w:color w:val="000000"/>
                <w:sz w:val="22"/>
                <w:szCs w:val="22"/>
              </w:rPr>
            </w:pPr>
            <w:r w:rsidRPr="00B974B6">
              <w:rPr>
                <w:rFonts w:ascii="Times New Roman" w:eastAsia="Times New Roman" w:hAnsi="Times New Roman"/>
                <w:b/>
                <w:bCs/>
                <w:noProof w:val="0"/>
                <w:color w:val="000000"/>
                <w:sz w:val="22"/>
                <w:szCs w:val="22"/>
              </w:rPr>
              <w:t>2.84 (1.48-5.42)</w:t>
            </w:r>
          </w:p>
        </w:tc>
        <w:tc>
          <w:tcPr>
            <w:tcW w:w="2046" w:type="dxa"/>
            <w:tcBorders>
              <w:top w:val="nil"/>
              <w:left w:val="nil"/>
              <w:bottom w:val="nil"/>
              <w:right w:val="nil"/>
            </w:tcBorders>
            <w:shd w:val="clear" w:color="auto" w:fill="auto"/>
            <w:vAlign w:val="center"/>
            <w:hideMark/>
          </w:tcPr>
          <w:p w14:paraId="48C90A57" w14:textId="77777777" w:rsidR="00E30804" w:rsidRPr="00B974B6" w:rsidRDefault="00E30804" w:rsidP="006E0559">
            <w:pPr>
              <w:rPr>
                <w:rFonts w:ascii="Times New Roman" w:eastAsia="Times New Roman" w:hAnsi="Times New Roman"/>
                <w:noProof w:val="0"/>
                <w:color w:val="000000"/>
                <w:sz w:val="22"/>
                <w:szCs w:val="22"/>
              </w:rPr>
            </w:pPr>
            <w:r w:rsidRPr="00B974B6">
              <w:rPr>
                <w:rFonts w:ascii="Times New Roman" w:eastAsia="Times New Roman" w:hAnsi="Times New Roman"/>
                <w:noProof w:val="0"/>
                <w:color w:val="000000"/>
                <w:sz w:val="22"/>
                <w:szCs w:val="22"/>
              </w:rPr>
              <w:t>2.71 (0.99-7.41)</w:t>
            </w:r>
          </w:p>
        </w:tc>
        <w:tc>
          <w:tcPr>
            <w:tcW w:w="2046" w:type="dxa"/>
            <w:tcBorders>
              <w:top w:val="nil"/>
              <w:left w:val="nil"/>
              <w:bottom w:val="nil"/>
              <w:right w:val="nil"/>
            </w:tcBorders>
            <w:shd w:val="clear" w:color="auto" w:fill="auto"/>
            <w:noWrap/>
            <w:vAlign w:val="bottom"/>
            <w:hideMark/>
          </w:tcPr>
          <w:p w14:paraId="639E9A1F" w14:textId="77777777" w:rsidR="00E30804" w:rsidRPr="00B974B6" w:rsidRDefault="00E30804" w:rsidP="006E0559">
            <w:pPr>
              <w:rPr>
                <w:rFonts w:ascii="Times New Roman" w:eastAsia="Times New Roman" w:hAnsi="Times New Roman"/>
                <w:b/>
                <w:bCs/>
                <w:noProof w:val="0"/>
                <w:color w:val="000000"/>
                <w:sz w:val="22"/>
                <w:szCs w:val="22"/>
              </w:rPr>
            </w:pPr>
            <w:r w:rsidRPr="00B974B6">
              <w:rPr>
                <w:rFonts w:ascii="Times New Roman" w:eastAsia="Times New Roman" w:hAnsi="Times New Roman"/>
                <w:b/>
                <w:bCs/>
                <w:noProof w:val="0"/>
                <w:color w:val="000000"/>
                <w:sz w:val="22"/>
                <w:szCs w:val="22"/>
              </w:rPr>
              <w:t>4.97 (2.15-11.52)</w:t>
            </w:r>
          </w:p>
        </w:tc>
        <w:tc>
          <w:tcPr>
            <w:tcW w:w="2046" w:type="dxa"/>
            <w:tcBorders>
              <w:top w:val="nil"/>
              <w:left w:val="nil"/>
              <w:bottom w:val="nil"/>
              <w:right w:val="nil"/>
            </w:tcBorders>
            <w:shd w:val="clear" w:color="auto" w:fill="auto"/>
            <w:noWrap/>
            <w:vAlign w:val="bottom"/>
            <w:hideMark/>
          </w:tcPr>
          <w:p w14:paraId="568B9464" w14:textId="77777777" w:rsidR="00E30804" w:rsidRPr="00B974B6" w:rsidRDefault="00E30804" w:rsidP="006E0559">
            <w:pPr>
              <w:rPr>
                <w:rFonts w:ascii="Times New Roman" w:eastAsia="Times New Roman" w:hAnsi="Times New Roman"/>
                <w:b/>
                <w:bCs/>
                <w:noProof w:val="0"/>
                <w:color w:val="000000"/>
                <w:sz w:val="22"/>
                <w:szCs w:val="22"/>
              </w:rPr>
            </w:pPr>
            <w:r w:rsidRPr="00B974B6">
              <w:rPr>
                <w:rFonts w:ascii="Times New Roman" w:eastAsia="Times New Roman" w:hAnsi="Times New Roman"/>
                <w:b/>
                <w:bCs/>
                <w:noProof w:val="0"/>
                <w:color w:val="000000"/>
                <w:sz w:val="22"/>
                <w:szCs w:val="22"/>
              </w:rPr>
              <w:t>4.29 (1.63-11.27)</w:t>
            </w:r>
          </w:p>
        </w:tc>
      </w:tr>
      <w:tr w:rsidR="00E30804" w:rsidRPr="006E0559" w14:paraId="28AB751A" w14:textId="77777777" w:rsidTr="006E0559">
        <w:trPr>
          <w:trHeight w:val="320"/>
        </w:trPr>
        <w:tc>
          <w:tcPr>
            <w:tcW w:w="2350" w:type="dxa"/>
            <w:tcBorders>
              <w:top w:val="nil"/>
              <w:left w:val="nil"/>
              <w:bottom w:val="nil"/>
              <w:right w:val="nil"/>
            </w:tcBorders>
            <w:shd w:val="clear" w:color="auto" w:fill="auto"/>
            <w:vAlign w:val="center"/>
            <w:hideMark/>
          </w:tcPr>
          <w:p w14:paraId="03C35ECB" w14:textId="77777777" w:rsidR="00E30804" w:rsidRPr="006E0559" w:rsidRDefault="00E30804"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w:t>
            </w:r>
          </w:p>
        </w:tc>
        <w:tc>
          <w:tcPr>
            <w:tcW w:w="2046" w:type="dxa"/>
            <w:tcBorders>
              <w:top w:val="nil"/>
              <w:left w:val="nil"/>
              <w:bottom w:val="nil"/>
              <w:right w:val="nil"/>
            </w:tcBorders>
            <w:shd w:val="clear" w:color="auto" w:fill="auto"/>
            <w:noWrap/>
            <w:vAlign w:val="bottom"/>
            <w:hideMark/>
          </w:tcPr>
          <w:p w14:paraId="7918509C" w14:textId="77777777" w:rsidR="00E30804" w:rsidRPr="00B974B6" w:rsidRDefault="00E30804" w:rsidP="006E0559">
            <w:pPr>
              <w:rPr>
                <w:rFonts w:ascii="Times New Roman" w:eastAsia="Times New Roman" w:hAnsi="Times New Roman"/>
                <w:b/>
                <w:bCs/>
                <w:noProof w:val="0"/>
                <w:color w:val="000000"/>
                <w:sz w:val="22"/>
                <w:szCs w:val="22"/>
              </w:rPr>
            </w:pPr>
            <w:r w:rsidRPr="00B974B6">
              <w:rPr>
                <w:rFonts w:ascii="Times New Roman" w:eastAsia="Times New Roman" w:hAnsi="Times New Roman"/>
                <w:b/>
                <w:bCs/>
                <w:noProof w:val="0"/>
                <w:color w:val="000000"/>
                <w:sz w:val="22"/>
                <w:szCs w:val="22"/>
              </w:rPr>
              <w:t>4.61 (1.91-11.13)</w:t>
            </w:r>
          </w:p>
        </w:tc>
        <w:tc>
          <w:tcPr>
            <w:tcW w:w="2046" w:type="dxa"/>
            <w:tcBorders>
              <w:top w:val="nil"/>
              <w:left w:val="nil"/>
              <w:bottom w:val="nil"/>
              <w:right w:val="nil"/>
            </w:tcBorders>
            <w:shd w:val="clear" w:color="auto" w:fill="auto"/>
            <w:vAlign w:val="center"/>
            <w:hideMark/>
          </w:tcPr>
          <w:p w14:paraId="34D959B9" w14:textId="77777777" w:rsidR="00E30804" w:rsidRPr="00B974B6" w:rsidRDefault="00E30804" w:rsidP="006E0559">
            <w:pPr>
              <w:rPr>
                <w:rFonts w:ascii="Times New Roman" w:eastAsia="Times New Roman" w:hAnsi="Times New Roman"/>
                <w:b/>
                <w:bCs/>
                <w:noProof w:val="0"/>
                <w:color w:val="000000"/>
                <w:sz w:val="22"/>
                <w:szCs w:val="22"/>
              </w:rPr>
            </w:pPr>
            <w:r w:rsidRPr="00B974B6">
              <w:rPr>
                <w:rFonts w:ascii="Times New Roman" w:eastAsia="Times New Roman" w:hAnsi="Times New Roman"/>
                <w:b/>
                <w:bCs/>
                <w:noProof w:val="0"/>
                <w:color w:val="000000"/>
                <w:sz w:val="22"/>
                <w:szCs w:val="22"/>
              </w:rPr>
              <w:t>3.61 (1.29-10.11)</w:t>
            </w:r>
          </w:p>
        </w:tc>
        <w:tc>
          <w:tcPr>
            <w:tcW w:w="2046" w:type="dxa"/>
            <w:tcBorders>
              <w:top w:val="nil"/>
              <w:left w:val="nil"/>
              <w:bottom w:val="nil"/>
              <w:right w:val="nil"/>
            </w:tcBorders>
            <w:shd w:val="clear" w:color="auto" w:fill="auto"/>
            <w:vAlign w:val="center"/>
            <w:hideMark/>
          </w:tcPr>
          <w:p w14:paraId="1153DB29" w14:textId="77777777" w:rsidR="00E30804" w:rsidRPr="00B974B6" w:rsidRDefault="00E30804" w:rsidP="006E0559">
            <w:pPr>
              <w:rPr>
                <w:rFonts w:ascii="Times New Roman" w:eastAsia="Times New Roman" w:hAnsi="Times New Roman"/>
                <w:b/>
                <w:bCs/>
                <w:noProof w:val="0"/>
                <w:color w:val="000000"/>
                <w:sz w:val="22"/>
                <w:szCs w:val="22"/>
              </w:rPr>
            </w:pPr>
            <w:r w:rsidRPr="00B974B6">
              <w:rPr>
                <w:rFonts w:ascii="Times New Roman" w:eastAsia="Times New Roman" w:hAnsi="Times New Roman"/>
                <w:b/>
                <w:bCs/>
                <w:noProof w:val="0"/>
                <w:color w:val="000000"/>
                <w:sz w:val="22"/>
                <w:szCs w:val="22"/>
              </w:rPr>
              <w:t>5.62 (2.71-11.64)</w:t>
            </w:r>
          </w:p>
        </w:tc>
        <w:tc>
          <w:tcPr>
            <w:tcW w:w="2046" w:type="dxa"/>
            <w:tcBorders>
              <w:top w:val="nil"/>
              <w:left w:val="nil"/>
              <w:bottom w:val="nil"/>
              <w:right w:val="nil"/>
            </w:tcBorders>
            <w:shd w:val="clear" w:color="auto" w:fill="auto"/>
            <w:noWrap/>
            <w:vAlign w:val="bottom"/>
            <w:hideMark/>
          </w:tcPr>
          <w:p w14:paraId="590B7C46" w14:textId="77777777" w:rsidR="00E30804" w:rsidRPr="00B974B6" w:rsidRDefault="00E30804" w:rsidP="006E0559">
            <w:pPr>
              <w:rPr>
                <w:rFonts w:ascii="Times New Roman" w:eastAsia="Times New Roman" w:hAnsi="Times New Roman"/>
                <w:b/>
                <w:bCs/>
                <w:noProof w:val="0"/>
                <w:color w:val="000000"/>
                <w:sz w:val="22"/>
                <w:szCs w:val="22"/>
              </w:rPr>
            </w:pPr>
            <w:r w:rsidRPr="00B974B6">
              <w:rPr>
                <w:rFonts w:ascii="Times New Roman" w:eastAsia="Times New Roman" w:hAnsi="Times New Roman"/>
                <w:b/>
                <w:bCs/>
                <w:noProof w:val="0"/>
                <w:color w:val="000000"/>
                <w:sz w:val="22"/>
                <w:szCs w:val="22"/>
              </w:rPr>
              <w:t>5.31 (2.04-13.86)</w:t>
            </w:r>
          </w:p>
        </w:tc>
      </w:tr>
      <w:tr w:rsidR="00E30804" w:rsidRPr="006E0559" w14:paraId="615B6EBE" w14:textId="77777777" w:rsidTr="006E0559">
        <w:trPr>
          <w:trHeight w:val="320"/>
        </w:trPr>
        <w:tc>
          <w:tcPr>
            <w:tcW w:w="2350" w:type="dxa"/>
            <w:tcBorders>
              <w:top w:val="nil"/>
              <w:left w:val="nil"/>
              <w:bottom w:val="nil"/>
              <w:right w:val="nil"/>
            </w:tcBorders>
            <w:shd w:val="clear" w:color="auto" w:fill="auto"/>
            <w:vAlign w:val="center"/>
            <w:hideMark/>
          </w:tcPr>
          <w:p w14:paraId="54B840F5" w14:textId="77777777" w:rsidR="00E30804" w:rsidRPr="006E0559" w:rsidRDefault="00E30804" w:rsidP="006E0559">
            <w:pP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Female</w:t>
            </w:r>
          </w:p>
        </w:tc>
        <w:tc>
          <w:tcPr>
            <w:tcW w:w="2046" w:type="dxa"/>
            <w:tcBorders>
              <w:top w:val="nil"/>
              <w:left w:val="nil"/>
              <w:bottom w:val="nil"/>
              <w:right w:val="nil"/>
            </w:tcBorders>
            <w:shd w:val="clear" w:color="auto" w:fill="auto"/>
            <w:vAlign w:val="center"/>
            <w:hideMark/>
          </w:tcPr>
          <w:p w14:paraId="3BA0E107" w14:textId="77777777" w:rsidR="00E30804" w:rsidRPr="00B73D41" w:rsidRDefault="00E30804" w:rsidP="006E0559">
            <w:pPr>
              <w:rPr>
                <w:rFonts w:ascii="Times New Roman" w:eastAsia="Times New Roman" w:hAnsi="Times New Roman"/>
                <w:b/>
                <w:bCs/>
                <w:noProof w:val="0"/>
                <w:color w:val="000000"/>
                <w:sz w:val="22"/>
                <w:szCs w:val="22"/>
              </w:rPr>
            </w:pPr>
          </w:p>
        </w:tc>
        <w:tc>
          <w:tcPr>
            <w:tcW w:w="2046" w:type="dxa"/>
            <w:tcBorders>
              <w:top w:val="nil"/>
              <w:left w:val="nil"/>
              <w:bottom w:val="nil"/>
              <w:right w:val="nil"/>
            </w:tcBorders>
            <w:shd w:val="clear" w:color="auto" w:fill="auto"/>
            <w:vAlign w:val="center"/>
            <w:hideMark/>
          </w:tcPr>
          <w:p w14:paraId="25E5A435" w14:textId="77777777" w:rsidR="00E30804" w:rsidRPr="00B974B6" w:rsidRDefault="00E30804" w:rsidP="006E0559">
            <w:pPr>
              <w:rPr>
                <w:rFonts w:ascii="Times New Roman" w:eastAsia="Times New Roman" w:hAnsi="Times New Roman"/>
                <w:noProof w:val="0"/>
                <w:sz w:val="22"/>
                <w:szCs w:val="22"/>
              </w:rPr>
            </w:pPr>
          </w:p>
        </w:tc>
        <w:tc>
          <w:tcPr>
            <w:tcW w:w="2046" w:type="dxa"/>
            <w:tcBorders>
              <w:top w:val="nil"/>
              <w:left w:val="nil"/>
              <w:bottom w:val="nil"/>
              <w:right w:val="nil"/>
            </w:tcBorders>
            <w:shd w:val="clear" w:color="auto" w:fill="auto"/>
            <w:vAlign w:val="center"/>
            <w:hideMark/>
          </w:tcPr>
          <w:p w14:paraId="75D956D9" w14:textId="77777777" w:rsidR="00E30804" w:rsidRPr="00B974B6" w:rsidRDefault="00E30804" w:rsidP="006E0559">
            <w:pPr>
              <w:rPr>
                <w:rFonts w:ascii="Times New Roman" w:eastAsia="Times New Roman" w:hAnsi="Times New Roman"/>
                <w:noProof w:val="0"/>
                <w:sz w:val="22"/>
                <w:szCs w:val="22"/>
              </w:rPr>
            </w:pPr>
          </w:p>
        </w:tc>
        <w:tc>
          <w:tcPr>
            <w:tcW w:w="2046" w:type="dxa"/>
            <w:tcBorders>
              <w:top w:val="nil"/>
              <w:left w:val="nil"/>
              <w:bottom w:val="nil"/>
              <w:right w:val="nil"/>
            </w:tcBorders>
            <w:shd w:val="clear" w:color="auto" w:fill="auto"/>
            <w:vAlign w:val="center"/>
            <w:hideMark/>
          </w:tcPr>
          <w:p w14:paraId="2DE5BB9E" w14:textId="77777777" w:rsidR="00E30804" w:rsidRPr="00B974B6" w:rsidRDefault="00E30804" w:rsidP="006E0559">
            <w:pPr>
              <w:rPr>
                <w:rFonts w:ascii="Times New Roman" w:eastAsia="Times New Roman" w:hAnsi="Times New Roman"/>
                <w:noProof w:val="0"/>
                <w:sz w:val="22"/>
                <w:szCs w:val="22"/>
              </w:rPr>
            </w:pPr>
          </w:p>
        </w:tc>
      </w:tr>
      <w:tr w:rsidR="00E30804" w:rsidRPr="006E0559" w14:paraId="736914E7" w14:textId="77777777" w:rsidTr="006E0559">
        <w:trPr>
          <w:trHeight w:val="320"/>
        </w:trPr>
        <w:tc>
          <w:tcPr>
            <w:tcW w:w="2350" w:type="dxa"/>
            <w:tcBorders>
              <w:top w:val="nil"/>
              <w:left w:val="nil"/>
              <w:bottom w:val="nil"/>
              <w:right w:val="nil"/>
            </w:tcBorders>
            <w:shd w:val="clear" w:color="auto" w:fill="auto"/>
            <w:vAlign w:val="center"/>
            <w:hideMark/>
          </w:tcPr>
          <w:p w14:paraId="0BB460C5" w14:textId="77777777" w:rsidR="00E30804" w:rsidRPr="006E0559" w:rsidRDefault="00E30804"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Heterosexual</w:t>
            </w:r>
          </w:p>
        </w:tc>
        <w:tc>
          <w:tcPr>
            <w:tcW w:w="2046" w:type="dxa"/>
            <w:tcBorders>
              <w:top w:val="nil"/>
              <w:left w:val="nil"/>
              <w:bottom w:val="nil"/>
              <w:right w:val="nil"/>
            </w:tcBorders>
            <w:shd w:val="clear" w:color="auto" w:fill="auto"/>
            <w:vAlign w:val="center"/>
            <w:hideMark/>
          </w:tcPr>
          <w:p w14:paraId="21F10EB4" w14:textId="77777777" w:rsidR="00E30804" w:rsidRPr="00B73D41" w:rsidRDefault="00E30804" w:rsidP="006E0559">
            <w:pPr>
              <w:jc w:val="both"/>
              <w:rPr>
                <w:rFonts w:ascii="Times New Roman" w:eastAsia="Times New Roman" w:hAnsi="Times New Roman"/>
                <w:noProof w:val="0"/>
                <w:color w:val="000000"/>
                <w:sz w:val="22"/>
                <w:szCs w:val="22"/>
              </w:rPr>
            </w:pPr>
            <w:r w:rsidRPr="00B73D41">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37CDDE84" w14:textId="77777777" w:rsidR="00E30804" w:rsidRPr="00B73D41" w:rsidRDefault="00E30804" w:rsidP="006E0559">
            <w:pPr>
              <w:jc w:val="both"/>
              <w:rPr>
                <w:rFonts w:ascii="Times New Roman" w:eastAsia="Times New Roman" w:hAnsi="Times New Roman"/>
                <w:noProof w:val="0"/>
                <w:color w:val="000000"/>
                <w:sz w:val="22"/>
                <w:szCs w:val="22"/>
              </w:rPr>
            </w:pPr>
            <w:r w:rsidRPr="00B73D41">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6FDE4099" w14:textId="77777777" w:rsidR="00E30804" w:rsidRPr="00B73D41" w:rsidRDefault="00E30804" w:rsidP="006E0559">
            <w:pPr>
              <w:jc w:val="both"/>
              <w:rPr>
                <w:rFonts w:ascii="Times New Roman" w:eastAsia="Times New Roman" w:hAnsi="Times New Roman"/>
                <w:noProof w:val="0"/>
                <w:color w:val="000000"/>
                <w:sz w:val="22"/>
                <w:szCs w:val="22"/>
              </w:rPr>
            </w:pPr>
            <w:r w:rsidRPr="00B73D41">
              <w:rPr>
                <w:rFonts w:ascii="Times New Roman" w:eastAsia="Times New Roman" w:hAnsi="Times New Roman"/>
                <w:noProof w:val="0"/>
                <w:color w:val="000000"/>
                <w:sz w:val="22"/>
                <w:szCs w:val="22"/>
              </w:rPr>
              <w:t>ref</w:t>
            </w:r>
          </w:p>
        </w:tc>
        <w:tc>
          <w:tcPr>
            <w:tcW w:w="2046" w:type="dxa"/>
            <w:tcBorders>
              <w:top w:val="nil"/>
              <w:left w:val="nil"/>
              <w:bottom w:val="nil"/>
              <w:right w:val="nil"/>
            </w:tcBorders>
            <w:shd w:val="clear" w:color="auto" w:fill="auto"/>
            <w:vAlign w:val="center"/>
            <w:hideMark/>
          </w:tcPr>
          <w:p w14:paraId="3C6114D5" w14:textId="77777777" w:rsidR="00E30804" w:rsidRPr="00B73D41" w:rsidRDefault="00E30804" w:rsidP="006E0559">
            <w:pPr>
              <w:jc w:val="both"/>
              <w:rPr>
                <w:rFonts w:ascii="Times New Roman" w:eastAsia="Times New Roman" w:hAnsi="Times New Roman"/>
                <w:noProof w:val="0"/>
                <w:color w:val="000000"/>
                <w:sz w:val="22"/>
                <w:szCs w:val="22"/>
              </w:rPr>
            </w:pPr>
          </w:p>
        </w:tc>
      </w:tr>
      <w:tr w:rsidR="00E30804" w:rsidRPr="006E0559" w14:paraId="4091358C" w14:textId="77777777" w:rsidTr="006E0559">
        <w:trPr>
          <w:trHeight w:val="320"/>
        </w:trPr>
        <w:tc>
          <w:tcPr>
            <w:tcW w:w="2350" w:type="dxa"/>
            <w:tcBorders>
              <w:top w:val="nil"/>
              <w:left w:val="nil"/>
              <w:bottom w:val="nil"/>
              <w:right w:val="nil"/>
            </w:tcBorders>
            <w:shd w:val="clear" w:color="auto" w:fill="auto"/>
            <w:vAlign w:val="center"/>
            <w:hideMark/>
          </w:tcPr>
          <w:p w14:paraId="2153E6D8" w14:textId="77777777" w:rsidR="00E30804" w:rsidRPr="006E0559" w:rsidRDefault="00E30804"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w:t>
            </w:r>
          </w:p>
        </w:tc>
        <w:tc>
          <w:tcPr>
            <w:tcW w:w="2046" w:type="dxa"/>
            <w:tcBorders>
              <w:top w:val="nil"/>
              <w:left w:val="nil"/>
              <w:bottom w:val="nil"/>
              <w:right w:val="nil"/>
            </w:tcBorders>
            <w:shd w:val="clear" w:color="auto" w:fill="auto"/>
            <w:vAlign w:val="center"/>
            <w:hideMark/>
          </w:tcPr>
          <w:p w14:paraId="2ACBA8F0" w14:textId="77777777" w:rsidR="00E30804" w:rsidRPr="00B73D41" w:rsidRDefault="00E30804" w:rsidP="006E0559">
            <w:pPr>
              <w:rPr>
                <w:rFonts w:ascii="Times New Roman" w:eastAsia="Times New Roman" w:hAnsi="Times New Roman"/>
                <w:b/>
                <w:bCs/>
                <w:noProof w:val="0"/>
                <w:color w:val="000000"/>
                <w:sz w:val="22"/>
                <w:szCs w:val="22"/>
              </w:rPr>
            </w:pPr>
            <w:r w:rsidRPr="00B73D41">
              <w:rPr>
                <w:rFonts w:ascii="Times New Roman" w:eastAsia="Times New Roman" w:hAnsi="Times New Roman"/>
                <w:b/>
                <w:bCs/>
                <w:noProof w:val="0"/>
                <w:color w:val="000000"/>
                <w:sz w:val="22"/>
                <w:szCs w:val="22"/>
              </w:rPr>
              <w:t>6.29 (4.53-8.73)</w:t>
            </w:r>
          </w:p>
        </w:tc>
        <w:tc>
          <w:tcPr>
            <w:tcW w:w="2046" w:type="dxa"/>
            <w:tcBorders>
              <w:top w:val="nil"/>
              <w:left w:val="nil"/>
              <w:bottom w:val="nil"/>
              <w:right w:val="nil"/>
            </w:tcBorders>
            <w:shd w:val="clear" w:color="auto" w:fill="auto"/>
            <w:vAlign w:val="center"/>
            <w:hideMark/>
          </w:tcPr>
          <w:p w14:paraId="621CC911" w14:textId="77777777" w:rsidR="00E30804" w:rsidRPr="00B73D41" w:rsidRDefault="00E30804" w:rsidP="006E0559">
            <w:pPr>
              <w:rPr>
                <w:rFonts w:ascii="Times New Roman" w:eastAsia="Times New Roman" w:hAnsi="Times New Roman"/>
                <w:b/>
                <w:bCs/>
                <w:noProof w:val="0"/>
                <w:color w:val="000000"/>
                <w:sz w:val="22"/>
                <w:szCs w:val="22"/>
              </w:rPr>
            </w:pPr>
            <w:r w:rsidRPr="00B73D41">
              <w:rPr>
                <w:rFonts w:ascii="Times New Roman" w:eastAsia="Times New Roman" w:hAnsi="Times New Roman"/>
                <w:b/>
                <w:bCs/>
                <w:noProof w:val="0"/>
                <w:color w:val="000000"/>
                <w:sz w:val="22"/>
                <w:szCs w:val="22"/>
              </w:rPr>
              <w:t>4.63 (2.76-7.74)</w:t>
            </w:r>
          </w:p>
        </w:tc>
        <w:tc>
          <w:tcPr>
            <w:tcW w:w="2046" w:type="dxa"/>
            <w:tcBorders>
              <w:top w:val="nil"/>
              <w:left w:val="nil"/>
              <w:bottom w:val="nil"/>
              <w:right w:val="nil"/>
            </w:tcBorders>
            <w:shd w:val="clear" w:color="auto" w:fill="auto"/>
            <w:vAlign w:val="center"/>
            <w:hideMark/>
          </w:tcPr>
          <w:p w14:paraId="055A6EC4" w14:textId="77777777" w:rsidR="00E30804" w:rsidRPr="00B73D41" w:rsidRDefault="00E30804" w:rsidP="006E0559">
            <w:pPr>
              <w:rPr>
                <w:rFonts w:ascii="Times New Roman" w:eastAsia="Times New Roman" w:hAnsi="Times New Roman"/>
                <w:b/>
                <w:bCs/>
                <w:noProof w:val="0"/>
                <w:color w:val="000000"/>
                <w:sz w:val="22"/>
                <w:szCs w:val="22"/>
              </w:rPr>
            </w:pPr>
            <w:r w:rsidRPr="00B73D41">
              <w:rPr>
                <w:rFonts w:ascii="Times New Roman" w:eastAsia="Times New Roman" w:hAnsi="Times New Roman"/>
                <w:b/>
                <w:bCs/>
                <w:noProof w:val="0"/>
                <w:color w:val="000000"/>
                <w:sz w:val="22"/>
                <w:szCs w:val="22"/>
              </w:rPr>
              <w:t>5.94 (3.97-8.88)</w:t>
            </w:r>
          </w:p>
        </w:tc>
        <w:tc>
          <w:tcPr>
            <w:tcW w:w="2046" w:type="dxa"/>
            <w:tcBorders>
              <w:top w:val="nil"/>
              <w:left w:val="nil"/>
              <w:bottom w:val="nil"/>
              <w:right w:val="nil"/>
            </w:tcBorders>
            <w:shd w:val="clear" w:color="auto" w:fill="auto"/>
            <w:vAlign w:val="center"/>
            <w:hideMark/>
          </w:tcPr>
          <w:p w14:paraId="795803A8" w14:textId="77777777" w:rsidR="00E30804" w:rsidRPr="00B73D41" w:rsidRDefault="00E30804" w:rsidP="006E0559">
            <w:pPr>
              <w:rPr>
                <w:rFonts w:ascii="Times New Roman" w:eastAsia="Times New Roman" w:hAnsi="Times New Roman"/>
                <w:b/>
                <w:bCs/>
                <w:noProof w:val="0"/>
                <w:color w:val="000000"/>
                <w:sz w:val="22"/>
                <w:szCs w:val="22"/>
              </w:rPr>
            </w:pPr>
            <w:r w:rsidRPr="00B73D41">
              <w:rPr>
                <w:rFonts w:ascii="Times New Roman" w:eastAsia="Times New Roman" w:hAnsi="Times New Roman"/>
                <w:b/>
                <w:bCs/>
                <w:noProof w:val="0"/>
                <w:color w:val="000000"/>
                <w:sz w:val="22"/>
                <w:szCs w:val="22"/>
              </w:rPr>
              <w:t>3.46 (1.44-8.30)</w:t>
            </w:r>
          </w:p>
        </w:tc>
      </w:tr>
      <w:tr w:rsidR="00E30804" w:rsidRPr="006E0559" w14:paraId="3F6900A1" w14:textId="77777777" w:rsidTr="006E0559">
        <w:trPr>
          <w:trHeight w:val="340"/>
        </w:trPr>
        <w:tc>
          <w:tcPr>
            <w:tcW w:w="2350" w:type="dxa"/>
            <w:tcBorders>
              <w:top w:val="nil"/>
              <w:left w:val="nil"/>
              <w:bottom w:val="single" w:sz="8" w:space="0" w:color="auto"/>
              <w:right w:val="nil"/>
            </w:tcBorders>
            <w:shd w:val="clear" w:color="auto" w:fill="auto"/>
            <w:vAlign w:val="center"/>
            <w:hideMark/>
          </w:tcPr>
          <w:p w14:paraId="1DC01CE5" w14:textId="77777777" w:rsidR="00E30804" w:rsidRPr="006E0559" w:rsidRDefault="00E30804" w:rsidP="006E0559">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Lesbian</w:t>
            </w:r>
          </w:p>
        </w:tc>
        <w:tc>
          <w:tcPr>
            <w:tcW w:w="2046" w:type="dxa"/>
            <w:tcBorders>
              <w:top w:val="nil"/>
              <w:left w:val="nil"/>
              <w:bottom w:val="nil"/>
              <w:right w:val="nil"/>
            </w:tcBorders>
            <w:shd w:val="clear" w:color="auto" w:fill="auto"/>
            <w:vAlign w:val="center"/>
            <w:hideMark/>
          </w:tcPr>
          <w:p w14:paraId="6E213948" w14:textId="77777777" w:rsidR="00E30804" w:rsidRPr="00B73D41" w:rsidRDefault="00E30804" w:rsidP="006E0559">
            <w:pPr>
              <w:rPr>
                <w:rFonts w:ascii="Times New Roman" w:eastAsia="Times New Roman" w:hAnsi="Times New Roman"/>
                <w:noProof w:val="0"/>
                <w:color w:val="000000"/>
                <w:sz w:val="22"/>
                <w:szCs w:val="22"/>
              </w:rPr>
            </w:pPr>
            <w:r w:rsidRPr="00B73D41">
              <w:rPr>
                <w:rFonts w:ascii="Times New Roman" w:eastAsia="Times New Roman" w:hAnsi="Times New Roman"/>
                <w:noProof w:val="0"/>
                <w:color w:val="000000"/>
                <w:sz w:val="22"/>
                <w:szCs w:val="22"/>
              </w:rPr>
              <w:t>2.07 (0.52-8.27)</w:t>
            </w:r>
          </w:p>
        </w:tc>
        <w:tc>
          <w:tcPr>
            <w:tcW w:w="2046" w:type="dxa"/>
            <w:tcBorders>
              <w:top w:val="nil"/>
              <w:left w:val="nil"/>
              <w:bottom w:val="single" w:sz="8" w:space="0" w:color="auto"/>
              <w:right w:val="nil"/>
            </w:tcBorders>
            <w:shd w:val="clear" w:color="auto" w:fill="auto"/>
            <w:vAlign w:val="center"/>
            <w:hideMark/>
          </w:tcPr>
          <w:p w14:paraId="0B9F72ED" w14:textId="77777777" w:rsidR="00E30804" w:rsidRPr="00B73D41" w:rsidRDefault="00E30804" w:rsidP="006E0559">
            <w:pPr>
              <w:rPr>
                <w:rFonts w:ascii="Times New Roman" w:eastAsia="Times New Roman" w:hAnsi="Times New Roman"/>
                <w:b/>
                <w:bCs/>
                <w:noProof w:val="0"/>
                <w:color w:val="000000"/>
                <w:sz w:val="22"/>
                <w:szCs w:val="22"/>
              </w:rPr>
            </w:pPr>
            <w:r w:rsidRPr="00B73D41">
              <w:rPr>
                <w:rFonts w:ascii="Times New Roman" w:eastAsia="Times New Roman" w:hAnsi="Times New Roman"/>
                <w:b/>
                <w:bCs/>
                <w:noProof w:val="0"/>
                <w:color w:val="000000"/>
                <w:sz w:val="22"/>
                <w:szCs w:val="22"/>
              </w:rPr>
              <w:t>5.84 (1.97-17.32)</w:t>
            </w:r>
          </w:p>
        </w:tc>
        <w:tc>
          <w:tcPr>
            <w:tcW w:w="2046" w:type="dxa"/>
            <w:tcBorders>
              <w:top w:val="nil"/>
              <w:left w:val="nil"/>
              <w:bottom w:val="single" w:sz="8" w:space="0" w:color="auto"/>
              <w:right w:val="nil"/>
            </w:tcBorders>
            <w:shd w:val="clear" w:color="auto" w:fill="auto"/>
            <w:vAlign w:val="center"/>
            <w:hideMark/>
          </w:tcPr>
          <w:p w14:paraId="7F0893A2" w14:textId="77777777" w:rsidR="00E30804" w:rsidRPr="00B73D41" w:rsidRDefault="00E30804" w:rsidP="006E0559">
            <w:pPr>
              <w:rPr>
                <w:rFonts w:ascii="Times New Roman" w:eastAsia="Times New Roman" w:hAnsi="Times New Roman"/>
                <w:b/>
                <w:bCs/>
                <w:noProof w:val="0"/>
                <w:color w:val="000000"/>
                <w:sz w:val="22"/>
                <w:szCs w:val="22"/>
              </w:rPr>
            </w:pPr>
            <w:r w:rsidRPr="00B73D41">
              <w:rPr>
                <w:rFonts w:ascii="Times New Roman" w:eastAsia="Times New Roman" w:hAnsi="Times New Roman"/>
                <w:b/>
                <w:bCs/>
                <w:noProof w:val="0"/>
                <w:color w:val="000000"/>
                <w:sz w:val="22"/>
                <w:szCs w:val="22"/>
              </w:rPr>
              <w:t>5.84 (1.97-17.32)</w:t>
            </w:r>
          </w:p>
        </w:tc>
        <w:tc>
          <w:tcPr>
            <w:tcW w:w="2046" w:type="dxa"/>
            <w:tcBorders>
              <w:top w:val="nil"/>
              <w:left w:val="nil"/>
              <w:bottom w:val="nil"/>
              <w:right w:val="nil"/>
            </w:tcBorders>
            <w:shd w:val="clear" w:color="auto" w:fill="auto"/>
            <w:vAlign w:val="center"/>
            <w:hideMark/>
          </w:tcPr>
          <w:p w14:paraId="0714AE22" w14:textId="77777777" w:rsidR="00E30804" w:rsidRPr="00B73D41" w:rsidRDefault="00E30804" w:rsidP="006E0559">
            <w:pPr>
              <w:rPr>
                <w:rFonts w:ascii="Times New Roman" w:eastAsia="Times New Roman" w:hAnsi="Times New Roman"/>
                <w:b/>
                <w:bCs/>
                <w:noProof w:val="0"/>
                <w:color w:val="000000"/>
                <w:sz w:val="22"/>
                <w:szCs w:val="22"/>
              </w:rPr>
            </w:pPr>
            <w:r w:rsidRPr="00B73D41">
              <w:rPr>
                <w:rFonts w:ascii="Times New Roman" w:eastAsia="Times New Roman" w:hAnsi="Times New Roman"/>
                <w:b/>
                <w:bCs/>
                <w:noProof w:val="0"/>
                <w:color w:val="000000"/>
                <w:sz w:val="22"/>
                <w:szCs w:val="22"/>
              </w:rPr>
              <w:t>7.68 (2.27-17.32)</w:t>
            </w:r>
          </w:p>
        </w:tc>
      </w:tr>
      <w:tr w:rsidR="00E30804" w:rsidRPr="006E0559" w14:paraId="4265E214" w14:textId="77777777" w:rsidTr="006E0559">
        <w:trPr>
          <w:trHeight w:val="540"/>
        </w:trPr>
        <w:tc>
          <w:tcPr>
            <w:tcW w:w="10534" w:type="dxa"/>
            <w:gridSpan w:val="5"/>
            <w:tcBorders>
              <w:top w:val="single" w:sz="8" w:space="0" w:color="auto"/>
              <w:left w:val="nil"/>
              <w:bottom w:val="nil"/>
              <w:right w:val="nil"/>
            </w:tcBorders>
            <w:shd w:val="clear" w:color="auto" w:fill="auto"/>
            <w:vAlign w:val="center"/>
            <w:hideMark/>
          </w:tcPr>
          <w:p w14:paraId="3A49F5C2" w14:textId="2FD4FA4B" w:rsidR="00E30804" w:rsidRPr="006E0559" w:rsidRDefault="00E30804" w:rsidP="006F71F5">
            <w:pPr>
              <w:rPr>
                <w:rFonts w:ascii="Times New Roman" w:eastAsia="Times New Roman" w:hAnsi="Times New Roman"/>
                <w:i/>
                <w:iCs/>
                <w:noProof w:val="0"/>
                <w:color w:val="000000"/>
                <w:sz w:val="22"/>
                <w:szCs w:val="22"/>
              </w:rPr>
            </w:pPr>
            <w:r w:rsidRPr="006E0559">
              <w:rPr>
                <w:rFonts w:ascii="Times New Roman" w:eastAsia="Times New Roman" w:hAnsi="Times New Roman"/>
                <w:i/>
                <w:iCs/>
                <w:noProof w:val="0"/>
                <w:color w:val="000000"/>
                <w:sz w:val="22"/>
                <w:szCs w:val="22"/>
              </w:rPr>
              <w:t>Note</w:t>
            </w:r>
            <w:r w:rsidRPr="006E0559">
              <w:rPr>
                <w:rFonts w:ascii="Times New Roman" w:eastAsia="Times New Roman" w:hAnsi="Times New Roman"/>
                <w:noProof w:val="0"/>
                <w:color w:val="000000"/>
                <w:sz w:val="22"/>
                <w:szCs w:val="22"/>
              </w:rPr>
              <w:t xml:space="preserve">. </w:t>
            </w:r>
            <w:r>
              <w:rPr>
                <w:rFonts w:ascii="Times New Roman" w:eastAsia="Times New Roman" w:hAnsi="Times New Roman"/>
                <w:noProof w:val="0"/>
                <w:color w:val="000000"/>
                <w:sz w:val="22"/>
                <w:szCs w:val="22"/>
              </w:rPr>
              <w:t>All o</w:t>
            </w:r>
            <w:r w:rsidRPr="00B30017">
              <w:rPr>
                <w:rFonts w:ascii="Times New Roman" w:eastAsia="Times New Roman" w:hAnsi="Times New Roman"/>
                <w:noProof w:val="0"/>
                <w:color w:val="000000"/>
                <w:sz w:val="22"/>
                <w:szCs w:val="22"/>
              </w:rPr>
              <w:t>utcomes were weighted</w:t>
            </w:r>
            <w:r>
              <w:rPr>
                <w:rFonts w:ascii="Times New Roman" w:eastAsia="Times New Roman" w:hAnsi="Times New Roman"/>
                <w:noProof w:val="0"/>
                <w:color w:val="000000"/>
                <w:sz w:val="22"/>
                <w:szCs w:val="22"/>
              </w:rPr>
              <w:t xml:space="preserve">. </w:t>
            </w:r>
            <w:proofErr w:type="spellStart"/>
            <w:r>
              <w:rPr>
                <w:rFonts w:ascii="Times New Roman" w:eastAsia="Times New Roman" w:hAnsi="Times New Roman"/>
                <w:noProof w:val="0"/>
                <w:color w:val="000000"/>
                <w:sz w:val="22"/>
                <w:szCs w:val="22"/>
              </w:rPr>
              <w:t>aOR</w:t>
            </w:r>
            <w:proofErr w:type="spellEnd"/>
            <w:r>
              <w:rPr>
                <w:rFonts w:ascii="Times New Roman" w:eastAsia="Times New Roman" w:hAnsi="Times New Roman"/>
                <w:noProof w:val="0"/>
                <w:color w:val="000000"/>
                <w:sz w:val="22"/>
                <w:szCs w:val="22"/>
              </w:rPr>
              <w:t xml:space="preserve"> = adjusted odds ratio for ethnicity and age; </w:t>
            </w:r>
            <w:proofErr w:type="spellStart"/>
            <w:r>
              <w:rPr>
                <w:rFonts w:ascii="Times New Roman" w:eastAsia="Times New Roman" w:hAnsi="Times New Roman"/>
                <w:noProof w:val="0"/>
                <w:color w:val="000000"/>
                <w:sz w:val="22"/>
                <w:szCs w:val="22"/>
              </w:rPr>
              <w:t>bOR</w:t>
            </w:r>
            <w:proofErr w:type="spellEnd"/>
            <w:r>
              <w:rPr>
                <w:rFonts w:ascii="Times New Roman" w:eastAsia="Times New Roman" w:hAnsi="Times New Roman"/>
                <w:noProof w:val="0"/>
                <w:color w:val="000000"/>
                <w:sz w:val="22"/>
                <w:szCs w:val="22"/>
              </w:rPr>
              <w:t xml:space="preserve"> = adjusted odds ratio for age only.</w:t>
            </w:r>
            <w:r w:rsidRPr="00B30017">
              <w:rPr>
                <w:rFonts w:ascii="Times New Roman" w:eastAsia="Times New Roman" w:hAnsi="Times New Roman"/>
                <w:noProof w:val="0"/>
                <w:color w:val="000000"/>
                <w:sz w:val="22"/>
                <w:szCs w:val="22"/>
              </w:rPr>
              <w:t xml:space="preserve"> Due to low prevalence rates, "smoked daily in past 30 days" was adjusted for age but not race/ethnicity. </w:t>
            </w:r>
            <w:proofErr w:type="spellStart"/>
            <w:proofErr w:type="gramStart"/>
            <w:r>
              <w:rPr>
                <w:rFonts w:ascii="Times New Roman" w:eastAsia="Times New Roman" w:hAnsi="Times New Roman"/>
                <w:noProof w:val="0"/>
                <w:color w:val="000000"/>
                <w:sz w:val="22"/>
                <w:szCs w:val="22"/>
              </w:rPr>
              <w:t>a</w:t>
            </w:r>
            <w:r w:rsidRPr="00B30017">
              <w:rPr>
                <w:rFonts w:ascii="Times New Roman" w:eastAsia="Times New Roman" w:hAnsi="Times New Roman"/>
                <w:noProof w:val="0"/>
                <w:color w:val="000000"/>
                <w:sz w:val="22"/>
                <w:szCs w:val="22"/>
              </w:rPr>
              <w:t>OR</w:t>
            </w:r>
            <w:proofErr w:type="spellEnd"/>
            <w:proofErr w:type="gramEnd"/>
            <w:r>
              <w:rPr>
                <w:rFonts w:ascii="Times New Roman" w:eastAsia="Times New Roman" w:hAnsi="Times New Roman"/>
                <w:noProof w:val="0"/>
                <w:color w:val="000000"/>
                <w:sz w:val="22"/>
                <w:szCs w:val="22"/>
              </w:rPr>
              <w:t xml:space="preserve"> and </w:t>
            </w:r>
            <w:proofErr w:type="spellStart"/>
            <w:r>
              <w:rPr>
                <w:rFonts w:ascii="Times New Roman" w:eastAsia="Times New Roman" w:hAnsi="Times New Roman"/>
                <w:noProof w:val="0"/>
                <w:color w:val="000000"/>
                <w:sz w:val="22"/>
                <w:szCs w:val="22"/>
              </w:rPr>
              <w:t>bOR</w:t>
            </w:r>
            <w:proofErr w:type="spellEnd"/>
            <w:r>
              <w:rPr>
                <w:rFonts w:ascii="Times New Roman" w:eastAsia="Times New Roman" w:hAnsi="Times New Roman"/>
                <w:noProof w:val="0"/>
                <w:color w:val="000000"/>
                <w:sz w:val="22"/>
                <w:szCs w:val="22"/>
              </w:rPr>
              <w:t xml:space="preserve"> in bold </w:t>
            </w:r>
            <w:proofErr w:type="spellStart"/>
            <w:r w:rsidRPr="006E0559">
              <w:rPr>
                <w:rFonts w:ascii="Times New Roman" w:eastAsia="Times New Roman" w:hAnsi="Times New Roman"/>
                <w:noProof w:val="0"/>
                <w:color w:val="000000"/>
                <w:sz w:val="22"/>
                <w:szCs w:val="22"/>
              </w:rPr>
              <w:t>bold</w:t>
            </w:r>
            <w:proofErr w:type="spellEnd"/>
            <w:r w:rsidRPr="006E0559">
              <w:rPr>
                <w:rFonts w:ascii="Times New Roman" w:eastAsia="Times New Roman" w:hAnsi="Times New Roman"/>
                <w:noProof w:val="0"/>
                <w:color w:val="000000"/>
                <w:sz w:val="22"/>
                <w:szCs w:val="22"/>
              </w:rPr>
              <w:t xml:space="preserve"> indicates </w:t>
            </w:r>
            <w:r w:rsidRPr="006E0559">
              <w:rPr>
                <w:rFonts w:ascii="Times New Roman" w:eastAsia="Times New Roman" w:hAnsi="Times New Roman"/>
                <w:i/>
                <w:iCs/>
                <w:noProof w:val="0"/>
                <w:color w:val="000000"/>
                <w:sz w:val="22"/>
                <w:szCs w:val="22"/>
              </w:rPr>
              <w:t>p</w:t>
            </w:r>
            <w:r>
              <w:rPr>
                <w:rFonts w:ascii="Times New Roman" w:eastAsia="Times New Roman" w:hAnsi="Times New Roman"/>
                <w:i/>
                <w:iCs/>
                <w:noProof w:val="0"/>
                <w:color w:val="000000"/>
                <w:sz w:val="22"/>
                <w:szCs w:val="22"/>
              </w:rPr>
              <w:t xml:space="preserve"> </w:t>
            </w:r>
            <w:r w:rsidRPr="006E0559">
              <w:rPr>
                <w:rFonts w:ascii="Times New Roman" w:eastAsia="Times New Roman" w:hAnsi="Times New Roman"/>
                <w:noProof w:val="0"/>
                <w:color w:val="000000"/>
                <w:sz w:val="22"/>
                <w:szCs w:val="22"/>
              </w:rPr>
              <w:t>&lt; .05</w:t>
            </w:r>
            <w:r>
              <w:rPr>
                <w:rFonts w:ascii="Times New Roman" w:eastAsia="Times New Roman" w:hAnsi="Times New Roman"/>
                <w:noProof w:val="0"/>
                <w:color w:val="000000"/>
                <w:sz w:val="22"/>
                <w:szCs w:val="22"/>
              </w:rPr>
              <w:t xml:space="preserve">;  CI = </w:t>
            </w:r>
            <w:r w:rsidRPr="00B30017">
              <w:rPr>
                <w:rFonts w:ascii="Times New Roman" w:eastAsia="Times New Roman" w:hAnsi="Times New Roman"/>
                <w:noProof w:val="0"/>
                <w:color w:val="000000"/>
                <w:sz w:val="22"/>
                <w:szCs w:val="22"/>
              </w:rPr>
              <w:t>Confidence interval</w:t>
            </w:r>
            <w:r>
              <w:rPr>
                <w:rFonts w:ascii="Times New Roman" w:eastAsia="Times New Roman" w:hAnsi="Times New Roman"/>
                <w:noProof w:val="0"/>
                <w:color w:val="000000"/>
                <w:sz w:val="22"/>
                <w:szCs w:val="22"/>
              </w:rPr>
              <w:t>.</w:t>
            </w:r>
          </w:p>
        </w:tc>
      </w:tr>
    </w:tbl>
    <w:p w14:paraId="599EE17F" w14:textId="77777777" w:rsidR="004935FF" w:rsidRPr="004935FF" w:rsidRDefault="004935FF" w:rsidP="004935FF">
      <w:pPr>
        <w:tabs>
          <w:tab w:val="left" w:pos="3215"/>
        </w:tabs>
        <w:rPr>
          <w:rFonts w:ascii="Times New Roman" w:hAnsi="Times New Roman"/>
          <w:sz w:val="22"/>
          <w:szCs w:val="22"/>
        </w:rPr>
        <w:sectPr w:rsidR="004935FF" w:rsidRPr="004935FF" w:rsidSect="00922EF4">
          <w:pgSz w:w="12240" w:h="15840"/>
          <w:pgMar w:top="1440" w:right="1440" w:bottom="1440" w:left="1440" w:header="720" w:footer="720" w:gutter="0"/>
          <w:cols w:space="720"/>
          <w:titlePg/>
          <w:docGrid w:linePitch="360"/>
        </w:sectPr>
      </w:pPr>
    </w:p>
    <w:tbl>
      <w:tblPr>
        <w:tblpPr w:leftFromText="180" w:rightFromText="180" w:horzAnchor="page" w:tblpX="1450" w:tblpY="-356"/>
        <w:tblW w:w="9360" w:type="dxa"/>
        <w:tblLook w:val="04A0" w:firstRow="1" w:lastRow="0" w:firstColumn="1" w:lastColumn="0" w:noHBand="0" w:noVBand="1"/>
      </w:tblPr>
      <w:tblGrid>
        <w:gridCol w:w="3531"/>
        <w:gridCol w:w="537"/>
        <w:gridCol w:w="2646"/>
        <w:gridCol w:w="2646"/>
      </w:tblGrid>
      <w:tr w:rsidR="006E0559" w:rsidRPr="006E0559" w14:paraId="31856DFD" w14:textId="77777777" w:rsidTr="00B974B6">
        <w:trPr>
          <w:trHeight w:val="320"/>
        </w:trPr>
        <w:tc>
          <w:tcPr>
            <w:tcW w:w="3531" w:type="dxa"/>
            <w:tcBorders>
              <w:top w:val="nil"/>
              <w:left w:val="nil"/>
              <w:bottom w:val="nil"/>
              <w:right w:val="nil"/>
            </w:tcBorders>
            <w:shd w:val="clear" w:color="auto" w:fill="auto"/>
            <w:noWrap/>
            <w:vAlign w:val="center"/>
            <w:hideMark/>
          </w:tcPr>
          <w:p w14:paraId="3F3DA2DF"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lastRenderedPageBreak/>
              <w:t>Table 4</w:t>
            </w:r>
            <w:r>
              <w:rPr>
                <w:rFonts w:ascii="Times New Roman" w:eastAsia="Times New Roman" w:hAnsi="Times New Roman"/>
                <w:noProof w:val="0"/>
                <w:color w:val="000000"/>
                <w:sz w:val="22"/>
                <w:szCs w:val="22"/>
              </w:rPr>
              <w:t>.</w:t>
            </w:r>
          </w:p>
        </w:tc>
        <w:tc>
          <w:tcPr>
            <w:tcW w:w="537" w:type="dxa"/>
            <w:tcBorders>
              <w:top w:val="nil"/>
              <w:left w:val="nil"/>
              <w:bottom w:val="nil"/>
              <w:right w:val="nil"/>
            </w:tcBorders>
            <w:shd w:val="clear" w:color="auto" w:fill="auto"/>
            <w:noWrap/>
            <w:vAlign w:val="center"/>
            <w:hideMark/>
          </w:tcPr>
          <w:p w14:paraId="3A9E27C5" w14:textId="77777777" w:rsidR="006E0559" w:rsidRPr="006E0559" w:rsidRDefault="006E0559" w:rsidP="00E30804">
            <w:pPr>
              <w:jc w:val="both"/>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noWrap/>
            <w:vAlign w:val="bottom"/>
            <w:hideMark/>
          </w:tcPr>
          <w:p w14:paraId="6068737A" w14:textId="77777777" w:rsidR="006E0559" w:rsidRPr="006E0559" w:rsidRDefault="006E0559" w:rsidP="00E30804">
            <w:pPr>
              <w:jc w:val="both"/>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noWrap/>
            <w:vAlign w:val="bottom"/>
            <w:hideMark/>
          </w:tcPr>
          <w:p w14:paraId="2222F107" w14:textId="77777777" w:rsidR="006E0559" w:rsidRPr="006E0559" w:rsidRDefault="006E0559" w:rsidP="00E30804">
            <w:pPr>
              <w:rPr>
                <w:rFonts w:ascii="Times New Roman" w:eastAsia="Times New Roman" w:hAnsi="Times New Roman"/>
                <w:noProof w:val="0"/>
                <w:sz w:val="20"/>
                <w:szCs w:val="20"/>
              </w:rPr>
            </w:pPr>
          </w:p>
        </w:tc>
      </w:tr>
      <w:tr w:rsidR="006E0559" w:rsidRPr="006E0559" w14:paraId="287CED78" w14:textId="77777777" w:rsidTr="00B974B6">
        <w:trPr>
          <w:trHeight w:val="320"/>
        </w:trPr>
        <w:tc>
          <w:tcPr>
            <w:tcW w:w="3531" w:type="dxa"/>
            <w:tcBorders>
              <w:top w:val="nil"/>
              <w:left w:val="nil"/>
              <w:bottom w:val="nil"/>
              <w:right w:val="nil"/>
            </w:tcBorders>
            <w:shd w:val="clear" w:color="auto" w:fill="auto"/>
            <w:noWrap/>
            <w:vAlign w:val="center"/>
            <w:hideMark/>
          </w:tcPr>
          <w:p w14:paraId="66D95195" w14:textId="77777777" w:rsidR="006E0559" w:rsidRPr="006E0559" w:rsidRDefault="006E0559" w:rsidP="00E30804">
            <w:pPr>
              <w:rPr>
                <w:rFonts w:ascii="Times New Roman" w:eastAsia="Times New Roman" w:hAnsi="Times New Roman"/>
                <w:noProof w:val="0"/>
                <w:sz w:val="20"/>
                <w:szCs w:val="20"/>
              </w:rPr>
            </w:pPr>
          </w:p>
        </w:tc>
        <w:tc>
          <w:tcPr>
            <w:tcW w:w="537" w:type="dxa"/>
            <w:tcBorders>
              <w:top w:val="nil"/>
              <w:left w:val="nil"/>
              <w:bottom w:val="nil"/>
              <w:right w:val="nil"/>
            </w:tcBorders>
            <w:shd w:val="clear" w:color="auto" w:fill="auto"/>
            <w:noWrap/>
            <w:vAlign w:val="center"/>
            <w:hideMark/>
          </w:tcPr>
          <w:p w14:paraId="3A1BB6B1" w14:textId="77777777" w:rsidR="006E0559" w:rsidRPr="006E0559" w:rsidRDefault="006E0559" w:rsidP="00E30804">
            <w:pPr>
              <w:jc w:val="both"/>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noWrap/>
            <w:vAlign w:val="bottom"/>
            <w:hideMark/>
          </w:tcPr>
          <w:p w14:paraId="543C7DEA" w14:textId="77777777" w:rsidR="006E0559" w:rsidRPr="006E0559" w:rsidRDefault="006E0559" w:rsidP="00E30804">
            <w:pPr>
              <w:jc w:val="both"/>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noWrap/>
            <w:vAlign w:val="bottom"/>
            <w:hideMark/>
          </w:tcPr>
          <w:p w14:paraId="2FB75D24" w14:textId="77777777" w:rsidR="006E0559" w:rsidRPr="006E0559" w:rsidRDefault="006E0559" w:rsidP="00E30804">
            <w:pPr>
              <w:rPr>
                <w:rFonts w:ascii="Times New Roman" w:eastAsia="Times New Roman" w:hAnsi="Times New Roman"/>
                <w:noProof w:val="0"/>
                <w:sz w:val="20"/>
                <w:szCs w:val="20"/>
              </w:rPr>
            </w:pPr>
          </w:p>
        </w:tc>
      </w:tr>
      <w:tr w:rsidR="006E0559" w:rsidRPr="006E0559" w14:paraId="5F153FFB" w14:textId="77777777" w:rsidTr="00B974B6">
        <w:trPr>
          <w:trHeight w:val="340"/>
        </w:trPr>
        <w:tc>
          <w:tcPr>
            <w:tcW w:w="9360" w:type="dxa"/>
            <w:gridSpan w:val="4"/>
            <w:tcBorders>
              <w:top w:val="nil"/>
              <w:left w:val="nil"/>
              <w:bottom w:val="single" w:sz="8" w:space="0" w:color="auto"/>
              <w:right w:val="nil"/>
            </w:tcBorders>
            <w:shd w:val="clear" w:color="auto" w:fill="auto"/>
            <w:noWrap/>
            <w:vAlign w:val="center"/>
            <w:hideMark/>
          </w:tcPr>
          <w:p w14:paraId="5BAEE1B2" w14:textId="77777777" w:rsidR="006E0559" w:rsidRPr="006E0559" w:rsidRDefault="006E0559" w:rsidP="00E30804">
            <w:pPr>
              <w:rPr>
                <w:rFonts w:ascii="Times New Roman" w:eastAsia="Times New Roman" w:hAnsi="Times New Roman"/>
                <w:i/>
                <w:noProof w:val="0"/>
                <w:color w:val="000000"/>
                <w:sz w:val="22"/>
                <w:szCs w:val="22"/>
              </w:rPr>
            </w:pPr>
            <w:r w:rsidRPr="006E0559">
              <w:rPr>
                <w:rFonts w:ascii="Times New Roman" w:eastAsia="Times New Roman" w:hAnsi="Times New Roman"/>
                <w:i/>
                <w:noProof w:val="0"/>
                <w:color w:val="000000"/>
                <w:sz w:val="22"/>
                <w:szCs w:val="22"/>
              </w:rPr>
              <w:t xml:space="preserve">Trends in </w:t>
            </w:r>
            <w:r w:rsidRPr="004B48D3">
              <w:rPr>
                <w:rFonts w:ascii="Times New Roman" w:eastAsia="Times New Roman" w:hAnsi="Times New Roman"/>
                <w:i/>
                <w:noProof w:val="0"/>
                <w:color w:val="000000"/>
                <w:sz w:val="22"/>
                <w:szCs w:val="22"/>
              </w:rPr>
              <w:t>Tobacco</w:t>
            </w:r>
            <w:r w:rsidRPr="006E0559">
              <w:rPr>
                <w:rFonts w:ascii="Times New Roman" w:eastAsia="Times New Roman" w:hAnsi="Times New Roman"/>
                <w:i/>
                <w:noProof w:val="0"/>
                <w:color w:val="000000"/>
                <w:sz w:val="22"/>
                <w:szCs w:val="22"/>
              </w:rPr>
              <w:t xml:space="preserve"> Use: Interactions Between Sexual Orientation and Year</w:t>
            </w:r>
          </w:p>
        </w:tc>
      </w:tr>
      <w:tr w:rsidR="006E0559" w:rsidRPr="006E0559" w14:paraId="5985E6D4" w14:textId="77777777" w:rsidTr="00B974B6">
        <w:trPr>
          <w:trHeight w:val="320"/>
        </w:trPr>
        <w:tc>
          <w:tcPr>
            <w:tcW w:w="3531" w:type="dxa"/>
            <w:tcBorders>
              <w:top w:val="nil"/>
              <w:left w:val="nil"/>
              <w:bottom w:val="nil"/>
              <w:right w:val="nil"/>
            </w:tcBorders>
            <w:shd w:val="clear" w:color="auto" w:fill="auto"/>
            <w:vAlign w:val="center"/>
            <w:hideMark/>
          </w:tcPr>
          <w:p w14:paraId="4D44639D" w14:textId="77777777" w:rsidR="006E0559" w:rsidRPr="006E0559" w:rsidRDefault="006E0559" w:rsidP="00E30804">
            <w:pPr>
              <w:jc w:val="right"/>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 </w:t>
            </w:r>
          </w:p>
        </w:tc>
        <w:tc>
          <w:tcPr>
            <w:tcW w:w="537" w:type="dxa"/>
            <w:tcBorders>
              <w:top w:val="nil"/>
              <w:left w:val="nil"/>
              <w:bottom w:val="nil"/>
              <w:right w:val="nil"/>
            </w:tcBorders>
            <w:shd w:val="clear" w:color="auto" w:fill="auto"/>
            <w:vAlign w:val="center"/>
            <w:hideMark/>
          </w:tcPr>
          <w:p w14:paraId="53AE594C" w14:textId="77777777" w:rsidR="006E0559" w:rsidRPr="006E0559" w:rsidRDefault="006E0559" w:rsidP="00E30804">
            <w:pPr>
              <w:jc w:val="right"/>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 </w:t>
            </w:r>
          </w:p>
        </w:tc>
        <w:tc>
          <w:tcPr>
            <w:tcW w:w="2646" w:type="dxa"/>
            <w:tcBorders>
              <w:top w:val="nil"/>
              <w:left w:val="nil"/>
              <w:bottom w:val="nil"/>
              <w:right w:val="nil"/>
            </w:tcBorders>
            <w:shd w:val="clear" w:color="auto" w:fill="auto"/>
            <w:vAlign w:val="center"/>
            <w:hideMark/>
          </w:tcPr>
          <w:p w14:paraId="62A49B96" w14:textId="77777777" w:rsidR="006E0559" w:rsidRPr="006E0559" w:rsidRDefault="006E0559" w:rsidP="00E30804">
            <w:pPr>
              <w:jc w:val="cente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Male</w:t>
            </w:r>
          </w:p>
        </w:tc>
        <w:tc>
          <w:tcPr>
            <w:tcW w:w="2646" w:type="dxa"/>
            <w:tcBorders>
              <w:top w:val="nil"/>
              <w:left w:val="nil"/>
              <w:bottom w:val="nil"/>
              <w:right w:val="nil"/>
            </w:tcBorders>
            <w:shd w:val="clear" w:color="auto" w:fill="auto"/>
            <w:vAlign w:val="center"/>
            <w:hideMark/>
          </w:tcPr>
          <w:p w14:paraId="5FF1C7AB" w14:textId="77777777" w:rsidR="006E0559" w:rsidRPr="006E0559" w:rsidRDefault="006E0559" w:rsidP="00E30804">
            <w:pPr>
              <w:jc w:val="cente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Female</w:t>
            </w:r>
          </w:p>
        </w:tc>
      </w:tr>
      <w:tr w:rsidR="006E0559" w:rsidRPr="006E0559" w14:paraId="5AFA7FDA" w14:textId="77777777" w:rsidTr="00B974B6">
        <w:trPr>
          <w:trHeight w:val="320"/>
        </w:trPr>
        <w:tc>
          <w:tcPr>
            <w:tcW w:w="9360" w:type="dxa"/>
            <w:gridSpan w:val="4"/>
            <w:tcBorders>
              <w:top w:val="single" w:sz="8" w:space="0" w:color="auto"/>
              <w:left w:val="nil"/>
              <w:bottom w:val="single" w:sz="4" w:space="0" w:color="auto"/>
              <w:right w:val="nil"/>
            </w:tcBorders>
            <w:shd w:val="clear" w:color="000000" w:fill="D9D9D9"/>
            <w:vAlign w:val="center"/>
            <w:hideMark/>
          </w:tcPr>
          <w:p w14:paraId="2E71B35B" w14:textId="77777777" w:rsidR="006E0559" w:rsidRPr="006E0559" w:rsidRDefault="006E0559" w:rsidP="00E30804">
            <w:pPr>
              <w:jc w:val="cente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 xml:space="preserve">Ever Smoked Cigarettes   </w:t>
            </w:r>
          </w:p>
        </w:tc>
      </w:tr>
      <w:tr w:rsidR="006E0559" w:rsidRPr="006E0559" w14:paraId="56E6DBFC" w14:textId="77777777" w:rsidTr="00B974B6">
        <w:trPr>
          <w:trHeight w:val="566"/>
        </w:trPr>
        <w:tc>
          <w:tcPr>
            <w:tcW w:w="3531" w:type="dxa"/>
            <w:tcBorders>
              <w:top w:val="nil"/>
              <w:left w:val="nil"/>
              <w:bottom w:val="nil"/>
              <w:right w:val="nil"/>
            </w:tcBorders>
            <w:shd w:val="clear" w:color="auto" w:fill="auto"/>
            <w:vAlign w:val="center"/>
            <w:hideMark/>
          </w:tcPr>
          <w:p w14:paraId="720B1EB9" w14:textId="77777777" w:rsidR="00E30804" w:rsidRDefault="00E30804" w:rsidP="00E30804">
            <w:pPr>
              <w:jc w:val="right"/>
              <w:rPr>
                <w:rFonts w:ascii="Times New Roman" w:eastAsia="Times New Roman" w:hAnsi="Times New Roman"/>
                <w:noProof w:val="0"/>
                <w:color w:val="000000"/>
                <w:sz w:val="22"/>
                <w:szCs w:val="22"/>
              </w:rPr>
            </w:pPr>
          </w:p>
          <w:p w14:paraId="5707A736"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Heterosexual by Year 1999/2001</w:t>
            </w:r>
          </w:p>
        </w:tc>
        <w:tc>
          <w:tcPr>
            <w:tcW w:w="537" w:type="dxa"/>
            <w:tcBorders>
              <w:top w:val="nil"/>
              <w:left w:val="nil"/>
              <w:bottom w:val="nil"/>
              <w:right w:val="nil"/>
            </w:tcBorders>
            <w:shd w:val="clear" w:color="auto" w:fill="auto"/>
            <w:vAlign w:val="center"/>
            <w:hideMark/>
          </w:tcPr>
          <w:p w14:paraId="5BA6945D"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2FA68B7B" w14:textId="2B4C3A79" w:rsidR="00E30804" w:rsidRDefault="00E30804" w:rsidP="00E30804">
            <w:pPr>
              <w:jc w:val="both"/>
              <w:rPr>
                <w:rFonts w:ascii="Times New Roman" w:eastAsia="Times New Roman" w:hAnsi="Times New Roman"/>
                <w:noProof w:val="0"/>
                <w:color w:val="000000"/>
                <w:sz w:val="22"/>
                <w:szCs w:val="22"/>
              </w:rPr>
            </w:pPr>
            <w:proofErr w:type="spellStart"/>
            <w:r>
              <w:rPr>
                <w:rFonts w:ascii="Times New Roman" w:eastAsia="Times New Roman" w:hAnsi="Times New Roman"/>
                <w:b/>
                <w:bCs/>
                <w:noProof w:val="0"/>
                <w:color w:val="000000"/>
                <w:sz w:val="22"/>
                <w:szCs w:val="22"/>
              </w:rPr>
              <w:t>a</w:t>
            </w:r>
            <w:r w:rsidRPr="006E0559">
              <w:rPr>
                <w:rFonts w:ascii="Times New Roman" w:eastAsia="Times New Roman" w:hAnsi="Times New Roman"/>
                <w:b/>
                <w:bCs/>
                <w:noProof w:val="0"/>
                <w:color w:val="000000"/>
                <w:sz w:val="22"/>
                <w:szCs w:val="22"/>
              </w:rPr>
              <w:t>OR</w:t>
            </w:r>
            <w:proofErr w:type="spellEnd"/>
            <w:r w:rsidRPr="006E0559">
              <w:rPr>
                <w:rFonts w:ascii="Times New Roman" w:eastAsia="Times New Roman" w:hAnsi="Times New Roman"/>
                <w:b/>
                <w:bCs/>
                <w:noProof w:val="0"/>
                <w:color w:val="000000"/>
                <w:sz w:val="22"/>
                <w:szCs w:val="22"/>
              </w:rPr>
              <w:t xml:space="preserve"> (95% CI)</w:t>
            </w:r>
          </w:p>
          <w:p w14:paraId="20969425"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646" w:type="dxa"/>
            <w:tcBorders>
              <w:top w:val="nil"/>
              <w:left w:val="nil"/>
              <w:bottom w:val="nil"/>
              <w:right w:val="nil"/>
            </w:tcBorders>
            <w:shd w:val="clear" w:color="auto" w:fill="auto"/>
            <w:vAlign w:val="center"/>
            <w:hideMark/>
          </w:tcPr>
          <w:p w14:paraId="2341B34B" w14:textId="266BF778" w:rsidR="00E30804" w:rsidRDefault="00E30804" w:rsidP="00E30804">
            <w:pPr>
              <w:jc w:val="both"/>
              <w:rPr>
                <w:rFonts w:ascii="Times New Roman" w:eastAsia="Times New Roman" w:hAnsi="Times New Roman"/>
                <w:noProof w:val="0"/>
                <w:color w:val="000000"/>
                <w:sz w:val="22"/>
                <w:szCs w:val="22"/>
              </w:rPr>
            </w:pPr>
            <w:proofErr w:type="spellStart"/>
            <w:r>
              <w:rPr>
                <w:rFonts w:ascii="Times New Roman" w:eastAsia="Times New Roman" w:hAnsi="Times New Roman"/>
                <w:b/>
                <w:bCs/>
                <w:noProof w:val="0"/>
                <w:color w:val="000000"/>
                <w:sz w:val="22"/>
                <w:szCs w:val="22"/>
              </w:rPr>
              <w:t>a</w:t>
            </w:r>
            <w:r w:rsidRPr="006E0559">
              <w:rPr>
                <w:rFonts w:ascii="Times New Roman" w:eastAsia="Times New Roman" w:hAnsi="Times New Roman"/>
                <w:b/>
                <w:bCs/>
                <w:noProof w:val="0"/>
                <w:color w:val="000000"/>
                <w:sz w:val="22"/>
                <w:szCs w:val="22"/>
              </w:rPr>
              <w:t>OR</w:t>
            </w:r>
            <w:proofErr w:type="spellEnd"/>
            <w:r w:rsidRPr="006E0559">
              <w:rPr>
                <w:rFonts w:ascii="Times New Roman" w:eastAsia="Times New Roman" w:hAnsi="Times New Roman"/>
                <w:b/>
                <w:bCs/>
                <w:noProof w:val="0"/>
                <w:color w:val="000000"/>
                <w:sz w:val="22"/>
                <w:szCs w:val="22"/>
              </w:rPr>
              <w:t xml:space="preserve"> (95% CI)</w:t>
            </w:r>
          </w:p>
          <w:p w14:paraId="4BBE198C"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r>
      <w:tr w:rsidR="006E0559" w:rsidRPr="006E0559" w14:paraId="4ADEC39F" w14:textId="77777777" w:rsidTr="00B974B6">
        <w:trPr>
          <w:trHeight w:val="340"/>
        </w:trPr>
        <w:tc>
          <w:tcPr>
            <w:tcW w:w="3531" w:type="dxa"/>
            <w:tcBorders>
              <w:top w:val="nil"/>
              <w:left w:val="nil"/>
              <w:bottom w:val="nil"/>
              <w:right w:val="nil"/>
            </w:tcBorders>
            <w:shd w:val="clear" w:color="auto" w:fill="auto"/>
            <w:vAlign w:val="center"/>
            <w:hideMark/>
          </w:tcPr>
          <w:p w14:paraId="7192415D" w14:textId="77777777" w:rsidR="006E0559" w:rsidRPr="006E0559" w:rsidRDefault="006E0559" w:rsidP="00E30804">
            <w:pPr>
              <w:jc w:val="both"/>
              <w:rPr>
                <w:rFonts w:ascii="Times New Roman" w:eastAsia="Times New Roman" w:hAnsi="Times New Roman"/>
                <w:noProof w:val="0"/>
                <w:color w:val="000000"/>
                <w:sz w:val="22"/>
                <w:szCs w:val="22"/>
              </w:rPr>
            </w:pPr>
          </w:p>
        </w:tc>
        <w:tc>
          <w:tcPr>
            <w:tcW w:w="537" w:type="dxa"/>
            <w:tcBorders>
              <w:top w:val="nil"/>
              <w:left w:val="nil"/>
              <w:bottom w:val="nil"/>
              <w:right w:val="nil"/>
            </w:tcBorders>
            <w:shd w:val="clear" w:color="auto" w:fill="auto"/>
            <w:vAlign w:val="center"/>
            <w:hideMark/>
          </w:tcPr>
          <w:p w14:paraId="12E27F6E"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vAlign w:val="center"/>
            <w:hideMark/>
          </w:tcPr>
          <w:p w14:paraId="163F4F25"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vAlign w:val="center"/>
            <w:hideMark/>
          </w:tcPr>
          <w:p w14:paraId="15CBEA0D" w14:textId="77777777" w:rsidR="006E0559" w:rsidRPr="006E0559" w:rsidRDefault="006E0559" w:rsidP="00E30804">
            <w:pPr>
              <w:jc w:val="both"/>
              <w:rPr>
                <w:rFonts w:ascii="Times New Roman" w:eastAsia="Times New Roman" w:hAnsi="Times New Roman"/>
                <w:noProof w:val="0"/>
                <w:sz w:val="20"/>
                <w:szCs w:val="20"/>
              </w:rPr>
            </w:pPr>
          </w:p>
        </w:tc>
      </w:tr>
      <w:tr w:rsidR="006E0559" w:rsidRPr="006E0559" w14:paraId="78E0C80C" w14:textId="77777777" w:rsidTr="00B974B6">
        <w:trPr>
          <w:trHeight w:val="340"/>
        </w:trPr>
        <w:tc>
          <w:tcPr>
            <w:tcW w:w="3531" w:type="dxa"/>
            <w:tcBorders>
              <w:top w:val="nil"/>
              <w:left w:val="nil"/>
              <w:bottom w:val="nil"/>
              <w:right w:val="nil"/>
            </w:tcBorders>
            <w:shd w:val="clear" w:color="auto" w:fill="auto"/>
            <w:vAlign w:val="center"/>
            <w:hideMark/>
          </w:tcPr>
          <w:p w14:paraId="5F038EDD"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 by Year 2003/2005</w:t>
            </w:r>
          </w:p>
        </w:tc>
        <w:tc>
          <w:tcPr>
            <w:tcW w:w="537" w:type="dxa"/>
            <w:tcBorders>
              <w:top w:val="nil"/>
              <w:left w:val="nil"/>
              <w:bottom w:val="nil"/>
              <w:right w:val="nil"/>
            </w:tcBorders>
            <w:shd w:val="clear" w:color="auto" w:fill="auto"/>
            <w:vAlign w:val="center"/>
            <w:hideMark/>
          </w:tcPr>
          <w:p w14:paraId="268CA7E7"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7D1206CE"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0.76 (0.27-2.11)</w:t>
            </w:r>
          </w:p>
        </w:tc>
        <w:tc>
          <w:tcPr>
            <w:tcW w:w="2646" w:type="dxa"/>
            <w:tcBorders>
              <w:top w:val="nil"/>
              <w:left w:val="nil"/>
              <w:bottom w:val="nil"/>
              <w:right w:val="nil"/>
            </w:tcBorders>
            <w:shd w:val="clear" w:color="auto" w:fill="auto"/>
            <w:vAlign w:val="center"/>
            <w:hideMark/>
          </w:tcPr>
          <w:p w14:paraId="379C0E63"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1.18 (0.57-2.45)</w:t>
            </w:r>
          </w:p>
        </w:tc>
      </w:tr>
      <w:tr w:rsidR="006E0559" w:rsidRPr="006E0559" w14:paraId="12B633E9" w14:textId="77777777" w:rsidTr="00B974B6">
        <w:trPr>
          <w:trHeight w:val="340"/>
        </w:trPr>
        <w:tc>
          <w:tcPr>
            <w:tcW w:w="3531" w:type="dxa"/>
            <w:tcBorders>
              <w:top w:val="nil"/>
              <w:left w:val="nil"/>
              <w:bottom w:val="nil"/>
              <w:right w:val="nil"/>
            </w:tcBorders>
            <w:shd w:val="clear" w:color="auto" w:fill="auto"/>
            <w:vAlign w:val="center"/>
            <w:hideMark/>
          </w:tcPr>
          <w:p w14:paraId="62677DA0"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 by Year 2007/2009</w:t>
            </w:r>
          </w:p>
        </w:tc>
        <w:tc>
          <w:tcPr>
            <w:tcW w:w="537" w:type="dxa"/>
            <w:tcBorders>
              <w:top w:val="nil"/>
              <w:left w:val="nil"/>
              <w:bottom w:val="nil"/>
              <w:right w:val="nil"/>
            </w:tcBorders>
            <w:shd w:val="clear" w:color="auto" w:fill="auto"/>
            <w:vAlign w:val="center"/>
            <w:hideMark/>
          </w:tcPr>
          <w:p w14:paraId="374B5A56"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60D56EB4"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1.16 (0.41-3.23)</w:t>
            </w:r>
          </w:p>
        </w:tc>
        <w:tc>
          <w:tcPr>
            <w:tcW w:w="2646" w:type="dxa"/>
            <w:tcBorders>
              <w:top w:val="nil"/>
              <w:left w:val="nil"/>
              <w:bottom w:val="nil"/>
              <w:right w:val="nil"/>
            </w:tcBorders>
            <w:shd w:val="clear" w:color="auto" w:fill="auto"/>
            <w:vAlign w:val="center"/>
            <w:hideMark/>
          </w:tcPr>
          <w:p w14:paraId="7704EAF2"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1.04 (0.55-1.97)</w:t>
            </w:r>
          </w:p>
        </w:tc>
      </w:tr>
      <w:tr w:rsidR="006E0559" w:rsidRPr="006E0559" w14:paraId="7578384B" w14:textId="77777777" w:rsidTr="00B974B6">
        <w:trPr>
          <w:trHeight w:val="340"/>
        </w:trPr>
        <w:tc>
          <w:tcPr>
            <w:tcW w:w="3531" w:type="dxa"/>
            <w:tcBorders>
              <w:top w:val="nil"/>
              <w:left w:val="nil"/>
              <w:bottom w:val="nil"/>
              <w:right w:val="nil"/>
            </w:tcBorders>
            <w:shd w:val="clear" w:color="auto" w:fill="auto"/>
            <w:vAlign w:val="center"/>
            <w:hideMark/>
          </w:tcPr>
          <w:p w14:paraId="72F23DFE"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 by Year 2011/2013</w:t>
            </w:r>
          </w:p>
        </w:tc>
        <w:tc>
          <w:tcPr>
            <w:tcW w:w="537" w:type="dxa"/>
            <w:tcBorders>
              <w:top w:val="nil"/>
              <w:left w:val="nil"/>
              <w:bottom w:val="nil"/>
              <w:right w:val="nil"/>
            </w:tcBorders>
            <w:shd w:val="clear" w:color="auto" w:fill="auto"/>
            <w:vAlign w:val="center"/>
            <w:hideMark/>
          </w:tcPr>
          <w:p w14:paraId="52413CFF"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2BCDE911"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0.59 (0.24-1.48)</w:t>
            </w:r>
          </w:p>
        </w:tc>
        <w:tc>
          <w:tcPr>
            <w:tcW w:w="2646" w:type="dxa"/>
            <w:tcBorders>
              <w:top w:val="nil"/>
              <w:left w:val="nil"/>
              <w:bottom w:val="nil"/>
              <w:right w:val="nil"/>
            </w:tcBorders>
            <w:shd w:val="clear" w:color="auto" w:fill="auto"/>
            <w:vAlign w:val="center"/>
            <w:hideMark/>
          </w:tcPr>
          <w:p w14:paraId="1572F045"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1.04 (0.54-2.01)</w:t>
            </w:r>
          </w:p>
        </w:tc>
      </w:tr>
      <w:tr w:rsidR="006E0559" w:rsidRPr="006E0559" w14:paraId="02266493" w14:textId="77777777" w:rsidTr="00B974B6">
        <w:trPr>
          <w:trHeight w:val="340"/>
        </w:trPr>
        <w:tc>
          <w:tcPr>
            <w:tcW w:w="3531" w:type="dxa"/>
            <w:tcBorders>
              <w:top w:val="nil"/>
              <w:left w:val="nil"/>
              <w:bottom w:val="nil"/>
              <w:right w:val="nil"/>
            </w:tcBorders>
            <w:shd w:val="clear" w:color="auto" w:fill="auto"/>
            <w:vAlign w:val="center"/>
            <w:hideMark/>
          </w:tcPr>
          <w:p w14:paraId="20147C0D" w14:textId="77777777" w:rsidR="006E0559" w:rsidRPr="006E0559" w:rsidRDefault="006E0559" w:rsidP="00E30804">
            <w:pPr>
              <w:jc w:val="both"/>
              <w:rPr>
                <w:rFonts w:ascii="Times New Roman" w:eastAsia="Times New Roman" w:hAnsi="Times New Roman"/>
                <w:noProof w:val="0"/>
                <w:color w:val="000000"/>
                <w:sz w:val="22"/>
                <w:szCs w:val="22"/>
              </w:rPr>
            </w:pPr>
          </w:p>
        </w:tc>
        <w:tc>
          <w:tcPr>
            <w:tcW w:w="537" w:type="dxa"/>
            <w:tcBorders>
              <w:top w:val="nil"/>
              <w:left w:val="nil"/>
              <w:bottom w:val="nil"/>
              <w:right w:val="nil"/>
            </w:tcBorders>
            <w:shd w:val="clear" w:color="auto" w:fill="auto"/>
            <w:vAlign w:val="center"/>
            <w:hideMark/>
          </w:tcPr>
          <w:p w14:paraId="4CE7BA4A"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vAlign w:val="center"/>
            <w:hideMark/>
          </w:tcPr>
          <w:p w14:paraId="70E2923B"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vAlign w:val="center"/>
            <w:hideMark/>
          </w:tcPr>
          <w:p w14:paraId="3F10CA1C" w14:textId="77777777" w:rsidR="006E0559" w:rsidRPr="006E0559" w:rsidRDefault="006E0559" w:rsidP="00E30804">
            <w:pPr>
              <w:jc w:val="both"/>
              <w:rPr>
                <w:rFonts w:ascii="Times New Roman" w:eastAsia="Times New Roman" w:hAnsi="Times New Roman"/>
                <w:noProof w:val="0"/>
                <w:sz w:val="20"/>
                <w:szCs w:val="20"/>
              </w:rPr>
            </w:pPr>
          </w:p>
        </w:tc>
      </w:tr>
      <w:tr w:rsidR="006E0559" w:rsidRPr="006E0559" w14:paraId="38E01001" w14:textId="77777777" w:rsidTr="00B974B6">
        <w:trPr>
          <w:trHeight w:val="340"/>
        </w:trPr>
        <w:tc>
          <w:tcPr>
            <w:tcW w:w="3531" w:type="dxa"/>
            <w:tcBorders>
              <w:top w:val="nil"/>
              <w:left w:val="nil"/>
              <w:bottom w:val="nil"/>
              <w:right w:val="nil"/>
            </w:tcBorders>
            <w:shd w:val="clear" w:color="auto" w:fill="auto"/>
            <w:vAlign w:val="center"/>
            <w:hideMark/>
          </w:tcPr>
          <w:p w14:paraId="15ED0B0F"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Gay/Lesbian by Year 2003/2005</w:t>
            </w:r>
          </w:p>
        </w:tc>
        <w:tc>
          <w:tcPr>
            <w:tcW w:w="537" w:type="dxa"/>
            <w:tcBorders>
              <w:top w:val="nil"/>
              <w:left w:val="nil"/>
              <w:bottom w:val="nil"/>
              <w:right w:val="nil"/>
            </w:tcBorders>
            <w:shd w:val="clear" w:color="auto" w:fill="auto"/>
            <w:vAlign w:val="center"/>
            <w:hideMark/>
          </w:tcPr>
          <w:p w14:paraId="41CE0602"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17C9571E"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0.66 (0.20-2.15)</w:t>
            </w:r>
          </w:p>
        </w:tc>
        <w:tc>
          <w:tcPr>
            <w:tcW w:w="2646" w:type="dxa"/>
            <w:tcBorders>
              <w:top w:val="nil"/>
              <w:left w:val="nil"/>
              <w:bottom w:val="nil"/>
              <w:right w:val="nil"/>
            </w:tcBorders>
            <w:shd w:val="clear" w:color="auto" w:fill="auto"/>
            <w:vAlign w:val="center"/>
            <w:hideMark/>
          </w:tcPr>
          <w:p w14:paraId="221FCBF4" w14:textId="77777777" w:rsidR="006E0559" w:rsidRPr="006E0559" w:rsidRDefault="006E0559" w:rsidP="00E30804">
            <w:pPr>
              <w:jc w:val="both"/>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20.49 (1.90-221.03)</w:t>
            </w:r>
          </w:p>
        </w:tc>
      </w:tr>
      <w:tr w:rsidR="006E0559" w:rsidRPr="006E0559" w14:paraId="6821D3AF" w14:textId="77777777" w:rsidTr="00B974B6">
        <w:trPr>
          <w:trHeight w:val="340"/>
        </w:trPr>
        <w:tc>
          <w:tcPr>
            <w:tcW w:w="3531" w:type="dxa"/>
            <w:tcBorders>
              <w:top w:val="nil"/>
              <w:left w:val="nil"/>
              <w:bottom w:val="nil"/>
              <w:right w:val="nil"/>
            </w:tcBorders>
            <w:shd w:val="clear" w:color="auto" w:fill="auto"/>
            <w:vAlign w:val="center"/>
            <w:hideMark/>
          </w:tcPr>
          <w:p w14:paraId="06D2D154"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Gay/Lesbian by Year 2007/2009</w:t>
            </w:r>
          </w:p>
        </w:tc>
        <w:tc>
          <w:tcPr>
            <w:tcW w:w="537" w:type="dxa"/>
            <w:tcBorders>
              <w:top w:val="nil"/>
              <w:left w:val="nil"/>
              <w:bottom w:val="nil"/>
              <w:right w:val="nil"/>
            </w:tcBorders>
            <w:shd w:val="clear" w:color="auto" w:fill="auto"/>
            <w:vAlign w:val="center"/>
            <w:hideMark/>
          </w:tcPr>
          <w:p w14:paraId="60B54A9F"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25FC9E10"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1.79 (0.59-5.47)</w:t>
            </w:r>
          </w:p>
        </w:tc>
        <w:tc>
          <w:tcPr>
            <w:tcW w:w="2646" w:type="dxa"/>
            <w:tcBorders>
              <w:top w:val="nil"/>
              <w:left w:val="nil"/>
              <w:bottom w:val="nil"/>
              <w:right w:val="nil"/>
            </w:tcBorders>
            <w:shd w:val="clear" w:color="auto" w:fill="auto"/>
            <w:vAlign w:val="center"/>
            <w:hideMark/>
          </w:tcPr>
          <w:p w14:paraId="67489FA8"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3.51 (0.58-21.07)</w:t>
            </w:r>
          </w:p>
        </w:tc>
      </w:tr>
      <w:tr w:rsidR="006E0559" w:rsidRPr="006E0559" w14:paraId="75CCB911" w14:textId="77777777" w:rsidTr="00B974B6">
        <w:trPr>
          <w:trHeight w:val="340"/>
        </w:trPr>
        <w:tc>
          <w:tcPr>
            <w:tcW w:w="3531" w:type="dxa"/>
            <w:tcBorders>
              <w:top w:val="nil"/>
              <w:left w:val="nil"/>
              <w:bottom w:val="single" w:sz="4" w:space="0" w:color="auto"/>
              <w:right w:val="nil"/>
            </w:tcBorders>
            <w:shd w:val="clear" w:color="auto" w:fill="auto"/>
            <w:vAlign w:val="center"/>
            <w:hideMark/>
          </w:tcPr>
          <w:p w14:paraId="74C2D0BD"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Gay/Lesbian by Year 2011/2013</w:t>
            </w:r>
          </w:p>
        </w:tc>
        <w:tc>
          <w:tcPr>
            <w:tcW w:w="537" w:type="dxa"/>
            <w:tcBorders>
              <w:top w:val="nil"/>
              <w:left w:val="nil"/>
              <w:bottom w:val="single" w:sz="4" w:space="0" w:color="auto"/>
              <w:right w:val="nil"/>
            </w:tcBorders>
            <w:shd w:val="clear" w:color="auto" w:fill="auto"/>
            <w:vAlign w:val="center"/>
            <w:hideMark/>
          </w:tcPr>
          <w:p w14:paraId="70CEDFA3"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 </w:t>
            </w:r>
          </w:p>
        </w:tc>
        <w:tc>
          <w:tcPr>
            <w:tcW w:w="2646" w:type="dxa"/>
            <w:tcBorders>
              <w:top w:val="nil"/>
              <w:left w:val="nil"/>
              <w:bottom w:val="single" w:sz="4" w:space="0" w:color="auto"/>
              <w:right w:val="nil"/>
            </w:tcBorders>
            <w:shd w:val="clear" w:color="auto" w:fill="auto"/>
            <w:vAlign w:val="center"/>
            <w:hideMark/>
          </w:tcPr>
          <w:p w14:paraId="4B666F85"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0.55 (0.20-1.53)</w:t>
            </w:r>
          </w:p>
        </w:tc>
        <w:tc>
          <w:tcPr>
            <w:tcW w:w="2646" w:type="dxa"/>
            <w:tcBorders>
              <w:top w:val="nil"/>
              <w:left w:val="nil"/>
              <w:bottom w:val="single" w:sz="4" w:space="0" w:color="auto"/>
              <w:right w:val="nil"/>
            </w:tcBorders>
            <w:shd w:val="clear" w:color="auto" w:fill="auto"/>
            <w:vAlign w:val="center"/>
            <w:hideMark/>
          </w:tcPr>
          <w:p w14:paraId="33D10C2C"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2.18 (0.46-10.26)</w:t>
            </w:r>
          </w:p>
        </w:tc>
      </w:tr>
      <w:tr w:rsidR="006E0559" w:rsidRPr="006E0559" w14:paraId="64D35AE7" w14:textId="77777777" w:rsidTr="00B974B6">
        <w:trPr>
          <w:trHeight w:val="320"/>
        </w:trPr>
        <w:tc>
          <w:tcPr>
            <w:tcW w:w="9360" w:type="dxa"/>
            <w:gridSpan w:val="4"/>
            <w:tcBorders>
              <w:top w:val="single" w:sz="8" w:space="0" w:color="auto"/>
              <w:left w:val="nil"/>
              <w:bottom w:val="single" w:sz="4" w:space="0" w:color="auto"/>
              <w:right w:val="nil"/>
            </w:tcBorders>
            <w:shd w:val="clear" w:color="000000" w:fill="D9D9D9"/>
            <w:vAlign w:val="center"/>
            <w:hideMark/>
          </w:tcPr>
          <w:p w14:paraId="49E4AD26" w14:textId="06AA8DB8" w:rsidR="006E0559" w:rsidRPr="006E0559" w:rsidRDefault="00545FC0" w:rsidP="00E30804">
            <w:pPr>
              <w:jc w:val="center"/>
              <w:rPr>
                <w:rFonts w:ascii="Times New Roman" w:eastAsia="Times New Roman" w:hAnsi="Times New Roman"/>
                <w:b/>
                <w:bCs/>
                <w:noProof w:val="0"/>
                <w:color w:val="000000"/>
                <w:sz w:val="22"/>
                <w:szCs w:val="22"/>
              </w:rPr>
            </w:pPr>
            <w:r>
              <w:rPr>
                <w:rFonts w:ascii="Times New Roman" w:eastAsia="Times New Roman" w:hAnsi="Times New Roman"/>
                <w:b/>
                <w:bCs/>
                <w:noProof w:val="0"/>
                <w:color w:val="000000"/>
                <w:sz w:val="22"/>
                <w:szCs w:val="22"/>
              </w:rPr>
              <w:t>Early Onset Smoking</w:t>
            </w:r>
            <w:r w:rsidR="006E0559" w:rsidRPr="006E0559">
              <w:rPr>
                <w:rFonts w:ascii="Times New Roman" w:eastAsia="Times New Roman" w:hAnsi="Times New Roman"/>
                <w:b/>
                <w:bCs/>
                <w:noProof w:val="0"/>
                <w:color w:val="000000"/>
                <w:sz w:val="22"/>
                <w:szCs w:val="22"/>
              </w:rPr>
              <w:t xml:space="preserve">          </w:t>
            </w:r>
          </w:p>
        </w:tc>
      </w:tr>
      <w:tr w:rsidR="006E0559" w:rsidRPr="006E0559" w14:paraId="7C3153FE" w14:textId="77777777" w:rsidTr="00B974B6">
        <w:trPr>
          <w:trHeight w:val="320"/>
        </w:trPr>
        <w:tc>
          <w:tcPr>
            <w:tcW w:w="3531" w:type="dxa"/>
            <w:tcBorders>
              <w:top w:val="nil"/>
              <w:left w:val="nil"/>
              <w:bottom w:val="nil"/>
              <w:right w:val="nil"/>
            </w:tcBorders>
            <w:shd w:val="clear" w:color="auto" w:fill="auto"/>
            <w:vAlign w:val="center"/>
            <w:hideMark/>
          </w:tcPr>
          <w:p w14:paraId="17018353" w14:textId="77777777" w:rsidR="00E30804" w:rsidRDefault="00E30804" w:rsidP="00E30804">
            <w:pPr>
              <w:jc w:val="right"/>
              <w:rPr>
                <w:rFonts w:ascii="Times New Roman" w:eastAsia="Times New Roman" w:hAnsi="Times New Roman"/>
                <w:noProof w:val="0"/>
                <w:color w:val="000000"/>
                <w:sz w:val="22"/>
                <w:szCs w:val="22"/>
              </w:rPr>
            </w:pPr>
          </w:p>
          <w:p w14:paraId="1B53306E"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Heterosexual by Year 1999/2001</w:t>
            </w:r>
          </w:p>
        </w:tc>
        <w:tc>
          <w:tcPr>
            <w:tcW w:w="537" w:type="dxa"/>
            <w:tcBorders>
              <w:top w:val="nil"/>
              <w:left w:val="nil"/>
              <w:bottom w:val="nil"/>
              <w:right w:val="nil"/>
            </w:tcBorders>
            <w:shd w:val="clear" w:color="auto" w:fill="auto"/>
            <w:vAlign w:val="center"/>
            <w:hideMark/>
          </w:tcPr>
          <w:p w14:paraId="61759DA3"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61E1372A" w14:textId="4F97F892" w:rsidR="00E30804" w:rsidRDefault="00E30804" w:rsidP="00E30804">
            <w:pPr>
              <w:jc w:val="both"/>
              <w:rPr>
                <w:rFonts w:ascii="Times New Roman" w:eastAsia="Times New Roman" w:hAnsi="Times New Roman"/>
                <w:noProof w:val="0"/>
                <w:color w:val="000000"/>
                <w:sz w:val="22"/>
                <w:szCs w:val="22"/>
              </w:rPr>
            </w:pPr>
            <w:proofErr w:type="spellStart"/>
            <w:r>
              <w:rPr>
                <w:rFonts w:ascii="Times New Roman" w:eastAsia="Times New Roman" w:hAnsi="Times New Roman"/>
                <w:b/>
                <w:bCs/>
                <w:noProof w:val="0"/>
                <w:color w:val="000000"/>
                <w:sz w:val="22"/>
                <w:szCs w:val="22"/>
              </w:rPr>
              <w:t>a</w:t>
            </w:r>
            <w:r w:rsidRPr="006E0559">
              <w:rPr>
                <w:rFonts w:ascii="Times New Roman" w:eastAsia="Times New Roman" w:hAnsi="Times New Roman"/>
                <w:b/>
                <w:bCs/>
                <w:noProof w:val="0"/>
                <w:color w:val="000000"/>
                <w:sz w:val="22"/>
                <w:szCs w:val="22"/>
              </w:rPr>
              <w:t>OR</w:t>
            </w:r>
            <w:proofErr w:type="spellEnd"/>
            <w:r w:rsidRPr="006E0559">
              <w:rPr>
                <w:rFonts w:ascii="Times New Roman" w:eastAsia="Times New Roman" w:hAnsi="Times New Roman"/>
                <w:b/>
                <w:bCs/>
                <w:noProof w:val="0"/>
                <w:color w:val="000000"/>
                <w:sz w:val="22"/>
                <w:szCs w:val="22"/>
              </w:rPr>
              <w:t xml:space="preserve"> (95% CI)</w:t>
            </w:r>
          </w:p>
          <w:p w14:paraId="782D6076"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646" w:type="dxa"/>
            <w:tcBorders>
              <w:top w:val="nil"/>
              <w:left w:val="nil"/>
              <w:bottom w:val="nil"/>
              <w:right w:val="nil"/>
            </w:tcBorders>
            <w:shd w:val="clear" w:color="auto" w:fill="auto"/>
            <w:vAlign w:val="center"/>
            <w:hideMark/>
          </w:tcPr>
          <w:p w14:paraId="180E395A" w14:textId="1427D534" w:rsidR="00E30804" w:rsidRDefault="00E30804" w:rsidP="00E30804">
            <w:pPr>
              <w:jc w:val="both"/>
              <w:rPr>
                <w:rFonts w:ascii="Times New Roman" w:eastAsia="Times New Roman" w:hAnsi="Times New Roman"/>
                <w:noProof w:val="0"/>
                <w:color w:val="000000"/>
                <w:sz w:val="22"/>
                <w:szCs w:val="22"/>
              </w:rPr>
            </w:pPr>
            <w:proofErr w:type="spellStart"/>
            <w:r>
              <w:rPr>
                <w:rFonts w:ascii="Times New Roman" w:eastAsia="Times New Roman" w:hAnsi="Times New Roman"/>
                <w:b/>
                <w:bCs/>
                <w:noProof w:val="0"/>
                <w:color w:val="000000"/>
                <w:sz w:val="22"/>
                <w:szCs w:val="22"/>
              </w:rPr>
              <w:t>a</w:t>
            </w:r>
            <w:r w:rsidRPr="006E0559">
              <w:rPr>
                <w:rFonts w:ascii="Times New Roman" w:eastAsia="Times New Roman" w:hAnsi="Times New Roman"/>
                <w:b/>
                <w:bCs/>
                <w:noProof w:val="0"/>
                <w:color w:val="000000"/>
                <w:sz w:val="22"/>
                <w:szCs w:val="22"/>
              </w:rPr>
              <w:t>OR</w:t>
            </w:r>
            <w:proofErr w:type="spellEnd"/>
            <w:r w:rsidRPr="006E0559">
              <w:rPr>
                <w:rFonts w:ascii="Times New Roman" w:eastAsia="Times New Roman" w:hAnsi="Times New Roman"/>
                <w:b/>
                <w:bCs/>
                <w:noProof w:val="0"/>
                <w:color w:val="000000"/>
                <w:sz w:val="22"/>
                <w:szCs w:val="22"/>
              </w:rPr>
              <w:t xml:space="preserve"> (95% CI)</w:t>
            </w:r>
          </w:p>
          <w:p w14:paraId="7FDA7E6F"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r>
      <w:tr w:rsidR="006E0559" w:rsidRPr="006E0559" w14:paraId="7F186930" w14:textId="77777777" w:rsidTr="00B974B6">
        <w:trPr>
          <w:trHeight w:val="320"/>
        </w:trPr>
        <w:tc>
          <w:tcPr>
            <w:tcW w:w="3531" w:type="dxa"/>
            <w:tcBorders>
              <w:top w:val="nil"/>
              <w:left w:val="nil"/>
              <w:bottom w:val="nil"/>
              <w:right w:val="nil"/>
            </w:tcBorders>
            <w:shd w:val="clear" w:color="auto" w:fill="auto"/>
            <w:vAlign w:val="center"/>
            <w:hideMark/>
          </w:tcPr>
          <w:p w14:paraId="0B70383B" w14:textId="77777777" w:rsidR="006E0559" w:rsidRPr="006E0559" w:rsidRDefault="006E0559" w:rsidP="00E30804">
            <w:pPr>
              <w:jc w:val="both"/>
              <w:rPr>
                <w:rFonts w:ascii="Times New Roman" w:eastAsia="Times New Roman" w:hAnsi="Times New Roman"/>
                <w:noProof w:val="0"/>
                <w:color w:val="000000"/>
                <w:sz w:val="22"/>
                <w:szCs w:val="22"/>
              </w:rPr>
            </w:pPr>
          </w:p>
        </w:tc>
        <w:tc>
          <w:tcPr>
            <w:tcW w:w="537" w:type="dxa"/>
            <w:tcBorders>
              <w:top w:val="nil"/>
              <w:left w:val="nil"/>
              <w:bottom w:val="nil"/>
              <w:right w:val="nil"/>
            </w:tcBorders>
            <w:shd w:val="clear" w:color="auto" w:fill="auto"/>
            <w:vAlign w:val="center"/>
            <w:hideMark/>
          </w:tcPr>
          <w:p w14:paraId="6B29D3C6"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vAlign w:val="center"/>
            <w:hideMark/>
          </w:tcPr>
          <w:p w14:paraId="3EAE3071"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vAlign w:val="center"/>
            <w:hideMark/>
          </w:tcPr>
          <w:p w14:paraId="3B852CE7" w14:textId="77777777" w:rsidR="006E0559" w:rsidRPr="006E0559" w:rsidRDefault="006E0559" w:rsidP="00E30804">
            <w:pPr>
              <w:jc w:val="both"/>
              <w:rPr>
                <w:rFonts w:ascii="Times New Roman" w:eastAsia="Times New Roman" w:hAnsi="Times New Roman"/>
                <w:noProof w:val="0"/>
                <w:sz w:val="20"/>
                <w:szCs w:val="20"/>
              </w:rPr>
            </w:pPr>
          </w:p>
        </w:tc>
      </w:tr>
      <w:tr w:rsidR="006E0559" w:rsidRPr="006E0559" w14:paraId="0ED70E01" w14:textId="77777777" w:rsidTr="00B974B6">
        <w:trPr>
          <w:trHeight w:val="320"/>
        </w:trPr>
        <w:tc>
          <w:tcPr>
            <w:tcW w:w="3531" w:type="dxa"/>
            <w:tcBorders>
              <w:top w:val="nil"/>
              <w:left w:val="nil"/>
              <w:bottom w:val="nil"/>
              <w:right w:val="nil"/>
            </w:tcBorders>
            <w:shd w:val="clear" w:color="auto" w:fill="auto"/>
            <w:vAlign w:val="center"/>
            <w:hideMark/>
          </w:tcPr>
          <w:p w14:paraId="66885D62"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 by Year 2003/2005</w:t>
            </w:r>
          </w:p>
        </w:tc>
        <w:tc>
          <w:tcPr>
            <w:tcW w:w="537" w:type="dxa"/>
            <w:tcBorders>
              <w:top w:val="nil"/>
              <w:left w:val="nil"/>
              <w:bottom w:val="nil"/>
              <w:right w:val="nil"/>
            </w:tcBorders>
            <w:shd w:val="clear" w:color="auto" w:fill="auto"/>
            <w:vAlign w:val="center"/>
            <w:hideMark/>
          </w:tcPr>
          <w:p w14:paraId="187357B0"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1BF7C1AC"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0.65 (0.21-1.97)</w:t>
            </w:r>
          </w:p>
        </w:tc>
        <w:tc>
          <w:tcPr>
            <w:tcW w:w="2646" w:type="dxa"/>
            <w:tcBorders>
              <w:top w:val="nil"/>
              <w:left w:val="nil"/>
              <w:bottom w:val="nil"/>
              <w:right w:val="nil"/>
            </w:tcBorders>
            <w:shd w:val="clear" w:color="auto" w:fill="auto"/>
            <w:vAlign w:val="center"/>
            <w:hideMark/>
          </w:tcPr>
          <w:p w14:paraId="0ACDA8F2"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1.11 (0.70-1.83)</w:t>
            </w:r>
          </w:p>
        </w:tc>
      </w:tr>
      <w:tr w:rsidR="006E0559" w:rsidRPr="006E0559" w14:paraId="1DD0CB57" w14:textId="77777777" w:rsidTr="00B974B6">
        <w:trPr>
          <w:trHeight w:val="320"/>
        </w:trPr>
        <w:tc>
          <w:tcPr>
            <w:tcW w:w="3531" w:type="dxa"/>
            <w:tcBorders>
              <w:top w:val="nil"/>
              <w:left w:val="nil"/>
              <w:bottom w:val="nil"/>
              <w:right w:val="nil"/>
            </w:tcBorders>
            <w:shd w:val="clear" w:color="auto" w:fill="auto"/>
            <w:vAlign w:val="center"/>
            <w:hideMark/>
          </w:tcPr>
          <w:p w14:paraId="6B40F7C7"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 by Year 2007/2009</w:t>
            </w:r>
          </w:p>
        </w:tc>
        <w:tc>
          <w:tcPr>
            <w:tcW w:w="537" w:type="dxa"/>
            <w:tcBorders>
              <w:top w:val="nil"/>
              <w:left w:val="nil"/>
              <w:bottom w:val="nil"/>
              <w:right w:val="nil"/>
            </w:tcBorders>
            <w:shd w:val="clear" w:color="auto" w:fill="auto"/>
            <w:vAlign w:val="center"/>
            <w:hideMark/>
          </w:tcPr>
          <w:p w14:paraId="366E8F12"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4A737018"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0.98 (0.39-2.43)</w:t>
            </w:r>
          </w:p>
        </w:tc>
        <w:tc>
          <w:tcPr>
            <w:tcW w:w="2646" w:type="dxa"/>
            <w:tcBorders>
              <w:top w:val="nil"/>
              <w:left w:val="nil"/>
              <w:bottom w:val="nil"/>
              <w:right w:val="nil"/>
            </w:tcBorders>
            <w:shd w:val="clear" w:color="auto" w:fill="auto"/>
            <w:vAlign w:val="center"/>
            <w:hideMark/>
          </w:tcPr>
          <w:p w14:paraId="49A0184B"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1.11 (0.70-1.75)</w:t>
            </w:r>
          </w:p>
        </w:tc>
      </w:tr>
      <w:tr w:rsidR="006E0559" w:rsidRPr="006E0559" w14:paraId="71012CF0" w14:textId="77777777" w:rsidTr="00B974B6">
        <w:trPr>
          <w:trHeight w:val="320"/>
        </w:trPr>
        <w:tc>
          <w:tcPr>
            <w:tcW w:w="3531" w:type="dxa"/>
            <w:tcBorders>
              <w:top w:val="nil"/>
              <w:left w:val="nil"/>
              <w:bottom w:val="nil"/>
              <w:right w:val="nil"/>
            </w:tcBorders>
            <w:shd w:val="clear" w:color="auto" w:fill="auto"/>
            <w:vAlign w:val="center"/>
            <w:hideMark/>
          </w:tcPr>
          <w:p w14:paraId="6E159721"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 by Year 2011/2013</w:t>
            </w:r>
          </w:p>
        </w:tc>
        <w:tc>
          <w:tcPr>
            <w:tcW w:w="537" w:type="dxa"/>
            <w:tcBorders>
              <w:top w:val="nil"/>
              <w:left w:val="nil"/>
              <w:bottom w:val="nil"/>
              <w:right w:val="nil"/>
            </w:tcBorders>
            <w:shd w:val="clear" w:color="auto" w:fill="auto"/>
            <w:vAlign w:val="center"/>
            <w:hideMark/>
          </w:tcPr>
          <w:p w14:paraId="4D53B49D"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1F44CCF8"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0.57 (0.18-1.83)</w:t>
            </w:r>
          </w:p>
        </w:tc>
        <w:tc>
          <w:tcPr>
            <w:tcW w:w="2646" w:type="dxa"/>
            <w:tcBorders>
              <w:top w:val="nil"/>
              <w:left w:val="nil"/>
              <w:bottom w:val="nil"/>
              <w:right w:val="nil"/>
            </w:tcBorders>
            <w:shd w:val="clear" w:color="auto" w:fill="auto"/>
            <w:vAlign w:val="center"/>
            <w:hideMark/>
          </w:tcPr>
          <w:p w14:paraId="2D780915"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1.06 (0.63-1.78)</w:t>
            </w:r>
          </w:p>
        </w:tc>
      </w:tr>
      <w:tr w:rsidR="006E0559" w:rsidRPr="006E0559" w14:paraId="1DF2677A" w14:textId="77777777" w:rsidTr="00B974B6">
        <w:trPr>
          <w:trHeight w:val="320"/>
        </w:trPr>
        <w:tc>
          <w:tcPr>
            <w:tcW w:w="3531" w:type="dxa"/>
            <w:tcBorders>
              <w:top w:val="nil"/>
              <w:left w:val="nil"/>
              <w:bottom w:val="nil"/>
              <w:right w:val="nil"/>
            </w:tcBorders>
            <w:shd w:val="clear" w:color="auto" w:fill="auto"/>
            <w:vAlign w:val="center"/>
            <w:hideMark/>
          </w:tcPr>
          <w:p w14:paraId="5525E9DF" w14:textId="77777777" w:rsidR="006E0559" w:rsidRPr="006E0559" w:rsidRDefault="006E0559" w:rsidP="00E30804">
            <w:pPr>
              <w:jc w:val="both"/>
              <w:rPr>
                <w:rFonts w:ascii="Times New Roman" w:eastAsia="Times New Roman" w:hAnsi="Times New Roman"/>
                <w:noProof w:val="0"/>
                <w:color w:val="000000"/>
                <w:sz w:val="22"/>
                <w:szCs w:val="22"/>
              </w:rPr>
            </w:pPr>
          </w:p>
        </w:tc>
        <w:tc>
          <w:tcPr>
            <w:tcW w:w="537" w:type="dxa"/>
            <w:tcBorders>
              <w:top w:val="nil"/>
              <w:left w:val="nil"/>
              <w:bottom w:val="nil"/>
              <w:right w:val="nil"/>
            </w:tcBorders>
            <w:shd w:val="clear" w:color="auto" w:fill="auto"/>
            <w:vAlign w:val="center"/>
            <w:hideMark/>
          </w:tcPr>
          <w:p w14:paraId="2A8A056D"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vAlign w:val="center"/>
            <w:hideMark/>
          </w:tcPr>
          <w:p w14:paraId="0BFEF247"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vAlign w:val="center"/>
            <w:hideMark/>
          </w:tcPr>
          <w:p w14:paraId="4EA152CD" w14:textId="77777777" w:rsidR="006E0559" w:rsidRPr="006E0559" w:rsidRDefault="006E0559" w:rsidP="00E30804">
            <w:pPr>
              <w:jc w:val="both"/>
              <w:rPr>
                <w:rFonts w:ascii="Times New Roman" w:eastAsia="Times New Roman" w:hAnsi="Times New Roman"/>
                <w:noProof w:val="0"/>
                <w:sz w:val="20"/>
                <w:szCs w:val="20"/>
              </w:rPr>
            </w:pPr>
          </w:p>
        </w:tc>
      </w:tr>
      <w:tr w:rsidR="006E0559" w:rsidRPr="006E0559" w14:paraId="20F7EFE9" w14:textId="77777777" w:rsidTr="00B974B6">
        <w:trPr>
          <w:trHeight w:val="320"/>
        </w:trPr>
        <w:tc>
          <w:tcPr>
            <w:tcW w:w="3531" w:type="dxa"/>
            <w:tcBorders>
              <w:top w:val="nil"/>
              <w:left w:val="nil"/>
              <w:bottom w:val="nil"/>
              <w:right w:val="nil"/>
            </w:tcBorders>
            <w:shd w:val="clear" w:color="auto" w:fill="auto"/>
            <w:vAlign w:val="center"/>
            <w:hideMark/>
          </w:tcPr>
          <w:p w14:paraId="77788776"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Gay/Lesbian by Year 2003/2005</w:t>
            </w:r>
          </w:p>
        </w:tc>
        <w:tc>
          <w:tcPr>
            <w:tcW w:w="537" w:type="dxa"/>
            <w:tcBorders>
              <w:top w:val="nil"/>
              <w:left w:val="nil"/>
              <w:bottom w:val="nil"/>
              <w:right w:val="nil"/>
            </w:tcBorders>
            <w:shd w:val="clear" w:color="auto" w:fill="auto"/>
            <w:vAlign w:val="center"/>
            <w:hideMark/>
          </w:tcPr>
          <w:p w14:paraId="65F1B965"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05623787"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0.32 (0.10-1.05)</w:t>
            </w:r>
          </w:p>
        </w:tc>
        <w:tc>
          <w:tcPr>
            <w:tcW w:w="2646" w:type="dxa"/>
            <w:tcBorders>
              <w:top w:val="nil"/>
              <w:left w:val="nil"/>
              <w:bottom w:val="nil"/>
              <w:right w:val="nil"/>
            </w:tcBorders>
            <w:shd w:val="clear" w:color="auto" w:fill="auto"/>
            <w:vAlign w:val="center"/>
            <w:hideMark/>
          </w:tcPr>
          <w:p w14:paraId="23F8F5BC" w14:textId="77777777" w:rsidR="006E0559" w:rsidRPr="006E0559" w:rsidRDefault="006E0559" w:rsidP="00E30804">
            <w:pPr>
              <w:jc w:val="both"/>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5.51 (1.36-22.23)</w:t>
            </w:r>
          </w:p>
        </w:tc>
      </w:tr>
      <w:tr w:rsidR="006E0559" w:rsidRPr="006E0559" w14:paraId="192D3F6A" w14:textId="77777777" w:rsidTr="00B974B6">
        <w:trPr>
          <w:trHeight w:val="320"/>
        </w:trPr>
        <w:tc>
          <w:tcPr>
            <w:tcW w:w="3531" w:type="dxa"/>
            <w:tcBorders>
              <w:top w:val="nil"/>
              <w:left w:val="nil"/>
              <w:bottom w:val="nil"/>
              <w:right w:val="nil"/>
            </w:tcBorders>
            <w:shd w:val="clear" w:color="auto" w:fill="auto"/>
            <w:vAlign w:val="center"/>
            <w:hideMark/>
          </w:tcPr>
          <w:p w14:paraId="62BB837A"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Gay/Lesbian by Year 2007/2009</w:t>
            </w:r>
          </w:p>
        </w:tc>
        <w:tc>
          <w:tcPr>
            <w:tcW w:w="537" w:type="dxa"/>
            <w:tcBorders>
              <w:top w:val="nil"/>
              <w:left w:val="nil"/>
              <w:bottom w:val="nil"/>
              <w:right w:val="nil"/>
            </w:tcBorders>
            <w:shd w:val="clear" w:color="auto" w:fill="auto"/>
            <w:vAlign w:val="center"/>
            <w:hideMark/>
          </w:tcPr>
          <w:p w14:paraId="4EAFC440"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4808986D"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0.52 (0.18-1.50)</w:t>
            </w:r>
          </w:p>
        </w:tc>
        <w:tc>
          <w:tcPr>
            <w:tcW w:w="2646" w:type="dxa"/>
            <w:tcBorders>
              <w:top w:val="nil"/>
              <w:left w:val="nil"/>
              <w:bottom w:val="nil"/>
              <w:right w:val="nil"/>
            </w:tcBorders>
            <w:shd w:val="clear" w:color="auto" w:fill="auto"/>
            <w:vAlign w:val="center"/>
            <w:hideMark/>
          </w:tcPr>
          <w:p w14:paraId="0CCC6AE3"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2.28 (0.59-8.85)</w:t>
            </w:r>
          </w:p>
        </w:tc>
      </w:tr>
      <w:tr w:rsidR="006E0559" w:rsidRPr="006E0559" w14:paraId="774B7D11" w14:textId="77777777" w:rsidTr="00B974B6">
        <w:trPr>
          <w:trHeight w:val="340"/>
        </w:trPr>
        <w:tc>
          <w:tcPr>
            <w:tcW w:w="3531" w:type="dxa"/>
            <w:tcBorders>
              <w:top w:val="nil"/>
              <w:left w:val="nil"/>
              <w:bottom w:val="single" w:sz="4" w:space="0" w:color="auto"/>
              <w:right w:val="nil"/>
            </w:tcBorders>
            <w:shd w:val="clear" w:color="auto" w:fill="auto"/>
            <w:vAlign w:val="center"/>
            <w:hideMark/>
          </w:tcPr>
          <w:p w14:paraId="77E67AC7"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Gay/Lesbian by Year 2011/2013</w:t>
            </w:r>
          </w:p>
        </w:tc>
        <w:tc>
          <w:tcPr>
            <w:tcW w:w="537" w:type="dxa"/>
            <w:tcBorders>
              <w:top w:val="nil"/>
              <w:left w:val="nil"/>
              <w:bottom w:val="single" w:sz="4" w:space="0" w:color="auto"/>
              <w:right w:val="nil"/>
            </w:tcBorders>
            <w:shd w:val="clear" w:color="auto" w:fill="auto"/>
            <w:vAlign w:val="center"/>
            <w:hideMark/>
          </w:tcPr>
          <w:p w14:paraId="60012A1D"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 </w:t>
            </w:r>
          </w:p>
        </w:tc>
        <w:tc>
          <w:tcPr>
            <w:tcW w:w="2646" w:type="dxa"/>
            <w:tcBorders>
              <w:top w:val="nil"/>
              <w:left w:val="nil"/>
              <w:bottom w:val="single" w:sz="4" w:space="0" w:color="auto"/>
              <w:right w:val="nil"/>
            </w:tcBorders>
            <w:shd w:val="clear" w:color="auto" w:fill="auto"/>
            <w:vAlign w:val="center"/>
            <w:hideMark/>
          </w:tcPr>
          <w:p w14:paraId="27B98443"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0.62 (0.21-1.82)</w:t>
            </w:r>
          </w:p>
        </w:tc>
        <w:tc>
          <w:tcPr>
            <w:tcW w:w="2646" w:type="dxa"/>
            <w:tcBorders>
              <w:top w:val="nil"/>
              <w:left w:val="nil"/>
              <w:bottom w:val="single" w:sz="4" w:space="0" w:color="auto"/>
              <w:right w:val="nil"/>
            </w:tcBorders>
            <w:shd w:val="clear" w:color="auto" w:fill="auto"/>
            <w:vAlign w:val="center"/>
            <w:hideMark/>
          </w:tcPr>
          <w:p w14:paraId="1313BD22"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2.89 (0.72-11.64)</w:t>
            </w:r>
          </w:p>
        </w:tc>
      </w:tr>
      <w:tr w:rsidR="006E0559" w:rsidRPr="006E0559" w14:paraId="65C14B4C" w14:textId="77777777" w:rsidTr="00B974B6">
        <w:trPr>
          <w:trHeight w:val="320"/>
        </w:trPr>
        <w:tc>
          <w:tcPr>
            <w:tcW w:w="9360" w:type="dxa"/>
            <w:gridSpan w:val="4"/>
            <w:tcBorders>
              <w:top w:val="single" w:sz="8" w:space="0" w:color="auto"/>
              <w:left w:val="nil"/>
              <w:bottom w:val="single" w:sz="4" w:space="0" w:color="auto"/>
              <w:right w:val="nil"/>
            </w:tcBorders>
            <w:shd w:val="clear" w:color="000000" w:fill="D9D9D9"/>
            <w:vAlign w:val="center"/>
            <w:hideMark/>
          </w:tcPr>
          <w:p w14:paraId="2609EC77" w14:textId="77777777" w:rsidR="006E0559" w:rsidRPr="006E0559" w:rsidRDefault="006E0559" w:rsidP="00E30804">
            <w:pPr>
              <w:jc w:val="center"/>
              <w:rPr>
                <w:rFonts w:ascii="Times New Roman" w:eastAsia="Times New Roman" w:hAnsi="Times New Roman"/>
                <w:b/>
                <w:bCs/>
                <w:noProof w:val="0"/>
                <w:color w:val="000000"/>
                <w:sz w:val="22"/>
                <w:szCs w:val="22"/>
              </w:rPr>
            </w:pPr>
            <w:r w:rsidRPr="006E0559">
              <w:rPr>
                <w:rFonts w:ascii="Times New Roman" w:eastAsia="Times New Roman" w:hAnsi="Times New Roman"/>
                <w:b/>
                <w:bCs/>
                <w:noProof w:val="0"/>
                <w:color w:val="000000"/>
                <w:sz w:val="22"/>
                <w:szCs w:val="22"/>
              </w:rPr>
              <w:t>Smoked Daily in Past 30 Days</w:t>
            </w:r>
          </w:p>
        </w:tc>
      </w:tr>
      <w:tr w:rsidR="006E0559" w:rsidRPr="006E0559" w14:paraId="0AEA7C57" w14:textId="77777777" w:rsidTr="00B974B6">
        <w:trPr>
          <w:trHeight w:val="320"/>
        </w:trPr>
        <w:tc>
          <w:tcPr>
            <w:tcW w:w="3531" w:type="dxa"/>
            <w:tcBorders>
              <w:top w:val="nil"/>
              <w:left w:val="nil"/>
              <w:bottom w:val="nil"/>
              <w:right w:val="nil"/>
            </w:tcBorders>
            <w:shd w:val="clear" w:color="auto" w:fill="auto"/>
            <w:vAlign w:val="center"/>
            <w:hideMark/>
          </w:tcPr>
          <w:p w14:paraId="572AEF66" w14:textId="77777777" w:rsidR="00E30804" w:rsidRDefault="00E30804" w:rsidP="00E30804">
            <w:pPr>
              <w:jc w:val="right"/>
              <w:rPr>
                <w:rFonts w:ascii="Times New Roman" w:eastAsia="Times New Roman" w:hAnsi="Times New Roman"/>
                <w:noProof w:val="0"/>
                <w:color w:val="000000"/>
                <w:sz w:val="22"/>
                <w:szCs w:val="22"/>
              </w:rPr>
            </w:pPr>
          </w:p>
          <w:p w14:paraId="43729A0C"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Heterosexual by Year 1999/2001</w:t>
            </w:r>
          </w:p>
        </w:tc>
        <w:tc>
          <w:tcPr>
            <w:tcW w:w="537" w:type="dxa"/>
            <w:tcBorders>
              <w:top w:val="nil"/>
              <w:left w:val="nil"/>
              <w:bottom w:val="nil"/>
              <w:right w:val="nil"/>
            </w:tcBorders>
            <w:shd w:val="clear" w:color="auto" w:fill="auto"/>
            <w:vAlign w:val="center"/>
            <w:hideMark/>
          </w:tcPr>
          <w:p w14:paraId="1E8C865E"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252F0F26" w14:textId="7DDEAFD4" w:rsidR="00E30804" w:rsidRDefault="00E30804" w:rsidP="00E30804">
            <w:pPr>
              <w:jc w:val="both"/>
              <w:rPr>
                <w:rFonts w:ascii="Times New Roman" w:eastAsia="Times New Roman" w:hAnsi="Times New Roman"/>
                <w:noProof w:val="0"/>
                <w:color w:val="000000"/>
                <w:sz w:val="22"/>
                <w:szCs w:val="22"/>
              </w:rPr>
            </w:pPr>
            <w:proofErr w:type="spellStart"/>
            <w:r>
              <w:rPr>
                <w:rFonts w:ascii="Times New Roman" w:eastAsia="Times New Roman" w:hAnsi="Times New Roman"/>
                <w:b/>
                <w:bCs/>
                <w:noProof w:val="0"/>
                <w:color w:val="000000"/>
                <w:sz w:val="22"/>
                <w:szCs w:val="22"/>
              </w:rPr>
              <w:t>b</w:t>
            </w:r>
            <w:r w:rsidRPr="006E0559">
              <w:rPr>
                <w:rFonts w:ascii="Times New Roman" w:eastAsia="Times New Roman" w:hAnsi="Times New Roman"/>
                <w:b/>
                <w:bCs/>
                <w:noProof w:val="0"/>
                <w:color w:val="000000"/>
                <w:sz w:val="22"/>
                <w:szCs w:val="22"/>
              </w:rPr>
              <w:t>OR</w:t>
            </w:r>
            <w:proofErr w:type="spellEnd"/>
            <w:r w:rsidRPr="006E0559">
              <w:rPr>
                <w:rFonts w:ascii="Times New Roman" w:eastAsia="Times New Roman" w:hAnsi="Times New Roman"/>
                <w:b/>
                <w:bCs/>
                <w:noProof w:val="0"/>
                <w:color w:val="000000"/>
                <w:sz w:val="22"/>
                <w:szCs w:val="22"/>
              </w:rPr>
              <w:t xml:space="preserve"> (95% CI)</w:t>
            </w:r>
          </w:p>
          <w:p w14:paraId="100B8CFB"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c>
          <w:tcPr>
            <w:tcW w:w="2646" w:type="dxa"/>
            <w:tcBorders>
              <w:top w:val="nil"/>
              <w:left w:val="nil"/>
              <w:bottom w:val="nil"/>
              <w:right w:val="nil"/>
            </w:tcBorders>
            <w:shd w:val="clear" w:color="auto" w:fill="auto"/>
            <w:vAlign w:val="center"/>
            <w:hideMark/>
          </w:tcPr>
          <w:p w14:paraId="1964D848" w14:textId="65FB89B4" w:rsidR="00E30804" w:rsidRDefault="00E30804" w:rsidP="00E30804">
            <w:pPr>
              <w:jc w:val="both"/>
              <w:rPr>
                <w:rFonts w:ascii="Times New Roman" w:eastAsia="Times New Roman" w:hAnsi="Times New Roman"/>
                <w:noProof w:val="0"/>
                <w:color w:val="000000"/>
                <w:sz w:val="22"/>
                <w:szCs w:val="22"/>
              </w:rPr>
            </w:pPr>
            <w:proofErr w:type="spellStart"/>
            <w:r>
              <w:rPr>
                <w:rFonts w:ascii="Times New Roman" w:eastAsia="Times New Roman" w:hAnsi="Times New Roman"/>
                <w:b/>
                <w:bCs/>
                <w:noProof w:val="0"/>
                <w:color w:val="000000"/>
                <w:sz w:val="22"/>
                <w:szCs w:val="22"/>
              </w:rPr>
              <w:t>b</w:t>
            </w:r>
            <w:r w:rsidRPr="006E0559">
              <w:rPr>
                <w:rFonts w:ascii="Times New Roman" w:eastAsia="Times New Roman" w:hAnsi="Times New Roman"/>
                <w:b/>
                <w:bCs/>
                <w:noProof w:val="0"/>
                <w:color w:val="000000"/>
                <w:sz w:val="22"/>
                <w:szCs w:val="22"/>
              </w:rPr>
              <w:t>OR</w:t>
            </w:r>
            <w:proofErr w:type="spellEnd"/>
            <w:r w:rsidRPr="006E0559">
              <w:rPr>
                <w:rFonts w:ascii="Times New Roman" w:eastAsia="Times New Roman" w:hAnsi="Times New Roman"/>
                <w:b/>
                <w:bCs/>
                <w:noProof w:val="0"/>
                <w:color w:val="000000"/>
                <w:sz w:val="22"/>
                <w:szCs w:val="22"/>
              </w:rPr>
              <w:t xml:space="preserve"> (95% CI)</w:t>
            </w:r>
          </w:p>
          <w:p w14:paraId="262C41F1"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ref</w:t>
            </w:r>
          </w:p>
        </w:tc>
      </w:tr>
      <w:tr w:rsidR="006E0559" w:rsidRPr="006E0559" w14:paraId="3541C07D" w14:textId="77777777" w:rsidTr="00B974B6">
        <w:trPr>
          <w:trHeight w:val="320"/>
        </w:trPr>
        <w:tc>
          <w:tcPr>
            <w:tcW w:w="3531" w:type="dxa"/>
            <w:tcBorders>
              <w:top w:val="nil"/>
              <w:left w:val="nil"/>
              <w:bottom w:val="nil"/>
              <w:right w:val="nil"/>
            </w:tcBorders>
            <w:shd w:val="clear" w:color="auto" w:fill="auto"/>
            <w:vAlign w:val="center"/>
            <w:hideMark/>
          </w:tcPr>
          <w:p w14:paraId="60B0DB83" w14:textId="77777777" w:rsidR="006E0559" w:rsidRPr="006E0559" w:rsidRDefault="006E0559" w:rsidP="00E30804">
            <w:pPr>
              <w:jc w:val="both"/>
              <w:rPr>
                <w:rFonts w:ascii="Times New Roman" w:eastAsia="Times New Roman" w:hAnsi="Times New Roman"/>
                <w:noProof w:val="0"/>
                <w:color w:val="000000"/>
                <w:sz w:val="22"/>
                <w:szCs w:val="22"/>
              </w:rPr>
            </w:pPr>
          </w:p>
        </w:tc>
        <w:tc>
          <w:tcPr>
            <w:tcW w:w="537" w:type="dxa"/>
            <w:tcBorders>
              <w:top w:val="nil"/>
              <w:left w:val="nil"/>
              <w:bottom w:val="nil"/>
              <w:right w:val="nil"/>
            </w:tcBorders>
            <w:shd w:val="clear" w:color="auto" w:fill="auto"/>
            <w:vAlign w:val="center"/>
            <w:hideMark/>
          </w:tcPr>
          <w:p w14:paraId="7BE21C7C"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noWrap/>
            <w:vAlign w:val="bottom"/>
            <w:hideMark/>
          </w:tcPr>
          <w:p w14:paraId="2C6BB077"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vAlign w:val="center"/>
            <w:hideMark/>
          </w:tcPr>
          <w:p w14:paraId="3A5DA2F7" w14:textId="77777777" w:rsidR="006E0559" w:rsidRPr="006E0559" w:rsidRDefault="006E0559" w:rsidP="00E30804">
            <w:pPr>
              <w:rPr>
                <w:rFonts w:ascii="Times New Roman" w:eastAsia="Times New Roman" w:hAnsi="Times New Roman"/>
                <w:noProof w:val="0"/>
                <w:sz w:val="20"/>
                <w:szCs w:val="20"/>
              </w:rPr>
            </w:pPr>
          </w:p>
        </w:tc>
      </w:tr>
      <w:tr w:rsidR="006E0559" w:rsidRPr="006E0559" w14:paraId="6CC73908" w14:textId="77777777" w:rsidTr="00B974B6">
        <w:trPr>
          <w:trHeight w:val="320"/>
        </w:trPr>
        <w:tc>
          <w:tcPr>
            <w:tcW w:w="3531" w:type="dxa"/>
            <w:tcBorders>
              <w:top w:val="nil"/>
              <w:left w:val="nil"/>
              <w:bottom w:val="nil"/>
              <w:right w:val="nil"/>
            </w:tcBorders>
            <w:shd w:val="clear" w:color="auto" w:fill="auto"/>
            <w:vAlign w:val="center"/>
            <w:hideMark/>
          </w:tcPr>
          <w:p w14:paraId="36823E52"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 by Year 2003/2005</w:t>
            </w:r>
          </w:p>
        </w:tc>
        <w:tc>
          <w:tcPr>
            <w:tcW w:w="537" w:type="dxa"/>
            <w:tcBorders>
              <w:top w:val="nil"/>
              <w:left w:val="nil"/>
              <w:bottom w:val="nil"/>
              <w:right w:val="nil"/>
            </w:tcBorders>
            <w:shd w:val="clear" w:color="auto" w:fill="auto"/>
            <w:vAlign w:val="center"/>
            <w:hideMark/>
          </w:tcPr>
          <w:p w14:paraId="3D9DB17F"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65AF2994"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0.95 (0.29-3.07)</w:t>
            </w:r>
          </w:p>
        </w:tc>
        <w:tc>
          <w:tcPr>
            <w:tcW w:w="2646" w:type="dxa"/>
            <w:tcBorders>
              <w:top w:val="nil"/>
              <w:left w:val="nil"/>
              <w:bottom w:val="nil"/>
              <w:right w:val="nil"/>
            </w:tcBorders>
            <w:shd w:val="clear" w:color="auto" w:fill="auto"/>
            <w:vAlign w:val="center"/>
            <w:hideMark/>
          </w:tcPr>
          <w:p w14:paraId="0BDB07CF"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0.74 (0.40-1.34)</w:t>
            </w:r>
          </w:p>
        </w:tc>
      </w:tr>
      <w:tr w:rsidR="006E0559" w:rsidRPr="006E0559" w14:paraId="2B658B74" w14:textId="77777777" w:rsidTr="00B974B6">
        <w:trPr>
          <w:trHeight w:val="320"/>
        </w:trPr>
        <w:tc>
          <w:tcPr>
            <w:tcW w:w="3531" w:type="dxa"/>
            <w:tcBorders>
              <w:top w:val="nil"/>
              <w:left w:val="nil"/>
              <w:bottom w:val="nil"/>
              <w:right w:val="nil"/>
            </w:tcBorders>
            <w:shd w:val="clear" w:color="auto" w:fill="auto"/>
            <w:vAlign w:val="center"/>
            <w:hideMark/>
          </w:tcPr>
          <w:p w14:paraId="31E3E7E3"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 by Year 2007/2009</w:t>
            </w:r>
          </w:p>
        </w:tc>
        <w:tc>
          <w:tcPr>
            <w:tcW w:w="537" w:type="dxa"/>
            <w:tcBorders>
              <w:top w:val="nil"/>
              <w:left w:val="nil"/>
              <w:bottom w:val="nil"/>
              <w:right w:val="nil"/>
            </w:tcBorders>
            <w:shd w:val="clear" w:color="auto" w:fill="auto"/>
            <w:vAlign w:val="center"/>
            <w:hideMark/>
          </w:tcPr>
          <w:p w14:paraId="0F43AC3C"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32333930"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1.78 (0.62-5.12)</w:t>
            </w:r>
          </w:p>
        </w:tc>
        <w:tc>
          <w:tcPr>
            <w:tcW w:w="2646" w:type="dxa"/>
            <w:tcBorders>
              <w:top w:val="nil"/>
              <w:left w:val="nil"/>
              <w:bottom w:val="nil"/>
              <w:right w:val="nil"/>
            </w:tcBorders>
            <w:shd w:val="clear" w:color="auto" w:fill="auto"/>
            <w:vAlign w:val="center"/>
            <w:hideMark/>
          </w:tcPr>
          <w:p w14:paraId="7225B389"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0.94 (0.57-1.57)</w:t>
            </w:r>
          </w:p>
        </w:tc>
      </w:tr>
      <w:tr w:rsidR="006E0559" w:rsidRPr="006E0559" w14:paraId="1764B8DB" w14:textId="77777777" w:rsidTr="00B974B6">
        <w:trPr>
          <w:trHeight w:val="320"/>
        </w:trPr>
        <w:tc>
          <w:tcPr>
            <w:tcW w:w="3531" w:type="dxa"/>
            <w:tcBorders>
              <w:top w:val="nil"/>
              <w:left w:val="nil"/>
              <w:bottom w:val="nil"/>
              <w:right w:val="nil"/>
            </w:tcBorders>
            <w:shd w:val="clear" w:color="auto" w:fill="auto"/>
            <w:vAlign w:val="center"/>
            <w:hideMark/>
          </w:tcPr>
          <w:p w14:paraId="71A39E34"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Bisexual by Year 2011/2013</w:t>
            </w:r>
          </w:p>
        </w:tc>
        <w:tc>
          <w:tcPr>
            <w:tcW w:w="537" w:type="dxa"/>
            <w:tcBorders>
              <w:top w:val="nil"/>
              <w:left w:val="nil"/>
              <w:bottom w:val="nil"/>
              <w:right w:val="nil"/>
            </w:tcBorders>
            <w:shd w:val="clear" w:color="auto" w:fill="auto"/>
            <w:vAlign w:val="center"/>
            <w:hideMark/>
          </w:tcPr>
          <w:p w14:paraId="2CF93285"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6F13D515"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1.49 (0.49-4.55)</w:t>
            </w:r>
          </w:p>
        </w:tc>
        <w:tc>
          <w:tcPr>
            <w:tcW w:w="2646" w:type="dxa"/>
            <w:tcBorders>
              <w:top w:val="nil"/>
              <w:left w:val="nil"/>
              <w:bottom w:val="nil"/>
              <w:right w:val="nil"/>
            </w:tcBorders>
            <w:shd w:val="clear" w:color="auto" w:fill="auto"/>
            <w:vAlign w:val="center"/>
            <w:hideMark/>
          </w:tcPr>
          <w:p w14:paraId="66E26C61"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0.54 (0.22-1.36)</w:t>
            </w:r>
          </w:p>
        </w:tc>
      </w:tr>
      <w:tr w:rsidR="006E0559" w:rsidRPr="006E0559" w14:paraId="6757D255" w14:textId="77777777" w:rsidTr="00B974B6">
        <w:trPr>
          <w:trHeight w:val="320"/>
        </w:trPr>
        <w:tc>
          <w:tcPr>
            <w:tcW w:w="3531" w:type="dxa"/>
            <w:tcBorders>
              <w:top w:val="nil"/>
              <w:left w:val="nil"/>
              <w:bottom w:val="nil"/>
              <w:right w:val="nil"/>
            </w:tcBorders>
            <w:shd w:val="clear" w:color="auto" w:fill="auto"/>
            <w:vAlign w:val="center"/>
            <w:hideMark/>
          </w:tcPr>
          <w:p w14:paraId="0E146774" w14:textId="77777777" w:rsidR="006E0559" w:rsidRPr="006E0559" w:rsidRDefault="006E0559" w:rsidP="00E30804">
            <w:pPr>
              <w:jc w:val="both"/>
              <w:rPr>
                <w:rFonts w:ascii="Times New Roman" w:eastAsia="Times New Roman" w:hAnsi="Times New Roman"/>
                <w:noProof w:val="0"/>
                <w:color w:val="000000"/>
                <w:sz w:val="22"/>
                <w:szCs w:val="22"/>
              </w:rPr>
            </w:pPr>
          </w:p>
        </w:tc>
        <w:tc>
          <w:tcPr>
            <w:tcW w:w="537" w:type="dxa"/>
            <w:tcBorders>
              <w:top w:val="nil"/>
              <w:left w:val="nil"/>
              <w:bottom w:val="nil"/>
              <w:right w:val="nil"/>
            </w:tcBorders>
            <w:shd w:val="clear" w:color="auto" w:fill="auto"/>
            <w:vAlign w:val="center"/>
            <w:hideMark/>
          </w:tcPr>
          <w:p w14:paraId="3FD181F7"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noWrap/>
            <w:vAlign w:val="bottom"/>
            <w:hideMark/>
          </w:tcPr>
          <w:p w14:paraId="6373BCBE" w14:textId="77777777" w:rsidR="006E0559" w:rsidRPr="006E0559" w:rsidRDefault="006E0559" w:rsidP="00E30804">
            <w:pPr>
              <w:jc w:val="right"/>
              <w:rPr>
                <w:rFonts w:ascii="Times New Roman" w:eastAsia="Times New Roman" w:hAnsi="Times New Roman"/>
                <w:noProof w:val="0"/>
                <w:sz w:val="20"/>
                <w:szCs w:val="20"/>
              </w:rPr>
            </w:pPr>
          </w:p>
        </w:tc>
        <w:tc>
          <w:tcPr>
            <w:tcW w:w="2646" w:type="dxa"/>
            <w:tcBorders>
              <w:top w:val="nil"/>
              <w:left w:val="nil"/>
              <w:bottom w:val="nil"/>
              <w:right w:val="nil"/>
            </w:tcBorders>
            <w:shd w:val="clear" w:color="auto" w:fill="auto"/>
            <w:vAlign w:val="center"/>
            <w:hideMark/>
          </w:tcPr>
          <w:p w14:paraId="6A1CA0F5" w14:textId="77777777" w:rsidR="006E0559" w:rsidRPr="006E0559" w:rsidRDefault="006E0559" w:rsidP="00E30804">
            <w:pPr>
              <w:rPr>
                <w:rFonts w:ascii="Times New Roman" w:eastAsia="Times New Roman" w:hAnsi="Times New Roman"/>
                <w:noProof w:val="0"/>
                <w:sz w:val="20"/>
                <w:szCs w:val="20"/>
              </w:rPr>
            </w:pPr>
          </w:p>
        </w:tc>
      </w:tr>
      <w:tr w:rsidR="006E0559" w:rsidRPr="006E0559" w14:paraId="64CB0006" w14:textId="77777777" w:rsidTr="00B974B6">
        <w:trPr>
          <w:trHeight w:val="320"/>
        </w:trPr>
        <w:tc>
          <w:tcPr>
            <w:tcW w:w="3531" w:type="dxa"/>
            <w:tcBorders>
              <w:top w:val="nil"/>
              <w:left w:val="nil"/>
              <w:bottom w:val="nil"/>
              <w:right w:val="nil"/>
            </w:tcBorders>
            <w:shd w:val="clear" w:color="auto" w:fill="auto"/>
            <w:vAlign w:val="center"/>
            <w:hideMark/>
          </w:tcPr>
          <w:p w14:paraId="2F2D0655"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Gay/Lesbian by Year 2003/2005</w:t>
            </w:r>
          </w:p>
        </w:tc>
        <w:tc>
          <w:tcPr>
            <w:tcW w:w="537" w:type="dxa"/>
            <w:tcBorders>
              <w:top w:val="nil"/>
              <w:left w:val="nil"/>
              <w:bottom w:val="nil"/>
              <w:right w:val="nil"/>
            </w:tcBorders>
            <w:shd w:val="clear" w:color="auto" w:fill="auto"/>
            <w:vAlign w:val="center"/>
            <w:hideMark/>
          </w:tcPr>
          <w:p w14:paraId="6D58C397"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01547A76"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0.77 (0.20-2.93)</w:t>
            </w:r>
          </w:p>
        </w:tc>
        <w:tc>
          <w:tcPr>
            <w:tcW w:w="2646" w:type="dxa"/>
            <w:tcBorders>
              <w:top w:val="nil"/>
              <w:left w:val="nil"/>
              <w:bottom w:val="nil"/>
              <w:right w:val="nil"/>
            </w:tcBorders>
            <w:shd w:val="clear" w:color="auto" w:fill="auto"/>
            <w:vAlign w:val="center"/>
            <w:hideMark/>
          </w:tcPr>
          <w:p w14:paraId="20EAA50F"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2.82 (0.49-16.09)</w:t>
            </w:r>
          </w:p>
        </w:tc>
      </w:tr>
      <w:tr w:rsidR="006E0559" w:rsidRPr="006E0559" w14:paraId="0D8F3072" w14:textId="77777777" w:rsidTr="00B974B6">
        <w:trPr>
          <w:trHeight w:val="320"/>
        </w:trPr>
        <w:tc>
          <w:tcPr>
            <w:tcW w:w="3531" w:type="dxa"/>
            <w:tcBorders>
              <w:top w:val="nil"/>
              <w:left w:val="nil"/>
              <w:bottom w:val="nil"/>
              <w:right w:val="nil"/>
            </w:tcBorders>
            <w:shd w:val="clear" w:color="auto" w:fill="auto"/>
            <w:vAlign w:val="center"/>
            <w:hideMark/>
          </w:tcPr>
          <w:p w14:paraId="5ACCC7C6"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Gay/Lesbian by Year 2007/2009</w:t>
            </w:r>
          </w:p>
        </w:tc>
        <w:tc>
          <w:tcPr>
            <w:tcW w:w="537" w:type="dxa"/>
            <w:tcBorders>
              <w:top w:val="nil"/>
              <w:left w:val="nil"/>
              <w:bottom w:val="nil"/>
              <w:right w:val="nil"/>
            </w:tcBorders>
            <w:shd w:val="clear" w:color="auto" w:fill="auto"/>
            <w:noWrap/>
            <w:vAlign w:val="bottom"/>
            <w:hideMark/>
          </w:tcPr>
          <w:p w14:paraId="7D18D423"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3C8F416B"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1.21 (0.39-3.76)</w:t>
            </w:r>
          </w:p>
        </w:tc>
        <w:tc>
          <w:tcPr>
            <w:tcW w:w="2646" w:type="dxa"/>
            <w:tcBorders>
              <w:top w:val="nil"/>
              <w:left w:val="nil"/>
              <w:bottom w:val="nil"/>
              <w:right w:val="nil"/>
            </w:tcBorders>
            <w:shd w:val="clear" w:color="auto" w:fill="auto"/>
            <w:vAlign w:val="center"/>
            <w:hideMark/>
          </w:tcPr>
          <w:p w14:paraId="5ECD85B4"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2.57 (0.45-14.72)</w:t>
            </w:r>
          </w:p>
        </w:tc>
      </w:tr>
      <w:tr w:rsidR="006E0559" w:rsidRPr="006E0559" w14:paraId="3DB26D60" w14:textId="77777777" w:rsidTr="00B974B6">
        <w:trPr>
          <w:trHeight w:val="320"/>
        </w:trPr>
        <w:tc>
          <w:tcPr>
            <w:tcW w:w="3531" w:type="dxa"/>
            <w:tcBorders>
              <w:top w:val="nil"/>
              <w:left w:val="nil"/>
              <w:bottom w:val="single" w:sz="4" w:space="0" w:color="auto"/>
              <w:right w:val="nil"/>
            </w:tcBorders>
            <w:shd w:val="clear" w:color="auto" w:fill="auto"/>
            <w:vAlign w:val="center"/>
            <w:hideMark/>
          </w:tcPr>
          <w:p w14:paraId="49424806" w14:textId="77777777" w:rsidR="006E0559" w:rsidRPr="006E0559" w:rsidRDefault="006E0559" w:rsidP="00E30804">
            <w:pPr>
              <w:jc w:val="right"/>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Gay/Lesbian by Year 2011/2013</w:t>
            </w:r>
          </w:p>
        </w:tc>
        <w:tc>
          <w:tcPr>
            <w:tcW w:w="537" w:type="dxa"/>
            <w:tcBorders>
              <w:top w:val="nil"/>
              <w:left w:val="nil"/>
              <w:bottom w:val="nil"/>
              <w:right w:val="nil"/>
            </w:tcBorders>
            <w:shd w:val="clear" w:color="auto" w:fill="auto"/>
            <w:noWrap/>
            <w:vAlign w:val="bottom"/>
            <w:hideMark/>
          </w:tcPr>
          <w:p w14:paraId="0ED1FA61" w14:textId="77777777" w:rsidR="006E0559" w:rsidRPr="006E0559" w:rsidRDefault="006E0559" w:rsidP="00E30804">
            <w:pPr>
              <w:jc w:val="right"/>
              <w:rPr>
                <w:rFonts w:ascii="Times New Roman" w:eastAsia="Times New Roman" w:hAnsi="Times New Roman"/>
                <w:noProof w:val="0"/>
                <w:color w:val="000000"/>
                <w:sz w:val="22"/>
                <w:szCs w:val="22"/>
              </w:rPr>
            </w:pPr>
          </w:p>
        </w:tc>
        <w:tc>
          <w:tcPr>
            <w:tcW w:w="2646" w:type="dxa"/>
            <w:tcBorders>
              <w:top w:val="nil"/>
              <w:left w:val="nil"/>
              <w:bottom w:val="nil"/>
              <w:right w:val="nil"/>
            </w:tcBorders>
            <w:shd w:val="clear" w:color="auto" w:fill="auto"/>
            <w:vAlign w:val="center"/>
            <w:hideMark/>
          </w:tcPr>
          <w:p w14:paraId="287F19CE"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1.16 (0.33-4.08)</w:t>
            </w:r>
          </w:p>
        </w:tc>
        <w:tc>
          <w:tcPr>
            <w:tcW w:w="2646" w:type="dxa"/>
            <w:tcBorders>
              <w:top w:val="nil"/>
              <w:left w:val="nil"/>
              <w:bottom w:val="nil"/>
              <w:right w:val="nil"/>
            </w:tcBorders>
            <w:shd w:val="clear" w:color="auto" w:fill="auto"/>
            <w:vAlign w:val="center"/>
            <w:hideMark/>
          </w:tcPr>
          <w:p w14:paraId="2F0DC103" w14:textId="77777777" w:rsidR="006E0559" w:rsidRPr="006E0559" w:rsidRDefault="006E0559" w:rsidP="00E30804">
            <w:pPr>
              <w:jc w:val="both"/>
              <w:rPr>
                <w:rFonts w:ascii="Times New Roman" w:eastAsia="Times New Roman" w:hAnsi="Times New Roman"/>
                <w:noProof w:val="0"/>
                <w:color w:val="000000"/>
                <w:sz w:val="22"/>
                <w:szCs w:val="22"/>
              </w:rPr>
            </w:pPr>
            <w:r w:rsidRPr="006E0559">
              <w:rPr>
                <w:rFonts w:ascii="Times New Roman" w:eastAsia="Times New Roman" w:hAnsi="Times New Roman"/>
                <w:noProof w:val="0"/>
                <w:color w:val="000000"/>
                <w:sz w:val="22"/>
                <w:szCs w:val="22"/>
              </w:rPr>
              <w:t>3.63 (0.58-22.57)</w:t>
            </w:r>
          </w:p>
        </w:tc>
      </w:tr>
      <w:tr w:rsidR="006E0559" w:rsidRPr="006E0559" w14:paraId="7E5775B5" w14:textId="77777777" w:rsidTr="00B974B6">
        <w:trPr>
          <w:trHeight w:val="320"/>
        </w:trPr>
        <w:tc>
          <w:tcPr>
            <w:tcW w:w="9360" w:type="dxa"/>
            <w:gridSpan w:val="4"/>
            <w:tcBorders>
              <w:top w:val="single" w:sz="4" w:space="0" w:color="auto"/>
              <w:left w:val="nil"/>
              <w:bottom w:val="nil"/>
              <w:right w:val="nil"/>
            </w:tcBorders>
            <w:shd w:val="clear" w:color="auto" w:fill="auto"/>
            <w:noWrap/>
            <w:vAlign w:val="center"/>
            <w:hideMark/>
          </w:tcPr>
          <w:p w14:paraId="011ADB30" w14:textId="2B6173E8" w:rsidR="006E0559" w:rsidRPr="006E0559" w:rsidRDefault="006E0559" w:rsidP="00E30804">
            <w:pPr>
              <w:rPr>
                <w:rFonts w:ascii="Times New Roman" w:eastAsia="Times New Roman" w:hAnsi="Times New Roman"/>
                <w:i/>
                <w:iCs/>
                <w:noProof w:val="0"/>
                <w:color w:val="000000"/>
                <w:sz w:val="22"/>
                <w:szCs w:val="22"/>
              </w:rPr>
            </w:pPr>
            <w:r w:rsidRPr="006E0559">
              <w:rPr>
                <w:rFonts w:ascii="Times New Roman" w:eastAsia="Times New Roman" w:hAnsi="Times New Roman"/>
                <w:i/>
                <w:iCs/>
                <w:noProof w:val="0"/>
                <w:color w:val="000000"/>
                <w:sz w:val="22"/>
                <w:szCs w:val="22"/>
              </w:rPr>
              <w:t>Note</w:t>
            </w:r>
            <w:r w:rsidRPr="006E0559">
              <w:rPr>
                <w:rFonts w:ascii="Times New Roman" w:eastAsia="Times New Roman" w:hAnsi="Times New Roman"/>
                <w:noProof w:val="0"/>
                <w:color w:val="000000"/>
                <w:sz w:val="22"/>
                <w:szCs w:val="22"/>
              </w:rPr>
              <w:t xml:space="preserve">. </w:t>
            </w:r>
            <w:r w:rsidR="00E30804">
              <w:rPr>
                <w:rFonts w:ascii="Times New Roman" w:eastAsia="Times New Roman" w:hAnsi="Times New Roman"/>
                <w:noProof w:val="0"/>
                <w:color w:val="000000"/>
                <w:sz w:val="22"/>
                <w:szCs w:val="22"/>
              </w:rPr>
              <w:t>All o</w:t>
            </w:r>
            <w:r w:rsidR="00E30804" w:rsidRPr="00B30017">
              <w:rPr>
                <w:rFonts w:ascii="Times New Roman" w:eastAsia="Times New Roman" w:hAnsi="Times New Roman"/>
                <w:noProof w:val="0"/>
                <w:color w:val="000000"/>
                <w:sz w:val="22"/>
                <w:szCs w:val="22"/>
              </w:rPr>
              <w:t>utcomes were weighted</w:t>
            </w:r>
            <w:r w:rsidR="00E30804">
              <w:rPr>
                <w:rFonts w:ascii="Times New Roman" w:eastAsia="Times New Roman" w:hAnsi="Times New Roman"/>
                <w:noProof w:val="0"/>
                <w:color w:val="000000"/>
                <w:sz w:val="22"/>
                <w:szCs w:val="22"/>
              </w:rPr>
              <w:t xml:space="preserve">. </w:t>
            </w:r>
            <w:proofErr w:type="spellStart"/>
            <w:r w:rsidR="00E30804">
              <w:rPr>
                <w:rFonts w:ascii="Times New Roman" w:eastAsia="Times New Roman" w:hAnsi="Times New Roman"/>
                <w:noProof w:val="0"/>
                <w:color w:val="000000"/>
                <w:sz w:val="22"/>
                <w:szCs w:val="22"/>
              </w:rPr>
              <w:t>aOR</w:t>
            </w:r>
            <w:proofErr w:type="spellEnd"/>
            <w:r w:rsidR="00E30804">
              <w:rPr>
                <w:rFonts w:ascii="Times New Roman" w:eastAsia="Times New Roman" w:hAnsi="Times New Roman"/>
                <w:noProof w:val="0"/>
                <w:color w:val="000000"/>
                <w:sz w:val="22"/>
                <w:szCs w:val="22"/>
              </w:rPr>
              <w:t xml:space="preserve"> = adjusted odds ratio for ethnicity and age; </w:t>
            </w:r>
            <w:proofErr w:type="spellStart"/>
            <w:r w:rsidR="00E30804">
              <w:rPr>
                <w:rFonts w:ascii="Times New Roman" w:eastAsia="Times New Roman" w:hAnsi="Times New Roman"/>
                <w:noProof w:val="0"/>
                <w:color w:val="000000"/>
                <w:sz w:val="22"/>
                <w:szCs w:val="22"/>
              </w:rPr>
              <w:t>bOR</w:t>
            </w:r>
            <w:proofErr w:type="spellEnd"/>
            <w:r w:rsidR="00E30804">
              <w:rPr>
                <w:rFonts w:ascii="Times New Roman" w:eastAsia="Times New Roman" w:hAnsi="Times New Roman"/>
                <w:noProof w:val="0"/>
                <w:color w:val="000000"/>
                <w:sz w:val="22"/>
                <w:szCs w:val="22"/>
              </w:rPr>
              <w:t xml:space="preserve"> = adjusted odds ratio for age only.</w:t>
            </w:r>
            <w:r w:rsidR="00E30804" w:rsidRPr="00B30017">
              <w:rPr>
                <w:rFonts w:ascii="Times New Roman" w:eastAsia="Times New Roman" w:hAnsi="Times New Roman"/>
                <w:noProof w:val="0"/>
                <w:color w:val="000000"/>
                <w:sz w:val="22"/>
                <w:szCs w:val="22"/>
              </w:rPr>
              <w:t xml:space="preserve"> </w:t>
            </w:r>
            <w:proofErr w:type="spellStart"/>
            <w:proofErr w:type="gramStart"/>
            <w:r w:rsidR="00E30804">
              <w:rPr>
                <w:rFonts w:ascii="Times New Roman" w:eastAsia="Times New Roman" w:hAnsi="Times New Roman"/>
                <w:noProof w:val="0"/>
                <w:color w:val="000000"/>
                <w:sz w:val="22"/>
                <w:szCs w:val="22"/>
              </w:rPr>
              <w:t>a</w:t>
            </w:r>
            <w:r w:rsidR="00E30804" w:rsidRPr="00B30017">
              <w:rPr>
                <w:rFonts w:ascii="Times New Roman" w:eastAsia="Times New Roman" w:hAnsi="Times New Roman"/>
                <w:noProof w:val="0"/>
                <w:color w:val="000000"/>
                <w:sz w:val="22"/>
                <w:szCs w:val="22"/>
              </w:rPr>
              <w:t>OR</w:t>
            </w:r>
            <w:proofErr w:type="spellEnd"/>
            <w:proofErr w:type="gramEnd"/>
            <w:r w:rsidR="00E30804">
              <w:rPr>
                <w:rFonts w:ascii="Times New Roman" w:eastAsia="Times New Roman" w:hAnsi="Times New Roman"/>
                <w:noProof w:val="0"/>
                <w:color w:val="000000"/>
                <w:sz w:val="22"/>
                <w:szCs w:val="22"/>
              </w:rPr>
              <w:t xml:space="preserve"> and </w:t>
            </w:r>
            <w:proofErr w:type="spellStart"/>
            <w:r w:rsidR="00E30804">
              <w:rPr>
                <w:rFonts w:ascii="Times New Roman" w:eastAsia="Times New Roman" w:hAnsi="Times New Roman"/>
                <w:noProof w:val="0"/>
                <w:color w:val="000000"/>
                <w:sz w:val="22"/>
                <w:szCs w:val="22"/>
              </w:rPr>
              <w:t>bOR</w:t>
            </w:r>
            <w:proofErr w:type="spellEnd"/>
            <w:r w:rsidR="00E30804">
              <w:rPr>
                <w:rFonts w:ascii="Times New Roman" w:eastAsia="Times New Roman" w:hAnsi="Times New Roman"/>
                <w:noProof w:val="0"/>
                <w:color w:val="000000"/>
                <w:sz w:val="22"/>
                <w:szCs w:val="22"/>
              </w:rPr>
              <w:t xml:space="preserve"> in bold </w:t>
            </w:r>
            <w:proofErr w:type="spellStart"/>
            <w:r w:rsidR="00E30804" w:rsidRPr="006E0559">
              <w:rPr>
                <w:rFonts w:ascii="Times New Roman" w:eastAsia="Times New Roman" w:hAnsi="Times New Roman"/>
                <w:noProof w:val="0"/>
                <w:color w:val="000000"/>
                <w:sz w:val="22"/>
                <w:szCs w:val="22"/>
              </w:rPr>
              <w:t>bold</w:t>
            </w:r>
            <w:proofErr w:type="spellEnd"/>
            <w:r w:rsidR="00E30804" w:rsidRPr="006E0559">
              <w:rPr>
                <w:rFonts w:ascii="Times New Roman" w:eastAsia="Times New Roman" w:hAnsi="Times New Roman"/>
                <w:noProof w:val="0"/>
                <w:color w:val="000000"/>
                <w:sz w:val="22"/>
                <w:szCs w:val="22"/>
              </w:rPr>
              <w:t xml:space="preserve"> indicates </w:t>
            </w:r>
            <w:r w:rsidR="00E30804" w:rsidRPr="006E0559">
              <w:rPr>
                <w:rFonts w:ascii="Times New Roman" w:eastAsia="Times New Roman" w:hAnsi="Times New Roman"/>
                <w:i/>
                <w:iCs/>
                <w:noProof w:val="0"/>
                <w:color w:val="000000"/>
                <w:sz w:val="22"/>
                <w:szCs w:val="22"/>
              </w:rPr>
              <w:t>p</w:t>
            </w:r>
            <w:r w:rsidR="00E30804">
              <w:rPr>
                <w:rFonts w:ascii="Times New Roman" w:eastAsia="Times New Roman" w:hAnsi="Times New Roman"/>
                <w:i/>
                <w:iCs/>
                <w:noProof w:val="0"/>
                <w:color w:val="000000"/>
                <w:sz w:val="22"/>
                <w:szCs w:val="22"/>
              </w:rPr>
              <w:t xml:space="preserve"> </w:t>
            </w:r>
            <w:r w:rsidR="00E30804" w:rsidRPr="006E0559">
              <w:rPr>
                <w:rFonts w:ascii="Times New Roman" w:eastAsia="Times New Roman" w:hAnsi="Times New Roman"/>
                <w:noProof w:val="0"/>
                <w:color w:val="000000"/>
                <w:sz w:val="22"/>
                <w:szCs w:val="22"/>
              </w:rPr>
              <w:t>&lt; .05</w:t>
            </w:r>
            <w:r w:rsidR="00E30804">
              <w:rPr>
                <w:rFonts w:ascii="Times New Roman" w:eastAsia="Times New Roman" w:hAnsi="Times New Roman"/>
                <w:noProof w:val="0"/>
                <w:color w:val="000000"/>
                <w:sz w:val="22"/>
                <w:szCs w:val="22"/>
              </w:rPr>
              <w:t xml:space="preserve">;  CI = </w:t>
            </w:r>
            <w:r w:rsidR="00E30804" w:rsidRPr="00B30017">
              <w:rPr>
                <w:rFonts w:ascii="Times New Roman" w:eastAsia="Times New Roman" w:hAnsi="Times New Roman"/>
                <w:noProof w:val="0"/>
                <w:color w:val="000000"/>
                <w:sz w:val="22"/>
                <w:szCs w:val="22"/>
              </w:rPr>
              <w:t>Confidence interval</w:t>
            </w:r>
            <w:r w:rsidR="00E30804">
              <w:rPr>
                <w:rFonts w:ascii="Times New Roman" w:eastAsia="Times New Roman" w:hAnsi="Times New Roman"/>
                <w:noProof w:val="0"/>
                <w:color w:val="000000"/>
                <w:sz w:val="22"/>
                <w:szCs w:val="22"/>
              </w:rPr>
              <w:t xml:space="preserve">; </w:t>
            </w:r>
            <w:r w:rsidRPr="006E0559">
              <w:rPr>
                <w:rFonts w:ascii="Times New Roman" w:eastAsia="Times New Roman" w:hAnsi="Times New Roman"/>
                <w:noProof w:val="0"/>
                <w:color w:val="000000"/>
                <w:sz w:val="22"/>
                <w:szCs w:val="22"/>
              </w:rPr>
              <w:t>ref: Reference group 1998; Models included sexual orientation, age, ethnicity</w:t>
            </w:r>
            <w:r w:rsidR="00637330">
              <w:rPr>
                <w:rFonts w:ascii="Times New Roman" w:eastAsia="Times New Roman" w:hAnsi="Times New Roman"/>
                <w:noProof w:val="0"/>
                <w:color w:val="000000"/>
                <w:sz w:val="22"/>
                <w:szCs w:val="22"/>
              </w:rPr>
              <w:t xml:space="preserve"> (except for smoked daily in past 30 days)</w:t>
            </w:r>
            <w:r w:rsidRPr="006E0559">
              <w:rPr>
                <w:rFonts w:ascii="Times New Roman" w:eastAsia="Times New Roman" w:hAnsi="Times New Roman"/>
                <w:noProof w:val="0"/>
                <w:color w:val="000000"/>
                <w:sz w:val="22"/>
                <w:szCs w:val="22"/>
              </w:rPr>
              <w:t>, survey year, and o</w:t>
            </w:r>
            <w:r>
              <w:rPr>
                <w:rFonts w:ascii="Times New Roman" w:eastAsia="Times New Roman" w:hAnsi="Times New Roman"/>
                <w:noProof w:val="0"/>
                <w:color w:val="000000"/>
                <w:sz w:val="22"/>
                <w:szCs w:val="22"/>
              </w:rPr>
              <w:t xml:space="preserve">rientation-by-year interaction; </w:t>
            </w:r>
            <w:r w:rsidRPr="006E0559">
              <w:rPr>
                <w:rFonts w:ascii="Times New Roman" w:eastAsia="Times New Roman" w:hAnsi="Times New Roman"/>
                <w:noProof w:val="0"/>
                <w:color w:val="000000"/>
                <w:sz w:val="22"/>
                <w:szCs w:val="22"/>
              </w:rPr>
              <w:t>CI: Confidence interval.</w:t>
            </w:r>
          </w:p>
        </w:tc>
      </w:tr>
    </w:tbl>
    <w:p w14:paraId="7D424A83" w14:textId="77777777" w:rsidR="00922EF4" w:rsidRPr="004935FF" w:rsidRDefault="00922EF4" w:rsidP="004935FF">
      <w:pPr>
        <w:tabs>
          <w:tab w:val="left" w:pos="3215"/>
        </w:tabs>
        <w:rPr>
          <w:rFonts w:ascii="Times New Roman" w:hAnsi="Times New Roman"/>
          <w:sz w:val="22"/>
          <w:szCs w:val="22"/>
        </w:rPr>
      </w:pPr>
    </w:p>
    <w:sectPr w:rsidR="00922EF4" w:rsidRPr="004935FF" w:rsidSect="00922EF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08EDB" w14:textId="77777777" w:rsidR="00C728D7" w:rsidRDefault="00C728D7">
      <w:pPr>
        <w:rPr>
          <w:rFonts w:ascii="Times New Roman" w:hAnsi="Times New Roman"/>
        </w:rPr>
      </w:pPr>
      <w:r>
        <w:rPr>
          <w:rFonts w:ascii="Times New Roman" w:hAnsi="Times New Roman"/>
        </w:rPr>
        <w:separator/>
      </w:r>
    </w:p>
  </w:endnote>
  <w:endnote w:type="continuationSeparator" w:id="0">
    <w:p w14:paraId="4AF94CFE" w14:textId="77777777" w:rsidR="00C728D7" w:rsidRDefault="00C728D7">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48884" w14:textId="77777777" w:rsidR="00C728D7" w:rsidRDefault="00C728D7">
      <w:pPr>
        <w:rPr>
          <w:rFonts w:ascii="Times New Roman" w:hAnsi="Times New Roman"/>
        </w:rPr>
      </w:pPr>
      <w:r>
        <w:rPr>
          <w:rFonts w:ascii="Times New Roman" w:hAnsi="Times New Roman"/>
        </w:rPr>
        <w:separator/>
      </w:r>
    </w:p>
  </w:footnote>
  <w:footnote w:type="continuationSeparator" w:id="0">
    <w:p w14:paraId="7507F5B0" w14:textId="77777777" w:rsidR="00C728D7" w:rsidRDefault="00C728D7">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D350F" w14:textId="77777777" w:rsidR="00837C51" w:rsidRDefault="00837C51" w:rsidP="001C168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F96214" w14:textId="77777777" w:rsidR="00837C51" w:rsidRDefault="00837C51" w:rsidP="001544B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6179A" w14:textId="6D6FC07D" w:rsidR="00837C51" w:rsidRDefault="00837C51" w:rsidP="001C168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74B6">
      <w:rPr>
        <w:rStyle w:val="PageNumber"/>
      </w:rPr>
      <w:t>14</w:t>
    </w:r>
    <w:r>
      <w:rPr>
        <w:rStyle w:val="PageNumber"/>
      </w:rPr>
      <w:fldChar w:fldCharType="end"/>
    </w:r>
  </w:p>
  <w:p w14:paraId="48946422" w14:textId="77777777" w:rsidR="00837C51" w:rsidRPr="001544BF" w:rsidRDefault="00837C51" w:rsidP="001544BF">
    <w:pPr>
      <w:pStyle w:val="Header"/>
      <w:ind w:right="360"/>
      <w:rPr>
        <w:rFonts w:ascii="Times" w:hAnsi="Times" w:cs="Times"/>
      </w:rPr>
    </w:pPr>
    <w:r>
      <w:rPr>
        <w:rFonts w:ascii="Times" w:hAnsi="Times" w:cs="Times"/>
      </w:rPr>
      <w:t>LGB TOBACCO USE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A11C8" w14:textId="0152A629" w:rsidR="00837C51" w:rsidRDefault="00837C51">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74B6">
      <w:rPr>
        <w:rStyle w:val="PageNumber"/>
      </w:rPr>
      <w:t>18</w:t>
    </w:r>
    <w:r>
      <w:rPr>
        <w:rStyle w:val="PageNumber"/>
      </w:rPr>
      <w:fldChar w:fldCharType="end"/>
    </w:r>
  </w:p>
  <w:p w14:paraId="376909B0" w14:textId="77777777" w:rsidR="00837C51" w:rsidRDefault="00837C51">
    <w:pPr>
      <w:pStyle w:val="Header"/>
      <w:ind w:right="360"/>
      <w:rPr>
        <w:rFonts w:ascii="Times" w:hAnsi="Times" w:cs="Times"/>
      </w:rPr>
    </w:pPr>
    <w:r>
      <w:rPr>
        <w:rFonts w:ascii="Times" w:hAnsi="Times" w:cs="Times"/>
      </w:rPr>
      <w:t>LGB TOBACCO 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83174"/>
    <w:multiLevelType w:val="hybridMultilevel"/>
    <w:tmpl w:val="E62A90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551F4802"/>
    <w:multiLevelType w:val="hybridMultilevel"/>
    <w:tmpl w:val="4BBCE728"/>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61967B99"/>
    <w:multiLevelType w:val="hybridMultilevel"/>
    <w:tmpl w:val="CC62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25B5D"/>
    <w:multiLevelType w:val="hybridMultilevel"/>
    <w:tmpl w:val="836C4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6B1092"/>
    <w:multiLevelType w:val="hybridMultilevel"/>
    <w:tmpl w:val="1B5E508A"/>
    <w:lvl w:ilvl="0" w:tplc="05C26026">
      <w:numFmt w:val="bullet"/>
      <w:lvlText w:val="-"/>
      <w:lvlJc w:val="left"/>
      <w:pPr>
        <w:ind w:left="720" w:hanging="360"/>
      </w:pPr>
      <w:rPr>
        <w:rFonts w:ascii="Times New Roman" w:eastAsia="MS ??"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06"/>
    <w:rsid w:val="000164D5"/>
    <w:rsid w:val="00021537"/>
    <w:rsid w:val="000257CC"/>
    <w:rsid w:val="000308AD"/>
    <w:rsid w:val="00030F8A"/>
    <w:rsid w:val="000331BF"/>
    <w:rsid w:val="00044B15"/>
    <w:rsid w:val="00045107"/>
    <w:rsid w:val="00051A9D"/>
    <w:rsid w:val="000578CE"/>
    <w:rsid w:val="000623C1"/>
    <w:rsid w:val="00066E31"/>
    <w:rsid w:val="0007405D"/>
    <w:rsid w:val="00086D9D"/>
    <w:rsid w:val="00087E07"/>
    <w:rsid w:val="0009142A"/>
    <w:rsid w:val="00092403"/>
    <w:rsid w:val="00092F9D"/>
    <w:rsid w:val="000933FB"/>
    <w:rsid w:val="000A5CD3"/>
    <w:rsid w:val="000A7125"/>
    <w:rsid w:val="000A75A8"/>
    <w:rsid w:val="000B1D40"/>
    <w:rsid w:val="000B36BC"/>
    <w:rsid w:val="000B42DA"/>
    <w:rsid w:val="000C59CA"/>
    <w:rsid w:val="000D041D"/>
    <w:rsid w:val="000E2449"/>
    <w:rsid w:val="000E6AEF"/>
    <w:rsid w:val="0010021E"/>
    <w:rsid w:val="001032A1"/>
    <w:rsid w:val="001109F2"/>
    <w:rsid w:val="0011317E"/>
    <w:rsid w:val="00116760"/>
    <w:rsid w:val="00117F61"/>
    <w:rsid w:val="001258BD"/>
    <w:rsid w:val="00125EEA"/>
    <w:rsid w:val="00131575"/>
    <w:rsid w:val="00131AA2"/>
    <w:rsid w:val="001321C1"/>
    <w:rsid w:val="001430CD"/>
    <w:rsid w:val="0015376C"/>
    <w:rsid w:val="001544BF"/>
    <w:rsid w:val="0016579E"/>
    <w:rsid w:val="00172030"/>
    <w:rsid w:val="001725FC"/>
    <w:rsid w:val="00172E01"/>
    <w:rsid w:val="00173013"/>
    <w:rsid w:val="00185005"/>
    <w:rsid w:val="00192DB5"/>
    <w:rsid w:val="00195432"/>
    <w:rsid w:val="001A37FE"/>
    <w:rsid w:val="001B1878"/>
    <w:rsid w:val="001B2BE1"/>
    <w:rsid w:val="001C168D"/>
    <w:rsid w:val="001C3FE5"/>
    <w:rsid w:val="001E30D2"/>
    <w:rsid w:val="001E6338"/>
    <w:rsid w:val="00200E5C"/>
    <w:rsid w:val="00204193"/>
    <w:rsid w:val="0020467D"/>
    <w:rsid w:val="00205813"/>
    <w:rsid w:val="00207457"/>
    <w:rsid w:val="002138AE"/>
    <w:rsid w:val="00223F2D"/>
    <w:rsid w:val="00227E0C"/>
    <w:rsid w:val="00233749"/>
    <w:rsid w:val="0024023C"/>
    <w:rsid w:val="00241E5F"/>
    <w:rsid w:val="002474A1"/>
    <w:rsid w:val="00254A6E"/>
    <w:rsid w:val="00256703"/>
    <w:rsid w:val="00257611"/>
    <w:rsid w:val="00266F45"/>
    <w:rsid w:val="00276E5A"/>
    <w:rsid w:val="0027798D"/>
    <w:rsid w:val="002809D9"/>
    <w:rsid w:val="00285966"/>
    <w:rsid w:val="00285F1B"/>
    <w:rsid w:val="00286B62"/>
    <w:rsid w:val="00290169"/>
    <w:rsid w:val="00291DED"/>
    <w:rsid w:val="00297CA9"/>
    <w:rsid w:val="002A36A7"/>
    <w:rsid w:val="002A58A3"/>
    <w:rsid w:val="002A7BB8"/>
    <w:rsid w:val="002B14C6"/>
    <w:rsid w:val="002B46AB"/>
    <w:rsid w:val="002B7D38"/>
    <w:rsid w:val="002C2DB6"/>
    <w:rsid w:val="002C4939"/>
    <w:rsid w:val="002C6249"/>
    <w:rsid w:val="002D72A8"/>
    <w:rsid w:val="002E4166"/>
    <w:rsid w:val="002F3306"/>
    <w:rsid w:val="002F3AD6"/>
    <w:rsid w:val="00301018"/>
    <w:rsid w:val="00302CCC"/>
    <w:rsid w:val="00303BF5"/>
    <w:rsid w:val="00304045"/>
    <w:rsid w:val="00311BB1"/>
    <w:rsid w:val="003126A1"/>
    <w:rsid w:val="00314514"/>
    <w:rsid w:val="003162B5"/>
    <w:rsid w:val="00322CCC"/>
    <w:rsid w:val="00323D66"/>
    <w:rsid w:val="003312EC"/>
    <w:rsid w:val="00331F86"/>
    <w:rsid w:val="003321C0"/>
    <w:rsid w:val="00342E7D"/>
    <w:rsid w:val="00344996"/>
    <w:rsid w:val="003458DE"/>
    <w:rsid w:val="00351943"/>
    <w:rsid w:val="00352469"/>
    <w:rsid w:val="00364FD0"/>
    <w:rsid w:val="00366063"/>
    <w:rsid w:val="00366955"/>
    <w:rsid w:val="00372CA8"/>
    <w:rsid w:val="00374984"/>
    <w:rsid w:val="003820C0"/>
    <w:rsid w:val="00383A2C"/>
    <w:rsid w:val="0038485E"/>
    <w:rsid w:val="003849EC"/>
    <w:rsid w:val="00387667"/>
    <w:rsid w:val="00387CFC"/>
    <w:rsid w:val="003930CC"/>
    <w:rsid w:val="003A0CCE"/>
    <w:rsid w:val="003A3CD7"/>
    <w:rsid w:val="003B0EE1"/>
    <w:rsid w:val="003B4994"/>
    <w:rsid w:val="003B62B0"/>
    <w:rsid w:val="003B76B6"/>
    <w:rsid w:val="003C0BD9"/>
    <w:rsid w:val="003C2B7F"/>
    <w:rsid w:val="003D0DBF"/>
    <w:rsid w:val="003D6A43"/>
    <w:rsid w:val="003E1079"/>
    <w:rsid w:val="003E2A9C"/>
    <w:rsid w:val="003E5999"/>
    <w:rsid w:val="003E72FC"/>
    <w:rsid w:val="003F0089"/>
    <w:rsid w:val="003F1F1C"/>
    <w:rsid w:val="003F44EB"/>
    <w:rsid w:val="003F5006"/>
    <w:rsid w:val="003F7A64"/>
    <w:rsid w:val="0040045D"/>
    <w:rsid w:val="00402F7E"/>
    <w:rsid w:val="004043C2"/>
    <w:rsid w:val="00407D0E"/>
    <w:rsid w:val="00410DFF"/>
    <w:rsid w:val="00413D78"/>
    <w:rsid w:val="004152E6"/>
    <w:rsid w:val="00434D56"/>
    <w:rsid w:val="00443614"/>
    <w:rsid w:val="00446800"/>
    <w:rsid w:val="00446AE4"/>
    <w:rsid w:val="004578F9"/>
    <w:rsid w:val="00460B9E"/>
    <w:rsid w:val="00466A8D"/>
    <w:rsid w:val="0047375C"/>
    <w:rsid w:val="004744A3"/>
    <w:rsid w:val="004814A9"/>
    <w:rsid w:val="004824E5"/>
    <w:rsid w:val="00484BDC"/>
    <w:rsid w:val="00490374"/>
    <w:rsid w:val="004935FF"/>
    <w:rsid w:val="0049360F"/>
    <w:rsid w:val="004A1141"/>
    <w:rsid w:val="004B0187"/>
    <w:rsid w:val="004B48D3"/>
    <w:rsid w:val="004B4EA9"/>
    <w:rsid w:val="004B7641"/>
    <w:rsid w:val="004B792B"/>
    <w:rsid w:val="004B7CB9"/>
    <w:rsid w:val="004C33CE"/>
    <w:rsid w:val="004E0C93"/>
    <w:rsid w:val="004E16B3"/>
    <w:rsid w:val="004F0F03"/>
    <w:rsid w:val="004F2A05"/>
    <w:rsid w:val="004F3F34"/>
    <w:rsid w:val="00503623"/>
    <w:rsid w:val="00507BE8"/>
    <w:rsid w:val="00507E02"/>
    <w:rsid w:val="00507FDA"/>
    <w:rsid w:val="00510C32"/>
    <w:rsid w:val="00516AF3"/>
    <w:rsid w:val="005241F9"/>
    <w:rsid w:val="00526B86"/>
    <w:rsid w:val="00536F91"/>
    <w:rsid w:val="00545285"/>
    <w:rsid w:val="00545FC0"/>
    <w:rsid w:val="00546B7A"/>
    <w:rsid w:val="00550FA3"/>
    <w:rsid w:val="00552F64"/>
    <w:rsid w:val="00553029"/>
    <w:rsid w:val="00554608"/>
    <w:rsid w:val="00557839"/>
    <w:rsid w:val="0057743D"/>
    <w:rsid w:val="005848C3"/>
    <w:rsid w:val="0058565F"/>
    <w:rsid w:val="00591542"/>
    <w:rsid w:val="00593C9B"/>
    <w:rsid w:val="00593F90"/>
    <w:rsid w:val="0059630A"/>
    <w:rsid w:val="005A0588"/>
    <w:rsid w:val="005A2C5C"/>
    <w:rsid w:val="005A5AE6"/>
    <w:rsid w:val="005B56A2"/>
    <w:rsid w:val="005D1B58"/>
    <w:rsid w:val="005D68D9"/>
    <w:rsid w:val="005F75B4"/>
    <w:rsid w:val="00602095"/>
    <w:rsid w:val="00606F8D"/>
    <w:rsid w:val="006114C8"/>
    <w:rsid w:val="00613BD1"/>
    <w:rsid w:val="006236D1"/>
    <w:rsid w:val="00627386"/>
    <w:rsid w:val="00634970"/>
    <w:rsid w:val="00637330"/>
    <w:rsid w:val="0064140D"/>
    <w:rsid w:val="00652F2F"/>
    <w:rsid w:val="00657157"/>
    <w:rsid w:val="00661DCE"/>
    <w:rsid w:val="00675F8A"/>
    <w:rsid w:val="00683425"/>
    <w:rsid w:val="00683A92"/>
    <w:rsid w:val="00683C93"/>
    <w:rsid w:val="00683D76"/>
    <w:rsid w:val="00684E71"/>
    <w:rsid w:val="00690FD5"/>
    <w:rsid w:val="00691045"/>
    <w:rsid w:val="00692457"/>
    <w:rsid w:val="00692E3F"/>
    <w:rsid w:val="00693730"/>
    <w:rsid w:val="00693AD8"/>
    <w:rsid w:val="00694721"/>
    <w:rsid w:val="006A211E"/>
    <w:rsid w:val="006C5133"/>
    <w:rsid w:val="006D1CA0"/>
    <w:rsid w:val="006D556E"/>
    <w:rsid w:val="006E0559"/>
    <w:rsid w:val="006E095E"/>
    <w:rsid w:val="006E3F14"/>
    <w:rsid w:val="006E7436"/>
    <w:rsid w:val="006F01CB"/>
    <w:rsid w:val="006F5120"/>
    <w:rsid w:val="006F6030"/>
    <w:rsid w:val="006F71F5"/>
    <w:rsid w:val="007016E9"/>
    <w:rsid w:val="007026B6"/>
    <w:rsid w:val="0070674F"/>
    <w:rsid w:val="0071144B"/>
    <w:rsid w:val="0071166A"/>
    <w:rsid w:val="00711807"/>
    <w:rsid w:val="00712AAC"/>
    <w:rsid w:val="00717D7C"/>
    <w:rsid w:val="0072366A"/>
    <w:rsid w:val="007243C8"/>
    <w:rsid w:val="007318CF"/>
    <w:rsid w:val="007371F2"/>
    <w:rsid w:val="00744FE6"/>
    <w:rsid w:val="00745EE1"/>
    <w:rsid w:val="00753EE2"/>
    <w:rsid w:val="007562AF"/>
    <w:rsid w:val="007606EA"/>
    <w:rsid w:val="00773B55"/>
    <w:rsid w:val="00774B9D"/>
    <w:rsid w:val="007750E3"/>
    <w:rsid w:val="00775B10"/>
    <w:rsid w:val="00781883"/>
    <w:rsid w:val="0078339E"/>
    <w:rsid w:val="007842D4"/>
    <w:rsid w:val="00785312"/>
    <w:rsid w:val="0078562A"/>
    <w:rsid w:val="00785FBF"/>
    <w:rsid w:val="00793B23"/>
    <w:rsid w:val="00793D72"/>
    <w:rsid w:val="007944E9"/>
    <w:rsid w:val="007953DF"/>
    <w:rsid w:val="007A0110"/>
    <w:rsid w:val="007A079F"/>
    <w:rsid w:val="007A24CF"/>
    <w:rsid w:val="007A67C3"/>
    <w:rsid w:val="007B13F6"/>
    <w:rsid w:val="007C1759"/>
    <w:rsid w:val="007C1F4C"/>
    <w:rsid w:val="007C69E6"/>
    <w:rsid w:val="007D1695"/>
    <w:rsid w:val="007D1AE4"/>
    <w:rsid w:val="007D30B3"/>
    <w:rsid w:val="007D74A7"/>
    <w:rsid w:val="007E1B06"/>
    <w:rsid w:val="007E52E2"/>
    <w:rsid w:val="007F66A3"/>
    <w:rsid w:val="007F6F68"/>
    <w:rsid w:val="007F7C8F"/>
    <w:rsid w:val="00806856"/>
    <w:rsid w:val="00820A9B"/>
    <w:rsid w:val="00823192"/>
    <w:rsid w:val="008234F4"/>
    <w:rsid w:val="00825272"/>
    <w:rsid w:val="008275B0"/>
    <w:rsid w:val="00837C51"/>
    <w:rsid w:val="00855E27"/>
    <w:rsid w:val="008609E9"/>
    <w:rsid w:val="00863F50"/>
    <w:rsid w:val="008648D1"/>
    <w:rsid w:val="008713CB"/>
    <w:rsid w:val="0087157A"/>
    <w:rsid w:val="008719A7"/>
    <w:rsid w:val="008755A7"/>
    <w:rsid w:val="0088201C"/>
    <w:rsid w:val="00882517"/>
    <w:rsid w:val="00883116"/>
    <w:rsid w:val="00896B08"/>
    <w:rsid w:val="0089713E"/>
    <w:rsid w:val="008B213C"/>
    <w:rsid w:val="008B37B2"/>
    <w:rsid w:val="008C46FE"/>
    <w:rsid w:val="008D3A37"/>
    <w:rsid w:val="008D5B55"/>
    <w:rsid w:val="008D7D08"/>
    <w:rsid w:val="008F1D9D"/>
    <w:rsid w:val="008F6933"/>
    <w:rsid w:val="009017B0"/>
    <w:rsid w:val="00907408"/>
    <w:rsid w:val="00914D43"/>
    <w:rsid w:val="00914E50"/>
    <w:rsid w:val="0091598A"/>
    <w:rsid w:val="0092274C"/>
    <w:rsid w:val="00922EF4"/>
    <w:rsid w:val="0092676C"/>
    <w:rsid w:val="00932C5F"/>
    <w:rsid w:val="00951D7C"/>
    <w:rsid w:val="0095465B"/>
    <w:rsid w:val="00956B41"/>
    <w:rsid w:val="009642AF"/>
    <w:rsid w:val="00964C4E"/>
    <w:rsid w:val="00984D20"/>
    <w:rsid w:val="009913A2"/>
    <w:rsid w:val="009941DC"/>
    <w:rsid w:val="00997E96"/>
    <w:rsid w:val="009A24AA"/>
    <w:rsid w:val="009A728A"/>
    <w:rsid w:val="009B1CEB"/>
    <w:rsid w:val="009B4D1E"/>
    <w:rsid w:val="009C739A"/>
    <w:rsid w:val="009D50BF"/>
    <w:rsid w:val="009D565B"/>
    <w:rsid w:val="009E2C0A"/>
    <w:rsid w:val="009F0D5C"/>
    <w:rsid w:val="009F0DE5"/>
    <w:rsid w:val="009F7D30"/>
    <w:rsid w:val="00A02B4B"/>
    <w:rsid w:val="00A1486A"/>
    <w:rsid w:val="00A228CF"/>
    <w:rsid w:val="00A2462E"/>
    <w:rsid w:val="00A27741"/>
    <w:rsid w:val="00A31237"/>
    <w:rsid w:val="00A318B6"/>
    <w:rsid w:val="00A46739"/>
    <w:rsid w:val="00A5160B"/>
    <w:rsid w:val="00A53316"/>
    <w:rsid w:val="00A57C89"/>
    <w:rsid w:val="00A6193D"/>
    <w:rsid w:val="00A619EA"/>
    <w:rsid w:val="00A66CBF"/>
    <w:rsid w:val="00A706C0"/>
    <w:rsid w:val="00A745B5"/>
    <w:rsid w:val="00A74E26"/>
    <w:rsid w:val="00A779B1"/>
    <w:rsid w:val="00A80CD8"/>
    <w:rsid w:val="00A835FA"/>
    <w:rsid w:val="00A86BFA"/>
    <w:rsid w:val="00A9131C"/>
    <w:rsid w:val="00A9150C"/>
    <w:rsid w:val="00A95965"/>
    <w:rsid w:val="00AB2EF2"/>
    <w:rsid w:val="00AC018A"/>
    <w:rsid w:val="00AC3396"/>
    <w:rsid w:val="00AD06E7"/>
    <w:rsid w:val="00AD490D"/>
    <w:rsid w:val="00AD7687"/>
    <w:rsid w:val="00AE08FF"/>
    <w:rsid w:val="00AE67E9"/>
    <w:rsid w:val="00AF1EAD"/>
    <w:rsid w:val="00AF3A75"/>
    <w:rsid w:val="00AF4723"/>
    <w:rsid w:val="00AF5795"/>
    <w:rsid w:val="00AF6FCB"/>
    <w:rsid w:val="00B00041"/>
    <w:rsid w:val="00B04A05"/>
    <w:rsid w:val="00B105C7"/>
    <w:rsid w:val="00B1062A"/>
    <w:rsid w:val="00B106A9"/>
    <w:rsid w:val="00B10C3D"/>
    <w:rsid w:val="00B176E4"/>
    <w:rsid w:val="00B276F8"/>
    <w:rsid w:val="00B30017"/>
    <w:rsid w:val="00B31664"/>
    <w:rsid w:val="00B316E6"/>
    <w:rsid w:val="00B349EB"/>
    <w:rsid w:val="00B35039"/>
    <w:rsid w:val="00B431DB"/>
    <w:rsid w:val="00B452C4"/>
    <w:rsid w:val="00B510E1"/>
    <w:rsid w:val="00B523D0"/>
    <w:rsid w:val="00B612C6"/>
    <w:rsid w:val="00B6321C"/>
    <w:rsid w:val="00B64136"/>
    <w:rsid w:val="00B73619"/>
    <w:rsid w:val="00B73C9E"/>
    <w:rsid w:val="00B73D41"/>
    <w:rsid w:val="00B754B0"/>
    <w:rsid w:val="00B80D36"/>
    <w:rsid w:val="00B87427"/>
    <w:rsid w:val="00B93881"/>
    <w:rsid w:val="00B94B40"/>
    <w:rsid w:val="00B95A22"/>
    <w:rsid w:val="00B96087"/>
    <w:rsid w:val="00B966C4"/>
    <w:rsid w:val="00B97077"/>
    <w:rsid w:val="00B974B6"/>
    <w:rsid w:val="00BA2EBA"/>
    <w:rsid w:val="00BA3AFF"/>
    <w:rsid w:val="00BA71FB"/>
    <w:rsid w:val="00BB6F0F"/>
    <w:rsid w:val="00BC1BC3"/>
    <w:rsid w:val="00BD3EE4"/>
    <w:rsid w:val="00BE0B62"/>
    <w:rsid w:val="00BE657F"/>
    <w:rsid w:val="00BF4533"/>
    <w:rsid w:val="00BF4802"/>
    <w:rsid w:val="00C02078"/>
    <w:rsid w:val="00C03C79"/>
    <w:rsid w:val="00C07810"/>
    <w:rsid w:val="00C162FC"/>
    <w:rsid w:val="00C20FAD"/>
    <w:rsid w:val="00C23B8A"/>
    <w:rsid w:val="00C24D29"/>
    <w:rsid w:val="00C3260B"/>
    <w:rsid w:val="00C32EE1"/>
    <w:rsid w:val="00C50AA3"/>
    <w:rsid w:val="00C62B35"/>
    <w:rsid w:val="00C63D04"/>
    <w:rsid w:val="00C641E7"/>
    <w:rsid w:val="00C65FE1"/>
    <w:rsid w:val="00C728D7"/>
    <w:rsid w:val="00C7528E"/>
    <w:rsid w:val="00C76D40"/>
    <w:rsid w:val="00C77725"/>
    <w:rsid w:val="00C81353"/>
    <w:rsid w:val="00C8361D"/>
    <w:rsid w:val="00C84FE9"/>
    <w:rsid w:val="00C908AF"/>
    <w:rsid w:val="00C90E7D"/>
    <w:rsid w:val="00C95B3F"/>
    <w:rsid w:val="00CA77D7"/>
    <w:rsid w:val="00CB1CBD"/>
    <w:rsid w:val="00CB4815"/>
    <w:rsid w:val="00CB7E12"/>
    <w:rsid w:val="00CC2C3E"/>
    <w:rsid w:val="00CC7AFC"/>
    <w:rsid w:val="00CE1ABB"/>
    <w:rsid w:val="00CF3C57"/>
    <w:rsid w:val="00D02798"/>
    <w:rsid w:val="00D02E00"/>
    <w:rsid w:val="00D04A7D"/>
    <w:rsid w:val="00D05C4A"/>
    <w:rsid w:val="00D103CD"/>
    <w:rsid w:val="00D106AD"/>
    <w:rsid w:val="00D2262B"/>
    <w:rsid w:val="00D247CE"/>
    <w:rsid w:val="00D301A2"/>
    <w:rsid w:val="00D307DF"/>
    <w:rsid w:val="00D31801"/>
    <w:rsid w:val="00D40C70"/>
    <w:rsid w:val="00D41227"/>
    <w:rsid w:val="00D42290"/>
    <w:rsid w:val="00D45B2C"/>
    <w:rsid w:val="00D537E1"/>
    <w:rsid w:val="00D56908"/>
    <w:rsid w:val="00D61C25"/>
    <w:rsid w:val="00D94336"/>
    <w:rsid w:val="00DA5408"/>
    <w:rsid w:val="00DB49BC"/>
    <w:rsid w:val="00DB60FB"/>
    <w:rsid w:val="00DB7D5A"/>
    <w:rsid w:val="00DD0D70"/>
    <w:rsid w:val="00DD5B3B"/>
    <w:rsid w:val="00DD6A81"/>
    <w:rsid w:val="00DE08F1"/>
    <w:rsid w:val="00DE2FBF"/>
    <w:rsid w:val="00DF160C"/>
    <w:rsid w:val="00DF627D"/>
    <w:rsid w:val="00E02060"/>
    <w:rsid w:val="00E10A7B"/>
    <w:rsid w:val="00E30804"/>
    <w:rsid w:val="00E44DA4"/>
    <w:rsid w:val="00E61E84"/>
    <w:rsid w:val="00E62365"/>
    <w:rsid w:val="00E6360E"/>
    <w:rsid w:val="00E65846"/>
    <w:rsid w:val="00E71BE7"/>
    <w:rsid w:val="00E75552"/>
    <w:rsid w:val="00E76D75"/>
    <w:rsid w:val="00E81054"/>
    <w:rsid w:val="00E81517"/>
    <w:rsid w:val="00E816D8"/>
    <w:rsid w:val="00E87519"/>
    <w:rsid w:val="00EA7627"/>
    <w:rsid w:val="00EB3D95"/>
    <w:rsid w:val="00EC32A8"/>
    <w:rsid w:val="00EC4050"/>
    <w:rsid w:val="00EC45CB"/>
    <w:rsid w:val="00EC5E1D"/>
    <w:rsid w:val="00EC64F3"/>
    <w:rsid w:val="00ED1E10"/>
    <w:rsid w:val="00EF007D"/>
    <w:rsid w:val="00EF2243"/>
    <w:rsid w:val="00EF3831"/>
    <w:rsid w:val="00EF4C8E"/>
    <w:rsid w:val="00EF6CA9"/>
    <w:rsid w:val="00EF7108"/>
    <w:rsid w:val="00F050ED"/>
    <w:rsid w:val="00F05E55"/>
    <w:rsid w:val="00F0775E"/>
    <w:rsid w:val="00F07B06"/>
    <w:rsid w:val="00F07D42"/>
    <w:rsid w:val="00F129A7"/>
    <w:rsid w:val="00F15580"/>
    <w:rsid w:val="00F23B7A"/>
    <w:rsid w:val="00F270B1"/>
    <w:rsid w:val="00F278E8"/>
    <w:rsid w:val="00F27C9A"/>
    <w:rsid w:val="00F41EFD"/>
    <w:rsid w:val="00F458C6"/>
    <w:rsid w:val="00F51E75"/>
    <w:rsid w:val="00F534C7"/>
    <w:rsid w:val="00F6448A"/>
    <w:rsid w:val="00F70D3B"/>
    <w:rsid w:val="00F91AD1"/>
    <w:rsid w:val="00F952DB"/>
    <w:rsid w:val="00F95619"/>
    <w:rsid w:val="00F959F0"/>
    <w:rsid w:val="00FB6231"/>
    <w:rsid w:val="00FB71FA"/>
    <w:rsid w:val="00FB79A8"/>
    <w:rsid w:val="00FC2980"/>
    <w:rsid w:val="00FC2BD1"/>
    <w:rsid w:val="00FC4DB4"/>
    <w:rsid w:val="00FC6579"/>
    <w:rsid w:val="00FD307D"/>
    <w:rsid w:val="00FE6B87"/>
    <w:rsid w:val="00FE6F54"/>
    <w:rsid w:val="00FE74A4"/>
    <w:rsid w:val="00FF18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EB1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CEB"/>
    <w:rPr>
      <w:rFonts w:ascii="Cambria" w:eastAsia="MS ??" w:hAnsi="Cambria"/>
      <w:noProof/>
      <w:sz w:val="24"/>
      <w:szCs w:val="24"/>
    </w:rPr>
  </w:style>
  <w:style w:type="paragraph" w:styleId="Heading1">
    <w:name w:val="heading 1"/>
    <w:basedOn w:val="Normal"/>
    <w:next w:val="Normal"/>
    <w:qFormat/>
    <w:rsid w:val="009B1CEB"/>
    <w:pPr>
      <w:keepNext/>
      <w:spacing w:line="480" w:lineRule="auto"/>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9B1CEB"/>
    <w:rPr>
      <w:rFonts w:ascii="Cambria" w:hAnsi="Cambria" w:cs="Cambria"/>
      <w:b/>
      <w:bCs/>
      <w:kern w:val="32"/>
      <w:sz w:val="32"/>
      <w:szCs w:val="32"/>
    </w:rPr>
  </w:style>
  <w:style w:type="paragraph" w:styleId="NormalWeb">
    <w:name w:val="Normal (Web)"/>
    <w:basedOn w:val="Normal"/>
    <w:semiHidden/>
    <w:rsid w:val="009B1CEB"/>
    <w:pPr>
      <w:spacing w:before="100" w:beforeAutospacing="1" w:after="100" w:afterAutospacing="1"/>
    </w:pPr>
    <w:rPr>
      <w:rFonts w:ascii="Times" w:hAnsi="Times" w:cs="Times"/>
      <w:sz w:val="20"/>
      <w:szCs w:val="20"/>
    </w:rPr>
  </w:style>
  <w:style w:type="paragraph" w:styleId="Header">
    <w:name w:val="header"/>
    <w:basedOn w:val="Normal"/>
    <w:semiHidden/>
    <w:rsid w:val="009B1CEB"/>
    <w:pPr>
      <w:tabs>
        <w:tab w:val="center" w:pos="4320"/>
        <w:tab w:val="right" w:pos="8640"/>
      </w:tabs>
    </w:pPr>
  </w:style>
  <w:style w:type="character" w:customStyle="1" w:styleId="HeaderChar">
    <w:name w:val="Header Char"/>
    <w:rsid w:val="009B1CEB"/>
    <w:rPr>
      <w:rFonts w:ascii="Times New Roman" w:hAnsi="Times New Roman" w:cs="Times New Roman"/>
    </w:rPr>
  </w:style>
  <w:style w:type="paragraph" w:styleId="Footer">
    <w:name w:val="footer"/>
    <w:basedOn w:val="Normal"/>
    <w:semiHidden/>
    <w:rsid w:val="009B1CEB"/>
    <w:pPr>
      <w:tabs>
        <w:tab w:val="center" w:pos="4320"/>
        <w:tab w:val="right" w:pos="8640"/>
      </w:tabs>
    </w:pPr>
  </w:style>
  <w:style w:type="character" w:customStyle="1" w:styleId="FooterChar">
    <w:name w:val="Footer Char"/>
    <w:rsid w:val="009B1CEB"/>
    <w:rPr>
      <w:rFonts w:ascii="Times New Roman" w:hAnsi="Times New Roman" w:cs="Times New Roman"/>
    </w:rPr>
  </w:style>
  <w:style w:type="character" w:styleId="PageNumber">
    <w:name w:val="page number"/>
    <w:semiHidden/>
    <w:rsid w:val="009B1CEB"/>
    <w:rPr>
      <w:rFonts w:ascii="Times New Roman" w:hAnsi="Times New Roman" w:cs="Times New Roman"/>
    </w:rPr>
  </w:style>
  <w:style w:type="paragraph" w:styleId="BalloonText">
    <w:name w:val="Balloon Text"/>
    <w:basedOn w:val="Normal"/>
    <w:rsid w:val="009B1CEB"/>
    <w:rPr>
      <w:rFonts w:ascii="Lucida Grande" w:hAnsi="Lucida Grande"/>
      <w:sz w:val="18"/>
      <w:szCs w:val="18"/>
    </w:rPr>
  </w:style>
  <w:style w:type="character" w:customStyle="1" w:styleId="BalloonTextChar">
    <w:name w:val="Balloon Text Char"/>
    <w:rsid w:val="009B1CEB"/>
    <w:rPr>
      <w:rFonts w:ascii="Lucida Grande" w:hAnsi="Lucida Grande" w:cs="Lucida Grande"/>
      <w:sz w:val="18"/>
      <w:szCs w:val="18"/>
    </w:rPr>
  </w:style>
  <w:style w:type="paragraph" w:styleId="ListParagraph">
    <w:name w:val="List Paragraph"/>
    <w:basedOn w:val="Normal"/>
    <w:qFormat/>
    <w:rsid w:val="009B1CEB"/>
    <w:pPr>
      <w:ind w:left="720"/>
    </w:pPr>
  </w:style>
  <w:style w:type="character" w:styleId="CommentReference">
    <w:name w:val="annotation reference"/>
    <w:uiPriority w:val="99"/>
    <w:rsid w:val="009B1CEB"/>
    <w:rPr>
      <w:rFonts w:ascii="Times New Roman" w:hAnsi="Times New Roman" w:cs="Times New Roman"/>
      <w:sz w:val="16"/>
      <w:szCs w:val="16"/>
    </w:rPr>
  </w:style>
  <w:style w:type="paragraph" w:styleId="CommentText">
    <w:name w:val="annotation text"/>
    <w:basedOn w:val="Normal"/>
    <w:link w:val="CommentTextChar1"/>
    <w:uiPriority w:val="99"/>
    <w:rsid w:val="009B1CEB"/>
    <w:rPr>
      <w:sz w:val="20"/>
      <w:szCs w:val="20"/>
    </w:rPr>
  </w:style>
  <w:style w:type="character" w:customStyle="1" w:styleId="CommentTextChar">
    <w:name w:val="Comment Text Char"/>
    <w:uiPriority w:val="99"/>
    <w:rsid w:val="009B1CEB"/>
    <w:rPr>
      <w:rFonts w:ascii="Times New Roman" w:hAnsi="Times New Roman" w:cs="Times New Roman"/>
      <w:sz w:val="20"/>
      <w:szCs w:val="20"/>
    </w:rPr>
  </w:style>
  <w:style w:type="paragraph" w:customStyle="1" w:styleId="CommentSubject1">
    <w:name w:val="Comment Subject1"/>
    <w:basedOn w:val="CommentText"/>
    <w:next w:val="CommentText"/>
    <w:rsid w:val="009B1CEB"/>
    <w:rPr>
      <w:b/>
      <w:bCs/>
    </w:rPr>
  </w:style>
  <w:style w:type="character" w:customStyle="1" w:styleId="CommentSubjectChar">
    <w:name w:val="Comment Subject Char"/>
    <w:rsid w:val="009B1CEB"/>
    <w:rPr>
      <w:rFonts w:ascii="Times New Roman" w:hAnsi="Times New Roman" w:cs="Times New Roman"/>
      <w:b/>
      <w:bCs/>
      <w:sz w:val="20"/>
      <w:szCs w:val="20"/>
    </w:rPr>
  </w:style>
  <w:style w:type="character" w:styleId="Hyperlink">
    <w:name w:val="Hyperlink"/>
    <w:uiPriority w:val="99"/>
    <w:rsid w:val="009B1CEB"/>
    <w:rPr>
      <w:rFonts w:ascii="Times New Roman" w:hAnsi="Times New Roman" w:cs="Times New Roman"/>
      <w:color w:val="0000FF"/>
      <w:u w:val="single"/>
    </w:rPr>
  </w:style>
  <w:style w:type="paragraph" w:styleId="Caption">
    <w:name w:val="caption"/>
    <w:basedOn w:val="Normal"/>
    <w:next w:val="Normal"/>
    <w:qFormat/>
    <w:rsid w:val="009B1CEB"/>
    <w:pPr>
      <w:spacing w:line="480" w:lineRule="auto"/>
    </w:pPr>
    <w:rPr>
      <w:rFonts w:ascii="Times New Roman" w:hAnsi="Times New Roman"/>
    </w:rPr>
  </w:style>
  <w:style w:type="paragraph" w:styleId="BodyTextIndent">
    <w:name w:val="Body Text Indent"/>
    <w:basedOn w:val="Normal"/>
    <w:semiHidden/>
    <w:rsid w:val="009B1CEB"/>
    <w:pPr>
      <w:spacing w:line="480" w:lineRule="auto"/>
      <w:ind w:firstLine="720"/>
    </w:pPr>
    <w:rPr>
      <w:rFonts w:ascii="Times New Roman" w:hAnsi="Times New Roman"/>
      <w:b/>
      <w:bCs/>
      <w:color w:val="008000"/>
    </w:rPr>
  </w:style>
  <w:style w:type="table" w:styleId="TableGrid">
    <w:name w:val="Table Grid"/>
    <w:basedOn w:val="TableNormal"/>
    <w:uiPriority w:val="59"/>
    <w:rsid w:val="007F7C8F"/>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109F2"/>
    <w:rPr>
      <w:color w:val="954F72"/>
      <w:u w:val="single"/>
    </w:rPr>
  </w:style>
  <w:style w:type="paragraph" w:styleId="CommentSubject">
    <w:name w:val="annotation subject"/>
    <w:basedOn w:val="CommentText"/>
    <w:next w:val="CommentText"/>
    <w:link w:val="CommentSubjectChar1"/>
    <w:uiPriority w:val="99"/>
    <w:semiHidden/>
    <w:unhideWhenUsed/>
    <w:rsid w:val="00692457"/>
    <w:rPr>
      <w:b/>
      <w:bCs/>
    </w:rPr>
  </w:style>
  <w:style w:type="character" w:customStyle="1" w:styleId="CommentTextChar1">
    <w:name w:val="Comment Text Char1"/>
    <w:link w:val="CommentText"/>
    <w:uiPriority w:val="99"/>
    <w:rsid w:val="00692457"/>
    <w:rPr>
      <w:rFonts w:ascii="Cambria" w:eastAsia="MS ??" w:hAnsi="Cambria"/>
      <w:noProof/>
      <w:lang w:val="en-US"/>
    </w:rPr>
  </w:style>
  <w:style w:type="character" w:customStyle="1" w:styleId="CommentSubjectChar1">
    <w:name w:val="Comment Subject Char1"/>
    <w:link w:val="CommentSubject"/>
    <w:uiPriority w:val="99"/>
    <w:semiHidden/>
    <w:rsid w:val="00692457"/>
    <w:rPr>
      <w:rFonts w:ascii="Cambria" w:eastAsia="MS ??" w:hAnsi="Cambria"/>
      <w:b/>
      <w:bCs/>
      <w:noProof/>
      <w:lang w:val="en-US"/>
    </w:rPr>
  </w:style>
  <w:style w:type="paragraph" w:styleId="FootnoteText">
    <w:name w:val="footnote text"/>
    <w:basedOn w:val="Normal"/>
    <w:link w:val="FootnoteTextChar"/>
    <w:uiPriority w:val="99"/>
    <w:unhideWhenUsed/>
    <w:rsid w:val="00364FD0"/>
  </w:style>
  <w:style w:type="character" w:customStyle="1" w:styleId="FootnoteTextChar">
    <w:name w:val="Footnote Text Char"/>
    <w:basedOn w:val="DefaultParagraphFont"/>
    <w:link w:val="FootnoteText"/>
    <w:uiPriority w:val="99"/>
    <w:rsid w:val="00364FD0"/>
    <w:rPr>
      <w:rFonts w:ascii="Cambria" w:eastAsia="MS ??" w:hAnsi="Cambria"/>
      <w:noProof/>
      <w:sz w:val="24"/>
      <w:szCs w:val="24"/>
    </w:rPr>
  </w:style>
  <w:style w:type="character" w:styleId="FootnoteReference">
    <w:name w:val="footnote reference"/>
    <w:basedOn w:val="DefaultParagraphFont"/>
    <w:uiPriority w:val="99"/>
    <w:unhideWhenUsed/>
    <w:rsid w:val="00364FD0"/>
    <w:rPr>
      <w:vertAlign w:val="superscript"/>
    </w:rPr>
  </w:style>
  <w:style w:type="character" w:customStyle="1" w:styleId="s1">
    <w:name w:val="s1"/>
    <w:basedOn w:val="DefaultParagraphFont"/>
    <w:rsid w:val="00364FD0"/>
  </w:style>
  <w:style w:type="paragraph" w:styleId="Revision">
    <w:name w:val="Revision"/>
    <w:hidden/>
    <w:uiPriority w:val="99"/>
    <w:semiHidden/>
    <w:rsid w:val="007A079F"/>
    <w:rPr>
      <w:rFonts w:ascii="Cambria" w:eastAsia="MS ??" w:hAnsi="Cambria"/>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6149">
      <w:bodyDiv w:val="1"/>
      <w:marLeft w:val="0"/>
      <w:marRight w:val="0"/>
      <w:marTop w:val="0"/>
      <w:marBottom w:val="0"/>
      <w:divBdr>
        <w:top w:val="none" w:sz="0" w:space="0" w:color="auto"/>
        <w:left w:val="none" w:sz="0" w:space="0" w:color="auto"/>
        <w:bottom w:val="none" w:sz="0" w:space="0" w:color="auto"/>
        <w:right w:val="none" w:sz="0" w:space="0" w:color="auto"/>
      </w:divBdr>
    </w:div>
    <w:div w:id="139688767">
      <w:bodyDiv w:val="1"/>
      <w:marLeft w:val="0"/>
      <w:marRight w:val="0"/>
      <w:marTop w:val="0"/>
      <w:marBottom w:val="0"/>
      <w:divBdr>
        <w:top w:val="none" w:sz="0" w:space="0" w:color="auto"/>
        <w:left w:val="none" w:sz="0" w:space="0" w:color="auto"/>
        <w:bottom w:val="none" w:sz="0" w:space="0" w:color="auto"/>
        <w:right w:val="none" w:sz="0" w:space="0" w:color="auto"/>
      </w:divBdr>
    </w:div>
    <w:div w:id="147790889">
      <w:bodyDiv w:val="1"/>
      <w:marLeft w:val="0"/>
      <w:marRight w:val="0"/>
      <w:marTop w:val="0"/>
      <w:marBottom w:val="0"/>
      <w:divBdr>
        <w:top w:val="none" w:sz="0" w:space="0" w:color="auto"/>
        <w:left w:val="none" w:sz="0" w:space="0" w:color="auto"/>
        <w:bottom w:val="none" w:sz="0" w:space="0" w:color="auto"/>
        <w:right w:val="none" w:sz="0" w:space="0" w:color="auto"/>
      </w:divBdr>
    </w:div>
    <w:div w:id="283079742">
      <w:bodyDiv w:val="1"/>
      <w:marLeft w:val="0"/>
      <w:marRight w:val="0"/>
      <w:marTop w:val="0"/>
      <w:marBottom w:val="0"/>
      <w:divBdr>
        <w:top w:val="none" w:sz="0" w:space="0" w:color="auto"/>
        <w:left w:val="none" w:sz="0" w:space="0" w:color="auto"/>
        <w:bottom w:val="none" w:sz="0" w:space="0" w:color="auto"/>
        <w:right w:val="none" w:sz="0" w:space="0" w:color="auto"/>
      </w:divBdr>
    </w:div>
    <w:div w:id="287472574">
      <w:bodyDiv w:val="1"/>
      <w:marLeft w:val="0"/>
      <w:marRight w:val="0"/>
      <w:marTop w:val="0"/>
      <w:marBottom w:val="0"/>
      <w:divBdr>
        <w:top w:val="none" w:sz="0" w:space="0" w:color="auto"/>
        <w:left w:val="none" w:sz="0" w:space="0" w:color="auto"/>
        <w:bottom w:val="none" w:sz="0" w:space="0" w:color="auto"/>
        <w:right w:val="none" w:sz="0" w:space="0" w:color="auto"/>
      </w:divBdr>
    </w:div>
    <w:div w:id="384109853">
      <w:bodyDiv w:val="1"/>
      <w:marLeft w:val="0"/>
      <w:marRight w:val="0"/>
      <w:marTop w:val="0"/>
      <w:marBottom w:val="0"/>
      <w:divBdr>
        <w:top w:val="none" w:sz="0" w:space="0" w:color="auto"/>
        <w:left w:val="none" w:sz="0" w:space="0" w:color="auto"/>
        <w:bottom w:val="none" w:sz="0" w:space="0" w:color="auto"/>
        <w:right w:val="none" w:sz="0" w:space="0" w:color="auto"/>
      </w:divBdr>
    </w:div>
    <w:div w:id="406810233">
      <w:bodyDiv w:val="1"/>
      <w:marLeft w:val="0"/>
      <w:marRight w:val="0"/>
      <w:marTop w:val="0"/>
      <w:marBottom w:val="0"/>
      <w:divBdr>
        <w:top w:val="none" w:sz="0" w:space="0" w:color="auto"/>
        <w:left w:val="none" w:sz="0" w:space="0" w:color="auto"/>
        <w:bottom w:val="none" w:sz="0" w:space="0" w:color="auto"/>
        <w:right w:val="none" w:sz="0" w:space="0" w:color="auto"/>
      </w:divBdr>
    </w:div>
    <w:div w:id="508567116">
      <w:bodyDiv w:val="1"/>
      <w:marLeft w:val="0"/>
      <w:marRight w:val="0"/>
      <w:marTop w:val="0"/>
      <w:marBottom w:val="0"/>
      <w:divBdr>
        <w:top w:val="none" w:sz="0" w:space="0" w:color="auto"/>
        <w:left w:val="none" w:sz="0" w:space="0" w:color="auto"/>
        <w:bottom w:val="none" w:sz="0" w:space="0" w:color="auto"/>
        <w:right w:val="none" w:sz="0" w:space="0" w:color="auto"/>
      </w:divBdr>
    </w:div>
    <w:div w:id="515846316">
      <w:bodyDiv w:val="1"/>
      <w:marLeft w:val="0"/>
      <w:marRight w:val="0"/>
      <w:marTop w:val="0"/>
      <w:marBottom w:val="0"/>
      <w:divBdr>
        <w:top w:val="none" w:sz="0" w:space="0" w:color="auto"/>
        <w:left w:val="none" w:sz="0" w:space="0" w:color="auto"/>
        <w:bottom w:val="none" w:sz="0" w:space="0" w:color="auto"/>
        <w:right w:val="none" w:sz="0" w:space="0" w:color="auto"/>
      </w:divBdr>
    </w:div>
    <w:div w:id="516424715">
      <w:bodyDiv w:val="1"/>
      <w:marLeft w:val="0"/>
      <w:marRight w:val="0"/>
      <w:marTop w:val="0"/>
      <w:marBottom w:val="0"/>
      <w:divBdr>
        <w:top w:val="none" w:sz="0" w:space="0" w:color="auto"/>
        <w:left w:val="none" w:sz="0" w:space="0" w:color="auto"/>
        <w:bottom w:val="none" w:sz="0" w:space="0" w:color="auto"/>
        <w:right w:val="none" w:sz="0" w:space="0" w:color="auto"/>
      </w:divBdr>
    </w:div>
    <w:div w:id="793333074">
      <w:bodyDiv w:val="1"/>
      <w:marLeft w:val="0"/>
      <w:marRight w:val="0"/>
      <w:marTop w:val="0"/>
      <w:marBottom w:val="0"/>
      <w:divBdr>
        <w:top w:val="none" w:sz="0" w:space="0" w:color="auto"/>
        <w:left w:val="none" w:sz="0" w:space="0" w:color="auto"/>
        <w:bottom w:val="none" w:sz="0" w:space="0" w:color="auto"/>
        <w:right w:val="none" w:sz="0" w:space="0" w:color="auto"/>
      </w:divBdr>
    </w:div>
    <w:div w:id="815609089">
      <w:bodyDiv w:val="1"/>
      <w:marLeft w:val="0"/>
      <w:marRight w:val="0"/>
      <w:marTop w:val="0"/>
      <w:marBottom w:val="0"/>
      <w:divBdr>
        <w:top w:val="none" w:sz="0" w:space="0" w:color="auto"/>
        <w:left w:val="none" w:sz="0" w:space="0" w:color="auto"/>
        <w:bottom w:val="none" w:sz="0" w:space="0" w:color="auto"/>
        <w:right w:val="none" w:sz="0" w:space="0" w:color="auto"/>
      </w:divBdr>
    </w:div>
    <w:div w:id="920943901">
      <w:bodyDiv w:val="1"/>
      <w:marLeft w:val="0"/>
      <w:marRight w:val="0"/>
      <w:marTop w:val="0"/>
      <w:marBottom w:val="0"/>
      <w:divBdr>
        <w:top w:val="none" w:sz="0" w:space="0" w:color="auto"/>
        <w:left w:val="none" w:sz="0" w:space="0" w:color="auto"/>
        <w:bottom w:val="none" w:sz="0" w:space="0" w:color="auto"/>
        <w:right w:val="none" w:sz="0" w:space="0" w:color="auto"/>
      </w:divBdr>
    </w:div>
    <w:div w:id="1000085598">
      <w:bodyDiv w:val="1"/>
      <w:marLeft w:val="0"/>
      <w:marRight w:val="0"/>
      <w:marTop w:val="0"/>
      <w:marBottom w:val="0"/>
      <w:divBdr>
        <w:top w:val="none" w:sz="0" w:space="0" w:color="auto"/>
        <w:left w:val="none" w:sz="0" w:space="0" w:color="auto"/>
        <w:bottom w:val="none" w:sz="0" w:space="0" w:color="auto"/>
        <w:right w:val="none" w:sz="0" w:space="0" w:color="auto"/>
      </w:divBdr>
    </w:div>
    <w:div w:id="1131902412">
      <w:bodyDiv w:val="1"/>
      <w:marLeft w:val="0"/>
      <w:marRight w:val="0"/>
      <w:marTop w:val="0"/>
      <w:marBottom w:val="0"/>
      <w:divBdr>
        <w:top w:val="none" w:sz="0" w:space="0" w:color="auto"/>
        <w:left w:val="none" w:sz="0" w:space="0" w:color="auto"/>
        <w:bottom w:val="none" w:sz="0" w:space="0" w:color="auto"/>
        <w:right w:val="none" w:sz="0" w:space="0" w:color="auto"/>
      </w:divBdr>
    </w:div>
    <w:div w:id="1216159634">
      <w:bodyDiv w:val="1"/>
      <w:marLeft w:val="0"/>
      <w:marRight w:val="0"/>
      <w:marTop w:val="0"/>
      <w:marBottom w:val="0"/>
      <w:divBdr>
        <w:top w:val="none" w:sz="0" w:space="0" w:color="auto"/>
        <w:left w:val="none" w:sz="0" w:space="0" w:color="auto"/>
        <w:bottom w:val="none" w:sz="0" w:space="0" w:color="auto"/>
        <w:right w:val="none" w:sz="0" w:space="0" w:color="auto"/>
      </w:divBdr>
    </w:div>
    <w:div w:id="1220092893">
      <w:bodyDiv w:val="1"/>
      <w:marLeft w:val="0"/>
      <w:marRight w:val="0"/>
      <w:marTop w:val="0"/>
      <w:marBottom w:val="0"/>
      <w:divBdr>
        <w:top w:val="none" w:sz="0" w:space="0" w:color="auto"/>
        <w:left w:val="none" w:sz="0" w:space="0" w:color="auto"/>
        <w:bottom w:val="none" w:sz="0" w:space="0" w:color="auto"/>
        <w:right w:val="none" w:sz="0" w:space="0" w:color="auto"/>
      </w:divBdr>
    </w:div>
    <w:div w:id="1243102327">
      <w:bodyDiv w:val="1"/>
      <w:marLeft w:val="0"/>
      <w:marRight w:val="0"/>
      <w:marTop w:val="0"/>
      <w:marBottom w:val="0"/>
      <w:divBdr>
        <w:top w:val="none" w:sz="0" w:space="0" w:color="auto"/>
        <w:left w:val="none" w:sz="0" w:space="0" w:color="auto"/>
        <w:bottom w:val="none" w:sz="0" w:space="0" w:color="auto"/>
        <w:right w:val="none" w:sz="0" w:space="0" w:color="auto"/>
      </w:divBdr>
    </w:div>
    <w:div w:id="1260914922">
      <w:bodyDiv w:val="1"/>
      <w:marLeft w:val="0"/>
      <w:marRight w:val="0"/>
      <w:marTop w:val="0"/>
      <w:marBottom w:val="0"/>
      <w:divBdr>
        <w:top w:val="none" w:sz="0" w:space="0" w:color="auto"/>
        <w:left w:val="none" w:sz="0" w:space="0" w:color="auto"/>
        <w:bottom w:val="none" w:sz="0" w:space="0" w:color="auto"/>
        <w:right w:val="none" w:sz="0" w:space="0" w:color="auto"/>
      </w:divBdr>
    </w:div>
    <w:div w:id="1427459331">
      <w:bodyDiv w:val="1"/>
      <w:marLeft w:val="0"/>
      <w:marRight w:val="0"/>
      <w:marTop w:val="0"/>
      <w:marBottom w:val="0"/>
      <w:divBdr>
        <w:top w:val="none" w:sz="0" w:space="0" w:color="auto"/>
        <w:left w:val="none" w:sz="0" w:space="0" w:color="auto"/>
        <w:bottom w:val="none" w:sz="0" w:space="0" w:color="auto"/>
        <w:right w:val="none" w:sz="0" w:space="0" w:color="auto"/>
      </w:divBdr>
    </w:div>
    <w:div w:id="1480150818">
      <w:bodyDiv w:val="1"/>
      <w:marLeft w:val="0"/>
      <w:marRight w:val="0"/>
      <w:marTop w:val="0"/>
      <w:marBottom w:val="0"/>
      <w:divBdr>
        <w:top w:val="none" w:sz="0" w:space="0" w:color="auto"/>
        <w:left w:val="none" w:sz="0" w:space="0" w:color="auto"/>
        <w:bottom w:val="none" w:sz="0" w:space="0" w:color="auto"/>
        <w:right w:val="none" w:sz="0" w:space="0" w:color="auto"/>
      </w:divBdr>
    </w:div>
    <w:div w:id="1524319008">
      <w:bodyDiv w:val="1"/>
      <w:marLeft w:val="0"/>
      <w:marRight w:val="0"/>
      <w:marTop w:val="0"/>
      <w:marBottom w:val="0"/>
      <w:divBdr>
        <w:top w:val="none" w:sz="0" w:space="0" w:color="auto"/>
        <w:left w:val="none" w:sz="0" w:space="0" w:color="auto"/>
        <w:bottom w:val="none" w:sz="0" w:space="0" w:color="auto"/>
        <w:right w:val="none" w:sz="0" w:space="0" w:color="auto"/>
      </w:divBdr>
    </w:div>
    <w:div w:id="1570724709">
      <w:bodyDiv w:val="1"/>
      <w:marLeft w:val="0"/>
      <w:marRight w:val="0"/>
      <w:marTop w:val="0"/>
      <w:marBottom w:val="0"/>
      <w:divBdr>
        <w:top w:val="none" w:sz="0" w:space="0" w:color="auto"/>
        <w:left w:val="none" w:sz="0" w:space="0" w:color="auto"/>
        <w:bottom w:val="none" w:sz="0" w:space="0" w:color="auto"/>
        <w:right w:val="none" w:sz="0" w:space="0" w:color="auto"/>
      </w:divBdr>
    </w:div>
    <w:div w:id="1608387023">
      <w:bodyDiv w:val="1"/>
      <w:marLeft w:val="0"/>
      <w:marRight w:val="0"/>
      <w:marTop w:val="0"/>
      <w:marBottom w:val="0"/>
      <w:divBdr>
        <w:top w:val="none" w:sz="0" w:space="0" w:color="auto"/>
        <w:left w:val="none" w:sz="0" w:space="0" w:color="auto"/>
        <w:bottom w:val="none" w:sz="0" w:space="0" w:color="auto"/>
        <w:right w:val="none" w:sz="0" w:space="0" w:color="auto"/>
      </w:divBdr>
    </w:div>
    <w:div w:id="1653286932">
      <w:bodyDiv w:val="1"/>
      <w:marLeft w:val="0"/>
      <w:marRight w:val="0"/>
      <w:marTop w:val="0"/>
      <w:marBottom w:val="0"/>
      <w:divBdr>
        <w:top w:val="none" w:sz="0" w:space="0" w:color="auto"/>
        <w:left w:val="none" w:sz="0" w:space="0" w:color="auto"/>
        <w:bottom w:val="none" w:sz="0" w:space="0" w:color="auto"/>
        <w:right w:val="none" w:sz="0" w:space="0" w:color="auto"/>
      </w:divBdr>
    </w:div>
    <w:div w:id="1700201123">
      <w:bodyDiv w:val="1"/>
      <w:marLeft w:val="0"/>
      <w:marRight w:val="0"/>
      <w:marTop w:val="0"/>
      <w:marBottom w:val="0"/>
      <w:divBdr>
        <w:top w:val="none" w:sz="0" w:space="0" w:color="auto"/>
        <w:left w:val="none" w:sz="0" w:space="0" w:color="auto"/>
        <w:bottom w:val="none" w:sz="0" w:space="0" w:color="auto"/>
        <w:right w:val="none" w:sz="0" w:space="0" w:color="auto"/>
      </w:divBdr>
    </w:div>
    <w:div w:id="1788498408">
      <w:bodyDiv w:val="1"/>
      <w:marLeft w:val="0"/>
      <w:marRight w:val="0"/>
      <w:marTop w:val="0"/>
      <w:marBottom w:val="0"/>
      <w:divBdr>
        <w:top w:val="none" w:sz="0" w:space="0" w:color="auto"/>
        <w:left w:val="none" w:sz="0" w:space="0" w:color="auto"/>
        <w:bottom w:val="none" w:sz="0" w:space="0" w:color="auto"/>
        <w:right w:val="none" w:sz="0" w:space="0" w:color="auto"/>
      </w:divBdr>
    </w:div>
    <w:div w:id="1901986964">
      <w:bodyDiv w:val="1"/>
      <w:marLeft w:val="0"/>
      <w:marRight w:val="0"/>
      <w:marTop w:val="0"/>
      <w:marBottom w:val="0"/>
      <w:divBdr>
        <w:top w:val="none" w:sz="0" w:space="0" w:color="auto"/>
        <w:left w:val="none" w:sz="0" w:space="0" w:color="auto"/>
        <w:bottom w:val="none" w:sz="0" w:space="0" w:color="auto"/>
        <w:right w:val="none" w:sz="0" w:space="0" w:color="auto"/>
      </w:divBdr>
      <w:divsChild>
        <w:div w:id="48498775">
          <w:marLeft w:val="0"/>
          <w:marRight w:val="0"/>
          <w:marTop w:val="0"/>
          <w:marBottom w:val="0"/>
          <w:divBdr>
            <w:top w:val="none" w:sz="0" w:space="0" w:color="auto"/>
            <w:left w:val="none" w:sz="0" w:space="0" w:color="auto"/>
            <w:bottom w:val="none" w:sz="0" w:space="0" w:color="auto"/>
            <w:right w:val="none" w:sz="0" w:space="0" w:color="auto"/>
          </w:divBdr>
        </w:div>
      </w:divsChild>
    </w:div>
    <w:div w:id="2062828069">
      <w:bodyDiv w:val="1"/>
      <w:marLeft w:val="0"/>
      <w:marRight w:val="0"/>
      <w:marTop w:val="0"/>
      <w:marBottom w:val="0"/>
      <w:divBdr>
        <w:top w:val="none" w:sz="0" w:space="0" w:color="auto"/>
        <w:left w:val="none" w:sz="0" w:space="0" w:color="auto"/>
        <w:bottom w:val="none" w:sz="0" w:space="0" w:color="auto"/>
        <w:right w:val="none" w:sz="0" w:space="0" w:color="auto"/>
      </w:divBdr>
      <w:divsChild>
        <w:div w:id="16325202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6275</Words>
  <Characters>35770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There are widening disparities in disordered eating for sexual minority females</vt:lpstr>
    </vt:vector>
  </TitlesOfParts>
  <Company>Compaq Computer Corporation</Company>
  <LinksUpToDate>false</LinksUpToDate>
  <CharactersWithSpaces>41962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widening disparities in disordered eating for sexual minority females</dc:title>
  <dc:subject/>
  <dc:creator>Ryan Watson</dc:creator>
  <cp:keywords/>
  <dc:description/>
  <cp:lastModifiedBy>Lewis N.M.</cp:lastModifiedBy>
  <cp:revision>3</cp:revision>
  <cp:lastPrinted>2015-08-13T23:42:00Z</cp:lastPrinted>
  <dcterms:created xsi:type="dcterms:W3CDTF">2018-03-20T13:17:00Z</dcterms:created>
  <dcterms:modified xsi:type="dcterms:W3CDTF">2018-03-20T13:17:00Z</dcterms:modified>
</cp:coreProperties>
</file>