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1D1E" w14:textId="77777777" w:rsidR="00F371EB" w:rsidRDefault="00F371EB" w:rsidP="00F371EB">
      <w:pPr>
        <w:spacing w:line="480" w:lineRule="auto"/>
        <w:outlineLvl w:val="0"/>
        <w:rPr>
          <w:rFonts w:eastAsia="Times New Roman"/>
          <w:b/>
          <w:color w:val="000000" w:themeColor="text1"/>
          <w:sz w:val="28"/>
          <w:szCs w:val="28"/>
        </w:rPr>
      </w:pPr>
      <w:r w:rsidRPr="00F371EB">
        <w:rPr>
          <w:rFonts w:eastAsia="Times New Roman"/>
          <w:b/>
          <w:color w:val="000000" w:themeColor="text1"/>
          <w:sz w:val="28"/>
          <w:szCs w:val="28"/>
        </w:rPr>
        <w:t>Measurement of motor evoked potential resting threshold and amplitude of proximal and distal arm muscles in healthy adults. A reliability study</w:t>
      </w:r>
    </w:p>
    <w:p w14:paraId="370D0DD2" w14:textId="77777777" w:rsidR="00F371EB" w:rsidRPr="00F371EB" w:rsidRDefault="00F371EB" w:rsidP="00F371EB">
      <w:pPr>
        <w:spacing w:line="480" w:lineRule="auto"/>
        <w:outlineLvl w:val="0"/>
        <w:rPr>
          <w:rFonts w:eastAsia="Times New Roman"/>
          <w:b/>
          <w:color w:val="000000" w:themeColor="text1"/>
          <w:sz w:val="28"/>
          <w:szCs w:val="28"/>
        </w:rPr>
      </w:pPr>
    </w:p>
    <w:p w14:paraId="6BAD69D5" w14:textId="77777777" w:rsidR="00F371EB" w:rsidRPr="00F371EB" w:rsidRDefault="00F371EB" w:rsidP="00F371EB">
      <w:pPr>
        <w:spacing w:line="480" w:lineRule="auto"/>
        <w:outlineLvl w:val="0"/>
        <w:rPr>
          <w:rFonts w:eastAsia="Times New Roman"/>
          <w:b/>
          <w:color w:val="000000" w:themeColor="text1"/>
          <w:sz w:val="28"/>
          <w:szCs w:val="28"/>
        </w:rPr>
      </w:pPr>
    </w:p>
    <w:p w14:paraId="2647974D" w14:textId="77777777" w:rsidR="00F371EB" w:rsidRPr="00F371EB" w:rsidRDefault="00F371EB" w:rsidP="00F371EB">
      <w:pPr>
        <w:spacing w:line="480" w:lineRule="auto"/>
        <w:outlineLvl w:val="0"/>
        <w:rPr>
          <w:rFonts w:eastAsia="Times New Roman"/>
          <w:b/>
          <w:color w:val="000000" w:themeColor="text1"/>
          <w:sz w:val="28"/>
          <w:szCs w:val="28"/>
        </w:rPr>
      </w:pPr>
      <w:r w:rsidRPr="00F371EB">
        <w:rPr>
          <w:rFonts w:eastAsia="Times New Roman"/>
          <w:b/>
          <w:color w:val="000000" w:themeColor="text1"/>
          <w:sz w:val="28"/>
          <w:szCs w:val="28"/>
        </w:rPr>
        <w:t>Tedesco Triccas L, Hughes AM, Burridge</w:t>
      </w:r>
      <w:r w:rsidRPr="00F371EB">
        <w:rPr>
          <w:rFonts w:eastAsia="Times New Roman"/>
          <w:b/>
          <w:color w:val="000000" w:themeColor="text1"/>
          <w:sz w:val="28"/>
          <w:szCs w:val="28"/>
        </w:rPr>
        <w:t xml:space="preserve"> JH, Din AE, Warner M, Brown S.</w:t>
      </w:r>
    </w:p>
    <w:p w14:paraId="22F4A88A" w14:textId="77777777" w:rsidR="00F371EB" w:rsidRPr="00F371EB" w:rsidRDefault="00F371EB" w:rsidP="00F371EB">
      <w:pPr>
        <w:spacing w:line="480" w:lineRule="auto"/>
        <w:outlineLvl w:val="0"/>
        <w:rPr>
          <w:rFonts w:eastAsia="Times New Roman"/>
          <w:b/>
          <w:color w:val="000000" w:themeColor="text1"/>
          <w:sz w:val="28"/>
          <w:szCs w:val="28"/>
        </w:rPr>
      </w:pPr>
    </w:p>
    <w:p w14:paraId="1EF278AC" w14:textId="66F6BDB3" w:rsidR="00F371EB" w:rsidRPr="00F371EB" w:rsidRDefault="00F371EB" w:rsidP="00F371EB">
      <w:pPr>
        <w:spacing w:line="480" w:lineRule="auto"/>
        <w:outlineLvl w:val="0"/>
        <w:rPr>
          <w:rFonts w:eastAsia="Times New Roman"/>
          <w:b/>
          <w:color w:val="000000" w:themeColor="text1"/>
          <w:sz w:val="28"/>
          <w:szCs w:val="28"/>
        </w:rPr>
      </w:pPr>
      <w:r>
        <w:rPr>
          <w:rFonts w:eastAsia="Times New Roman"/>
          <w:b/>
          <w:color w:val="000000" w:themeColor="text1"/>
          <w:sz w:val="28"/>
          <w:szCs w:val="28"/>
        </w:rPr>
        <w:t xml:space="preserve">Journal: </w:t>
      </w:r>
      <w:r w:rsidRPr="00F371EB">
        <w:rPr>
          <w:rFonts w:eastAsia="Times New Roman"/>
          <w:b/>
          <w:color w:val="000000" w:themeColor="text1"/>
          <w:sz w:val="28"/>
          <w:szCs w:val="28"/>
        </w:rPr>
        <w:t>Rate Journal</w:t>
      </w:r>
    </w:p>
    <w:p w14:paraId="06CEC863" w14:textId="77777777" w:rsidR="00F371EB" w:rsidRPr="00F371EB" w:rsidRDefault="00F371EB" w:rsidP="00F371EB">
      <w:pPr>
        <w:spacing w:line="480" w:lineRule="auto"/>
        <w:outlineLvl w:val="0"/>
        <w:rPr>
          <w:rFonts w:eastAsia="Times New Roman"/>
          <w:b/>
          <w:color w:val="000000" w:themeColor="text1"/>
          <w:sz w:val="28"/>
          <w:szCs w:val="28"/>
        </w:rPr>
      </w:pPr>
    </w:p>
    <w:p w14:paraId="72682A2C" w14:textId="22D87065" w:rsidR="00F371EB" w:rsidRDefault="00F371EB" w:rsidP="00F371EB">
      <w:pPr>
        <w:spacing w:line="480" w:lineRule="auto"/>
        <w:outlineLvl w:val="0"/>
        <w:rPr>
          <w:rFonts w:eastAsia="Times New Roman"/>
          <w:b/>
          <w:color w:val="000000" w:themeColor="text1"/>
          <w:sz w:val="28"/>
          <w:szCs w:val="28"/>
        </w:rPr>
      </w:pPr>
      <w:r w:rsidRPr="00F371EB">
        <w:rPr>
          <w:rFonts w:eastAsia="Times New Roman"/>
          <w:b/>
          <w:color w:val="000000" w:themeColor="text1"/>
          <w:sz w:val="28"/>
          <w:szCs w:val="28"/>
        </w:rPr>
        <w:t>Acceptance Date</w:t>
      </w:r>
      <w:r>
        <w:rPr>
          <w:rFonts w:eastAsia="Times New Roman"/>
          <w:b/>
          <w:color w:val="000000" w:themeColor="text1"/>
          <w:sz w:val="28"/>
          <w:szCs w:val="28"/>
        </w:rPr>
        <w:t>:</w:t>
      </w:r>
      <w:r w:rsidRPr="00F371EB">
        <w:rPr>
          <w:rFonts w:eastAsia="Times New Roman"/>
          <w:b/>
          <w:color w:val="000000" w:themeColor="text1"/>
          <w:sz w:val="28"/>
          <w:szCs w:val="28"/>
        </w:rPr>
        <w:t xml:space="preserve"> 19th February 2018</w:t>
      </w:r>
      <w:r>
        <w:rPr>
          <w:rFonts w:eastAsia="Times New Roman"/>
          <w:b/>
          <w:color w:val="000000" w:themeColor="text1"/>
          <w:sz w:val="28"/>
          <w:szCs w:val="28"/>
        </w:rPr>
        <w:br w:type="page"/>
      </w:r>
    </w:p>
    <w:p w14:paraId="7F9D1625" w14:textId="4A852EFB" w:rsidR="00DB3423" w:rsidRPr="00875077" w:rsidRDefault="00DB3423" w:rsidP="007F3271">
      <w:pPr>
        <w:spacing w:line="480" w:lineRule="auto"/>
        <w:outlineLvl w:val="0"/>
        <w:rPr>
          <w:rFonts w:eastAsia="Times New Roman"/>
          <w:b/>
          <w:color w:val="000000" w:themeColor="text1"/>
          <w:sz w:val="28"/>
          <w:szCs w:val="28"/>
        </w:rPr>
      </w:pPr>
      <w:r w:rsidRPr="00875077">
        <w:rPr>
          <w:rFonts w:eastAsia="Times New Roman"/>
          <w:b/>
          <w:color w:val="000000" w:themeColor="text1"/>
          <w:sz w:val="28"/>
          <w:szCs w:val="28"/>
        </w:rPr>
        <w:lastRenderedPageBreak/>
        <w:t>Abstract</w:t>
      </w:r>
    </w:p>
    <w:p w14:paraId="6E65C2A1" w14:textId="71CAF007" w:rsidR="00541301" w:rsidRPr="00875077" w:rsidRDefault="00E85B70" w:rsidP="00E85B70">
      <w:pPr>
        <w:spacing w:after="240" w:line="480" w:lineRule="auto"/>
        <w:rPr>
          <w:iCs/>
          <w:color w:val="000000" w:themeColor="text1"/>
          <w:lang w:val="en-GB"/>
        </w:rPr>
      </w:pPr>
      <w:r w:rsidRPr="00875077">
        <w:rPr>
          <w:rFonts w:eastAsia="Times New Roman"/>
          <w:b/>
          <w:color w:val="000000" w:themeColor="text1"/>
          <w:lang w:val="en-GB"/>
        </w:rPr>
        <w:t>Purpose</w:t>
      </w:r>
      <w:r w:rsidR="00442317" w:rsidRPr="00875077">
        <w:rPr>
          <w:rFonts w:eastAsia="Times New Roman"/>
          <w:b/>
          <w:color w:val="000000" w:themeColor="text1"/>
          <w:lang w:val="en-GB"/>
        </w:rPr>
        <w:t>:</w:t>
      </w:r>
      <w:r w:rsidR="002635FE" w:rsidRPr="00875077">
        <w:rPr>
          <w:rFonts w:eastAsia="Times New Roman"/>
          <w:color w:val="000000" w:themeColor="text1"/>
          <w:lang w:val="en-GB"/>
        </w:rPr>
        <w:t xml:space="preserve"> </w:t>
      </w:r>
      <w:r w:rsidR="00DB3E91" w:rsidRPr="00875077">
        <w:rPr>
          <w:rFonts w:eastAsia="Times New Roman"/>
          <w:color w:val="000000" w:themeColor="text1"/>
          <w:lang w:val="en-GB"/>
        </w:rPr>
        <w:t>R</w:t>
      </w:r>
      <w:r w:rsidR="002635FE" w:rsidRPr="00875077">
        <w:rPr>
          <w:rFonts w:eastAsia="Times New Roman"/>
          <w:color w:val="000000" w:themeColor="text1"/>
          <w:lang w:val="en-GB"/>
        </w:rPr>
        <w:t xml:space="preserve">eliability of </w:t>
      </w:r>
      <w:r w:rsidR="00E77457" w:rsidRPr="00875077">
        <w:rPr>
          <w:bCs/>
          <w:iCs/>
          <w:color w:val="000000" w:themeColor="text1"/>
          <w:lang w:val="en-GB"/>
        </w:rPr>
        <w:t>motor evoked potential</w:t>
      </w:r>
      <w:r w:rsidR="00414F27" w:rsidRPr="00875077">
        <w:rPr>
          <w:bCs/>
          <w:iCs/>
          <w:color w:val="000000" w:themeColor="text1"/>
          <w:lang w:val="en-GB"/>
        </w:rPr>
        <w:t xml:space="preserve"> thre</w:t>
      </w:r>
      <w:r w:rsidR="00541301" w:rsidRPr="00875077">
        <w:rPr>
          <w:bCs/>
          <w:iCs/>
          <w:color w:val="000000" w:themeColor="text1"/>
          <w:lang w:val="en-GB"/>
        </w:rPr>
        <w:t>shold and amplitude measurement</w:t>
      </w:r>
      <w:r w:rsidR="000E1D19" w:rsidRPr="00875077">
        <w:rPr>
          <w:bCs/>
          <w:iCs/>
          <w:color w:val="000000" w:themeColor="text1"/>
          <w:lang w:val="en-GB"/>
        </w:rPr>
        <w:t xml:space="preserve"> </w:t>
      </w:r>
      <w:r w:rsidR="00DB3E91" w:rsidRPr="00875077">
        <w:rPr>
          <w:bCs/>
          <w:iCs/>
          <w:color w:val="000000" w:themeColor="text1"/>
          <w:lang w:val="en-GB"/>
        </w:rPr>
        <w:t xml:space="preserve">of </w:t>
      </w:r>
      <w:r w:rsidR="000E1D19" w:rsidRPr="00875077">
        <w:rPr>
          <w:bCs/>
          <w:iCs/>
          <w:color w:val="000000" w:themeColor="text1"/>
          <w:lang w:val="en-GB"/>
        </w:rPr>
        <w:t>upper limb</w:t>
      </w:r>
      <w:r w:rsidR="00DB3E91" w:rsidRPr="00875077">
        <w:rPr>
          <w:bCs/>
          <w:iCs/>
          <w:color w:val="000000" w:themeColor="text1"/>
          <w:lang w:val="en-GB"/>
        </w:rPr>
        <w:t xml:space="preserve"> muscles </w:t>
      </w:r>
      <w:r w:rsidR="00414F27" w:rsidRPr="00875077">
        <w:rPr>
          <w:bCs/>
          <w:iCs/>
          <w:color w:val="000000" w:themeColor="text1"/>
          <w:lang w:val="en-GB"/>
        </w:rPr>
        <w:t xml:space="preserve">is important </w:t>
      </w:r>
      <w:r w:rsidR="00541301" w:rsidRPr="00875077">
        <w:rPr>
          <w:bCs/>
          <w:iCs/>
          <w:color w:val="000000" w:themeColor="text1"/>
          <w:lang w:val="en-GB"/>
        </w:rPr>
        <w:t>when</w:t>
      </w:r>
      <w:r w:rsidR="00414F27" w:rsidRPr="00875077">
        <w:rPr>
          <w:bCs/>
          <w:iCs/>
          <w:color w:val="000000" w:themeColor="text1"/>
          <w:lang w:val="en-GB"/>
        </w:rPr>
        <w:t xml:space="preserve"> </w:t>
      </w:r>
      <w:r w:rsidR="005E24E3" w:rsidRPr="00875077">
        <w:rPr>
          <w:bCs/>
          <w:iCs/>
          <w:color w:val="000000" w:themeColor="text1"/>
          <w:lang w:val="en-GB"/>
        </w:rPr>
        <w:t>detecting</w:t>
      </w:r>
      <w:r w:rsidR="00DB3E91" w:rsidRPr="00875077">
        <w:rPr>
          <w:bCs/>
          <w:iCs/>
          <w:color w:val="000000" w:themeColor="text1"/>
          <w:lang w:val="en-GB"/>
        </w:rPr>
        <w:t xml:space="preserve"> changes in cortical excitability</w:t>
      </w:r>
      <w:r w:rsidR="00630D69" w:rsidRPr="00875077">
        <w:rPr>
          <w:bCs/>
          <w:iCs/>
          <w:color w:val="000000" w:themeColor="text1"/>
          <w:lang w:val="en-GB"/>
        </w:rPr>
        <w:t>.</w:t>
      </w:r>
      <w:r w:rsidRPr="00875077">
        <w:rPr>
          <w:bCs/>
          <w:color w:val="000000" w:themeColor="text1"/>
          <w:lang w:val="en-GB"/>
        </w:rPr>
        <w:t xml:space="preserve"> The objective of this study was to </w:t>
      </w:r>
      <w:r w:rsidRPr="00875077">
        <w:rPr>
          <w:iCs/>
          <w:color w:val="000000" w:themeColor="text1"/>
          <w:lang w:val="en-GB"/>
        </w:rPr>
        <w:t>investigate intra-</w:t>
      </w:r>
      <w:proofErr w:type="spellStart"/>
      <w:r w:rsidRPr="00875077">
        <w:rPr>
          <w:iCs/>
          <w:color w:val="000000" w:themeColor="text1"/>
          <w:lang w:val="en-GB"/>
        </w:rPr>
        <w:t>rater</w:t>
      </w:r>
      <w:proofErr w:type="spellEnd"/>
      <w:r w:rsidRPr="00875077">
        <w:rPr>
          <w:iCs/>
          <w:color w:val="000000" w:themeColor="text1"/>
          <w:lang w:val="en-GB"/>
        </w:rPr>
        <w:t>, test-retest reliability and</w:t>
      </w:r>
      <w:r w:rsidR="00DA3224" w:rsidRPr="00875077">
        <w:rPr>
          <w:iCs/>
          <w:color w:val="000000" w:themeColor="text1"/>
          <w:lang w:val="en-GB"/>
        </w:rPr>
        <w:t xml:space="preserve"> minimal detectable change of resting motor threshold</w:t>
      </w:r>
      <w:r w:rsidRPr="00875077">
        <w:rPr>
          <w:iCs/>
          <w:color w:val="000000" w:themeColor="text1"/>
          <w:lang w:val="en-GB"/>
        </w:rPr>
        <w:t xml:space="preserve"> and amplitude of </w:t>
      </w:r>
      <w:r w:rsidR="000E1D19" w:rsidRPr="00875077">
        <w:rPr>
          <w:iCs/>
          <w:color w:val="000000" w:themeColor="text1"/>
          <w:lang w:val="en-GB"/>
        </w:rPr>
        <w:t xml:space="preserve">a proximal and distal upper limb muscles, </w:t>
      </w:r>
      <w:r w:rsidR="00E77457" w:rsidRPr="00875077">
        <w:rPr>
          <w:iCs/>
          <w:color w:val="000000" w:themeColor="text1"/>
          <w:lang w:val="en-GB"/>
        </w:rPr>
        <w:t>anterior deltoid</w:t>
      </w:r>
      <w:r w:rsidRPr="00875077">
        <w:rPr>
          <w:color w:val="000000" w:themeColor="text1"/>
          <w:lang w:val="en-GB"/>
        </w:rPr>
        <w:t xml:space="preserve"> and</w:t>
      </w:r>
      <w:r w:rsidR="000E1D19" w:rsidRPr="00875077">
        <w:rPr>
          <w:iCs/>
          <w:color w:val="000000" w:themeColor="text1"/>
          <w:lang w:val="en-GB"/>
        </w:rPr>
        <w:t xml:space="preserve"> distal </w:t>
      </w:r>
      <w:r w:rsidRPr="00875077">
        <w:rPr>
          <w:iCs/>
          <w:color w:val="000000" w:themeColor="text1"/>
          <w:lang w:val="en-GB"/>
        </w:rPr>
        <w:t xml:space="preserve">extensor </w:t>
      </w:r>
      <w:proofErr w:type="spellStart"/>
      <w:r w:rsidR="000E1D19" w:rsidRPr="00875077">
        <w:rPr>
          <w:iCs/>
          <w:color w:val="000000" w:themeColor="text1"/>
          <w:lang w:val="en-GB"/>
        </w:rPr>
        <w:t>digi</w:t>
      </w:r>
      <w:r w:rsidR="00E77457" w:rsidRPr="00875077">
        <w:rPr>
          <w:iCs/>
          <w:color w:val="000000" w:themeColor="text1"/>
          <w:lang w:val="en-GB"/>
        </w:rPr>
        <w:t>torum</w:t>
      </w:r>
      <w:proofErr w:type="spellEnd"/>
      <w:r w:rsidR="00E77457" w:rsidRPr="00875077">
        <w:rPr>
          <w:iCs/>
          <w:color w:val="000000" w:themeColor="text1"/>
          <w:lang w:val="en-GB"/>
        </w:rPr>
        <w:t xml:space="preserve"> </w:t>
      </w:r>
      <w:proofErr w:type="spellStart"/>
      <w:r w:rsidR="00E77457" w:rsidRPr="00875077">
        <w:rPr>
          <w:iCs/>
          <w:color w:val="000000" w:themeColor="text1"/>
          <w:lang w:val="en-GB"/>
        </w:rPr>
        <w:t>communis</w:t>
      </w:r>
      <w:proofErr w:type="spellEnd"/>
      <w:r w:rsidR="000E1D19" w:rsidRPr="00875077">
        <w:rPr>
          <w:iCs/>
          <w:color w:val="000000" w:themeColor="text1"/>
          <w:lang w:val="en-GB"/>
        </w:rPr>
        <w:t>,</w:t>
      </w:r>
      <w:r w:rsidRPr="00875077">
        <w:rPr>
          <w:iCs/>
          <w:color w:val="000000" w:themeColor="text1"/>
          <w:lang w:val="en-GB"/>
        </w:rPr>
        <w:t xml:space="preserve"> in healthy adults. </w:t>
      </w:r>
    </w:p>
    <w:p w14:paraId="342D22F6" w14:textId="67FBCD9D" w:rsidR="00442317" w:rsidRPr="00875077" w:rsidRDefault="00E85B70" w:rsidP="007F3271">
      <w:pPr>
        <w:spacing w:after="240" w:line="480" w:lineRule="auto"/>
        <w:rPr>
          <w:iCs/>
          <w:color w:val="000000" w:themeColor="text1"/>
          <w:lang w:val="en-GB"/>
        </w:rPr>
      </w:pPr>
      <w:r w:rsidRPr="00875077">
        <w:rPr>
          <w:b/>
          <w:bCs/>
          <w:iCs/>
          <w:color w:val="000000" w:themeColor="text1"/>
          <w:lang w:val="en-GB"/>
        </w:rPr>
        <w:t>Method</w:t>
      </w:r>
      <w:r w:rsidR="00630D69" w:rsidRPr="00875077">
        <w:rPr>
          <w:b/>
          <w:bCs/>
          <w:iCs/>
          <w:color w:val="000000" w:themeColor="text1"/>
          <w:lang w:val="en-GB"/>
        </w:rPr>
        <w:t>:</w:t>
      </w:r>
      <w:r w:rsidR="00630D69" w:rsidRPr="00875077">
        <w:rPr>
          <w:bCs/>
          <w:iCs/>
          <w:color w:val="000000" w:themeColor="text1"/>
          <w:lang w:val="en-GB"/>
        </w:rPr>
        <w:t xml:space="preserve"> </w:t>
      </w:r>
      <w:r w:rsidR="00DA3224" w:rsidRPr="00875077">
        <w:rPr>
          <w:bCs/>
          <w:iCs/>
          <w:color w:val="000000" w:themeColor="text1"/>
          <w:lang w:val="en-GB"/>
        </w:rPr>
        <w:t xml:space="preserve">To measure MEP responses, transcranial magnetic stimulation was interfaced with electromyography and </w:t>
      </w:r>
      <w:proofErr w:type="spellStart"/>
      <w:r w:rsidR="00DA3224" w:rsidRPr="00875077">
        <w:rPr>
          <w:bCs/>
          <w:iCs/>
          <w:color w:val="000000" w:themeColor="text1"/>
          <w:lang w:val="en-GB"/>
        </w:rPr>
        <w:t>neuronavigation</w:t>
      </w:r>
      <w:proofErr w:type="spellEnd"/>
      <w:r w:rsidR="00DA3224" w:rsidRPr="00875077">
        <w:rPr>
          <w:bCs/>
          <w:iCs/>
          <w:color w:val="000000" w:themeColor="text1"/>
          <w:lang w:val="en-GB"/>
        </w:rPr>
        <w:t xml:space="preserve"> equipment. </w:t>
      </w:r>
      <w:r w:rsidR="00256CD4" w:rsidRPr="00875077">
        <w:rPr>
          <w:bCs/>
          <w:iCs/>
          <w:color w:val="000000" w:themeColor="text1"/>
          <w:lang w:val="en-GB"/>
        </w:rPr>
        <w:t>T</w:t>
      </w:r>
      <w:r w:rsidR="00DB3E91" w:rsidRPr="00875077">
        <w:rPr>
          <w:bCs/>
          <w:iCs/>
          <w:color w:val="000000" w:themeColor="text1"/>
          <w:lang w:val="en-GB"/>
        </w:rPr>
        <w:t>wo measurements</w:t>
      </w:r>
      <w:r w:rsidR="00DA3224" w:rsidRPr="00875077">
        <w:rPr>
          <w:bCs/>
          <w:iCs/>
          <w:color w:val="000000" w:themeColor="text1"/>
          <w:lang w:val="en-GB"/>
        </w:rPr>
        <w:t xml:space="preserve"> were </w:t>
      </w:r>
      <w:proofErr w:type="gramStart"/>
      <w:r w:rsidR="00DA3224" w:rsidRPr="00875077">
        <w:rPr>
          <w:bCs/>
          <w:iCs/>
          <w:color w:val="000000" w:themeColor="text1"/>
          <w:lang w:val="en-GB"/>
        </w:rPr>
        <w:t>conducted</w:t>
      </w:r>
      <w:proofErr w:type="gramEnd"/>
      <w:r w:rsidR="00DB3E91" w:rsidRPr="00875077">
        <w:rPr>
          <w:bCs/>
          <w:iCs/>
          <w:color w:val="000000" w:themeColor="text1"/>
          <w:lang w:val="en-GB"/>
        </w:rPr>
        <w:t xml:space="preserve"> </w:t>
      </w:r>
      <w:r w:rsidR="009A52A4" w:rsidRPr="00875077">
        <w:rPr>
          <w:bCs/>
          <w:iCs/>
          <w:color w:val="000000" w:themeColor="text1"/>
          <w:lang w:val="en-GB"/>
        </w:rPr>
        <w:t xml:space="preserve">on </w:t>
      </w:r>
      <w:r w:rsidR="00442317" w:rsidRPr="00875077">
        <w:rPr>
          <w:bCs/>
          <w:iCs/>
          <w:color w:val="000000" w:themeColor="text1"/>
          <w:lang w:val="en-GB"/>
        </w:rPr>
        <w:t xml:space="preserve">day one </w:t>
      </w:r>
      <w:r w:rsidR="003C6E3E" w:rsidRPr="00875077">
        <w:rPr>
          <w:bCs/>
          <w:iCs/>
          <w:color w:val="000000" w:themeColor="text1"/>
          <w:lang w:val="en-GB"/>
        </w:rPr>
        <w:t xml:space="preserve">and </w:t>
      </w:r>
      <w:r w:rsidR="005E24E3" w:rsidRPr="00875077">
        <w:rPr>
          <w:bCs/>
          <w:iCs/>
          <w:color w:val="000000" w:themeColor="text1"/>
          <w:lang w:val="en-GB"/>
        </w:rPr>
        <w:t xml:space="preserve">a </w:t>
      </w:r>
      <w:r w:rsidR="00442317" w:rsidRPr="00875077">
        <w:rPr>
          <w:bCs/>
          <w:iCs/>
          <w:color w:val="000000" w:themeColor="text1"/>
          <w:lang w:val="en-GB"/>
        </w:rPr>
        <w:t xml:space="preserve">third measurement </w:t>
      </w:r>
      <w:r w:rsidR="00BB65D2" w:rsidRPr="00875077">
        <w:rPr>
          <w:bCs/>
          <w:iCs/>
          <w:color w:val="000000" w:themeColor="text1"/>
          <w:lang w:val="en-GB"/>
        </w:rPr>
        <w:t>three days later</w:t>
      </w:r>
      <w:r w:rsidR="00541301" w:rsidRPr="00875077">
        <w:rPr>
          <w:bCs/>
          <w:iCs/>
          <w:color w:val="000000" w:themeColor="text1"/>
          <w:lang w:val="en-GB"/>
        </w:rPr>
        <w:t xml:space="preserve">. </w:t>
      </w:r>
      <w:r w:rsidR="00A2325B" w:rsidRPr="00875077">
        <w:rPr>
          <w:bCs/>
          <w:iCs/>
          <w:color w:val="000000" w:themeColor="text1"/>
          <w:lang w:val="en-GB"/>
        </w:rPr>
        <w:t>Relia</w:t>
      </w:r>
      <w:r w:rsidR="00E36372" w:rsidRPr="00875077">
        <w:rPr>
          <w:bCs/>
          <w:iCs/>
          <w:color w:val="000000" w:themeColor="text1"/>
          <w:lang w:val="en-GB"/>
        </w:rPr>
        <w:t xml:space="preserve">bility was </w:t>
      </w:r>
      <w:r w:rsidR="00F43800" w:rsidRPr="00875077">
        <w:rPr>
          <w:bCs/>
          <w:iCs/>
          <w:color w:val="000000" w:themeColor="text1"/>
          <w:lang w:val="en-GB"/>
        </w:rPr>
        <w:t>analys</w:t>
      </w:r>
      <w:r w:rsidR="00E36372" w:rsidRPr="00875077">
        <w:rPr>
          <w:bCs/>
          <w:iCs/>
          <w:color w:val="000000" w:themeColor="text1"/>
          <w:lang w:val="en-GB"/>
        </w:rPr>
        <w:t xml:space="preserve">ed using </w:t>
      </w:r>
      <w:proofErr w:type="spellStart"/>
      <w:r w:rsidR="00E36372" w:rsidRPr="00875077">
        <w:rPr>
          <w:bCs/>
          <w:iCs/>
          <w:color w:val="000000" w:themeColor="text1"/>
          <w:lang w:val="en-GB"/>
        </w:rPr>
        <w:t>intra</w:t>
      </w:r>
      <w:r w:rsidR="00A2325B" w:rsidRPr="00875077">
        <w:rPr>
          <w:bCs/>
          <w:iCs/>
          <w:color w:val="000000" w:themeColor="text1"/>
          <w:lang w:val="en-GB"/>
        </w:rPr>
        <w:t>class</w:t>
      </w:r>
      <w:proofErr w:type="spellEnd"/>
      <w:r w:rsidR="00A2325B" w:rsidRPr="00875077">
        <w:rPr>
          <w:bCs/>
          <w:iCs/>
          <w:color w:val="000000" w:themeColor="text1"/>
          <w:lang w:val="en-GB"/>
        </w:rPr>
        <w:t xml:space="preserve"> </w:t>
      </w:r>
      <w:r w:rsidR="009A52A4" w:rsidRPr="00875077">
        <w:rPr>
          <w:bCs/>
          <w:iCs/>
          <w:color w:val="000000" w:themeColor="text1"/>
          <w:lang w:val="en-GB"/>
        </w:rPr>
        <w:t xml:space="preserve">correlation </w:t>
      </w:r>
      <w:r w:rsidR="00E77457" w:rsidRPr="00875077">
        <w:rPr>
          <w:bCs/>
          <w:iCs/>
          <w:color w:val="000000" w:themeColor="text1"/>
          <w:lang w:val="en-GB"/>
        </w:rPr>
        <w:t>coefficients</w:t>
      </w:r>
      <w:r w:rsidR="00A2325B" w:rsidRPr="00875077">
        <w:rPr>
          <w:bCs/>
          <w:iCs/>
          <w:color w:val="000000" w:themeColor="text1"/>
          <w:lang w:val="en-GB"/>
        </w:rPr>
        <w:t>.</w:t>
      </w:r>
    </w:p>
    <w:p w14:paraId="01A56149" w14:textId="257576D9" w:rsidR="00E85B70" w:rsidRPr="00875077" w:rsidRDefault="00442317" w:rsidP="007F3271">
      <w:pPr>
        <w:spacing w:line="480" w:lineRule="auto"/>
        <w:rPr>
          <w:iCs/>
          <w:color w:val="000000" w:themeColor="text1"/>
          <w:lang w:val="en-GB"/>
        </w:rPr>
      </w:pPr>
      <w:r w:rsidRPr="00875077">
        <w:rPr>
          <w:rFonts w:eastAsia="Times New Roman"/>
          <w:b/>
          <w:color w:val="000000" w:themeColor="text1"/>
          <w:lang w:val="en-GB"/>
        </w:rPr>
        <w:t>Results:</w:t>
      </w:r>
      <w:r w:rsidRPr="00875077">
        <w:rPr>
          <w:bCs/>
          <w:iCs/>
          <w:color w:val="000000" w:themeColor="text1"/>
          <w:lang w:val="en-GB"/>
        </w:rPr>
        <w:t xml:space="preserve"> </w:t>
      </w:r>
      <w:r w:rsidR="00256CD4" w:rsidRPr="00875077">
        <w:rPr>
          <w:bCs/>
          <w:iCs/>
          <w:color w:val="000000" w:themeColor="text1"/>
          <w:lang w:val="en-GB"/>
        </w:rPr>
        <w:t xml:space="preserve">Twenty participants completed the study. </w:t>
      </w:r>
      <w:r w:rsidR="000A6F62" w:rsidRPr="00875077">
        <w:rPr>
          <w:iCs/>
          <w:color w:val="000000" w:themeColor="text1"/>
          <w:lang w:val="en-GB"/>
        </w:rPr>
        <w:t xml:space="preserve">Excellent </w:t>
      </w:r>
      <w:r w:rsidR="00DB3E91" w:rsidRPr="00875077">
        <w:rPr>
          <w:iCs/>
          <w:color w:val="000000" w:themeColor="text1"/>
          <w:lang w:val="en-GB"/>
        </w:rPr>
        <w:t>intra-</w:t>
      </w:r>
      <w:proofErr w:type="spellStart"/>
      <w:r w:rsidR="00DB3E91" w:rsidRPr="00875077">
        <w:rPr>
          <w:iCs/>
          <w:color w:val="000000" w:themeColor="text1"/>
          <w:lang w:val="en-GB"/>
        </w:rPr>
        <w:t>rater</w:t>
      </w:r>
      <w:proofErr w:type="spellEnd"/>
      <w:r w:rsidR="000A6F62" w:rsidRPr="00875077">
        <w:rPr>
          <w:iCs/>
          <w:color w:val="000000" w:themeColor="text1"/>
          <w:lang w:val="en-GB"/>
        </w:rPr>
        <w:t xml:space="preserve"> (ICC=0.91</w:t>
      </w:r>
      <w:r w:rsidR="00E77457" w:rsidRPr="00875077">
        <w:rPr>
          <w:iCs/>
          <w:color w:val="000000" w:themeColor="text1"/>
          <w:lang w:val="en-GB"/>
        </w:rPr>
        <w:t xml:space="preserve">[extensor </w:t>
      </w:r>
      <w:proofErr w:type="spellStart"/>
      <w:r w:rsidR="00E77457" w:rsidRPr="00875077">
        <w:rPr>
          <w:iCs/>
          <w:color w:val="000000" w:themeColor="text1"/>
          <w:lang w:val="en-GB"/>
        </w:rPr>
        <w:t>digitorum</w:t>
      </w:r>
      <w:proofErr w:type="spellEnd"/>
      <w:r w:rsidR="00673BDE" w:rsidRPr="00875077">
        <w:rPr>
          <w:iCs/>
          <w:color w:val="000000" w:themeColor="text1"/>
          <w:lang w:val="en-GB"/>
        </w:rPr>
        <w:t xml:space="preserve">], </w:t>
      </w:r>
      <w:r w:rsidR="000A6F62" w:rsidRPr="00875077">
        <w:rPr>
          <w:iCs/>
          <w:color w:val="000000" w:themeColor="text1"/>
          <w:lang w:val="en-GB"/>
        </w:rPr>
        <w:t>0.94</w:t>
      </w:r>
      <w:r w:rsidR="00E77457" w:rsidRPr="00875077">
        <w:rPr>
          <w:iCs/>
          <w:color w:val="000000" w:themeColor="text1"/>
          <w:lang w:val="en-GB"/>
        </w:rPr>
        <w:t>[anterior deltoid</w:t>
      </w:r>
      <w:r w:rsidR="00673BDE" w:rsidRPr="00875077">
        <w:rPr>
          <w:iCs/>
          <w:color w:val="000000" w:themeColor="text1"/>
          <w:lang w:val="en-GB"/>
        </w:rPr>
        <w:t>]</w:t>
      </w:r>
      <w:r w:rsidR="000A6F62" w:rsidRPr="00875077">
        <w:rPr>
          <w:iCs/>
          <w:color w:val="000000" w:themeColor="text1"/>
          <w:lang w:val="en-GB"/>
        </w:rPr>
        <w:t xml:space="preserve">) and </w:t>
      </w:r>
      <w:r w:rsidR="00673BDE" w:rsidRPr="00875077">
        <w:rPr>
          <w:iCs/>
          <w:color w:val="000000" w:themeColor="text1"/>
          <w:lang w:val="en-GB"/>
        </w:rPr>
        <w:t xml:space="preserve">good to </w:t>
      </w:r>
      <w:r w:rsidR="000A6F62" w:rsidRPr="00875077">
        <w:rPr>
          <w:iCs/>
          <w:color w:val="000000" w:themeColor="text1"/>
          <w:lang w:val="en-GB"/>
        </w:rPr>
        <w:t xml:space="preserve">excellent </w:t>
      </w:r>
      <w:r w:rsidR="00541301" w:rsidRPr="00875077">
        <w:rPr>
          <w:iCs/>
          <w:color w:val="000000" w:themeColor="text1"/>
          <w:lang w:val="en-GB"/>
        </w:rPr>
        <w:t xml:space="preserve">test-retest reliability </w:t>
      </w:r>
      <w:r w:rsidR="000A6F62" w:rsidRPr="00875077">
        <w:rPr>
          <w:iCs/>
          <w:color w:val="000000" w:themeColor="text1"/>
          <w:lang w:val="en-GB"/>
        </w:rPr>
        <w:t>(ICC=</w:t>
      </w:r>
      <w:r w:rsidR="00541301" w:rsidRPr="00875077">
        <w:rPr>
          <w:iCs/>
          <w:color w:val="000000" w:themeColor="text1"/>
          <w:lang w:val="en-GB"/>
        </w:rPr>
        <w:t>0.69</w:t>
      </w:r>
      <w:r w:rsidR="00E77457" w:rsidRPr="00875077">
        <w:rPr>
          <w:iCs/>
          <w:color w:val="000000" w:themeColor="text1"/>
          <w:lang w:val="en-GB"/>
        </w:rPr>
        <w:t xml:space="preserve">[anterior deltoid], 0.84[extensor </w:t>
      </w:r>
      <w:proofErr w:type="spellStart"/>
      <w:r w:rsidR="00E77457" w:rsidRPr="00875077">
        <w:rPr>
          <w:iCs/>
          <w:color w:val="000000" w:themeColor="text1"/>
          <w:lang w:val="en-GB"/>
        </w:rPr>
        <w:t>digitorum</w:t>
      </w:r>
      <w:proofErr w:type="spellEnd"/>
      <w:r w:rsidR="00E77457" w:rsidRPr="00875077">
        <w:rPr>
          <w:iCs/>
          <w:color w:val="000000" w:themeColor="text1"/>
          <w:lang w:val="en-GB"/>
        </w:rPr>
        <w:t>]</w:t>
      </w:r>
      <w:r w:rsidR="000A6F62" w:rsidRPr="00875077">
        <w:rPr>
          <w:iCs/>
          <w:color w:val="000000" w:themeColor="text1"/>
          <w:lang w:val="en-GB"/>
        </w:rPr>
        <w:t>)</w:t>
      </w:r>
      <w:r w:rsidR="00DA3224" w:rsidRPr="00875077">
        <w:rPr>
          <w:iCs/>
          <w:color w:val="000000" w:themeColor="text1"/>
          <w:lang w:val="en-GB"/>
        </w:rPr>
        <w:t xml:space="preserve"> was found for resting motor threshold</w:t>
      </w:r>
      <w:r w:rsidR="000A6F62" w:rsidRPr="00875077">
        <w:rPr>
          <w:iCs/>
          <w:color w:val="000000" w:themeColor="text1"/>
          <w:lang w:val="en-GB"/>
        </w:rPr>
        <w:t xml:space="preserve">. </w:t>
      </w:r>
      <w:r w:rsidR="00E77457" w:rsidRPr="00875077">
        <w:rPr>
          <w:iCs/>
          <w:color w:val="000000" w:themeColor="text1"/>
          <w:lang w:val="en-GB"/>
        </w:rPr>
        <w:t>Minimal detectable change</w:t>
      </w:r>
      <w:r w:rsidR="004C69D6" w:rsidRPr="00875077">
        <w:rPr>
          <w:iCs/>
          <w:color w:val="000000" w:themeColor="text1"/>
          <w:lang w:val="en-GB"/>
        </w:rPr>
        <w:t xml:space="preserve"> </w:t>
      </w:r>
      <w:r w:rsidR="00832F2D" w:rsidRPr="00875077">
        <w:rPr>
          <w:iCs/>
          <w:color w:val="000000" w:themeColor="text1"/>
          <w:lang w:val="en-GB"/>
        </w:rPr>
        <w:t>for</w:t>
      </w:r>
      <w:r w:rsidR="00DA3224" w:rsidRPr="00875077">
        <w:rPr>
          <w:iCs/>
          <w:color w:val="000000" w:themeColor="text1"/>
          <w:lang w:val="en-GB"/>
        </w:rPr>
        <w:t xml:space="preserve"> resting motor threshold</w:t>
      </w:r>
      <w:r w:rsidR="004C69D6" w:rsidRPr="00875077">
        <w:rPr>
          <w:iCs/>
          <w:color w:val="000000" w:themeColor="text1"/>
          <w:lang w:val="en-GB"/>
        </w:rPr>
        <w:t xml:space="preserve"> was</w:t>
      </w:r>
      <w:r w:rsidR="003F05B5" w:rsidRPr="00875077">
        <w:rPr>
          <w:iCs/>
          <w:color w:val="000000" w:themeColor="text1"/>
          <w:lang w:val="en-GB"/>
        </w:rPr>
        <w:t xml:space="preserve"> found</w:t>
      </w:r>
      <w:r w:rsidR="004C69D6" w:rsidRPr="00875077">
        <w:rPr>
          <w:iCs/>
          <w:color w:val="000000" w:themeColor="text1"/>
          <w:lang w:val="en-GB"/>
        </w:rPr>
        <w:t xml:space="preserve"> at 10.95% </w:t>
      </w:r>
      <w:r w:rsidR="00E77457" w:rsidRPr="00875077">
        <w:rPr>
          <w:iCs/>
          <w:color w:val="000000" w:themeColor="text1"/>
          <w:lang w:val="en-GB"/>
        </w:rPr>
        <w:t xml:space="preserve">[extensor </w:t>
      </w:r>
      <w:proofErr w:type="spellStart"/>
      <w:r w:rsidR="00E77457" w:rsidRPr="00875077">
        <w:rPr>
          <w:iCs/>
          <w:color w:val="000000" w:themeColor="text1"/>
          <w:lang w:val="en-GB"/>
        </w:rPr>
        <w:t>digitorum</w:t>
      </w:r>
      <w:proofErr w:type="spellEnd"/>
      <w:r w:rsidR="00832F2D" w:rsidRPr="00875077">
        <w:rPr>
          <w:iCs/>
          <w:color w:val="000000" w:themeColor="text1"/>
          <w:lang w:val="en-GB"/>
        </w:rPr>
        <w:t xml:space="preserve">] </w:t>
      </w:r>
      <w:r w:rsidR="004C69D6" w:rsidRPr="00875077">
        <w:rPr>
          <w:iCs/>
          <w:color w:val="000000" w:themeColor="text1"/>
          <w:lang w:val="en-GB"/>
        </w:rPr>
        <w:t xml:space="preserve">and 16.35% </w:t>
      </w:r>
      <w:r w:rsidR="00E77457" w:rsidRPr="00875077">
        <w:rPr>
          <w:iCs/>
          <w:color w:val="000000" w:themeColor="text1"/>
          <w:lang w:val="en-GB"/>
        </w:rPr>
        <w:t>[anterior deltoid</w:t>
      </w:r>
      <w:r w:rsidR="00832F2D" w:rsidRPr="00875077">
        <w:rPr>
          <w:iCs/>
          <w:color w:val="000000" w:themeColor="text1"/>
          <w:lang w:val="en-GB"/>
        </w:rPr>
        <w:t xml:space="preserve">] </w:t>
      </w:r>
      <w:r w:rsidR="004C69D6" w:rsidRPr="00875077">
        <w:rPr>
          <w:iCs/>
          <w:color w:val="000000" w:themeColor="text1"/>
          <w:lang w:val="en-GB"/>
        </w:rPr>
        <w:t xml:space="preserve">between first and third measurements. </w:t>
      </w:r>
      <w:r w:rsidR="00E77457" w:rsidRPr="00875077">
        <w:rPr>
          <w:iCs/>
          <w:color w:val="000000" w:themeColor="text1"/>
          <w:lang w:val="en-GB"/>
        </w:rPr>
        <w:t>Motor evoked potential</w:t>
      </w:r>
      <w:r w:rsidR="00541301" w:rsidRPr="00875077">
        <w:rPr>
          <w:iCs/>
          <w:color w:val="000000" w:themeColor="text1"/>
          <w:lang w:val="en-GB"/>
        </w:rPr>
        <w:t xml:space="preserve"> amplitude</w:t>
      </w:r>
      <w:r w:rsidR="000A6F62" w:rsidRPr="00875077">
        <w:rPr>
          <w:iCs/>
          <w:color w:val="000000" w:themeColor="text1"/>
          <w:lang w:val="en-GB"/>
        </w:rPr>
        <w:t xml:space="preserve"> </w:t>
      </w:r>
      <w:r w:rsidR="005E6EC7" w:rsidRPr="00875077">
        <w:rPr>
          <w:iCs/>
          <w:color w:val="000000" w:themeColor="text1"/>
          <w:lang w:val="en-GB"/>
        </w:rPr>
        <w:t xml:space="preserve">of EDC </w:t>
      </w:r>
      <w:r w:rsidR="000A6F62" w:rsidRPr="00875077">
        <w:rPr>
          <w:iCs/>
          <w:color w:val="000000" w:themeColor="text1"/>
          <w:lang w:val="en-GB"/>
        </w:rPr>
        <w:t>had fair to good</w:t>
      </w:r>
      <w:r w:rsidR="00541301" w:rsidRPr="00875077">
        <w:rPr>
          <w:iCs/>
          <w:color w:val="000000" w:themeColor="text1"/>
          <w:lang w:val="en-GB"/>
        </w:rPr>
        <w:t xml:space="preserve"> </w:t>
      </w:r>
      <w:proofErr w:type="spellStart"/>
      <w:r w:rsidR="005F03B4" w:rsidRPr="00875077">
        <w:rPr>
          <w:iCs/>
          <w:color w:val="000000" w:themeColor="text1"/>
          <w:lang w:val="en-GB"/>
        </w:rPr>
        <w:t>inta-rater</w:t>
      </w:r>
      <w:proofErr w:type="spellEnd"/>
      <w:r w:rsidR="005F03B4" w:rsidRPr="00875077">
        <w:rPr>
          <w:iCs/>
          <w:color w:val="000000" w:themeColor="text1"/>
          <w:lang w:val="en-GB"/>
        </w:rPr>
        <w:t xml:space="preserve"> </w:t>
      </w:r>
      <w:r w:rsidR="000A6F62" w:rsidRPr="00875077">
        <w:rPr>
          <w:iCs/>
          <w:color w:val="000000" w:themeColor="text1"/>
          <w:lang w:val="en-GB"/>
        </w:rPr>
        <w:t>(ICC=</w:t>
      </w:r>
      <w:r w:rsidR="000A6F62" w:rsidRPr="00875077">
        <w:rPr>
          <w:color w:val="000000" w:themeColor="text1"/>
          <w:lang w:val="en-GB"/>
        </w:rPr>
        <w:t xml:space="preserve">0.50) </w:t>
      </w:r>
      <w:r w:rsidR="00BB65D2" w:rsidRPr="00875077">
        <w:rPr>
          <w:iCs/>
          <w:color w:val="000000" w:themeColor="text1"/>
          <w:lang w:val="en-GB"/>
        </w:rPr>
        <w:t xml:space="preserve">and test-retest </w:t>
      </w:r>
      <w:r w:rsidR="00DB3E91" w:rsidRPr="00875077">
        <w:rPr>
          <w:iCs/>
          <w:color w:val="000000" w:themeColor="text1"/>
          <w:lang w:val="en-GB"/>
        </w:rPr>
        <w:t xml:space="preserve">reliability </w:t>
      </w:r>
      <w:r w:rsidR="000A6F62" w:rsidRPr="00875077">
        <w:rPr>
          <w:iCs/>
          <w:color w:val="000000" w:themeColor="text1"/>
          <w:lang w:val="en-GB"/>
        </w:rPr>
        <w:t>(ICC=0.65)</w:t>
      </w:r>
      <w:r w:rsidR="00DB3E91" w:rsidRPr="00875077">
        <w:rPr>
          <w:iCs/>
          <w:color w:val="000000" w:themeColor="text1"/>
          <w:lang w:val="en-GB"/>
        </w:rPr>
        <w:t>.</w:t>
      </w:r>
      <w:r w:rsidR="000A6F62" w:rsidRPr="00875077">
        <w:rPr>
          <w:iCs/>
          <w:color w:val="000000" w:themeColor="text1"/>
          <w:lang w:val="en-GB"/>
        </w:rPr>
        <w:t xml:space="preserve"> </w:t>
      </w:r>
    </w:p>
    <w:p w14:paraId="7FCAAB48" w14:textId="6D35DB8E" w:rsidR="002B1193" w:rsidRPr="00875077" w:rsidRDefault="00E85B70" w:rsidP="007F3271">
      <w:pPr>
        <w:spacing w:line="480" w:lineRule="auto"/>
        <w:rPr>
          <w:rFonts w:eastAsia="Times New Roman"/>
          <w:color w:val="000000" w:themeColor="text1"/>
          <w:lang w:val="en-GB"/>
        </w:rPr>
      </w:pPr>
      <w:r w:rsidRPr="00875077">
        <w:rPr>
          <w:rFonts w:eastAsia="Times New Roman"/>
          <w:b/>
          <w:color w:val="000000" w:themeColor="text1"/>
          <w:lang w:val="en-GB"/>
        </w:rPr>
        <w:lastRenderedPageBreak/>
        <w:t>Conclusion</w:t>
      </w:r>
      <w:r w:rsidR="00BD6A5F" w:rsidRPr="00875077">
        <w:rPr>
          <w:rFonts w:eastAsia="Times New Roman"/>
          <w:b/>
          <w:color w:val="000000" w:themeColor="text1"/>
          <w:lang w:val="en-GB"/>
        </w:rPr>
        <w:t>s</w:t>
      </w:r>
      <w:r w:rsidRPr="00875077">
        <w:rPr>
          <w:rFonts w:eastAsia="Times New Roman"/>
          <w:b/>
          <w:color w:val="000000" w:themeColor="text1"/>
          <w:lang w:val="en-GB"/>
        </w:rPr>
        <w:t>:</w:t>
      </w:r>
      <w:r w:rsidR="00DA3224" w:rsidRPr="00875077">
        <w:rPr>
          <w:rFonts w:eastAsia="Times New Roman"/>
          <w:color w:val="000000" w:themeColor="text1"/>
          <w:lang w:val="en-GB"/>
        </w:rPr>
        <w:t xml:space="preserve"> Our results suggest that resting motor threshold</w:t>
      </w:r>
      <w:r w:rsidRPr="00875077">
        <w:rPr>
          <w:rFonts w:eastAsia="Times New Roman"/>
          <w:color w:val="000000" w:themeColor="text1"/>
          <w:lang w:val="en-GB"/>
        </w:rPr>
        <w:t xml:space="preserve"> is a reliable neurophysiological measure even for proximal shoulder muscles. </w:t>
      </w:r>
      <w:r w:rsidR="00B4243C" w:rsidRPr="00875077">
        <w:rPr>
          <w:rFonts w:eastAsia="Times New Roman"/>
          <w:color w:val="000000" w:themeColor="text1"/>
          <w:lang w:val="en-GB"/>
        </w:rPr>
        <w:t xml:space="preserve">Future research should further explore </w:t>
      </w:r>
      <w:r w:rsidR="00E77457" w:rsidRPr="00875077">
        <w:rPr>
          <w:rFonts w:eastAsia="Times New Roman"/>
          <w:color w:val="000000" w:themeColor="text1"/>
          <w:lang w:val="en-GB"/>
        </w:rPr>
        <w:t>the reliability of motor evoked potential</w:t>
      </w:r>
      <w:r w:rsidR="00E83AD7" w:rsidRPr="00875077">
        <w:rPr>
          <w:rFonts w:eastAsia="Times New Roman"/>
          <w:color w:val="000000" w:themeColor="text1"/>
          <w:lang w:val="en-GB"/>
        </w:rPr>
        <w:t xml:space="preserve"> amplitude before integration</w:t>
      </w:r>
      <w:r w:rsidR="00B4243C" w:rsidRPr="00875077">
        <w:rPr>
          <w:rFonts w:eastAsia="Times New Roman"/>
          <w:color w:val="000000" w:themeColor="text1"/>
          <w:lang w:val="en-GB"/>
        </w:rPr>
        <w:t xml:space="preserve"> into neurological rehabilitation. </w:t>
      </w:r>
    </w:p>
    <w:p w14:paraId="4FDF68ED" w14:textId="77777777" w:rsidR="00C03701" w:rsidRPr="00875077" w:rsidRDefault="00C03701" w:rsidP="007F3271">
      <w:pPr>
        <w:spacing w:line="480" w:lineRule="auto"/>
        <w:rPr>
          <w:rFonts w:eastAsia="Times New Roman"/>
          <w:i/>
          <w:color w:val="000000" w:themeColor="text1"/>
        </w:rPr>
      </w:pPr>
    </w:p>
    <w:p w14:paraId="1D2391D8" w14:textId="1DFE574C" w:rsidR="00442317" w:rsidRPr="00875077" w:rsidRDefault="00630D69" w:rsidP="007F3271">
      <w:pPr>
        <w:spacing w:line="480" w:lineRule="auto"/>
        <w:rPr>
          <w:rFonts w:eastAsia="Times New Roman"/>
          <w:i/>
          <w:color w:val="000000" w:themeColor="text1"/>
        </w:rPr>
      </w:pPr>
      <w:r w:rsidRPr="00875077">
        <w:rPr>
          <w:rFonts w:eastAsia="Times New Roman"/>
          <w:b/>
          <w:color w:val="000000" w:themeColor="text1"/>
        </w:rPr>
        <w:t>Keywords:</w:t>
      </w:r>
      <w:r w:rsidRPr="00875077">
        <w:rPr>
          <w:rFonts w:eastAsia="Times New Roman"/>
          <w:i/>
          <w:color w:val="000000" w:themeColor="text1"/>
        </w:rPr>
        <w:t xml:space="preserve"> </w:t>
      </w:r>
      <w:r w:rsidR="00832F2D" w:rsidRPr="00875077">
        <w:rPr>
          <w:rFonts w:eastAsia="Times New Roman"/>
          <w:color w:val="000000" w:themeColor="text1"/>
        </w:rPr>
        <w:t xml:space="preserve">transcranial magnetic stimulation; reliability; upper limb; proximal </w:t>
      </w:r>
      <w:r w:rsidR="007A609F" w:rsidRPr="00875077">
        <w:rPr>
          <w:rFonts w:eastAsia="Times New Roman"/>
          <w:color w:val="000000" w:themeColor="text1"/>
        </w:rPr>
        <w:t xml:space="preserve">upper limb </w:t>
      </w:r>
      <w:r w:rsidR="00832F2D" w:rsidRPr="00875077">
        <w:rPr>
          <w:rFonts w:eastAsia="Times New Roman"/>
          <w:color w:val="000000" w:themeColor="text1"/>
        </w:rPr>
        <w:t>muscles; distal</w:t>
      </w:r>
      <w:r w:rsidR="007A609F" w:rsidRPr="00875077">
        <w:rPr>
          <w:rFonts w:eastAsia="Times New Roman"/>
          <w:color w:val="000000" w:themeColor="text1"/>
        </w:rPr>
        <w:t xml:space="preserve"> upper limb</w:t>
      </w:r>
      <w:r w:rsidR="00832F2D" w:rsidRPr="00875077">
        <w:rPr>
          <w:rFonts w:eastAsia="Times New Roman"/>
          <w:color w:val="000000" w:themeColor="text1"/>
        </w:rPr>
        <w:t xml:space="preserve"> muscles; outcome measure</w:t>
      </w:r>
      <w:r w:rsidR="007A609F" w:rsidRPr="00875077">
        <w:rPr>
          <w:rFonts w:eastAsia="Times New Roman"/>
          <w:color w:val="000000" w:themeColor="text1"/>
        </w:rPr>
        <w:t>ment;</w:t>
      </w:r>
      <w:r w:rsidR="00832F2D" w:rsidRPr="00875077">
        <w:rPr>
          <w:rFonts w:eastAsia="Times New Roman"/>
          <w:color w:val="000000" w:themeColor="text1"/>
        </w:rPr>
        <w:t xml:space="preserve"> </w:t>
      </w:r>
      <w:r w:rsidR="007A609F" w:rsidRPr="00875077">
        <w:rPr>
          <w:rFonts w:eastAsia="Times New Roman"/>
          <w:color w:val="000000" w:themeColor="text1"/>
        </w:rPr>
        <w:t>neurorehabilitation; minimal detectable change</w:t>
      </w:r>
      <w:r w:rsidR="00442317" w:rsidRPr="00875077">
        <w:rPr>
          <w:rFonts w:eastAsia="Times New Roman"/>
          <w:i/>
          <w:color w:val="000000" w:themeColor="text1"/>
        </w:rPr>
        <w:br w:type="page"/>
      </w:r>
    </w:p>
    <w:p w14:paraId="675F55F2" w14:textId="4F711F7F" w:rsidR="00630D69" w:rsidRPr="00875077" w:rsidRDefault="00630D69" w:rsidP="007F3271">
      <w:pPr>
        <w:spacing w:line="480" w:lineRule="auto"/>
        <w:outlineLvl w:val="0"/>
        <w:rPr>
          <w:b/>
          <w:iCs/>
          <w:color w:val="000000" w:themeColor="text1"/>
          <w:lang w:val="en-GB"/>
        </w:rPr>
      </w:pPr>
      <w:r w:rsidRPr="00875077">
        <w:rPr>
          <w:b/>
          <w:iCs/>
          <w:color w:val="000000" w:themeColor="text1"/>
          <w:lang w:val="en-GB"/>
        </w:rPr>
        <w:lastRenderedPageBreak/>
        <w:t>Introduction</w:t>
      </w:r>
    </w:p>
    <w:p w14:paraId="4B5DDB1C" w14:textId="7D7BBDD3" w:rsidR="00D87BBC" w:rsidRPr="00875077" w:rsidRDefault="00B362E6" w:rsidP="00B362E6">
      <w:pPr>
        <w:spacing w:before="240" w:line="480" w:lineRule="auto"/>
        <w:rPr>
          <w:iCs/>
          <w:color w:val="000000" w:themeColor="text1"/>
          <w:lang w:val="en-GB"/>
        </w:rPr>
      </w:pPr>
      <w:r w:rsidRPr="00875077">
        <w:rPr>
          <w:iCs/>
          <w:color w:val="000000" w:themeColor="text1"/>
          <w:lang w:val="en-GB"/>
        </w:rPr>
        <w:t xml:space="preserve">Transcranial magnetic stimulation (TMS), a non-invasive form of brain stimulation, can be used both as a </w:t>
      </w:r>
      <w:proofErr w:type="spellStart"/>
      <w:r w:rsidRPr="00875077">
        <w:rPr>
          <w:iCs/>
          <w:color w:val="000000" w:themeColor="text1"/>
          <w:lang w:val="en-GB"/>
        </w:rPr>
        <w:t>corticomotor</w:t>
      </w:r>
      <w:proofErr w:type="spellEnd"/>
      <w:r w:rsidRPr="00875077">
        <w:rPr>
          <w:iCs/>
          <w:color w:val="000000" w:themeColor="text1"/>
          <w:lang w:val="en-GB"/>
        </w:rPr>
        <w:t xml:space="preserve"> intervention and neurophysiological outcome measure.</w:t>
      </w:r>
      <w:r w:rsidRPr="00875077">
        <w:rPr>
          <w:iCs/>
          <w:color w:val="000000" w:themeColor="text1"/>
        </w:rPr>
        <w:t xml:space="preserve"> </w:t>
      </w:r>
      <w:r w:rsidRPr="00875077">
        <w:rPr>
          <w:iCs/>
          <w:color w:val="000000" w:themeColor="text1"/>
          <w:lang w:val="en-GB"/>
        </w:rPr>
        <w:t xml:space="preserve">TMS allows the study of motor evoked potentials (MEPs) resting thresholds and amplitudes </w:t>
      </w:r>
      <w:r w:rsidR="00A4547F" w:rsidRPr="00875077">
        <w:rPr>
          <w:iCs/>
          <w:color w:val="000000" w:themeColor="text1"/>
          <w:lang w:val="en-GB"/>
        </w:rPr>
        <w:t xml:space="preserve">of the upper limb </w:t>
      </w:r>
      <w:r w:rsidRPr="00875077">
        <w:rPr>
          <w:iCs/>
          <w:color w:val="000000" w:themeColor="text1"/>
          <w:lang w:val="en-GB"/>
        </w:rPr>
        <w:t xml:space="preserve">as a measure of changes in </w:t>
      </w:r>
      <w:proofErr w:type="spellStart"/>
      <w:r w:rsidRPr="00875077">
        <w:rPr>
          <w:iCs/>
          <w:color w:val="000000" w:themeColor="text1"/>
          <w:lang w:val="en-GB"/>
        </w:rPr>
        <w:t>corticomotor</w:t>
      </w:r>
      <w:proofErr w:type="spellEnd"/>
      <w:r w:rsidRPr="00875077">
        <w:rPr>
          <w:iCs/>
          <w:color w:val="000000" w:themeColor="text1"/>
          <w:lang w:val="en-GB"/>
        </w:rPr>
        <w:t xml:space="preserve"> excitability </w:t>
      </w:r>
      <w:r w:rsidRPr="00875077">
        <w:rPr>
          <w:iCs/>
          <w:color w:val="000000" w:themeColor="text1"/>
        </w:rPr>
        <w:t>of healthy people and people with neurological conditions</w:t>
      </w:r>
      <w:r w:rsidRPr="00875077">
        <w:rPr>
          <w:iCs/>
          <w:color w:val="000000" w:themeColor="text1"/>
        </w:rPr>
        <w:fldChar w:fldCharType="begin"/>
      </w:r>
      <w:r w:rsidRPr="00875077">
        <w:rPr>
          <w:iCs/>
          <w:color w:val="000000" w:themeColor="text1"/>
        </w:rPr>
        <w:instrText xml:space="preserve"> ADDIN EN.CITE &lt;EndNote&gt;&lt;Cite&gt;&lt;Author&gt;Rossini&lt;/Author&gt;&lt;Year&gt;1998&lt;/Year&gt;&lt;RecNum&gt;208&lt;/RecNum&gt;&lt;DisplayText&gt;(Rossini and Rossi, 1998, Fleming et al., 2012)&lt;/DisplayText&gt;&lt;record&gt;&lt;rec-number&gt;208&lt;/rec-number&gt;&lt;foreign-keys&gt;&lt;key app="EN" db-id="s9vvrefv0x9w07e90sspztt35zsfazr0z5x0" timestamp="1355516446"&gt;208&lt;/key&gt;&lt;/foreign-keys&gt;&lt;ref-type name="Journal Article"&gt;17&lt;/ref-type&gt;&lt;contributors&gt;&lt;authors&gt;&lt;author&gt;Rossini, P.M.&lt;/author&gt;&lt;author&gt;Rossi, S.&lt;/author&gt;&lt;/authors&gt;&lt;/contributors&gt;&lt;titles&gt;&lt;title&gt;Clinical applications of motor evoked potentials&lt;/title&gt;&lt;secondary-title&gt;Electroencephalography and clinical neurophysiology&lt;/secondary-title&gt;&lt;/titles&gt;&lt;periodical&gt;&lt;full-title&gt;Electroencephalography and clinical neurophysiology&lt;/full-title&gt;&lt;/periodical&gt;&lt;pages&gt;180-194&lt;/pages&gt;&lt;volume&gt;106&lt;/volume&gt;&lt;number&gt;3&lt;/number&gt;&lt;dates&gt;&lt;year&gt;1998&lt;/year&gt;&lt;/dates&gt;&lt;isbn&gt;0013-4694&lt;/isbn&gt;&lt;urls&gt;&lt;/urls&gt;&lt;/record&gt;&lt;/Cite&gt;&lt;Cite&gt;&lt;Author&gt;Fleming&lt;/Author&gt;&lt;Year&gt;2012&lt;/Year&gt;&lt;RecNum&gt;550&lt;/RecNum&gt;&lt;record&gt;&lt;rec-number&gt;550&lt;/rec-number&gt;&lt;foreign-keys&gt;&lt;key app="EN" db-id="s9vvrefv0x9w07e90sspztt35zsfazr0z5x0" timestamp="1391761496"&gt;550&lt;/key&gt;&lt;/foreign-keys&gt;&lt;ref-type name="Journal Article"&gt;17&lt;/ref-type&gt;&lt;contributors&gt;&lt;authors&gt;&lt;author&gt;Fleming, Melanie K&lt;/author&gt;&lt;author&gt;Sorinola, Isaac O&lt;/author&gt;&lt;author&gt;Newham, Di J&lt;/author&gt;&lt;author&gt;Roberts-Lewis, Sarah F&lt;/author&gt;&lt;author&gt;Bergmann, Jeroen HM&lt;/author&gt;&lt;/authors&gt;&lt;/contributors&gt;&lt;titles&gt;&lt;title&gt;The effect of coil type and navigation on the reliability of transcranial magnetic stimulation&lt;/title&gt;&lt;/titles&gt;&lt;dates&gt;&lt;year&gt;2012&lt;/year&gt;&lt;/dates&gt;&lt;isbn&gt;1534-4320&lt;/isbn&gt;&lt;urls&gt;&lt;/urls&gt;&lt;/record&gt;&lt;/Cite&gt;&lt;/EndNote&gt;</w:instrText>
      </w:r>
      <w:r w:rsidRPr="00875077">
        <w:rPr>
          <w:iCs/>
          <w:color w:val="000000" w:themeColor="text1"/>
        </w:rPr>
        <w:fldChar w:fldCharType="end"/>
      </w:r>
      <w:r w:rsidRPr="00875077">
        <w:rPr>
          <w:iCs/>
          <w:color w:val="000000" w:themeColor="text1"/>
          <w:lang w:val="en-GB"/>
        </w:rPr>
        <w:t xml:space="preserve"> when combined with electromyography (EMG).</w:t>
      </w:r>
      <w:r w:rsidRPr="00875077">
        <w:rPr>
          <w:iCs/>
          <w:color w:val="000000" w:themeColor="text1"/>
          <w:vertAlign w:val="superscript"/>
          <w:lang w:val="en-GB"/>
        </w:rPr>
        <w:t>1</w:t>
      </w:r>
      <w:r w:rsidRPr="00875077">
        <w:rPr>
          <w:iCs/>
          <w:color w:val="000000" w:themeColor="text1"/>
          <w:lang w:val="en-GB"/>
        </w:rPr>
        <w:t xml:space="preserve"> Upper limb activities such as reach-to-grasp, require coordinated motor control of both proximal and distal musculature.</w:t>
      </w:r>
      <w:r w:rsidRPr="00875077">
        <w:rPr>
          <w:iCs/>
          <w:color w:val="000000" w:themeColor="text1"/>
          <w:vertAlign w:val="superscript"/>
          <w:lang w:val="en-GB"/>
        </w:rPr>
        <w:t>2</w:t>
      </w:r>
      <w:r w:rsidRPr="00875077">
        <w:rPr>
          <w:iCs/>
          <w:color w:val="000000" w:themeColor="text1"/>
          <w:lang w:val="en-GB"/>
        </w:rPr>
        <w:t xml:space="preserve"> </w:t>
      </w:r>
      <w:r w:rsidR="00310428" w:rsidRPr="00875077">
        <w:rPr>
          <w:iCs/>
          <w:color w:val="000000" w:themeColor="text1"/>
          <w:lang w:val="en-GB"/>
        </w:rPr>
        <w:t>Due to prominent cortical representations, i</w:t>
      </w:r>
      <w:r w:rsidRPr="00875077">
        <w:rPr>
          <w:iCs/>
          <w:color w:val="000000" w:themeColor="text1"/>
          <w:lang w:val="en-GB"/>
        </w:rPr>
        <w:t>nvestigation of the level of reliability of neurophysiological outcome measures</w:t>
      </w:r>
      <w:r w:rsidR="00310428" w:rsidRPr="00875077">
        <w:rPr>
          <w:iCs/>
          <w:color w:val="000000" w:themeColor="text1"/>
          <w:lang w:val="en-GB"/>
        </w:rPr>
        <w:t xml:space="preserve"> has been more popular with </w:t>
      </w:r>
      <w:r w:rsidRPr="00875077">
        <w:rPr>
          <w:iCs/>
          <w:color w:val="000000" w:themeColor="text1"/>
          <w:lang w:val="en-GB"/>
        </w:rPr>
        <w:t xml:space="preserve">distal </w:t>
      </w:r>
      <w:r w:rsidR="00310428" w:rsidRPr="00875077">
        <w:rPr>
          <w:iCs/>
          <w:color w:val="000000" w:themeColor="text1"/>
          <w:lang w:val="en-GB"/>
        </w:rPr>
        <w:t xml:space="preserve">than proximal </w:t>
      </w:r>
      <w:r w:rsidRPr="00875077">
        <w:rPr>
          <w:iCs/>
          <w:color w:val="000000" w:themeColor="text1"/>
          <w:lang w:val="en-GB"/>
        </w:rPr>
        <w:t>muscles</w:t>
      </w:r>
      <w:r w:rsidR="00310428" w:rsidRPr="00875077">
        <w:rPr>
          <w:iCs/>
          <w:color w:val="000000" w:themeColor="text1"/>
          <w:lang w:val="en-GB"/>
        </w:rPr>
        <w:t>.</w:t>
      </w:r>
      <w:r w:rsidR="00310428" w:rsidRPr="00875077">
        <w:rPr>
          <w:iCs/>
          <w:color w:val="000000" w:themeColor="text1"/>
          <w:vertAlign w:val="superscript"/>
          <w:lang w:val="en-GB"/>
        </w:rPr>
        <w:t>3,4,5</w:t>
      </w:r>
      <w:r w:rsidR="00310428" w:rsidRPr="00875077">
        <w:rPr>
          <w:iCs/>
          <w:color w:val="000000" w:themeColor="text1"/>
          <w:lang w:val="en-GB"/>
        </w:rPr>
        <w:t xml:space="preserve"> However, the study of</w:t>
      </w:r>
      <w:r w:rsidR="00090566" w:rsidRPr="00875077">
        <w:rPr>
          <w:iCs/>
          <w:color w:val="000000" w:themeColor="text1"/>
          <w:lang w:val="en-GB"/>
        </w:rPr>
        <w:t xml:space="preserve"> the psychometric properties of the outcome measure with proximal muscle areas is</w:t>
      </w:r>
      <w:r w:rsidR="00310428" w:rsidRPr="00875077">
        <w:rPr>
          <w:iCs/>
          <w:color w:val="000000" w:themeColor="text1"/>
          <w:lang w:val="en-GB"/>
        </w:rPr>
        <w:t xml:space="preserve"> equivocal valuable.</w:t>
      </w:r>
      <w:r w:rsidR="00090566" w:rsidRPr="00875077">
        <w:rPr>
          <w:iCs/>
          <w:color w:val="000000" w:themeColor="text1"/>
          <w:vertAlign w:val="superscript"/>
          <w:lang w:val="en-GB"/>
        </w:rPr>
        <w:t>6</w:t>
      </w:r>
      <w:r w:rsidR="00310428" w:rsidRPr="00875077">
        <w:rPr>
          <w:iCs/>
          <w:color w:val="000000" w:themeColor="text1"/>
          <w:lang w:val="en-GB"/>
        </w:rPr>
        <w:t xml:space="preserve"> </w:t>
      </w:r>
    </w:p>
    <w:p w14:paraId="615C66A5" w14:textId="77777777" w:rsidR="00A96FC9" w:rsidRPr="00875077" w:rsidRDefault="00B362E6" w:rsidP="002907D3">
      <w:pPr>
        <w:spacing w:before="240" w:after="240" w:line="480" w:lineRule="auto"/>
        <w:outlineLvl w:val="0"/>
        <w:rPr>
          <w:color w:val="000000" w:themeColor="text1"/>
          <w:lang w:val="en-GB"/>
        </w:rPr>
      </w:pPr>
      <w:r w:rsidRPr="00875077">
        <w:rPr>
          <w:iCs/>
          <w:color w:val="000000" w:themeColor="text1"/>
        </w:rPr>
        <w:t>Reliability of a measure refers to the extent that the measurement is free from error and also consistent.</w:t>
      </w:r>
      <w:r w:rsidR="00090566" w:rsidRPr="00875077">
        <w:rPr>
          <w:iCs/>
          <w:color w:val="000000" w:themeColor="text1"/>
          <w:vertAlign w:val="superscript"/>
        </w:rPr>
        <w:t>7</w:t>
      </w:r>
      <w:r w:rsidRPr="00875077">
        <w:rPr>
          <w:iCs/>
          <w:color w:val="000000" w:themeColor="text1"/>
        </w:rPr>
        <w:t xml:space="preserve"> </w:t>
      </w:r>
      <w:r w:rsidR="00A96FC9" w:rsidRPr="00875077">
        <w:rPr>
          <w:color w:val="000000" w:themeColor="text1"/>
          <w:lang w:val="en-GB"/>
        </w:rPr>
        <w:t xml:space="preserve">Research exploring the reliability of TMS outcome measurements mainly involved the elbow, wrist and hand regions. </w:t>
      </w:r>
      <w:r w:rsidR="00B222F0" w:rsidRPr="00875077">
        <w:rPr>
          <w:color w:val="000000" w:themeColor="text1"/>
          <w:lang w:val="en-GB"/>
        </w:rPr>
        <w:t>E</w:t>
      </w:r>
      <w:r w:rsidR="00C06B9E" w:rsidRPr="00875077">
        <w:rPr>
          <w:color w:val="000000" w:themeColor="text1"/>
          <w:lang w:val="en-GB"/>
        </w:rPr>
        <w:t>xcellent</w:t>
      </w:r>
      <w:r w:rsidR="004F62FF" w:rsidRPr="00875077">
        <w:rPr>
          <w:color w:val="000000" w:themeColor="text1"/>
          <w:lang w:val="en-GB"/>
        </w:rPr>
        <w:t xml:space="preserve"> </w:t>
      </w:r>
      <w:r w:rsidR="00C06B9E" w:rsidRPr="00875077">
        <w:rPr>
          <w:color w:val="000000" w:themeColor="text1"/>
          <w:lang w:val="en-GB"/>
        </w:rPr>
        <w:t xml:space="preserve">test-retest </w:t>
      </w:r>
      <w:r w:rsidR="004F62FF" w:rsidRPr="00875077">
        <w:rPr>
          <w:iCs/>
          <w:color w:val="000000" w:themeColor="text1"/>
          <w:lang w:val="en-GB"/>
        </w:rPr>
        <w:t xml:space="preserve">reliability </w:t>
      </w:r>
      <w:r w:rsidR="00B222F0" w:rsidRPr="00875077">
        <w:rPr>
          <w:iCs/>
          <w:color w:val="000000" w:themeColor="text1"/>
          <w:lang w:val="en-GB"/>
        </w:rPr>
        <w:t>(ICC=</w:t>
      </w:r>
      <w:r w:rsidR="00C06B9E" w:rsidRPr="00875077">
        <w:rPr>
          <w:iCs/>
          <w:color w:val="000000" w:themeColor="text1"/>
          <w:lang w:val="en-GB"/>
        </w:rPr>
        <w:t xml:space="preserve">0.92) </w:t>
      </w:r>
      <w:r w:rsidR="004F62FF" w:rsidRPr="00875077">
        <w:rPr>
          <w:iCs/>
          <w:color w:val="000000" w:themeColor="text1"/>
          <w:lang w:val="en-GB"/>
        </w:rPr>
        <w:t xml:space="preserve">has been found for </w:t>
      </w:r>
      <w:r w:rsidR="001E2775" w:rsidRPr="00875077">
        <w:rPr>
          <w:iCs/>
          <w:color w:val="000000" w:themeColor="text1"/>
          <w:lang w:val="en-GB"/>
        </w:rPr>
        <w:t>r</w:t>
      </w:r>
      <w:r w:rsidR="004F62FF" w:rsidRPr="00875077">
        <w:rPr>
          <w:iCs/>
          <w:color w:val="000000" w:themeColor="text1"/>
          <w:lang w:val="en-GB"/>
        </w:rPr>
        <w:t>esting</w:t>
      </w:r>
      <w:r w:rsidR="001E2775" w:rsidRPr="00875077">
        <w:rPr>
          <w:iCs/>
          <w:color w:val="000000" w:themeColor="text1"/>
          <w:lang w:val="en-GB"/>
        </w:rPr>
        <w:t xml:space="preserve"> motor t</w:t>
      </w:r>
      <w:r w:rsidR="004F62FF" w:rsidRPr="00875077">
        <w:rPr>
          <w:iCs/>
          <w:color w:val="000000" w:themeColor="text1"/>
          <w:lang w:val="en-GB"/>
        </w:rPr>
        <w:t xml:space="preserve">hreshold </w:t>
      </w:r>
      <w:r w:rsidR="00D54B64" w:rsidRPr="00875077">
        <w:rPr>
          <w:iCs/>
          <w:color w:val="000000" w:themeColor="text1"/>
          <w:lang w:val="en-GB"/>
        </w:rPr>
        <w:t xml:space="preserve">(RMT) </w:t>
      </w:r>
      <w:r w:rsidR="00B222F0" w:rsidRPr="00875077">
        <w:rPr>
          <w:iCs/>
          <w:color w:val="000000" w:themeColor="text1"/>
          <w:lang w:val="en-GB"/>
        </w:rPr>
        <w:t>for</w:t>
      </w:r>
      <w:r w:rsidR="00427657" w:rsidRPr="00875077">
        <w:rPr>
          <w:iCs/>
          <w:color w:val="000000" w:themeColor="text1"/>
          <w:lang w:val="en-GB"/>
        </w:rPr>
        <w:t xml:space="preserve"> distal</w:t>
      </w:r>
      <w:r w:rsidR="00B222F0" w:rsidRPr="00875077">
        <w:rPr>
          <w:iCs/>
          <w:color w:val="000000" w:themeColor="text1"/>
          <w:lang w:val="en-GB"/>
        </w:rPr>
        <w:t xml:space="preserve"> hand muscles</w:t>
      </w:r>
      <w:r w:rsidR="00720E51" w:rsidRPr="00875077">
        <w:rPr>
          <w:iCs/>
          <w:color w:val="000000" w:themeColor="text1"/>
          <w:lang w:val="en-GB"/>
        </w:rPr>
        <w:t>;</w:t>
      </w:r>
      <w:r w:rsidR="004F62FF" w:rsidRPr="00875077">
        <w:rPr>
          <w:iCs/>
          <w:color w:val="000000" w:themeColor="text1"/>
          <w:lang w:val="en-GB"/>
        </w:rPr>
        <w:t xml:space="preserve"> </w:t>
      </w:r>
      <w:r w:rsidR="00C06B9E" w:rsidRPr="00875077">
        <w:rPr>
          <w:iCs/>
          <w:color w:val="000000" w:themeColor="text1"/>
          <w:lang w:val="en-GB"/>
        </w:rPr>
        <w:t xml:space="preserve">abductor </w:t>
      </w:r>
      <w:proofErr w:type="spellStart"/>
      <w:r w:rsidR="00C06B9E" w:rsidRPr="00875077">
        <w:rPr>
          <w:iCs/>
          <w:color w:val="000000" w:themeColor="text1"/>
          <w:lang w:val="en-GB"/>
        </w:rPr>
        <w:t>pollicis</w:t>
      </w:r>
      <w:proofErr w:type="spellEnd"/>
      <w:r w:rsidR="00C06B9E" w:rsidRPr="00875077">
        <w:rPr>
          <w:iCs/>
          <w:color w:val="000000" w:themeColor="text1"/>
          <w:lang w:val="en-GB"/>
        </w:rPr>
        <w:t xml:space="preserve"> brevis, first dorsal </w:t>
      </w:r>
      <w:proofErr w:type="spellStart"/>
      <w:r w:rsidR="00C06B9E" w:rsidRPr="00875077">
        <w:rPr>
          <w:iCs/>
          <w:color w:val="000000" w:themeColor="text1"/>
          <w:lang w:val="en-GB"/>
        </w:rPr>
        <w:t>interosseus</w:t>
      </w:r>
      <w:proofErr w:type="spellEnd"/>
      <w:r w:rsidR="00C06B9E" w:rsidRPr="00875077">
        <w:rPr>
          <w:iCs/>
          <w:color w:val="000000" w:themeColor="text1"/>
          <w:lang w:val="en-GB"/>
        </w:rPr>
        <w:t xml:space="preserve"> and abductor </w:t>
      </w:r>
      <w:proofErr w:type="spellStart"/>
      <w:r w:rsidR="00C06B9E" w:rsidRPr="00875077">
        <w:rPr>
          <w:iCs/>
          <w:color w:val="000000" w:themeColor="text1"/>
          <w:lang w:val="en-GB"/>
        </w:rPr>
        <w:t>digiti</w:t>
      </w:r>
      <w:proofErr w:type="spellEnd"/>
      <w:r w:rsidR="00C06B9E" w:rsidRPr="00875077">
        <w:rPr>
          <w:iCs/>
          <w:color w:val="000000" w:themeColor="text1"/>
          <w:lang w:val="en-GB"/>
        </w:rPr>
        <w:t xml:space="preserve"> </w:t>
      </w:r>
      <w:proofErr w:type="spellStart"/>
      <w:r w:rsidR="00C06B9E" w:rsidRPr="00875077">
        <w:rPr>
          <w:iCs/>
          <w:color w:val="000000" w:themeColor="text1"/>
          <w:lang w:val="en-GB"/>
        </w:rPr>
        <w:t>minimi</w:t>
      </w:r>
      <w:proofErr w:type="spellEnd"/>
      <w:r w:rsidR="00C06B9E" w:rsidRPr="00875077">
        <w:rPr>
          <w:iCs/>
          <w:color w:val="000000" w:themeColor="text1"/>
          <w:lang w:val="en-GB"/>
        </w:rPr>
        <w:t xml:space="preserve"> </w:t>
      </w:r>
      <w:r w:rsidR="004F62FF" w:rsidRPr="00875077">
        <w:rPr>
          <w:iCs/>
          <w:color w:val="000000" w:themeColor="text1"/>
          <w:lang w:val="en-GB"/>
        </w:rPr>
        <w:t xml:space="preserve">in young </w:t>
      </w:r>
      <w:r w:rsidR="008D259E" w:rsidRPr="00875077">
        <w:rPr>
          <w:iCs/>
          <w:color w:val="000000" w:themeColor="text1"/>
          <w:lang w:val="en-GB"/>
        </w:rPr>
        <w:t xml:space="preserve">healthy </w:t>
      </w:r>
      <w:r w:rsidR="004F62FF" w:rsidRPr="00875077">
        <w:rPr>
          <w:iCs/>
          <w:color w:val="000000" w:themeColor="text1"/>
          <w:lang w:val="en-GB"/>
        </w:rPr>
        <w:t xml:space="preserve">adults </w:t>
      </w:r>
      <w:r w:rsidR="00B222F0" w:rsidRPr="00875077">
        <w:rPr>
          <w:iCs/>
          <w:color w:val="000000" w:themeColor="text1"/>
          <w:lang w:val="en-GB"/>
        </w:rPr>
        <w:t>but lower reliability for proximal muscles such a</w:t>
      </w:r>
      <w:r w:rsidR="008D259E" w:rsidRPr="00875077">
        <w:rPr>
          <w:iCs/>
          <w:color w:val="000000" w:themeColor="text1"/>
          <w:lang w:val="en-GB"/>
        </w:rPr>
        <w:t xml:space="preserve">s the biceps </w:t>
      </w:r>
      <w:proofErr w:type="spellStart"/>
      <w:r w:rsidR="008D259E" w:rsidRPr="00875077">
        <w:rPr>
          <w:iCs/>
          <w:color w:val="000000" w:themeColor="text1"/>
          <w:lang w:val="en-GB"/>
        </w:rPr>
        <w:t>brachii</w:t>
      </w:r>
      <w:proofErr w:type="spellEnd"/>
      <w:r w:rsidR="008D259E" w:rsidRPr="00875077">
        <w:rPr>
          <w:iCs/>
          <w:color w:val="000000" w:themeColor="text1"/>
          <w:lang w:val="en-GB"/>
        </w:rPr>
        <w:t xml:space="preserve"> (ICC=0.75)</w:t>
      </w:r>
      <w:r w:rsidR="004F62FF" w:rsidRPr="00875077">
        <w:rPr>
          <w:iCs/>
          <w:color w:val="000000" w:themeColor="text1"/>
          <w:lang w:val="en-GB"/>
        </w:rPr>
        <w:t>.</w:t>
      </w:r>
      <w:r w:rsidR="00090566" w:rsidRPr="00875077">
        <w:rPr>
          <w:iCs/>
          <w:color w:val="000000" w:themeColor="text1"/>
          <w:vertAlign w:val="superscript"/>
          <w:lang w:val="en-GB"/>
        </w:rPr>
        <w:t>6</w:t>
      </w:r>
      <w:proofErr w:type="gramStart"/>
      <w:r w:rsidR="00090566" w:rsidRPr="00875077">
        <w:rPr>
          <w:iCs/>
          <w:color w:val="000000" w:themeColor="text1"/>
          <w:vertAlign w:val="superscript"/>
          <w:lang w:val="en-GB"/>
        </w:rPr>
        <w:t>,8</w:t>
      </w:r>
      <w:proofErr w:type="gramEnd"/>
      <w:r w:rsidR="004F62FF" w:rsidRPr="00875077">
        <w:rPr>
          <w:iCs/>
          <w:color w:val="000000" w:themeColor="text1"/>
          <w:lang w:val="en-GB"/>
        </w:rPr>
        <w:t xml:space="preserve"> </w:t>
      </w:r>
      <w:r w:rsidRPr="00875077">
        <w:rPr>
          <w:iCs/>
          <w:color w:val="000000" w:themeColor="text1"/>
          <w:lang w:val="en-GB"/>
        </w:rPr>
        <w:t xml:space="preserve">Variable results have been presented about the </w:t>
      </w:r>
      <w:r w:rsidRPr="00875077">
        <w:rPr>
          <w:color w:val="000000" w:themeColor="text1"/>
          <w:lang w:val="en-GB"/>
        </w:rPr>
        <w:t>r</w:t>
      </w:r>
      <w:r w:rsidR="00051A9D" w:rsidRPr="00875077">
        <w:rPr>
          <w:color w:val="000000" w:themeColor="text1"/>
          <w:lang w:val="en-GB"/>
        </w:rPr>
        <w:t xml:space="preserve">eliability of MEP </w:t>
      </w:r>
      <w:r w:rsidR="00051A9D" w:rsidRPr="00875077">
        <w:rPr>
          <w:color w:val="000000" w:themeColor="text1"/>
          <w:lang w:val="en-GB"/>
        </w:rPr>
        <w:lastRenderedPageBreak/>
        <w:t xml:space="preserve">amplitude measures </w:t>
      </w:r>
      <w:r w:rsidRPr="00875077">
        <w:rPr>
          <w:color w:val="000000" w:themeColor="text1"/>
          <w:lang w:val="en-GB"/>
        </w:rPr>
        <w:t>for proximal and distal muscles</w:t>
      </w:r>
      <w:r w:rsidR="007F6E5E" w:rsidRPr="00875077">
        <w:rPr>
          <w:iCs/>
          <w:color w:val="000000" w:themeColor="text1"/>
          <w:lang w:val="en-GB"/>
        </w:rPr>
        <w:t>.</w:t>
      </w:r>
      <w:r w:rsidRPr="00875077">
        <w:rPr>
          <w:iCs/>
          <w:color w:val="000000" w:themeColor="text1"/>
          <w:lang w:val="en-GB"/>
        </w:rPr>
        <w:t xml:space="preserve"> </w:t>
      </w:r>
      <w:proofErr w:type="spellStart"/>
      <w:r w:rsidRPr="00875077">
        <w:rPr>
          <w:iCs/>
          <w:color w:val="000000" w:themeColor="text1"/>
          <w:lang w:val="en-GB"/>
        </w:rPr>
        <w:t>Kamen</w:t>
      </w:r>
      <w:proofErr w:type="spellEnd"/>
      <w:r w:rsidRPr="00875077">
        <w:rPr>
          <w:iCs/>
          <w:color w:val="000000" w:themeColor="text1"/>
          <w:lang w:val="en-GB"/>
        </w:rPr>
        <w:t xml:space="preserve"> (2004) demonstrated </w:t>
      </w:r>
      <w:r w:rsidR="00344772" w:rsidRPr="00875077">
        <w:rPr>
          <w:iCs/>
          <w:color w:val="000000" w:themeColor="text1"/>
          <w:lang w:val="en-GB"/>
        </w:rPr>
        <w:t xml:space="preserve">higher reliability for proximal muscles such as the biceps </w:t>
      </w:r>
      <w:proofErr w:type="spellStart"/>
      <w:r w:rsidR="00344772" w:rsidRPr="00875077">
        <w:rPr>
          <w:iCs/>
          <w:color w:val="000000" w:themeColor="text1"/>
          <w:lang w:val="en-GB"/>
        </w:rPr>
        <w:t>brachii</w:t>
      </w:r>
      <w:proofErr w:type="spellEnd"/>
      <w:r w:rsidR="00344772" w:rsidRPr="00875077">
        <w:rPr>
          <w:iCs/>
          <w:color w:val="000000" w:themeColor="text1"/>
          <w:lang w:val="en-GB"/>
        </w:rPr>
        <w:t xml:space="preserve"> than distal hand muscles</w:t>
      </w:r>
      <w:r w:rsidRPr="00875077">
        <w:rPr>
          <w:iCs/>
          <w:color w:val="000000" w:themeColor="text1"/>
          <w:lang w:val="en-GB"/>
        </w:rPr>
        <w:t xml:space="preserve"> however, Corp et al. (2015) and </w:t>
      </w:r>
      <w:proofErr w:type="spellStart"/>
      <w:r w:rsidRPr="00875077">
        <w:rPr>
          <w:iCs/>
          <w:color w:val="000000" w:themeColor="text1"/>
          <w:lang w:val="en-GB"/>
        </w:rPr>
        <w:t>Brasil-Neto</w:t>
      </w:r>
      <w:proofErr w:type="spellEnd"/>
      <w:r w:rsidRPr="00875077">
        <w:rPr>
          <w:iCs/>
          <w:color w:val="000000" w:themeColor="text1"/>
          <w:lang w:val="en-GB"/>
        </w:rPr>
        <w:t xml:space="preserve"> et al. (1992) reported higher reliability for both in young adults.</w:t>
      </w:r>
      <w:r w:rsidR="00090566" w:rsidRPr="00875077">
        <w:rPr>
          <w:iCs/>
          <w:color w:val="000000" w:themeColor="text1"/>
          <w:vertAlign w:val="superscript"/>
          <w:lang w:val="en-GB"/>
        </w:rPr>
        <w:t xml:space="preserve">5,9 </w:t>
      </w:r>
      <w:r w:rsidRPr="00875077">
        <w:rPr>
          <w:iCs/>
          <w:color w:val="000000" w:themeColor="text1"/>
          <w:lang w:val="en-GB"/>
        </w:rPr>
        <w:t xml:space="preserve"> </w:t>
      </w:r>
      <w:r w:rsidR="007F6E5E" w:rsidRPr="00875077">
        <w:rPr>
          <w:iCs/>
          <w:color w:val="000000" w:themeColor="text1"/>
          <w:lang w:val="en-GB"/>
        </w:rPr>
        <w:t xml:space="preserve">Interestingly, </w:t>
      </w:r>
      <w:r w:rsidR="0019591B" w:rsidRPr="00875077">
        <w:rPr>
          <w:iCs/>
          <w:color w:val="000000" w:themeColor="text1"/>
          <w:lang w:val="en-GB"/>
        </w:rPr>
        <w:t xml:space="preserve">a </w:t>
      </w:r>
      <w:r w:rsidR="007F6E5E" w:rsidRPr="00875077">
        <w:rPr>
          <w:iCs/>
          <w:color w:val="000000" w:themeColor="text1"/>
          <w:lang w:val="en-GB"/>
        </w:rPr>
        <w:t xml:space="preserve">higher </w:t>
      </w:r>
      <w:r w:rsidR="00D54B64" w:rsidRPr="00875077">
        <w:rPr>
          <w:iCs/>
          <w:color w:val="000000" w:themeColor="text1"/>
          <w:lang w:val="en-GB"/>
        </w:rPr>
        <w:t>intra-</w:t>
      </w:r>
      <w:proofErr w:type="spellStart"/>
      <w:r w:rsidR="00D54B64" w:rsidRPr="00875077">
        <w:rPr>
          <w:iCs/>
          <w:color w:val="000000" w:themeColor="text1"/>
          <w:lang w:val="en-GB"/>
        </w:rPr>
        <w:t>rater</w:t>
      </w:r>
      <w:proofErr w:type="spellEnd"/>
      <w:r w:rsidR="00D54B64" w:rsidRPr="00875077">
        <w:rPr>
          <w:iCs/>
          <w:color w:val="000000" w:themeColor="text1"/>
          <w:lang w:val="en-GB"/>
        </w:rPr>
        <w:t xml:space="preserve"> reliability</w:t>
      </w:r>
      <w:r w:rsidR="0090176A" w:rsidRPr="00875077">
        <w:rPr>
          <w:iCs/>
          <w:color w:val="000000" w:themeColor="text1"/>
          <w:lang w:val="en-GB"/>
        </w:rPr>
        <w:t xml:space="preserve"> </w:t>
      </w:r>
      <w:r w:rsidR="0019591B" w:rsidRPr="00875077">
        <w:rPr>
          <w:iCs/>
          <w:color w:val="000000" w:themeColor="text1"/>
          <w:lang w:val="en-GB"/>
        </w:rPr>
        <w:t>(ICC=0.67-0.99</w:t>
      </w:r>
      <w:r w:rsidR="00F46C1F" w:rsidRPr="00875077">
        <w:rPr>
          <w:iCs/>
          <w:color w:val="000000" w:themeColor="text1"/>
          <w:lang w:val="en-GB"/>
        </w:rPr>
        <w:t xml:space="preserve">) </w:t>
      </w:r>
      <w:r w:rsidR="00413438" w:rsidRPr="00875077">
        <w:rPr>
          <w:iCs/>
          <w:color w:val="000000" w:themeColor="text1"/>
          <w:lang w:val="en-GB"/>
        </w:rPr>
        <w:t xml:space="preserve">has been reported </w:t>
      </w:r>
      <w:r w:rsidR="00D54B64" w:rsidRPr="00875077">
        <w:rPr>
          <w:iCs/>
          <w:color w:val="000000" w:themeColor="text1"/>
          <w:lang w:val="en-GB"/>
        </w:rPr>
        <w:t>for</w:t>
      </w:r>
      <w:r w:rsidR="0090176A" w:rsidRPr="00875077">
        <w:rPr>
          <w:iCs/>
          <w:color w:val="000000" w:themeColor="text1"/>
          <w:lang w:val="en-GB"/>
        </w:rPr>
        <w:t xml:space="preserve"> the abductor </w:t>
      </w:r>
      <w:proofErr w:type="spellStart"/>
      <w:r w:rsidR="0090176A" w:rsidRPr="00875077">
        <w:rPr>
          <w:iCs/>
          <w:color w:val="000000" w:themeColor="text1"/>
          <w:lang w:val="en-GB"/>
        </w:rPr>
        <w:t>digiti</w:t>
      </w:r>
      <w:proofErr w:type="spellEnd"/>
      <w:r w:rsidR="0090176A" w:rsidRPr="00875077">
        <w:rPr>
          <w:iCs/>
          <w:color w:val="000000" w:themeColor="text1"/>
          <w:lang w:val="en-GB"/>
        </w:rPr>
        <w:t xml:space="preserve"> </w:t>
      </w:r>
      <w:proofErr w:type="spellStart"/>
      <w:r w:rsidR="0090176A" w:rsidRPr="00875077">
        <w:rPr>
          <w:iCs/>
          <w:color w:val="000000" w:themeColor="text1"/>
          <w:lang w:val="en-GB"/>
        </w:rPr>
        <w:t>minimi</w:t>
      </w:r>
      <w:proofErr w:type="spellEnd"/>
      <w:r w:rsidR="004F62FF" w:rsidRPr="00875077">
        <w:rPr>
          <w:iCs/>
          <w:color w:val="000000" w:themeColor="text1"/>
          <w:lang w:val="en-GB"/>
        </w:rPr>
        <w:t xml:space="preserve"> in older </w:t>
      </w:r>
      <w:r w:rsidR="002B7D07" w:rsidRPr="00875077">
        <w:rPr>
          <w:iCs/>
          <w:color w:val="000000" w:themeColor="text1"/>
          <w:lang w:val="en-GB"/>
        </w:rPr>
        <w:t>adult</w:t>
      </w:r>
      <w:r w:rsidR="008D259E" w:rsidRPr="00875077">
        <w:rPr>
          <w:iCs/>
          <w:color w:val="000000" w:themeColor="text1"/>
          <w:lang w:val="en-GB"/>
        </w:rPr>
        <w:t>s</w:t>
      </w:r>
      <w:r w:rsidR="00EF3A68" w:rsidRPr="00875077">
        <w:rPr>
          <w:color w:val="000000" w:themeColor="text1"/>
          <w:lang w:val="en-GB"/>
        </w:rPr>
        <w:t>.</w:t>
      </w:r>
      <w:r w:rsidR="00090566" w:rsidRPr="00875077">
        <w:rPr>
          <w:color w:val="000000" w:themeColor="text1"/>
          <w:vertAlign w:val="superscript"/>
          <w:lang w:val="en-GB"/>
        </w:rPr>
        <w:t>10</w:t>
      </w:r>
      <w:r w:rsidR="00F46C1F" w:rsidRPr="00875077">
        <w:rPr>
          <w:color w:val="000000" w:themeColor="text1"/>
          <w:lang w:val="en-GB"/>
        </w:rPr>
        <w:t xml:space="preserve"> </w:t>
      </w:r>
    </w:p>
    <w:p w14:paraId="09C4A798" w14:textId="6B2EED83" w:rsidR="005C4D3E" w:rsidRPr="00875077" w:rsidRDefault="00A96FC9" w:rsidP="002907D3">
      <w:pPr>
        <w:spacing w:before="240" w:after="240" w:line="480" w:lineRule="auto"/>
        <w:outlineLvl w:val="0"/>
        <w:rPr>
          <w:iCs/>
          <w:color w:val="000000" w:themeColor="text1"/>
          <w:lang w:val="en-GB"/>
        </w:rPr>
      </w:pPr>
      <w:r w:rsidRPr="00875077">
        <w:rPr>
          <w:color w:val="000000" w:themeColor="text1"/>
          <w:lang w:val="en-GB"/>
        </w:rPr>
        <w:t xml:space="preserve">None of the studies </w:t>
      </w:r>
      <w:r w:rsidR="00A4547F" w:rsidRPr="00875077">
        <w:rPr>
          <w:color w:val="000000" w:themeColor="text1"/>
          <w:lang w:val="en-GB"/>
        </w:rPr>
        <w:t xml:space="preserve">explored the reliability of TMS outcome measurements </w:t>
      </w:r>
      <w:r w:rsidR="00924DCB" w:rsidRPr="00875077">
        <w:rPr>
          <w:color w:val="000000" w:themeColor="text1"/>
          <w:lang w:val="en-GB"/>
        </w:rPr>
        <w:t>of</w:t>
      </w:r>
      <w:r w:rsidR="00090566" w:rsidRPr="00875077">
        <w:rPr>
          <w:color w:val="000000" w:themeColor="text1"/>
          <w:lang w:val="en-GB"/>
        </w:rPr>
        <w:t xml:space="preserve"> </w:t>
      </w:r>
      <w:r w:rsidRPr="00875077">
        <w:rPr>
          <w:color w:val="000000" w:themeColor="text1"/>
          <w:lang w:val="en-GB"/>
        </w:rPr>
        <w:t xml:space="preserve">the </w:t>
      </w:r>
      <w:r w:rsidR="00090566" w:rsidRPr="00875077">
        <w:rPr>
          <w:color w:val="000000" w:themeColor="text1"/>
          <w:lang w:val="en-GB"/>
        </w:rPr>
        <w:t>proximal shoulder region</w:t>
      </w:r>
      <w:r w:rsidR="00A4547F" w:rsidRPr="00875077">
        <w:rPr>
          <w:color w:val="000000" w:themeColor="text1"/>
          <w:lang w:val="en-GB"/>
        </w:rPr>
        <w:t xml:space="preserve">. </w:t>
      </w:r>
      <w:r w:rsidR="00924DCB" w:rsidRPr="00875077">
        <w:rPr>
          <w:color w:val="000000" w:themeColor="text1"/>
          <w:lang w:val="en-GB"/>
        </w:rPr>
        <w:t>In conditions such as stroke, over activity of s</w:t>
      </w:r>
      <w:r w:rsidR="00A4547F" w:rsidRPr="00875077">
        <w:rPr>
          <w:color w:val="000000" w:themeColor="text1"/>
          <w:lang w:val="en-GB"/>
        </w:rPr>
        <w:t>houlder muscles contribute to reaching activities</w:t>
      </w:r>
      <w:r w:rsidR="00EA6326" w:rsidRPr="00875077">
        <w:rPr>
          <w:color w:val="000000" w:themeColor="text1"/>
          <w:lang w:val="en-GB"/>
        </w:rPr>
        <w:t xml:space="preserve"> </w:t>
      </w:r>
      <w:r w:rsidR="00EA6326" w:rsidRPr="00875077">
        <w:rPr>
          <w:color w:val="000000" w:themeColor="text1"/>
          <w:vertAlign w:val="superscript"/>
          <w:lang w:val="en-GB"/>
        </w:rPr>
        <w:t>11</w:t>
      </w:r>
      <w:r w:rsidR="00A4547F" w:rsidRPr="00875077">
        <w:rPr>
          <w:color w:val="000000" w:themeColor="text1"/>
          <w:lang w:val="en-GB"/>
        </w:rPr>
        <w:t>.</w:t>
      </w:r>
      <w:r w:rsidR="00EA6326" w:rsidRPr="00875077">
        <w:rPr>
          <w:color w:val="000000" w:themeColor="text1"/>
          <w:lang w:val="en-GB"/>
        </w:rPr>
        <w:t xml:space="preserve"> Therefore, further analyses of the reliability of the outcome measure involving both proximal and distal muscles of an older healthy population warrants investigation. </w:t>
      </w:r>
      <w:r w:rsidRPr="00875077">
        <w:rPr>
          <w:color w:val="000000" w:themeColor="text1"/>
          <w:lang w:val="en-GB"/>
        </w:rPr>
        <w:t xml:space="preserve">This study was part of a project where TMS measurement was also conducted with </w:t>
      </w:r>
      <w:r w:rsidR="000C2BA1" w:rsidRPr="00875077">
        <w:rPr>
          <w:color w:val="000000" w:themeColor="text1"/>
          <w:lang w:val="en-GB"/>
        </w:rPr>
        <w:t>people with stroke</w:t>
      </w:r>
      <w:r w:rsidRPr="00875077">
        <w:rPr>
          <w:color w:val="000000" w:themeColor="text1"/>
          <w:lang w:val="en-GB"/>
        </w:rPr>
        <w:t xml:space="preserve">. It was therefore useful to </w:t>
      </w:r>
      <w:r w:rsidRPr="00875077">
        <w:rPr>
          <w:iCs/>
          <w:color w:val="000000" w:themeColor="text1"/>
          <w:lang w:val="en-GB"/>
        </w:rPr>
        <w:t>further investigate intra-</w:t>
      </w:r>
      <w:proofErr w:type="spellStart"/>
      <w:r w:rsidRPr="00875077">
        <w:rPr>
          <w:iCs/>
          <w:color w:val="000000" w:themeColor="text1"/>
          <w:lang w:val="en-GB"/>
        </w:rPr>
        <w:t>rater</w:t>
      </w:r>
      <w:proofErr w:type="spellEnd"/>
      <w:r w:rsidRPr="00875077">
        <w:rPr>
          <w:iCs/>
          <w:color w:val="000000" w:themeColor="text1"/>
          <w:lang w:val="en-GB"/>
        </w:rPr>
        <w:t xml:space="preserve">, test-retest reliability and MDC of the RMT and amplitude of a more </w:t>
      </w:r>
      <w:r w:rsidRPr="00875077">
        <w:rPr>
          <w:color w:val="000000" w:themeColor="text1"/>
          <w:lang w:val="en-GB"/>
        </w:rPr>
        <w:t xml:space="preserve">proximal shoulder muscle, </w:t>
      </w:r>
      <w:r w:rsidRPr="00875077">
        <w:rPr>
          <w:iCs/>
          <w:color w:val="000000" w:themeColor="text1"/>
          <w:lang w:val="en-GB"/>
        </w:rPr>
        <w:t xml:space="preserve">anterior deltoid </w:t>
      </w:r>
      <w:r w:rsidRPr="00875077">
        <w:rPr>
          <w:color w:val="000000" w:themeColor="text1"/>
          <w:lang w:val="en-GB"/>
        </w:rPr>
        <w:t>(AD), and compare it with new data from a</w:t>
      </w:r>
      <w:r w:rsidRPr="00875077">
        <w:rPr>
          <w:iCs/>
          <w:color w:val="000000" w:themeColor="text1"/>
          <w:lang w:val="en-GB"/>
        </w:rPr>
        <w:t xml:space="preserve"> distal wrist muscle, extensor </w:t>
      </w:r>
      <w:proofErr w:type="spellStart"/>
      <w:r w:rsidRPr="00875077">
        <w:rPr>
          <w:iCs/>
          <w:color w:val="000000" w:themeColor="text1"/>
          <w:lang w:val="en-GB"/>
        </w:rPr>
        <w:t>digitorum</w:t>
      </w:r>
      <w:proofErr w:type="spellEnd"/>
      <w:r w:rsidRPr="00875077">
        <w:rPr>
          <w:iCs/>
          <w:color w:val="000000" w:themeColor="text1"/>
          <w:lang w:val="en-GB"/>
        </w:rPr>
        <w:t xml:space="preserve"> </w:t>
      </w:r>
      <w:proofErr w:type="spellStart"/>
      <w:r w:rsidRPr="00875077">
        <w:rPr>
          <w:iCs/>
          <w:color w:val="000000" w:themeColor="text1"/>
          <w:lang w:val="en-GB"/>
        </w:rPr>
        <w:t>communis</w:t>
      </w:r>
      <w:proofErr w:type="spellEnd"/>
      <w:r w:rsidRPr="00875077">
        <w:rPr>
          <w:iCs/>
          <w:color w:val="000000" w:themeColor="text1"/>
          <w:lang w:val="en-GB"/>
        </w:rPr>
        <w:t xml:space="preserve"> (EDC) with an age-matched healthy population before carrying out this assessment with </w:t>
      </w:r>
      <w:r w:rsidR="000A107B" w:rsidRPr="00875077">
        <w:rPr>
          <w:iCs/>
          <w:color w:val="000000" w:themeColor="text1"/>
          <w:lang w:val="en-GB"/>
        </w:rPr>
        <w:t>people with stroke</w:t>
      </w:r>
      <w:r w:rsidRPr="00875077">
        <w:rPr>
          <w:iCs/>
          <w:color w:val="000000" w:themeColor="text1"/>
          <w:lang w:val="en-GB"/>
        </w:rPr>
        <w:t xml:space="preserve">. </w:t>
      </w:r>
    </w:p>
    <w:p w14:paraId="0194A5F3" w14:textId="36E48EA6" w:rsidR="0019591B" w:rsidRPr="00875077" w:rsidRDefault="0019591B" w:rsidP="007F3271">
      <w:pPr>
        <w:spacing w:after="240" w:line="480" w:lineRule="auto"/>
        <w:outlineLvl w:val="0"/>
        <w:rPr>
          <w:b/>
          <w:iCs/>
          <w:color w:val="000000" w:themeColor="text1"/>
          <w:lang w:val="en-GB"/>
        </w:rPr>
      </w:pPr>
      <w:r w:rsidRPr="00875077">
        <w:rPr>
          <w:b/>
          <w:iCs/>
          <w:color w:val="000000" w:themeColor="text1"/>
          <w:lang w:val="en-GB"/>
        </w:rPr>
        <w:t>Methods</w:t>
      </w:r>
    </w:p>
    <w:p w14:paraId="2FFF3AFC" w14:textId="0E9C578D" w:rsidR="00E85B70" w:rsidRPr="00875077" w:rsidRDefault="00E85B70" w:rsidP="007F3271">
      <w:pPr>
        <w:spacing w:line="480" w:lineRule="auto"/>
        <w:rPr>
          <w:i/>
          <w:iCs/>
          <w:color w:val="000000" w:themeColor="text1"/>
          <w:lang w:val="en-GB"/>
        </w:rPr>
      </w:pPr>
      <w:r w:rsidRPr="00875077">
        <w:rPr>
          <w:i/>
          <w:iCs/>
          <w:color w:val="000000" w:themeColor="text1"/>
          <w:lang w:val="en-GB"/>
        </w:rPr>
        <w:t xml:space="preserve">Participants and </w:t>
      </w:r>
      <w:r w:rsidR="00A52F39" w:rsidRPr="00875077">
        <w:rPr>
          <w:i/>
          <w:iCs/>
          <w:color w:val="000000" w:themeColor="text1"/>
          <w:lang w:val="en-GB"/>
        </w:rPr>
        <w:t>recruitment</w:t>
      </w:r>
    </w:p>
    <w:p w14:paraId="5E1E59A6" w14:textId="5A332216" w:rsidR="004B3D88" w:rsidRPr="00875077" w:rsidRDefault="00101E67" w:rsidP="00A52F39">
      <w:pPr>
        <w:spacing w:after="200" w:line="480" w:lineRule="auto"/>
        <w:rPr>
          <w:iCs/>
          <w:color w:val="000000" w:themeColor="text1"/>
        </w:rPr>
      </w:pPr>
      <w:r w:rsidRPr="00875077">
        <w:rPr>
          <w:iCs/>
          <w:color w:val="000000" w:themeColor="text1"/>
        </w:rPr>
        <w:t>Healthy adults were recruited</w:t>
      </w:r>
      <w:r w:rsidR="00512872" w:rsidRPr="00875077">
        <w:rPr>
          <w:iCs/>
          <w:color w:val="000000" w:themeColor="text1"/>
        </w:rPr>
        <w:t xml:space="preserve">. </w:t>
      </w:r>
      <w:r w:rsidRPr="00875077">
        <w:rPr>
          <w:iCs/>
          <w:color w:val="000000" w:themeColor="text1"/>
        </w:rPr>
        <w:t>Participants needed to be: (i) &gt;18 years and (ii) able to provide informed consent. Participants were excluded if they</w:t>
      </w:r>
      <w:r w:rsidR="00A52F39" w:rsidRPr="00875077">
        <w:rPr>
          <w:iCs/>
          <w:color w:val="000000" w:themeColor="text1"/>
        </w:rPr>
        <w:t xml:space="preserve"> had</w:t>
      </w:r>
      <w:r w:rsidRPr="00875077">
        <w:rPr>
          <w:iCs/>
          <w:color w:val="000000" w:themeColor="text1"/>
        </w:rPr>
        <w:t xml:space="preserve">: (i) impaired gross </w:t>
      </w:r>
      <w:r w:rsidRPr="00875077">
        <w:rPr>
          <w:iCs/>
          <w:color w:val="000000" w:themeColor="text1"/>
        </w:rPr>
        <w:lastRenderedPageBreak/>
        <w:t>cognitive function; score of less than 24 of the Mini-Mental State Examinatio</w:t>
      </w:r>
      <w:r w:rsidR="008D259E" w:rsidRPr="00875077">
        <w:rPr>
          <w:iCs/>
          <w:color w:val="000000" w:themeColor="text1"/>
        </w:rPr>
        <w:t>n</w:t>
      </w:r>
      <w:proofErr w:type="gramStart"/>
      <w:r w:rsidRPr="00875077">
        <w:rPr>
          <w:iCs/>
          <w:color w:val="000000" w:themeColor="text1"/>
        </w:rPr>
        <w:t>;</w:t>
      </w:r>
      <w:r w:rsidR="000A107B" w:rsidRPr="00875077">
        <w:rPr>
          <w:iCs/>
          <w:color w:val="000000" w:themeColor="text1"/>
          <w:vertAlign w:val="superscript"/>
        </w:rPr>
        <w:t>12</w:t>
      </w:r>
      <w:proofErr w:type="gramEnd"/>
      <w:r w:rsidRPr="00875077">
        <w:rPr>
          <w:iCs/>
          <w:color w:val="000000" w:themeColor="text1"/>
        </w:rPr>
        <w:t xml:space="preserve"> </w:t>
      </w:r>
      <w:r w:rsidR="00A52F39" w:rsidRPr="00875077">
        <w:rPr>
          <w:iCs/>
          <w:color w:val="000000" w:themeColor="text1"/>
        </w:rPr>
        <w:t xml:space="preserve">(ii) </w:t>
      </w:r>
      <w:r w:rsidR="004B3D88" w:rsidRPr="00875077">
        <w:rPr>
          <w:iCs/>
          <w:color w:val="000000" w:themeColor="text1"/>
        </w:rPr>
        <w:t>a neurological condition such as stroke</w:t>
      </w:r>
      <w:r w:rsidR="00A52F39" w:rsidRPr="00875077">
        <w:rPr>
          <w:iCs/>
          <w:color w:val="000000" w:themeColor="text1"/>
        </w:rPr>
        <w:t xml:space="preserve">; (iii) a history of epilepsy; (iv) previous brain neurosurgery; (v) had metal implants in the head including cochlear implants; (vi) been taking medications that influence cortical excitability; (vii) previous adverse effects with TMS; (viii) pregnancy. Participants were recruited through websites and participant databases of the University of Southampton. </w:t>
      </w:r>
    </w:p>
    <w:p w14:paraId="0CBF444E" w14:textId="1432BC85" w:rsidR="00101E67" w:rsidRPr="00875077" w:rsidRDefault="00A52F39" w:rsidP="00101E67">
      <w:pPr>
        <w:spacing w:after="200" w:line="360" w:lineRule="auto"/>
        <w:rPr>
          <w:i/>
          <w:iCs/>
          <w:color w:val="000000" w:themeColor="text1"/>
        </w:rPr>
      </w:pPr>
      <w:r w:rsidRPr="00875077">
        <w:rPr>
          <w:i/>
          <w:iCs/>
          <w:color w:val="000000" w:themeColor="text1"/>
        </w:rPr>
        <w:t xml:space="preserve">Setting and </w:t>
      </w:r>
      <w:r w:rsidR="00E449F1" w:rsidRPr="00875077">
        <w:rPr>
          <w:i/>
          <w:iCs/>
          <w:color w:val="000000" w:themeColor="text1"/>
        </w:rPr>
        <w:t xml:space="preserve">measurement </w:t>
      </w:r>
      <w:r w:rsidRPr="00875077">
        <w:rPr>
          <w:i/>
          <w:iCs/>
          <w:color w:val="000000" w:themeColor="text1"/>
        </w:rPr>
        <w:t>procedure</w:t>
      </w:r>
    </w:p>
    <w:p w14:paraId="119D357E" w14:textId="7E20A9BD" w:rsidR="00BA785A" w:rsidRPr="00875077" w:rsidRDefault="00A52F39" w:rsidP="00BA785A">
      <w:pPr>
        <w:spacing w:line="480" w:lineRule="auto"/>
        <w:rPr>
          <w:iCs/>
          <w:color w:val="000000" w:themeColor="text1"/>
          <w:vertAlign w:val="superscript"/>
        </w:rPr>
      </w:pPr>
      <w:r w:rsidRPr="00875077">
        <w:rPr>
          <w:iCs/>
          <w:color w:val="000000" w:themeColor="text1"/>
          <w:lang w:val="en-GB"/>
        </w:rPr>
        <w:t xml:space="preserve">Block randomisation was used whereby </w:t>
      </w:r>
      <w:r w:rsidRPr="00875077">
        <w:rPr>
          <w:color w:val="000000" w:themeColor="text1"/>
          <w:lang w:val="en-GB"/>
        </w:rPr>
        <w:t>each participant was randomised into either left cortical stimulation or right cortical stimulation.</w:t>
      </w:r>
      <w:r w:rsidR="00753BFB" w:rsidRPr="00875077">
        <w:rPr>
          <w:color w:val="000000" w:themeColor="text1"/>
          <w:lang w:val="en-GB"/>
        </w:rPr>
        <w:t xml:space="preserve"> </w:t>
      </w:r>
      <w:r w:rsidR="00D4574C" w:rsidRPr="00875077">
        <w:rPr>
          <w:iCs/>
          <w:color w:val="000000" w:themeColor="text1"/>
        </w:rPr>
        <w:t xml:space="preserve">Two </w:t>
      </w:r>
      <w:r w:rsidR="00753BFB" w:rsidRPr="00875077">
        <w:rPr>
          <w:iCs/>
          <w:color w:val="000000" w:themeColor="text1"/>
        </w:rPr>
        <w:t>researcher</w:t>
      </w:r>
      <w:r w:rsidR="00D4574C" w:rsidRPr="00875077">
        <w:rPr>
          <w:iCs/>
          <w:color w:val="000000" w:themeColor="text1"/>
        </w:rPr>
        <w:t>s (LTT and AED) carried out the experimental procedure at the Movement Laboratory of the Faculty of Health Sciences, University of Southampton. Demographic data including age and handedness were recorded. A TMS questionnaire was used to ensure that the participant fulfilled the criteria for TMS application.</w:t>
      </w:r>
      <w:r w:rsidR="000A107B" w:rsidRPr="00875077">
        <w:rPr>
          <w:iCs/>
          <w:color w:val="000000" w:themeColor="text1"/>
          <w:vertAlign w:val="superscript"/>
        </w:rPr>
        <w:t>13</w:t>
      </w:r>
    </w:p>
    <w:p w14:paraId="7D4F3412" w14:textId="341781D5" w:rsidR="00885514" w:rsidRPr="00875077" w:rsidRDefault="00BA785A" w:rsidP="00BA785A">
      <w:pPr>
        <w:spacing w:before="240" w:line="480" w:lineRule="auto"/>
        <w:rPr>
          <w:iCs/>
          <w:color w:val="000000" w:themeColor="text1"/>
          <w:vertAlign w:val="superscript"/>
        </w:rPr>
      </w:pPr>
      <w:r w:rsidRPr="00875077">
        <w:rPr>
          <w:iCs/>
          <w:color w:val="000000" w:themeColor="text1"/>
        </w:rPr>
        <w:t xml:space="preserve">Surface </w:t>
      </w:r>
      <w:r w:rsidR="00885514" w:rsidRPr="00875077">
        <w:rPr>
          <w:iCs/>
          <w:color w:val="000000" w:themeColor="text1"/>
        </w:rPr>
        <w:t xml:space="preserve">EMG recording was then set-up to record the activity of the AD and ED muscles using the </w:t>
      </w:r>
      <w:r w:rsidR="0032340F" w:rsidRPr="00875077">
        <w:rPr>
          <w:iCs/>
          <w:color w:val="000000" w:themeColor="text1"/>
        </w:rPr>
        <w:t xml:space="preserve">wireless </w:t>
      </w:r>
      <w:r w:rsidR="00694E5E" w:rsidRPr="00875077">
        <w:rPr>
          <w:iCs/>
          <w:color w:val="000000" w:themeColor="text1"/>
        </w:rPr>
        <w:t xml:space="preserve">portable Biometric EMG </w:t>
      </w:r>
      <w:proofErr w:type="spellStart"/>
      <w:r w:rsidR="00694E5E" w:rsidRPr="00875077">
        <w:rPr>
          <w:iCs/>
          <w:color w:val="000000" w:themeColor="text1"/>
        </w:rPr>
        <w:t>DataLog</w:t>
      </w:r>
      <w:proofErr w:type="spellEnd"/>
      <w:r w:rsidR="00885514" w:rsidRPr="00875077">
        <w:rPr>
          <w:iCs/>
          <w:color w:val="000000" w:themeColor="text1"/>
        </w:rPr>
        <w:t xml:space="preserve"> Bluetooth</w:t>
      </w:r>
      <w:r w:rsidR="00885514" w:rsidRPr="00875077">
        <w:rPr>
          <w:iCs/>
          <w:color w:val="000000" w:themeColor="text1"/>
          <w:vertAlign w:val="superscript"/>
        </w:rPr>
        <w:t>®</w:t>
      </w:r>
      <w:r w:rsidR="00694E5E" w:rsidRPr="00875077">
        <w:rPr>
          <w:iCs/>
          <w:color w:val="000000" w:themeColor="text1"/>
          <w:vertAlign w:val="superscript"/>
        </w:rPr>
        <w:t xml:space="preserve"> </w:t>
      </w:r>
      <w:r w:rsidR="00694E5E" w:rsidRPr="00875077">
        <w:rPr>
          <w:iCs/>
          <w:color w:val="000000" w:themeColor="text1"/>
        </w:rPr>
        <w:t>system</w:t>
      </w:r>
      <w:r w:rsidR="00885514" w:rsidRPr="00875077">
        <w:rPr>
          <w:iCs/>
          <w:color w:val="000000" w:themeColor="text1"/>
        </w:rPr>
        <w:t xml:space="preserve"> (Type number W4X8) equipment (Biometrics Ltd</w:t>
      </w:r>
      <w:r w:rsidR="00694E5E" w:rsidRPr="00875077">
        <w:rPr>
          <w:iCs/>
          <w:color w:val="000000" w:themeColor="text1"/>
        </w:rPr>
        <w:t>, Gwent, UK</w:t>
      </w:r>
      <w:r w:rsidR="00885514" w:rsidRPr="00875077">
        <w:rPr>
          <w:iCs/>
          <w:color w:val="000000" w:themeColor="text1"/>
        </w:rPr>
        <w:t xml:space="preserve">). </w:t>
      </w:r>
      <w:r w:rsidR="00885514" w:rsidRPr="00875077">
        <w:rPr>
          <w:color w:val="000000" w:themeColor="text1"/>
        </w:rPr>
        <w:t xml:space="preserve">Before, attaching the </w:t>
      </w:r>
      <w:r w:rsidRPr="00875077">
        <w:rPr>
          <w:color w:val="000000" w:themeColor="text1"/>
        </w:rPr>
        <w:t xml:space="preserve">bipolar </w:t>
      </w:r>
      <w:r w:rsidR="00885514" w:rsidRPr="00875077">
        <w:rPr>
          <w:color w:val="000000" w:themeColor="text1"/>
        </w:rPr>
        <w:t xml:space="preserve">electrodes, the skin was cleaned and wiped with an alcohol swab. The muscles on the participants’ arm were located according to the </w:t>
      </w:r>
      <w:proofErr w:type="spellStart"/>
      <w:r w:rsidR="00885514" w:rsidRPr="00875077">
        <w:rPr>
          <w:color w:val="000000" w:themeColor="text1"/>
        </w:rPr>
        <w:t>Seniam</w:t>
      </w:r>
      <w:proofErr w:type="spellEnd"/>
      <w:r w:rsidR="00885514" w:rsidRPr="00875077">
        <w:rPr>
          <w:color w:val="000000" w:themeColor="text1"/>
        </w:rPr>
        <w:t xml:space="preserve"> Guidelines.</w:t>
      </w:r>
      <w:r w:rsidR="000A107B" w:rsidRPr="00875077">
        <w:rPr>
          <w:color w:val="000000" w:themeColor="text1"/>
          <w:vertAlign w:val="superscript"/>
        </w:rPr>
        <w:t>14</w:t>
      </w:r>
      <w:r w:rsidR="00885514" w:rsidRPr="00875077">
        <w:rPr>
          <w:iCs/>
          <w:color w:val="000000" w:themeColor="text1"/>
        </w:rPr>
        <w:t xml:space="preserve"> </w:t>
      </w:r>
      <w:proofErr w:type="gramStart"/>
      <w:r w:rsidR="00885514" w:rsidRPr="00875077">
        <w:rPr>
          <w:iCs/>
          <w:color w:val="000000" w:themeColor="text1"/>
        </w:rPr>
        <w:t>The</w:t>
      </w:r>
      <w:proofErr w:type="gramEnd"/>
      <w:r w:rsidR="00885514" w:rsidRPr="00875077">
        <w:rPr>
          <w:iCs/>
          <w:color w:val="000000" w:themeColor="text1"/>
        </w:rPr>
        <w:t xml:space="preserve"> AD was located by placing one finger width distal and anterior of the acromion. The electrode </w:t>
      </w:r>
      <w:r w:rsidR="00885514" w:rsidRPr="00875077">
        <w:rPr>
          <w:iCs/>
          <w:color w:val="000000" w:themeColor="text1"/>
        </w:rPr>
        <w:lastRenderedPageBreak/>
        <w:t xml:space="preserve">was orientated in the direction of the line between the acromion and the thumb. The ED was located by palpating the lateral epicondyle of the </w:t>
      </w:r>
      <w:proofErr w:type="spellStart"/>
      <w:r w:rsidR="00885514" w:rsidRPr="00875077">
        <w:rPr>
          <w:iCs/>
          <w:color w:val="000000" w:themeColor="text1"/>
        </w:rPr>
        <w:t>humerus</w:t>
      </w:r>
      <w:proofErr w:type="spellEnd"/>
      <w:r w:rsidR="00885514" w:rsidRPr="00875077">
        <w:rPr>
          <w:iCs/>
          <w:color w:val="000000" w:themeColor="text1"/>
        </w:rPr>
        <w:t xml:space="preserve"> and the styloid process of the radius and ulna and a mark was placed between the two points.</w:t>
      </w:r>
      <w:r w:rsidR="000A107B" w:rsidRPr="00875077">
        <w:rPr>
          <w:iCs/>
          <w:color w:val="000000" w:themeColor="text1"/>
          <w:vertAlign w:val="superscript"/>
        </w:rPr>
        <w:t>15</w:t>
      </w:r>
      <w:r w:rsidR="00885514" w:rsidRPr="00875077">
        <w:rPr>
          <w:iCs/>
          <w:color w:val="000000" w:themeColor="text1"/>
        </w:rPr>
        <w:t xml:space="preserve"> </w:t>
      </w:r>
      <w:r w:rsidR="00885514" w:rsidRPr="00875077">
        <w:rPr>
          <w:color w:val="000000" w:themeColor="text1"/>
        </w:rPr>
        <w:t xml:space="preserve">Two SX230FW electrodes were placed </w:t>
      </w:r>
      <w:r w:rsidR="00694E5E" w:rsidRPr="00875077">
        <w:rPr>
          <w:color w:val="000000" w:themeColor="text1"/>
        </w:rPr>
        <w:t xml:space="preserve">on the marked muscle bellies of the left or right upper limb </w:t>
      </w:r>
      <w:r w:rsidR="00885514" w:rsidRPr="00875077">
        <w:rPr>
          <w:color w:val="000000" w:themeColor="text1"/>
        </w:rPr>
        <w:t xml:space="preserve">using a sticky pad. The reference electrode was placed around the wrist. </w:t>
      </w:r>
      <w:r w:rsidR="00F540AF" w:rsidRPr="00875077">
        <w:rPr>
          <w:color w:val="000000" w:themeColor="text1"/>
        </w:rPr>
        <w:t>The arm, flexed at the elbow, of the participant was placed on a pillow placed on the armrest of a wooden chair.</w:t>
      </w:r>
      <w:r w:rsidR="00694E5E" w:rsidRPr="00875077">
        <w:rPr>
          <w:color w:val="000000" w:themeColor="text1"/>
        </w:rPr>
        <w:t xml:space="preserve"> Muscle activity signals with 1000 gain picked up by the electrodes were stored by the </w:t>
      </w:r>
      <w:proofErr w:type="spellStart"/>
      <w:r w:rsidR="00694E5E" w:rsidRPr="00875077">
        <w:rPr>
          <w:color w:val="000000" w:themeColor="text1"/>
        </w:rPr>
        <w:t>DataLog</w:t>
      </w:r>
      <w:proofErr w:type="spellEnd"/>
      <w:r w:rsidR="00694E5E" w:rsidRPr="00875077">
        <w:rPr>
          <w:color w:val="000000" w:themeColor="text1"/>
        </w:rPr>
        <w:t xml:space="preserve">. </w:t>
      </w:r>
      <w:r w:rsidR="00885514" w:rsidRPr="00875077">
        <w:rPr>
          <w:color w:val="000000" w:themeColor="text1"/>
          <w:lang w:eastAsia="en-GB"/>
        </w:rPr>
        <w:t xml:space="preserve">The activity of the muscles was checked </w:t>
      </w:r>
      <w:r w:rsidR="00F540AF" w:rsidRPr="00875077">
        <w:rPr>
          <w:color w:val="000000" w:themeColor="text1"/>
          <w:lang w:eastAsia="en-GB"/>
        </w:rPr>
        <w:t xml:space="preserve">on the program </w:t>
      </w:r>
      <w:r w:rsidR="00885514" w:rsidRPr="00875077">
        <w:rPr>
          <w:color w:val="000000" w:themeColor="text1"/>
          <w:lang w:eastAsia="en-GB"/>
        </w:rPr>
        <w:t>during voluntary moveme</w:t>
      </w:r>
      <w:r w:rsidR="00B55CB1" w:rsidRPr="00875077">
        <w:rPr>
          <w:color w:val="000000" w:themeColor="text1"/>
          <w:lang w:eastAsia="en-GB"/>
        </w:rPr>
        <w:t>nt of the upper limb</w:t>
      </w:r>
      <w:r w:rsidR="0096664A" w:rsidRPr="00875077">
        <w:rPr>
          <w:color w:val="000000" w:themeColor="text1"/>
          <w:lang w:eastAsia="en-GB"/>
        </w:rPr>
        <w:t xml:space="preserve"> of the participant.</w:t>
      </w:r>
      <w:r w:rsidR="00F540AF" w:rsidRPr="00875077">
        <w:rPr>
          <w:color w:val="000000" w:themeColor="text1"/>
          <w:lang w:eastAsia="en-GB"/>
        </w:rPr>
        <w:t xml:space="preserve"> </w:t>
      </w:r>
      <w:r w:rsidR="00B55CB1" w:rsidRPr="00875077">
        <w:rPr>
          <w:color w:val="000000" w:themeColor="text1"/>
          <w:lang w:eastAsia="en-GB"/>
        </w:rPr>
        <w:t>The researcher monitored the activity of the arm muscles on the program and ensured that there was not any activity during the data collection procedure.</w:t>
      </w:r>
    </w:p>
    <w:p w14:paraId="1C771140" w14:textId="22831954" w:rsidR="00D4574C" w:rsidRPr="00875077" w:rsidRDefault="0096664A" w:rsidP="002907D3">
      <w:pPr>
        <w:spacing w:before="240" w:line="480" w:lineRule="auto"/>
        <w:rPr>
          <w:iCs/>
          <w:color w:val="000000" w:themeColor="text1"/>
          <w:lang w:val="en-GB"/>
        </w:rPr>
      </w:pPr>
      <w:r w:rsidRPr="00875077">
        <w:rPr>
          <w:iCs/>
          <w:color w:val="000000" w:themeColor="text1"/>
          <w:lang w:val="en-GB"/>
        </w:rPr>
        <w:t xml:space="preserve">TMS </w:t>
      </w:r>
      <w:r w:rsidR="00D4574C" w:rsidRPr="00875077">
        <w:rPr>
          <w:iCs/>
          <w:color w:val="000000" w:themeColor="text1"/>
          <w:lang w:val="en-GB"/>
        </w:rPr>
        <w:t xml:space="preserve">was </w:t>
      </w:r>
      <w:r w:rsidRPr="00875077">
        <w:rPr>
          <w:iCs/>
          <w:color w:val="000000" w:themeColor="text1"/>
          <w:lang w:val="en-GB"/>
        </w:rPr>
        <w:t>applied</w:t>
      </w:r>
      <w:r w:rsidR="00D4574C" w:rsidRPr="00875077">
        <w:rPr>
          <w:iCs/>
          <w:color w:val="000000" w:themeColor="text1"/>
          <w:lang w:val="en-GB"/>
        </w:rPr>
        <w:t xml:space="preserve"> with a </w:t>
      </w:r>
      <w:proofErr w:type="spellStart"/>
      <w:r w:rsidR="00D4574C" w:rsidRPr="00875077">
        <w:rPr>
          <w:iCs/>
          <w:color w:val="000000" w:themeColor="text1"/>
          <w:lang w:val="en-GB"/>
        </w:rPr>
        <w:t>Magstim</w:t>
      </w:r>
      <w:proofErr w:type="spellEnd"/>
      <w:r w:rsidR="00D4574C" w:rsidRPr="00875077">
        <w:rPr>
          <w:iCs/>
          <w:color w:val="000000" w:themeColor="text1"/>
          <w:vertAlign w:val="superscript"/>
          <w:lang w:val="en-GB"/>
        </w:rPr>
        <w:t>®</w:t>
      </w:r>
      <w:r w:rsidR="00D4574C" w:rsidRPr="00875077">
        <w:rPr>
          <w:iCs/>
          <w:color w:val="000000" w:themeColor="text1"/>
          <w:lang w:val="en-GB"/>
        </w:rPr>
        <w:t xml:space="preserve"> 200</w:t>
      </w:r>
      <w:r w:rsidR="00D4574C" w:rsidRPr="00875077">
        <w:rPr>
          <w:iCs/>
          <w:color w:val="000000" w:themeColor="text1"/>
          <w:vertAlign w:val="superscript"/>
          <w:lang w:val="en-GB"/>
        </w:rPr>
        <w:t>2</w:t>
      </w:r>
      <w:r w:rsidR="00B63600" w:rsidRPr="00875077">
        <w:rPr>
          <w:iCs/>
          <w:color w:val="000000" w:themeColor="text1"/>
          <w:lang w:val="en-GB"/>
        </w:rPr>
        <w:t xml:space="preserve"> device in combination with</w:t>
      </w:r>
      <w:r w:rsidR="00D4574C" w:rsidRPr="00875077">
        <w:rPr>
          <w:iCs/>
          <w:color w:val="000000" w:themeColor="text1"/>
          <w:lang w:val="en-GB"/>
        </w:rPr>
        <w:t xml:space="preserve"> </w:t>
      </w:r>
      <w:proofErr w:type="spellStart"/>
      <w:r w:rsidR="00D4574C" w:rsidRPr="00875077">
        <w:rPr>
          <w:iCs/>
          <w:color w:val="000000" w:themeColor="text1"/>
          <w:lang w:val="en-GB"/>
        </w:rPr>
        <w:t>Brainsight</w:t>
      </w:r>
      <w:proofErr w:type="spellEnd"/>
      <w:r w:rsidR="00D4574C" w:rsidRPr="00875077">
        <w:rPr>
          <w:iCs/>
          <w:color w:val="000000" w:themeColor="text1"/>
          <w:vertAlign w:val="superscript"/>
          <w:lang w:val="en-GB"/>
        </w:rPr>
        <w:t xml:space="preserve">® </w:t>
      </w:r>
      <w:r w:rsidR="00D4574C" w:rsidRPr="00875077">
        <w:rPr>
          <w:iCs/>
          <w:color w:val="000000" w:themeColor="text1"/>
          <w:lang w:val="en-GB"/>
        </w:rPr>
        <w:t>neuro-navigation</w:t>
      </w:r>
      <w:r w:rsidR="00E449F1" w:rsidRPr="00875077">
        <w:rPr>
          <w:iCs/>
          <w:color w:val="000000" w:themeColor="text1"/>
          <w:lang w:val="en-GB"/>
        </w:rPr>
        <w:t xml:space="preserve"> (Figure 1)</w:t>
      </w:r>
      <w:r w:rsidR="00D4574C" w:rsidRPr="00875077">
        <w:rPr>
          <w:iCs/>
          <w:color w:val="000000" w:themeColor="text1"/>
          <w:lang w:val="en-GB"/>
        </w:rPr>
        <w:t xml:space="preserve">. </w:t>
      </w:r>
      <w:r w:rsidR="00817217" w:rsidRPr="00875077">
        <w:rPr>
          <w:iCs/>
          <w:color w:val="000000" w:themeColor="text1"/>
        </w:rPr>
        <w:t xml:space="preserve">A single pulse of magnetic stimulation was delivered to the </w:t>
      </w:r>
      <w:r w:rsidR="002907D3" w:rsidRPr="00875077">
        <w:rPr>
          <w:iCs/>
          <w:color w:val="000000" w:themeColor="text1"/>
        </w:rPr>
        <w:t>motor region of the cortex (</w:t>
      </w:r>
      <w:r w:rsidR="00817217" w:rsidRPr="00875077">
        <w:rPr>
          <w:iCs/>
          <w:color w:val="000000" w:themeColor="text1"/>
        </w:rPr>
        <w:t>M1</w:t>
      </w:r>
      <w:r w:rsidR="002907D3" w:rsidRPr="00875077">
        <w:rPr>
          <w:iCs/>
          <w:color w:val="000000" w:themeColor="text1"/>
        </w:rPr>
        <w:t>)</w:t>
      </w:r>
      <w:r w:rsidR="00817217" w:rsidRPr="00875077">
        <w:rPr>
          <w:iCs/>
          <w:color w:val="000000" w:themeColor="text1"/>
        </w:rPr>
        <w:t xml:space="preserve"> of the right or left hemisphere by the coil</w:t>
      </w:r>
      <w:r w:rsidR="00885514" w:rsidRPr="00875077">
        <w:rPr>
          <w:iCs/>
          <w:color w:val="000000" w:themeColor="text1"/>
        </w:rPr>
        <w:t xml:space="preserve"> at a 45° angle in a posterior-anterior plane</w:t>
      </w:r>
      <w:r w:rsidR="00817217" w:rsidRPr="00875077">
        <w:rPr>
          <w:iCs/>
          <w:color w:val="000000" w:themeColor="text1"/>
        </w:rPr>
        <w:t xml:space="preserve">, every five to ten seconds until a MEP of the AD and ED muscles was noted </w:t>
      </w:r>
      <w:r w:rsidR="0032340F" w:rsidRPr="00875077">
        <w:rPr>
          <w:iCs/>
          <w:color w:val="000000" w:themeColor="text1"/>
        </w:rPr>
        <w:t>on the EMG program.</w:t>
      </w:r>
      <w:r w:rsidR="00817217" w:rsidRPr="00875077">
        <w:rPr>
          <w:iCs/>
          <w:color w:val="000000" w:themeColor="text1"/>
          <w:lang w:val="en-GB"/>
        </w:rPr>
        <w:t xml:space="preserve"> </w:t>
      </w:r>
      <w:r w:rsidR="00D4574C" w:rsidRPr="00875077">
        <w:rPr>
          <w:iCs/>
          <w:color w:val="000000" w:themeColor="text1"/>
          <w:lang w:val="en-GB"/>
        </w:rPr>
        <w:t xml:space="preserve">RMT was defined as the minimal TMS intensity to recruit a MEP &gt;50 </w:t>
      </w:r>
      <w:proofErr w:type="spellStart"/>
      <w:r w:rsidR="00D4574C" w:rsidRPr="00875077">
        <w:rPr>
          <w:iCs/>
          <w:color w:val="000000" w:themeColor="text1"/>
          <w:lang w:val="en-GB"/>
        </w:rPr>
        <w:t>μV</w:t>
      </w:r>
      <w:proofErr w:type="spellEnd"/>
      <w:r w:rsidR="00D4574C" w:rsidRPr="00875077">
        <w:rPr>
          <w:iCs/>
          <w:color w:val="000000" w:themeColor="text1"/>
          <w:lang w:val="en-GB"/>
        </w:rPr>
        <w:t xml:space="preserve"> in five of ten consecutive measurements in both muscles measured by </w:t>
      </w:r>
      <w:r w:rsidR="00817217" w:rsidRPr="00875077">
        <w:rPr>
          <w:iCs/>
          <w:color w:val="000000" w:themeColor="text1"/>
          <w:lang w:val="en-GB"/>
        </w:rPr>
        <w:t>EMG</w:t>
      </w:r>
      <w:r w:rsidR="00D24286" w:rsidRPr="00875077">
        <w:rPr>
          <w:iCs/>
          <w:color w:val="000000" w:themeColor="text1"/>
          <w:lang w:val="en-GB"/>
        </w:rPr>
        <w:t>.</w:t>
      </w:r>
      <w:r w:rsidR="0035090C" w:rsidRPr="00875077">
        <w:rPr>
          <w:iCs/>
          <w:color w:val="000000" w:themeColor="text1"/>
          <w:lang w:val="en-GB"/>
        </w:rPr>
        <w:t xml:space="preserve"> </w:t>
      </w:r>
      <w:r w:rsidR="00B63600" w:rsidRPr="00875077">
        <w:rPr>
          <w:iCs/>
          <w:color w:val="000000" w:themeColor="text1"/>
        </w:rPr>
        <w:t xml:space="preserve">The ‘hot spot’ </w:t>
      </w:r>
      <w:r w:rsidR="005C0609" w:rsidRPr="00875077">
        <w:rPr>
          <w:iCs/>
          <w:color w:val="000000" w:themeColor="text1"/>
        </w:rPr>
        <w:t>locations were</w:t>
      </w:r>
      <w:r w:rsidR="00B63600" w:rsidRPr="00875077">
        <w:rPr>
          <w:iCs/>
          <w:color w:val="000000" w:themeColor="text1"/>
        </w:rPr>
        <w:t xml:space="preserve"> recorded on the</w:t>
      </w:r>
      <w:r w:rsidR="0035090C" w:rsidRPr="00875077">
        <w:rPr>
          <w:iCs/>
          <w:color w:val="000000" w:themeColor="text1"/>
        </w:rPr>
        <w:t xml:space="preserve"> standard MRI provided with the</w:t>
      </w:r>
      <w:r w:rsidR="00B63600" w:rsidRPr="00875077">
        <w:rPr>
          <w:iCs/>
          <w:color w:val="000000" w:themeColor="text1"/>
        </w:rPr>
        <w:t xml:space="preserve"> </w:t>
      </w:r>
      <w:proofErr w:type="spellStart"/>
      <w:r w:rsidR="00B63600" w:rsidRPr="00875077">
        <w:rPr>
          <w:iCs/>
          <w:color w:val="000000" w:themeColor="text1"/>
        </w:rPr>
        <w:t>Brainsight</w:t>
      </w:r>
      <w:proofErr w:type="spellEnd"/>
      <w:r w:rsidR="00B63600" w:rsidRPr="00875077">
        <w:rPr>
          <w:iCs/>
          <w:color w:val="000000" w:themeColor="text1"/>
          <w:vertAlign w:val="superscript"/>
        </w:rPr>
        <w:t xml:space="preserve">® </w:t>
      </w:r>
      <w:r w:rsidR="0035090C" w:rsidRPr="00875077">
        <w:rPr>
          <w:iCs/>
          <w:color w:val="000000" w:themeColor="text1"/>
        </w:rPr>
        <w:t xml:space="preserve">equipment. </w:t>
      </w:r>
      <w:r w:rsidR="00D24286" w:rsidRPr="00875077">
        <w:rPr>
          <w:iCs/>
          <w:color w:val="000000" w:themeColor="text1"/>
          <w:lang w:val="en-GB"/>
        </w:rPr>
        <w:t>The MEPs were recorded from 10</w:t>
      </w:r>
      <w:r w:rsidR="00D4574C" w:rsidRPr="00875077">
        <w:rPr>
          <w:iCs/>
          <w:color w:val="000000" w:themeColor="text1"/>
          <w:lang w:val="en-GB"/>
        </w:rPr>
        <w:t xml:space="preserve">0-150% of RMT to measure the </w:t>
      </w:r>
      <w:r w:rsidR="0035090C" w:rsidRPr="00875077">
        <w:rPr>
          <w:iCs/>
          <w:color w:val="000000" w:themeColor="text1"/>
          <w:lang w:val="en-GB"/>
        </w:rPr>
        <w:t>recruitment curves of AD and ED</w:t>
      </w:r>
      <w:r w:rsidR="00D24286" w:rsidRPr="00875077">
        <w:rPr>
          <w:iCs/>
          <w:color w:val="000000" w:themeColor="text1"/>
          <w:lang w:val="en-GB"/>
        </w:rPr>
        <w:t xml:space="preserve"> mu</w:t>
      </w:r>
      <w:r w:rsidR="00817217" w:rsidRPr="00875077">
        <w:rPr>
          <w:iCs/>
          <w:color w:val="000000" w:themeColor="text1"/>
          <w:lang w:val="en-GB"/>
        </w:rPr>
        <w:t>scles at an interval</w:t>
      </w:r>
      <w:r w:rsidR="002907D3" w:rsidRPr="00875077">
        <w:rPr>
          <w:iCs/>
          <w:color w:val="000000" w:themeColor="text1"/>
          <w:lang w:val="en-GB"/>
        </w:rPr>
        <w:t xml:space="preserve"> </w:t>
      </w:r>
      <w:r w:rsidR="00817217" w:rsidRPr="00875077">
        <w:rPr>
          <w:iCs/>
          <w:color w:val="000000" w:themeColor="text1"/>
          <w:lang w:val="en-GB"/>
        </w:rPr>
        <w:lastRenderedPageBreak/>
        <w:t xml:space="preserve">of </w:t>
      </w:r>
      <w:r w:rsidR="00D4574C" w:rsidRPr="00875077">
        <w:rPr>
          <w:iCs/>
          <w:color w:val="000000" w:themeColor="text1"/>
          <w:lang w:val="en-GB"/>
        </w:rPr>
        <w:t>five second</w:t>
      </w:r>
      <w:r w:rsidR="00987D54" w:rsidRPr="00875077">
        <w:rPr>
          <w:iCs/>
          <w:color w:val="000000" w:themeColor="text1"/>
          <w:lang w:val="en-GB"/>
        </w:rPr>
        <w:t>s</w:t>
      </w:r>
      <w:r w:rsidR="0035090C" w:rsidRPr="00875077">
        <w:rPr>
          <w:color w:val="000000" w:themeColor="text1"/>
        </w:rPr>
        <w:t xml:space="preserve"> represented with a different colour.</w:t>
      </w:r>
      <w:r w:rsidR="00987D54" w:rsidRPr="00875077">
        <w:rPr>
          <w:color w:val="000000" w:themeColor="text1"/>
          <w:vertAlign w:val="superscript"/>
        </w:rPr>
        <w:t>9</w:t>
      </w:r>
      <w:r w:rsidR="0035090C" w:rsidRPr="00875077">
        <w:rPr>
          <w:color w:val="000000" w:themeColor="text1"/>
          <w:vertAlign w:val="superscript"/>
        </w:rPr>
        <w:t xml:space="preserve"> </w:t>
      </w:r>
      <w:proofErr w:type="gramStart"/>
      <w:r w:rsidR="0035090C" w:rsidRPr="00875077">
        <w:rPr>
          <w:rFonts w:eastAsia="Times New Roman"/>
          <w:color w:val="000000" w:themeColor="text1"/>
          <w:lang w:eastAsia="en-GB"/>
        </w:rPr>
        <w:t>When</w:t>
      </w:r>
      <w:proofErr w:type="gramEnd"/>
      <w:r w:rsidR="0035090C" w:rsidRPr="00875077">
        <w:rPr>
          <w:rFonts w:eastAsia="Times New Roman"/>
          <w:color w:val="000000" w:themeColor="text1"/>
          <w:lang w:eastAsia="en-GB"/>
        </w:rPr>
        <w:t xml:space="preserve"> </w:t>
      </w:r>
      <w:r w:rsidR="004F22F9" w:rsidRPr="00875077">
        <w:rPr>
          <w:rFonts w:eastAsia="Times New Roman"/>
          <w:color w:val="000000" w:themeColor="text1"/>
          <w:lang w:eastAsia="en-GB"/>
        </w:rPr>
        <w:t xml:space="preserve">AD MEP was elicited, in most cases it was seen in conjunction with ED MEP but with </w:t>
      </w:r>
      <w:r w:rsidR="00A82961" w:rsidRPr="00875077">
        <w:rPr>
          <w:rFonts w:eastAsia="Times New Roman"/>
          <w:color w:val="000000" w:themeColor="text1"/>
          <w:lang w:eastAsia="en-GB"/>
        </w:rPr>
        <w:t>smaller</w:t>
      </w:r>
      <w:r w:rsidR="004F22F9" w:rsidRPr="00875077">
        <w:rPr>
          <w:rFonts w:eastAsia="Times New Roman"/>
          <w:color w:val="000000" w:themeColor="text1"/>
          <w:lang w:eastAsia="en-GB"/>
        </w:rPr>
        <w:t xml:space="preserve"> amplitude. </w:t>
      </w:r>
    </w:p>
    <w:p w14:paraId="5A1F106B" w14:textId="66ABC224" w:rsidR="00BA627B" w:rsidRPr="00875077" w:rsidRDefault="00E449F1" w:rsidP="0048023F">
      <w:pPr>
        <w:spacing w:before="240" w:line="480" w:lineRule="auto"/>
        <w:rPr>
          <w:iCs/>
          <w:color w:val="000000" w:themeColor="text1"/>
        </w:rPr>
      </w:pPr>
      <w:r w:rsidRPr="00875077">
        <w:rPr>
          <w:iCs/>
          <w:color w:val="000000" w:themeColor="text1"/>
          <w:lang w:val="en-GB"/>
        </w:rPr>
        <w:t xml:space="preserve">Two measurements, with a 30-minute rest between them, were carried out on one day (tests 1 and 2) and a third measurement three days later (test 3) by the same experimenter (LTT). </w:t>
      </w:r>
      <w:r w:rsidR="00817217" w:rsidRPr="00875077">
        <w:rPr>
          <w:iCs/>
          <w:color w:val="000000" w:themeColor="text1"/>
        </w:rPr>
        <w:t xml:space="preserve">To optimize accuracy, the TMS coil was placed in the same location of the participants’ head for all the measurements by using the </w:t>
      </w:r>
      <w:proofErr w:type="spellStart"/>
      <w:r w:rsidR="00817217" w:rsidRPr="00875077">
        <w:rPr>
          <w:iCs/>
          <w:color w:val="000000" w:themeColor="text1"/>
        </w:rPr>
        <w:t>Brainsight</w:t>
      </w:r>
      <w:proofErr w:type="spellEnd"/>
      <w:r w:rsidR="00817217" w:rsidRPr="00875077">
        <w:rPr>
          <w:iCs/>
          <w:color w:val="000000" w:themeColor="text1"/>
          <w:vertAlign w:val="superscript"/>
        </w:rPr>
        <w:t>®</w:t>
      </w:r>
      <w:r w:rsidR="00817217" w:rsidRPr="00875077">
        <w:rPr>
          <w:iCs/>
          <w:color w:val="000000" w:themeColor="text1"/>
        </w:rPr>
        <w:t>.</w:t>
      </w:r>
      <w:r w:rsidR="00214733" w:rsidRPr="00875077">
        <w:rPr>
          <w:iCs/>
          <w:color w:val="000000" w:themeColor="text1"/>
        </w:rPr>
        <w:t xml:space="preserve"> </w:t>
      </w:r>
      <w:r w:rsidR="00214733" w:rsidRPr="00875077">
        <w:rPr>
          <w:color w:val="000000" w:themeColor="text1"/>
        </w:rPr>
        <w:t xml:space="preserve">It was ensured that the same standardized protocol for EMG application was carried out for both sessions </w:t>
      </w:r>
    </w:p>
    <w:p w14:paraId="6BA2036C" w14:textId="65DB799C" w:rsidR="00201E8D" w:rsidRPr="00875077" w:rsidRDefault="00843389" w:rsidP="00A2788A">
      <w:pPr>
        <w:spacing w:before="240" w:line="480" w:lineRule="auto"/>
        <w:rPr>
          <w:iCs/>
          <w:color w:val="000000" w:themeColor="text1"/>
        </w:rPr>
      </w:pPr>
      <w:r w:rsidRPr="00875077">
        <w:rPr>
          <w:iCs/>
          <w:color w:val="000000" w:themeColor="text1"/>
        </w:rPr>
        <w:t>[</w:t>
      </w:r>
      <w:proofErr w:type="gramStart"/>
      <w:r w:rsidRPr="00875077">
        <w:rPr>
          <w:iCs/>
          <w:color w:val="000000" w:themeColor="text1"/>
        </w:rPr>
        <w:t>insert</w:t>
      </w:r>
      <w:proofErr w:type="gramEnd"/>
      <w:r w:rsidRPr="00875077">
        <w:rPr>
          <w:iCs/>
          <w:color w:val="000000" w:themeColor="text1"/>
        </w:rPr>
        <w:t xml:space="preserve"> Figure 1]</w:t>
      </w:r>
    </w:p>
    <w:p w14:paraId="0E74E2F0" w14:textId="5FDCA921" w:rsidR="00E85B70" w:rsidRPr="00875077" w:rsidRDefault="00E85B70" w:rsidP="00A2788A">
      <w:pPr>
        <w:spacing w:before="240" w:line="480" w:lineRule="auto"/>
        <w:rPr>
          <w:i/>
          <w:iCs/>
          <w:color w:val="000000" w:themeColor="text1"/>
          <w:lang w:val="en-GB"/>
        </w:rPr>
      </w:pPr>
      <w:r w:rsidRPr="00875077">
        <w:rPr>
          <w:i/>
          <w:iCs/>
          <w:color w:val="000000" w:themeColor="text1"/>
          <w:lang w:val="en-GB"/>
        </w:rPr>
        <w:t>Ethical approval</w:t>
      </w:r>
    </w:p>
    <w:p w14:paraId="0A310436" w14:textId="75398BD0" w:rsidR="00E85B70" w:rsidRPr="00875077" w:rsidRDefault="00E85B70" w:rsidP="00E85B70">
      <w:pPr>
        <w:spacing w:after="240" w:line="480" w:lineRule="auto"/>
        <w:rPr>
          <w:iCs/>
          <w:color w:val="000000" w:themeColor="text1"/>
          <w:lang w:val="en-GB"/>
        </w:rPr>
      </w:pPr>
      <w:r w:rsidRPr="00875077">
        <w:rPr>
          <w:iCs/>
          <w:color w:val="000000" w:themeColor="text1"/>
          <w:lang w:val="en-GB"/>
        </w:rPr>
        <w:t xml:space="preserve">This study was approved by the University of Southampton Faculty of Health Sciences Ethics Committee (Ethics Number: 5382). </w:t>
      </w:r>
    </w:p>
    <w:p w14:paraId="7967C022" w14:textId="53D383DC" w:rsidR="00E85B70" w:rsidRPr="00875077" w:rsidRDefault="00E85B70" w:rsidP="007F3271">
      <w:pPr>
        <w:spacing w:line="480" w:lineRule="auto"/>
        <w:rPr>
          <w:i/>
          <w:iCs/>
          <w:color w:val="000000" w:themeColor="text1"/>
          <w:lang w:val="en-GB"/>
        </w:rPr>
      </w:pPr>
      <w:r w:rsidRPr="00875077">
        <w:rPr>
          <w:i/>
          <w:iCs/>
          <w:color w:val="000000" w:themeColor="text1"/>
          <w:lang w:val="en-GB"/>
        </w:rPr>
        <w:t>Data and statistical analyses</w:t>
      </w:r>
    </w:p>
    <w:p w14:paraId="6B094749" w14:textId="2CC6D3B0" w:rsidR="00C245D2" w:rsidRPr="00875077" w:rsidRDefault="00214733" w:rsidP="00A34873">
      <w:pPr>
        <w:spacing w:after="240" w:line="480" w:lineRule="auto"/>
        <w:rPr>
          <w:iCs/>
          <w:color w:val="000000" w:themeColor="text1"/>
          <w:lang w:val="en-GB"/>
        </w:rPr>
      </w:pPr>
      <w:r w:rsidRPr="00875077">
        <w:rPr>
          <w:iCs/>
          <w:color w:val="000000" w:themeColor="text1"/>
          <w:lang w:val="en-GB"/>
        </w:rPr>
        <w:t>Raw</w:t>
      </w:r>
      <w:r w:rsidR="00FB375E" w:rsidRPr="00875077">
        <w:rPr>
          <w:iCs/>
          <w:color w:val="000000" w:themeColor="text1"/>
          <w:lang w:val="en-GB"/>
        </w:rPr>
        <w:t xml:space="preserve"> data from the </w:t>
      </w:r>
      <w:proofErr w:type="spellStart"/>
      <w:r w:rsidR="00FB375E" w:rsidRPr="00875077">
        <w:rPr>
          <w:iCs/>
          <w:color w:val="000000" w:themeColor="text1"/>
          <w:lang w:val="en-GB"/>
        </w:rPr>
        <w:t>DATAlog</w:t>
      </w:r>
      <w:proofErr w:type="spellEnd"/>
      <w:r w:rsidR="00FB375E" w:rsidRPr="00875077">
        <w:rPr>
          <w:iCs/>
          <w:color w:val="000000" w:themeColor="text1"/>
          <w:lang w:val="en-GB"/>
        </w:rPr>
        <w:t xml:space="preserve"> was exported into MATLAB 2013b. </w:t>
      </w:r>
      <w:r w:rsidR="00A64A5C" w:rsidRPr="00875077">
        <w:rPr>
          <w:iCs/>
          <w:color w:val="000000" w:themeColor="text1"/>
          <w:lang w:val="en-GB"/>
        </w:rPr>
        <w:t xml:space="preserve">Mean </w:t>
      </w:r>
      <w:r w:rsidR="00E36372" w:rsidRPr="00875077">
        <w:rPr>
          <w:iCs/>
          <w:color w:val="000000" w:themeColor="text1"/>
          <w:lang w:val="en-GB"/>
        </w:rPr>
        <w:t>p</w:t>
      </w:r>
      <w:r w:rsidR="002912CD" w:rsidRPr="00875077">
        <w:rPr>
          <w:iCs/>
          <w:color w:val="000000" w:themeColor="text1"/>
          <w:lang w:val="en-GB"/>
        </w:rPr>
        <w:t xml:space="preserve">eak to peak amplitudes </w:t>
      </w:r>
      <w:r w:rsidR="00BA13CC" w:rsidRPr="00875077">
        <w:rPr>
          <w:iCs/>
          <w:color w:val="000000" w:themeColor="text1"/>
          <w:lang w:val="en-GB"/>
        </w:rPr>
        <w:t xml:space="preserve">in mV </w:t>
      </w:r>
      <w:r w:rsidR="002912CD" w:rsidRPr="00875077">
        <w:rPr>
          <w:iCs/>
          <w:color w:val="000000" w:themeColor="text1"/>
          <w:lang w:val="en-GB"/>
        </w:rPr>
        <w:t xml:space="preserve">of </w:t>
      </w:r>
      <w:r w:rsidR="00017DE0" w:rsidRPr="00875077">
        <w:rPr>
          <w:iCs/>
          <w:color w:val="000000" w:themeColor="text1"/>
          <w:lang w:val="en-GB"/>
        </w:rPr>
        <w:t>f</w:t>
      </w:r>
      <w:r w:rsidR="0048023F" w:rsidRPr="00875077">
        <w:rPr>
          <w:iCs/>
          <w:color w:val="000000" w:themeColor="text1"/>
          <w:lang w:val="en-GB"/>
        </w:rPr>
        <w:t xml:space="preserve">ive MEPs of both muscles at 100 to </w:t>
      </w:r>
      <w:r w:rsidR="00017DE0" w:rsidRPr="00875077">
        <w:rPr>
          <w:iCs/>
          <w:color w:val="000000" w:themeColor="text1"/>
          <w:lang w:val="en-GB"/>
        </w:rPr>
        <w:t>150</w:t>
      </w:r>
      <w:r w:rsidR="00C54FC2" w:rsidRPr="00875077">
        <w:rPr>
          <w:iCs/>
          <w:color w:val="000000" w:themeColor="text1"/>
          <w:lang w:val="en-GB"/>
        </w:rPr>
        <w:t>%</w:t>
      </w:r>
      <w:r w:rsidR="002912CD" w:rsidRPr="00875077">
        <w:rPr>
          <w:iCs/>
          <w:color w:val="000000" w:themeColor="text1"/>
          <w:lang w:val="en-GB"/>
        </w:rPr>
        <w:t xml:space="preserve"> RMT on the three diffe</w:t>
      </w:r>
      <w:r w:rsidR="009B6506" w:rsidRPr="00875077">
        <w:rPr>
          <w:iCs/>
          <w:color w:val="000000" w:themeColor="text1"/>
          <w:lang w:val="en-GB"/>
        </w:rPr>
        <w:t>rent occasions were calculated</w:t>
      </w:r>
      <w:r w:rsidR="00FB375E" w:rsidRPr="00875077">
        <w:rPr>
          <w:iCs/>
          <w:color w:val="000000" w:themeColor="text1"/>
          <w:lang w:val="en-GB"/>
        </w:rPr>
        <w:t xml:space="preserve"> using a code written on </w:t>
      </w:r>
      <w:r w:rsidR="00E36372" w:rsidRPr="00875077">
        <w:rPr>
          <w:iCs/>
          <w:color w:val="000000" w:themeColor="text1"/>
          <w:lang w:val="en-GB"/>
        </w:rPr>
        <w:t>MATLAB</w:t>
      </w:r>
      <w:r w:rsidR="009B6506" w:rsidRPr="00875077">
        <w:rPr>
          <w:iCs/>
          <w:color w:val="000000" w:themeColor="text1"/>
          <w:lang w:val="en-GB"/>
        </w:rPr>
        <w:t>.</w:t>
      </w:r>
      <w:r w:rsidR="000F5C07" w:rsidRPr="00875077">
        <w:rPr>
          <w:iCs/>
          <w:color w:val="000000" w:themeColor="text1"/>
          <w:lang w:val="en-GB"/>
        </w:rPr>
        <w:t xml:space="preserve"> </w:t>
      </w:r>
      <w:r w:rsidR="00931E37" w:rsidRPr="00875077">
        <w:rPr>
          <w:iCs/>
          <w:color w:val="000000" w:themeColor="text1"/>
          <w:lang w:val="en-GB"/>
        </w:rPr>
        <w:t xml:space="preserve">For EDC, a MEP was elicited at a maximum of 130% in 17 participants and 150% in 15 participants. </w:t>
      </w:r>
      <w:r w:rsidR="00F013A7" w:rsidRPr="00875077">
        <w:rPr>
          <w:iCs/>
          <w:color w:val="000000" w:themeColor="text1"/>
          <w:lang w:val="en-GB"/>
        </w:rPr>
        <w:t>Therefore, t</w:t>
      </w:r>
      <w:r w:rsidR="00A3695F" w:rsidRPr="00875077">
        <w:rPr>
          <w:iCs/>
          <w:color w:val="000000" w:themeColor="text1"/>
          <w:lang w:val="en-GB"/>
        </w:rPr>
        <w:t xml:space="preserve">he area of the </w:t>
      </w:r>
      <w:proofErr w:type="spellStart"/>
      <w:r w:rsidR="00A3695F" w:rsidRPr="00875077">
        <w:rPr>
          <w:iCs/>
          <w:color w:val="000000" w:themeColor="text1"/>
          <w:lang w:val="en-GB"/>
        </w:rPr>
        <w:t>Input/Output</w:t>
      </w:r>
      <w:proofErr w:type="spellEnd"/>
      <w:r w:rsidR="00104518" w:rsidRPr="00875077">
        <w:rPr>
          <w:iCs/>
          <w:color w:val="000000" w:themeColor="text1"/>
          <w:lang w:val="en-GB"/>
        </w:rPr>
        <w:t xml:space="preserve"> (I/O)</w:t>
      </w:r>
      <w:r w:rsidR="00A3695F" w:rsidRPr="00875077">
        <w:rPr>
          <w:iCs/>
          <w:color w:val="000000" w:themeColor="text1"/>
          <w:lang w:val="en-GB"/>
        </w:rPr>
        <w:t xml:space="preserve"> curves</w:t>
      </w:r>
      <w:r w:rsidR="00BF6273" w:rsidRPr="00875077">
        <w:rPr>
          <w:iCs/>
          <w:color w:val="000000" w:themeColor="text1"/>
          <w:lang w:val="en-GB"/>
        </w:rPr>
        <w:t xml:space="preserve"> of EDC</w:t>
      </w:r>
      <w:r w:rsidR="00A3695F" w:rsidRPr="00875077">
        <w:rPr>
          <w:iCs/>
          <w:color w:val="000000" w:themeColor="text1"/>
          <w:lang w:val="en-GB"/>
        </w:rPr>
        <w:t xml:space="preserve"> </w:t>
      </w:r>
      <w:r w:rsidR="00F013A7" w:rsidRPr="00875077">
        <w:rPr>
          <w:iCs/>
          <w:color w:val="000000" w:themeColor="text1"/>
          <w:lang w:val="en-GB"/>
        </w:rPr>
        <w:t>from 100 to</w:t>
      </w:r>
      <w:r w:rsidR="00383419" w:rsidRPr="00875077">
        <w:rPr>
          <w:iCs/>
          <w:color w:val="000000" w:themeColor="text1"/>
          <w:lang w:val="en-GB"/>
        </w:rPr>
        <w:t xml:space="preserve"> </w:t>
      </w:r>
      <w:r w:rsidR="00104518" w:rsidRPr="00875077">
        <w:rPr>
          <w:iCs/>
          <w:color w:val="000000" w:themeColor="text1"/>
          <w:lang w:val="en-GB"/>
        </w:rPr>
        <w:lastRenderedPageBreak/>
        <w:t xml:space="preserve">130% </w:t>
      </w:r>
      <w:r w:rsidR="00F013A7" w:rsidRPr="00875077">
        <w:rPr>
          <w:iCs/>
          <w:color w:val="000000" w:themeColor="text1"/>
          <w:lang w:val="en-GB"/>
        </w:rPr>
        <w:t>and 100 to</w:t>
      </w:r>
      <w:r w:rsidR="00104518" w:rsidRPr="00875077">
        <w:rPr>
          <w:iCs/>
          <w:color w:val="000000" w:themeColor="text1"/>
          <w:lang w:val="en-GB"/>
        </w:rPr>
        <w:t xml:space="preserve">150% </w:t>
      </w:r>
      <w:r w:rsidR="00F013A7" w:rsidRPr="00875077">
        <w:rPr>
          <w:iCs/>
          <w:color w:val="000000" w:themeColor="text1"/>
          <w:lang w:val="en-GB"/>
        </w:rPr>
        <w:t xml:space="preserve">were </w:t>
      </w:r>
      <w:r w:rsidR="00E36372" w:rsidRPr="00875077">
        <w:rPr>
          <w:iCs/>
          <w:color w:val="000000" w:themeColor="text1"/>
          <w:lang w:val="en-GB"/>
        </w:rPr>
        <w:t xml:space="preserve">then </w:t>
      </w:r>
      <w:r w:rsidR="0048023F" w:rsidRPr="00875077">
        <w:rPr>
          <w:iCs/>
          <w:color w:val="000000" w:themeColor="text1"/>
          <w:lang w:val="en-GB"/>
        </w:rPr>
        <w:t>calculated and analys</w:t>
      </w:r>
      <w:r w:rsidR="00F013A7" w:rsidRPr="00875077">
        <w:rPr>
          <w:iCs/>
          <w:color w:val="000000" w:themeColor="text1"/>
          <w:lang w:val="en-GB"/>
        </w:rPr>
        <w:t>ed separately.</w:t>
      </w:r>
      <w:r w:rsidR="000F5C07" w:rsidRPr="00875077">
        <w:rPr>
          <w:iCs/>
          <w:color w:val="000000" w:themeColor="text1"/>
          <w:lang w:val="en-GB"/>
        </w:rPr>
        <w:t xml:space="preserve"> </w:t>
      </w:r>
      <w:r w:rsidR="00B00740" w:rsidRPr="00875077">
        <w:rPr>
          <w:iCs/>
          <w:color w:val="000000" w:themeColor="text1"/>
          <w:lang w:val="en-GB"/>
        </w:rPr>
        <w:t>The I/O curves could not be calculated for AD d</w:t>
      </w:r>
      <w:r w:rsidR="000F5C07" w:rsidRPr="00875077">
        <w:rPr>
          <w:iCs/>
          <w:color w:val="000000" w:themeColor="text1"/>
          <w:lang w:val="en-GB"/>
        </w:rPr>
        <w:t xml:space="preserve">ue to </w:t>
      </w:r>
      <w:r w:rsidR="00C36EEA" w:rsidRPr="00875077">
        <w:rPr>
          <w:iCs/>
          <w:color w:val="000000" w:themeColor="text1"/>
          <w:lang w:val="en-GB"/>
        </w:rPr>
        <w:t xml:space="preserve">only a </w:t>
      </w:r>
      <w:r w:rsidR="00FB375E" w:rsidRPr="00875077">
        <w:rPr>
          <w:color w:val="000000" w:themeColor="text1"/>
          <w:shd w:val="clear" w:color="auto" w:fill="FFFFFF"/>
          <w:lang w:val="en-GB"/>
        </w:rPr>
        <w:t xml:space="preserve">maximum of </w:t>
      </w:r>
      <w:r w:rsidR="000F5C07" w:rsidRPr="00875077">
        <w:rPr>
          <w:color w:val="000000" w:themeColor="text1"/>
          <w:shd w:val="clear" w:color="auto" w:fill="FFFFFF"/>
          <w:lang w:val="en-GB"/>
        </w:rPr>
        <w:t xml:space="preserve">120% </w:t>
      </w:r>
      <w:r w:rsidR="00B00740" w:rsidRPr="00875077">
        <w:rPr>
          <w:color w:val="000000" w:themeColor="text1"/>
          <w:shd w:val="clear" w:color="auto" w:fill="FFFFFF"/>
          <w:lang w:val="en-GB"/>
        </w:rPr>
        <w:t xml:space="preserve">could be </w:t>
      </w:r>
      <w:r w:rsidR="000F5C07" w:rsidRPr="00875077">
        <w:rPr>
          <w:color w:val="000000" w:themeColor="text1"/>
          <w:shd w:val="clear" w:color="auto" w:fill="FFFFFF"/>
          <w:lang w:val="en-GB"/>
        </w:rPr>
        <w:t>reached</w:t>
      </w:r>
      <w:r w:rsidR="005F03B4" w:rsidRPr="00875077">
        <w:rPr>
          <w:color w:val="000000" w:themeColor="text1"/>
          <w:shd w:val="clear" w:color="auto" w:fill="FFFFFF"/>
          <w:lang w:val="en-GB"/>
        </w:rPr>
        <w:t xml:space="preserve"> </w:t>
      </w:r>
      <w:r w:rsidR="000B122C" w:rsidRPr="00875077">
        <w:rPr>
          <w:color w:val="000000" w:themeColor="text1"/>
          <w:shd w:val="clear" w:color="auto" w:fill="FFFFFF"/>
          <w:lang w:val="en-GB"/>
        </w:rPr>
        <w:t xml:space="preserve">in </w:t>
      </w:r>
      <w:r w:rsidR="00FD3389" w:rsidRPr="00875077">
        <w:rPr>
          <w:color w:val="000000" w:themeColor="text1"/>
          <w:shd w:val="clear" w:color="auto" w:fill="FFFFFF"/>
          <w:lang w:val="en-GB"/>
        </w:rPr>
        <w:t>six</w:t>
      </w:r>
      <w:r w:rsidR="000F5C07" w:rsidRPr="00875077">
        <w:rPr>
          <w:color w:val="000000" w:themeColor="text1"/>
          <w:shd w:val="clear" w:color="auto" w:fill="FFFFFF"/>
          <w:lang w:val="en-GB"/>
        </w:rPr>
        <w:t xml:space="preserve"> </w:t>
      </w:r>
      <w:r w:rsidR="00146CAC" w:rsidRPr="00875077">
        <w:rPr>
          <w:color w:val="000000" w:themeColor="text1"/>
          <w:shd w:val="clear" w:color="auto" w:fill="FFFFFF"/>
          <w:lang w:val="en-GB"/>
        </w:rPr>
        <w:t>participants</w:t>
      </w:r>
      <w:r w:rsidR="00B00740" w:rsidRPr="00875077">
        <w:rPr>
          <w:iCs/>
          <w:color w:val="000000" w:themeColor="text1"/>
          <w:lang w:val="en-GB"/>
        </w:rPr>
        <w:t>.</w:t>
      </w:r>
      <w:r w:rsidR="000F5C07" w:rsidRPr="00875077">
        <w:rPr>
          <w:iCs/>
          <w:color w:val="000000" w:themeColor="text1"/>
          <w:lang w:val="en-GB"/>
        </w:rPr>
        <w:t xml:space="preserve"> </w:t>
      </w:r>
      <w:r w:rsidR="00C245D2" w:rsidRPr="00875077">
        <w:rPr>
          <w:iCs/>
          <w:color w:val="000000" w:themeColor="text1"/>
          <w:lang w:val="en-GB"/>
        </w:rPr>
        <w:t xml:space="preserve">The reliability of RMT and MEP amplitudes was analysed by </w:t>
      </w:r>
      <w:proofErr w:type="spellStart"/>
      <w:r w:rsidR="00C245D2" w:rsidRPr="00875077">
        <w:rPr>
          <w:iCs/>
          <w:color w:val="000000" w:themeColor="text1"/>
          <w:lang w:val="en-GB"/>
        </w:rPr>
        <w:t>Intraclass</w:t>
      </w:r>
      <w:proofErr w:type="spellEnd"/>
      <w:r w:rsidR="00C245D2" w:rsidRPr="00875077">
        <w:rPr>
          <w:iCs/>
          <w:color w:val="000000" w:themeColor="text1"/>
          <w:lang w:val="en-GB"/>
        </w:rPr>
        <w:t xml:space="preserve"> Correlation Coefficient (ICC) using a two-way mixed model (Model 3</w:t>
      </w:r>
      <w:proofErr w:type="gramStart"/>
      <w:r w:rsidR="00C245D2" w:rsidRPr="00875077">
        <w:rPr>
          <w:iCs/>
          <w:color w:val="000000" w:themeColor="text1"/>
          <w:lang w:val="en-GB"/>
        </w:rPr>
        <w:t>,1</w:t>
      </w:r>
      <w:proofErr w:type="gramEnd"/>
      <w:r w:rsidR="00C245D2" w:rsidRPr="00875077">
        <w:rPr>
          <w:iCs/>
          <w:color w:val="000000" w:themeColor="text1"/>
          <w:lang w:val="en-GB"/>
        </w:rPr>
        <w:t xml:space="preserve">) in SPSS Statistic 21. </w:t>
      </w:r>
      <w:r w:rsidR="00C245D2" w:rsidRPr="00875077">
        <w:rPr>
          <w:iCs/>
          <w:color w:val="000000" w:themeColor="text1"/>
        </w:rPr>
        <w:t>The interpretation for the ICC as described by Fleiss (1986) was used; 0.4 indicating poor, 0.4 to 0.75 indicating fair to good and 0.75 indicating excellent agreement.</w:t>
      </w:r>
      <w:r w:rsidR="000A107B" w:rsidRPr="00875077">
        <w:rPr>
          <w:iCs/>
          <w:color w:val="000000" w:themeColor="text1"/>
          <w:vertAlign w:val="superscript"/>
        </w:rPr>
        <w:t>1</w:t>
      </w:r>
      <w:r w:rsidR="00A34873" w:rsidRPr="00875077">
        <w:rPr>
          <w:iCs/>
          <w:color w:val="000000" w:themeColor="text1"/>
          <w:vertAlign w:val="superscript"/>
        </w:rPr>
        <w:t>6</w:t>
      </w:r>
      <w:r w:rsidR="00C245D2" w:rsidRPr="00875077">
        <w:rPr>
          <w:iCs/>
          <w:color w:val="000000" w:themeColor="text1"/>
          <w:lang w:val="en-GB"/>
        </w:rPr>
        <w:t xml:space="preserve"> The coefficient of variation (CV) (averaged standard deviation/averaged standard deviation of two tests x 100%), the Standard Error of Measurement (SEM) [</w:t>
      </w:r>
      <w:r w:rsidR="00C245D2" w:rsidRPr="00875077">
        <w:rPr>
          <w:rFonts w:eastAsia="Times New Roman"/>
          <w:color w:val="000000" w:themeColor="text1"/>
          <w:shd w:val="clear" w:color="auto" w:fill="FFFFFF"/>
          <w:lang w:val="en-GB"/>
        </w:rPr>
        <w:t>SEM = Standard Deviation from the first test x</w:t>
      </w:r>
      <w:r w:rsidR="00C245D2" w:rsidRPr="00875077">
        <w:rPr>
          <w:rFonts w:ascii="Arial" w:eastAsia="Times New Roman" w:hAnsi="Arial" w:cs="Arial"/>
          <w:color w:val="000000" w:themeColor="text1"/>
          <w:shd w:val="clear" w:color="auto" w:fill="FFFFFF"/>
          <w:lang w:val="en-GB"/>
        </w:rPr>
        <w:t xml:space="preserve"> (</w:t>
      </w:r>
      <m:oMath>
        <m:rad>
          <m:radPr>
            <m:degHide m:val="1"/>
            <m:ctrlPr>
              <w:rPr>
                <w:rFonts w:ascii="Cambria Math" w:hAnsi="Cambria Math"/>
                <w:b/>
                <w:i/>
                <w:color w:val="000000" w:themeColor="text1"/>
                <w:lang w:val="en-GB"/>
              </w:rPr>
            </m:ctrlPr>
          </m:radPr>
          <m:deg/>
          <m:e>
            <m:r>
              <m:rPr>
                <m:sty m:val="bi"/>
              </m:rPr>
              <w:rPr>
                <w:rFonts w:ascii="Cambria Math" w:hAnsi="Cambria Math"/>
                <w:color w:val="000000" w:themeColor="text1"/>
                <w:lang w:val="en-GB"/>
              </w:rPr>
              <m:t>1-ICC</m:t>
            </m:r>
          </m:e>
        </m:rad>
      </m:oMath>
      <w:r w:rsidR="00C245D2" w:rsidRPr="00875077">
        <w:rPr>
          <w:rFonts w:eastAsia="Times New Roman"/>
          <w:color w:val="000000" w:themeColor="text1"/>
          <w:shd w:val="clear" w:color="auto" w:fill="FFFFFF"/>
          <w:lang w:val="en-GB"/>
        </w:rPr>
        <w:t>)]</w:t>
      </w:r>
      <w:r w:rsidR="00C245D2" w:rsidRPr="00875077">
        <w:rPr>
          <w:iCs/>
          <w:color w:val="000000" w:themeColor="text1"/>
          <w:lang w:val="en-GB"/>
        </w:rPr>
        <w:t xml:space="preserve"> and </w:t>
      </w:r>
      <w:r w:rsidR="00C245D2" w:rsidRPr="00875077">
        <w:rPr>
          <w:rFonts w:eastAsia="SimSun"/>
          <w:color w:val="000000" w:themeColor="text1"/>
          <w:lang w:val="en-GB"/>
        </w:rPr>
        <w:t>Minimal Detectable Change</w:t>
      </w:r>
      <w:r w:rsidR="00C245D2" w:rsidRPr="00875077">
        <w:rPr>
          <w:iCs/>
          <w:color w:val="000000" w:themeColor="text1"/>
          <w:lang w:val="en-GB"/>
        </w:rPr>
        <w:t xml:space="preserve"> (MDC) [</w:t>
      </w:r>
      <w:r w:rsidR="00C245D2" w:rsidRPr="00875077">
        <w:rPr>
          <w:rFonts w:eastAsia="Times New Roman"/>
          <w:color w:val="000000" w:themeColor="text1"/>
          <w:shd w:val="clear" w:color="auto" w:fill="FFFFFF"/>
          <w:lang w:val="en-GB"/>
        </w:rPr>
        <w:t xml:space="preserve">MDC=1.96 </w:t>
      </w:r>
      <w:proofErr w:type="spellStart"/>
      <w:r w:rsidR="00C245D2" w:rsidRPr="00875077">
        <w:rPr>
          <w:rFonts w:eastAsia="Times New Roman"/>
          <w:color w:val="000000" w:themeColor="text1"/>
          <w:shd w:val="clear" w:color="auto" w:fill="FFFFFF"/>
          <w:lang w:val="en-GB"/>
        </w:rPr>
        <w:t>xSEM</w:t>
      </w:r>
      <w:proofErr w:type="spellEnd"/>
      <w:r w:rsidR="00C245D2" w:rsidRPr="00875077">
        <w:rPr>
          <w:rFonts w:eastAsia="Times New Roman"/>
          <w:color w:val="000000" w:themeColor="text1"/>
          <w:shd w:val="clear" w:color="auto" w:fill="FFFFFF"/>
          <w:lang w:val="en-GB"/>
        </w:rPr>
        <w:t xml:space="preserve"> x </w:t>
      </w:r>
      <m:oMath>
        <m:r>
          <m:rPr>
            <m:sty m:val="bi"/>
          </m:rPr>
          <w:rPr>
            <w:rFonts w:ascii="Cambria Math" w:hAnsi="Cambria Math"/>
            <w:color w:val="000000" w:themeColor="text1"/>
            <w:lang w:val="en-GB"/>
          </w:rPr>
          <m:t>√2</m:t>
        </m:r>
      </m:oMath>
      <w:r w:rsidR="00C245D2" w:rsidRPr="00875077">
        <w:rPr>
          <w:rFonts w:eastAsia="Times New Roman"/>
          <w:color w:val="000000" w:themeColor="text1"/>
          <w:shd w:val="clear" w:color="auto" w:fill="FFFFFF"/>
          <w:lang w:val="en-GB"/>
        </w:rPr>
        <w:t>]</w:t>
      </w:r>
      <w:r w:rsidR="00C245D2" w:rsidRPr="00875077">
        <w:rPr>
          <w:iCs/>
          <w:color w:val="000000" w:themeColor="text1"/>
          <w:lang w:val="en-GB"/>
        </w:rPr>
        <w:t xml:space="preserve"> for RMT of both muscles and MEP amplitude of EDC were also calculated. </w:t>
      </w:r>
    </w:p>
    <w:p w14:paraId="4F629229" w14:textId="0C55AB62" w:rsidR="00E36372" w:rsidRPr="00875077" w:rsidRDefault="00E36372" w:rsidP="007F3271">
      <w:pPr>
        <w:spacing w:line="480" w:lineRule="auto"/>
        <w:outlineLvl w:val="0"/>
        <w:rPr>
          <w:b/>
          <w:iCs/>
          <w:color w:val="000000" w:themeColor="text1"/>
          <w:lang w:val="en-GB"/>
        </w:rPr>
      </w:pPr>
      <w:r w:rsidRPr="00875077">
        <w:rPr>
          <w:b/>
          <w:iCs/>
          <w:color w:val="000000" w:themeColor="text1"/>
          <w:lang w:val="en-GB"/>
        </w:rPr>
        <w:t>Results</w:t>
      </w:r>
    </w:p>
    <w:p w14:paraId="6FCA31CE" w14:textId="0507DC5E" w:rsidR="002A246E" w:rsidRPr="00875077" w:rsidRDefault="00126276" w:rsidP="007F3271">
      <w:pPr>
        <w:spacing w:line="480" w:lineRule="auto"/>
        <w:rPr>
          <w:color w:val="000000" w:themeColor="text1"/>
          <w:lang w:val="en-GB"/>
        </w:rPr>
      </w:pPr>
      <w:r w:rsidRPr="00875077">
        <w:rPr>
          <w:iCs/>
          <w:color w:val="000000" w:themeColor="text1"/>
          <w:lang w:val="en-GB"/>
        </w:rPr>
        <w:t>Twenty participants (</w:t>
      </w:r>
      <w:r w:rsidR="00D90D10" w:rsidRPr="00875077">
        <w:rPr>
          <w:iCs/>
          <w:color w:val="000000" w:themeColor="text1"/>
          <w:lang w:val="en-GB"/>
        </w:rPr>
        <w:t>10 males,</w:t>
      </w:r>
      <w:r w:rsidR="00972527" w:rsidRPr="00875077">
        <w:rPr>
          <w:iCs/>
          <w:color w:val="000000" w:themeColor="text1"/>
          <w:lang w:val="en-GB"/>
        </w:rPr>
        <w:t xml:space="preserve"> </w:t>
      </w:r>
      <w:r w:rsidR="00D90D10" w:rsidRPr="00875077">
        <w:rPr>
          <w:iCs/>
          <w:color w:val="000000" w:themeColor="text1"/>
          <w:lang w:val="en-GB"/>
        </w:rPr>
        <w:t>10 females, mean age 58</w:t>
      </w:r>
      <w:r w:rsidRPr="00875077">
        <w:rPr>
          <w:iCs/>
          <w:color w:val="000000" w:themeColor="text1"/>
          <w:lang w:val="en-GB"/>
        </w:rPr>
        <w:t xml:space="preserve"> years </w:t>
      </w:r>
      <w:r w:rsidRPr="00875077">
        <w:rPr>
          <w:iCs/>
          <w:color w:val="000000" w:themeColor="text1"/>
          <w:lang w:val="en-GB"/>
        </w:rPr>
        <w:sym w:font="Symbol" w:char="F0B1"/>
      </w:r>
      <w:r w:rsidR="00DB3764" w:rsidRPr="00875077">
        <w:rPr>
          <w:iCs/>
          <w:color w:val="000000" w:themeColor="text1"/>
          <w:lang w:val="en-GB"/>
        </w:rPr>
        <w:t xml:space="preserve"> </w:t>
      </w:r>
      <w:r w:rsidR="00740CD4" w:rsidRPr="00875077">
        <w:rPr>
          <w:iCs/>
          <w:color w:val="000000" w:themeColor="text1"/>
          <w:lang w:val="en-GB"/>
        </w:rPr>
        <w:t>11</w:t>
      </w:r>
      <w:r w:rsidR="00DB3764" w:rsidRPr="00875077">
        <w:rPr>
          <w:iCs/>
          <w:color w:val="000000" w:themeColor="text1"/>
          <w:lang w:val="en-GB"/>
        </w:rPr>
        <w:t xml:space="preserve"> </w:t>
      </w:r>
      <w:r w:rsidRPr="00875077">
        <w:rPr>
          <w:iCs/>
          <w:color w:val="000000" w:themeColor="text1"/>
          <w:lang w:val="en-GB"/>
        </w:rPr>
        <w:t>SD</w:t>
      </w:r>
      <w:r w:rsidR="00DB3764" w:rsidRPr="00875077">
        <w:rPr>
          <w:iCs/>
          <w:color w:val="000000" w:themeColor="text1"/>
          <w:lang w:val="en-GB"/>
        </w:rPr>
        <w:t xml:space="preserve">, range </w:t>
      </w:r>
      <w:r w:rsidR="001446ED" w:rsidRPr="00875077">
        <w:rPr>
          <w:iCs/>
          <w:color w:val="000000" w:themeColor="text1"/>
          <w:lang w:val="en-GB"/>
        </w:rPr>
        <w:t>38 to 79 years</w:t>
      </w:r>
      <w:r w:rsidRPr="00875077">
        <w:rPr>
          <w:iCs/>
          <w:color w:val="000000" w:themeColor="text1"/>
          <w:lang w:val="en-GB"/>
        </w:rPr>
        <w:t xml:space="preserve">) completed the study. </w:t>
      </w:r>
      <w:r w:rsidR="00410414" w:rsidRPr="00875077">
        <w:rPr>
          <w:iCs/>
          <w:color w:val="000000" w:themeColor="text1"/>
          <w:lang w:val="en-GB"/>
        </w:rPr>
        <w:t xml:space="preserve">Three participants were </w:t>
      </w:r>
      <w:r w:rsidR="00FD3389" w:rsidRPr="00875077">
        <w:rPr>
          <w:iCs/>
          <w:color w:val="000000" w:themeColor="text1"/>
          <w:lang w:val="en-GB"/>
        </w:rPr>
        <w:t xml:space="preserve">left-handed and 17 </w:t>
      </w:r>
      <w:r w:rsidR="00410414" w:rsidRPr="00875077">
        <w:rPr>
          <w:iCs/>
          <w:color w:val="000000" w:themeColor="text1"/>
          <w:lang w:val="en-GB"/>
        </w:rPr>
        <w:t>were right-handed</w:t>
      </w:r>
      <w:r w:rsidR="00146CAC" w:rsidRPr="00875077">
        <w:rPr>
          <w:iCs/>
          <w:color w:val="000000" w:themeColor="text1"/>
          <w:lang w:val="en-GB"/>
        </w:rPr>
        <w:t xml:space="preserve">. </w:t>
      </w:r>
      <w:r w:rsidR="002A246E" w:rsidRPr="00875077">
        <w:rPr>
          <w:color w:val="000000" w:themeColor="text1"/>
          <w:lang w:val="en-GB"/>
        </w:rPr>
        <w:t>Two part</w:t>
      </w:r>
      <w:r w:rsidR="00E36372" w:rsidRPr="00875077">
        <w:rPr>
          <w:color w:val="000000" w:themeColor="text1"/>
          <w:lang w:val="en-GB"/>
        </w:rPr>
        <w:t xml:space="preserve">icipants reported dizziness, </w:t>
      </w:r>
      <w:r w:rsidR="002A246E" w:rsidRPr="00875077">
        <w:rPr>
          <w:color w:val="000000" w:themeColor="text1"/>
          <w:lang w:val="en-GB"/>
        </w:rPr>
        <w:t>headach</w:t>
      </w:r>
      <w:r w:rsidR="00E36372" w:rsidRPr="00875077">
        <w:rPr>
          <w:color w:val="000000" w:themeColor="text1"/>
          <w:lang w:val="en-GB"/>
        </w:rPr>
        <w:t>es and discomfort at high TMS intensities which subsided after an hour.</w:t>
      </w:r>
    </w:p>
    <w:p w14:paraId="47A9903C" w14:textId="10E735F8" w:rsidR="00C245D2" w:rsidRPr="00875077" w:rsidRDefault="00C245D2" w:rsidP="00C84537">
      <w:pPr>
        <w:spacing w:before="240" w:line="480" w:lineRule="auto"/>
        <w:rPr>
          <w:color w:val="000000" w:themeColor="text1"/>
          <w:lang w:val="en-GB"/>
        </w:rPr>
      </w:pPr>
      <w:r w:rsidRPr="00875077">
        <w:rPr>
          <w:color w:val="000000" w:themeColor="text1"/>
        </w:rPr>
        <w:t>The mean ED RMT at test 1 was 58.38% (SD 9.87), at test 2 was 59.29 % (SD 11.82) and test 3 was 60.20% (SD 9.81). The mean AD RMT at test 1 was 7</w:t>
      </w:r>
      <w:r w:rsidR="008279EF" w:rsidRPr="00875077">
        <w:rPr>
          <w:color w:val="000000" w:themeColor="text1"/>
        </w:rPr>
        <w:t>7</w:t>
      </w:r>
      <w:r w:rsidRPr="00875077">
        <w:rPr>
          <w:color w:val="000000" w:themeColor="text1"/>
        </w:rPr>
        <w:t>.17% (SD 10.59), at test 2 was 73.38% (SD 11.34) and test 3 was 76.45% (SD 9.13).</w:t>
      </w:r>
      <w:r w:rsidR="008279EF" w:rsidRPr="00875077">
        <w:rPr>
          <w:color w:val="000000" w:themeColor="text1"/>
          <w:lang w:val="en-GB"/>
        </w:rPr>
        <w:t xml:space="preserve"> In all cases, the AD </w:t>
      </w:r>
      <w:r w:rsidR="008279EF" w:rsidRPr="00875077">
        <w:rPr>
          <w:color w:val="000000" w:themeColor="text1"/>
          <w:lang w:val="en-GB"/>
        </w:rPr>
        <w:lastRenderedPageBreak/>
        <w:t xml:space="preserve">RMT was higher than the EDC RMT. MEPs of EDC were elicited in all participants and in 12 participants for AD. </w:t>
      </w:r>
      <w:r w:rsidR="008279EF" w:rsidRPr="00875077">
        <w:rPr>
          <w:iCs/>
          <w:color w:val="000000" w:themeColor="text1"/>
          <w:lang w:val="en-GB"/>
        </w:rPr>
        <w:t xml:space="preserve">Excellent reliability was found between tests 1 and 2 (ICC=0.91 [EDC], ICC=0.94 [AD]) and excellent </w:t>
      </w:r>
      <w:proofErr w:type="spellStart"/>
      <w:r w:rsidR="008279EF" w:rsidRPr="00875077">
        <w:rPr>
          <w:iCs/>
          <w:color w:val="000000" w:themeColor="text1"/>
          <w:lang w:val="en-GB"/>
        </w:rPr>
        <w:t>to</w:t>
      </w:r>
      <w:proofErr w:type="spellEnd"/>
      <w:r w:rsidR="008279EF" w:rsidRPr="00875077">
        <w:rPr>
          <w:iCs/>
          <w:color w:val="000000" w:themeColor="text1"/>
          <w:lang w:val="en-GB"/>
        </w:rPr>
        <w:t xml:space="preserve"> good for tests 1 and 3 (ICC=0.84 [EDC], ICC=0.69 [AD]).</w:t>
      </w:r>
    </w:p>
    <w:p w14:paraId="31A1495C" w14:textId="415ECBC5" w:rsidR="00AE6F25" w:rsidRPr="00875077" w:rsidRDefault="00F630E6" w:rsidP="00C84537">
      <w:pPr>
        <w:spacing w:before="240" w:line="480" w:lineRule="auto"/>
        <w:rPr>
          <w:iCs/>
          <w:color w:val="000000" w:themeColor="text1"/>
          <w:lang w:val="en-GB"/>
        </w:rPr>
      </w:pPr>
      <w:r w:rsidRPr="00875077">
        <w:rPr>
          <w:iCs/>
          <w:color w:val="000000" w:themeColor="text1"/>
          <w:lang w:val="en-GB"/>
        </w:rPr>
        <w:t>The a</w:t>
      </w:r>
      <w:r w:rsidR="00104518" w:rsidRPr="00875077">
        <w:rPr>
          <w:iCs/>
          <w:color w:val="000000" w:themeColor="text1"/>
          <w:lang w:val="en-GB"/>
        </w:rPr>
        <w:t>rea of I/O curves</w:t>
      </w:r>
      <w:r w:rsidR="00A3695F" w:rsidRPr="00875077">
        <w:rPr>
          <w:iCs/>
          <w:color w:val="000000" w:themeColor="text1"/>
          <w:lang w:val="en-GB"/>
        </w:rPr>
        <w:t xml:space="preserve"> </w:t>
      </w:r>
      <w:r w:rsidR="0070001B" w:rsidRPr="00875077">
        <w:rPr>
          <w:iCs/>
          <w:color w:val="000000" w:themeColor="text1"/>
          <w:lang w:val="en-GB"/>
        </w:rPr>
        <w:t xml:space="preserve">of MEP amplitude </w:t>
      </w:r>
      <w:r w:rsidR="0050163A" w:rsidRPr="00875077">
        <w:rPr>
          <w:iCs/>
          <w:color w:val="000000" w:themeColor="text1"/>
          <w:lang w:val="en-GB"/>
        </w:rPr>
        <w:t xml:space="preserve">had fair to good </w:t>
      </w:r>
      <w:r w:rsidR="005F03B4" w:rsidRPr="00875077">
        <w:rPr>
          <w:iCs/>
          <w:color w:val="000000" w:themeColor="text1"/>
          <w:lang w:val="en-GB"/>
        </w:rPr>
        <w:t>reliability</w:t>
      </w:r>
      <w:r w:rsidR="0050163A" w:rsidRPr="00875077">
        <w:rPr>
          <w:iCs/>
          <w:color w:val="000000" w:themeColor="text1"/>
          <w:lang w:val="en-GB"/>
        </w:rPr>
        <w:t xml:space="preserve"> from 100 to </w:t>
      </w:r>
      <w:r w:rsidR="00104518" w:rsidRPr="00875077">
        <w:rPr>
          <w:iCs/>
          <w:color w:val="000000" w:themeColor="text1"/>
          <w:lang w:val="en-GB"/>
        </w:rPr>
        <w:t>130</w:t>
      </w:r>
      <w:r w:rsidR="002912CD" w:rsidRPr="00875077">
        <w:rPr>
          <w:iCs/>
          <w:color w:val="000000" w:themeColor="text1"/>
          <w:lang w:val="en-GB"/>
        </w:rPr>
        <w:t>%</w:t>
      </w:r>
      <w:r w:rsidR="00DB3764" w:rsidRPr="00875077">
        <w:rPr>
          <w:iCs/>
          <w:color w:val="000000" w:themeColor="text1"/>
          <w:lang w:val="en-GB"/>
        </w:rPr>
        <w:t xml:space="preserve"> </w:t>
      </w:r>
      <w:r w:rsidR="005F03B4" w:rsidRPr="00875077">
        <w:rPr>
          <w:iCs/>
          <w:color w:val="000000" w:themeColor="text1"/>
          <w:lang w:val="en-GB"/>
        </w:rPr>
        <w:t xml:space="preserve">and 150% </w:t>
      </w:r>
      <w:r w:rsidR="002912CD" w:rsidRPr="00875077">
        <w:rPr>
          <w:iCs/>
          <w:color w:val="000000" w:themeColor="text1"/>
          <w:lang w:val="en-GB"/>
        </w:rPr>
        <w:t>RMT</w:t>
      </w:r>
      <w:r w:rsidR="00940963" w:rsidRPr="00875077">
        <w:rPr>
          <w:iCs/>
          <w:color w:val="000000" w:themeColor="text1"/>
          <w:lang w:val="en-GB"/>
        </w:rPr>
        <w:t xml:space="preserve"> between tests 1 and 2</w:t>
      </w:r>
      <w:r w:rsidR="0040209E" w:rsidRPr="00875077">
        <w:rPr>
          <w:iCs/>
          <w:color w:val="000000" w:themeColor="text1"/>
          <w:lang w:val="en-GB"/>
        </w:rPr>
        <w:t xml:space="preserve"> </w:t>
      </w:r>
      <w:r w:rsidR="003C35B0" w:rsidRPr="00875077">
        <w:rPr>
          <w:iCs/>
          <w:color w:val="000000" w:themeColor="text1"/>
          <w:lang w:val="en-GB"/>
        </w:rPr>
        <w:t>(ICC=</w:t>
      </w:r>
      <w:r w:rsidR="003C35B0" w:rsidRPr="00875077">
        <w:rPr>
          <w:color w:val="000000" w:themeColor="text1"/>
          <w:lang w:val="en-GB"/>
        </w:rPr>
        <w:t>0.50</w:t>
      </w:r>
      <w:r w:rsidR="005F03B4" w:rsidRPr="00875077">
        <w:rPr>
          <w:iCs/>
          <w:color w:val="000000" w:themeColor="text1"/>
          <w:lang w:val="en-GB"/>
        </w:rPr>
        <w:t>, 0.59</w:t>
      </w:r>
      <w:r w:rsidR="003C35B0" w:rsidRPr="00875077">
        <w:rPr>
          <w:color w:val="000000" w:themeColor="text1"/>
          <w:lang w:val="en-GB"/>
        </w:rPr>
        <w:t xml:space="preserve">) </w:t>
      </w:r>
      <w:r w:rsidR="0040209E" w:rsidRPr="00875077">
        <w:rPr>
          <w:iCs/>
          <w:color w:val="000000" w:themeColor="text1"/>
          <w:lang w:val="en-GB"/>
        </w:rPr>
        <w:t>and tests 1 and 3</w:t>
      </w:r>
      <w:r w:rsidR="003C35B0" w:rsidRPr="00875077">
        <w:rPr>
          <w:iCs/>
          <w:color w:val="000000" w:themeColor="text1"/>
          <w:lang w:val="en-GB"/>
        </w:rPr>
        <w:t xml:space="preserve"> (ICC=</w:t>
      </w:r>
      <w:r w:rsidR="0050163A" w:rsidRPr="00875077">
        <w:rPr>
          <w:iCs/>
          <w:color w:val="000000" w:themeColor="text1"/>
          <w:lang w:val="en-GB"/>
        </w:rPr>
        <w:t>0.65</w:t>
      </w:r>
      <w:r w:rsidR="005F03B4" w:rsidRPr="00875077">
        <w:rPr>
          <w:iCs/>
          <w:color w:val="000000" w:themeColor="text1"/>
          <w:lang w:val="en-GB"/>
        </w:rPr>
        <w:t>, 0.69</w:t>
      </w:r>
      <w:r w:rsidR="00940963" w:rsidRPr="00875077">
        <w:rPr>
          <w:iCs/>
          <w:color w:val="000000" w:themeColor="text1"/>
          <w:lang w:val="en-GB"/>
        </w:rPr>
        <w:t xml:space="preserve">) </w:t>
      </w:r>
      <w:r w:rsidR="00A82961" w:rsidRPr="00875077">
        <w:rPr>
          <w:iCs/>
          <w:color w:val="000000" w:themeColor="text1"/>
          <w:lang w:val="en-GB"/>
        </w:rPr>
        <w:t>(Table 1).</w:t>
      </w:r>
      <w:r w:rsidR="009B1591" w:rsidRPr="00875077">
        <w:rPr>
          <w:iCs/>
          <w:color w:val="000000" w:themeColor="text1"/>
          <w:lang w:val="en-GB"/>
        </w:rPr>
        <w:t xml:space="preserve"> CVs of the tests varied from 15% to 68%. </w:t>
      </w:r>
      <w:r w:rsidR="00AE6F25" w:rsidRPr="00875077">
        <w:rPr>
          <w:iCs/>
          <w:color w:val="000000" w:themeColor="text1"/>
          <w:lang w:val="en-GB"/>
        </w:rPr>
        <w:t>MDCs of RMT were found at 7.18% for AD and 8.20% for EDC between tests 1 and 2 and 10.95% for EDC and 16.35% for ADC between tests 1 and 3. MDCs for EDC MEP amplitude ranged from 1.55 to 2.55mV tests 1 and 2 and 1.30 to 2.22mV between tests 1 and 3</w:t>
      </w:r>
      <w:r w:rsidR="00C84537" w:rsidRPr="00875077">
        <w:rPr>
          <w:iCs/>
          <w:color w:val="000000" w:themeColor="text1"/>
          <w:lang w:val="en-GB"/>
        </w:rPr>
        <w:t xml:space="preserve"> (Table 1)</w:t>
      </w:r>
      <w:r w:rsidR="00AE6F25" w:rsidRPr="00875077">
        <w:rPr>
          <w:iCs/>
          <w:color w:val="000000" w:themeColor="text1"/>
          <w:lang w:val="en-GB"/>
        </w:rPr>
        <w:t>.</w:t>
      </w:r>
      <w:r w:rsidR="00C84537" w:rsidRPr="00875077">
        <w:rPr>
          <w:iCs/>
          <w:color w:val="000000" w:themeColor="text1"/>
          <w:lang w:val="en-GB"/>
        </w:rPr>
        <w:br w:type="page"/>
      </w:r>
    </w:p>
    <w:p w14:paraId="7434B175" w14:textId="7CB310C7" w:rsidR="00AE6F25" w:rsidRPr="00875077" w:rsidRDefault="00AE6F25" w:rsidP="00AE6F25">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lastRenderedPageBreak/>
        <w:t>Table 1: Mean (SD), ICC with 95% confidence intervals, SEM and MDC of resting motor threshold and motor evoked potential area of anterior deltoid and extensor digitorum communis I</w:t>
      </w:r>
      <w:r w:rsidR="00C84537" w:rsidRPr="00875077">
        <w:rPr>
          <w:rFonts w:ascii="Times New Roman" w:hAnsi="Times New Roman" w:cs="Times New Roman"/>
          <w:color w:val="000000" w:themeColor="text1"/>
        </w:rPr>
        <w:t>nput</w:t>
      </w:r>
      <w:r w:rsidRPr="00875077">
        <w:rPr>
          <w:rFonts w:ascii="Times New Roman" w:hAnsi="Times New Roman" w:cs="Times New Roman"/>
          <w:color w:val="000000" w:themeColor="text1"/>
        </w:rPr>
        <w:t>/O</w:t>
      </w:r>
      <w:r w:rsidR="00C84537" w:rsidRPr="00875077">
        <w:rPr>
          <w:rFonts w:ascii="Times New Roman" w:hAnsi="Times New Roman" w:cs="Times New Roman"/>
          <w:color w:val="000000" w:themeColor="text1"/>
        </w:rPr>
        <w:t>utput</w:t>
      </w:r>
      <w:r w:rsidRPr="00875077">
        <w:rPr>
          <w:rFonts w:ascii="Times New Roman" w:hAnsi="Times New Roman" w:cs="Times New Roman"/>
          <w:color w:val="000000" w:themeColor="text1"/>
        </w:rPr>
        <w:t xml:space="preserve"> curves between tests 1-2 and test 1-3.</w:t>
      </w:r>
    </w:p>
    <w:tbl>
      <w:tblPr>
        <w:tblW w:w="8714" w:type="dxa"/>
        <w:tblBorders>
          <w:top w:val="single" w:sz="8" w:space="0" w:color="000000"/>
          <w:bottom w:val="single" w:sz="8" w:space="0" w:color="000000"/>
        </w:tblBorders>
        <w:tblLook w:val="04A0" w:firstRow="1" w:lastRow="0" w:firstColumn="1" w:lastColumn="0" w:noHBand="0" w:noVBand="1"/>
      </w:tblPr>
      <w:tblGrid>
        <w:gridCol w:w="2225"/>
        <w:gridCol w:w="1427"/>
        <w:gridCol w:w="751"/>
        <w:gridCol w:w="1517"/>
        <w:gridCol w:w="84"/>
        <w:gridCol w:w="790"/>
        <w:gridCol w:w="853"/>
        <w:gridCol w:w="1067"/>
      </w:tblGrid>
      <w:tr w:rsidR="00875077" w:rsidRPr="00875077" w14:paraId="42ED3C31" w14:textId="77777777" w:rsidTr="008279EF">
        <w:tc>
          <w:tcPr>
            <w:tcW w:w="2225" w:type="dxa"/>
            <w:tcBorders>
              <w:top w:val="single" w:sz="8" w:space="0" w:color="000000"/>
              <w:bottom w:val="single" w:sz="6" w:space="0" w:color="000000"/>
            </w:tcBorders>
            <w:shd w:val="clear" w:color="auto" w:fill="auto"/>
            <w:vAlign w:val="center"/>
          </w:tcPr>
          <w:p w14:paraId="2488DA94" w14:textId="77777777" w:rsidR="008279EF" w:rsidRPr="00875077" w:rsidRDefault="008279EF" w:rsidP="0096664A">
            <w:pPr>
              <w:jc w:val="center"/>
              <w:rPr>
                <w:bCs/>
                <w:color w:val="000000" w:themeColor="text1"/>
                <w:sz w:val="20"/>
                <w:szCs w:val="20"/>
              </w:rPr>
            </w:pPr>
          </w:p>
          <w:p w14:paraId="31362A05" w14:textId="77777777" w:rsidR="008279EF" w:rsidRPr="00875077" w:rsidRDefault="008279EF" w:rsidP="0096664A">
            <w:pPr>
              <w:jc w:val="center"/>
              <w:rPr>
                <w:bCs/>
                <w:color w:val="000000" w:themeColor="text1"/>
                <w:sz w:val="20"/>
                <w:szCs w:val="20"/>
              </w:rPr>
            </w:pPr>
          </w:p>
        </w:tc>
        <w:tc>
          <w:tcPr>
            <w:tcW w:w="1427" w:type="dxa"/>
            <w:tcBorders>
              <w:top w:val="single" w:sz="8" w:space="0" w:color="000000"/>
              <w:bottom w:val="single" w:sz="6" w:space="0" w:color="000000"/>
            </w:tcBorders>
            <w:shd w:val="clear" w:color="auto" w:fill="auto"/>
            <w:vAlign w:val="center"/>
          </w:tcPr>
          <w:p w14:paraId="05F6DBE2"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Means (SD)</w:t>
            </w:r>
          </w:p>
        </w:tc>
        <w:tc>
          <w:tcPr>
            <w:tcW w:w="751" w:type="dxa"/>
            <w:tcBorders>
              <w:top w:val="single" w:sz="8" w:space="0" w:color="000000"/>
              <w:bottom w:val="single" w:sz="6" w:space="0" w:color="000000"/>
            </w:tcBorders>
            <w:shd w:val="clear" w:color="auto" w:fill="auto"/>
            <w:vAlign w:val="center"/>
          </w:tcPr>
          <w:p w14:paraId="6A5E2D50" w14:textId="77777777" w:rsidR="008279EF" w:rsidRPr="00875077" w:rsidRDefault="008279EF" w:rsidP="0096664A">
            <w:pPr>
              <w:jc w:val="center"/>
              <w:rPr>
                <w:bCs/>
                <w:color w:val="000000" w:themeColor="text1"/>
                <w:sz w:val="20"/>
                <w:szCs w:val="20"/>
                <w:vertAlign w:val="superscript"/>
              </w:rPr>
            </w:pPr>
            <w:r w:rsidRPr="00875077">
              <w:rPr>
                <w:bCs/>
                <w:color w:val="000000" w:themeColor="text1"/>
                <w:sz w:val="20"/>
                <w:szCs w:val="20"/>
              </w:rPr>
              <w:t>ICC</w:t>
            </w:r>
            <w:r w:rsidRPr="00875077">
              <w:rPr>
                <w:bCs/>
                <w:color w:val="000000" w:themeColor="text1"/>
                <w:sz w:val="20"/>
                <w:szCs w:val="20"/>
                <w:vertAlign w:val="superscript"/>
              </w:rPr>
              <w:t>*2</w:t>
            </w:r>
          </w:p>
        </w:tc>
        <w:tc>
          <w:tcPr>
            <w:tcW w:w="1517" w:type="dxa"/>
            <w:tcBorders>
              <w:top w:val="single" w:sz="8" w:space="0" w:color="000000"/>
              <w:bottom w:val="single" w:sz="6" w:space="0" w:color="000000"/>
            </w:tcBorders>
            <w:shd w:val="clear" w:color="auto" w:fill="auto"/>
            <w:vAlign w:val="center"/>
          </w:tcPr>
          <w:p w14:paraId="39FD4974" w14:textId="77777777" w:rsidR="008279EF" w:rsidRPr="00875077" w:rsidRDefault="008279EF" w:rsidP="0096664A">
            <w:pPr>
              <w:jc w:val="center"/>
              <w:rPr>
                <w:bCs/>
                <w:color w:val="000000" w:themeColor="text1"/>
                <w:sz w:val="20"/>
                <w:szCs w:val="20"/>
                <w:vertAlign w:val="superscript"/>
              </w:rPr>
            </w:pPr>
            <w:r w:rsidRPr="00875077">
              <w:rPr>
                <w:bCs/>
                <w:color w:val="000000" w:themeColor="text1"/>
                <w:sz w:val="20"/>
                <w:szCs w:val="20"/>
              </w:rPr>
              <w:t>95% CI</w:t>
            </w:r>
            <w:r w:rsidRPr="00875077">
              <w:rPr>
                <w:bCs/>
                <w:color w:val="000000" w:themeColor="text1"/>
                <w:sz w:val="20"/>
                <w:szCs w:val="20"/>
                <w:vertAlign w:val="superscript"/>
              </w:rPr>
              <w:t>*3</w:t>
            </w:r>
          </w:p>
        </w:tc>
        <w:tc>
          <w:tcPr>
            <w:tcW w:w="874" w:type="dxa"/>
            <w:gridSpan w:val="2"/>
            <w:tcBorders>
              <w:top w:val="single" w:sz="8" w:space="0" w:color="000000"/>
              <w:bottom w:val="single" w:sz="6" w:space="0" w:color="000000"/>
            </w:tcBorders>
            <w:vAlign w:val="center"/>
          </w:tcPr>
          <w:p w14:paraId="2B0A0BBE" w14:textId="0A59206B" w:rsidR="008279EF" w:rsidRPr="00875077" w:rsidRDefault="008279EF" w:rsidP="008279EF">
            <w:pPr>
              <w:jc w:val="center"/>
              <w:rPr>
                <w:bCs/>
                <w:color w:val="000000" w:themeColor="text1"/>
                <w:sz w:val="20"/>
                <w:szCs w:val="20"/>
              </w:rPr>
            </w:pPr>
            <w:r w:rsidRPr="00875077">
              <w:rPr>
                <w:bCs/>
                <w:color w:val="000000" w:themeColor="text1"/>
                <w:sz w:val="20"/>
                <w:szCs w:val="20"/>
              </w:rPr>
              <w:t>CV (%)</w:t>
            </w:r>
          </w:p>
        </w:tc>
        <w:tc>
          <w:tcPr>
            <w:tcW w:w="853" w:type="dxa"/>
            <w:tcBorders>
              <w:top w:val="single" w:sz="8" w:space="0" w:color="000000"/>
              <w:bottom w:val="single" w:sz="6" w:space="0" w:color="000000"/>
            </w:tcBorders>
            <w:shd w:val="clear" w:color="auto" w:fill="auto"/>
            <w:vAlign w:val="center"/>
          </w:tcPr>
          <w:p w14:paraId="44F7B67D" w14:textId="09054A8F" w:rsidR="008279EF" w:rsidRPr="00875077" w:rsidRDefault="008279EF" w:rsidP="0096664A">
            <w:pPr>
              <w:jc w:val="center"/>
              <w:rPr>
                <w:bCs/>
                <w:color w:val="000000" w:themeColor="text1"/>
                <w:sz w:val="20"/>
                <w:szCs w:val="20"/>
                <w:vertAlign w:val="superscript"/>
              </w:rPr>
            </w:pPr>
            <w:r w:rsidRPr="00875077">
              <w:rPr>
                <w:bCs/>
                <w:color w:val="000000" w:themeColor="text1"/>
                <w:sz w:val="20"/>
                <w:szCs w:val="20"/>
              </w:rPr>
              <w:t>SEM</w:t>
            </w:r>
            <w:r w:rsidRPr="00875077">
              <w:rPr>
                <w:bCs/>
                <w:color w:val="000000" w:themeColor="text1"/>
                <w:sz w:val="20"/>
                <w:szCs w:val="20"/>
                <w:vertAlign w:val="superscript"/>
              </w:rPr>
              <w:t>*4</w:t>
            </w:r>
          </w:p>
        </w:tc>
        <w:tc>
          <w:tcPr>
            <w:tcW w:w="1067" w:type="dxa"/>
            <w:tcBorders>
              <w:top w:val="single" w:sz="8" w:space="0" w:color="000000"/>
              <w:bottom w:val="single" w:sz="6" w:space="0" w:color="000000"/>
            </w:tcBorders>
            <w:shd w:val="clear" w:color="auto" w:fill="auto"/>
            <w:vAlign w:val="center"/>
          </w:tcPr>
          <w:p w14:paraId="6E20C0F5"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MDC</w:t>
            </w:r>
            <w:r w:rsidRPr="00875077">
              <w:rPr>
                <w:bCs/>
                <w:color w:val="000000" w:themeColor="text1"/>
                <w:sz w:val="20"/>
                <w:szCs w:val="20"/>
                <w:vertAlign w:val="superscript"/>
              </w:rPr>
              <w:t>*5</w:t>
            </w:r>
            <w:r w:rsidRPr="00875077">
              <w:rPr>
                <w:bCs/>
                <w:color w:val="000000" w:themeColor="text1"/>
                <w:sz w:val="20"/>
                <w:szCs w:val="20"/>
              </w:rPr>
              <w:t xml:space="preserve"> </w:t>
            </w:r>
          </w:p>
          <w:p w14:paraId="79977841" w14:textId="77777777" w:rsidR="008279EF" w:rsidRPr="00875077" w:rsidRDefault="008279EF" w:rsidP="0096664A">
            <w:pPr>
              <w:jc w:val="center"/>
              <w:rPr>
                <w:bCs/>
                <w:color w:val="000000" w:themeColor="text1"/>
                <w:sz w:val="20"/>
                <w:szCs w:val="20"/>
                <w:vertAlign w:val="superscript"/>
              </w:rPr>
            </w:pPr>
            <w:r w:rsidRPr="00875077">
              <w:rPr>
                <w:bCs/>
                <w:color w:val="000000" w:themeColor="text1"/>
                <w:sz w:val="20"/>
                <w:szCs w:val="20"/>
              </w:rPr>
              <w:t>%/mV</w:t>
            </w:r>
            <w:r w:rsidRPr="00875077">
              <w:rPr>
                <w:bCs/>
                <w:color w:val="000000" w:themeColor="text1"/>
                <w:sz w:val="20"/>
                <w:szCs w:val="20"/>
                <w:vertAlign w:val="superscript"/>
              </w:rPr>
              <w:t>*6</w:t>
            </w:r>
          </w:p>
        </w:tc>
      </w:tr>
      <w:tr w:rsidR="00875077" w:rsidRPr="00875077" w14:paraId="24AB0D56" w14:textId="77777777" w:rsidTr="00090566">
        <w:tc>
          <w:tcPr>
            <w:tcW w:w="2225"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222AF0E7" w14:textId="614B989E" w:rsidR="008279EF" w:rsidRPr="00875077" w:rsidRDefault="008279EF" w:rsidP="0096664A">
            <w:pPr>
              <w:jc w:val="center"/>
              <w:rPr>
                <w:bCs/>
                <w:color w:val="000000" w:themeColor="text1"/>
                <w:sz w:val="20"/>
                <w:szCs w:val="20"/>
                <w:vertAlign w:val="superscript"/>
              </w:rPr>
            </w:pPr>
            <w:r w:rsidRPr="00875077">
              <w:rPr>
                <w:bCs/>
                <w:color w:val="000000" w:themeColor="text1"/>
                <w:sz w:val="20"/>
                <w:szCs w:val="20"/>
              </w:rPr>
              <w:t>RMT (%MSO)</w:t>
            </w:r>
            <w:r w:rsidRPr="00875077">
              <w:rPr>
                <w:bCs/>
                <w:color w:val="000000" w:themeColor="text1"/>
                <w:sz w:val="20"/>
                <w:szCs w:val="20"/>
                <w:vertAlign w:val="superscript"/>
              </w:rPr>
              <w:t>*1</w:t>
            </w:r>
          </w:p>
          <w:p w14:paraId="6468A43C" w14:textId="77777777" w:rsidR="008279EF" w:rsidRPr="00875077" w:rsidRDefault="008279EF" w:rsidP="0096664A">
            <w:pPr>
              <w:jc w:val="center"/>
              <w:rPr>
                <w:b/>
                <w:bCs/>
                <w:color w:val="000000" w:themeColor="text1"/>
                <w:sz w:val="20"/>
                <w:szCs w:val="20"/>
              </w:rPr>
            </w:pPr>
          </w:p>
        </w:tc>
        <w:tc>
          <w:tcPr>
            <w:tcW w:w="6489" w:type="dxa"/>
            <w:gridSpan w:val="7"/>
            <w:tcBorders>
              <w:top w:val="single" w:sz="6" w:space="0" w:color="000000"/>
              <w:left w:val="single" w:sz="6" w:space="0" w:color="000000"/>
              <w:bottom w:val="single" w:sz="24" w:space="0" w:color="000000"/>
              <w:right w:val="single" w:sz="6" w:space="0" w:color="000000"/>
            </w:tcBorders>
          </w:tcPr>
          <w:p w14:paraId="1D71753B" w14:textId="3B714FEA" w:rsidR="008279EF" w:rsidRPr="00875077" w:rsidRDefault="008279EF" w:rsidP="0096664A">
            <w:pPr>
              <w:jc w:val="center"/>
              <w:rPr>
                <w:b/>
                <w:bCs/>
                <w:color w:val="000000" w:themeColor="text1"/>
                <w:sz w:val="20"/>
                <w:szCs w:val="20"/>
              </w:rPr>
            </w:pPr>
          </w:p>
        </w:tc>
      </w:tr>
      <w:tr w:rsidR="00875077" w:rsidRPr="00875077" w14:paraId="798FE81D" w14:textId="77777777" w:rsidTr="009B1591">
        <w:trPr>
          <w:trHeight w:val="554"/>
        </w:trPr>
        <w:tc>
          <w:tcPr>
            <w:tcW w:w="2225"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512B58DC"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2</w:t>
            </w:r>
          </w:p>
          <w:p w14:paraId="06FCC7BE"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(EDC)</w:t>
            </w:r>
          </w:p>
        </w:tc>
        <w:tc>
          <w:tcPr>
            <w:tcW w:w="1427" w:type="dxa"/>
            <w:tcBorders>
              <w:top w:val="single" w:sz="24" w:space="0" w:color="000000"/>
              <w:left w:val="single" w:sz="6" w:space="0" w:color="000000"/>
              <w:bottom w:val="single" w:sz="6" w:space="0" w:color="000000"/>
              <w:right w:val="nil"/>
            </w:tcBorders>
            <w:shd w:val="clear" w:color="auto" w:fill="auto"/>
            <w:vAlign w:val="center"/>
          </w:tcPr>
          <w:p w14:paraId="2A877301" w14:textId="46D56ACE" w:rsidR="008279EF" w:rsidRPr="00875077" w:rsidRDefault="008279EF" w:rsidP="008279EF">
            <w:pPr>
              <w:jc w:val="center"/>
              <w:rPr>
                <w:bCs/>
                <w:color w:val="000000" w:themeColor="text1"/>
                <w:sz w:val="20"/>
                <w:szCs w:val="20"/>
              </w:rPr>
            </w:pPr>
            <w:r w:rsidRPr="00875077">
              <w:rPr>
                <w:bCs/>
                <w:color w:val="000000" w:themeColor="text1"/>
                <w:sz w:val="20"/>
                <w:szCs w:val="20"/>
              </w:rPr>
              <w:t>58.38 (9.87) 59.29 (11.82)</w:t>
            </w:r>
          </w:p>
        </w:tc>
        <w:tc>
          <w:tcPr>
            <w:tcW w:w="751" w:type="dxa"/>
            <w:tcBorders>
              <w:top w:val="single" w:sz="24" w:space="0" w:color="000000"/>
              <w:bottom w:val="single" w:sz="6" w:space="0" w:color="000000"/>
            </w:tcBorders>
            <w:shd w:val="clear" w:color="auto" w:fill="auto"/>
            <w:vAlign w:val="center"/>
          </w:tcPr>
          <w:p w14:paraId="2953C2EF"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0.91</w:t>
            </w:r>
          </w:p>
        </w:tc>
        <w:tc>
          <w:tcPr>
            <w:tcW w:w="1601" w:type="dxa"/>
            <w:gridSpan w:val="2"/>
            <w:tcBorders>
              <w:top w:val="single" w:sz="24" w:space="0" w:color="000000"/>
              <w:left w:val="nil"/>
              <w:bottom w:val="single" w:sz="6" w:space="0" w:color="000000"/>
              <w:right w:val="nil"/>
            </w:tcBorders>
            <w:shd w:val="clear" w:color="auto" w:fill="auto"/>
            <w:vAlign w:val="center"/>
          </w:tcPr>
          <w:p w14:paraId="0D6A0EF0"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0.75-0.95</w:t>
            </w:r>
          </w:p>
        </w:tc>
        <w:tc>
          <w:tcPr>
            <w:tcW w:w="790" w:type="dxa"/>
            <w:tcBorders>
              <w:top w:val="single" w:sz="24" w:space="0" w:color="000000"/>
              <w:bottom w:val="single" w:sz="6" w:space="0" w:color="000000"/>
            </w:tcBorders>
            <w:vAlign w:val="center"/>
          </w:tcPr>
          <w:p w14:paraId="06BF57A6" w14:textId="36E4D99B" w:rsidR="008279EF" w:rsidRPr="00875077" w:rsidRDefault="008279EF" w:rsidP="009B1591">
            <w:pPr>
              <w:jc w:val="center"/>
              <w:rPr>
                <w:bCs/>
                <w:color w:val="000000" w:themeColor="text1"/>
                <w:sz w:val="20"/>
                <w:szCs w:val="20"/>
              </w:rPr>
            </w:pPr>
            <w:r w:rsidRPr="00875077">
              <w:rPr>
                <w:bCs/>
                <w:color w:val="000000" w:themeColor="text1"/>
                <w:sz w:val="20"/>
                <w:szCs w:val="20"/>
              </w:rPr>
              <w:t>18</w:t>
            </w:r>
          </w:p>
        </w:tc>
        <w:tc>
          <w:tcPr>
            <w:tcW w:w="853" w:type="dxa"/>
            <w:tcBorders>
              <w:top w:val="single" w:sz="24" w:space="0" w:color="000000"/>
              <w:bottom w:val="single" w:sz="6" w:space="0" w:color="000000"/>
            </w:tcBorders>
            <w:shd w:val="clear" w:color="auto" w:fill="auto"/>
            <w:vAlign w:val="center"/>
          </w:tcPr>
          <w:p w14:paraId="38CBC4EF" w14:textId="5CFA3B3C" w:rsidR="008279EF" w:rsidRPr="00875077" w:rsidRDefault="008279EF" w:rsidP="0096664A">
            <w:pPr>
              <w:jc w:val="center"/>
              <w:rPr>
                <w:bCs/>
                <w:color w:val="000000" w:themeColor="text1"/>
                <w:sz w:val="20"/>
                <w:szCs w:val="20"/>
              </w:rPr>
            </w:pPr>
            <w:r w:rsidRPr="00875077">
              <w:rPr>
                <w:bCs/>
                <w:color w:val="000000" w:themeColor="text1"/>
                <w:sz w:val="20"/>
                <w:szCs w:val="20"/>
              </w:rPr>
              <w:t>2.96</w:t>
            </w:r>
          </w:p>
        </w:tc>
        <w:tc>
          <w:tcPr>
            <w:tcW w:w="1067" w:type="dxa"/>
            <w:tcBorders>
              <w:top w:val="single" w:sz="24" w:space="0" w:color="000000"/>
              <w:left w:val="nil"/>
              <w:bottom w:val="single" w:sz="6" w:space="0" w:color="000000"/>
              <w:right w:val="single" w:sz="6" w:space="0" w:color="000000"/>
            </w:tcBorders>
            <w:shd w:val="clear" w:color="auto" w:fill="auto"/>
            <w:vAlign w:val="center"/>
          </w:tcPr>
          <w:p w14:paraId="7C4EE40E"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8.20</w:t>
            </w:r>
          </w:p>
        </w:tc>
      </w:tr>
      <w:tr w:rsidR="00875077" w:rsidRPr="00875077" w14:paraId="46A999EA" w14:textId="77777777" w:rsidTr="009B1591">
        <w:trPr>
          <w:trHeight w:val="726"/>
        </w:trPr>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C8AAA1"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3</w:t>
            </w:r>
          </w:p>
          <w:p w14:paraId="4D46B356"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(EDC)</w:t>
            </w:r>
          </w:p>
        </w:tc>
        <w:tc>
          <w:tcPr>
            <w:tcW w:w="1427" w:type="dxa"/>
            <w:tcBorders>
              <w:top w:val="single" w:sz="6" w:space="0" w:color="000000"/>
              <w:left w:val="single" w:sz="6" w:space="0" w:color="000000"/>
              <w:bottom w:val="single" w:sz="6" w:space="0" w:color="000000"/>
            </w:tcBorders>
            <w:shd w:val="clear" w:color="auto" w:fill="auto"/>
            <w:vAlign w:val="center"/>
          </w:tcPr>
          <w:p w14:paraId="2C5AC3B5" w14:textId="1C21BB50" w:rsidR="008279EF" w:rsidRPr="00875077" w:rsidRDefault="008279EF" w:rsidP="008279EF">
            <w:pPr>
              <w:jc w:val="center"/>
              <w:rPr>
                <w:bCs/>
                <w:color w:val="000000" w:themeColor="text1"/>
                <w:sz w:val="20"/>
                <w:szCs w:val="20"/>
              </w:rPr>
            </w:pPr>
            <w:r w:rsidRPr="00875077">
              <w:rPr>
                <w:bCs/>
                <w:color w:val="000000" w:themeColor="text1"/>
                <w:sz w:val="20"/>
                <w:szCs w:val="20"/>
              </w:rPr>
              <w:t>58.38 (9.87) 60.20 (9.81)</w:t>
            </w:r>
          </w:p>
        </w:tc>
        <w:tc>
          <w:tcPr>
            <w:tcW w:w="751" w:type="dxa"/>
            <w:tcBorders>
              <w:top w:val="single" w:sz="6" w:space="0" w:color="000000"/>
              <w:bottom w:val="single" w:sz="6" w:space="0" w:color="000000"/>
            </w:tcBorders>
            <w:shd w:val="clear" w:color="auto" w:fill="auto"/>
            <w:vAlign w:val="center"/>
          </w:tcPr>
          <w:p w14:paraId="3112CBF3"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0.84</w:t>
            </w:r>
          </w:p>
        </w:tc>
        <w:tc>
          <w:tcPr>
            <w:tcW w:w="1601" w:type="dxa"/>
            <w:gridSpan w:val="2"/>
            <w:tcBorders>
              <w:top w:val="single" w:sz="6" w:space="0" w:color="000000"/>
              <w:bottom w:val="single" w:sz="6" w:space="0" w:color="000000"/>
            </w:tcBorders>
            <w:shd w:val="clear" w:color="auto" w:fill="auto"/>
            <w:vAlign w:val="center"/>
          </w:tcPr>
          <w:p w14:paraId="3926F0E9"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0.64-0.93</w:t>
            </w:r>
          </w:p>
        </w:tc>
        <w:tc>
          <w:tcPr>
            <w:tcW w:w="790" w:type="dxa"/>
            <w:tcBorders>
              <w:top w:val="single" w:sz="6" w:space="0" w:color="000000"/>
              <w:bottom w:val="single" w:sz="6" w:space="0" w:color="000000"/>
            </w:tcBorders>
            <w:vAlign w:val="center"/>
          </w:tcPr>
          <w:p w14:paraId="04363F0A" w14:textId="16FF4CF7" w:rsidR="008279EF" w:rsidRPr="00875077" w:rsidRDefault="008279EF" w:rsidP="009B1591">
            <w:pPr>
              <w:jc w:val="center"/>
              <w:rPr>
                <w:color w:val="000000" w:themeColor="text1"/>
                <w:sz w:val="20"/>
                <w:szCs w:val="20"/>
              </w:rPr>
            </w:pPr>
            <w:r w:rsidRPr="00875077">
              <w:rPr>
                <w:color w:val="000000" w:themeColor="text1"/>
                <w:sz w:val="20"/>
                <w:szCs w:val="20"/>
              </w:rPr>
              <w:t>33</w:t>
            </w:r>
          </w:p>
        </w:tc>
        <w:tc>
          <w:tcPr>
            <w:tcW w:w="853" w:type="dxa"/>
            <w:tcBorders>
              <w:top w:val="single" w:sz="6" w:space="0" w:color="000000"/>
              <w:bottom w:val="single" w:sz="6" w:space="0" w:color="000000"/>
            </w:tcBorders>
            <w:shd w:val="clear" w:color="auto" w:fill="auto"/>
            <w:vAlign w:val="center"/>
          </w:tcPr>
          <w:p w14:paraId="25F4E700" w14:textId="75922F87" w:rsidR="008279EF" w:rsidRPr="00875077" w:rsidRDefault="008279EF" w:rsidP="0096664A">
            <w:pPr>
              <w:jc w:val="center"/>
              <w:rPr>
                <w:color w:val="000000" w:themeColor="text1"/>
                <w:sz w:val="20"/>
                <w:szCs w:val="20"/>
              </w:rPr>
            </w:pPr>
            <w:r w:rsidRPr="00875077">
              <w:rPr>
                <w:color w:val="000000" w:themeColor="text1"/>
                <w:sz w:val="20"/>
                <w:szCs w:val="20"/>
              </w:rPr>
              <w:t>3.95</w:t>
            </w:r>
          </w:p>
        </w:tc>
        <w:tc>
          <w:tcPr>
            <w:tcW w:w="1067" w:type="dxa"/>
            <w:tcBorders>
              <w:top w:val="single" w:sz="6" w:space="0" w:color="000000"/>
              <w:bottom w:val="single" w:sz="6" w:space="0" w:color="000000"/>
              <w:right w:val="single" w:sz="6" w:space="0" w:color="000000"/>
            </w:tcBorders>
            <w:shd w:val="clear" w:color="auto" w:fill="auto"/>
            <w:vAlign w:val="center"/>
          </w:tcPr>
          <w:p w14:paraId="3F4EA1FF" w14:textId="77777777" w:rsidR="008279EF" w:rsidRPr="00875077" w:rsidRDefault="008279EF" w:rsidP="0096664A">
            <w:pPr>
              <w:jc w:val="center"/>
              <w:rPr>
                <w:b/>
                <w:color w:val="000000" w:themeColor="text1"/>
                <w:sz w:val="20"/>
                <w:szCs w:val="20"/>
              </w:rPr>
            </w:pPr>
            <w:r w:rsidRPr="00875077">
              <w:rPr>
                <w:b/>
                <w:color w:val="000000" w:themeColor="text1"/>
                <w:sz w:val="20"/>
                <w:szCs w:val="20"/>
              </w:rPr>
              <w:t>10.95</w:t>
            </w:r>
          </w:p>
        </w:tc>
      </w:tr>
      <w:tr w:rsidR="00875077" w:rsidRPr="00875077" w14:paraId="02AFAC40" w14:textId="77777777" w:rsidTr="009B1591">
        <w:trPr>
          <w:trHeight w:val="907"/>
        </w:trPr>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827D85" w14:textId="77777777" w:rsidR="008279EF" w:rsidRPr="00875077" w:rsidRDefault="008279EF" w:rsidP="0096664A">
            <w:pPr>
              <w:jc w:val="center"/>
              <w:rPr>
                <w:b/>
                <w:bCs/>
                <w:color w:val="000000" w:themeColor="text1"/>
                <w:sz w:val="20"/>
                <w:szCs w:val="20"/>
              </w:rPr>
            </w:pPr>
          </w:p>
          <w:p w14:paraId="70165D83"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2</w:t>
            </w:r>
          </w:p>
          <w:p w14:paraId="250E50B8"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(AD)</w:t>
            </w:r>
          </w:p>
          <w:p w14:paraId="313B6C80" w14:textId="77777777" w:rsidR="008279EF" w:rsidRPr="00875077" w:rsidRDefault="008279EF" w:rsidP="0096664A">
            <w:pPr>
              <w:rPr>
                <w:color w:val="000000" w:themeColor="text1"/>
                <w:sz w:val="20"/>
                <w:szCs w:val="20"/>
              </w:rPr>
            </w:pPr>
          </w:p>
        </w:tc>
        <w:tc>
          <w:tcPr>
            <w:tcW w:w="1427" w:type="dxa"/>
            <w:tcBorders>
              <w:top w:val="single" w:sz="6" w:space="0" w:color="000000"/>
              <w:left w:val="single" w:sz="6" w:space="0" w:color="000000"/>
              <w:bottom w:val="single" w:sz="6" w:space="0" w:color="000000"/>
              <w:right w:val="nil"/>
            </w:tcBorders>
            <w:shd w:val="clear" w:color="auto" w:fill="auto"/>
            <w:vAlign w:val="center"/>
          </w:tcPr>
          <w:p w14:paraId="4FBE332E"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77.17 (10.59)</w:t>
            </w:r>
          </w:p>
          <w:p w14:paraId="4EBE4CE4" w14:textId="030D0699" w:rsidR="008279EF" w:rsidRPr="00875077" w:rsidRDefault="008279EF" w:rsidP="009B1591">
            <w:pPr>
              <w:jc w:val="center"/>
              <w:rPr>
                <w:bCs/>
                <w:color w:val="000000" w:themeColor="text1"/>
                <w:sz w:val="20"/>
                <w:szCs w:val="20"/>
              </w:rPr>
            </w:pPr>
            <w:r w:rsidRPr="00875077">
              <w:rPr>
                <w:bCs/>
                <w:color w:val="000000" w:themeColor="text1"/>
                <w:sz w:val="20"/>
                <w:szCs w:val="20"/>
              </w:rPr>
              <w:t>73.38 (11.34)</w:t>
            </w:r>
          </w:p>
        </w:tc>
        <w:tc>
          <w:tcPr>
            <w:tcW w:w="751" w:type="dxa"/>
            <w:tcBorders>
              <w:top w:val="single" w:sz="6" w:space="0" w:color="000000"/>
              <w:bottom w:val="single" w:sz="6" w:space="0" w:color="000000"/>
            </w:tcBorders>
            <w:shd w:val="clear" w:color="auto" w:fill="auto"/>
            <w:vAlign w:val="center"/>
          </w:tcPr>
          <w:p w14:paraId="7598B738"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0.94</w:t>
            </w:r>
          </w:p>
        </w:tc>
        <w:tc>
          <w:tcPr>
            <w:tcW w:w="1601" w:type="dxa"/>
            <w:gridSpan w:val="2"/>
            <w:tcBorders>
              <w:top w:val="single" w:sz="6" w:space="0" w:color="000000"/>
              <w:left w:val="nil"/>
              <w:bottom w:val="single" w:sz="6" w:space="0" w:color="000000"/>
              <w:right w:val="nil"/>
            </w:tcBorders>
            <w:shd w:val="clear" w:color="auto" w:fill="auto"/>
            <w:vAlign w:val="center"/>
          </w:tcPr>
          <w:p w14:paraId="7EB9CADD"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0.80-0.98</w:t>
            </w:r>
          </w:p>
        </w:tc>
        <w:tc>
          <w:tcPr>
            <w:tcW w:w="790" w:type="dxa"/>
            <w:tcBorders>
              <w:top w:val="single" w:sz="6" w:space="0" w:color="000000"/>
              <w:bottom w:val="single" w:sz="6" w:space="0" w:color="000000"/>
            </w:tcBorders>
            <w:vAlign w:val="center"/>
          </w:tcPr>
          <w:p w14:paraId="66678788" w14:textId="3E88104B" w:rsidR="008279EF" w:rsidRPr="00875077" w:rsidRDefault="009B1591" w:rsidP="009B1591">
            <w:pPr>
              <w:jc w:val="center"/>
              <w:rPr>
                <w:color w:val="000000" w:themeColor="text1"/>
                <w:sz w:val="20"/>
                <w:szCs w:val="20"/>
              </w:rPr>
            </w:pPr>
            <w:r w:rsidRPr="00875077">
              <w:rPr>
                <w:color w:val="000000" w:themeColor="text1"/>
                <w:sz w:val="20"/>
                <w:szCs w:val="20"/>
              </w:rPr>
              <w:t>15</w:t>
            </w:r>
          </w:p>
        </w:tc>
        <w:tc>
          <w:tcPr>
            <w:tcW w:w="853" w:type="dxa"/>
            <w:tcBorders>
              <w:top w:val="single" w:sz="6" w:space="0" w:color="000000"/>
              <w:bottom w:val="single" w:sz="6" w:space="0" w:color="000000"/>
            </w:tcBorders>
            <w:shd w:val="clear" w:color="auto" w:fill="auto"/>
            <w:vAlign w:val="center"/>
          </w:tcPr>
          <w:p w14:paraId="38A8734D" w14:textId="301D12D0" w:rsidR="008279EF" w:rsidRPr="00875077" w:rsidRDefault="008279EF" w:rsidP="0096664A">
            <w:pPr>
              <w:jc w:val="center"/>
              <w:rPr>
                <w:color w:val="000000" w:themeColor="text1"/>
                <w:sz w:val="20"/>
                <w:szCs w:val="20"/>
              </w:rPr>
            </w:pPr>
            <w:r w:rsidRPr="00875077">
              <w:rPr>
                <w:color w:val="000000" w:themeColor="text1"/>
                <w:sz w:val="20"/>
                <w:szCs w:val="20"/>
              </w:rPr>
              <w:t>2.59</w:t>
            </w:r>
          </w:p>
          <w:p w14:paraId="315C23EB" w14:textId="77777777" w:rsidR="008279EF" w:rsidRPr="00875077" w:rsidRDefault="008279EF" w:rsidP="0096664A">
            <w:pPr>
              <w:jc w:val="center"/>
              <w:rPr>
                <w:color w:val="000000" w:themeColor="text1"/>
                <w:sz w:val="20"/>
                <w:szCs w:val="20"/>
              </w:rPr>
            </w:pPr>
          </w:p>
        </w:tc>
        <w:tc>
          <w:tcPr>
            <w:tcW w:w="1067" w:type="dxa"/>
            <w:tcBorders>
              <w:top w:val="single" w:sz="6" w:space="0" w:color="000000"/>
              <w:left w:val="nil"/>
              <w:bottom w:val="single" w:sz="6" w:space="0" w:color="000000"/>
              <w:right w:val="single" w:sz="6" w:space="0" w:color="000000"/>
            </w:tcBorders>
            <w:shd w:val="clear" w:color="auto" w:fill="auto"/>
            <w:vAlign w:val="center"/>
          </w:tcPr>
          <w:p w14:paraId="36DACB22" w14:textId="77777777" w:rsidR="008279EF" w:rsidRPr="00875077" w:rsidRDefault="008279EF" w:rsidP="0096664A">
            <w:pPr>
              <w:jc w:val="center"/>
              <w:rPr>
                <w:b/>
                <w:color w:val="000000" w:themeColor="text1"/>
                <w:sz w:val="20"/>
                <w:szCs w:val="20"/>
              </w:rPr>
            </w:pPr>
            <w:r w:rsidRPr="00875077">
              <w:rPr>
                <w:b/>
                <w:color w:val="000000" w:themeColor="text1"/>
                <w:sz w:val="20"/>
                <w:szCs w:val="20"/>
              </w:rPr>
              <w:t>7.18</w:t>
            </w:r>
          </w:p>
        </w:tc>
      </w:tr>
      <w:tr w:rsidR="00875077" w:rsidRPr="00875077" w14:paraId="152FC0A6" w14:textId="77777777" w:rsidTr="009B1591">
        <w:trPr>
          <w:trHeight w:val="809"/>
        </w:trPr>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FBF03"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 xml:space="preserve">Tests 1 and 3 </w:t>
            </w:r>
          </w:p>
          <w:p w14:paraId="61FF8C90"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(AD)</w:t>
            </w:r>
          </w:p>
        </w:tc>
        <w:tc>
          <w:tcPr>
            <w:tcW w:w="1427" w:type="dxa"/>
            <w:tcBorders>
              <w:top w:val="single" w:sz="6" w:space="0" w:color="000000"/>
              <w:left w:val="single" w:sz="6" w:space="0" w:color="000000"/>
              <w:bottom w:val="single" w:sz="6" w:space="0" w:color="000000"/>
            </w:tcBorders>
            <w:shd w:val="clear" w:color="auto" w:fill="auto"/>
            <w:vAlign w:val="center"/>
          </w:tcPr>
          <w:p w14:paraId="23C0632E"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77.17 (10.59)</w:t>
            </w:r>
          </w:p>
          <w:p w14:paraId="25C2D966"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76.45 (9.13)</w:t>
            </w:r>
          </w:p>
          <w:p w14:paraId="26A9A0A6" w14:textId="3F1AF247" w:rsidR="009B1591" w:rsidRPr="00875077" w:rsidRDefault="009B1591" w:rsidP="0096664A">
            <w:pPr>
              <w:jc w:val="center"/>
              <w:rPr>
                <w:bCs/>
                <w:color w:val="000000" w:themeColor="text1"/>
                <w:sz w:val="20"/>
                <w:szCs w:val="20"/>
              </w:rPr>
            </w:pPr>
            <w:r w:rsidRPr="00875077">
              <w:rPr>
                <w:bCs/>
                <w:color w:val="000000" w:themeColor="text1"/>
                <w:sz w:val="20"/>
                <w:szCs w:val="20"/>
              </w:rPr>
              <w:t>76.81</w:t>
            </w:r>
          </w:p>
        </w:tc>
        <w:tc>
          <w:tcPr>
            <w:tcW w:w="751" w:type="dxa"/>
            <w:tcBorders>
              <w:top w:val="single" w:sz="6" w:space="0" w:color="000000"/>
              <w:bottom w:val="single" w:sz="6" w:space="0" w:color="000000"/>
            </w:tcBorders>
            <w:shd w:val="clear" w:color="auto" w:fill="auto"/>
            <w:vAlign w:val="center"/>
          </w:tcPr>
          <w:p w14:paraId="5484B7FA"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0.69</w:t>
            </w:r>
          </w:p>
        </w:tc>
        <w:tc>
          <w:tcPr>
            <w:tcW w:w="1601" w:type="dxa"/>
            <w:gridSpan w:val="2"/>
            <w:tcBorders>
              <w:top w:val="single" w:sz="6" w:space="0" w:color="000000"/>
              <w:bottom w:val="single" w:sz="6" w:space="0" w:color="000000"/>
            </w:tcBorders>
            <w:shd w:val="clear" w:color="auto" w:fill="auto"/>
            <w:vAlign w:val="center"/>
          </w:tcPr>
          <w:p w14:paraId="0292CA17"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0.15-0.91</w:t>
            </w:r>
          </w:p>
        </w:tc>
        <w:tc>
          <w:tcPr>
            <w:tcW w:w="790" w:type="dxa"/>
            <w:tcBorders>
              <w:top w:val="single" w:sz="6" w:space="0" w:color="000000"/>
              <w:bottom w:val="single" w:sz="6" w:space="0" w:color="000000"/>
            </w:tcBorders>
            <w:vAlign w:val="center"/>
          </w:tcPr>
          <w:p w14:paraId="77FAC139" w14:textId="07CD5E92" w:rsidR="008279EF" w:rsidRPr="00875077" w:rsidRDefault="009B1591" w:rsidP="009B1591">
            <w:pPr>
              <w:jc w:val="center"/>
              <w:rPr>
                <w:color w:val="000000" w:themeColor="text1"/>
                <w:sz w:val="20"/>
                <w:szCs w:val="20"/>
              </w:rPr>
            </w:pPr>
            <w:r w:rsidRPr="00875077">
              <w:rPr>
                <w:color w:val="000000" w:themeColor="text1"/>
                <w:sz w:val="20"/>
                <w:szCs w:val="20"/>
              </w:rPr>
              <w:t>26</w:t>
            </w:r>
          </w:p>
        </w:tc>
        <w:tc>
          <w:tcPr>
            <w:tcW w:w="853" w:type="dxa"/>
            <w:tcBorders>
              <w:top w:val="single" w:sz="6" w:space="0" w:color="000000"/>
              <w:bottom w:val="single" w:sz="6" w:space="0" w:color="000000"/>
            </w:tcBorders>
            <w:shd w:val="clear" w:color="auto" w:fill="auto"/>
            <w:vAlign w:val="center"/>
          </w:tcPr>
          <w:p w14:paraId="545F86C8" w14:textId="2CC761AC" w:rsidR="008279EF" w:rsidRPr="00875077" w:rsidRDefault="008279EF" w:rsidP="0096664A">
            <w:pPr>
              <w:jc w:val="center"/>
              <w:rPr>
                <w:color w:val="000000" w:themeColor="text1"/>
                <w:sz w:val="20"/>
                <w:szCs w:val="20"/>
              </w:rPr>
            </w:pPr>
            <w:r w:rsidRPr="00875077">
              <w:rPr>
                <w:color w:val="000000" w:themeColor="text1"/>
                <w:sz w:val="20"/>
                <w:szCs w:val="20"/>
              </w:rPr>
              <w:t>5.90</w:t>
            </w:r>
          </w:p>
        </w:tc>
        <w:tc>
          <w:tcPr>
            <w:tcW w:w="1067" w:type="dxa"/>
            <w:tcBorders>
              <w:top w:val="single" w:sz="6" w:space="0" w:color="000000"/>
              <w:bottom w:val="single" w:sz="6" w:space="0" w:color="000000"/>
              <w:right w:val="single" w:sz="6" w:space="0" w:color="000000"/>
            </w:tcBorders>
            <w:shd w:val="clear" w:color="auto" w:fill="auto"/>
            <w:vAlign w:val="center"/>
          </w:tcPr>
          <w:p w14:paraId="6FC289DC" w14:textId="77777777" w:rsidR="008279EF" w:rsidRPr="00875077" w:rsidRDefault="008279EF" w:rsidP="0096664A">
            <w:pPr>
              <w:jc w:val="center"/>
              <w:rPr>
                <w:b/>
                <w:color w:val="000000" w:themeColor="text1"/>
                <w:sz w:val="20"/>
                <w:szCs w:val="20"/>
              </w:rPr>
            </w:pPr>
            <w:r w:rsidRPr="00875077">
              <w:rPr>
                <w:b/>
                <w:color w:val="000000" w:themeColor="text1"/>
                <w:sz w:val="20"/>
                <w:szCs w:val="20"/>
              </w:rPr>
              <w:t>16.35</w:t>
            </w:r>
          </w:p>
        </w:tc>
      </w:tr>
      <w:tr w:rsidR="00875077" w:rsidRPr="00875077" w14:paraId="64CC7A89" w14:textId="77777777" w:rsidTr="008279EF">
        <w:tc>
          <w:tcPr>
            <w:tcW w:w="2225"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63FE605E" w14:textId="1AFF9E7B" w:rsidR="008279EF" w:rsidRPr="00875077" w:rsidRDefault="008279EF" w:rsidP="0096664A">
            <w:pPr>
              <w:jc w:val="center"/>
              <w:rPr>
                <w:bCs/>
                <w:color w:val="000000" w:themeColor="text1"/>
                <w:sz w:val="20"/>
                <w:szCs w:val="20"/>
              </w:rPr>
            </w:pPr>
            <w:r w:rsidRPr="00875077">
              <w:rPr>
                <w:bCs/>
                <w:color w:val="000000" w:themeColor="text1"/>
                <w:sz w:val="20"/>
                <w:szCs w:val="20"/>
              </w:rPr>
              <w:t>EDC MEP</w:t>
            </w:r>
            <w:r w:rsidRPr="00875077">
              <w:rPr>
                <w:bCs/>
                <w:color w:val="000000" w:themeColor="text1"/>
                <w:sz w:val="20"/>
                <w:szCs w:val="20"/>
                <w:vertAlign w:val="superscript"/>
              </w:rPr>
              <w:t>*7</w:t>
            </w:r>
            <w:r w:rsidRPr="00875077">
              <w:rPr>
                <w:bCs/>
                <w:color w:val="000000" w:themeColor="text1"/>
                <w:sz w:val="20"/>
                <w:szCs w:val="20"/>
              </w:rPr>
              <w:t xml:space="preserve"> Area ( mV) of I/O*</w:t>
            </w:r>
            <w:r w:rsidRPr="00875077">
              <w:rPr>
                <w:bCs/>
                <w:color w:val="000000" w:themeColor="text1"/>
                <w:sz w:val="20"/>
                <w:szCs w:val="20"/>
                <w:vertAlign w:val="superscript"/>
              </w:rPr>
              <w:t>8</w:t>
            </w:r>
            <w:r w:rsidRPr="00875077">
              <w:rPr>
                <w:bCs/>
                <w:color w:val="000000" w:themeColor="text1"/>
                <w:sz w:val="20"/>
                <w:szCs w:val="20"/>
              </w:rPr>
              <w:t xml:space="preserve"> curves from 100-130%</w:t>
            </w:r>
          </w:p>
        </w:tc>
        <w:tc>
          <w:tcPr>
            <w:tcW w:w="6489" w:type="dxa"/>
            <w:gridSpan w:val="7"/>
            <w:tcBorders>
              <w:top w:val="single" w:sz="6" w:space="0" w:color="000000"/>
              <w:left w:val="single" w:sz="6" w:space="0" w:color="000000"/>
              <w:bottom w:val="single" w:sz="24" w:space="0" w:color="000000"/>
              <w:right w:val="single" w:sz="6" w:space="0" w:color="000000"/>
            </w:tcBorders>
            <w:vAlign w:val="center"/>
          </w:tcPr>
          <w:p w14:paraId="30C3DB9A" w14:textId="69D39B52" w:rsidR="008279EF" w:rsidRPr="00875077" w:rsidRDefault="008279EF" w:rsidP="008279EF">
            <w:pPr>
              <w:jc w:val="center"/>
              <w:rPr>
                <w:b/>
                <w:color w:val="000000" w:themeColor="text1"/>
                <w:sz w:val="20"/>
                <w:szCs w:val="20"/>
              </w:rPr>
            </w:pPr>
          </w:p>
        </w:tc>
      </w:tr>
      <w:tr w:rsidR="00875077" w:rsidRPr="00875077" w14:paraId="57507C13" w14:textId="77777777" w:rsidTr="009B1591">
        <w:trPr>
          <w:trHeight w:val="750"/>
        </w:trPr>
        <w:tc>
          <w:tcPr>
            <w:tcW w:w="2225"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1385C093"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2</w:t>
            </w:r>
          </w:p>
          <w:p w14:paraId="0D3982F9" w14:textId="77777777" w:rsidR="008279EF" w:rsidRPr="00875077" w:rsidRDefault="008279EF" w:rsidP="0096664A">
            <w:pPr>
              <w:jc w:val="center"/>
              <w:rPr>
                <w:b/>
                <w:bCs/>
                <w:color w:val="000000" w:themeColor="text1"/>
                <w:sz w:val="20"/>
                <w:szCs w:val="20"/>
              </w:rPr>
            </w:pPr>
          </w:p>
        </w:tc>
        <w:tc>
          <w:tcPr>
            <w:tcW w:w="1427" w:type="dxa"/>
            <w:tcBorders>
              <w:top w:val="single" w:sz="24" w:space="0" w:color="000000"/>
              <w:left w:val="single" w:sz="6" w:space="0" w:color="000000"/>
              <w:bottom w:val="single" w:sz="6" w:space="0" w:color="000000"/>
            </w:tcBorders>
            <w:shd w:val="clear" w:color="auto" w:fill="auto"/>
            <w:vAlign w:val="center"/>
          </w:tcPr>
          <w:p w14:paraId="72624D71" w14:textId="77777777" w:rsidR="008279EF" w:rsidRPr="00875077" w:rsidRDefault="008279EF" w:rsidP="0096664A">
            <w:pPr>
              <w:jc w:val="center"/>
              <w:rPr>
                <w:bCs/>
                <w:color w:val="000000" w:themeColor="text1"/>
                <w:sz w:val="20"/>
                <w:szCs w:val="20"/>
              </w:rPr>
            </w:pPr>
            <w:r w:rsidRPr="00875077">
              <w:rPr>
                <w:color w:val="000000" w:themeColor="text1"/>
                <w:sz w:val="20"/>
                <w:szCs w:val="20"/>
              </w:rPr>
              <w:t>1.34 (</w:t>
            </w:r>
            <w:r w:rsidRPr="00875077">
              <w:rPr>
                <w:bCs/>
                <w:color w:val="000000" w:themeColor="text1"/>
                <w:sz w:val="20"/>
                <w:szCs w:val="20"/>
              </w:rPr>
              <w:t>0.80)</w:t>
            </w:r>
          </w:p>
          <w:p w14:paraId="4041D0BA" w14:textId="1DAD9923" w:rsidR="009B1591" w:rsidRPr="00875077" w:rsidRDefault="008279EF" w:rsidP="009B1591">
            <w:pPr>
              <w:jc w:val="center"/>
              <w:rPr>
                <w:bCs/>
                <w:color w:val="000000" w:themeColor="text1"/>
                <w:sz w:val="20"/>
                <w:szCs w:val="20"/>
              </w:rPr>
            </w:pPr>
            <w:r w:rsidRPr="00875077">
              <w:rPr>
                <w:bCs/>
                <w:color w:val="000000" w:themeColor="text1"/>
                <w:sz w:val="20"/>
                <w:szCs w:val="20"/>
              </w:rPr>
              <w:t>1.39 (1.04)</w:t>
            </w:r>
          </w:p>
        </w:tc>
        <w:tc>
          <w:tcPr>
            <w:tcW w:w="751" w:type="dxa"/>
            <w:tcBorders>
              <w:top w:val="single" w:sz="24" w:space="0" w:color="000000"/>
              <w:bottom w:val="single" w:sz="6" w:space="0" w:color="000000"/>
            </w:tcBorders>
            <w:shd w:val="clear" w:color="auto" w:fill="auto"/>
            <w:vAlign w:val="center"/>
          </w:tcPr>
          <w:p w14:paraId="37F13FF8"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0.50</w:t>
            </w:r>
          </w:p>
        </w:tc>
        <w:tc>
          <w:tcPr>
            <w:tcW w:w="1601" w:type="dxa"/>
            <w:gridSpan w:val="2"/>
            <w:tcBorders>
              <w:top w:val="single" w:sz="24" w:space="0" w:color="000000"/>
              <w:bottom w:val="single" w:sz="6" w:space="0" w:color="000000"/>
            </w:tcBorders>
            <w:shd w:val="clear" w:color="auto" w:fill="auto"/>
            <w:vAlign w:val="center"/>
          </w:tcPr>
          <w:p w14:paraId="3D2FE31D"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0.03-0.79</w:t>
            </w:r>
          </w:p>
        </w:tc>
        <w:tc>
          <w:tcPr>
            <w:tcW w:w="790" w:type="dxa"/>
            <w:tcBorders>
              <w:top w:val="single" w:sz="24" w:space="0" w:color="000000"/>
              <w:bottom w:val="single" w:sz="6" w:space="0" w:color="000000"/>
            </w:tcBorders>
            <w:vAlign w:val="center"/>
          </w:tcPr>
          <w:p w14:paraId="57BA52FA" w14:textId="2CA84034" w:rsidR="008279EF" w:rsidRPr="00875077" w:rsidRDefault="009B1591" w:rsidP="009B1591">
            <w:pPr>
              <w:jc w:val="center"/>
              <w:rPr>
                <w:color w:val="000000" w:themeColor="text1"/>
                <w:sz w:val="20"/>
                <w:szCs w:val="20"/>
              </w:rPr>
            </w:pPr>
            <w:r w:rsidRPr="00875077">
              <w:rPr>
                <w:color w:val="000000" w:themeColor="text1"/>
                <w:sz w:val="20"/>
                <w:szCs w:val="20"/>
              </w:rPr>
              <w:t>68</w:t>
            </w:r>
          </w:p>
        </w:tc>
        <w:tc>
          <w:tcPr>
            <w:tcW w:w="853" w:type="dxa"/>
            <w:tcBorders>
              <w:top w:val="single" w:sz="24" w:space="0" w:color="000000"/>
              <w:bottom w:val="single" w:sz="6" w:space="0" w:color="000000"/>
            </w:tcBorders>
            <w:shd w:val="clear" w:color="auto" w:fill="auto"/>
            <w:vAlign w:val="center"/>
          </w:tcPr>
          <w:p w14:paraId="71289717" w14:textId="259ECA0E" w:rsidR="008279EF" w:rsidRPr="00875077" w:rsidRDefault="008279EF" w:rsidP="0096664A">
            <w:pPr>
              <w:jc w:val="center"/>
              <w:rPr>
                <w:color w:val="000000" w:themeColor="text1"/>
                <w:sz w:val="20"/>
                <w:szCs w:val="20"/>
              </w:rPr>
            </w:pPr>
            <w:r w:rsidRPr="00875077">
              <w:rPr>
                <w:color w:val="000000" w:themeColor="text1"/>
                <w:sz w:val="20"/>
                <w:szCs w:val="20"/>
              </w:rPr>
              <w:t>0.57</w:t>
            </w:r>
          </w:p>
        </w:tc>
        <w:tc>
          <w:tcPr>
            <w:tcW w:w="1067" w:type="dxa"/>
            <w:tcBorders>
              <w:top w:val="single" w:sz="24" w:space="0" w:color="000000"/>
              <w:bottom w:val="single" w:sz="6" w:space="0" w:color="000000"/>
              <w:right w:val="single" w:sz="6" w:space="0" w:color="000000"/>
            </w:tcBorders>
            <w:shd w:val="clear" w:color="auto" w:fill="auto"/>
            <w:vAlign w:val="center"/>
          </w:tcPr>
          <w:p w14:paraId="3D39391A" w14:textId="77777777" w:rsidR="008279EF" w:rsidRPr="00875077" w:rsidRDefault="008279EF" w:rsidP="0096664A">
            <w:pPr>
              <w:jc w:val="center"/>
              <w:rPr>
                <w:b/>
                <w:color w:val="000000" w:themeColor="text1"/>
                <w:sz w:val="20"/>
                <w:szCs w:val="20"/>
              </w:rPr>
            </w:pPr>
            <w:r w:rsidRPr="00875077">
              <w:rPr>
                <w:b/>
                <w:color w:val="000000" w:themeColor="text1"/>
                <w:sz w:val="20"/>
                <w:szCs w:val="20"/>
              </w:rPr>
              <w:t>1.58</w:t>
            </w:r>
          </w:p>
        </w:tc>
      </w:tr>
      <w:tr w:rsidR="00875077" w:rsidRPr="00875077" w14:paraId="1988C4FE" w14:textId="77777777" w:rsidTr="009B1591">
        <w:trPr>
          <w:trHeight w:val="725"/>
        </w:trPr>
        <w:tc>
          <w:tcPr>
            <w:tcW w:w="2225" w:type="dxa"/>
            <w:tcBorders>
              <w:top w:val="single" w:sz="6" w:space="0" w:color="000000"/>
              <w:left w:val="single" w:sz="6" w:space="0" w:color="000000"/>
              <w:bottom w:val="single" w:sz="6" w:space="0" w:color="auto"/>
              <w:right w:val="single" w:sz="6" w:space="0" w:color="000000"/>
            </w:tcBorders>
            <w:shd w:val="clear" w:color="auto" w:fill="auto"/>
            <w:vAlign w:val="center"/>
          </w:tcPr>
          <w:p w14:paraId="45B4D8BE"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3</w:t>
            </w:r>
          </w:p>
          <w:p w14:paraId="45EBC3D2" w14:textId="77777777" w:rsidR="008279EF" w:rsidRPr="00875077" w:rsidRDefault="008279EF" w:rsidP="0096664A">
            <w:pPr>
              <w:jc w:val="center"/>
              <w:rPr>
                <w:b/>
                <w:bCs/>
                <w:color w:val="000000" w:themeColor="text1"/>
                <w:sz w:val="20"/>
                <w:szCs w:val="20"/>
              </w:rPr>
            </w:pPr>
          </w:p>
        </w:tc>
        <w:tc>
          <w:tcPr>
            <w:tcW w:w="1427" w:type="dxa"/>
            <w:tcBorders>
              <w:top w:val="single" w:sz="6" w:space="0" w:color="000000"/>
              <w:left w:val="single" w:sz="6" w:space="0" w:color="000000"/>
              <w:bottom w:val="single" w:sz="6" w:space="0" w:color="auto"/>
            </w:tcBorders>
            <w:shd w:val="clear" w:color="auto" w:fill="auto"/>
            <w:vAlign w:val="center"/>
          </w:tcPr>
          <w:p w14:paraId="00C41E1E"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1.34 (0.80)</w:t>
            </w:r>
          </w:p>
          <w:p w14:paraId="7EC41BAB" w14:textId="3B033ABD" w:rsidR="009B1591" w:rsidRPr="00875077" w:rsidRDefault="008279EF" w:rsidP="009B1591">
            <w:pPr>
              <w:jc w:val="center"/>
              <w:rPr>
                <w:bCs/>
                <w:color w:val="000000" w:themeColor="text1"/>
                <w:sz w:val="20"/>
                <w:szCs w:val="20"/>
              </w:rPr>
            </w:pPr>
            <w:r w:rsidRPr="00875077">
              <w:rPr>
                <w:bCs/>
                <w:color w:val="000000" w:themeColor="text1"/>
                <w:sz w:val="20"/>
                <w:szCs w:val="20"/>
              </w:rPr>
              <w:t>1.37 (0.66)</w:t>
            </w:r>
          </w:p>
        </w:tc>
        <w:tc>
          <w:tcPr>
            <w:tcW w:w="751" w:type="dxa"/>
            <w:tcBorders>
              <w:top w:val="single" w:sz="6" w:space="0" w:color="000000"/>
              <w:bottom w:val="single" w:sz="6" w:space="0" w:color="auto"/>
            </w:tcBorders>
            <w:shd w:val="clear" w:color="auto" w:fill="auto"/>
            <w:vAlign w:val="center"/>
          </w:tcPr>
          <w:p w14:paraId="446666DC"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0.65</w:t>
            </w:r>
          </w:p>
        </w:tc>
        <w:tc>
          <w:tcPr>
            <w:tcW w:w="1601" w:type="dxa"/>
            <w:gridSpan w:val="2"/>
            <w:tcBorders>
              <w:top w:val="single" w:sz="6" w:space="0" w:color="000000"/>
              <w:bottom w:val="single" w:sz="6" w:space="0" w:color="auto"/>
            </w:tcBorders>
            <w:shd w:val="clear" w:color="auto" w:fill="auto"/>
            <w:vAlign w:val="center"/>
          </w:tcPr>
          <w:p w14:paraId="2784CEFB"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0.22-0.87</w:t>
            </w:r>
          </w:p>
        </w:tc>
        <w:tc>
          <w:tcPr>
            <w:tcW w:w="790" w:type="dxa"/>
            <w:tcBorders>
              <w:top w:val="single" w:sz="6" w:space="0" w:color="000000"/>
              <w:bottom w:val="single" w:sz="6" w:space="0" w:color="auto"/>
            </w:tcBorders>
            <w:vAlign w:val="center"/>
          </w:tcPr>
          <w:p w14:paraId="128072CD" w14:textId="534140B1" w:rsidR="008279EF" w:rsidRPr="00875077" w:rsidRDefault="009B1591" w:rsidP="009B1591">
            <w:pPr>
              <w:jc w:val="center"/>
              <w:rPr>
                <w:color w:val="000000" w:themeColor="text1"/>
                <w:sz w:val="20"/>
                <w:szCs w:val="20"/>
              </w:rPr>
            </w:pPr>
            <w:r w:rsidRPr="00875077">
              <w:rPr>
                <w:color w:val="000000" w:themeColor="text1"/>
                <w:sz w:val="20"/>
                <w:szCs w:val="20"/>
              </w:rPr>
              <w:t>54</w:t>
            </w:r>
          </w:p>
        </w:tc>
        <w:tc>
          <w:tcPr>
            <w:tcW w:w="853" w:type="dxa"/>
            <w:tcBorders>
              <w:top w:val="single" w:sz="6" w:space="0" w:color="000000"/>
              <w:bottom w:val="single" w:sz="6" w:space="0" w:color="auto"/>
            </w:tcBorders>
            <w:shd w:val="clear" w:color="auto" w:fill="auto"/>
            <w:vAlign w:val="center"/>
          </w:tcPr>
          <w:p w14:paraId="2D052A7B" w14:textId="220E1D22" w:rsidR="008279EF" w:rsidRPr="00875077" w:rsidRDefault="008279EF" w:rsidP="0096664A">
            <w:pPr>
              <w:jc w:val="center"/>
              <w:rPr>
                <w:color w:val="000000" w:themeColor="text1"/>
                <w:sz w:val="20"/>
                <w:szCs w:val="20"/>
              </w:rPr>
            </w:pPr>
            <w:r w:rsidRPr="00875077">
              <w:rPr>
                <w:color w:val="000000" w:themeColor="text1"/>
                <w:sz w:val="20"/>
                <w:szCs w:val="20"/>
              </w:rPr>
              <w:t>0.47</w:t>
            </w:r>
          </w:p>
        </w:tc>
        <w:tc>
          <w:tcPr>
            <w:tcW w:w="1067" w:type="dxa"/>
            <w:tcBorders>
              <w:top w:val="single" w:sz="6" w:space="0" w:color="000000"/>
              <w:bottom w:val="single" w:sz="6" w:space="0" w:color="auto"/>
              <w:right w:val="single" w:sz="6" w:space="0" w:color="000000"/>
            </w:tcBorders>
            <w:shd w:val="clear" w:color="auto" w:fill="auto"/>
            <w:vAlign w:val="center"/>
          </w:tcPr>
          <w:p w14:paraId="3A3B8C79" w14:textId="77777777" w:rsidR="008279EF" w:rsidRPr="00875077" w:rsidRDefault="008279EF" w:rsidP="0096664A">
            <w:pPr>
              <w:jc w:val="center"/>
              <w:rPr>
                <w:b/>
                <w:color w:val="000000" w:themeColor="text1"/>
                <w:sz w:val="20"/>
                <w:szCs w:val="20"/>
              </w:rPr>
            </w:pPr>
            <w:r w:rsidRPr="00875077">
              <w:rPr>
                <w:b/>
                <w:color w:val="000000" w:themeColor="text1"/>
                <w:sz w:val="20"/>
                <w:szCs w:val="20"/>
              </w:rPr>
              <w:t>1.30</w:t>
            </w:r>
          </w:p>
        </w:tc>
      </w:tr>
      <w:tr w:rsidR="00875077" w:rsidRPr="00875077" w14:paraId="6FC22FB0" w14:textId="77777777" w:rsidTr="008279EF">
        <w:tc>
          <w:tcPr>
            <w:tcW w:w="2225" w:type="dxa"/>
            <w:tcBorders>
              <w:top w:val="single" w:sz="6" w:space="0" w:color="auto"/>
              <w:left w:val="single" w:sz="6" w:space="0" w:color="000000"/>
              <w:bottom w:val="single" w:sz="24" w:space="0" w:color="000000"/>
              <w:right w:val="single" w:sz="6" w:space="0" w:color="000000"/>
            </w:tcBorders>
            <w:shd w:val="clear" w:color="auto" w:fill="auto"/>
            <w:vAlign w:val="center"/>
          </w:tcPr>
          <w:p w14:paraId="2EF9FF3E" w14:textId="77777777" w:rsidR="008279EF" w:rsidRPr="00875077" w:rsidRDefault="008279EF" w:rsidP="0096664A">
            <w:pPr>
              <w:jc w:val="center"/>
              <w:rPr>
                <w:b/>
                <w:bCs/>
                <w:color w:val="000000" w:themeColor="text1"/>
                <w:sz w:val="20"/>
                <w:szCs w:val="20"/>
              </w:rPr>
            </w:pPr>
            <w:r w:rsidRPr="00875077">
              <w:rPr>
                <w:bCs/>
                <w:color w:val="000000" w:themeColor="text1"/>
                <w:sz w:val="20"/>
                <w:szCs w:val="20"/>
              </w:rPr>
              <w:t>EDC MEP</w:t>
            </w:r>
            <w:r w:rsidRPr="00875077">
              <w:rPr>
                <w:bCs/>
                <w:color w:val="000000" w:themeColor="text1"/>
                <w:sz w:val="20"/>
                <w:szCs w:val="20"/>
                <w:vertAlign w:val="superscript"/>
              </w:rPr>
              <w:t>*7</w:t>
            </w:r>
            <w:r w:rsidRPr="00875077">
              <w:rPr>
                <w:bCs/>
                <w:color w:val="000000" w:themeColor="text1"/>
                <w:sz w:val="20"/>
                <w:szCs w:val="20"/>
              </w:rPr>
              <w:t xml:space="preserve"> Area of I/O curves from 100-150%</w:t>
            </w:r>
          </w:p>
        </w:tc>
        <w:tc>
          <w:tcPr>
            <w:tcW w:w="6489" w:type="dxa"/>
            <w:gridSpan w:val="7"/>
            <w:tcBorders>
              <w:top w:val="single" w:sz="6" w:space="0" w:color="auto"/>
              <w:left w:val="single" w:sz="6" w:space="0" w:color="000000"/>
              <w:bottom w:val="single" w:sz="24" w:space="0" w:color="000000"/>
              <w:right w:val="single" w:sz="6" w:space="0" w:color="000000"/>
            </w:tcBorders>
            <w:vAlign w:val="center"/>
          </w:tcPr>
          <w:p w14:paraId="47C1C57D" w14:textId="64C0E6F5" w:rsidR="008279EF" w:rsidRPr="00875077" w:rsidRDefault="008279EF" w:rsidP="008279EF">
            <w:pPr>
              <w:jc w:val="center"/>
              <w:rPr>
                <w:b/>
                <w:color w:val="000000" w:themeColor="text1"/>
                <w:sz w:val="20"/>
                <w:szCs w:val="20"/>
              </w:rPr>
            </w:pPr>
          </w:p>
        </w:tc>
      </w:tr>
      <w:tr w:rsidR="00875077" w:rsidRPr="00875077" w14:paraId="525C2BA4" w14:textId="77777777" w:rsidTr="009B1591">
        <w:trPr>
          <w:trHeight w:val="708"/>
        </w:trPr>
        <w:tc>
          <w:tcPr>
            <w:tcW w:w="2225"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07AC66A1"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2</w:t>
            </w:r>
          </w:p>
          <w:p w14:paraId="7BE9F358" w14:textId="77777777" w:rsidR="008279EF" w:rsidRPr="00875077" w:rsidRDefault="008279EF" w:rsidP="0096664A">
            <w:pPr>
              <w:jc w:val="center"/>
              <w:rPr>
                <w:b/>
                <w:bCs/>
                <w:color w:val="000000" w:themeColor="text1"/>
                <w:sz w:val="20"/>
                <w:szCs w:val="20"/>
              </w:rPr>
            </w:pPr>
          </w:p>
        </w:tc>
        <w:tc>
          <w:tcPr>
            <w:tcW w:w="1427" w:type="dxa"/>
            <w:tcBorders>
              <w:top w:val="single" w:sz="24" w:space="0" w:color="000000"/>
              <w:left w:val="single" w:sz="6" w:space="0" w:color="000000"/>
              <w:bottom w:val="single" w:sz="6" w:space="0" w:color="000000"/>
            </w:tcBorders>
            <w:shd w:val="clear" w:color="auto" w:fill="auto"/>
            <w:vAlign w:val="center"/>
          </w:tcPr>
          <w:p w14:paraId="59297466"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2.44 (1.44)</w:t>
            </w:r>
          </w:p>
          <w:p w14:paraId="26634998"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2.44 (1.82)</w:t>
            </w:r>
          </w:p>
        </w:tc>
        <w:tc>
          <w:tcPr>
            <w:tcW w:w="751" w:type="dxa"/>
            <w:tcBorders>
              <w:top w:val="single" w:sz="24" w:space="0" w:color="000000"/>
              <w:bottom w:val="single" w:sz="6" w:space="0" w:color="000000"/>
            </w:tcBorders>
            <w:shd w:val="clear" w:color="auto" w:fill="auto"/>
            <w:vAlign w:val="center"/>
          </w:tcPr>
          <w:p w14:paraId="4A0B0C35"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0.59</w:t>
            </w:r>
          </w:p>
        </w:tc>
        <w:tc>
          <w:tcPr>
            <w:tcW w:w="1601" w:type="dxa"/>
            <w:gridSpan w:val="2"/>
            <w:tcBorders>
              <w:top w:val="single" w:sz="24" w:space="0" w:color="000000"/>
              <w:bottom w:val="single" w:sz="6" w:space="0" w:color="000000"/>
            </w:tcBorders>
            <w:shd w:val="clear" w:color="auto" w:fill="auto"/>
            <w:vAlign w:val="center"/>
          </w:tcPr>
          <w:p w14:paraId="24E02BBE"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0.06-0.86</w:t>
            </w:r>
          </w:p>
        </w:tc>
        <w:tc>
          <w:tcPr>
            <w:tcW w:w="790" w:type="dxa"/>
            <w:tcBorders>
              <w:top w:val="single" w:sz="24" w:space="0" w:color="000000"/>
              <w:bottom w:val="single" w:sz="6" w:space="0" w:color="000000"/>
            </w:tcBorders>
            <w:vAlign w:val="center"/>
          </w:tcPr>
          <w:p w14:paraId="1D0B5F60" w14:textId="506A2641" w:rsidR="008279EF" w:rsidRPr="00875077" w:rsidRDefault="009B1591" w:rsidP="009B1591">
            <w:pPr>
              <w:jc w:val="center"/>
              <w:rPr>
                <w:color w:val="000000" w:themeColor="text1"/>
                <w:sz w:val="20"/>
                <w:szCs w:val="20"/>
              </w:rPr>
            </w:pPr>
            <w:r w:rsidRPr="00875077">
              <w:rPr>
                <w:color w:val="000000" w:themeColor="text1"/>
                <w:sz w:val="20"/>
                <w:szCs w:val="20"/>
              </w:rPr>
              <w:t>67</w:t>
            </w:r>
          </w:p>
        </w:tc>
        <w:tc>
          <w:tcPr>
            <w:tcW w:w="853" w:type="dxa"/>
            <w:tcBorders>
              <w:top w:val="single" w:sz="24" w:space="0" w:color="000000"/>
              <w:bottom w:val="single" w:sz="6" w:space="0" w:color="000000"/>
            </w:tcBorders>
            <w:shd w:val="clear" w:color="auto" w:fill="auto"/>
            <w:vAlign w:val="center"/>
          </w:tcPr>
          <w:p w14:paraId="46FACD5F" w14:textId="76EDD4D8" w:rsidR="008279EF" w:rsidRPr="00875077" w:rsidRDefault="008279EF" w:rsidP="0096664A">
            <w:pPr>
              <w:jc w:val="center"/>
              <w:rPr>
                <w:color w:val="000000" w:themeColor="text1"/>
                <w:sz w:val="20"/>
                <w:szCs w:val="20"/>
              </w:rPr>
            </w:pPr>
            <w:r w:rsidRPr="00875077">
              <w:rPr>
                <w:color w:val="000000" w:themeColor="text1"/>
                <w:sz w:val="20"/>
                <w:szCs w:val="20"/>
              </w:rPr>
              <w:t>0.92</w:t>
            </w:r>
          </w:p>
        </w:tc>
        <w:tc>
          <w:tcPr>
            <w:tcW w:w="1067" w:type="dxa"/>
            <w:tcBorders>
              <w:top w:val="single" w:sz="24" w:space="0" w:color="000000"/>
              <w:bottom w:val="single" w:sz="6" w:space="0" w:color="000000"/>
              <w:right w:val="single" w:sz="6" w:space="0" w:color="000000"/>
            </w:tcBorders>
            <w:shd w:val="clear" w:color="auto" w:fill="auto"/>
            <w:vAlign w:val="center"/>
          </w:tcPr>
          <w:p w14:paraId="1EA59BF1" w14:textId="77777777" w:rsidR="008279EF" w:rsidRPr="00875077" w:rsidRDefault="008279EF" w:rsidP="0096664A">
            <w:pPr>
              <w:jc w:val="center"/>
              <w:rPr>
                <w:b/>
                <w:color w:val="000000" w:themeColor="text1"/>
                <w:sz w:val="20"/>
                <w:szCs w:val="20"/>
              </w:rPr>
            </w:pPr>
            <w:r w:rsidRPr="00875077">
              <w:rPr>
                <w:b/>
                <w:color w:val="000000" w:themeColor="text1"/>
                <w:sz w:val="20"/>
                <w:szCs w:val="20"/>
              </w:rPr>
              <w:t>2.55</w:t>
            </w:r>
          </w:p>
        </w:tc>
      </w:tr>
      <w:tr w:rsidR="00875077" w:rsidRPr="00875077" w14:paraId="42BFEDC8" w14:textId="77777777" w:rsidTr="009B1591">
        <w:trPr>
          <w:trHeight w:val="767"/>
        </w:trPr>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30A2C" w14:textId="77777777" w:rsidR="008279EF" w:rsidRPr="00875077" w:rsidRDefault="008279EF" w:rsidP="0096664A">
            <w:pPr>
              <w:jc w:val="center"/>
              <w:rPr>
                <w:b/>
                <w:bCs/>
                <w:color w:val="000000" w:themeColor="text1"/>
                <w:sz w:val="20"/>
                <w:szCs w:val="20"/>
              </w:rPr>
            </w:pPr>
            <w:r w:rsidRPr="00875077">
              <w:rPr>
                <w:b/>
                <w:bCs/>
                <w:color w:val="000000" w:themeColor="text1"/>
                <w:sz w:val="20"/>
                <w:szCs w:val="20"/>
              </w:rPr>
              <w:t>Tests 1 and 3</w:t>
            </w:r>
          </w:p>
          <w:p w14:paraId="50A9FA6C" w14:textId="77777777" w:rsidR="008279EF" w:rsidRPr="00875077" w:rsidRDefault="008279EF" w:rsidP="0096664A">
            <w:pPr>
              <w:jc w:val="center"/>
              <w:rPr>
                <w:b/>
                <w:bCs/>
                <w:color w:val="000000" w:themeColor="text1"/>
                <w:sz w:val="20"/>
                <w:szCs w:val="20"/>
              </w:rPr>
            </w:pPr>
          </w:p>
        </w:tc>
        <w:tc>
          <w:tcPr>
            <w:tcW w:w="1427" w:type="dxa"/>
            <w:tcBorders>
              <w:top w:val="single" w:sz="6" w:space="0" w:color="000000"/>
              <w:left w:val="single" w:sz="6" w:space="0" w:color="000000"/>
              <w:bottom w:val="single" w:sz="6" w:space="0" w:color="000000"/>
            </w:tcBorders>
            <w:shd w:val="clear" w:color="auto" w:fill="auto"/>
            <w:vAlign w:val="center"/>
          </w:tcPr>
          <w:p w14:paraId="23F8E32B"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2.44 (1.44)</w:t>
            </w:r>
          </w:p>
          <w:p w14:paraId="1E2FAB9C" w14:textId="77777777" w:rsidR="008279EF" w:rsidRPr="00875077" w:rsidRDefault="008279EF" w:rsidP="0096664A">
            <w:pPr>
              <w:jc w:val="center"/>
              <w:rPr>
                <w:bCs/>
                <w:color w:val="000000" w:themeColor="text1"/>
                <w:sz w:val="20"/>
                <w:szCs w:val="20"/>
              </w:rPr>
            </w:pPr>
            <w:r w:rsidRPr="00875077">
              <w:rPr>
                <w:bCs/>
                <w:color w:val="000000" w:themeColor="text1"/>
                <w:sz w:val="20"/>
                <w:szCs w:val="20"/>
              </w:rPr>
              <w:t>2.56 (1.44)</w:t>
            </w:r>
          </w:p>
        </w:tc>
        <w:tc>
          <w:tcPr>
            <w:tcW w:w="751" w:type="dxa"/>
            <w:tcBorders>
              <w:top w:val="single" w:sz="6" w:space="0" w:color="000000"/>
              <w:bottom w:val="single" w:sz="6" w:space="0" w:color="000000"/>
            </w:tcBorders>
            <w:shd w:val="clear" w:color="auto" w:fill="auto"/>
            <w:vAlign w:val="center"/>
          </w:tcPr>
          <w:p w14:paraId="25D741FC"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0.69</w:t>
            </w:r>
          </w:p>
        </w:tc>
        <w:tc>
          <w:tcPr>
            <w:tcW w:w="1601" w:type="dxa"/>
            <w:gridSpan w:val="2"/>
            <w:tcBorders>
              <w:top w:val="single" w:sz="6" w:space="0" w:color="000000"/>
              <w:bottom w:val="single" w:sz="6" w:space="0" w:color="000000"/>
            </w:tcBorders>
            <w:shd w:val="clear" w:color="auto" w:fill="auto"/>
            <w:vAlign w:val="center"/>
          </w:tcPr>
          <w:p w14:paraId="4E0B30DF" w14:textId="77777777" w:rsidR="008279EF" w:rsidRPr="00875077" w:rsidRDefault="008279EF" w:rsidP="008279EF">
            <w:pPr>
              <w:pStyle w:val="Caption"/>
              <w:rPr>
                <w:rFonts w:ascii="Times New Roman" w:hAnsi="Times New Roman" w:cs="Times New Roman"/>
                <w:color w:val="000000" w:themeColor="text1"/>
              </w:rPr>
            </w:pPr>
            <w:r w:rsidRPr="00875077">
              <w:rPr>
                <w:rFonts w:ascii="Times New Roman" w:hAnsi="Times New Roman" w:cs="Times New Roman"/>
                <w:color w:val="000000" w:themeColor="text1"/>
              </w:rPr>
              <w:t>0.24-0.89</w:t>
            </w:r>
          </w:p>
        </w:tc>
        <w:tc>
          <w:tcPr>
            <w:tcW w:w="790" w:type="dxa"/>
            <w:tcBorders>
              <w:top w:val="single" w:sz="6" w:space="0" w:color="000000"/>
              <w:bottom w:val="single" w:sz="6" w:space="0" w:color="000000"/>
            </w:tcBorders>
            <w:vAlign w:val="center"/>
          </w:tcPr>
          <w:p w14:paraId="11DAAE9B" w14:textId="134A6D79" w:rsidR="008279EF" w:rsidRPr="00875077" w:rsidRDefault="009B1591" w:rsidP="009B1591">
            <w:pPr>
              <w:jc w:val="center"/>
              <w:rPr>
                <w:color w:val="000000" w:themeColor="text1"/>
                <w:sz w:val="20"/>
                <w:szCs w:val="20"/>
              </w:rPr>
            </w:pPr>
            <w:r w:rsidRPr="00875077">
              <w:rPr>
                <w:color w:val="000000" w:themeColor="text1"/>
                <w:sz w:val="20"/>
                <w:szCs w:val="20"/>
              </w:rPr>
              <w:t>58</w:t>
            </w:r>
          </w:p>
        </w:tc>
        <w:tc>
          <w:tcPr>
            <w:tcW w:w="853" w:type="dxa"/>
            <w:tcBorders>
              <w:top w:val="single" w:sz="6" w:space="0" w:color="000000"/>
              <w:bottom w:val="single" w:sz="6" w:space="0" w:color="000000"/>
            </w:tcBorders>
            <w:shd w:val="clear" w:color="auto" w:fill="auto"/>
            <w:vAlign w:val="center"/>
          </w:tcPr>
          <w:p w14:paraId="1E5EAA10" w14:textId="5856B7EC" w:rsidR="008279EF" w:rsidRPr="00875077" w:rsidRDefault="008279EF" w:rsidP="0096664A">
            <w:pPr>
              <w:jc w:val="center"/>
              <w:rPr>
                <w:color w:val="000000" w:themeColor="text1"/>
                <w:sz w:val="20"/>
                <w:szCs w:val="20"/>
              </w:rPr>
            </w:pPr>
            <w:r w:rsidRPr="00875077">
              <w:rPr>
                <w:color w:val="000000" w:themeColor="text1"/>
                <w:sz w:val="20"/>
                <w:szCs w:val="20"/>
              </w:rPr>
              <w:t>0.80</w:t>
            </w:r>
          </w:p>
        </w:tc>
        <w:tc>
          <w:tcPr>
            <w:tcW w:w="1067" w:type="dxa"/>
            <w:tcBorders>
              <w:top w:val="single" w:sz="6" w:space="0" w:color="000000"/>
              <w:bottom w:val="single" w:sz="6" w:space="0" w:color="000000"/>
              <w:right w:val="single" w:sz="6" w:space="0" w:color="000000"/>
            </w:tcBorders>
            <w:shd w:val="clear" w:color="auto" w:fill="auto"/>
            <w:vAlign w:val="center"/>
          </w:tcPr>
          <w:p w14:paraId="30AEF37E" w14:textId="77777777" w:rsidR="008279EF" w:rsidRPr="00875077" w:rsidRDefault="008279EF" w:rsidP="0096664A">
            <w:pPr>
              <w:jc w:val="center"/>
              <w:rPr>
                <w:b/>
                <w:color w:val="000000" w:themeColor="text1"/>
                <w:sz w:val="20"/>
                <w:szCs w:val="20"/>
              </w:rPr>
            </w:pPr>
            <w:r w:rsidRPr="00875077">
              <w:rPr>
                <w:b/>
                <w:color w:val="000000" w:themeColor="text1"/>
                <w:sz w:val="20"/>
                <w:szCs w:val="20"/>
              </w:rPr>
              <w:t>2.22</w:t>
            </w:r>
          </w:p>
        </w:tc>
      </w:tr>
    </w:tbl>
    <w:p w14:paraId="5811F6A9" w14:textId="2C2AC10A" w:rsidR="00AE6F25" w:rsidRPr="00875077" w:rsidRDefault="00AE6F25" w:rsidP="00AE6F25">
      <w:pPr>
        <w:rPr>
          <w:color w:val="000000" w:themeColor="text1"/>
          <w:sz w:val="20"/>
          <w:szCs w:val="20"/>
        </w:rPr>
      </w:pPr>
      <w:r w:rsidRPr="00875077">
        <w:rPr>
          <w:color w:val="000000" w:themeColor="text1"/>
          <w:sz w:val="20"/>
          <w:szCs w:val="20"/>
          <w:vertAlign w:val="superscript"/>
        </w:rPr>
        <w:t>*1</w:t>
      </w:r>
      <w:r w:rsidRPr="00875077">
        <w:rPr>
          <w:color w:val="000000" w:themeColor="text1"/>
          <w:sz w:val="20"/>
          <w:szCs w:val="20"/>
        </w:rPr>
        <w:t xml:space="preserve"> RMT=Resting Motor Threshold</w:t>
      </w:r>
      <w:r w:rsidR="004F22F9" w:rsidRPr="00875077">
        <w:rPr>
          <w:color w:val="000000" w:themeColor="text1"/>
          <w:sz w:val="20"/>
          <w:szCs w:val="20"/>
        </w:rPr>
        <w:t xml:space="preserve"> at Maximum Stimulator Output</w:t>
      </w:r>
      <w:r w:rsidRPr="00875077">
        <w:rPr>
          <w:color w:val="000000" w:themeColor="text1"/>
          <w:sz w:val="20"/>
          <w:szCs w:val="20"/>
        </w:rPr>
        <w:t xml:space="preserve">, </w:t>
      </w:r>
      <w:r w:rsidRPr="00875077">
        <w:rPr>
          <w:color w:val="000000" w:themeColor="text1"/>
          <w:sz w:val="20"/>
          <w:szCs w:val="20"/>
          <w:vertAlign w:val="superscript"/>
        </w:rPr>
        <w:t xml:space="preserve">*2 </w:t>
      </w:r>
      <w:r w:rsidRPr="00875077">
        <w:rPr>
          <w:color w:val="000000" w:themeColor="text1"/>
          <w:sz w:val="20"/>
          <w:szCs w:val="20"/>
        </w:rPr>
        <w:t>ICC=</w:t>
      </w:r>
      <w:proofErr w:type="spellStart"/>
      <w:r w:rsidRPr="00875077">
        <w:rPr>
          <w:color w:val="000000" w:themeColor="text1"/>
          <w:sz w:val="20"/>
          <w:szCs w:val="20"/>
        </w:rPr>
        <w:t>Intraclass</w:t>
      </w:r>
      <w:proofErr w:type="spellEnd"/>
      <w:r w:rsidRPr="00875077">
        <w:rPr>
          <w:color w:val="000000" w:themeColor="text1"/>
          <w:sz w:val="20"/>
          <w:szCs w:val="20"/>
        </w:rPr>
        <w:t xml:space="preserve"> Correlation Coefficient, </w:t>
      </w:r>
      <w:r w:rsidRPr="00875077">
        <w:rPr>
          <w:color w:val="000000" w:themeColor="text1"/>
          <w:sz w:val="20"/>
          <w:szCs w:val="20"/>
          <w:vertAlign w:val="superscript"/>
        </w:rPr>
        <w:t>*3</w:t>
      </w:r>
      <w:r w:rsidRPr="00875077">
        <w:rPr>
          <w:color w:val="000000" w:themeColor="text1"/>
          <w:sz w:val="20"/>
          <w:szCs w:val="20"/>
        </w:rPr>
        <w:t xml:space="preserve"> CI=Confidence Interval,</w:t>
      </w:r>
      <w:r w:rsidRPr="00875077">
        <w:rPr>
          <w:color w:val="000000" w:themeColor="text1"/>
          <w:sz w:val="20"/>
          <w:szCs w:val="20"/>
          <w:vertAlign w:val="superscript"/>
        </w:rPr>
        <w:t xml:space="preserve">*4 </w:t>
      </w:r>
      <w:r w:rsidRPr="00875077">
        <w:rPr>
          <w:color w:val="000000" w:themeColor="text1"/>
          <w:sz w:val="20"/>
          <w:szCs w:val="20"/>
        </w:rPr>
        <w:t xml:space="preserve">SEM=Standard Error of Mean, </w:t>
      </w:r>
      <w:r w:rsidRPr="00875077">
        <w:rPr>
          <w:color w:val="000000" w:themeColor="text1"/>
          <w:sz w:val="20"/>
          <w:szCs w:val="20"/>
          <w:vertAlign w:val="superscript"/>
        </w:rPr>
        <w:t xml:space="preserve">*5 </w:t>
      </w:r>
      <w:r w:rsidRPr="00875077">
        <w:rPr>
          <w:color w:val="000000" w:themeColor="text1"/>
          <w:sz w:val="20"/>
          <w:szCs w:val="20"/>
        </w:rPr>
        <w:t xml:space="preserve">Minimal Detectable Change, </w:t>
      </w:r>
      <w:r w:rsidRPr="00875077">
        <w:rPr>
          <w:color w:val="000000" w:themeColor="text1"/>
          <w:sz w:val="20"/>
          <w:szCs w:val="20"/>
          <w:vertAlign w:val="superscript"/>
        </w:rPr>
        <w:t xml:space="preserve">*6 </w:t>
      </w:r>
      <w:r w:rsidRPr="00875077">
        <w:rPr>
          <w:color w:val="000000" w:themeColor="text1"/>
          <w:sz w:val="20"/>
          <w:szCs w:val="20"/>
        </w:rPr>
        <w:t xml:space="preserve">mV=millivolt, </w:t>
      </w:r>
      <w:r w:rsidRPr="00875077">
        <w:rPr>
          <w:color w:val="000000" w:themeColor="text1"/>
          <w:sz w:val="20"/>
          <w:szCs w:val="20"/>
          <w:vertAlign w:val="superscript"/>
        </w:rPr>
        <w:t>*7</w:t>
      </w:r>
      <w:r w:rsidRPr="00875077">
        <w:rPr>
          <w:color w:val="000000" w:themeColor="text1"/>
          <w:sz w:val="20"/>
          <w:szCs w:val="20"/>
        </w:rPr>
        <w:t xml:space="preserve"> MEP=Motor Evoked Potential</w:t>
      </w:r>
      <w:r w:rsidR="00C84537" w:rsidRPr="00875077">
        <w:rPr>
          <w:color w:val="000000" w:themeColor="text1"/>
          <w:sz w:val="20"/>
          <w:szCs w:val="20"/>
        </w:rPr>
        <w:t>, *</w:t>
      </w:r>
      <w:r w:rsidR="00C84537" w:rsidRPr="00875077">
        <w:rPr>
          <w:color w:val="000000" w:themeColor="text1"/>
          <w:sz w:val="20"/>
          <w:szCs w:val="20"/>
          <w:vertAlign w:val="superscript"/>
        </w:rPr>
        <w:t>8</w:t>
      </w:r>
      <w:r w:rsidR="00C84537" w:rsidRPr="00875077">
        <w:rPr>
          <w:color w:val="000000" w:themeColor="text1"/>
          <w:sz w:val="20"/>
          <w:szCs w:val="20"/>
        </w:rPr>
        <w:t xml:space="preserve"> I/O=</w:t>
      </w:r>
      <w:proofErr w:type="spellStart"/>
      <w:r w:rsidR="00C84537" w:rsidRPr="00875077">
        <w:rPr>
          <w:color w:val="000000" w:themeColor="text1"/>
          <w:sz w:val="20"/>
          <w:szCs w:val="20"/>
        </w:rPr>
        <w:t>Input/Output</w:t>
      </w:r>
      <w:proofErr w:type="spellEnd"/>
    </w:p>
    <w:p w14:paraId="6A91D91A" w14:textId="77777777" w:rsidR="00AE6F25" w:rsidRPr="00875077" w:rsidRDefault="00AE6F25" w:rsidP="007F3271">
      <w:pPr>
        <w:spacing w:line="480" w:lineRule="auto"/>
        <w:rPr>
          <w:iCs/>
          <w:color w:val="000000" w:themeColor="text1"/>
          <w:lang w:val="en-GB"/>
        </w:rPr>
      </w:pPr>
    </w:p>
    <w:p w14:paraId="5F1118B9" w14:textId="77777777" w:rsidR="00AE6F25" w:rsidRPr="00875077" w:rsidRDefault="00AE6F25" w:rsidP="007F3271">
      <w:pPr>
        <w:spacing w:line="480" w:lineRule="auto"/>
        <w:outlineLvl w:val="0"/>
        <w:rPr>
          <w:iCs/>
          <w:color w:val="000000" w:themeColor="text1"/>
          <w:lang w:val="en-GB"/>
        </w:rPr>
      </w:pPr>
      <w:r w:rsidRPr="00875077">
        <w:rPr>
          <w:iCs/>
          <w:color w:val="000000" w:themeColor="text1"/>
          <w:lang w:val="en-GB"/>
        </w:rPr>
        <w:br w:type="page"/>
      </w:r>
    </w:p>
    <w:p w14:paraId="13449EB9" w14:textId="7C6F90C0" w:rsidR="00EF3A68" w:rsidRPr="00875077" w:rsidRDefault="00630D69" w:rsidP="007F3271">
      <w:pPr>
        <w:spacing w:line="480" w:lineRule="auto"/>
        <w:outlineLvl w:val="0"/>
        <w:rPr>
          <w:b/>
          <w:iCs/>
          <w:color w:val="000000" w:themeColor="text1"/>
          <w:lang w:val="en-GB"/>
        </w:rPr>
      </w:pPr>
      <w:r w:rsidRPr="00875077">
        <w:rPr>
          <w:b/>
          <w:iCs/>
          <w:color w:val="000000" w:themeColor="text1"/>
          <w:lang w:val="en-GB"/>
        </w:rPr>
        <w:lastRenderedPageBreak/>
        <w:t>Discussion</w:t>
      </w:r>
    </w:p>
    <w:p w14:paraId="7CCDDA21" w14:textId="13C4625E" w:rsidR="00581A5D" w:rsidRPr="00875077" w:rsidRDefault="0023485F" w:rsidP="00E85A18">
      <w:pPr>
        <w:pStyle w:val="CommentText"/>
        <w:spacing w:line="480" w:lineRule="auto"/>
        <w:rPr>
          <w:rFonts w:ascii="Times New Roman" w:hAnsi="Times New Roman" w:cs="Times New Roman"/>
          <w:color w:val="000000" w:themeColor="text1"/>
          <w:sz w:val="24"/>
          <w:szCs w:val="24"/>
          <w:lang w:val="en-GB"/>
        </w:rPr>
      </w:pPr>
      <w:r w:rsidRPr="00875077">
        <w:rPr>
          <w:rFonts w:ascii="Times New Roman" w:hAnsi="Times New Roman" w:cs="Times New Roman"/>
          <w:color w:val="000000" w:themeColor="text1"/>
          <w:sz w:val="24"/>
          <w:szCs w:val="24"/>
          <w:lang w:val="en-GB"/>
        </w:rPr>
        <w:t xml:space="preserve">This was the first study to explore reliability of MEP RMT and amplitude of both </w:t>
      </w:r>
      <w:r w:rsidR="006D68AC" w:rsidRPr="00875077">
        <w:rPr>
          <w:rFonts w:ascii="Times New Roman" w:hAnsi="Times New Roman" w:cs="Times New Roman"/>
          <w:color w:val="000000" w:themeColor="text1"/>
          <w:sz w:val="24"/>
          <w:szCs w:val="24"/>
          <w:lang w:val="en-GB"/>
        </w:rPr>
        <w:t>upper limb</w:t>
      </w:r>
      <w:r w:rsidRPr="00875077">
        <w:rPr>
          <w:rFonts w:ascii="Times New Roman" w:hAnsi="Times New Roman" w:cs="Times New Roman"/>
          <w:color w:val="000000" w:themeColor="text1"/>
          <w:sz w:val="24"/>
          <w:szCs w:val="24"/>
          <w:lang w:val="en-GB"/>
        </w:rPr>
        <w:t xml:space="preserve"> proximal and distal muscles and it was identified that RMT is a </w:t>
      </w:r>
      <w:r w:rsidR="004D50D0" w:rsidRPr="00875077">
        <w:rPr>
          <w:rFonts w:ascii="Times New Roman" w:hAnsi="Times New Roman" w:cs="Times New Roman"/>
          <w:color w:val="000000" w:themeColor="text1"/>
          <w:sz w:val="24"/>
          <w:szCs w:val="24"/>
          <w:lang w:val="en-GB"/>
        </w:rPr>
        <w:t xml:space="preserve">more </w:t>
      </w:r>
      <w:r w:rsidRPr="00875077">
        <w:rPr>
          <w:rFonts w:ascii="Times New Roman" w:hAnsi="Times New Roman" w:cs="Times New Roman"/>
          <w:color w:val="000000" w:themeColor="text1"/>
          <w:sz w:val="24"/>
          <w:szCs w:val="24"/>
          <w:lang w:val="en-GB"/>
        </w:rPr>
        <w:t xml:space="preserve">reliable measure even for a shoulder muscle. </w:t>
      </w:r>
      <w:r w:rsidR="00503C13" w:rsidRPr="00875077">
        <w:rPr>
          <w:rFonts w:ascii="Times New Roman" w:hAnsi="Times New Roman" w:cs="Times New Roman"/>
          <w:color w:val="000000" w:themeColor="text1"/>
          <w:sz w:val="24"/>
          <w:szCs w:val="24"/>
          <w:lang w:val="en-GB"/>
        </w:rPr>
        <w:t xml:space="preserve">As was identified in previous research involving the biceps </w:t>
      </w:r>
      <w:proofErr w:type="spellStart"/>
      <w:r w:rsidR="00503C13" w:rsidRPr="00875077">
        <w:rPr>
          <w:rFonts w:ascii="Times New Roman" w:hAnsi="Times New Roman" w:cs="Times New Roman"/>
          <w:color w:val="000000" w:themeColor="text1"/>
          <w:sz w:val="24"/>
          <w:szCs w:val="24"/>
          <w:lang w:val="en-GB"/>
        </w:rPr>
        <w:t>brachii</w:t>
      </w:r>
      <w:proofErr w:type="spellEnd"/>
      <w:r w:rsidR="00503C13" w:rsidRPr="00875077">
        <w:rPr>
          <w:rFonts w:ascii="Times New Roman" w:hAnsi="Times New Roman" w:cs="Times New Roman"/>
          <w:color w:val="000000" w:themeColor="text1"/>
          <w:sz w:val="24"/>
          <w:szCs w:val="24"/>
          <w:lang w:val="en-GB"/>
        </w:rPr>
        <w:t xml:space="preserve">, </w:t>
      </w:r>
      <w:r w:rsidR="007A7398" w:rsidRPr="00875077">
        <w:rPr>
          <w:rFonts w:ascii="Times New Roman" w:hAnsi="Times New Roman" w:cs="Times New Roman"/>
          <w:color w:val="000000" w:themeColor="text1"/>
          <w:sz w:val="24"/>
          <w:szCs w:val="24"/>
          <w:lang w:val="en-GB"/>
        </w:rPr>
        <w:t xml:space="preserve">RMT does seem to be </w:t>
      </w:r>
      <w:r w:rsidR="0048023F" w:rsidRPr="00875077">
        <w:rPr>
          <w:rFonts w:ascii="Times New Roman" w:hAnsi="Times New Roman" w:cs="Times New Roman"/>
          <w:color w:val="000000" w:themeColor="text1"/>
          <w:sz w:val="24"/>
          <w:szCs w:val="24"/>
          <w:lang w:val="en-GB"/>
        </w:rPr>
        <w:t>more reliable for distal ED</w:t>
      </w:r>
      <w:r w:rsidR="007A7398" w:rsidRPr="00875077">
        <w:rPr>
          <w:rFonts w:ascii="Times New Roman" w:hAnsi="Times New Roman" w:cs="Times New Roman"/>
          <w:color w:val="000000" w:themeColor="text1"/>
          <w:sz w:val="24"/>
          <w:szCs w:val="24"/>
          <w:lang w:val="en-GB"/>
        </w:rPr>
        <w:t xml:space="preserve"> than for the more </w:t>
      </w:r>
      <w:r w:rsidR="0048023F" w:rsidRPr="00875077">
        <w:rPr>
          <w:rFonts w:ascii="Times New Roman" w:hAnsi="Times New Roman" w:cs="Times New Roman"/>
          <w:color w:val="000000" w:themeColor="text1"/>
          <w:sz w:val="24"/>
          <w:szCs w:val="24"/>
          <w:lang w:val="en-GB"/>
        </w:rPr>
        <w:t>proximal AD</w:t>
      </w:r>
      <w:r w:rsidR="007A7398" w:rsidRPr="00875077">
        <w:rPr>
          <w:rFonts w:ascii="Times New Roman" w:hAnsi="Times New Roman" w:cs="Times New Roman"/>
          <w:color w:val="000000" w:themeColor="text1"/>
          <w:sz w:val="24"/>
          <w:szCs w:val="24"/>
          <w:lang w:val="en-GB"/>
        </w:rPr>
        <w:t>.</w:t>
      </w:r>
      <w:r w:rsidR="000A107B" w:rsidRPr="00875077">
        <w:rPr>
          <w:rFonts w:ascii="Times New Roman" w:hAnsi="Times New Roman" w:cs="Times New Roman"/>
          <w:color w:val="000000" w:themeColor="text1"/>
          <w:sz w:val="24"/>
          <w:szCs w:val="24"/>
          <w:vertAlign w:val="superscript"/>
          <w:lang w:val="en-GB"/>
        </w:rPr>
        <w:t>6</w:t>
      </w:r>
      <w:r w:rsidR="007A7398" w:rsidRPr="00875077">
        <w:rPr>
          <w:rFonts w:ascii="Times New Roman" w:hAnsi="Times New Roman" w:cs="Times New Roman"/>
          <w:color w:val="000000" w:themeColor="text1"/>
          <w:sz w:val="24"/>
          <w:szCs w:val="24"/>
          <w:lang w:val="en-GB"/>
        </w:rPr>
        <w:t xml:space="preserve"> </w:t>
      </w:r>
    </w:p>
    <w:p w14:paraId="00121F0C" w14:textId="3EDA07B1" w:rsidR="00E85A18" w:rsidRPr="00875077" w:rsidRDefault="00E85A18" w:rsidP="00E85A18">
      <w:pPr>
        <w:pStyle w:val="CommentText"/>
        <w:spacing w:line="480" w:lineRule="auto"/>
        <w:rPr>
          <w:rFonts w:ascii="Times New Roman" w:hAnsi="Times New Roman" w:cs="Times New Roman"/>
          <w:color w:val="000000" w:themeColor="text1"/>
          <w:sz w:val="24"/>
          <w:szCs w:val="24"/>
          <w:lang w:val="en-GB"/>
        </w:rPr>
      </w:pPr>
      <w:r w:rsidRPr="00875077">
        <w:rPr>
          <w:rFonts w:ascii="Times New Roman" w:hAnsi="Times New Roman" w:cs="Times New Roman"/>
          <w:color w:val="000000" w:themeColor="text1"/>
          <w:sz w:val="24"/>
          <w:szCs w:val="24"/>
          <w:lang w:val="en-GB"/>
        </w:rPr>
        <w:t>Compared to previous research, lower reliability was found for measurement of MEP amplitude on proximal and distal muscles.</w:t>
      </w:r>
      <w:r w:rsidR="000A107B" w:rsidRPr="00875077">
        <w:rPr>
          <w:rFonts w:ascii="Times New Roman" w:hAnsi="Times New Roman" w:cs="Times New Roman"/>
          <w:color w:val="000000" w:themeColor="text1"/>
          <w:sz w:val="24"/>
          <w:szCs w:val="24"/>
          <w:vertAlign w:val="superscript"/>
          <w:lang w:val="en-GB"/>
        </w:rPr>
        <w:t>5</w:t>
      </w:r>
      <w:proofErr w:type="gramStart"/>
      <w:r w:rsidR="000A107B" w:rsidRPr="00875077">
        <w:rPr>
          <w:rFonts w:ascii="Times New Roman" w:hAnsi="Times New Roman" w:cs="Times New Roman"/>
          <w:color w:val="000000" w:themeColor="text1"/>
          <w:sz w:val="24"/>
          <w:szCs w:val="24"/>
          <w:vertAlign w:val="superscript"/>
          <w:lang w:val="en-GB"/>
        </w:rPr>
        <w:t>,9</w:t>
      </w:r>
      <w:proofErr w:type="gramEnd"/>
      <w:r w:rsidR="000A107B" w:rsidRPr="00875077">
        <w:rPr>
          <w:rFonts w:ascii="Times New Roman" w:hAnsi="Times New Roman" w:cs="Times New Roman"/>
          <w:color w:val="000000" w:themeColor="text1"/>
          <w:sz w:val="24"/>
          <w:szCs w:val="24"/>
          <w:vertAlign w:val="superscript"/>
          <w:lang w:val="en-GB"/>
        </w:rPr>
        <w:t xml:space="preserve"> </w:t>
      </w:r>
      <w:r w:rsidRPr="00875077">
        <w:rPr>
          <w:rFonts w:ascii="Times New Roman" w:hAnsi="Times New Roman" w:cs="Times New Roman"/>
          <w:color w:val="000000" w:themeColor="text1"/>
          <w:sz w:val="24"/>
          <w:szCs w:val="24"/>
          <w:vertAlign w:val="superscript"/>
          <w:lang w:val="en-GB"/>
        </w:rPr>
        <w:t xml:space="preserve"> </w:t>
      </w:r>
      <w:r w:rsidR="000A107B" w:rsidRPr="00875077">
        <w:rPr>
          <w:rFonts w:ascii="Times New Roman" w:hAnsi="Times New Roman" w:cs="Times New Roman"/>
          <w:color w:val="000000" w:themeColor="text1"/>
          <w:sz w:val="24"/>
          <w:szCs w:val="24"/>
          <w:lang w:val="en-GB"/>
        </w:rPr>
        <w:t>T</w:t>
      </w:r>
      <w:r w:rsidRPr="00875077">
        <w:rPr>
          <w:rFonts w:ascii="Times New Roman" w:hAnsi="Times New Roman" w:cs="Times New Roman"/>
          <w:color w:val="000000" w:themeColor="text1"/>
          <w:sz w:val="24"/>
          <w:szCs w:val="24"/>
          <w:lang w:val="en-GB"/>
        </w:rPr>
        <w:t>his could have been due to an older population included compared to previous research. Additionally, a larger number of TMS stimuli were applied than the present study. It has been suggested that ten instead of five TMS stimuli should be applied when investigating cortical excitability over multiple sessions of healthy adults.</w:t>
      </w:r>
      <w:r w:rsidR="00A34873" w:rsidRPr="00875077">
        <w:rPr>
          <w:rFonts w:ascii="Times New Roman" w:hAnsi="Times New Roman" w:cs="Times New Roman"/>
          <w:color w:val="000000" w:themeColor="text1"/>
          <w:sz w:val="24"/>
          <w:szCs w:val="24"/>
          <w:vertAlign w:val="superscript"/>
          <w:lang w:val="en-GB"/>
        </w:rPr>
        <w:t>1</w:t>
      </w:r>
      <w:r w:rsidR="00214733" w:rsidRPr="00875077">
        <w:rPr>
          <w:rFonts w:ascii="Times New Roman" w:hAnsi="Times New Roman" w:cs="Times New Roman"/>
          <w:color w:val="000000" w:themeColor="text1"/>
          <w:sz w:val="24"/>
          <w:szCs w:val="24"/>
          <w:vertAlign w:val="superscript"/>
          <w:lang w:val="en-GB"/>
        </w:rPr>
        <w:t>7</w:t>
      </w:r>
      <w:r w:rsidRPr="00875077">
        <w:rPr>
          <w:rFonts w:ascii="Times New Roman" w:hAnsi="Times New Roman" w:cs="Times New Roman"/>
          <w:color w:val="000000" w:themeColor="text1"/>
          <w:sz w:val="24"/>
          <w:szCs w:val="24"/>
          <w:lang w:val="en-GB"/>
        </w:rPr>
        <w:t xml:space="preserve"> However, for proximal muscles such as AD, very high stimulation intensity was needed to elicit MEPs and therefore more stimuli could increase discomfort for participants. </w:t>
      </w:r>
    </w:p>
    <w:p w14:paraId="3534932F" w14:textId="79ADA5D2" w:rsidR="00456FB5" w:rsidRPr="00875077" w:rsidRDefault="0048023F" w:rsidP="0048023F">
      <w:pPr>
        <w:pStyle w:val="CommentText"/>
        <w:spacing w:before="240" w:line="480" w:lineRule="auto"/>
        <w:rPr>
          <w:rFonts w:ascii="Times New Roman" w:hAnsi="Times New Roman" w:cs="Times New Roman"/>
          <w:color w:val="000000" w:themeColor="text1"/>
          <w:sz w:val="24"/>
          <w:szCs w:val="24"/>
          <w:lang w:val="en-GB"/>
        </w:rPr>
      </w:pPr>
      <w:r w:rsidRPr="00875077">
        <w:rPr>
          <w:rFonts w:ascii="Times New Roman" w:hAnsi="Times New Roman" w:cs="Times New Roman"/>
          <w:color w:val="000000" w:themeColor="text1"/>
          <w:sz w:val="24"/>
          <w:szCs w:val="24"/>
          <w:lang w:val="en-GB"/>
        </w:rPr>
        <w:t>Higher MDCs for RMT for both AD and EDC muscles were found compared to previous research where the majority included hand muscles.</w:t>
      </w:r>
      <w:r w:rsidR="00E27A24" w:rsidRPr="00875077">
        <w:rPr>
          <w:rFonts w:ascii="Times New Roman" w:hAnsi="Times New Roman" w:cs="Times New Roman"/>
          <w:color w:val="000000" w:themeColor="text1"/>
          <w:sz w:val="24"/>
          <w:szCs w:val="24"/>
          <w:vertAlign w:val="superscript"/>
          <w:lang w:val="en-GB"/>
        </w:rPr>
        <w:t>1</w:t>
      </w:r>
      <w:r w:rsidR="00214733" w:rsidRPr="00875077">
        <w:rPr>
          <w:rFonts w:ascii="Times New Roman" w:hAnsi="Times New Roman" w:cs="Times New Roman"/>
          <w:color w:val="000000" w:themeColor="text1"/>
          <w:sz w:val="24"/>
          <w:szCs w:val="24"/>
          <w:vertAlign w:val="superscript"/>
          <w:lang w:val="en-GB"/>
        </w:rPr>
        <w:t>8</w:t>
      </w:r>
      <w:r w:rsidR="007818C2" w:rsidRPr="00875077">
        <w:rPr>
          <w:rFonts w:ascii="Times New Roman" w:hAnsi="Times New Roman" w:cs="Times New Roman"/>
          <w:color w:val="000000" w:themeColor="text1"/>
          <w:sz w:val="24"/>
          <w:szCs w:val="24"/>
          <w:lang w:val="en-GB"/>
        </w:rPr>
        <w:t xml:space="preserve"> </w:t>
      </w:r>
      <w:proofErr w:type="gramStart"/>
      <w:r w:rsidR="00CA5B71" w:rsidRPr="00875077">
        <w:rPr>
          <w:rFonts w:ascii="Times New Roman" w:hAnsi="Times New Roman" w:cs="Times New Roman"/>
          <w:color w:val="000000" w:themeColor="text1"/>
          <w:sz w:val="24"/>
          <w:szCs w:val="24"/>
          <w:lang w:val="en-GB"/>
        </w:rPr>
        <w:t>Before</w:t>
      </w:r>
      <w:proofErr w:type="gramEnd"/>
      <w:r w:rsidR="00CA5B71" w:rsidRPr="00875077">
        <w:rPr>
          <w:rFonts w:ascii="Times New Roman" w:hAnsi="Times New Roman" w:cs="Times New Roman"/>
          <w:color w:val="000000" w:themeColor="text1"/>
          <w:sz w:val="24"/>
          <w:szCs w:val="24"/>
          <w:lang w:val="en-GB"/>
        </w:rPr>
        <w:t xml:space="preserve"> integrating such neurophysiological outcome measures in rehabilitation settings, further research should</w:t>
      </w:r>
      <w:r w:rsidRPr="00875077">
        <w:rPr>
          <w:rFonts w:ascii="Times New Roman" w:hAnsi="Times New Roman" w:cs="Times New Roman"/>
          <w:color w:val="000000" w:themeColor="text1"/>
          <w:sz w:val="24"/>
          <w:szCs w:val="24"/>
          <w:lang w:val="en-GB"/>
        </w:rPr>
        <w:t xml:space="preserve"> investigate MDC</w:t>
      </w:r>
      <w:r w:rsidR="00CA5B71" w:rsidRPr="00875077">
        <w:rPr>
          <w:rFonts w:ascii="Times New Roman" w:hAnsi="Times New Roman" w:cs="Times New Roman"/>
          <w:color w:val="000000" w:themeColor="text1"/>
          <w:sz w:val="24"/>
          <w:szCs w:val="24"/>
          <w:lang w:val="en-GB"/>
        </w:rPr>
        <w:t xml:space="preserve"> for both proximal and distal arm muscles. </w:t>
      </w:r>
      <w:r w:rsidR="00866872" w:rsidRPr="00875077">
        <w:rPr>
          <w:rFonts w:ascii="Times New Roman" w:hAnsi="Times New Roman" w:cs="Times New Roman"/>
          <w:color w:val="000000" w:themeColor="text1"/>
          <w:sz w:val="24"/>
          <w:szCs w:val="24"/>
          <w:lang w:val="en-GB"/>
        </w:rPr>
        <w:t>One must note, that</w:t>
      </w:r>
      <w:r w:rsidR="00075FE2" w:rsidRPr="00875077">
        <w:rPr>
          <w:rFonts w:ascii="Times New Roman" w:hAnsi="Times New Roman" w:cs="Times New Roman"/>
          <w:color w:val="000000" w:themeColor="text1"/>
          <w:sz w:val="24"/>
          <w:szCs w:val="24"/>
          <w:lang w:val="en-GB"/>
        </w:rPr>
        <w:t xml:space="preserve"> </w:t>
      </w:r>
      <w:r w:rsidR="00F4335F" w:rsidRPr="00875077">
        <w:rPr>
          <w:rFonts w:ascii="Times New Roman" w:hAnsi="Times New Roman" w:cs="Times New Roman"/>
          <w:color w:val="000000" w:themeColor="text1"/>
          <w:sz w:val="24"/>
          <w:szCs w:val="24"/>
          <w:lang w:val="en-GB"/>
        </w:rPr>
        <w:t xml:space="preserve">within </w:t>
      </w:r>
      <w:r w:rsidR="00075FE2" w:rsidRPr="00875077">
        <w:rPr>
          <w:rFonts w:ascii="Times New Roman" w:hAnsi="Times New Roman" w:cs="Times New Roman"/>
          <w:color w:val="000000" w:themeColor="text1"/>
          <w:sz w:val="24"/>
          <w:szCs w:val="24"/>
          <w:lang w:val="en-GB"/>
        </w:rPr>
        <w:t xml:space="preserve">the present study AD MEPs were elicited in 12 participants. </w:t>
      </w:r>
      <w:r w:rsidR="00456FB5" w:rsidRPr="00875077">
        <w:rPr>
          <w:rFonts w:ascii="Times New Roman" w:hAnsi="Times New Roman" w:cs="Times New Roman"/>
          <w:color w:val="000000" w:themeColor="text1"/>
          <w:sz w:val="24"/>
          <w:szCs w:val="24"/>
        </w:rPr>
        <w:t xml:space="preserve">This could be due to AD having a smaller cortical representation area than the EDC. However, </w:t>
      </w:r>
      <w:r w:rsidR="00075FE2" w:rsidRPr="00875077">
        <w:rPr>
          <w:rFonts w:ascii="Times New Roman" w:hAnsi="Times New Roman" w:cs="Times New Roman"/>
          <w:color w:val="000000" w:themeColor="text1"/>
          <w:sz w:val="24"/>
          <w:szCs w:val="24"/>
          <w:lang w:val="en-GB"/>
        </w:rPr>
        <w:t xml:space="preserve">no difference </w:t>
      </w:r>
      <w:r w:rsidR="00075FE2" w:rsidRPr="00875077">
        <w:rPr>
          <w:rFonts w:ascii="Times New Roman" w:hAnsi="Times New Roman" w:cs="Times New Roman"/>
          <w:color w:val="000000" w:themeColor="text1"/>
          <w:sz w:val="24"/>
          <w:szCs w:val="24"/>
          <w:lang w:val="en-GB"/>
        </w:rPr>
        <w:lastRenderedPageBreak/>
        <w:t>between cortical size and areal representations has been found when eliciting MEPs of proximal and</w:t>
      </w:r>
      <w:r w:rsidR="006D68AC" w:rsidRPr="00875077">
        <w:rPr>
          <w:rFonts w:ascii="Times New Roman" w:hAnsi="Times New Roman" w:cs="Times New Roman"/>
          <w:color w:val="000000" w:themeColor="text1"/>
          <w:sz w:val="24"/>
          <w:szCs w:val="24"/>
          <w:lang w:val="en-GB"/>
        </w:rPr>
        <w:t xml:space="preserve"> distal muscles in young adults</w:t>
      </w:r>
      <w:r w:rsidR="00075FE2" w:rsidRPr="00875077">
        <w:rPr>
          <w:rFonts w:ascii="Times New Roman" w:hAnsi="Times New Roman" w:cs="Times New Roman"/>
          <w:color w:val="000000" w:themeColor="text1"/>
          <w:sz w:val="24"/>
          <w:szCs w:val="24"/>
          <w:lang w:val="en-GB"/>
        </w:rPr>
        <w:t>.</w:t>
      </w:r>
      <w:r w:rsidR="00214733" w:rsidRPr="00875077">
        <w:rPr>
          <w:rFonts w:ascii="Times New Roman" w:hAnsi="Times New Roman" w:cs="Times New Roman"/>
          <w:color w:val="000000" w:themeColor="text1"/>
          <w:sz w:val="24"/>
          <w:szCs w:val="24"/>
          <w:vertAlign w:val="superscript"/>
          <w:lang w:val="en-GB"/>
        </w:rPr>
        <w:t>19</w:t>
      </w:r>
      <w:r w:rsidR="00075FE2" w:rsidRPr="00875077">
        <w:rPr>
          <w:rFonts w:ascii="Times New Roman" w:hAnsi="Times New Roman" w:cs="Times New Roman"/>
          <w:color w:val="000000" w:themeColor="text1"/>
          <w:sz w:val="24"/>
          <w:szCs w:val="24"/>
          <w:lang w:val="en-GB"/>
        </w:rPr>
        <w:t xml:space="preserve"> </w:t>
      </w:r>
      <w:r w:rsidR="00456FB5" w:rsidRPr="00875077">
        <w:rPr>
          <w:rFonts w:ascii="Times New Roman" w:hAnsi="Times New Roman" w:cs="Times New Roman"/>
          <w:color w:val="000000" w:themeColor="text1"/>
          <w:sz w:val="24"/>
          <w:szCs w:val="24"/>
          <w:lang w:val="en-GB"/>
        </w:rPr>
        <w:t xml:space="preserve">Therefore, </w:t>
      </w:r>
      <w:r w:rsidR="00F4335F" w:rsidRPr="00875077">
        <w:rPr>
          <w:rFonts w:ascii="Times New Roman" w:hAnsi="Times New Roman" w:cs="Times New Roman"/>
          <w:color w:val="000000" w:themeColor="text1"/>
          <w:sz w:val="24"/>
          <w:szCs w:val="24"/>
          <w:lang w:val="en-GB"/>
        </w:rPr>
        <w:t xml:space="preserve">the </w:t>
      </w:r>
      <w:r w:rsidR="00456FB5" w:rsidRPr="00875077">
        <w:rPr>
          <w:rFonts w:ascii="Times New Roman" w:hAnsi="Times New Roman" w:cs="Times New Roman"/>
          <w:color w:val="000000" w:themeColor="text1"/>
          <w:sz w:val="24"/>
          <w:szCs w:val="24"/>
          <w:lang w:val="en-GB"/>
        </w:rPr>
        <w:t>older age of the participants could have been a contributing factor.</w:t>
      </w:r>
    </w:p>
    <w:p w14:paraId="3D52AF0D" w14:textId="074DCE2F" w:rsidR="00DE0914" w:rsidRPr="00875077" w:rsidRDefault="00DE0914" w:rsidP="00CA5B71">
      <w:pPr>
        <w:spacing w:before="240" w:line="480" w:lineRule="auto"/>
        <w:rPr>
          <w:rFonts w:eastAsia="Times New Roman"/>
          <w:color w:val="000000" w:themeColor="text1"/>
        </w:rPr>
      </w:pPr>
      <w:r w:rsidRPr="00875077">
        <w:rPr>
          <w:iCs/>
          <w:color w:val="000000" w:themeColor="text1"/>
          <w:lang w:val="en-GB"/>
        </w:rPr>
        <w:t xml:space="preserve">Temporal stability of an outcome measure is essential for use in clinical trials </w:t>
      </w:r>
      <w:r w:rsidR="00FF265E" w:rsidRPr="00875077">
        <w:rPr>
          <w:iCs/>
          <w:color w:val="000000" w:themeColor="text1"/>
          <w:lang w:val="en-GB"/>
        </w:rPr>
        <w:t xml:space="preserve">and clinical practice </w:t>
      </w:r>
      <w:r w:rsidRPr="00875077">
        <w:rPr>
          <w:iCs/>
          <w:color w:val="000000" w:themeColor="text1"/>
          <w:lang w:val="en-GB"/>
        </w:rPr>
        <w:t>at multiple time-points.</w:t>
      </w:r>
      <w:r w:rsidR="00214733" w:rsidRPr="00875077">
        <w:rPr>
          <w:iCs/>
          <w:color w:val="000000" w:themeColor="text1"/>
          <w:vertAlign w:val="superscript"/>
          <w:lang w:val="en-GB"/>
        </w:rPr>
        <w:t>20</w:t>
      </w:r>
      <w:r w:rsidR="00F6120C" w:rsidRPr="00875077">
        <w:rPr>
          <w:color w:val="000000" w:themeColor="text1"/>
          <w:lang w:val="en-GB"/>
        </w:rPr>
        <w:t xml:space="preserve"> MEP measurement is regularly used as a prognostic tool for upper limb</w:t>
      </w:r>
      <w:r w:rsidR="00FF265E" w:rsidRPr="00875077">
        <w:rPr>
          <w:color w:val="000000" w:themeColor="text1"/>
          <w:lang w:val="en-GB"/>
        </w:rPr>
        <w:t xml:space="preserve"> recovery following stroke</w:t>
      </w:r>
      <w:r w:rsidR="00F6120C" w:rsidRPr="00875077">
        <w:rPr>
          <w:color w:val="000000" w:themeColor="text1"/>
          <w:lang w:val="en-GB"/>
        </w:rPr>
        <w:t>.</w:t>
      </w:r>
      <w:r w:rsidR="00214733" w:rsidRPr="00875077">
        <w:rPr>
          <w:color w:val="000000" w:themeColor="text1"/>
          <w:vertAlign w:val="superscript"/>
          <w:lang w:val="en-GB"/>
        </w:rPr>
        <w:t>21</w:t>
      </w:r>
      <w:r w:rsidR="009B7A17" w:rsidRPr="00875077">
        <w:rPr>
          <w:color w:val="000000" w:themeColor="text1"/>
          <w:vertAlign w:val="superscript"/>
          <w:lang w:val="en-GB"/>
        </w:rPr>
        <w:t xml:space="preserve"> </w:t>
      </w:r>
      <w:r w:rsidR="002C4BA8" w:rsidRPr="00875077">
        <w:rPr>
          <w:color w:val="000000" w:themeColor="text1"/>
          <w:lang w:val="en-GB"/>
        </w:rPr>
        <w:t xml:space="preserve">It has been identified that when elicited MEPs and the </w:t>
      </w:r>
      <w:proofErr w:type="spellStart"/>
      <w:r w:rsidR="002C4BA8" w:rsidRPr="00875077">
        <w:rPr>
          <w:color w:val="000000" w:themeColor="text1"/>
          <w:lang w:val="en-GB"/>
        </w:rPr>
        <w:t>ipsilesional</w:t>
      </w:r>
      <w:proofErr w:type="spellEnd"/>
      <w:r w:rsidR="002C4BA8" w:rsidRPr="00875077">
        <w:rPr>
          <w:color w:val="000000" w:themeColor="text1"/>
          <w:lang w:val="en-GB"/>
        </w:rPr>
        <w:t xml:space="preserve"> RMT can be detected by 70%</w:t>
      </w:r>
      <w:r w:rsidR="009B7A17" w:rsidRPr="00875077">
        <w:rPr>
          <w:color w:val="000000" w:themeColor="text1"/>
          <w:lang w:val="en-GB"/>
        </w:rPr>
        <w:t>, upper limb</w:t>
      </w:r>
      <w:r w:rsidR="00CA5B71" w:rsidRPr="00875077">
        <w:rPr>
          <w:color w:val="000000" w:themeColor="text1"/>
          <w:lang w:val="en-GB"/>
        </w:rPr>
        <w:t xml:space="preserve"> motor</w:t>
      </w:r>
      <w:r w:rsidR="009B7A17" w:rsidRPr="00875077">
        <w:rPr>
          <w:color w:val="000000" w:themeColor="text1"/>
          <w:lang w:val="en-GB"/>
        </w:rPr>
        <w:t xml:space="preserve"> impairment can</w:t>
      </w:r>
      <w:r w:rsidR="00CA5B71" w:rsidRPr="00875077">
        <w:rPr>
          <w:color w:val="000000" w:themeColor="text1"/>
          <w:lang w:val="en-GB"/>
        </w:rPr>
        <w:t xml:space="preserve"> </w:t>
      </w:r>
      <w:r w:rsidR="002C4BA8" w:rsidRPr="00875077">
        <w:rPr>
          <w:color w:val="000000" w:themeColor="text1"/>
          <w:lang w:val="en-GB"/>
        </w:rPr>
        <w:t xml:space="preserve">also </w:t>
      </w:r>
      <w:r w:rsidR="00CA5B71" w:rsidRPr="00875077">
        <w:rPr>
          <w:color w:val="000000" w:themeColor="text1"/>
          <w:lang w:val="en-GB"/>
        </w:rPr>
        <w:t>be resolved by 70%</w:t>
      </w:r>
      <w:r w:rsidR="002C4BA8" w:rsidRPr="00875077">
        <w:rPr>
          <w:color w:val="000000" w:themeColor="text1"/>
          <w:lang w:val="en-GB"/>
        </w:rPr>
        <w:t xml:space="preserve"> at 12 weeks post-stroke</w:t>
      </w:r>
      <w:r w:rsidR="009B7A17" w:rsidRPr="00875077">
        <w:rPr>
          <w:color w:val="000000" w:themeColor="text1"/>
          <w:lang w:val="en-GB"/>
        </w:rPr>
        <w:t xml:space="preserve">. </w:t>
      </w:r>
      <w:r w:rsidR="00214733" w:rsidRPr="00875077">
        <w:rPr>
          <w:color w:val="000000" w:themeColor="text1"/>
          <w:vertAlign w:val="superscript"/>
          <w:lang w:val="en-GB"/>
        </w:rPr>
        <w:t>22</w:t>
      </w:r>
      <w:r w:rsidR="009B7A17" w:rsidRPr="00875077">
        <w:rPr>
          <w:color w:val="000000" w:themeColor="text1"/>
          <w:vertAlign w:val="superscript"/>
          <w:lang w:val="en-GB"/>
        </w:rPr>
        <w:t xml:space="preserve"> </w:t>
      </w:r>
      <w:r w:rsidR="009B7A17" w:rsidRPr="00875077">
        <w:rPr>
          <w:color w:val="000000" w:themeColor="text1"/>
          <w:lang w:val="en-GB"/>
        </w:rPr>
        <w:t>Therefore, integrating such outcome measure</w:t>
      </w:r>
      <w:r w:rsidR="00F4335F" w:rsidRPr="00875077">
        <w:rPr>
          <w:color w:val="000000" w:themeColor="text1"/>
          <w:lang w:val="en-GB"/>
        </w:rPr>
        <w:t>s</w:t>
      </w:r>
      <w:r w:rsidR="009B7A17" w:rsidRPr="00875077">
        <w:rPr>
          <w:color w:val="000000" w:themeColor="text1"/>
          <w:lang w:val="en-GB"/>
        </w:rPr>
        <w:t xml:space="preserve"> in stroke rehabilitation could give an indication of which patients are most likely to recover </w:t>
      </w:r>
      <w:r w:rsidR="00F4335F" w:rsidRPr="00875077">
        <w:rPr>
          <w:color w:val="000000" w:themeColor="text1"/>
          <w:lang w:val="en-GB"/>
        </w:rPr>
        <w:t xml:space="preserve">their </w:t>
      </w:r>
      <w:r w:rsidR="009B7A17" w:rsidRPr="00875077">
        <w:rPr>
          <w:color w:val="000000" w:themeColor="text1"/>
          <w:lang w:val="en-GB"/>
        </w:rPr>
        <w:t>upper limb. However, only MEP</w:t>
      </w:r>
      <w:r w:rsidR="00F4335F" w:rsidRPr="00875077">
        <w:rPr>
          <w:color w:val="000000" w:themeColor="text1"/>
          <w:lang w:val="en-GB"/>
        </w:rPr>
        <w:t>s</w:t>
      </w:r>
      <w:r w:rsidR="009B7A17" w:rsidRPr="00875077">
        <w:rPr>
          <w:color w:val="000000" w:themeColor="text1"/>
          <w:lang w:val="en-GB"/>
        </w:rPr>
        <w:t xml:space="preserve"> of an upper limb distal muscle, </w:t>
      </w:r>
      <w:r w:rsidR="00A82961" w:rsidRPr="00875077">
        <w:rPr>
          <w:color w:val="000000" w:themeColor="text1"/>
          <w:lang w:val="en-GB"/>
        </w:rPr>
        <w:t xml:space="preserve">extensor carpi </w:t>
      </w:r>
      <w:proofErr w:type="spellStart"/>
      <w:r w:rsidR="00A82961" w:rsidRPr="00875077">
        <w:rPr>
          <w:color w:val="000000" w:themeColor="text1"/>
          <w:lang w:val="en-GB"/>
        </w:rPr>
        <w:t>radialis</w:t>
      </w:r>
      <w:proofErr w:type="spellEnd"/>
      <w:r w:rsidR="00A82961" w:rsidRPr="00875077">
        <w:rPr>
          <w:color w:val="000000" w:themeColor="text1"/>
          <w:lang w:val="en-GB"/>
        </w:rPr>
        <w:t xml:space="preserve"> were measured</w:t>
      </w:r>
      <w:r w:rsidR="009B7A17" w:rsidRPr="00875077">
        <w:rPr>
          <w:color w:val="000000" w:themeColor="text1"/>
          <w:lang w:val="en-GB"/>
        </w:rPr>
        <w:t xml:space="preserve"> in the latter research. </w:t>
      </w:r>
    </w:p>
    <w:p w14:paraId="35EC66BB" w14:textId="3A6A9865" w:rsidR="00FB2FCF" w:rsidRPr="00875077" w:rsidRDefault="00FB2FCF" w:rsidP="00581A5D">
      <w:pPr>
        <w:shd w:val="clear" w:color="auto" w:fill="FFFFFF"/>
        <w:spacing w:before="240" w:line="480" w:lineRule="auto"/>
        <w:rPr>
          <w:color w:val="000000" w:themeColor="text1"/>
        </w:rPr>
      </w:pPr>
      <w:r w:rsidRPr="00875077">
        <w:rPr>
          <w:color w:val="000000" w:themeColor="text1"/>
          <w:lang w:val="en-GB"/>
        </w:rPr>
        <w:t xml:space="preserve">There are </w:t>
      </w:r>
      <w:r w:rsidR="00F4335F" w:rsidRPr="00875077">
        <w:rPr>
          <w:color w:val="000000" w:themeColor="text1"/>
          <w:lang w:val="en-GB"/>
        </w:rPr>
        <w:t xml:space="preserve">a </w:t>
      </w:r>
      <w:r w:rsidRPr="00875077">
        <w:rPr>
          <w:color w:val="000000" w:themeColor="text1"/>
          <w:lang w:val="en-GB"/>
        </w:rPr>
        <w:t xml:space="preserve">few limitations related to the presented research. </w:t>
      </w:r>
      <w:r w:rsidR="00AE3C85" w:rsidRPr="00875077">
        <w:rPr>
          <w:color w:val="000000" w:themeColor="text1"/>
          <w:lang w:val="en-GB"/>
        </w:rPr>
        <w:t xml:space="preserve">The study had a small sample size and </w:t>
      </w:r>
      <w:r w:rsidR="00AE3C85" w:rsidRPr="00875077">
        <w:rPr>
          <w:color w:val="000000" w:themeColor="text1"/>
        </w:rPr>
        <w:t xml:space="preserve">participants were not selected randomly from the general population and therefore, the data cannot be generalized to all healthy young and old adults. </w:t>
      </w:r>
      <w:r w:rsidR="00581A5D" w:rsidRPr="00875077">
        <w:rPr>
          <w:color w:val="000000" w:themeColor="text1"/>
          <w:lang w:val="en-GB"/>
        </w:rPr>
        <w:t>The</w:t>
      </w:r>
      <w:r w:rsidR="00AE3C85" w:rsidRPr="00875077">
        <w:rPr>
          <w:color w:val="000000" w:themeColor="text1"/>
          <w:lang w:val="en-GB"/>
        </w:rPr>
        <w:t xml:space="preserve"> L</w:t>
      </w:r>
      <w:r w:rsidR="00214733" w:rsidRPr="00875077">
        <w:rPr>
          <w:color w:val="000000" w:themeColor="text1"/>
          <w:lang w:val="en-GB"/>
        </w:rPr>
        <w:t>arge</w:t>
      </w:r>
      <w:r w:rsidR="00581A5D" w:rsidRPr="00875077">
        <w:rPr>
          <w:color w:val="000000" w:themeColor="text1"/>
          <w:lang w:val="en-GB"/>
        </w:rPr>
        <w:t xml:space="preserve"> CV</w:t>
      </w:r>
      <w:r w:rsidR="00214733" w:rsidRPr="00875077">
        <w:rPr>
          <w:color w:val="000000" w:themeColor="text1"/>
          <w:lang w:val="en-GB"/>
        </w:rPr>
        <w:t xml:space="preserve"> results</w:t>
      </w:r>
      <w:r w:rsidR="00581A5D" w:rsidRPr="00875077">
        <w:rPr>
          <w:color w:val="000000" w:themeColor="text1"/>
          <w:lang w:val="en-GB"/>
        </w:rPr>
        <w:t xml:space="preserve"> </w:t>
      </w:r>
      <w:r w:rsidR="00AE3C85" w:rsidRPr="00875077">
        <w:rPr>
          <w:color w:val="000000" w:themeColor="text1"/>
          <w:lang w:val="en-GB"/>
        </w:rPr>
        <w:t>for</w:t>
      </w:r>
      <w:r w:rsidR="00214733" w:rsidRPr="00875077">
        <w:rPr>
          <w:color w:val="000000" w:themeColor="text1"/>
          <w:lang w:val="en-GB"/>
        </w:rPr>
        <w:t xml:space="preserve"> MEP amplitude</w:t>
      </w:r>
      <w:r w:rsidR="00AE3C85" w:rsidRPr="00875077">
        <w:rPr>
          <w:color w:val="000000" w:themeColor="text1"/>
          <w:lang w:val="en-GB"/>
        </w:rPr>
        <w:t xml:space="preserve"> data, indicating high variability</w:t>
      </w:r>
      <w:r w:rsidR="00D11E40" w:rsidRPr="00875077">
        <w:rPr>
          <w:color w:val="000000" w:themeColor="text1"/>
          <w:lang w:val="en-GB"/>
        </w:rPr>
        <w:t>,</w:t>
      </w:r>
      <w:r w:rsidR="00AE3C85" w:rsidRPr="00875077">
        <w:rPr>
          <w:color w:val="000000" w:themeColor="text1"/>
          <w:lang w:val="en-GB"/>
        </w:rPr>
        <w:t xml:space="preserve"> were found and therefore that data </w:t>
      </w:r>
      <w:r w:rsidR="00581A5D" w:rsidRPr="00875077">
        <w:rPr>
          <w:color w:val="000000" w:themeColor="text1"/>
          <w:lang w:val="en-GB"/>
        </w:rPr>
        <w:t>sh</w:t>
      </w:r>
      <w:r w:rsidR="00AE3C85" w:rsidRPr="00875077">
        <w:rPr>
          <w:color w:val="000000" w:themeColor="text1"/>
          <w:lang w:val="en-GB"/>
        </w:rPr>
        <w:t xml:space="preserve">ould be considered with caution. </w:t>
      </w:r>
      <w:r w:rsidRPr="00875077">
        <w:rPr>
          <w:color w:val="000000" w:themeColor="text1"/>
        </w:rPr>
        <w:t xml:space="preserve">The validity and the inter-rater reliability psychometric properties of RMT and MEP amplitude measurement were not examined in this study and therefore, could not be explored. </w:t>
      </w:r>
      <w:r w:rsidR="00F4335F" w:rsidRPr="00875077">
        <w:rPr>
          <w:color w:val="000000" w:themeColor="text1"/>
        </w:rPr>
        <w:t>In addition, l</w:t>
      </w:r>
      <w:r w:rsidRPr="00875077">
        <w:rPr>
          <w:color w:val="000000" w:themeColor="text1"/>
        </w:rPr>
        <w:t xml:space="preserve">ess data was </w:t>
      </w:r>
      <w:r w:rsidRPr="00875077">
        <w:rPr>
          <w:color w:val="000000" w:themeColor="text1"/>
        </w:rPr>
        <w:lastRenderedPageBreak/>
        <w:t xml:space="preserve">obtained for the AD muscle. </w:t>
      </w:r>
      <w:r w:rsidR="002141E5" w:rsidRPr="00875077">
        <w:rPr>
          <w:color w:val="000000" w:themeColor="text1"/>
        </w:rPr>
        <w:t>Having chosen</w:t>
      </w:r>
      <w:r w:rsidRPr="00875077">
        <w:rPr>
          <w:color w:val="000000" w:themeColor="text1"/>
        </w:rPr>
        <w:t xml:space="preserve"> </w:t>
      </w:r>
      <w:r w:rsidR="002141E5" w:rsidRPr="00875077">
        <w:rPr>
          <w:color w:val="000000" w:themeColor="text1"/>
        </w:rPr>
        <w:t xml:space="preserve">a </w:t>
      </w:r>
      <w:r w:rsidRPr="00875077">
        <w:rPr>
          <w:color w:val="000000" w:themeColor="text1"/>
        </w:rPr>
        <w:t xml:space="preserve">larger </w:t>
      </w:r>
      <w:r w:rsidR="002141E5" w:rsidRPr="00875077">
        <w:rPr>
          <w:color w:val="000000" w:themeColor="text1"/>
        </w:rPr>
        <w:t xml:space="preserve">proximal muscle such as the middle deltoid muscle could have resulted in more </w:t>
      </w:r>
      <w:r w:rsidR="00863BA7" w:rsidRPr="00875077">
        <w:rPr>
          <w:color w:val="000000" w:themeColor="text1"/>
        </w:rPr>
        <w:t xml:space="preserve">MEP </w:t>
      </w:r>
      <w:r w:rsidR="002141E5" w:rsidRPr="00875077">
        <w:rPr>
          <w:color w:val="000000" w:themeColor="text1"/>
        </w:rPr>
        <w:t xml:space="preserve">data. </w:t>
      </w:r>
    </w:p>
    <w:p w14:paraId="125A3DEA" w14:textId="418214E1" w:rsidR="0023485F" w:rsidRPr="00875077" w:rsidRDefault="00066D05" w:rsidP="007818C2">
      <w:pPr>
        <w:pStyle w:val="CommentText"/>
        <w:spacing w:before="240" w:line="480" w:lineRule="auto"/>
        <w:rPr>
          <w:rFonts w:ascii="Times New Roman" w:hAnsi="Times New Roman" w:cs="Times New Roman"/>
          <w:color w:val="000000" w:themeColor="text1"/>
          <w:sz w:val="24"/>
          <w:szCs w:val="24"/>
          <w:lang w:val="en-GB"/>
        </w:rPr>
      </w:pPr>
      <w:r w:rsidRPr="00875077">
        <w:rPr>
          <w:rFonts w:ascii="Times New Roman" w:hAnsi="Times New Roman" w:cs="Times New Roman"/>
          <w:color w:val="000000" w:themeColor="text1"/>
          <w:sz w:val="24"/>
          <w:szCs w:val="24"/>
          <w:lang w:val="en-GB"/>
        </w:rPr>
        <w:t xml:space="preserve">Future research should explore the reliability of active </w:t>
      </w:r>
      <w:r w:rsidR="0029519E" w:rsidRPr="00875077">
        <w:rPr>
          <w:rFonts w:ascii="Times New Roman" w:hAnsi="Times New Roman" w:cs="Times New Roman"/>
          <w:color w:val="000000" w:themeColor="text1"/>
          <w:sz w:val="24"/>
          <w:szCs w:val="24"/>
          <w:lang w:val="en-GB"/>
        </w:rPr>
        <w:t>in addition with</w:t>
      </w:r>
      <w:r w:rsidRPr="00875077">
        <w:rPr>
          <w:rFonts w:ascii="Times New Roman" w:hAnsi="Times New Roman" w:cs="Times New Roman"/>
          <w:color w:val="000000" w:themeColor="text1"/>
          <w:sz w:val="24"/>
          <w:szCs w:val="24"/>
          <w:lang w:val="en-GB"/>
        </w:rPr>
        <w:t xml:space="preserve"> resting motor threshold for proximal muscles. </w:t>
      </w:r>
      <w:r w:rsidR="0029519E" w:rsidRPr="00875077">
        <w:rPr>
          <w:rFonts w:ascii="Times New Roman" w:hAnsi="Times New Roman" w:cs="Times New Roman"/>
          <w:color w:val="000000" w:themeColor="text1"/>
          <w:sz w:val="24"/>
          <w:szCs w:val="24"/>
          <w:lang w:val="en-GB"/>
        </w:rPr>
        <w:t>Moreover</w:t>
      </w:r>
      <w:r w:rsidRPr="00875077">
        <w:rPr>
          <w:rFonts w:ascii="Times New Roman" w:hAnsi="Times New Roman" w:cs="Times New Roman"/>
          <w:color w:val="000000" w:themeColor="text1"/>
          <w:sz w:val="24"/>
          <w:szCs w:val="24"/>
          <w:lang w:val="en-GB"/>
        </w:rPr>
        <w:t xml:space="preserve">, for MEP </w:t>
      </w:r>
      <w:r w:rsidR="00E83AD7" w:rsidRPr="00875077">
        <w:rPr>
          <w:rFonts w:ascii="Times New Roman" w:hAnsi="Times New Roman" w:cs="Times New Roman"/>
          <w:color w:val="000000" w:themeColor="text1"/>
          <w:sz w:val="24"/>
          <w:szCs w:val="24"/>
          <w:lang w:val="en-GB"/>
        </w:rPr>
        <w:t>amplitude</w:t>
      </w:r>
      <w:r w:rsidRPr="00875077">
        <w:rPr>
          <w:rFonts w:ascii="Times New Roman" w:hAnsi="Times New Roman" w:cs="Times New Roman"/>
          <w:color w:val="000000" w:themeColor="text1"/>
          <w:sz w:val="24"/>
          <w:szCs w:val="24"/>
          <w:lang w:val="en-GB"/>
        </w:rPr>
        <w:t xml:space="preserve"> to be used as </w:t>
      </w:r>
      <w:r w:rsidR="00E83AD7" w:rsidRPr="00875077">
        <w:rPr>
          <w:rFonts w:ascii="Times New Roman" w:hAnsi="Times New Roman" w:cs="Times New Roman"/>
          <w:color w:val="000000" w:themeColor="text1"/>
          <w:sz w:val="24"/>
          <w:szCs w:val="24"/>
          <w:lang w:val="en-GB"/>
        </w:rPr>
        <w:t>an outcome measure</w:t>
      </w:r>
      <w:r w:rsidRPr="00875077">
        <w:rPr>
          <w:rFonts w:ascii="Times New Roman" w:hAnsi="Times New Roman" w:cs="Times New Roman"/>
          <w:color w:val="000000" w:themeColor="text1"/>
          <w:sz w:val="24"/>
          <w:szCs w:val="24"/>
          <w:lang w:val="en-GB"/>
        </w:rPr>
        <w:t xml:space="preserve"> for </w:t>
      </w:r>
      <w:r w:rsidR="00456FB5" w:rsidRPr="00875077">
        <w:rPr>
          <w:rFonts w:ascii="Times New Roman" w:hAnsi="Times New Roman" w:cs="Times New Roman"/>
          <w:color w:val="000000" w:themeColor="text1"/>
          <w:sz w:val="24"/>
          <w:szCs w:val="24"/>
          <w:lang w:val="en-GB"/>
        </w:rPr>
        <w:t xml:space="preserve">motor </w:t>
      </w:r>
      <w:r w:rsidRPr="00875077">
        <w:rPr>
          <w:rFonts w:ascii="Times New Roman" w:hAnsi="Times New Roman" w:cs="Times New Roman"/>
          <w:color w:val="000000" w:themeColor="text1"/>
          <w:sz w:val="24"/>
          <w:szCs w:val="24"/>
          <w:lang w:val="en-GB"/>
        </w:rPr>
        <w:t>recovery</w:t>
      </w:r>
      <w:r w:rsidR="00456FB5" w:rsidRPr="00875077">
        <w:rPr>
          <w:rFonts w:ascii="Times New Roman" w:hAnsi="Times New Roman" w:cs="Times New Roman"/>
          <w:color w:val="000000" w:themeColor="text1"/>
          <w:sz w:val="24"/>
          <w:szCs w:val="24"/>
          <w:lang w:val="en-GB"/>
        </w:rPr>
        <w:t xml:space="preserve"> and changes in cortical excitability</w:t>
      </w:r>
      <w:r w:rsidRPr="00875077">
        <w:rPr>
          <w:rFonts w:ascii="Times New Roman" w:hAnsi="Times New Roman" w:cs="Times New Roman"/>
          <w:color w:val="000000" w:themeColor="text1"/>
          <w:sz w:val="24"/>
          <w:szCs w:val="24"/>
          <w:lang w:val="en-GB"/>
        </w:rPr>
        <w:t xml:space="preserve">, future research should explore if the presented results are applicable to people with </w:t>
      </w:r>
      <w:r w:rsidR="002C4BA8" w:rsidRPr="00875077">
        <w:rPr>
          <w:rFonts w:ascii="Times New Roman" w:hAnsi="Times New Roman" w:cs="Times New Roman"/>
          <w:color w:val="000000" w:themeColor="text1"/>
          <w:sz w:val="24"/>
          <w:szCs w:val="24"/>
          <w:lang w:val="en-GB"/>
        </w:rPr>
        <w:t>neurological conditions</w:t>
      </w:r>
      <w:r w:rsidRPr="00875077">
        <w:rPr>
          <w:rFonts w:ascii="Times New Roman" w:hAnsi="Times New Roman" w:cs="Times New Roman"/>
          <w:color w:val="000000" w:themeColor="text1"/>
          <w:sz w:val="24"/>
          <w:szCs w:val="24"/>
          <w:lang w:val="en-GB"/>
        </w:rPr>
        <w:t xml:space="preserve">. </w:t>
      </w:r>
    </w:p>
    <w:p w14:paraId="010E763D" w14:textId="1D4BA436" w:rsidR="00C77D10" w:rsidRPr="00875077" w:rsidRDefault="00C77D10" w:rsidP="007818C2">
      <w:pPr>
        <w:tabs>
          <w:tab w:val="right" w:pos="7364"/>
        </w:tabs>
        <w:spacing w:before="240" w:line="480" w:lineRule="auto"/>
        <w:outlineLvl w:val="0"/>
        <w:rPr>
          <w:b/>
          <w:iCs/>
          <w:color w:val="000000" w:themeColor="text1"/>
          <w:lang w:val="en-GB"/>
        </w:rPr>
      </w:pPr>
      <w:r w:rsidRPr="00875077">
        <w:rPr>
          <w:b/>
          <w:iCs/>
          <w:color w:val="000000" w:themeColor="text1"/>
          <w:lang w:val="en-GB"/>
        </w:rPr>
        <w:t>Acknowledgments</w:t>
      </w:r>
      <w:r w:rsidR="002141E5" w:rsidRPr="00875077">
        <w:rPr>
          <w:b/>
          <w:iCs/>
          <w:color w:val="000000" w:themeColor="text1"/>
          <w:lang w:val="en-GB"/>
        </w:rPr>
        <w:tab/>
      </w:r>
    </w:p>
    <w:p w14:paraId="4DE6E482" w14:textId="703BA27C" w:rsidR="00042947" w:rsidRPr="00875077" w:rsidRDefault="00FD3389" w:rsidP="007F3271">
      <w:pPr>
        <w:spacing w:line="480" w:lineRule="auto"/>
        <w:rPr>
          <w:color w:val="000000" w:themeColor="text1"/>
          <w:lang w:val="en-GB"/>
        </w:rPr>
      </w:pPr>
      <w:r w:rsidRPr="00875077">
        <w:rPr>
          <w:iCs/>
          <w:color w:val="000000" w:themeColor="text1"/>
          <w:lang w:val="en-GB"/>
        </w:rPr>
        <w:t xml:space="preserve">We would like to thank </w:t>
      </w:r>
      <w:r w:rsidR="00C77D10" w:rsidRPr="00875077">
        <w:rPr>
          <w:iCs/>
          <w:color w:val="000000" w:themeColor="text1"/>
          <w:lang w:val="en-GB"/>
        </w:rPr>
        <w:t>the participants that took part and the funders</w:t>
      </w:r>
      <w:r w:rsidR="00C77D10" w:rsidRPr="00875077">
        <w:rPr>
          <w:color w:val="000000" w:themeColor="text1"/>
          <w:lang w:val="en-GB"/>
        </w:rPr>
        <w:t xml:space="preserve"> </w:t>
      </w:r>
      <w:r w:rsidR="0055089A" w:rsidRPr="00875077">
        <w:rPr>
          <w:color w:val="000000" w:themeColor="text1"/>
          <w:lang w:val="en-GB"/>
        </w:rPr>
        <w:t xml:space="preserve">for supporting this study; </w:t>
      </w:r>
      <w:r w:rsidR="00C77D10" w:rsidRPr="00875077">
        <w:rPr>
          <w:color w:val="000000" w:themeColor="text1"/>
          <w:lang w:val="en-GB"/>
        </w:rPr>
        <w:t>Wessex Medical Trust</w:t>
      </w:r>
      <w:r w:rsidR="0055089A" w:rsidRPr="00875077">
        <w:rPr>
          <w:color w:val="000000" w:themeColor="text1"/>
          <w:lang w:val="en-GB"/>
        </w:rPr>
        <w:t>, University of Southampton</w:t>
      </w:r>
      <w:r w:rsidR="00C77D10" w:rsidRPr="00875077">
        <w:rPr>
          <w:color w:val="000000" w:themeColor="text1"/>
          <w:lang w:val="en-GB"/>
        </w:rPr>
        <w:t xml:space="preserve"> </w:t>
      </w:r>
      <w:r w:rsidR="00DB3764" w:rsidRPr="00875077">
        <w:rPr>
          <w:color w:val="000000" w:themeColor="text1"/>
          <w:lang w:val="en-GB"/>
        </w:rPr>
        <w:t xml:space="preserve">as well as </w:t>
      </w:r>
      <w:r w:rsidR="00C77D10" w:rsidRPr="00875077">
        <w:rPr>
          <w:color w:val="000000" w:themeColor="text1"/>
          <w:lang w:val="en-GB"/>
        </w:rPr>
        <w:t xml:space="preserve">the Strategic Educational Pathways Scholarship Scheme (Malta) – The scholarship is part-financed by the </w:t>
      </w:r>
      <w:r w:rsidR="00C77D10" w:rsidRPr="00875077">
        <w:rPr>
          <w:rStyle w:val="interref"/>
          <w:color w:val="000000" w:themeColor="text1"/>
          <w:lang w:val="en-GB"/>
          <w:specVanish w:val="0"/>
        </w:rPr>
        <w:t>European Union</w:t>
      </w:r>
      <w:r w:rsidR="00C77D10" w:rsidRPr="00875077">
        <w:rPr>
          <w:color w:val="000000" w:themeColor="text1"/>
          <w:lang w:val="en-GB"/>
        </w:rPr>
        <w:t xml:space="preserve"> – European Social Fund.</w:t>
      </w:r>
    </w:p>
    <w:p w14:paraId="1E640710" w14:textId="7E6FB7D7" w:rsidR="00E85B70" w:rsidRPr="00875077" w:rsidRDefault="00E85B70" w:rsidP="007818C2">
      <w:pPr>
        <w:spacing w:before="240" w:line="480" w:lineRule="auto"/>
        <w:rPr>
          <w:b/>
          <w:color w:val="000000" w:themeColor="text1"/>
          <w:lang w:val="en-GB"/>
        </w:rPr>
      </w:pPr>
      <w:r w:rsidRPr="00875077">
        <w:rPr>
          <w:b/>
          <w:color w:val="000000" w:themeColor="text1"/>
          <w:lang w:val="en-GB"/>
        </w:rPr>
        <w:t>Declaration of conflicting interests</w:t>
      </w:r>
    </w:p>
    <w:p w14:paraId="2DD93342" w14:textId="7502BC89" w:rsidR="00042947" w:rsidRPr="00875077" w:rsidRDefault="00E85B70" w:rsidP="007F3271">
      <w:pPr>
        <w:spacing w:line="480" w:lineRule="auto"/>
        <w:rPr>
          <w:color w:val="000000" w:themeColor="text1"/>
          <w:lang w:val="en-GB"/>
        </w:rPr>
      </w:pPr>
      <w:r w:rsidRPr="00875077">
        <w:rPr>
          <w:color w:val="000000" w:themeColor="text1"/>
          <w:lang w:val="en-GB"/>
        </w:rPr>
        <w:t xml:space="preserve">The author(s) declared </w:t>
      </w:r>
      <w:r w:rsidR="00042947" w:rsidRPr="00875077">
        <w:rPr>
          <w:color w:val="000000" w:themeColor="text1"/>
          <w:lang w:val="en-GB"/>
        </w:rPr>
        <w:t>that there are no conflicts of interest.</w:t>
      </w:r>
    </w:p>
    <w:p w14:paraId="7AC72283" w14:textId="4483E5D7" w:rsidR="00E85B70" w:rsidRPr="00875077" w:rsidRDefault="00E85B70" w:rsidP="007818C2">
      <w:pPr>
        <w:spacing w:before="240" w:line="480" w:lineRule="auto"/>
        <w:rPr>
          <w:b/>
          <w:iCs/>
          <w:color w:val="000000" w:themeColor="text1"/>
        </w:rPr>
      </w:pPr>
      <w:r w:rsidRPr="00875077">
        <w:rPr>
          <w:b/>
          <w:color w:val="000000" w:themeColor="text1"/>
          <w:lang w:val="en-GB"/>
        </w:rPr>
        <w:t>Funding</w:t>
      </w:r>
    </w:p>
    <w:p w14:paraId="67BF79BF" w14:textId="37AE8980" w:rsidR="00AC620B" w:rsidRPr="00875077" w:rsidRDefault="00E85B70" w:rsidP="007F3271">
      <w:pPr>
        <w:spacing w:line="480" w:lineRule="auto"/>
        <w:rPr>
          <w:color w:val="000000" w:themeColor="text1"/>
          <w:lang w:val="en-GB"/>
        </w:rPr>
      </w:pPr>
      <w:r w:rsidRPr="00875077">
        <w:rPr>
          <w:color w:val="000000" w:themeColor="text1"/>
          <w:lang w:val="en-GB"/>
        </w:rPr>
        <w:t xml:space="preserve">Wessex Medical Trust as well as the Strategic Educational Pathways Scholarship Scheme (Malta) – The scholarship is part-financed by the </w:t>
      </w:r>
      <w:r w:rsidRPr="00875077">
        <w:rPr>
          <w:rStyle w:val="interref"/>
          <w:color w:val="000000" w:themeColor="text1"/>
          <w:lang w:val="en-GB"/>
          <w:specVanish w:val="0"/>
        </w:rPr>
        <w:t>European Union</w:t>
      </w:r>
      <w:r w:rsidRPr="00875077">
        <w:rPr>
          <w:color w:val="000000" w:themeColor="text1"/>
          <w:lang w:val="en-GB"/>
        </w:rPr>
        <w:t xml:space="preserve"> – European Social Fund.</w:t>
      </w:r>
      <w:r w:rsidR="00817217" w:rsidRPr="00875077">
        <w:rPr>
          <w:color w:val="000000" w:themeColor="text1"/>
          <w:lang w:val="en-GB"/>
        </w:rPr>
        <w:br w:type="page"/>
      </w:r>
    </w:p>
    <w:p w14:paraId="74E0F9DD" w14:textId="3299FAE5" w:rsidR="00704B68" w:rsidRPr="00875077" w:rsidRDefault="00334428" w:rsidP="00E77457">
      <w:pPr>
        <w:spacing w:line="480" w:lineRule="auto"/>
        <w:outlineLvl w:val="0"/>
        <w:rPr>
          <w:b/>
          <w:color w:val="000000" w:themeColor="text1"/>
          <w:lang w:val="fr-FR"/>
        </w:rPr>
      </w:pPr>
      <w:proofErr w:type="spellStart"/>
      <w:r w:rsidRPr="00875077">
        <w:rPr>
          <w:b/>
          <w:color w:val="000000" w:themeColor="text1"/>
          <w:lang w:val="fr-FR"/>
        </w:rPr>
        <w:lastRenderedPageBreak/>
        <w:t>References</w:t>
      </w:r>
      <w:bookmarkStart w:id="0" w:name="_ENREF_127"/>
      <w:proofErr w:type="spellEnd"/>
    </w:p>
    <w:bookmarkEnd w:id="0"/>
    <w:p w14:paraId="64D2ABED" w14:textId="77777777" w:rsidR="00D11E40" w:rsidRPr="00875077" w:rsidRDefault="00D11E40" w:rsidP="00D11E40">
      <w:pPr>
        <w:spacing w:line="480" w:lineRule="auto"/>
        <w:rPr>
          <w:rFonts w:eastAsia="Calibri"/>
          <w:noProof/>
          <w:color w:val="000000" w:themeColor="text1"/>
        </w:rPr>
      </w:pPr>
      <w:r w:rsidRPr="00875077">
        <w:rPr>
          <w:rFonts w:eastAsia="Calibri"/>
          <w:noProof/>
          <w:color w:val="000000" w:themeColor="text1"/>
          <w:shd w:val="clear" w:color="auto" w:fill="FFFFFF"/>
        </w:rPr>
        <w:t>1.</w:t>
      </w:r>
      <w:r w:rsidRPr="00875077">
        <w:rPr>
          <w:rFonts w:eastAsia="Times New Roman"/>
          <w:noProof/>
          <w:color w:val="000000" w:themeColor="text1"/>
          <w:shd w:val="clear" w:color="auto" w:fill="FFFFFF"/>
        </w:rPr>
        <w:t xml:space="preserve"> </w:t>
      </w:r>
      <w:r w:rsidRPr="00875077">
        <w:rPr>
          <w:rFonts w:eastAsia="Calibri"/>
          <w:noProof/>
          <w:color w:val="000000" w:themeColor="text1"/>
        </w:rPr>
        <w:t>Rossini PM and Rossi S. Clinical applications of motor evoked potentials. Electromyogr Clin Neurophysiol 1998; 106:180-94.</w:t>
      </w:r>
    </w:p>
    <w:p w14:paraId="011AA208" w14:textId="77777777" w:rsidR="00D11E40" w:rsidRPr="00875077" w:rsidRDefault="00D11E40" w:rsidP="00D11E40">
      <w:pPr>
        <w:spacing w:line="480" w:lineRule="auto"/>
        <w:rPr>
          <w:rFonts w:eastAsia="Times New Roman"/>
          <w:noProof/>
          <w:color w:val="000000" w:themeColor="text1"/>
          <w:shd w:val="clear" w:color="auto" w:fill="FFFFFF"/>
        </w:rPr>
      </w:pPr>
      <w:r w:rsidRPr="00875077">
        <w:rPr>
          <w:rFonts w:eastAsia="Times New Roman"/>
          <w:noProof/>
          <w:color w:val="000000" w:themeColor="text1"/>
          <w:shd w:val="clear" w:color="auto" w:fill="FFFFFF"/>
        </w:rPr>
        <w:t xml:space="preserve">2. Vaidya M, Kording K, Saleh M, et al. Neural coordination during reach-to-grasp. </w:t>
      </w:r>
      <w:r w:rsidRPr="00875077">
        <w:rPr>
          <w:rFonts w:eastAsia="Times New Roman"/>
          <w:noProof/>
          <w:color w:val="000000" w:themeColor="text1"/>
        </w:rPr>
        <w:t>J Neurophysiol</w:t>
      </w:r>
      <w:r w:rsidRPr="00875077">
        <w:rPr>
          <w:rFonts w:eastAsia="Times New Roman"/>
          <w:noProof/>
          <w:color w:val="000000" w:themeColor="text1"/>
          <w:shd w:val="clear" w:color="auto" w:fill="FFFFFF"/>
        </w:rPr>
        <w:t xml:space="preserve"> 2015;114(3):1827-36.</w:t>
      </w:r>
    </w:p>
    <w:p w14:paraId="75C6B4D7" w14:textId="77777777" w:rsidR="00D11E40" w:rsidRPr="00875077" w:rsidRDefault="00D11E40" w:rsidP="00D11E40">
      <w:pPr>
        <w:spacing w:line="480" w:lineRule="auto"/>
        <w:rPr>
          <w:rFonts w:eastAsia="Times New Roman"/>
          <w:noProof/>
          <w:color w:val="000000" w:themeColor="text1"/>
          <w:shd w:val="clear" w:color="auto" w:fill="FFFFFF"/>
        </w:rPr>
      </w:pPr>
      <w:r w:rsidRPr="00875077">
        <w:rPr>
          <w:rFonts w:eastAsia="Times New Roman"/>
          <w:noProof/>
          <w:color w:val="000000" w:themeColor="text1"/>
          <w:shd w:val="clear" w:color="auto" w:fill="FFFFFF"/>
        </w:rPr>
        <w:t>3. Malcolm M, Triggs W, Light K, et al. Reliability of motor cortex transcranial magnetic stimulation in four muscle representations. Clin Neurophysiol. 2006;117:1037–46.</w:t>
      </w:r>
    </w:p>
    <w:p w14:paraId="63149530" w14:textId="77777777" w:rsidR="00D11E40" w:rsidRPr="00875077" w:rsidRDefault="00D11E40" w:rsidP="00D11E40">
      <w:pPr>
        <w:spacing w:line="480" w:lineRule="auto"/>
        <w:rPr>
          <w:rFonts w:eastAsia="Times New Roman"/>
          <w:noProof/>
          <w:color w:val="000000" w:themeColor="text1"/>
          <w:shd w:val="clear" w:color="auto" w:fill="FFFFFF"/>
        </w:rPr>
      </w:pPr>
      <w:r w:rsidRPr="00875077">
        <w:rPr>
          <w:rFonts w:eastAsia="Times New Roman"/>
          <w:noProof/>
          <w:color w:val="000000" w:themeColor="text1"/>
          <w:shd w:val="clear" w:color="auto" w:fill="FFFFFF"/>
        </w:rPr>
        <w:t>4. Kamen G. Reliability of motor-evoked potentials during resting and active contraction conditions. Med Sci Sports Exerc. 2004;36:1574–9.</w:t>
      </w:r>
    </w:p>
    <w:p w14:paraId="27AC4C33" w14:textId="77777777" w:rsidR="00D11E40" w:rsidRPr="00875077" w:rsidRDefault="00D11E40" w:rsidP="00D11E40">
      <w:pPr>
        <w:spacing w:line="480" w:lineRule="auto"/>
        <w:rPr>
          <w:rFonts w:eastAsia="Times New Roman"/>
          <w:noProof/>
          <w:color w:val="000000" w:themeColor="text1"/>
          <w:shd w:val="clear" w:color="auto" w:fill="FFFFFF"/>
        </w:rPr>
      </w:pPr>
      <w:r w:rsidRPr="00875077">
        <w:rPr>
          <w:rFonts w:eastAsia="Times New Roman"/>
          <w:noProof/>
          <w:color w:val="000000" w:themeColor="text1"/>
          <w:shd w:val="clear" w:color="auto" w:fill="FFFFFF"/>
        </w:rPr>
        <w:t>5. Brasil-Neto JP, McShane LM, Fuhr P, et al. Topographic mapping of the human motor cortex with magnetic stimulation: factors affecting accuracy and reproducibility. Electroenceph Clin Neurophysiol. 1992;85:9–16.</w:t>
      </w:r>
    </w:p>
    <w:p w14:paraId="17F3FA60" w14:textId="77777777" w:rsidR="00D11E40" w:rsidRPr="00875077" w:rsidRDefault="00D11E40" w:rsidP="00D11E40">
      <w:pPr>
        <w:spacing w:line="480" w:lineRule="auto"/>
        <w:rPr>
          <w:rFonts w:eastAsia="Times New Roman"/>
          <w:color w:val="000000" w:themeColor="text1"/>
          <w:lang w:eastAsia="nl-BE"/>
        </w:rPr>
      </w:pPr>
      <w:r w:rsidRPr="00875077">
        <w:rPr>
          <w:rFonts w:eastAsia="Times New Roman"/>
          <w:color w:val="000000" w:themeColor="text1"/>
          <w:lang w:eastAsia="nl-BE"/>
        </w:rPr>
        <w:t xml:space="preserve">6. </w:t>
      </w:r>
      <w:proofErr w:type="spellStart"/>
      <w:r w:rsidRPr="00875077">
        <w:rPr>
          <w:rFonts w:eastAsia="Times New Roman"/>
          <w:color w:val="000000" w:themeColor="text1"/>
          <w:shd w:val="clear" w:color="auto" w:fill="FFFFFF"/>
        </w:rPr>
        <w:t>Sankarasubramanian</w:t>
      </w:r>
      <w:proofErr w:type="spellEnd"/>
      <w:r w:rsidRPr="00875077">
        <w:rPr>
          <w:rFonts w:eastAsia="Times New Roman"/>
          <w:color w:val="000000" w:themeColor="text1"/>
          <w:shd w:val="clear" w:color="auto" w:fill="FFFFFF"/>
        </w:rPr>
        <w:t xml:space="preserve"> V, </w:t>
      </w:r>
      <w:proofErr w:type="spellStart"/>
      <w:r w:rsidRPr="00875077">
        <w:rPr>
          <w:rFonts w:eastAsia="Times New Roman"/>
          <w:color w:val="000000" w:themeColor="text1"/>
          <w:shd w:val="clear" w:color="auto" w:fill="FFFFFF"/>
        </w:rPr>
        <w:t>Roelle</w:t>
      </w:r>
      <w:proofErr w:type="spellEnd"/>
      <w:r w:rsidRPr="00875077">
        <w:rPr>
          <w:rFonts w:eastAsia="Times New Roman"/>
          <w:color w:val="000000" w:themeColor="text1"/>
          <w:shd w:val="clear" w:color="auto" w:fill="FFFFFF"/>
        </w:rPr>
        <w:t xml:space="preserve"> SM, </w:t>
      </w:r>
      <w:proofErr w:type="spellStart"/>
      <w:r w:rsidRPr="00875077">
        <w:rPr>
          <w:rFonts w:eastAsia="Times New Roman"/>
          <w:color w:val="000000" w:themeColor="text1"/>
          <w:shd w:val="clear" w:color="auto" w:fill="FFFFFF"/>
        </w:rPr>
        <w:t>Bonnett</w:t>
      </w:r>
      <w:proofErr w:type="spellEnd"/>
      <w:r w:rsidRPr="00875077">
        <w:rPr>
          <w:rFonts w:eastAsia="Times New Roman"/>
          <w:color w:val="000000" w:themeColor="text1"/>
          <w:shd w:val="clear" w:color="auto" w:fill="FFFFFF"/>
        </w:rPr>
        <w:t xml:space="preserve"> CE, et al. Reproducibility of transcranial magnetic stimulation metrics in the study of proximal upper limb muscles. </w:t>
      </w:r>
      <w:r w:rsidRPr="00875077">
        <w:rPr>
          <w:rFonts w:eastAsia="Times New Roman"/>
          <w:iCs/>
          <w:color w:val="000000" w:themeColor="text1"/>
          <w:lang w:eastAsia="nl-BE"/>
        </w:rPr>
        <w:t xml:space="preserve">J </w:t>
      </w:r>
      <w:proofErr w:type="spellStart"/>
      <w:r w:rsidRPr="00875077">
        <w:rPr>
          <w:rFonts w:eastAsia="Times New Roman"/>
          <w:iCs/>
          <w:color w:val="000000" w:themeColor="text1"/>
          <w:lang w:eastAsia="nl-BE"/>
        </w:rPr>
        <w:t>Electromyogr</w:t>
      </w:r>
      <w:proofErr w:type="spellEnd"/>
      <w:r w:rsidRPr="00875077">
        <w:rPr>
          <w:rFonts w:eastAsia="Times New Roman"/>
          <w:iCs/>
          <w:color w:val="000000" w:themeColor="text1"/>
          <w:lang w:eastAsia="nl-BE"/>
        </w:rPr>
        <w:t xml:space="preserve"> </w:t>
      </w:r>
      <w:proofErr w:type="spellStart"/>
      <w:r w:rsidRPr="00875077">
        <w:rPr>
          <w:rFonts w:eastAsia="Times New Roman"/>
          <w:iCs/>
          <w:color w:val="000000" w:themeColor="text1"/>
          <w:lang w:eastAsia="nl-BE"/>
        </w:rPr>
        <w:t>Kinesiol</w:t>
      </w:r>
      <w:proofErr w:type="spellEnd"/>
      <w:r w:rsidRPr="00875077">
        <w:rPr>
          <w:rFonts w:eastAsia="Times New Roman"/>
          <w:color w:val="000000" w:themeColor="text1"/>
          <w:lang w:eastAsia="nl-BE"/>
        </w:rPr>
        <w:t xml:space="preserve"> 2015; </w:t>
      </w:r>
      <w:r w:rsidRPr="00875077">
        <w:rPr>
          <w:rFonts w:eastAsia="Times New Roman"/>
          <w:iCs/>
          <w:color w:val="000000" w:themeColor="text1"/>
          <w:lang w:eastAsia="nl-BE"/>
        </w:rPr>
        <w:t>25</w:t>
      </w:r>
      <w:r w:rsidRPr="00875077">
        <w:rPr>
          <w:rFonts w:eastAsia="Times New Roman"/>
          <w:color w:val="000000" w:themeColor="text1"/>
          <w:lang w:eastAsia="nl-BE"/>
        </w:rPr>
        <w:t>(5):754-64.</w:t>
      </w:r>
    </w:p>
    <w:p w14:paraId="05D8F10C" w14:textId="77777777" w:rsidR="00D11E40" w:rsidRPr="00875077" w:rsidRDefault="00D11E40" w:rsidP="00D11E40">
      <w:pPr>
        <w:spacing w:line="480" w:lineRule="auto"/>
        <w:rPr>
          <w:rFonts w:eastAsia="Times New Roman"/>
          <w:color w:val="000000" w:themeColor="text1"/>
          <w:shd w:val="clear" w:color="auto" w:fill="FFFFFF"/>
        </w:rPr>
      </w:pPr>
      <w:r w:rsidRPr="00875077">
        <w:rPr>
          <w:rFonts w:eastAsia="Times New Roman"/>
          <w:color w:val="000000" w:themeColor="text1"/>
          <w:shd w:val="clear" w:color="auto" w:fill="FFFFFF"/>
        </w:rPr>
        <w:t>7. Cohen AC, Whitten BJ. Parametric inference for life span and reliability models. Marcel Dekker. New York</w:t>
      </w:r>
      <w:proofErr w:type="gramStart"/>
      <w:r w:rsidRPr="00875077">
        <w:rPr>
          <w:rFonts w:eastAsia="Times New Roman"/>
          <w:color w:val="000000" w:themeColor="text1"/>
          <w:shd w:val="clear" w:color="auto" w:fill="FFFFFF"/>
        </w:rPr>
        <w:t>,1988</w:t>
      </w:r>
      <w:proofErr w:type="gramEnd"/>
      <w:r w:rsidRPr="00875077">
        <w:rPr>
          <w:rFonts w:eastAsia="Times New Roman"/>
          <w:color w:val="000000" w:themeColor="text1"/>
          <w:shd w:val="clear" w:color="auto" w:fill="FFFFFF"/>
        </w:rPr>
        <w:t>.</w:t>
      </w:r>
    </w:p>
    <w:p w14:paraId="6EA4075D" w14:textId="77777777" w:rsidR="00D11E40" w:rsidRPr="00875077" w:rsidRDefault="00D11E40" w:rsidP="00D11E40">
      <w:pPr>
        <w:spacing w:line="480" w:lineRule="auto"/>
        <w:rPr>
          <w:rFonts w:eastAsia="Times New Roman"/>
          <w:color w:val="000000" w:themeColor="text1"/>
        </w:rPr>
      </w:pPr>
      <w:r w:rsidRPr="00875077">
        <w:rPr>
          <w:rFonts w:eastAsia="Times New Roman"/>
          <w:color w:val="000000" w:themeColor="text1"/>
          <w:shd w:val="clear" w:color="auto" w:fill="FFFFFF"/>
        </w:rPr>
        <w:lastRenderedPageBreak/>
        <w:t xml:space="preserve">8. </w:t>
      </w:r>
      <w:bookmarkStart w:id="1" w:name="_ENREF_65"/>
      <w:r w:rsidRPr="00875077">
        <w:rPr>
          <w:rFonts w:eastAsia="Times New Roman"/>
          <w:color w:val="000000" w:themeColor="text1"/>
          <w:shd w:val="clear" w:color="auto" w:fill="FFFFFF"/>
        </w:rPr>
        <w:t>Livingston SC and Ingersoll CD Intra-rater reliability of a transcranial magnetic stimulation technique to obtain motor evoked potentials. </w:t>
      </w:r>
      <w:proofErr w:type="spellStart"/>
      <w:r w:rsidRPr="00875077">
        <w:rPr>
          <w:rFonts w:eastAsia="Times New Roman"/>
          <w:iCs/>
          <w:color w:val="000000" w:themeColor="text1"/>
          <w:shd w:val="clear" w:color="auto" w:fill="FFFFFF"/>
        </w:rPr>
        <w:t>Int</w:t>
      </w:r>
      <w:proofErr w:type="spellEnd"/>
      <w:r w:rsidRPr="00875077">
        <w:rPr>
          <w:rFonts w:eastAsia="Times New Roman"/>
          <w:iCs/>
          <w:color w:val="000000" w:themeColor="text1"/>
          <w:shd w:val="clear" w:color="auto" w:fill="FFFFFF"/>
        </w:rPr>
        <w:t xml:space="preserve"> J </w:t>
      </w:r>
      <w:proofErr w:type="spellStart"/>
      <w:r w:rsidRPr="00875077">
        <w:rPr>
          <w:rFonts w:eastAsia="Times New Roman"/>
          <w:iCs/>
          <w:color w:val="000000" w:themeColor="text1"/>
          <w:shd w:val="clear" w:color="auto" w:fill="FFFFFF"/>
        </w:rPr>
        <w:t>Neurosci</w:t>
      </w:r>
      <w:proofErr w:type="spellEnd"/>
      <w:r w:rsidRPr="00875077">
        <w:rPr>
          <w:rFonts w:eastAsia="Times New Roman"/>
          <w:iCs/>
          <w:color w:val="000000" w:themeColor="text1"/>
          <w:shd w:val="clear" w:color="auto" w:fill="FFFFFF"/>
        </w:rPr>
        <w:t xml:space="preserve"> 2008;</w:t>
      </w:r>
      <w:r w:rsidRPr="00875077">
        <w:rPr>
          <w:rFonts w:eastAsia="Times New Roman"/>
          <w:color w:val="000000" w:themeColor="text1"/>
          <w:shd w:val="clear" w:color="auto" w:fill="FFFFFF"/>
        </w:rPr>
        <w:t xml:space="preserve"> </w:t>
      </w:r>
      <w:r w:rsidRPr="00875077">
        <w:rPr>
          <w:rFonts w:eastAsia="Times New Roman"/>
          <w:iCs/>
          <w:color w:val="000000" w:themeColor="text1"/>
          <w:shd w:val="clear" w:color="auto" w:fill="FFFFFF"/>
        </w:rPr>
        <w:t>118</w:t>
      </w:r>
      <w:r w:rsidRPr="00875077">
        <w:rPr>
          <w:rFonts w:eastAsia="Times New Roman"/>
          <w:color w:val="000000" w:themeColor="text1"/>
          <w:shd w:val="clear" w:color="auto" w:fill="FFFFFF"/>
        </w:rPr>
        <w:t>(2):239-56.</w:t>
      </w:r>
    </w:p>
    <w:p w14:paraId="25BB68DB" w14:textId="77777777" w:rsidR="00D11E40" w:rsidRPr="00875077" w:rsidRDefault="00D11E40" w:rsidP="00D11E40">
      <w:pPr>
        <w:spacing w:line="480" w:lineRule="auto"/>
        <w:rPr>
          <w:rFonts w:eastAsia="Calibri"/>
          <w:color w:val="000000" w:themeColor="text1"/>
          <w:highlight w:val="yellow"/>
        </w:rPr>
      </w:pPr>
      <w:r w:rsidRPr="00875077">
        <w:rPr>
          <w:rFonts w:eastAsia="Calibri"/>
          <w:color w:val="000000" w:themeColor="text1"/>
        </w:rPr>
        <w:t xml:space="preserve">9. Corp DT, Rogers MA, Di </w:t>
      </w:r>
      <w:proofErr w:type="spellStart"/>
      <w:r w:rsidRPr="00875077">
        <w:rPr>
          <w:rFonts w:eastAsia="Calibri"/>
          <w:color w:val="000000" w:themeColor="text1"/>
        </w:rPr>
        <w:t>Lazzaro</w:t>
      </w:r>
      <w:proofErr w:type="spellEnd"/>
      <w:r w:rsidRPr="00875077">
        <w:rPr>
          <w:rFonts w:eastAsia="Calibri"/>
          <w:color w:val="000000" w:themeColor="text1"/>
        </w:rPr>
        <w:t xml:space="preserve"> V, Pearce AJ, </w:t>
      </w:r>
      <w:proofErr w:type="spellStart"/>
      <w:r w:rsidRPr="00875077">
        <w:rPr>
          <w:rFonts w:eastAsia="Calibri"/>
          <w:color w:val="000000" w:themeColor="text1"/>
        </w:rPr>
        <w:t>Intrasession</w:t>
      </w:r>
      <w:proofErr w:type="spellEnd"/>
      <w:r w:rsidRPr="00875077">
        <w:rPr>
          <w:rFonts w:eastAsia="Calibri"/>
          <w:color w:val="000000" w:themeColor="text1"/>
        </w:rPr>
        <w:t xml:space="preserve"> reliability of single and paired pulse TMS evoked from the biceps </w:t>
      </w:r>
      <w:proofErr w:type="spellStart"/>
      <w:r w:rsidRPr="00875077">
        <w:rPr>
          <w:rFonts w:eastAsia="Calibri"/>
          <w:color w:val="000000" w:themeColor="text1"/>
        </w:rPr>
        <w:t>brachii</w:t>
      </w:r>
      <w:proofErr w:type="spellEnd"/>
      <w:r w:rsidRPr="00875077">
        <w:rPr>
          <w:rFonts w:eastAsia="Calibri"/>
          <w:color w:val="000000" w:themeColor="text1"/>
        </w:rPr>
        <w:t xml:space="preserve"> representation of the human motor cortex, Brain Stimulation (2015), </w:t>
      </w:r>
      <w:proofErr w:type="spellStart"/>
      <w:r w:rsidRPr="00875077">
        <w:rPr>
          <w:rFonts w:eastAsia="Calibri"/>
          <w:color w:val="000000" w:themeColor="text1"/>
        </w:rPr>
        <w:t>doi</w:t>
      </w:r>
      <w:proofErr w:type="spellEnd"/>
      <w:r w:rsidRPr="00875077">
        <w:rPr>
          <w:rFonts w:eastAsia="Calibri"/>
          <w:color w:val="000000" w:themeColor="text1"/>
        </w:rPr>
        <w:t>: 10.1016/j.brs.2015.01.402.</w:t>
      </w:r>
    </w:p>
    <w:p w14:paraId="21B26CF5" w14:textId="77777777" w:rsidR="00D11E40" w:rsidRPr="00875077" w:rsidRDefault="00D11E40" w:rsidP="00D11E40">
      <w:pPr>
        <w:spacing w:line="480" w:lineRule="auto"/>
        <w:rPr>
          <w:rFonts w:eastAsia="Calibri"/>
          <w:noProof/>
          <w:color w:val="000000" w:themeColor="text1"/>
          <w:lang w:val="nl-BE"/>
        </w:rPr>
      </w:pPr>
      <w:r w:rsidRPr="00875077">
        <w:rPr>
          <w:rFonts w:eastAsia="Calibri"/>
          <w:noProof/>
          <w:color w:val="000000" w:themeColor="text1"/>
          <w:lang w:val="fr-FR"/>
        </w:rPr>
        <w:t xml:space="preserve">10. </w:t>
      </w:r>
      <w:r w:rsidRPr="00875077">
        <w:rPr>
          <w:rFonts w:eastAsia="Times New Roman"/>
          <w:noProof/>
          <w:color w:val="000000" w:themeColor="text1"/>
          <w:shd w:val="clear" w:color="auto" w:fill="FFFFFF"/>
          <w:lang w:val="nl-BE"/>
        </w:rPr>
        <w:t xml:space="preserve">Christie A, Fling B, Crews RT, et al. </w:t>
      </w:r>
      <w:r w:rsidRPr="00875077">
        <w:rPr>
          <w:rFonts w:eastAsia="Times New Roman"/>
          <w:noProof/>
          <w:color w:val="000000" w:themeColor="text1"/>
          <w:shd w:val="clear" w:color="auto" w:fill="FFFFFF"/>
        </w:rPr>
        <w:t>Reliability of motor-evoked potentials in the ADM muscle of older adults.</w:t>
      </w:r>
      <w:r w:rsidRPr="00875077">
        <w:rPr>
          <w:rFonts w:eastAsia="Calibri"/>
          <w:noProof/>
          <w:color w:val="000000" w:themeColor="text1"/>
        </w:rPr>
        <w:t xml:space="preserve"> </w:t>
      </w:r>
      <w:r w:rsidRPr="00875077">
        <w:rPr>
          <w:rFonts w:eastAsia="Calibri"/>
          <w:iCs/>
          <w:noProof/>
          <w:color w:val="000000" w:themeColor="text1"/>
          <w:lang w:val="nl-BE"/>
        </w:rPr>
        <w:t>J Neurosci Methods</w:t>
      </w:r>
      <w:r w:rsidRPr="00875077">
        <w:rPr>
          <w:rFonts w:eastAsia="Calibri"/>
          <w:noProof/>
          <w:color w:val="000000" w:themeColor="text1"/>
          <w:lang w:val="nl-BE"/>
        </w:rPr>
        <w:t xml:space="preserve"> 2007; 164:320-24.</w:t>
      </w:r>
      <w:bookmarkEnd w:id="1"/>
    </w:p>
    <w:p w14:paraId="550AACD9" w14:textId="03998A3E" w:rsidR="00D11E40" w:rsidRPr="00875077" w:rsidRDefault="00D11E40" w:rsidP="00D11E40">
      <w:pPr>
        <w:spacing w:line="480" w:lineRule="auto"/>
        <w:rPr>
          <w:rFonts w:eastAsia="Calibri"/>
          <w:noProof/>
          <w:color w:val="000000" w:themeColor="text1"/>
        </w:rPr>
      </w:pPr>
      <w:r w:rsidRPr="00875077">
        <w:rPr>
          <w:rFonts w:eastAsia="Calibri"/>
          <w:noProof/>
          <w:color w:val="000000" w:themeColor="text1"/>
          <w:lang w:val="nl-BE"/>
        </w:rPr>
        <w:t xml:space="preserve">11. Levin MF, Liebermann DG, Parmet Y, et al. </w:t>
      </w:r>
      <w:r w:rsidRPr="00875077">
        <w:rPr>
          <w:rFonts w:eastAsia="Calibri"/>
          <w:noProof/>
          <w:color w:val="000000" w:themeColor="text1"/>
        </w:rPr>
        <w:t>Compensatory Versus oncompensatory Shoulder Movements Used for Reaching in Stroke. Neurorehabilitation and Neural Repair 2016;30(7):635–46.</w:t>
      </w:r>
    </w:p>
    <w:p w14:paraId="1595E35E" w14:textId="77777777" w:rsidR="00D11E40" w:rsidRPr="00875077" w:rsidRDefault="00D11E40" w:rsidP="00D11E40">
      <w:pPr>
        <w:spacing w:line="480" w:lineRule="auto"/>
        <w:rPr>
          <w:rFonts w:ascii="Arial" w:eastAsia="Calibri" w:hAnsi="Arial" w:cs="Arial"/>
          <w:noProof/>
          <w:color w:val="000000" w:themeColor="text1"/>
        </w:rPr>
      </w:pPr>
      <w:r w:rsidRPr="00875077">
        <w:rPr>
          <w:rFonts w:eastAsia="Calibri"/>
          <w:noProof/>
          <w:color w:val="000000" w:themeColor="text1"/>
        </w:rPr>
        <w:t xml:space="preserve">12. </w:t>
      </w:r>
      <w:bookmarkStart w:id="2" w:name="_ENREF_132"/>
      <w:r w:rsidRPr="00875077">
        <w:rPr>
          <w:rFonts w:eastAsia="Calibri"/>
          <w:noProof/>
          <w:color w:val="000000" w:themeColor="text1"/>
        </w:rPr>
        <w:t>Folstein MF, Robins LN, Helzer JE The mini-mental state examination. Arch Gen Psychiatry</w:t>
      </w:r>
      <w:r w:rsidRPr="00875077">
        <w:rPr>
          <w:rFonts w:eastAsia="Calibri"/>
          <w:i/>
          <w:noProof/>
          <w:color w:val="000000" w:themeColor="text1"/>
        </w:rPr>
        <w:t xml:space="preserve"> </w:t>
      </w:r>
      <w:r w:rsidRPr="00875077">
        <w:rPr>
          <w:rFonts w:eastAsia="Calibri"/>
          <w:noProof/>
          <w:color w:val="000000" w:themeColor="text1"/>
        </w:rPr>
        <w:t>1983</w:t>
      </w:r>
      <w:r w:rsidRPr="00875077">
        <w:rPr>
          <w:rFonts w:eastAsia="Calibri"/>
          <w:i/>
          <w:noProof/>
          <w:color w:val="000000" w:themeColor="text1"/>
        </w:rPr>
        <w:t xml:space="preserve">; </w:t>
      </w:r>
      <w:r w:rsidRPr="00875077">
        <w:rPr>
          <w:rFonts w:eastAsia="Calibri"/>
          <w:noProof/>
          <w:color w:val="000000" w:themeColor="text1"/>
        </w:rPr>
        <w:t>40</w:t>
      </w:r>
      <w:r w:rsidRPr="00875077">
        <w:rPr>
          <w:rFonts w:eastAsia="Calibri"/>
          <w:b/>
          <w:noProof/>
          <w:color w:val="000000" w:themeColor="text1"/>
        </w:rPr>
        <w:t>:</w:t>
      </w:r>
      <w:r w:rsidRPr="00875077">
        <w:rPr>
          <w:rFonts w:eastAsia="Calibri"/>
          <w:noProof/>
          <w:color w:val="000000" w:themeColor="text1"/>
        </w:rPr>
        <w:t xml:space="preserve"> 812.</w:t>
      </w:r>
      <w:bookmarkEnd w:id="2"/>
    </w:p>
    <w:p w14:paraId="32403B28" w14:textId="77777777" w:rsidR="00D11E40" w:rsidRPr="00875077" w:rsidRDefault="00D11E40" w:rsidP="00D11E40">
      <w:pPr>
        <w:spacing w:line="480" w:lineRule="auto"/>
        <w:rPr>
          <w:rFonts w:eastAsia="Calibri"/>
          <w:noProof/>
          <w:color w:val="000000" w:themeColor="text1"/>
          <w:lang w:val="nl-BE"/>
        </w:rPr>
      </w:pPr>
      <w:r w:rsidRPr="00875077">
        <w:rPr>
          <w:rFonts w:eastAsia="Calibri"/>
          <w:noProof/>
          <w:color w:val="000000" w:themeColor="text1"/>
        </w:rPr>
        <w:t xml:space="preserve">13. </w:t>
      </w:r>
      <w:bookmarkStart w:id="3" w:name="_ENREF_373"/>
      <w:r w:rsidRPr="00875077">
        <w:rPr>
          <w:rFonts w:eastAsia="Calibri"/>
          <w:noProof/>
          <w:color w:val="000000" w:themeColor="text1"/>
        </w:rPr>
        <w:t xml:space="preserve">Rossi S, Hallett M, Rossini PM, et al. Screening questionnaire before TMS: an update. </w:t>
      </w:r>
      <w:r w:rsidRPr="00875077">
        <w:rPr>
          <w:rFonts w:eastAsia="Calibri"/>
          <w:noProof/>
          <w:color w:val="000000" w:themeColor="text1"/>
          <w:lang w:val="nl-BE"/>
        </w:rPr>
        <w:t>Clin Neurophysiol 2011; 122</w:t>
      </w:r>
      <w:r w:rsidRPr="00875077">
        <w:rPr>
          <w:rFonts w:eastAsia="Calibri"/>
          <w:b/>
          <w:noProof/>
          <w:color w:val="000000" w:themeColor="text1"/>
          <w:lang w:val="nl-BE"/>
        </w:rPr>
        <w:t>:</w:t>
      </w:r>
      <w:r w:rsidRPr="00875077">
        <w:rPr>
          <w:rFonts w:eastAsia="Calibri"/>
          <w:noProof/>
          <w:color w:val="000000" w:themeColor="text1"/>
          <w:lang w:val="nl-BE"/>
        </w:rPr>
        <w:t>1686.</w:t>
      </w:r>
      <w:bookmarkEnd w:id="3"/>
    </w:p>
    <w:p w14:paraId="652A353C" w14:textId="77777777" w:rsidR="00D11E40" w:rsidRPr="00875077" w:rsidRDefault="00D11E40" w:rsidP="00D11E40">
      <w:pPr>
        <w:spacing w:line="480" w:lineRule="auto"/>
        <w:rPr>
          <w:rFonts w:eastAsia="Calibri"/>
          <w:noProof/>
          <w:color w:val="000000" w:themeColor="text1"/>
        </w:rPr>
      </w:pPr>
      <w:r w:rsidRPr="00875077">
        <w:rPr>
          <w:rFonts w:eastAsia="Calibri"/>
          <w:noProof/>
          <w:color w:val="000000" w:themeColor="text1"/>
          <w:lang w:val="nl-BE"/>
        </w:rPr>
        <w:t xml:space="preserve">14. </w:t>
      </w:r>
      <w:bookmarkStart w:id="4" w:name="_ENREF_168"/>
      <w:r w:rsidRPr="00875077">
        <w:rPr>
          <w:rFonts w:eastAsia="Calibri"/>
          <w:noProof/>
          <w:color w:val="000000" w:themeColor="text1"/>
          <w:lang w:val="nl-BE"/>
        </w:rPr>
        <w:t xml:space="preserve">Hermens HJ, Freriks B, Merletti R et al.. </w:t>
      </w:r>
      <w:r w:rsidRPr="00875077">
        <w:rPr>
          <w:rFonts w:eastAsia="Calibri"/>
          <w:i/>
          <w:noProof/>
          <w:color w:val="000000" w:themeColor="text1"/>
        </w:rPr>
        <w:t>European recommendations for surface electromyography</w:t>
      </w:r>
      <w:r w:rsidRPr="00875077">
        <w:rPr>
          <w:rFonts w:eastAsia="Calibri"/>
          <w:noProof/>
          <w:color w:val="000000" w:themeColor="text1"/>
        </w:rPr>
        <w:t>, Roessingh Research and Development The Netherlands.</w:t>
      </w:r>
      <w:bookmarkEnd w:id="4"/>
      <w:r w:rsidRPr="00875077">
        <w:rPr>
          <w:rFonts w:eastAsia="Calibri"/>
          <w:noProof/>
          <w:color w:val="000000" w:themeColor="text1"/>
        </w:rPr>
        <w:t xml:space="preserve"> 1999</w:t>
      </w:r>
    </w:p>
    <w:p w14:paraId="1F49387C" w14:textId="77777777" w:rsidR="00D11E40" w:rsidRPr="00875077" w:rsidRDefault="00D11E40" w:rsidP="00D11E40">
      <w:pPr>
        <w:spacing w:line="480" w:lineRule="auto"/>
        <w:rPr>
          <w:rFonts w:eastAsia="Calibri"/>
          <w:noProof/>
          <w:color w:val="000000" w:themeColor="text1"/>
        </w:rPr>
      </w:pPr>
      <w:r w:rsidRPr="00875077">
        <w:rPr>
          <w:rFonts w:eastAsia="Calibri"/>
          <w:noProof/>
          <w:color w:val="000000" w:themeColor="text1"/>
        </w:rPr>
        <w:t xml:space="preserve">15. </w:t>
      </w:r>
      <w:bookmarkStart w:id="5" w:name="_ENREF_479"/>
      <w:r w:rsidRPr="00875077">
        <w:rPr>
          <w:rFonts w:eastAsia="Calibri"/>
          <w:noProof/>
          <w:color w:val="000000" w:themeColor="text1"/>
        </w:rPr>
        <w:t xml:space="preserve">Zipp P. 1982. Recommendations for the standardization of lead positions in surface electromyography. </w:t>
      </w:r>
      <w:r w:rsidRPr="00875077">
        <w:rPr>
          <w:rFonts w:eastAsia="Calibri"/>
          <w:i/>
          <w:noProof/>
          <w:color w:val="000000" w:themeColor="text1"/>
        </w:rPr>
        <w:t>European Journal of Applied Physiology and Occupational Physiology,</w:t>
      </w:r>
      <w:r w:rsidRPr="00875077">
        <w:rPr>
          <w:rFonts w:eastAsia="Calibri"/>
          <w:noProof/>
          <w:color w:val="000000" w:themeColor="text1"/>
        </w:rPr>
        <w:t xml:space="preserve"> 50</w:t>
      </w:r>
      <w:r w:rsidRPr="00875077">
        <w:rPr>
          <w:rFonts w:eastAsia="Calibri"/>
          <w:b/>
          <w:noProof/>
          <w:color w:val="000000" w:themeColor="text1"/>
        </w:rPr>
        <w:t>,</w:t>
      </w:r>
      <w:r w:rsidRPr="00875077">
        <w:rPr>
          <w:rFonts w:eastAsia="Calibri"/>
          <w:noProof/>
          <w:color w:val="000000" w:themeColor="text1"/>
        </w:rPr>
        <w:t xml:space="preserve"> 41-54.</w:t>
      </w:r>
      <w:bookmarkEnd w:id="5"/>
    </w:p>
    <w:p w14:paraId="57089FEC" w14:textId="77777777" w:rsidR="00D11E40" w:rsidRPr="00875077" w:rsidRDefault="00D11E40" w:rsidP="00D11E40">
      <w:pPr>
        <w:spacing w:line="480" w:lineRule="auto"/>
        <w:rPr>
          <w:rFonts w:eastAsia="Calibri"/>
          <w:noProof/>
          <w:color w:val="000000" w:themeColor="text1"/>
        </w:rPr>
      </w:pPr>
      <w:r w:rsidRPr="00875077">
        <w:rPr>
          <w:rFonts w:eastAsia="Calibri"/>
          <w:noProof/>
          <w:color w:val="000000" w:themeColor="text1"/>
        </w:rPr>
        <w:lastRenderedPageBreak/>
        <w:t xml:space="preserve">16. </w:t>
      </w:r>
      <w:bookmarkStart w:id="6" w:name="_ENREF_126"/>
      <w:r w:rsidRPr="00875077">
        <w:rPr>
          <w:rFonts w:eastAsia="Calibri"/>
          <w:noProof/>
          <w:color w:val="000000" w:themeColor="text1"/>
        </w:rPr>
        <w:t xml:space="preserve">Fleiss JL. 2011. </w:t>
      </w:r>
      <w:r w:rsidRPr="00875077">
        <w:rPr>
          <w:rFonts w:eastAsia="Calibri"/>
          <w:i/>
          <w:noProof/>
          <w:color w:val="000000" w:themeColor="text1"/>
        </w:rPr>
        <w:t>Design and analysis of clinical experiments</w:t>
      </w:r>
      <w:r w:rsidRPr="00875077">
        <w:rPr>
          <w:rFonts w:eastAsia="Calibri"/>
          <w:noProof/>
          <w:color w:val="000000" w:themeColor="text1"/>
        </w:rPr>
        <w:t xml:space="preserve">, </w:t>
      </w:r>
      <w:bookmarkEnd w:id="6"/>
      <w:r w:rsidRPr="00875077">
        <w:rPr>
          <w:rFonts w:eastAsia="Calibri"/>
          <w:noProof/>
          <w:color w:val="000000" w:themeColor="text1"/>
        </w:rPr>
        <w:t>(Vol. 73). John Wiley &amp; Sons.</w:t>
      </w:r>
    </w:p>
    <w:p w14:paraId="00EC0764" w14:textId="77777777" w:rsidR="00D11E40" w:rsidRPr="00875077" w:rsidRDefault="00D11E40" w:rsidP="00D11E40">
      <w:pPr>
        <w:spacing w:line="480" w:lineRule="auto"/>
        <w:rPr>
          <w:rFonts w:eastAsia="Times New Roman"/>
          <w:noProof/>
          <w:color w:val="000000" w:themeColor="text1"/>
          <w:shd w:val="clear" w:color="auto" w:fill="FFFFFF"/>
        </w:rPr>
      </w:pPr>
      <w:r w:rsidRPr="00875077">
        <w:rPr>
          <w:rFonts w:eastAsia="Calibri"/>
          <w:noProof/>
          <w:color w:val="000000" w:themeColor="text1"/>
        </w:rPr>
        <w:t xml:space="preserve">17. </w:t>
      </w:r>
      <w:r w:rsidRPr="00875077">
        <w:rPr>
          <w:rFonts w:eastAsia="Times New Roman"/>
          <w:noProof/>
          <w:color w:val="000000" w:themeColor="text1"/>
          <w:shd w:val="clear" w:color="auto" w:fill="FFFFFF"/>
        </w:rPr>
        <w:t>Cavaleri R, Schab</w:t>
      </w:r>
      <w:bookmarkStart w:id="7" w:name="_GoBack"/>
      <w:bookmarkEnd w:id="7"/>
      <w:r w:rsidRPr="00875077">
        <w:rPr>
          <w:rFonts w:eastAsia="Times New Roman"/>
          <w:noProof/>
          <w:color w:val="000000" w:themeColor="text1"/>
          <w:shd w:val="clear" w:color="auto" w:fill="FFFFFF"/>
        </w:rPr>
        <w:t>run SM, Chipchase LS. The number of stimuli required to reliably assess corticomotor excitability and primary motor cortical representations using transcranial magnetic stimulation (TMS): a systematic review and meta-analysis. Syst Rev 2017; 6:6(1):48.</w:t>
      </w:r>
    </w:p>
    <w:p w14:paraId="79E434F5" w14:textId="77777777" w:rsidR="00D11E40" w:rsidRPr="00875077" w:rsidRDefault="00D11E40" w:rsidP="00D11E40">
      <w:pPr>
        <w:spacing w:line="480" w:lineRule="auto"/>
        <w:rPr>
          <w:rFonts w:eastAsia="Times New Roman"/>
          <w:color w:val="000000" w:themeColor="text1"/>
        </w:rPr>
      </w:pPr>
      <w:r w:rsidRPr="00875077">
        <w:rPr>
          <w:rFonts w:eastAsia="Times New Roman"/>
          <w:color w:val="000000" w:themeColor="text1"/>
          <w:shd w:val="clear" w:color="auto" w:fill="FFFFFF"/>
        </w:rPr>
        <w:t xml:space="preserve">18. </w:t>
      </w:r>
      <w:r w:rsidRPr="00875077">
        <w:rPr>
          <w:rFonts w:eastAsia="Times New Roman"/>
          <w:color w:val="000000" w:themeColor="text1"/>
        </w:rPr>
        <w:t xml:space="preserve">Beaulieu LD, </w:t>
      </w:r>
      <w:proofErr w:type="spellStart"/>
      <w:r w:rsidRPr="00875077">
        <w:rPr>
          <w:rFonts w:eastAsia="Times New Roman"/>
          <w:color w:val="000000" w:themeColor="text1"/>
        </w:rPr>
        <w:t>Flamand</w:t>
      </w:r>
      <w:proofErr w:type="spellEnd"/>
      <w:r w:rsidRPr="00875077">
        <w:rPr>
          <w:rFonts w:eastAsia="Times New Roman"/>
          <w:color w:val="000000" w:themeColor="text1"/>
        </w:rPr>
        <w:t xml:space="preserve"> VH, </w:t>
      </w:r>
      <w:proofErr w:type="spellStart"/>
      <w:r w:rsidRPr="00875077">
        <w:rPr>
          <w:rFonts w:eastAsia="Times New Roman"/>
          <w:color w:val="000000" w:themeColor="text1"/>
        </w:rPr>
        <w:t>Massé-Alarie</w:t>
      </w:r>
      <w:proofErr w:type="spellEnd"/>
      <w:r w:rsidRPr="00875077">
        <w:rPr>
          <w:rFonts w:eastAsia="Times New Roman"/>
          <w:color w:val="000000" w:themeColor="text1"/>
        </w:rPr>
        <w:t xml:space="preserve"> H, Schneider C. Reliability and minimal detectable change of transcranial magnetic stimulation outcomes in healthy adults: A systematic review. Brain Stim 2017; 10:196-213.</w:t>
      </w:r>
    </w:p>
    <w:p w14:paraId="42D08C99" w14:textId="77777777" w:rsidR="00D11E40" w:rsidRPr="00875077" w:rsidRDefault="00D11E40" w:rsidP="00D11E40">
      <w:pPr>
        <w:spacing w:line="480" w:lineRule="auto"/>
        <w:rPr>
          <w:rFonts w:eastAsia="Times New Roman"/>
          <w:color w:val="000000" w:themeColor="text1"/>
        </w:rPr>
      </w:pPr>
      <w:r w:rsidRPr="00875077">
        <w:rPr>
          <w:rFonts w:eastAsia="Times New Roman"/>
          <w:color w:val="000000" w:themeColor="text1"/>
          <w:lang w:eastAsia="nl-BE"/>
        </w:rPr>
        <w:t xml:space="preserve">19. </w:t>
      </w:r>
      <w:proofErr w:type="spellStart"/>
      <w:r w:rsidRPr="00875077">
        <w:rPr>
          <w:rFonts w:eastAsia="Times New Roman"/>
          <w:color w:val="000000" w:themeColor="text1"/>
          <w:shd w:val="clear" w:color="auto" w:fill="FFFFFF"/>
        </w:rPr>
        <w:t>Devanne</w:t>
      </w:r>
      <w:proofErr w:type="spellEnd"/>
      <w:r w:rsidRPr="00875077">
        <w:rPr>
          <w:rFonts w:eastAsia="Times New Roman"/>
          <w:color w:val="000000" w:themeColor="text1"/>
          <w:shd w:val="clear" w:color="auto" w:fill="FFFFFF"/>
        </w:rPr>
        <w:t xml:space="preserve"> H, </w:t>
      </w:r>
      <w:proofErr w:type="spellStart"/>
      <w:r w:rsidRPr="00875077">
        <w:rPr>
          <w:rFonts w:eastAsia="Times New Roman"/>
          <w:color w:val="000000" w:themeColor="text1"/>
          <w:shd w:val="clear" w:color="auto" w:fill="FFFFFF"/>
        </w:rPr>
        <w:t>Cassim</w:t>
      </w:r>
      <w:proofErr w:type="spellEnd"/>
      <w:r w:rsidRPr="00875077">
        <w:rPr>
          <w:rFonts w:eastAsia="Times New Roman"/>
          <w:color w:val="000000" w:themeColor="text1"/>
          <w:shd w:val="clear" w:color="auto" w:fill="FFFFFF"/>
        </w:rPr>
        <w:t xml:space="preserve"> F, </w:t>
      </w:r>
      <w:proofErr w:type="spellStart"/>
      <w:r w:rsidRPr="00875077">
        <w:rPr>
          <w:rFonts w:eastAsia="Times New Roman"/>
          <w:color w:val="000000" w:themeColor="text1"/>
          <w:shd w:val="clear" w:color="auto" w:fill="FFFFFF"/>
        </w:rPr>
        <w:t>Ethier</w:t>
      </w:r>
      <w:proofErr w:type="spellEnd"/>
      <w:r w:rsidRPr="00875077">
        <w:rPr>
          <w:rFonts w:eastAsia="Times New Roman"/>
          <w:color w:val="000000" w:themeColor="text1"/>
          <w:shd w:val="clear" w:color="auto" w:fill="FFFFFF"/>
        </w:rPr>
        <w:t xml:space="preserve"> C, </w:t>
      </w:r>
      <w:proofErr w:type="spellStart"/>
      <w:r w:rsidRPr="00875077">
        <w:rPr>
          <w:rFonts w:eastAsia="Times New Roman"/>
          <w:color w:val="000000" w:themeColor="text1"/>
          <w:shd w:val="clear" w:color="auto" w:fill="FFFFFF"/>
        </w:rPr>
        <w:t>Brizzi</w:t>
      </w:r>
      <w:proofErr w:type="spellEnd"/>
      <w:r w:rsidRPr="00875077">
        <w:rPr>
          <w:rFonts w:eastAsia="Times New Roman"/>
          <w:color w:val="000000" w:themeColor="text1"/>
          <w:shd w:val="clear" w:color="auto" w:fill="FFFFFF"/>
        </w:rPr>
        <w:t xml:space="preserve"> L, </w:t>
      </w:r>
      <w:proofErr w:type="spellStart"/>
      <w:r w:rsidRPr="00875077">
        <w:rPr>
          <w:rFonts w:eastAsia="Times New Roman"/>
          <w:color w:val="000000" w:themeColor="text1"/>
          <w:shd w:val="clear" w:color="auto" w:fill="FFFFFF"/>
        </w:rPr>
        <w:t>Thevenon</w:t>
      </w:r>
      <w:proofErr w:type="spellEnd"/>
      <w:r w:rsidRPr="00875077">
        <w:rPr>
          <w:rFonts w:eastAsia="Times New Roman"/>
          <w:color w:val="000000" w:themeColor="text1"/>
          <w:shd w:val="clear" w:color="auto" w:fill="FFFFFF"/>
        </w:rPr>
        <w:t xml:space="preserve"> A, </w:t>
      </w:r>
      <w:proofErr w:type="spellStart"/>
      <w:r w:rsidRPr="00875077">
        <w:rPr>
          <w:rFonts w:eastAsia="Times New Roman"/>
          <w:color w:val="000000" w:themeColor="text1"/>
          <w:shd w:val="clear" w:color="auto" w:fill="FFFFFF"/>
        </w:rPr>
        <w:t>Capaday</w:t>
      </w:r>
      <w:proofErr w:type="spellEnd"/>
      <w:r w:rsidRPr="00875077">
        <w:rPr>
          <w:rFonts w:eastAsia="Times New Roman"/>
          <w:color w:val="000000" w:themeColor="text1"/>
          <w:shd w:val="clear" w:color="auto" w:fill="FFFFFF"/>
        </w:rPr>
        <w:t xml:space="preserve"> C. The comparable size and overlapping nature of upper limb distal and proximal muscle representations in the human motor cortex. </w:t>
      </w:r>
      <w:proofErr w:type="spellStart"/>
      <w:r w:rsidRPr="00875077">
        <w:rPr>
          <w:rFonts w:eastAsia="Times New Roman"/>
          <w:color w:val="000000" w:themeColor="text1"/>
          <w:shd w:val="clear" w:color="auto" w:fill="FFFFFF"/>
        </w:rPr>
        <w:t>Eur</w:t>
      </w:r>
      <w:proofErr w:type="spellEnd"/>
      <w:r w:rsidRPr="00875077">
        <w:rPr>
          <w:rFonts w:eastAsia="Times New Roman"/>
          <w:color w:val="000000" w:themeColor="text1"/>
          <w:shd w:val="clear" w:color="auto" w:fill="FFFFFF"/>
        </w:rPr>
        <w:t xml:space="preserve"> J </w:t>
      </w:r>
      <w:proofErr w:type="spellStart"/>
      <w:r w:rsidRPr="00875077">
        <w:rPr>
          <w:rFonts w:eastAsia="Times New Roman"/>
          <w:color w:val="000000" w:themeColor="text1"/>
          <w:shd w:val="clear" w:color="auto" w:fill="FFFFFF"/>
        </w:rPr>
        <w:t>Neurosci</w:t>
      </w:r>
      <w:proofErr w:type="spellEnd"/>
      <w:r w:rsidRPr="00875077">
        <w:rPr>
          <w:rFonts w:eastAsia="Times New Roman"/>
          <w:color w:val="000000" w:themeColor="text1"/>
          <w:shd w:val="clear" w:color="auto" w:fill="FFFFFF"/>
        </w:rPr>
        <w:t xml:space="preserve"> </w:t>
      </w:r>
      <w:proofErr w:type="gramStart"/>
      <w:r w:rsidRPr="00875077">
        <w:rPr>
          <w:rFonts w:eastAsia="Times New Roman"/>
          <w:color w:val="000000" w:themeColor="text1"/>
          <w:shd w:val="clear" w:color="auto" w:fill="FFFFFF"/>
        </w:rPr>
        <w:t>2006 ;23</w:t>
      </w:r>
      <w:proofErr w:type="gramEnd"/>
      <w:r w:rsidRPr="00875077">
        <w:rPr>
          <w:rFonts w:eastAsia="Times New Roman"/>
          <w:color w:val="000000" w:themeColor="text1"/>
          <w:shd w:val="clear" w:color="auto" w:fill="FFFFFF"/>
        </w:rPr>
        <w:t>(9):2467-76.</w:t>
      </w:r>
    </w:p>
    <w:p w14:paraId="55AE96AF" w14:textId="77777777" w:rsidR="00D11E40" w:rsidRPr="00875077" w:rsidRDefault="00D11E40" w:rsidP="00D11E40">
      <w:pPr>
        <w:spacing w:line="480" w:lineRule="auto"/>
        <w:rPr>
          <w:rFonts w:eastAsia="Calibri"/>
          <w:noProof/>
          <w:color w:val="000000" w:themeColor="text1"/>
        </w:rPr>
      </w:pPr>
      <w:r w:rsidRPr="00875077">
        <w:rPr>
          <w:rFonts w:eastAsia="Times New Roman"/>
          <w:noProof/>
          <w:color w:val="000000" w:themeColor="text1"/>
        </w:rPr>
        <w:t>20.</w:t>
      </w:r>
      <w:r w:rsidRPr="00875077">
        <w:rPr>
          <w:rFonts w:ascii="Arial" w:eastAsia="Times New Roman" w:hAnsi="Arial" w:cs="Arial"/>
          <w:noProof/>
          <w:color w:val="000000" w:themeColor="text1"/>
        </w:rPr>
        <w:t xml:space="preserve"> </w:t>
      </w:r>
      <w:r w:rsidRPr="00875077">
        <w:rPr>
          <w:rFonts w:eastAsia="Times New Roman"/>
          <w:noProof/>
          <w:color w:val="000000" w:themeColor="text1"/>
          <w:shd w:val="clear" w:color="auto" w:fill="FFFFFF"/>
        </w:rPr>
        <w:t>Fleming MK, Sorinola IO, Newham DJ, Roberts-Lewis SF, Bergmann JH. The effect of coil type and navigation on the reliability of transcranial magnetic stimulation.</w:t>
      </w:r>
      <w:r w:rsidRPr="00875077">
        <w:rPr>
          <w:rFonts w:eastAsia="Calibri"/>
          <w:iCs/>
          <w:noProof/>
          <w:color w:val="000000" w:themeColor="text1"/>
        </w:rPr>
        <w:t xml:space="preserve"> IEEE Trans Neural Syst Rehabil Eng</w:t>
      </w:r>
      <w:r w:rsidRPr="00875077">
        <w:rPr>
          <w:rFonts w:eastAsia="Calibri"/>
          <w:noProof/>
          <w:color w:val="000000" w:themeColor="text1"/>
        </w:rPr>
        <w:t xml:space="preserve"> 2012; </w:t>
      </w:r>
      <w:r w:rsidRPr="00875077">
        <w:rPr>
          <w:rFonts w:eastAsia="Calibri"/>
          <w:iCs/>
          <w:noProof/>
          <w:color w:val="000000" w:themeColor="text1"/>
        </w:rPr>
        <w:t>20</w:t>
      </w:r>
      <w:r w:rsidRPr="00875077">
        <w:rPr>
          <w:rFonts w:eastAsia="Calibri"/>
          <w:noProof/>
          <w:color w:val="000000" w:themeColor="text1"/>
        </w:rPr>
        <w:t>(5):617-25.</w:t>
      </w:r>
    </w:p>
    <w:p w14:paraId="25D78DE5" w14:textId="77777777" w:rsidR="00D11E40" w:rsidRPr="00875077" w:rsidRDefault="00D11E40" w:rsidP="00D11E40">
      <w:pPr>
        <w:spacing w:line="480" w:lineRule="auto"/>
        <w:rPr>
          <w:rFonts w:eastAsia="Times New Roman"/>
          <w:color w:val="000000" w:themeColor="text1"/>
          <w:lang w:eastAsia="nl-BE"/>
        </w:rPr>
      </w:pPr>
      <w:r w:rsidRPr="00875077">
        <w:rPr>
          <w:rFonts w:eastAsia="Times New Roman"/>
          <w:color w:val="000000" w:themeColor="text1"/>
          <w:lang w:eastAsia="nl-BE"/>
        </w:rPr>
        <w:t xml:space="preserve">21. Smith MC and </w:t>
      </w:r>
      <w:proofErr w:type="spellStart"/>
      <w:r w:rsidRPr="00875077">
        <w:rPr>
          <w:rFonts w:eastAsia="Times New Roman"/>
          <w:color w:val="000000" w:themeColor="text1"/>
          <w:lang w:eastAsia="nl-BE"/>
        </w:rPr>
        <w:t>Stinear</w:t>
      </w:r>
      <w:proofErr w:type="spellEnd"/>
      <w:r w:rsidRPr="00875077">
        <w:rPr>
          <w:rFonts w:eastAsia="Times New Roman"/>
          <w:color w:val="000000" w:themeColor="text1"/>
          <w:lang w:eastAsia="nl-BE"/>
        </w:rPr>
        <w:t xml:space="preserve"> CM. Transcranial magnetic stimulation (TMS) in stroke: Ready for clinical practice</w:t>
      </w:r>
      <w:proofErr w:type="gramStart"/>
      <w:r w:rsidRPr="00875077">
        <w:rPr>
          <w:rFonts w:eastAsia="Times New Roman"/>
          <w:color w:val="000000" w:themeColor="text1"/>
          <w:lang w:eastAsia="nl-BE"/>
        </w:rPr>
        <w:t>?.</w:t>
      </w:r>
      <w:proofErr w:type="gramEnd"/>
      <w:r w:rsidRPr="00875077">
        <w:rPr>
          <w:rFonts w:eastAsia="Times New Roman"/>
          <w:color w:val="000000" w:themeColor="text1"/>
          <w:lang w:eastAsia="nl-BE"/>
        </w:rPr>
        <w:t xml:space="preserve"> </w:t>
      </w:r>
      <w:r w:rsidRPr="00875077">
        <w:rPr>
          <w:rFonts w:eastAsia="Times New Roman"/>
          <w:iCs/>
          <w:color w:val="000000" w:themeColor="text1"/>
          <w:lang w:eastAsia="nl-BE"/>
        </w:rPr>
        <w:t xml:space="preserve">J </w:t>
      </w:r>
      <w:proofErr w:type="spellStart"/>
      <w:r w:rsidRPr="00875077">
        <w:rPr>
          <w:rFonts w:eastAsia="Times New Roman"/>
          <w:iCs/>
          <w:color w:val="000000" w:themeColor="text1"/>
          <w:lang w:eastAsia="nl-BE"/>
        </w:rPr>
        <w:t>Clin</w:t>
      </w:r>
      <w:proofErr w:type="spellEnd"/>
      <w:r w:rsidRPr="00875077">
        <w:rPr>
          <w:rFonts w:eastAsia="Times New Roman"/>
          <w:iCs/>
          <w:color w:val="000000" w:themeColor="text1"/>
          <w:lang w:eastAsia="nl-BE"/>
        </w:rPr>
        <w:t xml:space="preserve"> </w:t>
      </w:r>
      <w:proofErr w:type="spellStart"/>
      <w:r w:rsidRPr="00875077">
        <w:rPr>
          <w:rFonts w:eastAsia="Times New Roman"/>
          <w:iCs/>
          <w:color w:val="000000" w:themeColor="text1"/>
          <w:lang w:eastAsia="nl-BE"/>
        </w:rPr>
        <w:t>Neurosci</w:t>
      </w:r>
      <w:proofErr w:type="spellEnd"/>
      <w:r w:rsidRPr="00875077">
        <w:rPr>
          <w:rFonts w:eastAsia="Times New Roman"/>
          <w:color w:val="000000" w:themeColor="text1"/>
          <w:lang w:eastAsia="nl-BE"/>
        </w:rPr>
        <w:t xml:space="preserve"> 2016; </w:t>
      </w:r>
      <w:r w:rsidRPr="00875077">
        <w:rPr>
          <w:rFonts w:eastAsia="Times New Roman"/>
          <w:iCs/>
          <w:color w:val="000000" w:themeColor="text1"/>
          <w:lang w:eastAsia="nl-BE"/>
        </w:rPr>
        <w:t>31</w:t>
      </w:r>
      <w:r w:rsidRPr="00875077">
        <w:rPr>
          <w:rFonts w:eastAsia="Times New Roman"/>
          <w:color w:val="000000" w:themeColor="text1"/>
          <w:lang w:eastAsia="nl-BE"/>
        </w:rPr>
        <w:t>:10-14.</w:t>
      </w:r>
    </w:p>
    <w:p w14:paraId="596B4742" w14:textId="77777777" w:rsidR="00D11E40" w:rsidRPr="00875077" w:rsidRDefault="00D11E40" w:rsidP="00D11E40">
      <w:pPr>
        <w:spacing w:line="480" w:lineRule="auto"/>
        <w:rPr>
          <w:rFonts w:eastAsia="Times New Roman"/>
          <w:color w:val="000000" w:themeColor="text1"/>
        </w:rPr>
      </w:pPr>
      <w:r w:rsidRPr="00875077">
        <w:rPr>
          <w:rFonts w:eastAsia="Times New Roman"/>
          <w:color w:val="000000" w:themeColor="text1"/>
          <w:lang w:eastAsia="nl-BE"/>
        </w:rPr>
        <w:t xml:space="preserve">22. </w:t>
      </w:r>
      <w:proofErr w:type="spellStart"/>
      <w:r w:rsidRPr="00875077">
        <w:rPr>
          <w:rFonts w:eastAsia="Times New Roman"/>
          <w:color w:val="000000" w:themeColor="text1"/>
          <w:shd w:val="clear" w:color="auto" w:fill="FFFFFF"/>
        </w:rPr>
        <w:t>Byblow</w:t>
      </w:r>
      <w:proofErr w:type="spellEnd"/>
      <w:r w:rsidRPr="00875077">
        <w:rPr>
          <w:rFonts w:eastAsia="Times New Roman"/>
          <w:color w:val="000000" w:themeColor="text1"/>
          <w:shd w:val="clear" w:color="auto" w:fill="FFFFFF"/>
        </w:rPr>
        <w:t xml:space="preserve"> WD, </w:t>
      </w:r>
      <w:proofErr w:type="spellStart"/>
      <w:r w:rsidRPr="00875077">
        <w:rPr>
          <w:rFonts w:eastAsia="Times New Roman"/>
          <w:color w:val="000000" w:themeColor="text1"/>
          <w:shd w:val="clear" w:color="auto" w:fill="FFFFFF"/>
        </w:rPr>
        <w:t>Stinear</w:t>
      </w:r>
      <w:proofErr w:type="spellEnd"/>
      <w:r w:rsidRPr="00875077">
        <w:rPr>
          <w:rFonts w:eastAsia="Times New Roman"/>
          <w:color w:val="000000" w:themeColor="text1"/>
          <w:shd w:val="clear" w:color="auto" w:fill="FFFFFF"/>
        </w:rPr>
        <w:t xml:space="preserve"> CM, Barber PA et al. Proportional recovery after stroke depends on </w:t>
      </w:r>
      <w:proofErr w:type="spellStart"/>
      <w:r w:rsidRPr="00875077">
        <w:rPr>
          <w:rFonts w:eastAsia="Times New Roman"/>
          <w:color w:val="000000" w:themeColor="text1"/>
          <w:shd w:val="clear" w:color="auto" w:fill="FFFFFF"/>
        </w:rPr>
        <w:t>corticomotor</w:t>
      </w:r>
      <w:proofErr w:type="spellEnd"/>
      <w:r w:rsidRPr="00875077">
        <w:rPr>
          <w:rFonts w:eastAsia="Times New Roman"/>
          <w:color w:val="000000" w:themeColor="text1"/>
          <w:shd w:val="clear" w:color="auto" w:fill="FFFFFF"/>
        </w:rPr>
        <w:t xml:space="preserve"> integrity. Ann </w:t>
      </w:r>
      <w:proofErr w:type="spellStart"/>
      <w:r w:rsidRPr="00875077">
        <w:rPr>
          <w:rFonts w:eastAsia="Times New Roman"/>
          <w:color w:val="000000" w:themeColor="text1"/>
          <w:shd w:val="clear" w:color="auto" w:fill="FFFFFF"/>
        </w:rPr>
        <w:t>Neurol</w:t>
      </w:r>
      <w:proofErr w:type="spellEnd"/>
      <w:r w:rsidRPr="00875077">
        <w:rPr>
          <w:rFonts w:eastAsia="Times New Roman"/>
          <w:color w:val="000000" w:themeColor="text1"/>
          <w:shd w:val="clear" w:color="auto" w:fill="FFFFFF"/>
        </w:rPr>
        <w:t xml:space="preserve"> 2015; 78(6):848-59.</w:t>
      </w:r>
    </w:p>
    <w:p w14:paraId="05B4FF6B" w14:textId="77777777" w:rsidR="00B0316B" w:rsidRPr="00875077" w:rsidRDefault="00B0316B" w:rsidP="00D11E40">
      <w:pPr>
        <w:pStyle w:val="EndNoteBibliography"/>
        <w:spacing w:after="0" w:line="480" w:lineRule="auto"/>
        <w:rPr>
          <w:vertAlign w:val="superscript"/>
        </w:rPr>
      </w:pPr>
    </w:p>
    <w:sectPr w:rsidR="00B0316B" w:rsidRPr="00875077" w:rsidSect="00C84537">
      <w:footerReference w:type="default" r:id="rId8"/>
      <w:type w:val="continuous"/>
      <w:pgSz w:w="11900" w:h="16840"/>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0877" w14:textId="77777777" w:rsidR="004911AF" w:rsidRDefault="004911AF" w:rsidP="00D4703D">
      <w:r>
        <w:separator/>
      </w:r>
    </w:p>
  </w:endnote>
  <w:endnote w:type="continuationSeparator" w:id="0">
    <w:p w14:paraId="1F0192F2" w14:textId="77777777" w:rsidR="004911AF" w:rsidRDefault="004911AF" w:rsidP="00D4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6575"/>
      <w:docPartObj>
        <w:docPartGallery w:val="Page Numbers (Bottom of Page)"/>
        <w:docPartUnique/>
      </w:docPartObj>
    </w:sdtPr>
    <w:sdtEndPr>
      <w:rPr>
        <w:noProof/>
      </w:rPr>
    </w:sdtEndPr>
    <w:sdtContent>
      <w:p w14:paraId="5750FFF4" w14:textId="6624CAF8" w:rsidR="00090566" w:rsidRDefault="00090566">
        <w:pPr>
          <w:pStyle w:val="Footer"/>
          <w:jc w:val="right"/>
        </w:pPr>
        <w:r>
          <w:fldChar w:fldCharType="begin"/>
        </w:r>
        <w:r>
          <w:instrText xml:space="preserve"> PAGE   \* MERGEFORMAT </w:instrText>
        </w:r>
        <w:r>
          <w:fldChar w:fldCharType="separate"/>
        </w:r>
        <w:r w:rsidR="00F371EB">
          <w:rPr>
            <w:noProof/>
          </w:rPr>
          <w:t>17</w:t>
        </w:r>
        <w:r>
          <w:rPr>
            <w:noProof/>
          </w:rPr>
          <w:fldChar w:fldCharType="end"/>
        </w:r>
      </w:p>
    </w:sdtContent>
  </w:sdt>
  <w:p w14:paraId="764D0E9C" w14:textId="77777777" w:rsidR="00090566" w:rsidRDefault="00090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6ADED" w14:textId="77777777" w:rsidR="004911AF" w:rsidRDefault="004911AF" w:rsidP="00D4703D">
      <w:r>
        <w:separator/>
      </w:r>
    </w:p>
  </w:footnote>
  <w:footnote w:type="continuationSeparator" w:id="0">
    <w:p w14:paraId="324E3C37" w14:textId="77777777" w:rsidR="004911AF" w:rsidRDefault="004911AF" w:rsidP="00D47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477"/>
    <w:multiLevelType w:val="hybridMultilevel"/>
    <w:tmpl w:val="7A3819C4"/>
    <w:lvl w:ilvl="0" w:tplc="FB5ECBF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A4E65"/>
    <w:multiLevelType w:val="hybridMultilevel"/>
    <w:tmpl w:val="66CC0CF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1DE14AE"/>
    <w:multiLevelType w:val="hybridMultilevel"/>
    <w:tmpl w:val="0CEC1780"/>
    <w:lvl w:ilvl="0" w:tplc="04090001">
      <w:start w:val="1"/>
      <w:numFmt w:val="bullet"/>
      <w:lvlText w:val=""/>
      <w:lvlJc w:val="left"/>
      <w:pPr>
        <w:ind w:left="7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6B"/>
    <w:rsid w:val="00017C43"/>
    <w:rsid w:val="00017DE0"/>
    <w:rsid w:val="00026D74"/>
    <w:rsid w:val="00027648"/>
    <w:rsid w:val="00030AAB"/>
    <w:rsid w:val="00032AE5"/>
    <w:rsid w:val="00042947"/>
    <w:rsid w:val="00051A9D"/>
    <w:rsid w:val="00055646"/>
    <w:rsid w:val="00066D05"/>
    <w:rsid w:val="00073DAF"/>
    <w:rsid w:val="00075FE2"/>
    <w:rsid w:val="00087335"/>
    <w:rsid w:val="00090566"/>
    <w:rsid w:val="00095F96"/>
    <w:rsid w:val="000A0198"/>
    <w:rsid w:val="000A107B"/>
    <w:rsid w:val="000A6F62"/>
    <w:rsid w:val="000B122C"/>
    <w:rsid w:val="000C2BA1"/>
    <w:rsid w:val="000C4B14"/>
    <w:rsid w:val="000E021C"/>
    <w:rsid w:val="000E1D19"/>
    <w:rsid w:val="000E7CB2"/>
    <w:rsid w:val="000F0799"/>
    <w:rsid w:val="000F5C07"/>
    <w:rsid w:val="00101E67"/>
    <w:rsid w:val="00104518"/>
    <w:rsid w:val="00126276"/>
    <w:rsid w:val="00131FA5"/>
    <w:rsid w:val="00142F13"/>
    <w:rsid w:val="00144346"/>
    <w:rsid w:val="001446ED"/>
    <w:rsid w:val="00146CAC"/>
    <w:rsid w:val="00156F34"/>
    <w:rsid w:val="001629CC"/>
    <w:rsid w:val="00175360"/>
    <w:rsid w:val="0017643F"/>
    <w:rsid w:val="001768BF"/>
    <w:rsid w:val="001817AC"/>
    <w:rsid w:val="001922EE"/>
    <w:rsid w:val="0019591B"/>
    <w:rsid w:val="001A7E93"/>
    <w:rsid w:val="001C0D84"/>
    <w:rsid w:val="001C5738"/>
    <w:rsid w:val="001E2775"/>
    <w:rsid w:val="00201E8D"/>
    <w:rsid w:val="00202002"/>
    <w:rsid w:val="002056D4"/>
    <w:rsid w:val="0021004C"/>
    <w:rsid w:val="002141E5"/>
    <w:rsid w:val="00214733"/>
    <w:rsid w:val="002202F5"/>
    <w:rsid w:val="00225E1E"/>
    <w:rsid w:val="0023485F"/>
    <w:rsid w:val="00256CD4"/>
    <w:rsid w:val="002635FE"/>
    <w:rsid w:val="00263F0F"/>
    <w:rsid w:val="0026635A"/>
    <w:rsid w:val="0027512A"/>
    <w:rsid w:val="0027755B"/>
    <w:rsid w:val="002840F2"/>
    <w:rsid w:val="002907D3"/>
    <w:rsid w:val="002912CD"/>
    <w:rsid w:val="0029519E"/>
    <w:rsid w:val="002A246E"/>
    <w:rsid w:val="002B1193"/>
    <w:rsid w:val="002B1A57"/>
    <w:rsid w:val="002B344A"/>
    <w:rsid w:val="002B7D07"/>
    <w:rsid w:val="002C4979"/>
    <w:rsid w:val="002C4BA8"/>
    <w:rsid w:val="002E2312"/>
    <w:rsid w:val="002F74ED"/>
    <w:rsid w:val="00310428"/>
    <w:rsid w:val="003209D1"/>
    <w:rsid w:val="0032213E"/>
    <w:rsid w:val="0032340F"/>
    <w:rsid w:val="00325253"/>
    <w:rsid w:val="003277E8"/>
    <w:rsid w:val="00332C3A"/>
    <w:rsid w:val="003336A6"/>
    <w:rsid w:val="00334428"/>
    <w:rsid w:val="00344772"/>
    <w:rsid w:val="00347E35"/>
    <w:rsid w:val="0035090C"/>
    <w:rsid w:val="003548D6"/>
    <w:rsid w:val="00383419"/>
    <w:rsid w:val="00383748"/>
    <w:rsid w:val="0038437D"/>
    <w:rsid w:val="0038686D"/>
    <w:rsid w:val="00387A46"/>
    <w:rsid w:val="003912D6"/>
    <w:rsid w:val="00392038"/>
    <w:rsid w:val="00394A29"/>
    <w:rsid w:val="003B07AE"/>
    <w:rsid w:val="003B70D4"/>
    <w:rsid w:val="003C16B8"/>
    <w:rsid w:val="003C29C2"/>
    <w:rsid w:val="003C35B0"/>
    <w:rsid w:val="003C6E3E"/>
    <w:rsid w:val="003D7D87"/>
    <w:rsid w:val="003F05B5"/>
    <w:rsid w:val="003F15F7"/>
    <w:rsid w:val="003F5BC5"/>
    <w:rsid w:val="0040209E"/>
    <w:rsid w:val="004043A1"/>
    <w:rsid w:val="00406DF6"/>
    <w:rsid w:val="00407F45"/>
    <w:rsid w:val="00410414"/>
    <w:rsid w:val="00413438"/>
    <w:rsid w:val="00414F27"/>
    <w:rsid w:val="00427657"/>
    <w:rsid w:val="004300D0"/>
    <w:rsid w:val="00442317"/>
    <w:rsid w:val="00451D77"/>
    <w:rsid w:val="004537C0"/>
    <w:rsid w:val="00456F66"/>
    <w:rsid w:val="00456FB5"/>
    <w:rsid w:val="00465FA5"/>
    <w:rsid w:val="0048023F"/>
    <w:rsid w:val="004911AF"/>
    <w:rsid w:val="004B3D88"/>
    <w:rsid w:val="004B565E"/>
    <w:rsid w:val="004C69D6"/>
    <w:rsid w:val="004D4BB4"/>
    <w:rsid w:val="004D50D0"/>
    <w:rsid w:val="004E0D88"/>
    <w:rsid w:val="004E7619"/>
    <w:rsid w:val="004F22F9"/>
    <w:rsid w:val="004F62FF"/>
    <w:rsid w:val="005015D1"/>
    <w:rsid w:val="0050163A"/>
    <w:rsid w:val="00503C13"/>
    <w:rsid w:val="00505666"/>
    <w:rsid w:val="00512872"/>
    <w:rsid w:val="00523CDB"/>
    <w:rsid w:val="0053771E"/>
    <w:rsid w:val="00541301"/>
    <w:rsid w:val="0055065D"/>
    <w:rsid w:val="0055089A"/>
    <w:rsid w:val="0055461D"/>
    <w:rsid w:val="00555741"/>
    <w:rsid w:val="005579F3"/>
    <w:rsid w:val="0056762C"/>
    <w:rsid w:val="005817ED"/>
    <w:rsid w:val="00581A5D"/>
    <w:rsid w:val="005B40C4"/>
    <w:rsid w:val="005B451D"/>
    <w:rsid w:val="005C0609"/>
    <w:rsid w:val="005C0E0F"/>
    <w:rsid w:val="005C3F08"/>
    <w:rsid w:val="005C4D3E"/>
    <w:rsid w:val="005C4D8F"/>
    <w:rsid w:val="005C4F89"/>
    <w:rsid w:val="005E24E3"/>
    <w:rsid w:val="005E4F1A"/>
    <w:rsid w:val="005E6EC7"/>
    <w:rsid w:val="005F03B4"/>
    <w:rsid w:val="00612542"/>
    <w:rsid w:val="0061535B"/>
    <w:rsid w:val="00620323"/>
    <w:rsid w:val="00630D69"/>
    <w:rsid w:val="00631095"/>
    <w:rsid w:val="00636AA5"/>
    <w:rsid w:val="0064732A"/>
    <w:rsid w:val="00651DF6"/>
    <w:rsid w:val="0065696E"/>
    <w:rsid w:val="00657936"/>
    <w:rsid w:val="00657FB9"/>
    <w:rsid w:val="00661310"/>
    <w:rsid w:val="00672F9C"/>
    <w:rsid w:val="00673BDE"/>
    <w:rsid w:val="00674B3A"/>
    <w:rsid w:val="006871A0"/>
    <w:rsid w:val="006935BF"/>
    <w:rsid w:val="00694E5E"/>
    <w:rsid w:val="00697757"/>
    <w:rsid w:val="006A3A9B"/>
    <w:rsid w:val="006B0C36"/>
    <w:rsid w:val="006B20AB"/>
    <w:rsid w:val="006C0735"/>
    <w:rsid w:val="006C5DA4"/>
    <w:rsid w:val="006D68AC"/>
    <w:rsid w:val="0070001B"/>
    <w:rsid w:val="00704B68"/>
    <w:rsid w:val="00705668"/>
    <w:rsid w:val="00717DA0"/>
    <w:rsid w:val="00720E51"/>
    <w:rsid w:val="00722CA9"/>
    <w:rsid w:val="00732A9E"/>
    <w:rsid w:val="00740CD4"/>
    <w:rsid w:val="00741164"/>
    <w:rsid w:val="00741FC9"/>
    <w:rsid w:val="00753BFB"/>
    <w:rsid w:val="00756E2F"/>
    <w:rsid w:val="0075717C"/>
    <w:rsid w:val="007574AD"/>
    <w:rsid w:val="0076247C"/>
    <w:rsid w:val="007818C2"/>
    <w:rsid w:val="007820C4"/>
    <w:rsid w:val="00784A6F"/>
    <w:rsid w:val="00786E35"/>
    <w:rsid w:val="007A609F"/>
    <w:rsid w:val="007A7398"/>
    <w:rsid w:val="007B2C81"/>
    <w:rsid w:val="007D2821"/>
    <w:rsid w:val="007E124B"/>
    <w:rsid w:val="007F3271"/>
    <w:rsid w:val="007F6E5E"/>
    <w:rsid w:val="00802527"/>
    <w:rsid w:val="00807CDE"/>
    <w:rsid w:val="00811EA3"/>
    <w:rsid w:val="00817217"/>
    <w:rsid w:val="008256F5"/>
    <w:rsid w:val="008279EF"/>
    <w:rsid w:val="00827FB1"/>
    <w:rsid w:val="00832F2D"/>
    <w:rsid w:val="008346EB"/>
    <w:rsid w:val="00843389"/>
    <w:rsid w:val="00863BA7"/>
    <w:rsid w:val="00866872"/>
    <w:rsid w:val="00875077"/>
    <w:rsid w:val="00885514"/>
    <w:rsid w:val="00890170"/>
    <w:rsid w:val="008A42D0"/>
    <w:rsid w:val="008C0630"/>
    <w:rsid w:val="008C2647"/>
    <w:rsid w:val="008D15AE"/>
    <w:rsid w:val="008D259E"/>
    <w:rsid w:val="008E5AB9"/>
    <w:rsid w:val="008E7A49"/>
    <w:rsid w:val="008E7C27"/>
    <w:rsid w:val="008F5D81"/>
    <w:rsid w:val="0090176A"/>
    <w:rsid w:val="00912E68"/>
    <w:rsid w:val="00916161"/>
    <w:rsid w:val="00924DCB"/>
    <w:rsid w:val="00926338"/>
    <w:rsid w:val="00931E37"/>
    <w:rsid w:val="009332BC"/>
    <w:rsid w:val="00940963"/>
    <w:rsid w:val="00947428"/>
    <w:rsid w:val="009533C7"/>
    <w:rsid w:val="009605EE"/>
    <w:rsid w:val="0096664A"/>
    <w:rsid w:val="00972527"/>
    <w:rsid w:val="00974502"/>
    <w:rsid w:val="0098357B"/>
    <w:rsid w:val="00987D54"/>
    <w:rsid w:val="009A0AAA"/>
    <w:rsid w:val="009A52A4"/>
    <w:rsid w:val="009A5E05"/>
    <w:rsid w:val="009B1591"/>
    <w:rsid w:val="009B6506"/>
    <w:rsid w:val="009B7A17"/>
    <w:rsid w:val="009C069E"/>
    <w:rsid w:val="009D0CEA"/>
    <w:rsid w:val="009D6A8B"/>
    <w:rsid w:val="009D7B85"/>
    <w:rsid w:val="00A06A9E"/>
    <w:rsid w:val="00A1330B"/>
    <w:rsid w:val="00A22B5B"/>
    <w:rsid w:val="00A2325B"/>
    <w:rsid w:val="00A2788A"/>
    <w:rsid w:val="00A34873"/>
    <w:rsid w:val="00A3695F"/>
    <w:rsid w:val="00A41FEA"/>
    <w:rsid w:val="00A4547F"/>
    <w:rsid w:val="00A52F39"/>
    <w:rsid w:val="00A6137F"/>
    <w:rsid w:val="00A64A5C"/>
    <w:rsid w:val="00A65135"/>
    <w:rsid w:val="00A7314B"/>
    <w:rsid w:val="00A81862"/>
    <w:rsid w:val="00A82961"/>
    <w:rsid w:val="00A90A3F"/>
    <w:rsid w:val="00A96FC9"/>
    <w:rsid w:val="00AA328F"/>
    <w:rsid w:val="00AA3DD2"/>
    <w:rsid w:val="00AA7BDE"/>
    <w:rsid w:val="00AB19E4"/>
    <w:rsid w:val="00AB6FF4"/>
    <w:rsid w:val="00AC3CC3"/>
    <w:rsid w:val="00AC620B"/>
    <w:rsid w:val="00AD4728"/>
    <w:rsid w:val="00AE1071"/>
    <w:rsid w:val="00AE3C85"/>
    <w:rsid w:val="00AE6F25"/>
    <w:rsid w:val="00AF115D"/>
    <w:rsid w:val="00AF4D78"/>
    <w:rsid w:val="00B0011A"/>
    <w:rsid w:val="00B00740"/>
    <w:rsid w:val="00B0316B"/>
    <w:rsid w:val="00B222F0"/>
    <w:rsid w:val="00B3072E"/>
    <w:rsid w:val="00B362E6"/>
    <w:rsid w:val="00B4243C"/>
    <w:rsid w:val="00B46935"/>
    <w:rsid w:val="00B515C9"/>
    <w:rsid w:val="00B55CB1"/>
    <w:rsid w:val="00B60830"/>
    <w:rsid w:val="00B63600"/>
    <w:rsid w:val="00B84645"/>
    <w:rsid w:val="00B86E08"/>
    <w:rsid w:val="00B877BD"/>
    <w:rsid w:val="00B94C21"/>
    <w:rsid w:val="00BA13CC"/>
    <w:rsid w:val="00BA418A"/>
    <w:rsid w:val="00BA627B"/>
    <w:rsid w:val="00BA785A"/>
    <w:rsid w:val="00BB0AFC"/>
    <w:rsid w:val="00BB65D2"/>
    <w:rsid w:val="00BC059F"/>
    <w:rsid w:val="00BC05C8"/>
    <w:rsid w:val="00BD0D9A"/>
    <w:rsid w:val="00BD6A5F"/>
    <w:rsid w:val="00BD7D74"/>
    <w:rsid w:val="00BE0886"/>
    <w:rsid w:val="00BE2FE5"/>
    <w:rsid w:val="00BF6273"/>
    <w:rsid w:val="00C03701"/>
    <w:rsid w:val="00C06B9E"/>
    <w:rsid w:val="00C06BC7"/>
    <w:rsid w:val="00C07A85"/>
    <w:rsid w:val="00C245D2"/>
    <w:rsid w:val="00C36EEA"/>
    <w:rsid w:val="00C54FC2"/>
    <w:rsid w:val="00C639FA"/>
    <w:rsid w:val="00C77D10"/>
    <w:rsid w:val="00C824CF"/>
    <w:rsid w:val="00C84537"/>
    <w:rsid w:val="00C96BA2"/>
    <w:rsid w:val="00CA5B71"/>
    <w:rsid w:val="00CB2A08"/>
    <w:rsid w:val="00CC4408"/>
    <w:rsid w:val="00CD71CD"/>
    <w:rsid w:val="00CE0BE3"/>
    <w:rsid w:val="00D11E40"/>
    <w:rsid w:val="00D24286"/>
    <w:rsid w:val="00D40C85"/>
    <w:rsid w:val="00D4574C"/>
    <w:rsid w:val="00D4703D"/>
    <w:rsid w:val="00D47E37"/>
    <w:rsid w:val="00D5093D"/>
    <w:rsid w:val="00D54B64"/>
    <w:rsid w:val="00D55C5D"/>
    <w:rsid w:val="00D674EF"/>
    <w:rsid w:val="00D74713"/>
    <w:rsid w:val="00D87BBC"/>
    <w:rsid w:val="00D90D10"/>
    <w:rsid w:val="00D96FAB"/>
    <w:rsid w:val="00DA3224"/>
    <w:rsid w:val="00DB321A"/>
    <w:rsid w:val="00DB3423"/>
    <w:rsid w:val="00DB3764"/>
    <w:rsid w:val="00DB3E91"/>
    <w:rsid w:val="00DC0F9A"/>
    <w:rsid w:val="00DD3198"/>
    <w:rsid w:val="00DE0914"/>
    <w:rsid w:val="00E114A9"/>
    <w:rsid w:val="00E11CFD"/>
    <w:rsid w:val="00E215AB"/>
    <w:rsid w:val="00E253D6"/>
    <w:rsid w:val="00E27A24"/>
    <w:rsid w:val="00E36372"/>
    <w:rsid w:val="00E449F1"/>
    <w:rsid w:val="00E53DD7"/>
    <w:rsid w:val="00E62291"/>
    <w:rsid w:val="00E77457"/>
    <w:rsid w:val="00E827F5"/>
    <w:rsid w:val="00E839DE"/>
    <w:rsid w:val="00E83AD7"/>
    <w:rsid w:val="00E85A18"/>
    <w:rsid w:val="00E85B70"/>
    <w:rsid w:val="00E85E6C"/>
    <w:rsid w:val="00E95D66"/>
    <w:rsid w:val="00EA2D04"/>
    <w:rsid w:val="00EA6326"/>
    <w:rsid w:val="00EA7A23"/>
    <w:rsid w:val="00EB7BCB"/>
    <w:rsid w:val="00ED49DD"/>
    <w:rsid w:val="00ED6611"/>
    <w:rsid w:val="00EE1C80"/>
    <w:rsid w:val="00EF3A68"/>
    <w:rsid w:val="00F013A7"/>
    <w:rsid w:val="00F06517"/>
    <w:rsid w:val="00F1211F"/>
    <w:rsid w:val="00F13AB9"/>
    <w:rsid w:val="00F26C5F"/>
    <w:rsid w:val="00F2752A"/>
    <w:rsid w:val="00F371EB"/>
    <w:rsid w:val="00F4335F"/>
    <w:rsid w:val="00F43800"/>
    <w:rsid w:val="00F46C1F"/>
    <w:rsid w:val="00F540AF"/>
    <w:rsid w:val="00F56CBF"/>
    <w:rsid w:val="00F6120C"/>
    <w:rsid w:val="00F630E6"/>
    <w:rsid w:val="00F72880"/>
    <w:rsid w:val="00FB0F55"/>
    <w:rsid w:val="00FB2FCF"/>
    <w:rsid w:val="00FB375E"/>
    <w:rsid w:val="00FD3389"/>
    <w:rsid w:val="00FD371C"/>
    <w:rsid w:val="00FF26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196A"/>
  <w15:docId w15:val="{EB564524-6C75-4E1F-B679-60FDD5AD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FB9"/>
    <w:rPr>
      <w:rFonts w:ascii="Times New Roman" w:hAnsi="Times New Roman" w:cs="Times New Roman"/>
    </w:rPr>
  </w:style>
  <w:style w:type="paragraph" w:styleId="Heading3">
    <w:name w:val="heading 3"/>
    <w:basedOn w:val="Normal"/>
    <w:link w:val="Heading3Char"/>
    <w:uiPriority w:val="9"/>
    <w:qFormat/>
    <w:rsid w:val="00B0316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316B"/>
    <w:rPr>
      <w:rFonts w:ascii="Times New Roman" w:hAnsi="Times New Roman" w:cs="Times New Roman"/>
      <w:b/>
      <w:bCs/>
      <w:sz w:val="27"/>
      <w:szCs w:val="27"/>
    </w:rPr>
  </w:style>
  <w:style w:type="character" w:styleId="Hyperlink">
    <w:name w:val="Hyperlink"/>
    <w:basedOn w:val="DefaultParagraphFont"/>
    <w:uiPriority w:val="99"/>
    <w:unhideWhenUsed/>
    <w:rsid w:val="00B0316B"/>
    <w:rPr>
      <w:color w:val="0000FF"/>
      <w:u w:val="single"/>
    </w:rPr>
  </w:style>
  <w:style w:type="character" w:customStyle="1" w:styleId="creators">
    <w:name w:val="creators"/>
    <w:basedOn w:val="DefaultParagraphFont"/>
    <w:rsid w:val="00B0316B"/>
  </w:style>
  <w:style w:type="character" w:customStyle="1" w:styleId="personname">
    <w:name w:val="person_name"/>
    <w:basedOn w:val="DefaultParagraphFont"/>
    <w:rsid w:val="00B0316B"/>
  </w:style>
  <w:style w:type="character" w:customStyle="1" w:styleId="apple-converted-space">
    <w:name w:val="apple-converted-space"/>
    <w:basedOn w:val="DefaultParagraphFont"/>
    <w:rsid w:val="00B0316B"/>
  </w:style>
  <w:style w:type="character" w:customStyle="1" w:styleId="date1">
    <w:name w:val="date1"/>
    <w:basedOn w:val="DefaultParagraphFont"/>
    <w:rsid w:val="00B0316B"/>
  </w:style>
  <w:style w:type="paragraph" w:styleId="NormalWeb">
    <w:name w:val="Normal (Web)"/>
    <w:basedOn w:val="Normal"/>
    <w:uiPriority w:val="99"/>
    <w:semiHidden/>
    <w:unhideWhenUsed/>
    <w:rsid w:val="00BC05C8"/>
    <w:pPr>
      <w:spacing w:before="100" w:beforeAutospacing="1" w:after="100" w:afterAutospacing="1"/>
    </w:pPr>
    <w:rPr>
      <w:rFonts w:eastAsia="Times New Roman"/>
      <w:lang w:val="nl-BE" w:eastAsia="nl-BE"/>
    </w:rPr>
  </w:style>
  <w:style w:type="paragraph" w:styleId="Caption">
    <w:name w:val="caption"/>
    <w:basedOn w:val="Normal"/>
    <w:next w:val="Normal"/>
    <w:link w:val="CaptionChar"/>
    <w:autoRedefine/>
    <w:uiPriority w:val="35"/>
    <w:unhideWhenUsed/>
    <w:qFormat/>
    <w:rsid w:val="00410414"/>
    <w:pPr>
      <w:keepNext/>
      <w:shd w:val="clear" w:color="auto" w:fill="FFFFFF"/>
      <w:tabs>
        <w:tab w:val="center" w:pos="4252"/>
        <w:tab w:val="left" w:pos="5961"/>
      </w:tabs>
      <w:spacing w:after="240"/>
      <w:jc w:val="center"/>
    </w:pPr>
    <w:rPr>
      <w:rFonts w:ascii="Arial" w:eastAsia="Calibri" w:hAnsi="Arial" w:cs="Arial"/>
      <w:b/>
      <w:bCs/>
      <w:noProof/>
      <w:sz w:val="20"/>
      <w:szCs w:val="20"/>
      <w:lang w:val="en-GB" w:eastAsia="en-GB"/>
    </w:rPr>
  </w:style>
  <w:style w:type="character" w:customStyle="1" w:styleId="CaptionChar">
    <w:name w:val="Caption Char"/>
    <w:link w:val="Caption"/>
    <w:uiPriority w:val="35"/>
    <w:rsid w:val="00410414"/>
    <w:rPr>
      <w:rFonts w:ascii="Arial" w:eastAsia="Calibri" w:hAnsi="Arial" w:cs="Arial"/>
      <w:b/>
      <w:bCs/>
      <w:noProof/>
      <w:sz w:val="20"/>
      <w:szCs w:val="20"/>
      <w:shd w:val="clear" w:color="auto" w:fill="FFFFFF"/>
      <w:lang w:val="en-GB" w:eastAsia="en-GB"/>
    </w:rPr>
  </w:style>
  <w:style w:type="paragraph" w:styleId="BalloonText">
    <w:name w:val="Balloon Text"/>
    <w:basedOn w:val="Normal"/>
    <w:link w:val="BalloonTextChar"/>
    <w:uiPriority w:val="99"/>
    <w:semiHidden/>
    <w:unhideWhenUsed/>
    <w:rsid w:val="00732A9E"/>
    <w:rPr>
      <w:rFonts w:ascii="Tahoma" w:hAnsi="Tahoma" w:cs="Tahoma"/>
      <w:sz w:val="16"/>
      <w:szCs w:val="16"/>
    </w:rPr>
  </w:style>
  <w:style w:type="character" w:customStyle="1" w:styleId="BalloonTextChar">
    <w:name w:val="Balloon Text Char"/>
    <w:basedOn w:val="DefaultParagraphFont"/>
    <w:link w:val="BalloonText"/>
    <w:uiPriority w:val="99"/>
    <w:semiHidden/>
    <w:rsid w:val="00732A9E"/>
    <w:rPr>
      <w:rFonts w:ascii="Tahoma" w:hAnsi="Tahoma" w:cs="Tahoma"/>
      <w:sz w:val="16"/>
      <w:szCs w:val="16"/>
    </w:rPr>
  </w:style>
  <w:style w:type="character" w:customStyle="1" w:styleId="interref">
    <w:name w:val="interref"/>
    <w:basedOn w:val="DefaultParagraphFont"/>
    <w:rsid w:val="00C77D10"/>
    <w:rPr>
      <w:vanish w:val="0"/>
      <w:webHidden w:val="0"/>
      <w:sz w:val="24"/>
      <w:szCs w:val="24"/>
      <w:bdr w:val="none" w:sz="0" w:space="0" w:color="auto" w:frame="1"/>
      <w:vertAlign w:val="baseline"/>
      <w:specVanish w:val="0"/>
    </w:rPr>
  </w:style>
  <w:style w:type="paragraph" w:customStyle="1" w:styleId="EndNoteBibliography">
    <w:name w:val="EndNote Bibliography"/>
    <w:basedOn w:val="Normal"/>
    <w:link w:val="EndNoteBibliographyChar"/>
    <w:rsid w:val="00334428"/>
    <w:pPr>
      <w:spacing w:after="200"/>
    </w:pPr>
    <w:rPr>
      <w:rFonts w:ascii="Arial" w:eastAsia="Calibri" w:hAnsi="Arial" w:cs="Arial"/>
      <w:noProof/>
      <w:color w:val="000000" w:themeColor="text1"/>
      <w:szCs w:val="22"/>
    </w:rPr>
  </w:style>
  <w:style w:type="character" w:customStyle="1" w:styleId="EndNoteBibliographyChar">
    <w:name w:val="EndNote Bibliography Char"/>
    <w:link w:val="EndNoteBibliography"/>
    <w:rsid w:val="00334428"/>
    <w:rPr>
      <w:rFonts w:ascii="Arial" w:eastAsia="Calibri" w:hAnsi="Arial" w:cs="Arial"/>
      <w:noProof/>
      <w:color w:val="000000" w:themeColor="text1"/>
      <w:szCs w:val="22"/>
    </w:rPr>
  </w:style>
  <w:style w:type="paragraph" w:styleId="Header">
    <w:name w:val="header"/>
    <w:basedOn w:val="Normal"/>
    <w:link w:val="HeaderChar"/>
    <w:uiPriority w:val="99"/>
    <w:unhideWhenUsed/>
    <w:rsid w:val="00D4703D"/>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D4703D"/>
  </w:style>
  <w:style w:type="paragraph" w:styleId="Footer">
    <w:name w:val="footer"/>
    <w:basedOn w:val="Normal"/>
    <w:link w:val="FooterChar"/>
    <w:uiPriority w:val="99"/>
    <w:unhideWhenUsed/>
    <w:rsid w:val="00D4703D"/>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D4703D"/>
  </w:style>
  <w:style w:type="character" w:styleId="CommentReference">
    <w:name w:val="annotation reference"/>
    <w:basedOn w:val="DefaultParagraphFont"/>
    <w:uiPriority w:val="99"/>
    <w:semiHidden/>
    <w:unhideWhenUsed/>
    <w:rsid w:val="008C0630"/>
    <w:rPr>
      <w:sz w:val="16"/>
      <w:szCs w:val="16"/>
    </w:rPr>
  </w:style>
  <w:style w:type="paragraph" w:styleId="CommentText">
    <w:name w:val="annotation text"/>
    <w:basedOn w:val="Normal"/>
    <w:link w:val="CommentTextChar"/>
    <w:uiPriority w:val="99"/>
    <w:unhideWhenUsed/>
    <w:rsid w:val="008C0630"/>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0630"/>
    <w:rPr>
      <w:sz w:val="20"/>
      <w:szCs w:val="20"/>
    </w:rPr>
  </w:style>
  <w:style w:type="paragraph" w:styleId="CommentSubject">
    <w:name w:val="annotation subject"/>
    <w:basedOn w:val="CommentText"/>
    <w:next w:val="CommentText"/>
    <w:link w:val="CommentSubjectChar"/>
    <w:uiPriority w:val="99"/>
    <w:semiHidden/>
    <w:unhideWhenUsed/>
    <w:rsid w:val="008C0630"/>
    <w:rPr>
      <w:b/>
      <w:bCs/>
    </w:rPr>
  </w:style>
  <w:style w:type="character" w:customStyle="1" w:styleId="CommentSubjectChar">
    <w:name w:val="Comment Subject Char"/>
    <w:basedOn w:val="CommentTextChar"/>
    <w:link w:val="CommentSubject"/>
    <w:uiPriority w:val="99"/>
    <w:semiHidden/>
    <w:rsid w:val="008C0630"/>
    <w:rPr>
      <w:b/>
      <w:bCs/>
      <w:sz w:val="20"/>
      <w:szCs w:val="20"/>
    </w:rPr>
  </w:style>
  <w:style w:type="paragraph" w:customStyle="1" w:styleId="Body">
    <w:name w:val="Body"/>
    <w:rsid w:val="00E85A18"/>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839">
      <w:bodyDiv w:val="1"/>
      <w:marLeft w:val="0"/>
      <w:marRight w:val="0"/>
      <w:marTop w:val="0"/>
      <w:marBottom w:val="0"/>
      <w:divBdr>
        <w:top w:val="none" w:sz="0" w:space="0" w:color="auto"/>
        <w:left w:val="none" w:sz="0" w:space="0" w:color="auto"/>
        <w:bottom w:val="none" w:sz="0" w:space="0" w:color="auto"/>
        <w:right w:val="none" w:sz="0" w:space="0" w:color="auto"/>
      </w:divBdr>
      <w:divsChild>
        <w:div w:id="117846400">
          <w:marLeft w:val="0"/>
          <w:marRight w:val="1"/>
          <w:marTop w:val="0"/>
          <w:marBottom w:val="0"/>
          <w:divBdr>
            <w:top w:val="none" w:sz="0" w:space="0" w:color="auto"/>
            <w:left w:val="none" w:sz="0" w:space="0" w:color="auto"/>
            <w:bottom w:val="none" w:sz="0" w:space="0" w:color="auto"/>
            <w:right w:val="none" w:sz="0" w:space="0" w:color="auto"/>
          </w:divBdr>
          <w:divsChild>
            <w:div w:id="2032876031">
              <w:marLeft w:val="0"/>
              <w:marRight w:val="0"/>
              <w:marTop w:val="0"/>
              <w:marBottom w:val="0"/>
              <w:divBdr>
                <w:top w:val="none" w:sz="0" w:space="0" w:color="auto"/>
                <w:left w:val="none" w:sz="0" w:space="0" w:color="auto"/>
                <w:bottom w:val="none" w:sz="0" w:space="0" w:color="auto"/>
                <w:right w:val="none" w:sz="0" w:space="0" w:color="auto"/>
              </w:divBdr>
              <w:divsChild>
                <w:div w:id="1480031187">
                  <w:marLeft w:val="0"/>
                  <w:marRight w:val="1"/>
                  <w:marTop w:val="0"/>
                  <w:marBottom w:val="0"/>
                  <w:divBdr>
                    <w:top w:val="none" w:sz="0" w:space="0" w:color="auto"/>
                    <w:left w:val="none" w:sz="0" w:space="0" w:color="auto"/>
                    <w:bottom w:val="none" w:sz="0" w:space="0" w:color="auto"/>
                    <w:right w:val="none" w:sz="0" w:space="0" w:color="auto"/>
                  </w:divBdr>
                  <w:divsChild>
                    <w:div w:id="821433344">
                      <w:marLeft w:val="0"/>
                      <w:marRight w:val="0"/>
                      <w:marTop w:val="0"/>
                      <w:marBottom w:val="0"/>
                      <w:divBdr>
                        <w:top w:val="none" w:sz="0" w:space="0" w:color="auto"/>
                        <w:left w:val="none" w:sz="0" w:space="0" w:color="auto"/>
                        <w:bottom w:val="none" w:sz="0" w:space="0" w:color="auto"/>
                        <w:right w:val="none" w:sz="0" w:space="0" w:color="auto"/>
                      </w:divBdr>
                      <w:divsChild>
                        <w:div w:id="29572635">
                          <w:marLeft w:val="0"/>
                          <w:marRight w:val="0"/>
                          <w:marTop w:val="0"/>
                          <w:marBottom w:val="0"/>
                          <w:divBdr>
                            <w:top w:val="none" w:sz="0" w:space="0" w:color="auto"/>
                            <w:left w:val="none" w:sz="0" w:space="0" w:color="auto"/>
                            <w:bottom w:val="none" w:sz="0" w:space="0" w:color="auto"/>
                            <w:right w:val="none" w:sz="0" w:space="0" w:color="auto"/>
                          </w:divBdr>
                          <w:divsChild>
                            <w:div w:id="787116687">
                              <w:marLeft w:val="0"/>
                              <w:marRight w:val="0"/>
                              <w:marTop w:val="120"/>
                              <w:marBottom w:val="360"/>
                              <w:divBdr>
                                <w:top w:val="none" w:sz="0" w:space="0" w:color="auto"/>
                                <w:left w:val="none" w:sz="0" w:space="0" w:color="auto"/>
                                <w:bottom w:val="none" w:sz="0" w:space="0" w:color="auto"/>
                                <w:right w:val="none" w:sz="0" w:space="0" w:color="auto"/>
                              </w:divBdr>
                              <w:divsChild>
                                <w:div w:id="1144545171">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55246">
      <w:bodyDiv w:val="1"/>
      <w:marLeft w:val="0"/>
      <w:marRight w:val="0"/>
      <w:marTop w:val="0"/>
      <w:marBottom w:val="0"/>
      <w:divBdr>
        <w:top w:val="none" w:sz="0" w:space="0" w:color="auto"/>
        <w:left w:val="none" w:sz="0" w:space="0" w:color="auto"/>
        <w:bottom w:val="none" w:sz="0" w:space="0" w:color="auto"/>
        <w:right w:val="none" w:sz="0" w:space="0" w:color="auto"/>
      </w:divBdr>
    </w:div>
    <w:div w:id="110974908">
      <w:bodyDiv w:val="1"/>
      <w:marLeft w:val="0"/>
      <w:marRight w:val="0"/>
      <w:marTop w:val="0"/>
      <w:marBottom w:val="0"/>
      <w:divBdr>
        <w:top w:val="none" w:sz="0" w:space="0" w:color="auto"/>
        <w:left w:val="none" w:sz="0" w:space="0" w:color="auto"/>
        <w:bottom w:val="none" w:sz="0" w:space="0" w:color="auto"/>
        <w:right w:val="none" w:sz="0" w:space="0" w:color="auto"/>
      </w:divBdr>
    </w:div>
    <w:div w:id="296836463">
      <w:bodyDiv w:val="1"/>
      <w:marLeft w:val="0"/>
      <w:marRight w:val="0"/>
      <w:marTop w:val="0"/>
      <w:marBottom w:val="0"/>
      <w:divBdr>
        <w:top w:val="none" w:sz="0" w:space="0" w:color="auto"/>
        <w:left w:val="none" w:sz="0" w:space="0" w:color="auto"/>
        <w:bottom w:val="none" w:sz="0" w:space="0" w:color="auto"/>
        <w:right w:val="none" w:sz="0" w:space="0" w:color="auto"/>
      </w:divBdr>
    </w:div>
    <w:div w:id="403263325">
      <w:bodyDiv w:val="1"/>
      <w:marLeft w:val="0"/>
      <w:marRight w:val="0"/>
      <w:marTop w:val="0"/>
      <w:marBottom w:val="0"/>
      <w:divBdr>
        <w:top w:val="none" w:sz="0" w:space="0" w:color="auto"/>
        <w:left w:val="none" w:sz="0" w:space="0" w:color="auto"/>
        <w:bottom w:val="none" w:sz="0" w:space="0" w:color="auto"/>
        <w:right w:val="none" w:sz="0" w:space="0" w:color="auto"/>
      </w:divBdr>
    </w:div>
    <w:div w:id="470710122">
      <w:bodyDiv w:val="1"/>
      <w:marLeft w:val="0"/>
      <w:marRight w:val="0"/>
      <w:marTop w:val="0"/>
      <w:marBottom w:val="0"/>
      <w:divBdr>
        <w:top w:val="none" w:sz="0" w:space="0" w:color="auto"/>
        <w:left w:val="none" w:sz="0" w:space="0" w:color="auto"/>
        <w:bottom w:val="none" w:sz="0" w:space="0" w:color="auto"/>
        <w:right w:val="none" w:sz="0" w:space="0" w:color="auto"/>
      </w:divBdr>
    </w:div>
    <w:div w:id="477379488">
      <w:bodyDiv w:val="1"/>
      <w:marLeft w:val="0"/>
      <w:marRight w:val="0"/>
      <w:marTop w:val="0"/>
      <w:marBottom w:val="0"/>
      <w:divBdr>
        <w:top w:val="none" w:sz="0" w:space="0" w:color="auto"/>
        <w:left w:val="none" w:sz="0" w:space="0" w:color="auto"/>
        <w:bottom w:val="none" w:sz="0" w:space="0" w:color="auto"/>
        <w:right w:val="none" w:sz="0" w:space="0" w:color="auto"/>
      </w:divBdr>
      <w:divsChild>
        <w:div w:id="931861783">
          <w:marLeft w:val="0"/>
          <w:marRight w:val="0"/>
          <w:marTop w:val="0"/>
          <w:marBottom w:val="0"/>
          <w:divBdr>
            <w:top w:val="none" w:sz="0" w:space="0" w:color="auto"/>
            <w:left w:val="none" w:sz="0" w:space="0" w:color="auto"/>
            <w:bottom w:val="none" w:sz="0" w:space="0" w:color="auto"/>
            <w:right w:val="none" w:sz="0" w:space="0" w:color="auto"/>
          </w:divBdr>
          <w:divsChild>
            <w:div w:id="11854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1142">
      <w:bodyDiv w:val="1"/>
      <w:marLeft w:val="0"/>
      <w:marRight w:val="0"/>
      <w:marTop w:val="0"/>
      <w:marBottom w:val="0"/>
      <w:divBdr>
        <w:top w:val="none" w:sz="0" w:space="0" w:color="auto"/>
        <w:left w:val="none" w:sz="0" w:space="0" w:color="auto"/>
        <w:bottom w:val="none" w:sz="0" w:space="0" w:color="auto"/>
        <w:right w:val="none" w:sz="0" w:space="0" w:color="auto"/>
      </w:divBdr>
    </w:div>
    <w:div w:id="640885834">
      <w:bodyDiv w:val="1"/>
      <w:marLeft w:val="0"/>
      <w:marRight w:val="0"/>
      <w:marTop w:val="0"/>
      <w:marBottom w:val="0"/>
      <w:divBdr>
        <w:top w:val="none" w:sz="0" w:space="0" w:color="auto"/>
        <w:left w:val="none" w:sz="0" w:space="0" w:color="auto"/>
        <w:bottom w:val="none" w:sz="0" w:space="0" w:color="auto"/>
        <w:right w:val="none" w:sz="0" w:space="0" w:color="auto"/>
      </w:divBdr>
    </w:div>
    <w:div w:id="655501529">
      <w:bodyDiv w:val="1"/>
      <w:marLeft w:val="0"/>
      <w:marRight w:val="0"/>
      <w:marTop w:val="0"/>
      <w:marBottom w:val="0"/>
      <w:divBdr>
        <w:top w:val="none" w:sz="0" w:space="0" w:color="auto"/>
        <w:left w:val="none" w:sz="0" w:space="0" w:color="auto"/>
        <w:bottom w:val="none" w:sz="0" w:space="0" w:color="auto"/>
        <w:right w:val="none" w:sz="0" w:space="0" w:color="auto"/>
      </w:divBdr>
    </w:div>
    <w:div w:id="769861714">
      <w:bodyDiv w:val="1"/>
      <w:marLeft w:val="0"/>
      <w:marRight w:val="0"/>
      <w:marTop w:val="0"/>
      <w:marBottom w:val="0"/>
      <w:divBdr>
        <w:top w:val="none" w:sz="0" w:space="0" w:color="auto"/>
        <w:left w:val="none" w:sz="0" w:space="0" w:color="auto"/>
        <w:bottom w:val="none" w:sz="0" w:space="0" w:color="auto"/>
        <w:right w:val="none" w:sz="0" w:space="0" w:color="auto"/>
      </w:divBdr>
    </w:div>
    <w:div w:id="837307439">
      <w:bodyDiv w:val="1"/>
      <w:marLeft w:val="0"/>
      <w:marRight w:val="0"/>
      <w:marTop w:val="0"/>
      <w:marBottom w:val="0"/>
      <w:divBdr>
        <w:top w:val="none" w:sz="0" w:space="0" w:color="auto"/>
        <w:left w:val="none" w:sz="0" w:space="0" w:color="auto"/>
        <w:bottom w:val="none" w:sz="0" w:space="0" w:color="auto"/>
        <w:right w:val="none" w:sz="0" w:space="0" w:color="auto"/>
      </w:divBdr>
    </w:div>
    <w:div w:id="940836375">
      <w:bodyDiv w:val="1"/>
      <w:marLeft w:val="0"/>
      <w:marRight w:val="0"/>
      <w:marTop w:val="0"/>
      <w:marBottom w:val="0"/>
      <w:divBdr>
        <w:top w:val="none" w:sz="0" w:space="0" w:color="auto"/>
        <w:left w:val="none" w:sz="0" w:space="0" w:color="auto"/>
        <w:bottom w:val="none" w:sz="0" w:space="0" w:color="auto"/>
        <w:right w:val="none" w:sz="0" w:space="0" w:color="auto"/>
      </w:divBdr>
    </w:div>
    <w:div w:id="967511035">
      <w:bodyDiv w:val="1"/>
      <w:marLeft w:val="0"/>
      <w:marRight w:val="0"/>
      <w:marTop w:val="0"/>
      <w:marBottom w:val="0"/>
      <w:divBdr>
        <w:top w:val="none" w:sz="0" w:space="0" w:color="auto"/>
        <w:left w:val="none" w:sz="0" w:space="0" w:color="auto"/>
        <w:bottom w:val="none" w:sz="0" w:space="0" w:color="auto"/>
        <w:right w:val="none" w:sz="0" w:space="0" w:color="auto"/>
      </w:divBdr>
    </w:div>
    <w:div w:id="1235428569">
      <w:bodyDiv w:val="1"/>
      <w:marLeft w:val="0"/>
      <w:marRight w:val="0"/>
      <w:marTop w:val="0"/>
      <w:marBottom w:val="0"/>
      <w:divBdr>
        <w:top w:val="none" w:sz="0" w:space="0" w:color="auto"/>
        <w:left w:val="none" w:sz="0" w:space="0" w:color="auto"/>
        <w:bottom w:val="none" w:sz="0" w:space="0" w:color="auto"/>
        <w:right w:val="none" w:sz="0" w:space="0" w:color="auto"/>
      </w:divBdr>
    </w:div>
    <w:div w:id="1321694617">
      <w:bodyDiv w:val="1"/>
      <w:marLeft w:val="0"/>
      <w:marRight w:val="0"/>
      <w:marTop w:val="0"/>
      <w:marBottom w:val="0"/>
      <w:divBdr>
        <w:top w:val="none" w:sz="0" w:space="0" w:color="auto"/>
        <w:left w:val="none" w:sz="0" w:space="0" w:color="auto"/>
        <w:bottom w:val="none" w:sz="0" w:space="0" w:color="auto"/>
        <w:right w:val="none" w:sz="0" w:space="0" w:color="auto"/>
      </w:divBdr>
    </w:div>
    <w:div w:id="1335914546">
      <w:bodyDiv w:val="1"/>
      <w:marLeft w:val="0"/>
      <w:marRight w:val="0"/>
      <w:marTop w:val="0"/>
      <w:marBottom w:val="0"/>
      <w:divBdr>
        <w:top w:val="none" w:sz="0" w:space="0" w:color="auto"/>
        <w:left w:val="none" w:sz="0" w:space="0" w:color="auto"/>
        <w:bottom w:val="none" w:sz="0" w:space="0" w:color="auto"/>
        <w:right w:val="none" w:sz="0" w:space="0" w:color="auto"/>
      </w:divBdr>
    </w:div>
    <w:div w:id="1340306701">
      <w:bodyDiv w:val="1"/>
      <w:marLeft w:val="0"/>
      <w:marRight w:val="0"/>
      <w:marTop w:val="0"/>
      <w:marBottom w:val="0"/>
      <w:divBdr>
        <w:top w:val="none" w:sz="0" w:space="0" w:color="auto"/>
        <w:left w:val="none" w:sz="0" w:space="0" w:color="auto"/>
        <w:bottom w:val="none" w:sz="0" w:space="0" w:color="auto"/>
        <w:right w:val="none" w:sz="0" w:space="0" w:color="auto"/>
      </w:divBdr>
    </w:div>
    <w:div w:id="1358696509">
      <w:bodyDiv w:val="1"/>
      <w:marLeft w:val="0"/>
      <w:marRight w:val="0"/>
      <w:marTop w:val="0"/>
      <w:marBottom w:val="0"/>
      <w:divBdr>
        <w:top w:val="none" w:sz="0" w:space="0" w:color="auto"/>
        <w:left w:val="none" w:sz="0" w:space="0" w:color="auto"/>
        <w:bottom w:val="none" w:sz="0" w:space="0" w:color="auto"/>
        <w:right w:val="none" w:sz="0" w:space="0" w:color="auto"/>
      </w:divBdr>
    </w:div>
    <w:div w:id="1414858972">
      <w:bodyDiv w:val="1"/>
      <w:marLeft w:val="0"/>
      <w:marRight w:val="0"/>
      <w:marTop w:val="0"/>
      <w:marBottom w:val="0"/>
      <w:divBdr>
        <w:top w:val="none" w:sz="0" w:space="0" w:color="auto"/>
        <w:left w:val="none" w:sz="0" w:space="0" w:color="auto"/>
        <w:bottom w:val="none" w:sz="0" w:space="0" w:color="auto"/>
        <w:right w:val="none" w:sz="0" w:space="0" w:color="auto"/>
      </w:divBdr>
    </w:div>
    <w:div w:id="1505244559">
      <w:bodyDiv w:val="1"/>
      <w:marLeft w:val="0"/>
      <w:marRight w:val="0"/>
      <w:marTop w:val="0"/>
      <w:marBottom w:val="0"/>
      <w:divBdr>
        <w:top w:val="none" w:sz="0" w:space="0" w:color="auto"/>
        <w:left w:val="none" w:sz="0" w:space="0" w:color="auto"/>
        <w:bottom w:val="none" w:sz="0" w:space="0" w:color="auto"/>
        <w:right w:val="none" w:sz="0" w:space="0" w:color="auto"/>
      </w:divBdr>
      <w:divsChild>
        <w:div w:id="1858349074">
          <w:marLeft w:val="0"/>
          <w:marRight w:val="0"/>
          <w:marTop w:val="0"/>
          <w:marBottom w:val="0"/>
          <w:divBdr>
            <w:top w:val="none" w:sz="0" w:space="0" w:color="auto"/>
            <w:left w:val="none" w:sz="0" w:space="0" w:color="auto"/>
            <w:bottom w:val="none" w:sz="0" w:space="0" w:color="auto"/>
            <w:right w:val="none" w:sz="0" w:space="0" w:color="auto"/>
          </w:divBdr>
          <w:divsChild>
            <w:div w:id="50661359">
              <w:marLeft w:val="0"/>
              <w:marRight w:val="0"/>
              <w:marTop w:val="0"/>
              <w:marBottom w:val="0"/>
              <w:divBdr>
                <w:top w:val="none" w:sz="0" w:space="0" w:color="auto"/>
                <w:left w:val="none" w:sz="0" w:space="0" w:color="auto"/>
                <w:bottom w:val="none" w:sz="0" w:space="0" w:color="auto"/>
                <w:right w:val="none" w:sz="0" w:space="0" w:color="auto"/>
              </w:divBdr>
              <w:divsChild>
                <w:div w:id="1936211015">
                  <w:marLeft w:val="0"/>
                  <w:marRight w:val="0"/>
                  <w:marTop w:val="0"/>
                  <w:marBottom w:val="0"/>
                  <w:divBdr>
                    <w:top w:val="none" w:sz="0" w:space="0" w:color="auto"/>
                    <w:left w:val="none" w:sz="0" w:space="0" w:color="auto"/>
                    <w:bottom w:val="none" w:sz="0" w:space="0" w:color="auto"/>
                    <w:right w:val="none" w:sz="0" w:space="0" w:color="auto"/>
                  </w:divBdr>
                  <w:divsChild>
                    <w:div w:id="626351917">
                      <w:marLeft w:val="0"/>
                      <w:marRight w:val="0"/>
                      <w:marTop w:val="0"/>
                      <w:marBottom w:val="0"/>
                      <w:divBdr>
                        <w:top w:val="none" w:sz="0" w:space="0" w:color="auto"/>
                        <w:left w:val="none" w:sz="0" w:space="0" w:color="auto"/>
                        <w:bottom w:val="none" w:sz="0" w:space="0" w:color="auto"/>
                        <w:right w:val="none" w:sz="0" w:space="0" w:color="auto"/>
                      </w:divBdr>
                      <w:divsChild>
                        <w:div w:id="1769544296">
                          <w:marLeft w:val="0"/>
                          <w:marRight w:val="0"/>
                          <w:marTop w:val="0"/>
                          <w:marBottom w:val="0"/>
                          <w:divBdr>
                            <w:top w:val="none" w:sz="0" w:space="0" w:color="auto"/>
                            <w:left w:val="none" w:sz="0" w:space="0" w:color="auto"/>
                            <w:bottom w:val="none" w:sz="0" w:space="0" w:color="auto"/>
                            <w:right w:val="none" w:sz="0" w:space="0" w:color="auto"/>
                          </w:divBdr>
                          <w:divsChild>
                            <w:div w:id="13279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337837">
      <w:bodyDiv w:val="1"/>
      <w:marLeft w:val="0"/>
      <w:marRight w:val="0"/>
      <w:marTop w:val="0"/>
      <w:marBottom w:val="0"/>
      <w:divBdr>
        <w:top w:val="none" w:sz="0" w:space="0" w:color="auto"/>
        <w:left w:val="none" w:sz="0" w:space="0" w:color="auto"/>
        <w:bottom w:val="none" w:sz="0" w:space="0" w:color="auto"/>
        <w:right w:val="none" w:sz="0" w:space="0" w:color="auto"/>
      </w:divBdr>
      <w:divsChild>
        <w:div w:id="1837989392">
          <w:marLeft w:val="0"/>
          <w:marRight w:val="0"/>
          <w:marTop w:val="0"/>
          <w:marBottom w:val="0"/>
          <w:divBdr>
            <w:top w:val="none" w:sz="0" w:space="0" w:color="auto"/>
            <w:left w:val="none" w:sz="0" w:space="0" w:color="auto"/>
            <w:bottom w:val="none" w:sz="0" w:space="0" w:color="auto"/>
            <w:right w:val="none" w:sz="0" w:space="0" w:color="auto"/>
          </w:divBdr>
          <w:divsChild>
            <w:div w:id="1061489614">
              <w:marLeft w:val="0"/>
              <w:marRight w:val="0"/>
              <w:marTop w:val="0"/>
              <w:marBottom w:val="0"/>
              <w:divBdr>
                <w:top w:val="none" w:sz="0" w:space="0" w:color="auto"/>
                <w:left w:val="none" w:sz="0" w:space="0" w:color="auto"/>
                <w:bottom w:val="none" w:sz="0" w:space="0" w:color="auto"/>
                <w:right w:val="none" w:sz="0" w:space="0" w:color="auto"/>
              </w:divBdr>
              <w:divsChild>
                <w:div w:id="1880243483">
                  <w:marLeft w:val="0"/>
                  <w:marRight w:val="0"/>
                  <w:marTop w:val="0"/>
                  <w:marBottom w:val="0"/>
                  <w:divBdr>
                    <w:top w:val="none" w:sz="0" w:space="0" w:color="auto"/>
                    <w:left w:val="none" w:sz="0" w:space="0" w:color="auto"/>
                    <w:bottom w:val="none" w:sz="0" w:space="0" w:color="auto"/>
                    <w:right w:val="none" w:sz="0" w:space="0" w:color="auto"/>
                  </w:divBdr>
                  <w:divsChild>
                    <w:div w:id="616060123">
                      <w:marLeft w:val="0"/>
                      <w:marRight w:val="0"/>
                      <w:marTop w:val="0"/>
                      <w:marBottom w:val="0"/>
                      <w:divBdr>
                        <w:top w:val="none" w:sz="0" w:space="0" w:color="auto"/>
                        <w:left w:val="none" w:sz="0" w:space="0" w:color="auto"/>
                        <w:bottom w:val="none" w:sz="0" w:space="0" w:color="auto"/>
                        <w:right w:val="none" w:sz="0" w:space="0" w:color="auto"/>
                      </w:divBdr>
                      <w:divsChild>
                        <w:div w:id="170948877">
                          <w:marLeft w:val="0"/>
                          <w:marRight w:val="0"/>
                          <w:marTop w:val="0"/>
                          <w:marBottom w:val="0"/>
                          <w:divBdr>
                            <w:top w:val="none" w:sz="0" w:space="0" w:color="auto"/>
                            <w:left w:val="none" w:sz="0" w:space="0" w:color="auto"/>
                            <w:bottom w:val="none" w:sz="0" w:space="0" w:color="auto"/>
                            <w:right w:val="none" w:sz="0" w:space="0" w:color="auto"/>
                          </w:divBdr>
                          <w:divsChild>
                            <w:div w:id="1176923010">
                              <w:marLeft w:val="0"/>
                              <w:marRight w:val="0"/>
                              <w:marTop w:val="0"/>
                              <w:marBottom w:val="0"/>
                              <w:divBdr>
                                <w:top w:val="none" w:sz="0" w:space="0" w:color="auto"/>
                                <w:left w:val="none" w:sz="0" w:space="0" w:color="auto"/>
                                <w:bottom w:val="none" w:sz="0" w:space="0" w:color="auto"/>
                                <w:right w:val="none" w:sz="0" w:space="0" w:color="auto"/>
                              </w:divBdr>
                              <w:divsChild>
                                <w:div w:id="304166737">
                                  <w:marLeft w:val="0"/>
                                  <w:marRight w:val="0"/>
                                  <w:marTop w:val="0"/>
                                  <w:marBottom w:val="0"/>
                                  <w:divBdr>
                                    <w:top w:val="none" w:sz="0" w:space="0" w:color="auto"/>
                                    <w:left w:val="none" w:sz="0" w:space="0" w:color="auto"/>
                                    <w:bottom w:val="none" w:sz="0" w:space="0" w:color="auto"/>
                                    <w:right w:val="none" w:sz="0" w:space="0" w:color="auto"/>
                                  </w:divBdr>
                                  <w:divsChild>
                                    <w:div w:id="2076665130">
                                      <w:marLeft w:val="0"/>
                                      <w:marRight w:val="0"/>
                                      <w:marTop w:val="0"/>
                                      <w:marBottom w:val="0"/>
                                      <w:divBdr>
                                        <w:top w:val="none" w:sz="0" w:space="0" w:color="auto"/>
                                        <w:left w:val="none" w:sz="0" w:space="0" w:color="auto"/>
                                        <w:bottom w:val="none" w:sz="0" w:space="0" w:color="auto"/>
                                        <w:right w:val="none" w:sz="0" w:space="0" w:color="auto"/>
                                      </w:divBdr>
                                      <w:divsChild>
                                        <w:div w:id="1549104416">
                                          <w:marLeft w:val="0"/>
                                          <w:marRight w:val="0"/>
                                          <w:marTop w:val="0"/>
                                          <w:marBottom w:val="0"/>
                                          <w:divBdr>
                                            <w:top w:val="none" w:sz="0" w:space="0" w:color="auto"/>
                                            <w:left w:val="none" w:sz="0" w:space="0" w:color="auto"/>
                                            <w:bottom w:val="none" w:sz="0" w:space="0" w:color="auto"/>
                                            <w:right w:val="none" w:sz="0" w:space="0" w:color="auto"/>
                                          </w:divBdr>
                                          <w:divsChild>
                                            <w:div w:id="1813865194">
                                              <w:marLeft w:val="0"/>
                                              <w:marRight w:val="0"/>
                                              <w:marTop w:val="0"/>
                                              <w:marBottom w:val="0"/>
                                              <w:divBdr>
                                                <w:top w:val="none" w:sz="0" w:space="0" w:color="auto"/>
                                                <w:left w:val="none" w:sz="0" w:space="0" w:color="auto"/>
                                                <w:bottom w:val="none" w:sz="0" w:space="0" w:color="auto"/>
                                                <w:right w:val="none" w:sz="0" w:space="0" w:color="auto"/>
                                              </w:divBdr>
                                              <w:divsChild>
                                                <w:div w:id="1148282820">
                                                  <w:marLeft w:val="0"/>
                                                  <w:marRight w:val="0"/>
                                                  <w:marTop w:val="0"/>
                                                  <w:marBottom w:val="0"/>
                                                  <w:divBdr>
                                                    <w:top w:val="none" w:sz="0" w:space="0" w:color="auto"/>
                                                    <w:left w:val="none" w:sz="0" w:space="0" w:color="auto"/>
                                                    <w:bottom w:val="none" w:sz="0" w:space="0" w:color="auto"/>
                                                    <w:right w:val="none" w:sz="0" w:space="0" w:color="auto"/>
                                                  </w:divBdr>
                                                  <w:divsChild>
                                                    <w:div w:id="1664814706">
                                                      <w:marLeft w:val="0"/>
                                                      <w:marRight w:val="0"/>
                                                      <w:marTop w:val="0"/>
                                                      <w:marBottom w:val="0"/>
                                                      <w:divBdr>
                                                        <w:top w:val="none" w:sz="0" w:space="0" w:color="auto"/>
                                                        <w:left w:val="none" w:sz="0" w:space="0" w:color="auto"/>
                                                        <w:bottom w:val="none" w:sz="0" w:space="0" w:color="auto"/>
                                                        <w:right w:val="none" w:sz="0" w:space="0" w:color="auto"/>
                                                      </w:divBdr>
                                                      <w:divsChild>
                                                        <w:div w:id="1150170241">
                                                          <w:marLeft w:val="0"/>
                                                          <w:marRight w:val="0"/>
                                                          <w:marTop w:val="0"/>
                                                          <w:marBottom w:val="0"/>
                                                          <w:divBdr>
                                                            <w:top w:val="none" w:sz="0" w:space="0" w:color="auto"/>
                                                            <w:left w:val="none" w:sz="0" w:space="0" w:color="auto"/>
                                                            <w:bottom w:val="none" w:sz="0" w:space="0" w:color="auto"/>
                                                            <w:right w:val="none" w:sz="0" w:space="0" w:color="auto"/>
                                                          </w:divBdr>
                                                          <w:divsChild>
                                                            <w:div w:id="707990521">
                                                              <w:marLeft w:val="0"/>
                                                              <w:marRight w:val="0"/>
                                                              <w:marTop w:val="0"/>
                                                              <w:marBottom w:val="0"/>
                                                              <w:divBdr>
                                                                <w:top w:val="none" w:sz="0" w:space="0" w:color="auto"/>
                                                                <w:left w:val="none" w:sz="0" w:space="0" w:color="auto"/>
                                                                <w:bottom w:val="none" w:sz="0" w:space="0" w:color="auto"/>
                                                                <w:right w:val="none" w:sz="0" w:space="0" w:color="auto"/>
                                                              </w:divBdr>
                                                              <w:divsChild>
                                                                <w:div w:id="1759252352">
                                                                  <w:marLeft w:val="0"/>
                                                                  <w:marRight w:val="0"/>
                                                                  <w:marTop w:val="0"/>
                                                                  <w:marBottom w:val="0"/>
                                                                  <w:divBdr>
                                                                    <w:top w:val="none" w:sz="0" w:space="0" w:color="auto"/>
                                                                    <w:left w:val="none" w:sz="0" w:space="0" w:color="auto"/>
                                                                    <w:bottom w:val="none" w:sz="0" w:space="0" w:color="auto"/>
                                                                    <w:right w:val="none" w:sz="0" w:space="0" w:color="auto"/>
                                                                  </w:divBdr>
                                                                  <w:divsChild>
                                                                    <w:div w:id="1120957401">
                                                                      <w:marLeft w:val="0"/>
                                                                      <w:marRight w:val="0"/>
                                                                      <w:marTop w:val="0"/>
                                                                      <w:marBottom w:val="0"/>
                                                                      <w:divBdr>
                                                                        <w:top w:val="none" w:sz="0" w:space="0" w:color="auto"/>
                                                                        <w:left w:val="none" w:sz="0" w:space="0" w:color="auto"/>
                                                                        <w:bottom w:val="none" w:sz="0" w:space="0" w:color="auto"/>
                                                                        <w:right w:val="none" w:sz="0" w:space="0" w:color="auto"/>
                                                                      </w:divBdr>
                                                                      <w:divsChild>
                                                                        <w:div w:id="617376747">
                                                                          <w:marLeft w:val="0"/>
                                                                          <w:marRight w:val="0"/>
                                                                          <w:marTop w:val="0"/>
                                                                          <w:marBottom w:val="0"/>
                                                                          <w:divBdr>
                                                                            <w:top w:val="none" w:sz="0" w:space="0" w:color="auto"/>
                                                                            <w:left w:val="none" w:sz="0" w:space="0" w:color="auto"/>
                                                                            <w:bottom w:val="none" w:sz="0" w:space="0" w:color="auto"/>
                                                                            <w:right w:val="none" w:sz="0" w:space="0" w:color="auto"/>
                                                                          </w:divBdr>
                                                                          <w:divsChild>
                                                                            <w:div w:id="156072749">
                                                                              <w:marLeft w:val="0"/>
                                                                              <w:marRight w:val="0"/>
                                                                              <w:marTop w:val="0"/>
                                                                              <w:marBottom w:val="0"/>
                                                                              <w:divBdr>
                                                                                <w:top w:val="none" w:sz="0" w:space="0" w:color="auto"/>
                                                                                <w:left w:val="none" w:sz="0" w:space="0" w:color="auto"/>
                                                                                <w:bottom w:val="none" w:sz="0" w:space="0" w:color="auto"/>
                                                                                <w:right w:val="none" w:sz="0" w:space="0" w:color="auto"/>
                                                                              </w:divBdr>
                                                                              <w:divsChild>
                                                                                <w:div w:id="1543325101">
                                                                                  <w:marLeft w:val="0"/>
                                                                                  <w:marRight w:val="0"/>
                                                                                  <w:marTop w:val="0"/>
                                                                                  <w:marBottom w:val="0"/>
                                                                                  <w:divBdr>
                                                                                    <w:top w:val="none" w:sz="0" w:space="0" w:color="auto"/>
                                                                                    <w:left w:val="none" w:sz="0" w:space="0" w:color="auto"/>
                                                                                    <w:bottom w:val="none" w:sz="0" w:space="0" w:color="auto"/>
                                                                                    <w:right w:val="none" w:sz="0" w:space="0" w:color="auto"/>
                                                                                  </w:divBdr>
                                                                                  <w:divsChild>
                                                                                    <w:div w:id="1374695566">
                                                                                      <w:marLeft w:val="0"/>
                                                                                      <w:marRight w:val="0"/>
                                                                                      <w:marTop w:val="0"/>
                                                                                      <w:marBottom w:val="0"/>
                                                                                      <w:divBdr>
                                                                                        <w:top w:val="none" w:sz="0" w:space="0" w:color="auto"/>
                                                                                        <w:left w:val="none" w:sz="0" w:space="0" w:color="auto"/>
                                                                                        <w:bottom w:val="none" w:sz="0" w:space="0" w:color="auto"/>
                                                                                        <w:right w:val="none" w:sz="0" w:space="0" w:color="auto"/>
                                                                                      </w:divBdr>
                                                                                      <w:divsChild>
                                                                                        <w:div w:id="820969891">
                                                                                          <w:marLeft w:val="0"/>
                                                                                          <w:marRight w:val="0"/>
                                                                                          <w:marTop w:val="0"/>
                                                                                          <w:marBottom w:val="0"/>
                                                                                          <w:divBdr>
                                                                                            <w:top w:val="none" w:sz="0" w:space="0" w:color="auto"/>
                                                                                            <w:left w:val="none" w:sz="0" w:space="0" w:color="auto"/>
                                                                                            <w:bottom w:val="none" w:sz="0" w:space="0" w:color="auto"/>
                                                                                            <w:right w:val="none" w:sz="0" w:space="0" w:color="auto"/>
                                                                                          </w:divBdr>
                                                                                          <w:divsChild>
                                                                                            <w:div w:id="1513177127">
                                                                                              <w:marLeft w:val="0"/>
                                                                                              <w:marRight w:val="0"/>
                                                                                              <w:marTop w:val="0"/>
                                                                                              <w:marBottom w:val="0"/>
                                                                                              <w:divBdr>
                                                                                                <w:top w:val="none" w:sz="0" w:space="0" w:color="auto"/>
                                                                                                <w:left w:val="none" w:sz="0" w:space="0" w:color="auto"/>
                                                                                                <w:bottom w:val="none" w:sz="0" w:space="0" w:color="auto"/>
                                                                                                <w:right w:val="none" w:sz="0" w:space="0" w:color="auto"/>
                                                                                              </w:divBdr>
                                                                                              <w:divsChild>
                                                                                                <w:div w:id="1129131277">
                                                                                                  <w:marLeft w:val="0"/>
                                                                                                  <w:marRight w:val="0"/>
                                                                                                  <w:marTop w:val="0"/>
                                                                                                  <w:marBottom w:val="0"/>
                                                                                                  <w:divBdr>
                                                                                                    <w:top w:val="none" w:sz="0" w:space="0" w:color="auto"/>
                                                                                                    <w:left w:val="none" w:sz="0" w:space="0" w:color="auto"/>
                                                                                                    <w:bottom w:val="none" w:sz="0" w:space="0" w:color="auto"/>
                                                                                                    <w:right w:val="none" w:sz="0" w:space="0" w:color="auto"/>
                                                                                                  </w:divBdr>
                                                                                                  <w:divsChild>
                                                                                                    <w:div w:id="720716042">
                                                                                                      <w:marLeft w:val="0"/>
                                                                                                      <w:marRight w:val="0"/>
                                                                                                      <w:marTop w:val="0"/>
                                                                                                      <w:marBottom w:val="0"/>
                                                                                                      <w:divBdr>
                                                                                                        <w:top w:val="none" w:sz="0" w:space="0" w:color="auto"/>
                                                                                                        <w:left w:val="none" w:sz="0" w:space="0" w:color="auto"/>
                                                                                                        <w:bottom w:val="none" w:sz="0" w:space="0" w:color="auto"/>
                                                                                                        <w:right w:val="none" w:sz="0" w:space="0" w:color="auto"/>
                                                                                                      </w:divBdr>
                                                                                                      <w:divsChild>
                                                                                                        <w:div w:id="417675169">
                                                                                                          <w:marLeft w:val="0"/>
                                                                                                          <w:marRight w:val="0"/>
                                                                                                          <w:marTop w:val="0"/>
                                                                                                          <w:marBottom w:val="0"/>
                                                                                                          <w:divBdr>
                                                                                                            <w:top w:val="none" w:sz="0" w:space="0" w:color="auto"/>
                                                                                                            <w:left w:val="none" w:sz="0" w:space="0" w:color="auto"/>
                                                                                                            <w:bottom w:val="none" w:sz="0" w:space="0" w:color="auto"/>
                                                                                                            <w:right w:val="none" w:sz="0" w:space="0" w:color="auto"/>
                                                                                                          </w:divBdr>
                                                                                                        </w:div>
                                                                                                        <w:div w:id="579102995">
                                                                                                          <w:marLeft w:val="0"/>
                                                                                                          <w:marRight w:val="0"/>
                                                                                                          <w:marTop w:val="0"/>
                                                                                                          <w:marBottom w:val="0"/>
                                                                                                          <w:divBdr>
                                                                                                            <w:top w:val="none" w:sz="0" w:space="0" w:color="auto"/>
                                                                                                            <w:left w:val="none" w:sz="0" w:space="0" w:color="auto"/>
                                                                                                            <w:bottom w:val="none" w:sz="0" w:space="0" w:color="auto"/>
                                                                                                            <w:right w:val="none" w:sz="0" w:space="0" w:color="auto"/>
                                                                                                          </w:divBdr>
                                                                                                        </w:div>
                                                                                                        <w:div w:id="712772311">
                                                                                                          <w:marLeft w:val="0"/>
                                                                                                          <w:marRight w:val="0"/>
                                                                                                          <w:marTop w:val="0"/>
                                                                                                          <w:marBottom w:val="0"/>
                                                                                                          <w:divBdr>
                                                                                                            <w:top w:val="none" w:sz="0" w:space="0" w:color="auto"/>
                                                                                                            <w:left w:val="none" w:sz="0" w:space="0" w:color="auto"/>
                                                                                                            <w:bottom w:val="none" w:sz="0" w:space="0" w:color="auto"/>
                                                                                                            <w:right w:val="none" w:sz="0" w:space="0" w:color="auto"/>
                                                                                                          </w:divBdr>
                                                                                                        </w:div>
                                                                                                        <w:div w:id="988557860">
                                                                                                          <w:marLeft w:val="0"/>
                                                                                                          <w:marRight w:val="0"/>
                                                                                                          <w:marTop w:val="0"/>
                                                                                                          <w:marBottom w:val="0"/>
                                                                                                          <w:divBdr>
                                                                                                            <w:top w:val="none" w:sz="0" w:space="0" w:color="auto"/>
                                                                                                            <w:left w:val="none" w:sz="0" w:space="0" w:color="auto"/>
                                                                                                            <w:bottom w:val="none" w:sz="0" w:space="0" w:color="auto"/>
                                                                                                            <w:right w:val="none" w:sz="0" w:space="0" w:color="auto"/>
                                                                                                          </w:divBdr>
                                                                                                        </w:div>
                                                                                                        <w:div w:id="1250652869">
                                                                                                          <w:marLeft w:val="0"/>
                                                                                                          <w:marRight w:val="0"/>
                                                                                                          <w:marTop w:val="0"/>
                                                                                                          <w:marBottom w:val="0"/>
                                                                                                          <w:divBdr>
                                                                                                            <w:top w:val="none" w:sz="0" w:space="0" w:color="auto"/>
                                                                                                            <w:left w:val="none" w:sz="0" w:space="0" w:color="auto"/>
                                                                                                            <w:bottom w:val="none" w:sz="0" w:space="0" w:color="auto"/>
                                                                                                            <w:right w:val="none" w:sz="0" w:space="0" w:color="auto"/>
                                                                                                          </w:divBdr>
                                                                                                        </w:div>
                                                                                                        <w:div w:id="1456218717">
                                                                                                          <w:marLeft w:val="0"/>
                                                                                                          <w:marRight w:val="0"/>
                                                                                                          <w:marTop w:val="0"/>
                                                                                                          <w:marBottom w:val="0"/>
                                                                                                          <w:divBdr>
                                                                                                            <w:top w:val="none" w:sz="0" w:space="0" w:color="auto"/>
                                                                                                            <w:left w:val="none" w:sz="0" w:space="0" w:color="auto"/>
                                                                                                            <w:bottom w:val="none" w:sz="0" w:space="0" w:color="auto"/>
                                                                                                            <w:right w:val="none" w:sz="0" w:space="0" w:color="auto"/>
                                                                                                          </w:divBdr>
                                                                                                        </w:div>
                                                                                                        <w:div w:id="1552156979">
                                                                                                          <w:marLeft w:val="0"/>
                                                                                                          <w:marRight w:val="0"/>
                                                                                                          <w:marTop w:val="0"/>
                                                                                                          <w:marBottom w:val="0"/>
                                                                                                          <w:divBdr>
                                                                                                            <w:top w:val="none" w:sz="0" w:space="0" w:color="auto"/>
                                                                                                            <w:left w:val="none" w:sz="0" w:space="0" w:color="auto"/>
                                                                                                            <w:bottom w:val="none" w:sz="0" w:space="0" w:color="auto"/>
                                                                                                            <w:right w:val="none" w:sz="0" w:space="0" w:color="auto"/>
                                                                                                          </w:divBdr>
                                                                                                        </w:div>
                                                                                                        <w:div w:id="1823346591">
                                                                                                          <w:marLeft w:val="0"/>
                                                                                                          <w:marRight w:val="0"/>
                                                                                                          <w:marTop w:val="0"/>
                                                                                                          <w:marBottom w:val="0"/>
                                                                                                          <w:divBdr>
                                                                                                            <w:top w:val="none" w:sz="0" w:space="0" w:color="auto"/>
                                                                                                            <w:left w:val="none" w:sz="0" w:space="0" w:color="auto"/>
                                                                                                            <w:bottom w:val="none" w:sz="0" w:space="0" w:color="auto"/>
                                                                                                            <w:right w:val="none" w:sz="0" w:space="0" w:color="auto"/>
                                                                                                          </w:divBdr>
                                                                                                        </w:div>
                                                                                                        <w:div w:id="1854373228">
                                                                                                          <w:marLeft w:val="0"/>
                                                                                                          <w:marRight w:val="0"/>
                                                                                                          <w:marTop w:val="0"/>
                                                                                                          <w:marBottom w:val="0"/>
                                                                                                          <w:divBdr>
                                                                                                            <w:top w:val="none" w:sz="0" w:space="0" w:color="auto"/>
                                                                                                            <w:left w:val="none" w:sz="0" w:space="0" w:color="auto"/>
                                                                                                            <w:bottom w:val="none" w:sz="0" w:space="0" w:color="auto"/>
                                                                                                            <w:right w:val="none" w:sz="0" w:space="0" w:color="auto"/>
                                                                                                          </w:divBdr>
                                                                                                        </w:div>
                                                                                                        <w:div w:id="1869028913">
                                                                                                          <w:marLeft w:val="0"/>
                                                                                                          <w:marRight w:val="0"/>
                                                                                                          <w:marTop w:val="0"/>
                                                                                                          <w:marBottom w:val="0"/>
                                                                                                          <w:divBdr>
                                                                                                            <w:top w:val="none" w:sz="0" w:space="0" w:color="auto"/>
                                                                                                            <w:left w:val="none" w:sz="0" w:space="0" w:color="auto"/>
                                                                                                            <w:bottom w:val="none" w:sz="0" w:space="0" w:color="auto"/>
                                                                                                            <w:right w:val="none" w:sz="0" w:space="0" w:color="auto"/>
                                                                                                          </w:divBdr>
                                                                                                        </w:div>
                                                                                                        <w:div w:id="19797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05313">
      <w:bodyDiv w:val="1"/>
      <w:marLeft w:val="0"/>
      <w:marRight w:val="0"/>
      <w:marTop w:val="0"/>
      <w:marBottom w:val="0"/>
      <w:divBdr>
        <w:top w:val="none" w:sz="0" w:space="0" w:color="auto"/>
        <w:left w:val="none" w:sz="0" w:space="0" w:color="auto"/>
        <w:bottom w:val="none" w:sz="0" w:space="0" w:color="auto"/>
        <w:right w:val="none" w:sz="0" w:space="0" w:color="auto"/>
      </w:divBdr>
    </w:div>
    <w:div w:id="1646082769">
      <w:bodyDiv w:val="1"/>
      <w:marLeft w:val="0"/>
      <w:marRight w:val="0"/>
      <w:marTop w:val="0"/>
      <w:marBottom w:val="0"/>
      <w:divBdr>
        <w:top w:val="none" w:sz="0" w:space="0" w:color="auto"/>
        <w:left w:val="none" w:sz="0" w:space="0" w:color="auto"/>
        <w:bottom w:val="none" w:sz="0" w:space="0" w:color="auto"/>
        <w:right w:val="none" w:sz="0" w:space="0" w:color="auto"/>
      </w:divBdr>
      <w:divsChild>
        <w:div w:id="66268536">
          <w:marLeft w:val="0"/>
          <w:marRight w:val="0"/>
          <w:marTop w:val="0"/>
          <w:marBottom w:val="0"/>
          <w:divBdr>
            <w:top w:val="none" w:sz="0" w:space="0" w:color="auto"/>
            <w:left w:val="none" w:sz="0" w:space="0" w:color="auto"/>
            <w:bottom w:val="none" w:sz="0" w:space="0" w:color="auto"/>
            <w:right w:val="none" w:sz="0" w:space="0" w:color="auto"/>
          </w:divBdr>
          <w:divsChild>
            <w:div w:id="509878658">
              <w:marLeft w:val="0"/>
              <w:marRight w:val="0"/>
              <w:marTop w:val="0"/>
              <w:marBottom w:val="0"/>
              <w:divBdr>
                <w:top w:val="none" w:sz="0" w:space="0" w:color="auto"/>
                <w:left w:val="none" w:sz="0" w:space="0" w:color="auto"/>
                <w:bottom w:val="none" w:sz="0" w:space="0" w:color="auto"/>
                <w:right w:val="none" w:sz="0" w:space="0" w:color="auto"/>
              </w:divBdr>
              <w:divsChild>
                <w:div w:id="1780223928">
                  <w:marLeft w:val="0"/>
                  <w:marRight w:val="0"/>
                  <w:marTop w:val="0"/>
                  <w:marBottom w:val="0"/>
                  <w:divBdr>
                    <w:top w:val="none" w:sz="0" w:space="0" w:color="auto"/>
                    <w:left w:val="none" w:sz="0" w:space="0" w:color="auto"/>
                    <w:bottom w:val="none" w:sz="0" w:space="0" w:color="auto"/>
                    <w:right w:val="none" w:sz="0" w:space="0" w:color="auto"/>
                  </w:divBdr>
                  <w:divsChild>
                    <w:div w:id="460148814">
                      <w:marLeft w:val="0"/>
                      <w:marRight w:val="0"/>
                      <w:marTop w:val="0"/>
                      <w:marBottom w:val="0"/>
                      <w:divBdr>
                        <w:top w:val="none" w:sz="0" w:space="0" w:color="auto"/>
                        <w:left w:val="none" w:sz="0" w:space="0" w:color="auto"/>
                        <w:bottom w:val="none" w:sz="0" w:space="0" w:color="auto"/>
                        <w:right w:val="none" w:sz="0" w:space="0" w:color="auto"/>
                      </w:divBdr>
                      <w:divsChild>
                        <w:div w:id="1652515961">
                          <w:marLeft w:val="0"/>
                          <w:marRight w:val="0"/>
                          <w:marTop w:val="0"/>
                          <w:marBottom w:val="0"/>
                          <w:divBdr>
                            <w:top w:val="none" w:sz="0" w:space="0" w:color="auto"/>
                            <w:left w:val="none" w:sz="0" w:space="0" w:color="auto"/>
                            <w:bottom w:val="none" w:sz="0" w:space="0" w:color="auto"/>
                            <w:right w:val="none" w:sz="0" w:space="0" w:color="auto"/>
                          </w:divBdr>
                          <w:divsChild>
                            <w:div w:id="16350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147801">
      <w:bodyDiv w:val="1"/>
      <w:marLeft w:val="0"/>
      <w:marRight w:val="0"/>
      <w:marTop w:val="0"/>
      <w:marBottom w:val="0"/>
      <w:divBdr>
        <w:top w:val="none" w:sz="0" w:space="0" w:color="auto"/>
        <w:left w:val="none" w:sz="0" w:space="0" w:color="auto"/>
        <w:bottom w:val="none" w:sz="0" w:space="0" w:color="auto"/>
        <w:right w:val="none" w:sz="0" w:space="0" w:color="auto"/>
      </w:divBdr>
    </w:div>
    <w:div w:id="2036730865">
      <w:bodyDiv w:val="1"/>
      <w:marLeft w:val="0"/>
      <w:marRight w:val="0"/>
      <w:marTop w:val="0"/>
      <w:marBottom w:val="0"/>
      <w:divBdr>
        <w:top w:val="none" w:sz="0" w:space="0" w:color="auto"/>
        <w:left w:val="none" w:sz="0" w:space="0" w:color="auto"/>
        <w:bottom w:val="none" w:sz="0" w:space="0" w:color="auto"/>
        <w:right w:val="none" w:sz="0" w:space="0" w:color="auto"/>
      </w:divBdr>
    </w:div>
    <w:div w:id="2041930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3536-1C33-41FD-903D-D3B12E2F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KUL</Company>
  <LinksUpToDate>false</LinksUpToDate>
  <CharactersWithSpaces>22070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Tedesco Triccas (HSC)</dc:creator>
  <cp:lastModifiedBy>Warren S.</cp:lastModifiedBy>
  <cp:revision>3</cp:revision>
  <dcterms:created xsi:type="dcterms:W3CDTF">2018-03-16T11:44:00Z</dcterms:created>
  <dcterms:modified xsi:type="dcterms:W3CDTF">2018-03-19T16:00:00Z</dcterms:modified>
</cp:coreProperties>
</file>