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D9D3D" w14:textId="2A28EE4B" w:rsidR="006B0F6A" w:rsidRPr="00F4226B" w:rsidRDefault="000E783E" w:rsidP="000E783E">
      <w:pPr>
        <w:spacing w:after="0" w:line="240" w:lineRule="auto"/>
        <w:rPr>
          <w:rFonts w:ascii="Times New Roman" w:hAnsi="Times New Roman"/>
          <w:b/>
          <w:sz w:val="24"/>
          <w:szCs w:val="24"/>
          <w:lang w:val="en-US"/>
        </w:rPr>
      </w:pPr>
      <w:r w:rsidRPr="00F4226B">
        <w:rPr>
          <w:rFonts w:ascii="Times New Roman" w:hAnsi="Times New Roman"/>
          <w:b/>
          <w:sz w:val="32"/>
          <w:szCs w:val="32"/>
          <w:lang w:val="en-US"/>
        </w:rPr>
        <w:t xml:space="preserve">Financial reporting in hyperinflationary economies and </w:t>
      </w:r>
      <w:r w:rsidR="00982F8F" w:rsidRPr="00F4226B">
        <w:rPr>
          <w:rFonts w:ascii="Times New Roman" w:hAnsi="Times New Roman"/>
          <w:b/>
          <w:sz w:val="32"/>
          <w:szCs w:val="32"/>
          <w:lang w:val="en-US"/>
        </w:rPr>
        <w:t xml:space="preserve">the </w:t>
      </w:r>
      <w:r w:rsidRPr="00F4226B">
        <w:rPr>
          <w:rFonts w:ascii="Times New Roman" w:hAnsi="Times New Roman"/>
          <w:b/>
          <w:sz w:val="32"/>
          <w:szCs w:val="32"/>
          <w:lang w:val="en-US"/>
        </w:rPr>
        <w:t xml:space="preserve">value relevance of accounting </w:t>
      </w:r>
      <w:r w:rsidR="00695C16" w:rsidRPr="00F4226B">
        <w:rPr>
          <w:rFonts w:ascii="Times New Roman" w:hAnsi="Times New Roman"/>
          <w:b/>
          <w:sz w:val="32"/>
          <w:szCs w:val="32"/>
          <w:lang w:val="en-US"/>
        </w:rPr>
        <w:t>amounts</w:t>
      </w:r>
      <w:r w:rsidRPr="00F4226B">
        <w:rPr>
          <w:rFonts w:ascii="Times New Roman" w:hAnsi="Times New Roman"/>
          <w:b/>
          <w:sz w:val="32"/>
          <w:szCs w:val="32"/>
          <w:lang w:val="en-US"/>
        </w:rPr>
        <w:t xml:space="preserve">: </w:t>
      </w:r>
      <w:r w:rsidR="009A7C98" w:rsidRPr="00F4226B">
        <w:rPr>
          <w:rFonts w:ascii="Times New Roman" w:hAnsi="Times New Roman"/>
          <w:b/>
          <w:sz w:val="32"/>
          <w:szCs w:val="32"/>
          <w:lang w:val="en-US"/>
        </w:rPr>
        <w:t>Hard e</w:t>
      </w:r>
      <w:r w:rsidRPr="00F4226B">
        <w:rPr>
          <w:rFonts w:ascii="Times New Roman" w:hAnsi="Times New Roman"/>
          <w:b/>
          <w:sz w:val="32"/>
          <w:szCs w:val="32"/>
          <w:lang w:val="en-US"/>
        </w:rPr>
        <w:t>vidence from Zimbabwe</w:t>
      </w:r>
    </w:p>
    <w:p w14:paraId="55B5FE88" w14:textId="77777777" w:rsidR="000E783E" w:rsidRPr="00F4226B" w:rsidRDefault="000E783E" w:rsidP="0002750B">
      <w:pPr>
        <w:spacing w:after="0" w:line="240" w:lineRule="auto"/>
        <w:rPr>
          <w:rFonts w:ascii="Times New Roman" w:hAnsi="Times New Roman"/>
          <w:b/>
          <w:sz w:val="24"/>
          <w:szCs w:val="24"/>
          <w:highlight w:val="yellow"/>
          <w:lang w:val="en-US"/>
        </w:rPr>
      </w:pPr>
    </w:p>
    <w:p w14:paraId="41F28B49" w14:textId="3872E966" w:rsidR="009946CF" w:rsidRPr="00F4226B" w:rsidRDefault="009946CF" w:rsidP="003820D1">
      <w:pPr>
        <w:spacing w:after="0" w:line="240" w:lineRule="auto"/>
        <w:outlineLvl w:val="0"/>
        <w:rPr>
          <w:rFonts w:ascii="Times New Roman" w:hAnsi="Times New Roman"/>
          <w:sz w:val="24"/>
          <w:szCs w:val="24"/>
          <w:lang w:val="en-US"/>
        </w:rPr>
      </w:pPr>
      <w:r w:rsidRPr="00F4226B">
        <w:rPr>
          <w:rFonts w:ascii="Times New Roman" w:hAnsi="Times New Roman"/>
          <w:b/>
          <w:sz w:val="24"/>
          <w:szCs w:val="24"/>
          <w:lang w:val="en-US"/>
        </w:rPr>
        <w:t>Abstract</w:t>
      </w:r>
      <w:r w:rsidR="008464A6">
        <w:rPr>
          <w:rFonts w:ascii="Times New Roman" w:hAnsi="Times New Roman"/>
          <w:b/>
          <w:sz w:val="24"/>
          <w:szCs w:val="24"/>
          <w:lang w:val="en-US"/>
        </w:rPr>
        <w:t xml:space="preserve"> </w:t>
      </w:r>
    </w:p>
    <w:p w14:paraId="10D64E3B" w14:textId="3B0569C1" w:rsidR="007F2F6B" w:rsidRPr="00F4226B" w:rsidRDefault="00A24218" w:rsidP="0034561B">
      <w:pPr>
        <w:tabs>
          <w:tab w:val="left" w:pos="2694"/>
        </w:tabs>
        <w:spacing w:line="240" w:lineRule="auto"/>
        <w:jc w:val="both"/>
        <w:rPr>
          <w:rFonts w:ascii="Times New Roman" w:hAnsi="Times New Roman"/>
          <w:sz w:val="24"/>
          <w:szCs w:val="24"/>
          <w:lang w:val="en-US"/>
        </w:rPr>
      </w:pPr>
      <w:bookmarkStart w:id="0" w:name="_GoBack"/>
      <w:r w:rsidRPr="00F4226B">
        <w:rPr>
          <w:rFonts w:ascii="Times New Roman" w:hAnsi="Times New Roman"/>
          <w:sz w:val="24"/>
          <w:szCs w:val="24"/>
          <w:lang w:val="en-US"/>
        </w:rPr>
        <w:t>We</w:t>
      </w:r>
      <w:r w:rsidR="00D62C20" w:rsidRPr="00F4226B">
        <w:rPr>
          <w:rFonts w:ascii="Times New Roman" w:hAnsi="Times New Roman"/>
          <w:sz w:val="24"/>
          <w:szCs w:val="24"/>
          <w:lang w:val="en-US"/>
        </w:rPr>
        <w:t xml:space="preserve"> examine</w:t>
      </w:r>
      <w:r w:rsidR="009946CF" w:rsidRPr="00F4226B">
        <w:rPr>
          <w:rFonts w:ascii="Times New Roman" w:hAnsi="Times New Roman"/>
          <w:sz w:val="24"/>
          <w:szCs w:val="24"/>
          <w:lang w:val="en-US"/>
        </w:rPr>
        <w:t xml:space="preserve"> the value relevance of </w:t>
      </w:r>
      <w:r w:rsidR="00D62C20" w:rsidRPr="00F4226B">
        <w:rPr>
          <w:rFonts w:ascii="Times New Roman" w:hAnsi="Times New Roman"/>
          <w:sz w:val="24"/>
          <w:szCs w:val="24"/>
          <w:lang w:val="en-US"/>
        </w:rPr>
        <w:t xml:space="preserve">inflation-adjusted </w:t>
      </w:r>
      <w:r w:rsidR="006E31AC" w:rsidRPr="00F4226B">
        <w:rPr>
          <w:rFonts w:ascii="Times New Roman" w:hAnsi="Times New Roman"/>
          <w:sz w:val="24"/>
          <w:szCs w:val="24"/>
          <w:lang w:val="en-US"/>
        </w:rPr>
        <w:t xml:space="preserve">(IA) </w:t>
      </w:r>
      <w:r w:rsidR="00D62C20" w:rsidRPr="00F4226B">
        <w:rPr>
          <w:rFonts w:ascii="Times New Roman" w:hAnsi="Times New Roman"/>
          <w:sz w:val="24"/>
          <w:szCs w:val="24"/>
          <w:lang w:val="en-US"/>
        </w:rPr>
        <w:t xml:space="preserve">and </w:t>
      </w:r>
      <w:r w:rsidR="005F1369" w:rsidRPr="00F4226B">
        <w:rPr>
          <w:rFonts w:ascii="Times New Roman" w:hAnsi="Times New Roman"/>
          <w:sz w:val="24"/>
          <w:szCs w:val="24"/>
          <w:lang w:val="en-US"/>
        </w:rPr>
        <w:t xml:space="preserve">historical cost </w:t>
      </w:r>
      <w:r w:rsidR="006E31AC" w:rsidRPr="00F4226B">
        <w:rPr>
          <w:rFonts w:ascii="Times New Roman" w:hAnsi="Times New Roman"/>
          <w:sz w:val="24"/>
          <w:szCs w:val="24"/>
          <w:lang w:val="en-US"/>
        </w:rPr>
        <w:t xml:space="preserve">(HC) </w:t>
      </w:r>
      <w:r w:rsidR="00272150" w:rsidRPr="00F4226B">
        <w:rPr>
          <w:rFonts w:ascii="Times New Roman" w:hAnsi="Times New Roman"/>
          <w:sz w:val="24"/>
          <w:szCs w:val="24"/>
          <w:lang w:val="en-US"/>
        </w:rPr>
        <w:t>amounts</w:t>
      </w:r>
      <w:r w:rsidR="006929FA" w:rsidRPr="00F4226B">
        <w:rPr>
          <w:rFonts w:ascii="Times New Roman" w:hAnsi="Times New Roman"/>
          <w:sz w:val="24"/>
          <w:szCs w:val="24"/>
          <w:lang w:val="en-US"/>
        </w:rPr>
        <w:t xml:space="preserve"> </w:t>
      </w:r>
      <w:r w:rsidR="003B1C02" w:rsidRPr="00F4226B">
        <w:rPr>
          <w:rFonts w:ascii="Times New Roman" w:hAnsi="Times New Roman"/>
          <w:sz w:val="24"/>
          <w:szCs w:val="24"/>
          <w:lang w:val="en-US"/>
        </w:rPr>
        <w:t xml:space="preserve">in a hyperinflationary economy. Using a unique dataset </w:t>
      </w:r>
      <w:r w:rsidR="006929FA" w:rsidRPr="00F4226B">
        <w:rPr>
          <w:rFonts w:ascii="Times New Roman" w:hAnsi="Times New Roman"/>
          <w:sz w:val="24"/>
          <w:szCs w:val="24"/>
          <w:lang w:val="en-US"/>
        </w:rPr>
        <w:t xml:space="preserve">drawn from </w:t>
      </w:r>
      <w:r w:rsidR="00D5138B" w:rsidRPr="00F4226B">
        <w:rPr>
          <w:rFonts w:ascii="Times New Roman" w:hAnsi="Times New Roman"/>
          <w:sz w:val="24"/>
          <w:szCs w:val="24"/>
          <w:lang w:val="en-US"/>
        </w:rPr>
        <w:t xml:space="preserve">annual reports of </w:t>
      </w:r>
      <w:r w:rsidR="006929FA" w:rsidRPr="00F4226B">
        <w:rPr>
          <w:rFonts w:ascii="Times New Roman" w:hAnsi="Times New Roman"/>
          <w:sz w:val="24"/>
          <w:szCs w:val="24"/>
          <w:lang w:val="en-US"/>
        </w:rPr>
        <w:t xml:space="preserve">firms listed on the </w:t>
      </w:r>
      <w:r w:rsidR="00D62C20" w:rsidRPr="00F4226B">
        <w:rPr>
          <w:rFonts w:ascii="Times New Roman" w:hAnsi="Times New Roman"/>
          <w:sz w:val="24"/>
          <w:szCs w:val="24"/>
          <w:lang w:val="en-US"/>
        </w:rPr>
        <w:t>Zimbabwe</w:t>
      </w:r>
      <w:r w:rsidR="005F01A9" w:rsidRPr="00F4226B">
        <w:rPr>
          <w:rFonts w:ascii="Times New Roman" w:hAnsi="Times New Roman"/>
          <w:sz w:val="24"/>
          <w:szCs w:val="24"/>
          <w:lang w:val="en-US"/>
        </w:rPr>
        <w:t xml:space="preserve"> </w:t>
      </w:r>
      <w:r w:rsidR="006929FA" w:rsidRPr="00F4226B">
        <w:rPr>
          <w:rFonts w:ascii="Times New Roman" w:hAnsi="Times New Roman"/>
          <w:sz w:val="24"/>
          <w:szCs w:val="24"/>
          <w:lang w:val="en-US"/>
        </w:rPr>
        <w:t>Stock Exchange</w:t>
      </w:r>
      <w:r w:rsidR="00D62C20" w:rsidRPr="00F4226B">
        <w:rPr>
          <w:rFonts w:ascii="Times New Roman" w:hAnsi="Times New Roman"/>
          <w:sz w:val="24"/>
          <w:szCs w:val="24"/>
          <w:lang w:val="en-US"/>
        </w:rPr>
        <w:t xml:space="preserve"> </w:t>
      </w:r>
      <w:r w:rsidR="00910B87">
        <w:rPr>
          <w:rFonts w:ascii="Times New Roman" w:hAnsi="Times New Roman"/>
          <w:sz w:val="24"/>
          <w:szCs w:val="24"/>
          <w:lang w:val="en-US"/>
        </w:rPr>
        <w:t xml:space="preserve">from </w:t>
      </w:r>
      <w:r w:rsidR="00D62C20" w:rsidRPr="00F4226B">
        <w:rPr>
          <w:rFonts w:ascii="Times New Roman" w:hAnsi="Times New Roman"/>
          <w:sz w:val="24"/>
          <w:szCs w:val="24"/>
          <w:lang w:val="en-US"/>
        </w:rPr>
        <w:t>2000</w:t>
      </w:r>
      <w:r w:rsidR="00910B87">
        <w:rPr>
          <w:rFonts w:ascii="Times New Roman" w:hAnsi="Times New Roman"/>
          <w:sz w:val="24"/>
          <w:szCs w:val="24"/>
          <w:lang w:val="en-US"/>
        </w:rPr>
        <w:t>–</w:t>
      </w:r>
      <w:r w:rsidR="00D62C20" w:rsidRPr="00F4226B">
        <w:rPr>
          <w:rFonts w:ascii="Times New Roman" w:hAnsi="Times New Roman"/>
          <w:sz w:val="24"/>
          <w:szCs w:val="24"/>
          <w:lang w:val="en-US"/>
        </w:rPr>
        <w:t>2005</w:t>
      </w:r>
      <w:r w:rsidR="00B00436" w:rsidRPr="00F4226B">
        <w:rPr>
          <w:rFonts w:ascii="Times New Roman" w:hAnsi="Times New Roman"/>
          <w:sz w:val="24"/>
          <w:szCs w:val="24"/>
          <w:lang w:val="en-US"/>
        </w:rPr>
        <w:t xml:space="preserve">, </w:t>
      </w:r>
      <w:r w:rsidR="00272150" w:rsidRPr="00F4226B">
        <w:rPr>
          <w:rFonts w:ascii="Times New Roman" w:hAnsi="Times New Roman"/>
          <w:sz w:val="24"/>
          <w:szCs w:val="24"/>
          <w:lang w:val="en-US"/>
        </w:rPr>
        <w:t>w</w:t>
      </w:r>
      <w:r w:rsidR="00B31783" w:rsidRPr="00F4226B">
        <w:rPr>
          <w:rFonts w:ascii="Times New Roman" w:hAnsi="Times New Roman"/>
          <w:sz w:val="24"/>
          <w:szCs w:val="24"/>
          <w:lang w:val="en-US"/>
        </w:rPr>
        <w:t>e find</w:t>
      </w:r>
      <w:r w:rsidR="003F504C" w:rsidRPr="00F4226B">
        <w:rPr>
          <w:rFonts w:ascii="Times New Roman" w:hAnsi="Times New Roman"/>
          <w:sz w:val="24"/>
          <w:szCs w:val="24"/>
          <w:lang w:val="en-US"/>
        </w:rPr>
        <w:t xml:space="preserve"> </w:t>
      </w:r>
      <w:r w:rsidR="00B31783" w:rsidRPr="00F4226B">
        <w:rPr>
          <w:rFonts w:ascii="Times New Roman" w:hAnsi="Times New Roman"/>
          <w:sz w:val="24"/>
          <w:szCs w:val="24"/>
          <w:lang w:val="en-US"/>
        </w:rPr>
        <w:t xml:space="preserve">that both sets of </w:t>
      </w:r>
      <w:r w:rsidR="006E31AC" w:rsidRPr="00F4226B">
        <w:rPr>
          <w:rFonts w:ascii="Times New Roman" w:hAnsi="Times New Roman"/>
          <w:sz w:val="24"/>
          <w:szCs w:val="24"/>
          <w:lang w:val="en-US"/>
        </w:rPr>
        <w:t xml:space="preserve">amounts </w:t>
      </w:r>
      <w:r w:rsidR="00B31783" w:rsidRPr="00F4226B">
        <w:rPr>
          <w:rFonts w:ascii="Times New Roman" w:hAnsi="Times New Roman"/>
          <w:sz w:val="24"/>
          <w:szCs w:val="24"/>
          <w:lang w:val="en-US"/>
        </w:rPr>
        <w:t>are value relevant</w:t>
      </w:r>
      <w:r w:rsidR="002C0D0B" w:rsidRPr="00F4226B">
        <w:rPr>
          <w:rFonts w:ascii="Times New Roman" w:hAnsi="Times New Roman"/>
          <w:sz w:val="24"/>
          <w:szCs w:val="24"/>
          <w:lang w:val="en-US"/>
        </w:rPr>
        <w:t xml:space="preserve"> </w:t>
      </w:r>
      <w:r w:rsidR="003F504C" w:rsidRPr="00F4226B">
        <w:rPr>
          <w:rFonts w:ascii="Times New Roman" w:hAnsi="Times New Roman"/>
          <w:sz w:val="24"/>
          <w:szCs w:val="24"/>
          <w:lang w:val="en-US"/>
        </w:rPr>
        <w:t xml:space="preserve">but </w:t>
      </w:r>
      <w:r w:rsidR="002C0D0B" w:rsidRPr="00F4226B">
        <w:rPr>
          <w:rFonts w:ascii="Times New Roman" w:hAnsi="Times New Roman"/>
          <w:sz w:val="24"/>
          <w:szCs w:val="24"/>
          <w:lang w:val="en-US"/>
        </w:rPr>
        <w:t xml:space="preserve">HC </w:t>
      </w:r>
      <w:r w:rsidR="006E31AC" w:rsidRPr="00F4226B">
        <w:rPr>
          <w:rFonts w:ascii="Times New Roman" w:hAnsi="Times New Roman"/>
          <w:sz w:val="24"/>
          <w:szCs w:val="24"/>
          <w:lang w:val="en-US"/>
        </w:rPr>
        <w:t>amounts</w:t>
      </w:r>
      <w:r w:rsidR="002C0D0B" w:rsidRPr="00F4226B">
        <w:rPr>
          <w:rFonts w:ascii="Times New Roman" w:hAnsi="Times New Roman"/>
          <w:sz w:val="24"/>
          <w:szCs w:val="24"/>
          <w:lang w:val="en-US"/>
        </w:rPr>
        <w:t xml:space="preserve"> </w:t>
      </w:r>
      <w:r w:rsidR="00B31783" w:rsidRPr="00F4226B">
        <w:rPr>
          <w:rFonts w:ascii="Times New Roman" w:hAnsi="Times New Roman"/>
          <w:sz w:val="24"/>
          <w:szCs w:val="24"/>
          <w:lang w:val="en-US"/>
        </w:rPr>
        <w:t xml:space="preserve">are </w:t>
      </w:r>
      <w:r w:rsidR="006E31AC" w:rsidRPr="00F4226B">
        <w:rPr>
          <w:rFonts w:ascii="Times New Roman" w:hAnsi="Times New Roman"/>
          <w:sz w:val="24"/>
          <w:szCs w:val="24"/>
          <w:lang w:val="en-US"/>
        </w:rPr>
        <w:t xml:space="preserve">superior </w:t>
      </w:r>
      <w:r w:rsidR="000E783E" w:rsidRPr="00F4226B">
        <w:rPr>
          <w:rFonts w:ascii="Times New Roman" w:hAnsi="Times New Roman"/>
          <w:sz w:val="24"/>
          <w:szCs w:val="24"/>
          <w:lang w:val="en-US"/>
        </w:rPr>
        <w:t xml:space="preserve">to </w:t>
      </w:r>
      <w:r w:rsidR="00B31783" w:rsidRPr="00F4226B">
        <w:rPr>
          <w:rFonts w:ascii="Times New Roman" w:hAnsi="Times New Roman"/>
          <w:sz w:val="24"/>
          <w:szCs w:val="24"/>
          <w:lang w:val="en-US"/>
        </w:rPr>
        <w:t>IA a</w:t>
      </w:r>
      <w:r w:rsidR="006E31AC" w:rsidRPr="00F4226B">
        <w:rPr>
          <w:rFonts w:ascii="Times New Roman" w:hAnsi="Times New Roman"/>
          <w:sz w:val="24"/>
          <w:szCs w:val="24"/>
          <w:lang w:val="en-US"/>
        </w:rPr>
        <w:t>mount</w:t>
      </w:r>
      <w:r w:rsidR="00B31783" w:rsidRPr="00F4226B">
        <w:rPr>
          <w:rFonts w:ascii="Times New Roman" w:hAnsi="Times New Roman"/>
          <w:sz w:val="24"/>
          <w:szCs w:val="24"/>
          <w:lang w:val="en-US"/>
        </w:rPr>
        <w:t xml:space="preserve">s. </w:t>
      </w:r>
      <w:r w:rsidR="00E84E12" w:rsidRPr="00F4226B">
        <w:rPr>
          <w:rFonts w:ascii="Times New Roman" w:hAnsi="Times New Roman"/>
          <w:sz w:val="24"/>
          <w:szCs w:val="24"/>
          <w:lang w:val="en-US"/>
        </w:rPr>
        <w:t>W</w:t>
      </w:r>
      <w:r w:rsidR="003F504C" w:rsidRPr="00F4226B">
        <w:rPr>
          <w:rFonts w:ascii="Times New Roman" w:hAnsi="Times New Roman"/>
          <w:sz w:val="24"/>
          <w:szCs w:val="24"/>
          <w:lang w:val="en-US"/>
        </w:rPr>
        <w:t xml:space="preserve">e </w:t>
      </w:r>
      <w:r w:rsidR="00E84E12" w:rsidRPr="00F4226B">
        <w:rPr>
          <w:rFonts w:ascii="Times New Roman" w:hAnsi="Times New Roman"/>
          <w:sz w:val="24"/>
          <w:szCs w:val="24"/>
          <w:lang w:val="en-US"/>
        </w:rPr>
        <w:t xml:space="preserve">also </w:t>
      </w:r>
      <w:r w:rsidR="00174D29" w:rsidRPr="00F4226B">
        <w:rPr>
          <w:rFonts w:ascii="Times New Roman" w:hAnsi="Times New Roman"/>
          <w:sz w:val="24"/>
          <w:szCs w:val="24"/>
          <w:lang w:val="en-US"/>
        </w:rPr>
        <w:t xml:space="preserve">show that </w:t>
      </w:r>
      <w:r w:rsidR="000E783E" w:rsidRPr="00F4226B">
        <w:rPr>
          <w:rFonts w:ascii="Times New Roman" w:hAnsi="Times New Roman"/>
          <w:sz w:val="24"/>
          <w:szCs w:val="24"/>
          <w:lang w:val="en-US"/>
        </w:rPr>
        <w:t>inflation gains and losses</w:t>
      </w:r>
      <w:r w:rsidR="00B31783" w:rsidRPr="00F4226B">
        <w:rPr>
          <w:rFonts w:ascii="Times New Roman" w:hAnsi="Times New Roman"/>
          <w:sz w:val="24"/>
          <w:szCs w:val="24"/>
          <w:lang w:val="en-US"/>
        </w:rPr>
        <w:t xml:space="preserve"> provide incremental information</w:t>
      </w:r>
      <w:r w:rsidR="003F504C" w:rsidRPr="00F4226B">
        <w:rPr>
          <w:rFonts w:ascii="Times New Roman" w:hAnsi="Times New Roman"/>
          <w:sz w:val="24"/>
          <w:szCs w:val="24"/>
          <w:lang w:val="en-US"/>
        </w:rPr>
        <w:t xml:space="preserve"> content beyond that provided by the HC </w:t>
      </w:r>
      <w:r w:rsidR="00ED46B6" w:rsidRPr="00F4226B">
        <w:rPr>
          <w:rFonts w:ascii="Times New Roman" w:hAnsi="Times New Roman"/>
          <w:sz w:val="24"/>
          <w:szCs w:val="24"/>
          <w:lang w:val="en-US"/>
        </w:rPr>
        <w:t>amounts</w:t>
      </w:r>
      <w:r w:rsidR="00F4226B">
        <w:rPr>
          <w:rFonts w:ascii="Times New Roman" w:hAnsi="Times New Roman"/>
          <w:sz w:val="24"/>
          <w:szCs w:val="24"/>
          <w:lang w:val="en-US"/>
        </w:rPr>
        <w:t xml:space="preserve"> and that </w:t>
      </w:r>
      <w:r w:rsidR="003F504C" w:rsidRPr="00F4226B">
        <w:rPr>
          <w:rFonts w:ascii="Times New Roman" w:hAnsi="Times New Roman"/>
          <w:sz w:val="24"/>
          <w:szCs w:val="24"/>
          <w:lang w:val="en-US"/>
        </w:rPr>
        <w:t xml:space="preserve">the </w:t>
      </w:r>
      <w:r w:rsidR="000E783E" w:rsidRPr="00F4226B">
        <w:rPr>
          <w:rFonts w:ascii="Times New Roman" w:hAnsi="Times New Roman"/>
          <w:sz w:val="24"/>
          <w:szCs w:val="24"/>
          <w:lang w:val="en-US"/>
        </w:rPr>
        <w:t xml:space="preserve">power </w:t>
      </w:r>
      <w:r w:rsidR="003F504C" w:rsidRPr="00F4226B">
        <w:rPr>
          <w:rFonts w:ascii="Times New Roman" w:hAnsi="Times New Roman"/>
          <w:sz w:val="24"/>
          <w:szCs w:val="24"/>
          <w:lang w:val="en-US"/>
        </w:rPr>
        <w:t xml:space="preserve">of this incremental content model is </w:t>
      </w:r>
      <w:r w:rsidR="00D32A92" w:rsidRPr="00F4226B">
        <w:rPr>
          <w:rFonts w:ascii="Times New Roman" w:hAnsi="Times New Roman"/>
          <w:sz w:val="24"/>
          <w:szCs w:val="24"/>
          <w:lang w:val="en-US"/>
        </w:rPr>
        <w:t xml:space="preserve">equivalent to </w:t>
      </w:r>
      <w:r w:rsidR="00E84E12" w:rsidRPr="00F4226B">
        <w:rPr>
          <w:rFonts w:ascii="Times New Roman" w:hAnsi="Times New Roman"/>
          <w:sz w:val="24"/>
          <w:szCs w:val="24"/>
          <w:lang w:val="en-US"/>
        </w:rPr>
        <w:t xml:space="preserve">that of </w:t>
      </w:r>
      <w:r w:rsidR="000E783E" w:rsidRPr="00F4226B">
        <w:rPr>
          <w:rFonts w:ascii="Times New Roman" w:hAnsi="Times New Roman"/>
          <w:sz w:val="24"/>
          <w:szCs w:val="24"/>
          <w:lang w:val="en-US"/>
        </w:rPr>
        <w:t xml:space="preserve">the HC model but superior to </w:t>
      </w:r>
      <w:r w:rsidR="00E84E12" w:rsidRPr="00F4226B">
        <w:rPr>
          <w:rFonts w:ascii="Times New Roman" w:hAnsi="Times New Roman"/>
          <w:sz w:val="24"/>
          <w:szCs w:val="24"/>
          <w:lang w:val="en-US"/>
        </w:rPr>
        <w:t xml:space="preserve">that of </w:t>
      </w:r>
      <w:r w:rsidR="000E783E" w:rsidRPr="00F4226B">
        <w:rPr>
          <w:rFonts w:ascii="Times New Roman" w:hAnsi="Times New Roman"/>
          <w:sz w:val="24"/>
          <w:szCs w:val="24"/>
          <w:lang w:val="en-US"/>
        </w:rPr>
        <w:t>the IA model</w:t>
      </w:r>
      <w:r w:rsidR="00B31783" w:rsidRPr="00F4226B">
        <w:rPr>
          <w:rFonts w:ascii="Times New Roman" w:hAnsi="Times New Roman"/>
          <w:sz w:val="24"/>
          <w:szCs w:val="24"/>
          <w:lang w:val="en-US"/>
        </w:rPr>
        <w:t>.</w:t>
      </w:r>
      <w:r w:rsidR="00ED46B6" w:rsidRPr="00F4226B">
        <w:rPr>
          <w:rFonts w:ascii="Times New Roman" w:hAnsi="Times New Roman"/>
          <w:sz w:val="24"/>
          <w:szCs w:val="24"/>
          <w:lang w:val="en-US"/>
        </w:rPr>
        <w:t xml:space="preserve"> </w:t>
      </w:r>
      <w:r w:rsidR="00CE639C">
        <w:rPr>
          <w:rFonts w:ascii="Times New Roman" w:hAnsi="Times New Roman"/>
          <w:sz w:val="24"/>
          <w:szCs w:val="24"/>
          <w:lang w:val="en-US"/>
        </w:rPr>
        <w:t xml:space="preserve">Further analyses indicate </w:t>
      </w:r>
      <w:r w:rsidR="001B47EA">
        <w:rPr>
          <w:rFonts w:ascii="Times New Roman" w:hAnsi="Times New Roman"/>
          <w:sz w:val="24"/>
          <w:szCs w:val="24"/>
          <w:lang w:val="en-US"/>
        </w:rPr>
        <w:t>that,</w:t>
      </w:r>
      <w:r w:rsidR="001B47EA" w:rsidRPr="00F4226B">
        <w:rPr>
          <w:rFonts w:ascii="Times New Roman" w:hAnsi="Times New Roman"/>
          <w:sz w:val="24"/>
          <w:szCs w:val="24"/>
          <w:lang w:val="en-US"/>
        </w:rPr>
        <w:t xml:space="preserve"> in periods of relatively low inflation, HC amounts are more value relevant, while in periods of relatively high inflation, the two sets of amounts are equally value relevant. </w:t>
      </w:r>
      <w:r w:rsidR="00D5138B" w:rsidRPr="00F4226B">
        <w:rPr>
          <w:rFonts w:ascii="Times New Roman" w:hAnsi="Times New Roman"/>
          <w:sz w:val="24"/>
          <w:szCs w:val="24"/>
          <w:lang w:val="en-US"/>
        </w:rPr>
        <w:t xml:space="preserve">Finally, </w:t>
      </w:r>
      <w:r w:rsidR="00440731" w:rsidRPr="00F4226B">
        <w:rPr>
          <w:rFonts w:ascii="Times New Roman" w:hAnsi="Times New Roman"/>
          <w:sz w:val="24"/>
          <w:szCs w:val="24"/>
          <w:lang w:val="en-US"/>
        </w:rPr>
        <w:t>we</w:t>
      </w:r>
      <w:r w:rsidR="00256611" w:rsidRPr="00F4226B">
        <w:rPr>
          <w:rFonts w:ascii="Times New Roman" w:hAnsi="Times New Roman"/>
          <w:sz w:val="24"/>
          <w:szCs w:val="24"/>
          <w:lang w:val="en-US"/>
        </w:rPr>
        <w:t xml:space="preserve"> </w:t>
      </w:r>
      <w:r w:rsidR="00D5138B" w:rsidRPr="00F4226B">
        <w:rPr>
          <w:rFonts w:ascii="Times New Roman" w:hAnsi="Times New Roman"/>
          <w:sz w:val="24"/>
          <w:szCs w:val="24"/>
          <w:lang w:val="en-US"/>
        </w:rPr>
        <w:t xml:space="preserve">show that HC amounts have </w:t>
      </w:r>
      <w:r w:rsidR="00F00DFB">
        <w:rPr>
          <w:rFonts w:ascii="Times New Roman" w:hAnsi="Times New Roman"/>
          <w:sz w:val="24"/>
          <w:szCs w:val="24"/>
          <w:lang w:val="en-US"/>
        </w:rPr>
        <w:t xml:space="preserve">a </w:t>
      </w:r>
      <w:r w:rsidR="00D5138B" w:rsidRPr="00F4226B">
        <w:rPr>
          <w:rFonts w:ascii="Times New Roman" w:hAnsi="Times New Roman"/>
          <w:sz w:val="24"/>
          <w:szCs w:val="24"/>
          <w:lang w:val="en-US"/>
        </w:rPr>
        <w:t>greater ability to predict future cash flows than IA amounts</w:t>
      </w:r>
      <w:r w:rsidR="00256611" w:rsidRPr="00F4226B">
        <w:rPr>
          <w:rFonts w:ascii="Times New Roman" w:hAnsi="Times New Roman"/>
          <w:sz w:val="24"/>
          <w:szCs w:val="24"/>
          <w:lang w:val="en-US"/>
        </w:rPr>
        <w:t xml:space="preserve">, </w:t>
      </w:r>
      <w:r w:rsidR="00B42BE7">
        <w:rPr>
          <w:rFonts w:ascii="Times New Roman" w:hAnsi="Times New Roman"/>
          <w:sz w:val="24"/>
          <w:szCs w:val="24"/>
          <w:lang w:val="en-US"/>
        </w:rPr>
        <w:t>which suggests</w:t>
      </w:r>
      <w:r w:rsidR="00B42BE7" w:rsidRPr="00F4226B">
        <w:rPr>
          <w:rFonts w:ascii="Times New Roman" w:hAnsi="Times New Roman"/>
          <w:sz w:val="24"/>
          <w:szCs w:val="24"/>
          <w:lang w:val="en-US"/>
        </w:rPr>
        <w:t xml:space="preserve"> </w:t>
      </w:r>
      <w:r w:rsidR="00083898" w:rsidRPr="00F4226B">
        <w:rPr>
          <w:rFonts w:ascii="Times New Roman" w:hAnsi="Times New Roman"/>
          <w:sz w:val="24"/>
          <w:szCs w:val="24"/>
          <w:lang w:val="en-US"/>
        </w:rPr>
        <w:t xml:space="preserve">that </w:t>
      </w:r>
      <w:r w:rsidR="00256611" w:rsidRPr="00F4226B">
        <w:rPr>
          <w:rFonts w:ascii="Times New Roman" w:hAnsi="Times New Roman"/>
          <w:sz w:val="24"/>
          <w:szCs w:val="24"/>
          <w:lang w:val="en-US"/>
        </w:rPr>
        <w:t>the superiority of the</w:t>
      </w:r>
      <w:r w:rsidR="00910B87">
        <w:rPr>
          <w:rFonts w:ascii="Times New Roman" w:hAnsi="Times New Roman"/>
          <w:sz w:val="24"/>
          <w:szCs w:val="24"/>
          <w:lang w:val="en-US"/>
        </w:rPr>
        <w:t>ir</w:t>
      </w:r>
      <w:r w:rsidR="00256611" w:rsidRPr="00F4226B">
        <w:rPr>
          <w:rFonts w:ascii="Times New Roman" w:hAnsi="Times New Roman"/>
          <w:sz w:val="24"/>
          <w:szCs w:val="24"/>
          <w:lang w:val="en-US"/>
        </w:rPr>
        <w:t xml:space="preserve"> value relevance </w:t>
      </w:r>
      <w:r w:rsidR="00083898" w:rsidRPr="00F4226B">
        <w:rPr>
          <w:rFonts w:ascii="Times New Roman" w:hAnsi="Times New Roman"/>
          <w:sz w:val="24"/>
          <w:szCs w:val="24"/>
          <w:lang w:val="en-US"/>
        </w:rPr>
        <w:t xml:space="preserve">stems from </w:t>
      </w:r>
      <w:r w:rsidR="00910B87">
        <w:rPr>
          <w:rFonts w:ascii="Times New Roman" w:hAnsi="Times New Roman"/>
          <w:sz w:val="24"/>
          <w:szCs w:val="24"/>
          <w:lang w:val="en-US"/>
        </w:rPr>
        <w:t>this</w:t>
      </w:r>
      <w:bookmarkEnd w:id="0"/>
      <w:r w:rsidR="00D5138B" w:rsidRPr="00F4226B">
        <w:rPr>
          <w:rFonts w:ascii="Times New Roman" w:hAnsi="Times New Roman"/>
          <w:sz w:val="24"/>
          <w:szCs w:val="24"/>
          <w:lang w:val="en-US"/>
        </w:rPr>
        <w:t xml:space="preserve">. </w:t>
      </w:r>
    </w:p>
    <w:p w14:paraId="0883F7B1" w14:textId="77777777" w:rsidR="00B43AAB" w:rsidRPr="00F4226B" w:rsidRDefault="00B43AAB" w:rsidP="00A24218">
      <w:pPr>
        <w:spacing w:after="0" w:line="360" w:lineRule="auto"/>
        <w:jc w:val="both"/>
        <w:rPr>
          <w:rFonts w:ascii="Times New Roman" w:hAnsi="Times New Roman"/>
          <w:sz w:val="24"/>
          <w:szCs w:val="24"/>
          <w:lang w:val="en-US"/>
        </w:rPr>
      </w:pPr>
    </w:p>
    <w:p w14:paraId="49C1F500" w14:textId="77777777" w:rsidR="00B43AAB" w:rsidRPr="00F4226B" w:rsidRDefault="00B43AAB" w:rsidP="00A24218">
      <w:pPr>
        <w:spacing w:after="0" w:line="360" w:lineRule="auto"/>
        <w:jc w:val="both"/>
        <w:rPr>
          <w:rFonts w:ascii="Times New Roman" w:hAnsi="Times New Roman"/>
          <w:sz w:val="24"/>
          <w:szCs w:val="24"/>
          <w:lang w:val="en-US"/>
        </w:rPr>
      </w:pPr>
    </w:p>
    <w:p w14:paraId="30E0E794" w14:textId="77777777" w:rsidR="00220A0D" w:rsidRPr="00F4226B" w:rsidRDefault="00220A0D" w:rsidP="00A24218">
      <w:pPr>
        <w:spacing w:after="0" w:line="360" w:lineRule="auto"/>
        <w:jc w:val="both"/>
        <w:rPr>
          <w:rFonts w:ascii="Times New Roman" w:hAnsi="Times New Roman"/>
          <w:sz w:val="24"/>
          <w:szCs w:val="24"/>
          <w:lang w:val="en-US"/>
        </w:rPr>
      </w:pPr>
      <w:r w:rsidRPr="00F4226B">
        <w:rPr>
          <w:rFonts w:ascii="Times New Roman" w:hAnsi="Times New Roman"/>
          <w:b/>
          <w:sz w:val="24"/>
          <w:szCs w:val="24"/>
          <w:lang w:val="en-US"/>
        </w:rPr>
        <w:t>Keywords:</w:t>
      </w:r>
      <w:r w:rsidRPr="00F4226B">
        <w:rPr>
          <w:rFonts w:ascii="Times New Roman" w:hAnsi="Times New Roman"/>
          <w:sz w:val="24"/>
          <w:szCs w:val="24"/>
          <w:lang w:val="en-US"/>
        </w:rPr>
        <w:t xml:space="preserve"> </w:t>
      </w:r>
      <w:r w:rsidR="00EB08F1" w:rsidRPr="00F4226B">
        <w:rPr>
          <w:rFonts w:ascii="Times New Roman" w:hAnsi="Times New Roman"/>
          <w:sz w:val="24"/>
          <w:szCs w:val="24"/>
          <w:lang w:val="en-US"/>
        </w:rPr>
        <w:t>IAS</w:t>
      </w:r>
      <w:r w:rsidR="005E2293" w:rsidRPr="00F4226B">
        <w:rPr>
          <w:rFonts w:ascii="Times New Roman" w:hAnsi="Times New Roman"/>
          <w:sz w:val="24"/>
          <w:szCs w:val="24"/>
          <w:lang w:val="en-US"/>
        </w:rPr>
        <w:t xml:space="preserve"> </w:t>
      </w:r>
      <w:r w:rsidR="00EB08F1" w:rsidRPr="00F4226B">
        <w:rPr>
          <w:rFonts w:ascii="Times New Roman" w:hAnsi="Times New Roman"/>
          <w:sz w:val="24"/>
          <w:szCs w:val="24"/>
          <w:lang w:val="en-US"/>
        </w:rPr>
        <w:t xml:space="preserve">29, </w:t>
      </w:r>
      <w:r w:rsidRPr="00F4226B">
        <w:rPr>
          <w:rFonts w:ascii="Times New Roman" w:hAnsi="Times New Roman"/>
          <w:sz w:val="24"/>
          <w:szCs w:val="24"/>
          <w:lang w:val="en-US"/>
        </w:rPr>
        <w:t>historical cost a</w:t>
      </w:r>
      <w:r w:rsidR="00471792" w:rsidRPr="00F4226B">
        <w:rPr>
          <w:rFonts w:ascii="Times New Roman" w:hAnsi="Times New Roman"/>
          <w:sz w:val="24"/>
          <w:szCs w:val="24"/>
          <w:lang w:val="en-US"/>
        </w:rPr>
        <w:t>m</w:t>
      </w:r>
      <w:r w:rsidRPr="00F4226B">
        <w:rPr>
          <w:rFonts w:ascii="Times New Roman" w:hAnsi="Times New Roman"/>
          <w:sz w:val="24"/>
          <w:szCs w:val="24"/>
          <w:lang w:val="en-US"/>
        </w:rPr>
        <w:t>ounts, inflation-adjusted a</w:t>
      </w:r>
      <w:r w:rsidR="00471792" w:rsidRPr="00F4226B">
        <w:rPr>
          <w:rFonts w:ascii="Times New Roman" w:hAnsi="Times New Roman"/>
          <w:sz w:val="24"/>
          <w:szCs w:val="24"/>
          <w:lang w:val="en-US"/>
        </w:rPr>
        <w:t>m</w:t>
      </w:r>
      <w:r w:rsidRPr="00F4226B">
        <w:rPr>
          <w:rFonts w:ascii="Times New Roman" w:hAnsi="Times New Roman"/>
          <w:sz w:val="24"/>
          <w:szCs w:val="24"/>
          <w:lang w:val="en-US"/>
        </w:rPr>
        <w:t>ounts, value relevance</w:t>
      </w:r>
      <w:r w:rsidR="00440731" w:rsidRPr="00F4226B">
        <w:rPr>
          <w:rFonts w:ascii="Times New Roman" w:hAnsi="Times New Roman"/>
          <w:sz w:val="24"/>
          <w:szCs w:val="24"/>
          <w:lang w:val="en-US"/>
        </w:rPr>
        <w:t>, hyperinflationary economies.</w:t>
      </w:r>
    </w:p>
    <w:p w14:paraId="3F20E5CB" w14:textId="77777777" w:rsidR="00CD1D19" w:rsidRPr="00F4226B" w:rsidRDefault="00CD1D19" w:rsidP="00A24218">
      <w:pPr>
        <w:spacing w:after="0" w:line="360" w:lineRule="auto"/>
        <w:jc w:val="both"/>
        <w:rPr>
          <w:rFonts w:ascii="Times New Roman" w:hAnsi="Times New Roman"/>
          <w:sz w:val="24"/>
          <w:szCs w:val="24"/>
          <w:lang w:val="en-US"/>
        </w:rPr>
      </w:pPr>
    </w:p>
    <w:p w14:paraId="6C1C6C18" w14:textId="77777777" w:rsidR="00CD1D19" w:rsidRPr="00F4226B" w:rsidRDefault="00CD1D19" w:rsidP="003820D1">
      <w:pPr>
        <w:spacing w:after="0" w:line="360" w:lineRule="auto"/>
        <w:jc w:val="both"/>
        <w:outlineLvl w:val="0"/>
        <w:rPr>
          <w:rFonts w:ascii="Times New Roman" w:hAnsi="Times New Roman"/>
          <w:sz w:val="24"/>
          <w:szCs w:val="24"/>
          <w:lang w:val="en-US"/>
        </w:rPr>
      </w:pPr>
      <w:r w:rsidRPr="00F4226B">
        <w:rPr>
          <w:rFonts w:ascii="Times New Roman" w:hAnsi="Times New Roman"/>
          <w:sz w:val="24"/>
          <w:szCs w:val="24"/>
          <w:lang w:val="en-US"/>
        </w:rPr>
        <w:t>JEL C</w:t>
      </w:r>
      <w:r w:rsidR="004763FA" w:rsidRPr="00F4226B">
        <w:rPr>
          <w:rFonts w:ascii="Times New Roman" w:hAnsi="Times New Roman"/>
          <w:sz w:val="24"/>
          <w:szCs w:val="24"/>
          <w:lang w:val="en-US"/>
        </w:rPr>
        <w:t>lassification</w:t>
      </w:r>
      <w:r w:rsidRPr="00F4226B">
        <w:rPr>
          <w:rFonts w:ascii="Times New Roman" w:hAnsi="Times New Roman"/>
          <w:sz w:val="24"/>
          <w:szCs w:val="24"/>
          <w:lang w:val="en-US"/>
        </w:rPr>
        <w:t xml:space="preserve">: </w:t>
      </w:r>
      <w:r w:rsidR="00461098" w:rsidRPr="00F4226B">
        <w:rPr>
          <w:rFonts w:ascii="Times New Roman" w:hAnsi="Times New Roman"/>
          <w:sz w:val="24"/>
          <w:szCs w:val="24"/>
          <w:lang w:val="en-US"/>
        </w:rPr>
        <w:t xml:space="preserve">G15, M40, </w:t>
      </w:r>
      <w:r w:rsidRPr="00F4226B">
        <w:rPr>
          <w:rFonts w:ascii="Times New Roman" w:hAnsi="Times New Roman"/>
          <w:sz w:val="24"/>
          <w:szCs w:val="24"/>
          <w:lang w:val="en-US"/>
        </w:rPr>
        <w:t>M41</w:t>
      </w:r>
    </w:p>
    <w:p w14:paraId="196BBC46" w14:textId="77777777" w:rsidR="00B43AAB" w:rsidRPr="00F4226B" w:rsidRDefault="00B43AAB" w:rsidP="00A24218">
      <w:pPr>
        <w:spacing w:after="0" w:line="360" w:lineRule="auto"/>
        <w:jc w:val="both"/>
        <w:rPr>
          <w:rFonts w:ascii="Times New Roman" w:hAnsi="Times New Roman"/>
          <w:sz w:val="24"/>
          <w:szCs w:val="24"/>
          <w:lang w:val="en-US"/>
        </w:rPr>
      </w:pPr>
    </w:p>
    <w:p w14:paraId="55227E1A" w14:textId="77777777" w:rsidR="00612449" w:rsidRPr="00F4226B" w:rsidRDefault="007F2F6B" w:rsidP="00164312">
      <w:pPr>
        <w:spacing w:line="360" w:lineRule="auto"/>
        <w:jc w:val="both"/>
        <w:rPr>
          <w:rFonts w:ascii="Times New Roman" w:hAnsi="Times New Roman"/>
          <w:b/>
          <w:sz w:val="24"/>
          <w:szCs w:val="24"/>
          <w:lang w:val="en-US"/>
        </w:rPr>
      </w:pPr>
      <w:r w:rsidRPr="00F4226B">
        <w:rPr>
          <w:lang w:val="en-US"/>
        </w:rPr>
        <w:br w:type="page"/>
      </w:r>
      <w:r w:rsidR="00612449" w:rsidRPr="00F4226B">
        <w:rPr>
          <w:rFonts w:ascii="Times New Roman" w:hAnsi="Times New Roman"/>
          <w:b/>
          <w:sz w:val="24"/>
          <w:szCs w:val="24"/>
          <w:lang w:val="en-US"/>
        </w:rPr>
        <w:lastRenderedPageBreak/>
        <w:t xml:space="preserve">1. </w:t>
      </w:r>
      <w:r w:rsidR="00A25F60" w:rsidRPr="00F4226B">
        <w:rPr>
          <w:rFonts w:ascii="Times New Roman" w:hAnsi="Times New Roman"/>
          <w:b/>
          <w:sz w:val="24"/>
          <w:szCs w:val="24"/>
          <w:lang w:val="en-US"/>
        </w:rPr>
        <w:t xml:space="preserve"> </w:t>
      </w:r>
      <w:r w:rsidR="00612449" w:rsidRPr="00F4226B">
        <w:rPr>
          <w:rFonts w:ascii="Times New Roman" w:hAnsi="Times New Roman"/>
          <w:b/>
          <w:sz w:val="24"/>
          <w:szCs w:val="24"/>
          <w:lang w:val="en-US"/>
        </w:rPr>
        <w:t>Introduction</w:t>
      </w:r>
    </w:p>
    <w:p w14:paraId="48C64F70" w14:textId="50999C19" w:rsidR="00A051B1" w:rsidRPr="00F4226B" w:rsidRDefault="00D264D0" w:rsidP="007B6A90">
      <w:pPr>
        <w:spacing w:after="0" w:line="360" w:lineRule="auto"/>
        <w:jc w:val="both"/>
        <w:rPr>
          <w:rFonts w:ascii="Times New Roman" w:eastAsia="Times New Roman" w:hAnsi="Times New Roman"/>
          <w:color w:val="000000"/>
          <w:sz w:val="24"/>
          <w:szCs w:val="24"/>
          <w:lang w:val="en-US" w:eastAsia="en-GB"/>
        </w:rPr>
      </w:pPr>
      <w:r w:rsidRPr="00F4226B">
        <w:rPr>
          <w:rFonts w:ascii="Times New Roman" w:hAnsi="Times New Roman"/>
          <w:sz w:val="24"/>
          <w:szCs w:val="24"/>
          <w:lang w:val="en-US"/>
        </w:rPr>
        <w:t xml:space="preserve">In 1989, </w:t>
      </w:r>
      <w:r w:rsidR="005917EB" w:rsidRPr="00F4226B">
        <w:rPr>
          <w:rFonts w:ascii="Times New Roman" w:eastAsia="Times New Roman" w:hAnsi="Times New Roman"/>
          <w:color w:val="000000"/>
          <w:sz w:val="24"/>
          <w:szCs w:val="24"/>
          <w:lang w:val="en-US" w:eastAsia="en-GB"/>
        </w:rPr>
        <w:t>International Accounting Standard (IAS) 29</w:t>
      </w:r>
      <w:r w:rsidR="008E5BEF" w:rsidRPr="00F4226B">
        <w:rPr>
          <w:rFonts w:ascii="Times New Roman" w:eastAsia="Times New Roman" w:hAnsi="Times New Roman"/>
          <w:color w:val="000000"/>
          <w:sz w:val="24"/>
          <w:szCs w:val="24"/>
          <w:lang w:val="en-US" w:eastAsia="en-GB"/>
        </w:rPr>
        <w:t xml:space="preserve"> (</w:t>
      </w:r>
      <w:r w:rsidR="006A19D7" w:rsidRPr="00F4226B">
        <w:rPr>
          <w:rFonts w:ascii="Times New Roman" w:eastAsia="Times New Roman" w:hAnsi="Times New Roman"/>
          <w:color w:val="000000"/>
          <w:sz w:val="24"/>
          <w:szCs w:val="24"/>
          <w:lang w:val="en-US" w:eastAsia="en-GB"/>
        </w:rPr>
        <w:t xml:space="preserve">Financial </w:t>
      </w:r>
      <w:r w:rsidR="008E5A4F" w:rsidRPr="00F4226B">
        <w:rPr>
          <w:rFonts w:ascii="Times New Roman" w:eastAsia="Times New Roman" w:hAnsi="Times New Roman"/>
          <w:color w:val="000000"/>
          <w:sz w:val="24"/>
          <w:szCs w:val="24"/>
          <w:lang w:val="en-US" w:eastAsia="en-GB"/>
        </w:rPr>
        <w:t>r</w:t>
      </w:r>
      <w:r w:rsidR="006A19D7" w:rsidRPr="00F4226B">
        <w:rPr>
          <w:rFonts w:ascii="Times New Roman" w:eastAsia="Times New Roman" w:hAnsi="Times New Roman"/>
          <w:color w:val="000000"/>
          <w:sz w:val="24"/>
          <w:szCs w:val="24"/>
          <w:lang w:val="en-US" w:eastAsia="en-GB"/>
        </w:rPr>
        <w:t xml:space="preserve">eporting in </w:t>
      </w:r>
      <w:r w:rsidR="008E5A4F" w:rsidRPr="00F4226B">
        <w:rPr>
          <w:rFonts w:ascii="Times New Roman" w:eastAsia="Times New Roman" w:hAnsi="Times New Roman"/>
          <w:color w:val="000000"/>
          <w:sz w:val="24"/>
          <w:szCs w:val="24"/>
          <w:lang w:val="en-US" w:eastAsia="en-GB"/>
        </w:rPr>
        <w:t>h</w:t>
      </w:r>
      <w:r w:rsidR="006A19D7" w:rsidRPr="00F4226B">
        <w:rPr>
          <w:rFonts w:ascii="Times New Roman" w:eastAsia="Times New Roman" w:hAnsi="Times New Roman"/>
          <w:color w:val="000000"/>
          <w:sz w:val="24"/>
          <w:szCs w:val="24"/>
          <w:lang w:val="en-US" w:eastAsia="en-GB"/>
        </w:rPr>
        <w:t xml:space="preserve">yperinflationary </w:t>
      </w:r>
      <w:r w:rsidR="008E5A4F" w:rsidRPr="00F4226B">
        <w:rPr>
          <w:rFonts w:ascii="Times New Roman" w:eastAsia="Times New Roman" w:hAnsi="Times New Roman"/>
          <w:color w:val="000000"/>
          <w:sz w:val="24"/>
          <w:szCs w:val="24"/>
          <w:lang w:val="en-US" w:eastAsia="en-GB"/>
        </w:rPr>
        <w:t>e</w:t>
      </w:r>
      <w:r w:rsidR="006A19D7" w:rsidRPr="00F4226B">
        <w:rPr>
          <w:rFonts w:ascii="Times New Roman" w:eastAsia="Times New Roman" w:hAnsi="Times New Roman"/>
          <w:color w:val="000000"/>
          <w:sz w:val="24"/>
          <w:szCs w:val="24"/>
          <w:lang w:val="en-US" w:eastAsia="en-GB"/>
        </w:rPr>
        <w:t>conomies</w:t>
      </w:r>
      <w:r w:rsidR="008E5BEF" w:rsidRPr="00F4226B">
        <w:rPr>
          <w:rFonts w:ascii="Times New Roman" w:eastAsia="Times New Roman" w:hAnsi="Times New Roman"/>
          <w:color w:val="000000"/>
          <w:sz w:val="24"/>
          <w:szCs w:val="24"/>
          <w:lang w:val="en-US" w:eastAsia="en-GB"/>
        </w:rPr>
        <w:t>)</w:t>
      </w:r>
      <w:r w:rsidR="006A19D7" w:rsidRPr="00F4226B">
        <w:rPr>
          <w:rFonts w:ascii="Times New Roman" w:eastAsia="Times New Roman" w:hAnsi="Times New Roman"/>
          <w:color w:val="000000"/>
          <w:sz w:val="24"/>
          <w:szCs w:val="24"/>
          <w:lang w:val="en-US" w:eastAsia="en-GB"/>
        </w:rPr>
        <w:t xml:space="preserve"> </w:t>
      </w:r>
      <w:r w:rsidR="006A19D7" w:rsidRPr="00F4226B">
        <w:rPr>
          <w:rFonts w:ascii="Times New Roman" w:hAnsi="Times New Roman"/>
          <w:sz w:val="24"/>
          <w:szCs w:val="24"/>
          <w:lang w:val="en-US"/>
        </w:rPr>
        <w:t>became effective for reporting periods beginning on or after Jan</w:t>
      </w:r>
      <w:r w:rsidR="00910B87">
        <w:rPr>
          <w:rFonts w:ascii="Times New Roman" w:hAnsi="Times New Roman"/>
          <w:sz w:val="24"/>
          <w:szCs w:val="24"/>
          <w:lang w:val="en-US"/>
        </w:rPr>
        <w:t xml:space="preserve">. 1, </w:t>
      </w:r>
      <w:r w:rsidR="006A19D7" w:rsidRPr="00F4226B">
        <w:rPr>
          <w:rFonts w:ascii="Times New Roman" w:hAnsi="Times New Roman"/>
          <w:sz w:val="24"/>
          <w:szCs w:val="24"/>
          <w:lang w:val="en-US"/>
        </w:rPr>
        <w:t>1990.</w:t>
      </w:r>
      <w:r w:rsidR="008E5BEF" w:rsidRPr="00F4226B">
        <w:rPr>
          <w:rFonts w:ascii="Times New Roman" w:hAnsi="Times New Roman"/>
          <w:sz w:val="24"/>
          <w:szCs w:val="24"/>
          <w:lang w:val="en-US"/>
        </w:rPr>
        <w:t xml:space="preserve"> </w:t>
      </w:r>
      <w:r w:rsidR="00510E1F" w:rsidRPr="00F4226B">
        <w:rPr>
          <w:rFonts w:ascii="Times New Roman" w:hAnsi="Times New Roman"/>
          <w:sz w:val="24"/>
          <w:szCs w:val="24"/>
          <w:lang w:val="en-US"/>
        </w:rPr>
        <w:t xml:space="preserve">The standard </w:t>
      </w:r>
      <w:r w:rsidR="008E5BEF" w:rsidRPr="00F4226B">
        <w:rPr>
          <w:rFonts w:ascii="Times New Roman" w:hAnsi="Times New Roman"/>
          <w:sz w:val="24"/>
          <w:szCs w:val="24"/>
          <w:lang w:val="en-US"/>
        </w:rPr>
        <w:t>sets out the requirements for financial statements in a hyperinflationary e</w:t>
      </w:r>
      <w:r w:rsidR="005B3DA4" w:rsidRPr="00F4226B">
        <w:rPr>
          <w:rFonts w:ascii="Times New Roman" w:hAnsi="Times New Roman"/>
          <w:sz w:val="24"/>
          <w:szCs w:val="24"/>
          <w:lang w:val="en-US"/>
        </w:rPr>
        <w:t>nvironment</w:t>
      </w:r>
      <w:r w:rsidR="00020024" w:rsidRPr="00F4226B">
        <w:rPr>
          <w:rFonts w:ascii="Times New Roman" w:hAnsi="Times New Roman"/>
          <w:sz w:val="24"/>
          <w:szCs w:val="24"/>
          <w:lang w:val="en-US"/>
        </w:rPr>
        <w:t>.</w:t>
      </w:r>
      <w:r w:rsidR="00020024" w:rsidRPr="00F4226B">
        <w:rPr>
          <w:rStyle w:val="FootnoteReference"/>
          <w:rFonts w:ascii="Times New Roman" w:eastAsia="Times New Roman" w:hAnsi="Times New Roman"/>
          <w:color w:val="000000"/>
          <w:sz w:val="24"/>
          <w:szCs w:val="24"/>
          <w:lang w:val="en-US" w:eastAsia="en-GB"/>
        </w:rPr>
        <w:footnoteReference w:id="1"/>
      </w:r>
      <w:r w:rsidR="00020024" w:rsidRPr="00F4226B">
        <w:rPr>
          <w:rFonts w:ascii="Times New Roman" w:hAnsi="Times New Roman"/>
          <w:sz w:val="24"/>
          <w:szCs w:val="24"/>
          <w:lang w:val="en-US"/>
        </w:rPr>
        <w:t xml:space="preserve"> </w:t>
      </w:r>
      <w:r w:rsidR="00912CE1" w:rsidRPr="00F4226B">
        <w:rPr>
          <w:rFonts w:ascii="Times New Roman" w:hAnsi="Times New Roman"/>
          <w:sz w:val="24"/>
          <w:szCs w:val="24"/>
          <w:lang w:val="en-US"/>
        </w:rPr>
        <w:t>F</w:t>
      </w:r>
      <w:r w:rsidR="00020024" w:rsidRPr="00F4226B">
        <w:rPr>
          <w:rFonts w:ascii="Times New Roman" w:hAnsi="Times New Roman"/>
          <w:sz w:val="24"/>
          <w:szCs w:val="24"/>
          <w:lang w:val="en-US"/>
        </w:rPr>
        <w:t>undamental</w:t>
      </w:r>
      <w:r w:rsidR="00912CE1" w:rsidRPr="00F4226B">
        <w:rPr>
          <w:rFonts w:ascii="Times New Roman" w:hAnsi="Times New Roman"/>
          <w:sz w:val="24"/>
          <w:szCs w:val="24"/>
          <w:lang w:val="en-US"/>
        </w:rPr>
        <w:t xml:space="preserve">ly, the </w:t>
      </w:r>
      <w:r w:rsidR="00027A61" w:rsidRPr="00F4226B">
        <w:rPr>
          <w:rFonts w:ascii="Times New Roman" w:hAnsi="Times New Roman"/>
          <w:sz w:val="24"/>
          <w:szCs w:val="24"/>
          <w:lang w:val="en-US"/>
        </w:rPr>
        <w:t xml:space="preserve">position of </w:t>
      </w:r>
      <w:r w:rsidR="00020024" w:rsidRPr="00F4226B">
        <w:rPr>
          <w:rFonts w:ascii="Times New Roman" w:hAnsi="Times New Roman"/>
          <w:sz w:val="24"/>
          <w:szCs w:val="24"/>
          <w:lang w:val="en-US"/>
        </w:rPr>
        <w:t xml:space="preserve">the standard </w:t>
      </w:r>
      <w:r w:rsidR="00027A61" w:rsidRPr="00F4226B">
        <w:rPr>
          <w:rFonts w:ascii="Times New Roman" w:hAnsi="Times New Roman"/>
          <w:sz w:val="24"/>
          <w:szCs w:val="24"/>
          <w:lang w:val="en-US"/>
        </w:rPr>
        <w:t xml:space="preserve">is </w:t>
      </w:r>
      <w:r w:rsidR="00510E1F" w:rsidRPr="00F4226B">
        <w:rPr>
          <w:rFonts w:ascii="Times New Roman" w:hAnsi="Times New Roman"/>
          <w:sz w:val="24"/>
          <w:szCs w:val="24"/>
          <w:lang w:val="en-US"/>
        </w:rPr>
        <w:t>three</w:t>
      </w:r>
      <w:r w:rsidR="00027A61" w:rsidRPr="00F4226B">
        <w:rPr>
          <w:rFonts w:ascii="Times New Roman" w:hAnsi="Times New Roman"/>
          <w:sz w:val="24"/>
          <w:szCs w:val="24"/>
          <w:lang w:val="en-US"/>
        </w:rPr>
        <w:t xml:space="preserve">fold </w:t>
      </w:r>
      <w:r w:rsidR="00510E1F" w:rsidRPr="00F4226B">
        <w:rPr>
          <w:rFonts w:ascii="Times New Roman" w:eastAsia="Times New Roman" w:hAnsi="Times New Roman"/>
          <w:color w:val="000000"/>
          <w:sz w:val="24"/>
          <w:szCs w:val="24"/>
          <w:shd w:val="clear" w:color="auto" w:fill="FFFFFF"/>
          <w:lang w:val="en-US" w:eastAsia="en-GB"/>
        </w:rPr>
        <w:t>(</w:t>
      </w:r>
      <w:r w:rsidR="00510E1F" w:rsidRPr="00F4226B">
        <w:rPr>
          <w:rFonts w:ascii="Times New Roman" w:eastAsia="Times New Roman" w:hAnsi="Times New Roman"/>
          <w:color w:val="000000"/>
          <w:sz w:val="24"/>
          <w:szCs w:val="24"/>
          <w:lang w:val="en-US" w:eastAsia="en-GB"/>
        </w:rPr>
        <w:t>IASB 2011: A938-39)</w:t>
      </w:r>
      <w:r w:rsidR="0095322F" w:rsidRPr="00F4226B">
        <w:rPr>
          <w:rFonts w:ascii="Times New Roman" w:hAnsi="Times New Roman"/>
          <w:sz w:val="24"/>
          <w:szCs w:val="24"/>
          <w:lang w:val="en-US"/>
        </w:rPr>
        <w:t>.</w:t>
      </w:r>
      <w:r w:rsidR="00510E1F" w:rsidRPr="00F4226B">
        <w:rPr>
          <w:rFonts w:ascii="Times New Roman" w:hAnsi="Times New Roman"/>
          <w:sz w:val="24"/>
          <w:szCs w:val="24"/>
          <w:lang w:val="en-US"/>
        </w:rPr>
        <w:t xml:space="preserve"> First, it </w:t>
      </w:r>
      <w:r w:rsidR="005917EB" w:rsidRPr="00F4226B">
        <w:rPr>
          <w:rFonts w:ascii="Times New Roman" w:eastAsia="Times New Roman" w:hAnsi="Times New Roman"/>
          <w:color w:val="000000"/>
          <w:sz w:val="24"/>
          <w:szCs w:val="24"/>
          <w:lang w:val="en-US" w:eastAsia="en-GB"/>
        </w:rPr>
        <w:t>asserts that</w:t>
      </w:r>
      <w:r w:rsidR="00910B87">
        <w:rPr>
          <w:rFonts w:ascii="Times New Roman" w:eastAsia="Times New Roman" w:hAnsi="Times New Roman"/>
          <w:color w:val="000000"/>
          <w:sz w:val="24"/>
          <w:szCs w:val="24"/>
          <w:lang w:val="en-US" w:eastAsia="en-GB"/>
        </w:rPr>
        <w:t>,</w:t>
      </w:r>
      <w:r w:rsidR="005917EB" w:rsidRPr="00F4226B">
        <w:rPr>
          <w:rFonts w:ascii="Times New Roman" w:eastAsia="Times New Roman" w:hAnsi="Times New Roman"/>
          <w:color w:val="000000"/>
          <w:sz w:val="24"/>
          <w:szCs w:val="24"/>
          <w:lang w:val="en-US" w:eastAsia="en-GB"/>
        </w:rPr>
        <w:t xml:space="preserve"> in a hyperinflationary economy, financial statements based on historical cost (HC) or current cost accounting are </w:t>
      </w:r>
      <w:r w:rsidR="00910B87">
        <w:rPr>
          <w:rFonts w:ascii="Times New Roman" w:eastAsia="Times New Roman" w:hAnsi="Times New Roman"/>
          <w:color w:val="000000"/>
          <w:sz w:val="24"/>
          <w:szCs w:val="24"/>
          <w:lang w:val="en-US" w:eastAsia="en-GB"/>
        </w:rPr>
        <w:t>“</w:t>
      </w:r>
      <w:r w:rsidR="005917EB" w:rsidRPr="00F4226B">
        <w:rPr>
          <w:rFonts w:ascii="Times New Roman" w:eastAsia="Times New Roman" w:hAnsi="Times New Roman"/>
          <w:color w:val="000000"/>
          <w:sz w:val="24"/>
          <w:szCs w:val="24"/>
          <w:lang w:val="en-US" w:eastAsia="en-GB"/>
        </w:rPr>
        <w:t>not useful</w:t>
      </w:r>
      <w:r w:rsidR="00910B87">
        <w:rPr>
          <w:rFonts w:ascii="Times New Roman" w:eastAsia="Times New Roman" w:hAnsi="Times New Roman"/>
          <w:color w:val="000000"/>
          <w:sz w:val="24"/>
          <w:szCs w:val="24"/>
          <w:lang w:val="en-US" w:eastAsia="en-GB"/>
        </w:rPr>
        <w:t>”</w:t>
      </w:r>
      <w:r w:rsidR="005917EB" w:rsidRPr="00F4226B">
        <w:rPr>
          <w:rFonts w:ascii="Times New Roman" w:eastAsia="Times New Roman" w:hAnsi="Times New Roman"/>
          <w:color w:val="000000"/>
          <w:sz w:val="24"/>
          <w:szCs w:val="24"/>
          <w:lang w:val="en-US" w:eastAsia="en-GB"/>
        </w:rPr>
        <w:t xml:space="preserve"> and “are useful only if they are expressed in terms of the meas</w:t>
      </w:r>
      <w:r w:rsidR="005917EB" w:rsidRPr="00F4226B">
        <w:rPr>
          <w:rFonts w:ascii="Times New Roman" w:eastAsia="Times New Roman" w:hAnsi="Times New Roman"/>
          <w:color w:val="000000"/>
          <w:sz w:val="24"/>
          <w:szCs w:val="24"/>
          <w:lang w:val="en-US" w:eastAsia="en-GB"/>
        </w:rPr>
        <w:lastRenderedPageBreak/>
        <w:t>uring unit current at the end of the reporting period</w:t>
      </w:r>
      <w:r w:rsidR="00910B87">
        <w:rPr>
          <w:rFonts w:ascii="Times New Roman" w:eastAsia="Times New Roman" w:hAnsi="Times New Roman"/>
          <w:color w:val="000000"/>
          <w:sz w:val="24"/>
          <w:szCs w:val="24"/>
          <w:lang w:val="en-US" w:eastAsia="en-GB"/>
        </w:rPr>
        <w:t>.”</w:t>
      </w:r>
      <w:r w:rsidR="00510E1F" w:rsidRPr="00F4226B">
        <w:rPr>
          <w:rFonts w:ascii="Times New Roman" w:eastAsia="Times New Roman" w:hAnsi="Times New Roman"/>
          <w:color w:val="000000"/>
          <w:sz w:val="24"/>
          <w:szCs w:val="24"/>
          <w:lang w:val="en-US" w:eastAsia="en-GB"/>
        </w:rPr>
        <w:t xml:space="preserve"> Second, it </w:t>
      </w:r>
      <w:r w:rsidR="005917EB" w:rsidRPr="00F4226B">
        <w:rPr>
          <w:rFonts w:ascii="Times New Roman" w:eastAsia="Times New Roman" w:hAnsi="Times New Roman"/>
          <w:color w:val="000000"/>
          <w:sz w:val="24"/>
          <w:szCs w:val="24"/>
          <w:lang w:val="en-US" w:eastAsia="en-GB"/>
        </w:rPr>
        <w:t xml:space="preserve">prohibits the presentation of inflation-adjusted (IA) financial statements </w:t>
      </w:r>
      <w:r w:rsidR="009E6871" w:rsidRPr="00F4226B">
        <w:rPr>
          <w:rFonts w:ascii="Times New Roman" w:eastAsia="Times New Roman" w:hAnsi="Times New Roman"/>
          <w:color w:val="000000"/>
          <w:sz w:val="24"/>
          <w:szCs w:val="24"/>
          <w:lang w:val="en-US" w:eastAsia="en-GB"/>
        </w:rPr>
        <w:t>as supplementary</w:t>
      </w:r>
      <w:r w:rsidR="005917EB" w:rsidRPr="00F4226B">
        <w:rPr>
          <w:rFonts w:ascii="Times New Roman" w:eastAsia="Times New Roman" w:hAnsi="Times New Roman"/>
          <w:color w:val="000000"/>
          <w:sz w:val="24"/>
          <w:szCs w:val="24"/>
          <w:lang w:val="en-US" w:eastAsia="en-GB"/>
        </w:rPr>
        <w:t xml:space="preserve"> to HC financial statements</w:t>
      </w:r>
      <w:r w:rsidR="00510E1F" w:rsidRPr="00F4226B">
        <w:rPr>
          <w:rFonts w:ascii="Times New Roman" w:eastAsia="Times New Roman" w:hAnsi="Times New Roman"/>
          <w:color w:val="000000"/>
          <w:sz w:val="24"/>
          <w:szCs w:val="24"/>
          <w:lang w:val="en-US" w:eastAsia="en-GB"/>
        </w:rPr>
        <w:t xml:space="preserve">. Finally, it </w:t>
      </w:r>
      <w:r w:rsidR="005917EB" w:rsidRPr="00F4226B">
        <w:rPr>
          <w:rFonts w:ascii="Times New Roman" w:eastAsia="Times New Roman" w:hAnsi="Times New Roman"/>
          <w:color w:val="000000"/>
          <w:sz w:val="24"/>
          <w:szCs w:val="24"/>
          <w:shd w:val="clear" w:color="auto" w:fill="FFFFFF"/>
          <w:lang w:val="en-US" w:eastAsia="en-GB"/>
        </w:rPr>
        <w:t>discourages the separate presentation of HC financial statements</w:t>
      </w:r>
      <w:r w:rsidR="005917EB" w:rsidRPr="00F4226B">
        <w:rPr>
          <w:rFonts w:ascii="Times New Roman" w:eastAsia="Times New Roman" w:hAnsi="Times New Roman"/>
          <w:color w:val="000000"/>
          <w:sz w:val="24"/>
          <w:szCs w:val="24"/>
          <w:lang w:val="en-US" w:eastAsia="en-GB"/>
        </w:rPr>
        <w:t>. </w:t>
      </w:r>
      <w:r w:rsidR="00A051B1" w:rsidRPr="00F4226B">
        <w:rPr>
          <w:rFonts w:ascii="Times New Roman" w:eastAsia="Times New Roman" w:hAnsi="Times New Roman"/>
          <w:color w:val="000000"/>
          <w:sz w:val="24"/>
          <w:szCs w:val="24"/>
          <w:lang w:val="en-US" w:eastAsia="en-GB"/>
        </w:rPr>
        <w:t>This position is underpinned by the recognition</w:t>
      </w:r>
      <w:r w:rsidR="000D0D17" w:rsidRPr="00F4226B">
        <w:rPr>
          <w:rFonts w:ascii="Times New Roman" w:eastAsia="Times New Roman" w:hAnsi="Times New Roman"/>
          <w:color w:val="000000"/>
          <w:sz w:val="24"/>
          <w:szCs w:val="24"/>
          <w:lang w:val="en-US" w:eastAsia="en-GB"/>
        </w:rPr>
        <w:t xml:space="preserve"> that inflation</w:t>
      </w:r>
      <w:r w:rsidR="009E6871" w:rsidRPr="00F4226B">
        <w:rPr>
          <w:rFonts w:ascii="Times New Roman" w:eastAsia="Times New Roman" w:hAnsi="Times New Roman"/>
          <w:color w:val="000000"/>
          <w:sz w:val="24"/>
          <w:szCs w:val="24"/>
          <w:lang w:val="en-US" w:eastAsia="en-GB"/>
        </w:rPr>
        <w:t xml:space="preserve"> distorts</w:t>
      </w:r>
      <w:r w:rsidR="00A051B1" w:rsidRPr="00F4226B">
        <w:rPr>
          <w:rFonts w:ascii="Times New Roman" w:eastAsia="Times New Roman" w:hAnsi="Times New Roman"/>
          <w:color w:val="000000"/>
          <w:sz w:val="24"/>
          <w:szCs w:val="24"/>
          <w:lang w:val="en-US" w:eastAsia="en-GB"/>
        </w:rPr>
        <w:t xml:space="preserve"> </w:t>
      </w:r>
      <w:r w:rsidR="005917EB" w:rsidRPr="00F4226B">
        <w:rPr>
          <w:rFonts w:ascii="Times New Roman" w:eastAsia="Times New Roman" w:hAnsi="Times New Roman"/>
          <w:color w:val="000000"/>
          <w:sz w:val="24"/>
          <w:szCs w:val="24"/>
          <w:lang w:val="en-US" w:eastAsia="en-GB"/>
        </w:rPr>
        <w:t>accounting amounts under the HC accounting system</w:t>
      </w:r>
      <w:r w:rsidR="00A051B1" w:rsidRPr="00F4226B">
        <w:rPr>
          <w:rFonts w:ascii="Times New Roman" w:eastAsia="Times New Roman" w:hAnsi="Times New Roman"/>
          <w:color w:val="000000"/>
          <w:sz w:val="24"/>
          <w:szCs w:val="24"/>
          <w:lang w:val="en-US" w:eastAsia="en-GB"/>
        </w:rPr>
        <w:t>.</w:t>
      </w:r>
      <w:r w:rsidR="00A051B1" w:rsidRPr="00F4226B">
        <w:rPr>
          <w:rStyle w:val="FootnoteReference"/>
          <w:rFonts w:ascii="Times New Roman" w:eastAsia="Times New Roman" w:hAnsi="Times New Roman"/>
          <w:color w:val="000000"/>
          <w:sz w:val="24"/>
          <w:szCs w:val="24"/>
          <w:lang w:val="en-US" w:eastAsia="en-GB"/>
        </w:rPr>
        <w:footnoteReference w:id="2"/>
      </w:r>
    </w:p>
    <w:p w14:paraId="4A729F78" w14:textId="43B16CF6" w:rsidR="00ED1B15" w:rsidRPr="00F4226B" w:rsidRDefault="00A051B1" w:rsidP="007B6A90">
      <w:pPr>
        <w:spacing w:after="0" w:line="360" w:lineRule="auto"/>
        <w:ind w:firstLine="284"/>
        <w:jc w:val="both"/>
        <w:rPr>
          <w:rFonts w:ascii="Times New Roman" w:eastAsia="Times New Roman" w:hAnsi="Times New Roman"/>
          <w:color w:val="000000"/>
          <w:sz w:val="24"/>
          <w:szCs w:val="24"/>
          <w:lang w:val="en-US" w:eastAsia="en-GB"/>
        </w:rPr>
      </w:pPr>
      <w:r w:rsidRPr="00F4226B">
        <w:rPr>
          <w:rFonts w:ascii="Times New Roman" w:eastAsia="Times New Roman" w:hAnsi="Times New Roman"/>
          <w:color w:val="000000"/>
          <w:sz w:val="24"/>
          <w:szCs w:val="24"/>
          <w:lang w:val="en-US" w:eastAsia="en-GB"/>
        </w:rPr>
        <w:t xml:space="preserve">A conspicuous feature of the position taken by </w:t>
      </w:r>
      <w:r w:rsidR="005917EB" w:rsidRPr="00F4226B">
        <w:rPr>
          <w:rFonts w:ascii="Times New Roman" w:eastAsia="Times New Roman" w:hAnsi="Times New Roman"/>
          <w:color w:val="000000"/>
          <w:sz w:val="24"/>
          <w:szCs w:val="24"/>
          <w:lang w:val="en-US" w:eastAsia="en-GB"/>
        </w:rPr>
        <w:t>the standard on HC</w:t>
      </w:r>
      <w:r w:rsidR="001E5D48" w:rsidRPr="00F4226B">
        <w:rPr>
          <w:rFonts w:ascii="Times New Roman" w:eastAsia="Times New Roman" w:hAnsi="Times New Roman"/>
          <w:color w:val="000000"/>
          <w:sz w:val="24"/>
          <w:szCs w:val="24"/>
          <w:lang w:val="en-US" w:eastAsia="en-GB"/>
        </w:rPr>
        <w:t xml:space="preserve"> financial statements</w:t>
      </w:r>
      <w:r w:rsidR="005917EB" w:rsidRPr="00F4226B">
        <w:rPr>
          <w:rFonts w:ascii="Times New Roman" w:eastAsia="Times New Roman" w:hAnsi="Times New Roman"/>
          <w:color w:val="000000"/>
          <w:sz w:val="24"/>
          <w:szCs w:val="24"/>
          <w:lang w:val="en-US" w:eastAsia="en-GB"/>
        </w:rPr>
        <w:t xml:space="preserve"> is </w:t>
      </w:r>
      <w:r w:rsidRPr="00F4226B">
        <w:rPr>
          <w:rFonts w:ascii="Times New Roman" w:eastAsia="Times New Roman" w:hAnsi="Times New Roman"/>
          <w:color w:val="000000"/>
          <w:sz w:val="24"/>
          <w:szCs w:val="24"/>
          <w:lang w:val="en-US" w:eastAsia="en-GB"/>
        </w:rPr>
        <w:t xml:space="preserve">the lack of </w:t>
      </w:r>
      <w:r w:rsidR="005917EB" w:rsidRPr="00F4226B">
        <w:rPr>
          <w:rFonts w:ascii="Times New Roman" w:eastAsia="Times New Roman" w:hAnsi="Times New Roman"/>
          <w:color w:val="000000"/>
          <w:sz w:val="24"/>
          <w:szCs w:val="24"/>
          <w:lang w:val="en-US" w:eastAsia="en-GB"/>
        </w:rPr>
        <w:t>underpinn</w:t>
      </w:r>
      <w:r w:rsidRPr="00F4226B">
        <w:rPr>
          <w:rFonts w:ascii="Times New Roman" w:eastAsia="Times New Roman" w:hAnsi="Times New Roman"/>
          <w:color w:val="000000"/>
          <w:sz w:val="24"/>
          <w:szCs w:val="24"/>
          <w:lang w:val="en-US" w:eastAsia="en-GB"/>
        </w:rPr>
        <w:t>ing</w:t>
      </w:r>
      <w:r w:rsidR="005917EB" w:rsidRPr="00F4226B">
        <w:rPr>
          <w:rFonts w:ascii="Times New Roman" w:eastAsia="Times New Roman" w:hAnsi="Times New Roman"/>
          <w:color w:val="000000"/>
          <w:sz w:val="24"/>
          <w:szCs w:val="24"/>
          <w:lang w:val="en-US" w:eastAsia="en-GB"/>
        </w:rPr>
        <w:t xml:space="preserve"> conclusive evidence about the superiority of </w:t>
      </w:r>
      <w:r w:rsidR="001E5D48" w:rsidRPr="00F4226B">
        <w:rPr>
          <w:rFonts w:ascii="Times New Roman" w:eastAsia="Times New Roman" w:hAnsi="Times New Roman"/>
          <w:color w:val="000000"/>
          <w:sz w:val="24"/>
          <w:szCs w:val="24"/>
          <w:lang w:val="en-US" w:eastAsia="en-GB"/>
        </w:rPr>
        <w:t xml:space="preserve">the </w:t>
      </w:r>
      <w:r w:rsidR="005917EB" w:rsidRPr="00F4226B">
        <w:rPr>
          <w:rFonts w:ascii="Times New Roman" w:eastAsia="Times New Roman" w:hAnsi="Times New Roman"/>
          <w:color w:val="000000"/>
          <w:sz w:val="24"/>
          <w:szCs w:val="24"/>
          <w:lang w:val="en-US" w:eastAsia="en-GB"/>
        </w:rPr>
        <w:t xml:space="preserve">value relevance of IA </w:t>
      </w:r>
      <w:r w:rsidR="00F00DFB">
        <w:rPr>
          <w:rFonts w:ascii="Times New Roman" w:eastAsia="Times New Roman" w:hAnsi="Times New Roman"/>
          <w:color w:val="000000"/>
          <w:sz w:val="24"/>
          <w:szCs w:val="24"/>
          <w:lang w:val="en-US" w:eastAsia="en-GB"/>
        </w:rPr>
        <w:t xml:space="preserve">amounts </w:t>
      </w:r>
      <w:r w:rsidR="005917EB" w:rsidRPr="00F4226B">
        <w:rPr>
          <w:rFonts w:ascii="Times New Roman" w:eastAsia="Times New Roman" w:hAnsi="Times New Roman"/>
          <w:color w:val="000000"/>
          <w:sz w:val="24"/>
          <w:szCs w:val="24"/>
          <w:lang w:val="en-US" w:eastAsia="en-GB"/>
        </w:rPr>
        <w:t>over</w:t>
      </w:r>
      <w:r w:rsidR="00B42BE7">
        <w:rPr>
          <w:rFonts w:ascii="Times New Roman" w:eastAsia="Times New Roman" w:hAnsi="Times New Roman"/>
          <w:color w:val="000000"/>
          <w:sz w:val="24"/>
          <w:szCs w:val="24"/>
          <w:lang w:val="en-US" w:eastAsia="en-GB"/>
        </w:rPr>
        <w:t xml:space="preserve"> that of</w:t>
      </w:r>
      <w:r w:rsidR="005917EB" w:rsidRPr="00F4226B">
        <w:rPr>
          <w:rFonts w:ascii="Times New Roman" w:eastAsia="Times New Roman" w:hAnsi="Times New Roman"/>
          <w:color w:val="000000"/>
          <w:sz w:val="24"/>
          <w:szCs w:val="24"/>
          <w:lang w:val="en-US" w:eastAsia="en-GB"/>
        </w:rPr>
        <w:t xml:space="preserve"> HC amounts.</w:t>
      </w:r>
      <w:r w:rsidR="00F4226B">
        <w:rPr>
          <w:rFonts w:ascii="Times New Roman" w:eastAsia="Times New Roman" w:hAnsi="Times New Roman"/>
          <w:color w:val="000000"/>
          <w:sz w:val="24"/>
          <w:szCs w:val="24"/>
          <w:lang w:val="en-US" w:eastAsia="en-GB"/>
        </w:rPr>
        <w:t xml:space="preserve"> </w:t>
      </w:r>
      <w:r w:rsidR="00A57FAB" w:rsidRPr="00F4226B">
        <w:rPr>
          <w:rFonts w:ascii="Times New Roman" w:hAnsi="Times New Roman"/>
          <w:sz w:val="24"/>
          <w:szCs w:val="24"/>
          <w:lang w:val="en-US"/>
        </w:rPr>
        <w:t xml:space="preserve">In the </w:t>
      </w:r>
      <w:r w:rsidR="00A157A6" w:rsidRPr="00F4226B">
        <w:rPr>
          <w:rFonts w:ascii="Times New Roman" w:hAnsi="Times New Roman"/>
          <w:sz w:val="24"/>
          <w:szCs w:val="24"/>
          <w:lang w:val="en-US"/>
        </w:rPr>
        <w:t xml:space="preserve">early </w:t>
      </w:r>
      <w:r w:rsidR="00A57FAB" w:rsidRPr="00F4226B">
        <w:rPr>
          <w:rFonts w:ascii="Times New Roman" w:hAnsi="Times New Roman"/>
          <w:sz w:val="24"/>
          <w:szCs w:val="24"/>
          <w:lang w:val="en-US"/>
        </w:rPr>
        <w:t>1980s, s</w:t>
      </w:r>
      <w:r w:rsidR="006F4FAC" w:rsidRPr="00F4226B">
        <w:rPr>
          <w:rFonts w:ascii="Times New Roman" w:hAnsi="Times New Roman"/>
          <w:sz w:val="24"/>
          <w:szCs w:val="24"/>
          <w:lang w:val="en-US"/>
        </w:rPr>
        <w:t xml:space="preserve">everal </w:t>
      </w:r>
      <w:r w:rsidR="006A20F9" w:rsidRPr="00F4226B">
        <w:rPr>
          <w:rFonts w:ascii="Times New Roman" w:hAnsi="Times New Roman"/>
          <w:sz w:val="24"/>
          <w:szCs w:val="24"/>
          <w:lang w:val="en-US"/>
        </w:rPr>
        <w:t xml:space="preserve">studies examining the </w:t>
      </w:r>
      <w:r w:rsidR="006A20F9" w:rsidRPr="00F4226B">
        <w:rPr>
          <w:rFonts w:ascii="Times New Roman" w:hAnsi="Times New Roman"/>
          <w:i/>
          <w:sz w:val="24"/>
          <w:szCs w:val="24"/>
          <w:lang w:val="en-US"/>
        </w:rPr>
        <w:t>incremental</w:t>
      </w:r>
      <w:r w:rsidR="006A20F9" w:rsidRPr="00F4226B">
        <w:rPr>
          <w:rFonts w:ascii="Times New Roman" w:hAnsi="Times New Roman"/>
          <w:sz w:val="24"/>
          <w:szCs w:val="24"/>
          <w:lang w:val="en-US"/>
        </w:rPr>
        <w:t xml:space="preserve"> </w:t>
      </w:r>
      <w:r w:rsidR="006A20F9" w:rsidRPr="00F4226B">
        <w:rPr>
          <w:rFonts w:ascii="Times New Roman" w:hAnsi="Times New Roman"/>
          <w:sz w:val="24"/>
          <w:szCs w:val="24"/>
          <w:lang w:val="en-US"/>
        </w:rPr>
        <w:lastRenderedPageBreak/>
        <w:t xml:space="preserve">value </w:t>
      </w:r>
      <w:r w:rsidR="001E5D48" w:rsidRPr="00F4226B">
        <w:rPr>
          <w:rFonts w:ascii="Times New Roman" w:hAnsi="Times New Roman"/>
          <w:sz w:val="24"/>
          <w:szCs w:val="24"/>
          <w:lang w:val="en-US"/>
        </w:rPr>
        <w:t xml:space="preserve">relevance </w:t>
      </w:r>
      <w:r w:rsidR="006A20F9" w:rsidRPr="00F4226B">
        <w:rPr>
          <w:rFonts w:ascii="Times New Roman" w:hAnsi="Times New Roman"/>
          <w:sz w:val="24"/>
          <w:szCs w:val="24"/>
          <w:lang w:val="en-US"/>
        </w:rPr>
        <w:t>of IA a</w:t>
      </w:r>
      <w:r w:rsidR="00695C16" w:rsidRPr="00F4226B">
        <w:rPr>
          <w:rFonts w:ascii="Times New Roman" w:hAnsi="Times New Roman"/>
          <w:sz w:val="24"/>
          <w:szCs w:val="24"/>
          <w:lang w:val="en-US"/>
        </w:rPr>
        <w:t>mounts</w:t>
      </w:r>
      <w:r w:rsidR="006A20F9" w:rsidRPr="00F4226B">
        <w:rPr>
          <w:rFonts w:ascii="Times New Roman" w:hAnsi="Times New Roman"/>
          <w:sz w:val="24"/>
          <w:szCs w:val="24"/>
          <w:lang w:val="en-US"/>
        </w:rPr>
        <w:t xml:space="preserve"> demonstrate</w:t>
      </w:r>
      <w:r w:rsidR="00F00DFB">
        <w:rPr>
          <w:rFonts w:ascii="Times New Roman" w:hAnsi="Times New Roman"/>
          <w:sz w:val="24"/>
          <w:szCs w:val="24"/>
          <w:lang w:val="en-US"/>
        </w:rPr>
        <w:t>d</w:t>
      </w:r>
      <w:r w:rsidR="006A20F9" w:rsidRPr="00F4226B">
        <w:rPr>
          <w:rFonts w:ascii="Times New Roman" w:hAnsi="Times New Roman"/>
          <w:sz w:val="24"/>
          <w:szCs w:val="24"/>
          <w:lang w:val="en-US"/>
        </w:rPr>
        <w:t xml:space="preserve"> weak evidence, </w:t>
      </w:r>
      <w:r w:rsidR="00F00DFB">
        <w:rPr>
          <w:rFonts w:ascii="Times New Roman" w:hAnsi="Times New Roman"/>
          <w:sz w:val="24"/>
          <w:szCs w:val="24"/>
          <w:lang w:val="en-US"/>
        </w:rPr>
        <w:t>which led</w:t>
      </w:r>
      <w:r w:rsidR="00DB5F43" w:rsidRPr="00F4226B">
        <w:rPr>
          <w:rFonts w:ascii="Times New Roman" w:hAnsi="Times New Roman"/>
          <w:sz w:val="24"/>
          <w:szCs w:val="24"/>
          <w:lang w:val="en-US"/>
        </w:rPr>
        <w:t xml:space="preserve"> to the conclusion </w:t>
      </w:r>
      <w:r w:rsidR="006A20F9" w:rsidRPr="00F4226B">
        <w:rPr>
          <w:rFonts w:ascii="Times New Roman" w:hAnsi="Times New Roman"/>
          <w:sz w:val="24"/>
          <w:szCs w:val="24"/>
          <w:lang w:val="en-US"/>
        </w:rPr>
        <w:t>that IA data “are inconsequential for making financial decisions” (Konchitchki 2011</w:t>
      </w:r>
      <w:r w:rsidR="00910B87">
        <w:rPr>
          <w:rFonts w:ascii="Times New Roman" w:hAnsi="Times New Roman"/>
          <w:sz w:val="24"/>
          <w:szCs w:val="24"/>
          <w:lang w:val="en-US"/>
        </w:rPr>
        <w:t>,</w:t>
      </w:r>
      <w:r w:rsidR="006A20F9" w:rsidRPr="00F4226B">
        <w:rPr>
          <w:rFonts w:ascii="Times New Roman" w:hAnsi="Times New Roman"/>
          <w:sz w:val="24"/>
          <w:szCs w:val="24"/>
          <w:lang w:val="en-US"/>
        </w:rPr>
        <w:t xml:space="preserve"> </w:t>
      </w:r>
      <w:r w:rsidR="00910B87">
        <w:rPr>
          <w:rFonts w:ascii="Times New Roman" w:hAnsi="Times New Roman"/>
          <w:sz w:val="24"/>
          <w:szCs w:val="24"/>
          <w:lang w:val="en-US"/>
        </w:rPr>
        <w:t xml:space="preserve">p. </w:t>
      </w:r>
      <w:r w:rsidR="006A20F9" w:rsidRPr="00F4226B">
        <w:rPr>
          <w:rFonts w:ascii="Times New Roman" w:hAnsi="Times New Roman"/>
          <w:sz w:val="24"/>
          <w:szCs w:val="24"/>
          <w:lang w:val="en-US"/>
        </w:rPr>
        <w:t>1046).</w:t>
      </w:r>
      <w:r w:rsidR="006F4FAC" w:rsidRPr="00F4226B">
        <w:rPr>
          <w:rStyle w:val="FootnoteReference"/>
          <w:rFonts w:ascii="Times New Roman" w:hAnsi="Times New Roman"/>
          <w:sz w:val="24"/>
          <w:szCs w:val="24"/>
          <w:lang w:val="en-US"/>
        </w:rPr>
        <w:footnoteReference w:id="3"/>
      </w:r>
      <w:r w:rsidR="0041326C" w:rsidRPr="00F4226B">
        <w:rPr>
          <w:rFonts w:ascii="Times New Roman" w:hAnsi="Times New Roman"/>
          <w:sz w:val="24"/>
          <w:szCs w:val="24"/>
          <w:lang w:val="en-US"/>
        </w:rPr>
        <w:t xml:space="preserve"> </w:t>
      </w:r>
      <w:r w:rsidR="003C01BE" w:rsidRPr="00F4226B">
        <w:rPr>
          <w:rFonts w:ascii="Times New Roman" w:hAnsi="Times New Roman"/>
          <w:sz w:val="24"/>
          <w:szCs w:val="24"/>
          <w:lang w:val="en-US"/>
        </w:rPr>
        <w:t>However, t</w:t>
      </w:r>
      <w:r w:rsidR="00833F64" w:rsidRPr="00F4226B">
        <w:rPr>
          <w:rFonts w:ascii="Times New Roman" w:hAnsi="Times New Roman"/>
          <w:sz w:val="24"/>
          <w:szCs w:val="24"/>
          <w:lang w:val="en-US"/>
        </w:rPr>
        <w:t>he most recent studies</w:t>
      </w:r>
      <w:r w:rsidR="003C01BE" w:rsidRPr="00F4226B">
        <w:rPr>
          <w:rFonts w:ascii="Times New Roman" w:hAnsi="Times New Roman"/>
          <w:sz w:val="24"/>
          <w:szCs w:val="24"/>
          <w:lang w:val="en-US"/>
        </w:rPr>
        <w:t xml:space="preserve"> </w:t>
      </w:r>
      <w:r w:rsidR="00833F64" w:rsidRPr="00F4226B">
        <w:rPr>
          <w:rFonts w:ascii="Times New Roman" w:hAnsi="Times New Roman"/>
          <w:sz w:val="24"/>
          <w:szCs w:val="24"/>
          <w:lang w:val="en-US"/>
        </w:rPr>
        <w:t>demonstrat</w:t>
      </w:r>
      <w:r w:rsidR="0020571C" w:rsidRPr="00F4226B">
        <w:rPr>
          <w:rFonts w:ascii="Times New Roman" w:hAnsi="Times New Roman"/>
          <w:sz w:val="24"/>
          <w:szCs w:val="24"/>
          <w:lang w:val="en-US"/>
        </w:rPr>
        <w:t>e</w:t>
      </w:r>
      <w:r w:rsidR="00833F64" w:rsidRPr="00F4226B">
        <w:rPr>
          <w:rFonts w:ascii="Times New Roman" w:hAnsi="Times New Roman"/>
          <w:sz w:val="24"/>
          <w:szCs w:val="24"/>
          <w:lang w:val="en-US"/>
        </w:rPr>
        <w:t xml:space="preserve"> that IA amounts have information content</w:t>
      </w:r>
      <w:r w:rsidR="003C01BE" w:rsidRPr="00F4226B">
        <w:rPr>
          <w:rFonts w:ascii="Times New Roman" w:hAnsi="Times New Roman"/>
          <w:sz w:val="24"/>
          <w:szCs w:val="24"/>
          <w:lang w:val="en-US"/>
        </w:rPr>
        <w:t xml:space="preserve">, but they </w:t>
      </w:r>
      <w:r w:rsidR="00833F64" w:rsidRPr="00F4226B">
        <w:rPr>
          <w:rFonts w:ascii="Times New Roman" w:hAnsi="Times New Roman"/>
          <w:sz w:val="24"/>
          <w:szCs w:val="24"/>
          <w:lang w:val="en-US"/>
        </w:rPr>
        <w:t xml:space="preserve">do not support the superiority of IA over HC amounts. </w:t>
      </w:r>
      <w:r w:rsidR="00CF414E" w:rsidRPr="00F4226B">
        <w:rPr>
          <w:rFonts w:ascii="Times New Roman" w:hAnsi="Times New Roman"/>
          <w:sz w:val="24"/>
          <w:szCs w:val="24"/>
          <w:lang w:val="en-US"/>
        </w:rPr>
        <w:t>Konchitchki (2011</w:t>
      </w:r>
      <w:r w:rsidR="004F1E8B">
        <w:rPr>
          <w:rFonts w:ascii="Times New Roman" w:hAnsi="Times New Roman"/>
          <w:sz w:val="24"/>
          <w:szCs w:val="24"/>
          <w:lang w:val="en-US"/>
        </w:rPr>
        <w:t>;</w:t>
      </w:r>
      <w:r w:rsidR="00CF414E" w:rsidRPr="00F4226B">
        <w:rPr>
          <w:rFonts w:ascii="Times New Roman" w:hAnsi="Times New Roman"/>
          <w:sz w:val="24"/>
          <w:szCs w:val="24"/>
          <w:lang w:val="en-US"/>
        </w:rPr>
        <w:t xml:space="preserve"> 2013) shows that IA data have </w:t>
      </w:r>
      <w:r w:rsidR="00CF414E" w:rsidRPr="00F4226B">
        <w:rPr>
          <w:rFonts w:ascii="Times New Roman" w:hAnsi="Times New Roman"/>
          <w:i/>
          <w:sz w:val="24"/>
          <w:szCs w:val="24"/>
          <w:lang w:val="en-US"/>
        </w:rPr>
        <w:t xml:space="preserve">incremental </w:t>
      </w:r>
      <w:r w:rsidR="00CF414E" w:rsidRPr="00F4226B">
        <w:rPr>
          <w:rFonts w:ascii="Times New Roman" w:hAnsi="Times New Roman"/>
          <w:sz w:val="24"/>
          <w:szCs w:val="24"/>
          <w:lang w:val="en-US"/>
        </w:rPr>
        <w:t xml:space="preserve">information content for predicting future cash flows and stock valuation. </w:t>
      </w:r>
      <w:r w:rsidR="008E5A4F" w:rsidRPr="00F4226B">
        <w:rPr>
          <w:rFonts w:ascii="Times New Roman" w:hAnsi="Times New Roman"/>
          <w:sz w:val="24"/>
          <w:szCs w:val="24"/>
          <w:lang w:val="en-US"/>
        </w:rPr>
        <w:t>In o</w:t>
      </w:r>
      <w:r w:rsidR="00A157A6" w:rsidRPr="00F4226B">
        <w:rPr>
          <w:rFonts w:ascii="Times New Roman" w:hAnsi="Times New Roman"/>
          <w:sz w:val="24"/>
          <w:szCs w:val="24"/>
          <w:lang w:val="en-US"/>
        </w:rPr>
        <w:t xml:space="preserve">ther </w:t>
      </w:r>
      <w:r w:rsidR="00556B19" w:rsidRPr="00F4226B">
        <w:rPr>
          <w:rFonts w:ascii="Times New Roman" w:hAnsi="Times New Roman"/>
          <w:sz w:val="24"/>
          <w:szCs w:val="24"/>
          <w:lang w:val="en-US"/>
        </w:rPr>
        <w:t>studies</w:t>
      </w:r>
      <w:r w:rsidR="00F2590A" w:rsidRPr="00F4226B">
        <w:rPr>
          <w:rFonts w:ascii="Times New Roman" w:hAnsi="Times New Roman"/>
          <w:sz w:val="24"/>
          <w:szCs w:val="24"/>
          <w:lang w:val="en-US"/>
        </w:rPr>
        <w:t xml:space="preserve">, </w:t>
      </w:r>
      <w:r w:rsidR="00DB5F43" w:rsidRPr="00F4226B">
        <w:rPr>
          <w:rFonts w:ascii="Times New Roman" w:hAnsi="Times New Roman"/>
          <w:sz w:val="24"/>
          <w:szCs w:val="24"/>
          <w:lang w:val="en-US"/>
        </w:rPr>
        <w:t xml:space="preserve">both HC and IA </w:t>
      </w:r>
      <w:r w:rsidR="00F2590A" w:rsidRPr="00F4226B">
        <w:rPr>
          <w:rFonts w:ascii="Times New Roman" w:hAnsi="Times New Roman"/>
          <w:sz w:val="24"/>
          <w:szCs w:val="24"/>
          <w:lang w:val="en-US"/>
        </w:rPr>
        <w:t>amounts are shown to</w:t>
      </w:r>
      <w:r w:rsidR="00DB5F43" w:rsidRPr="00F4226B">
        <w:rPr>
          <w:rFonts w:ascii="Times New Roman" w:hAnsi="Times New Roman"/>
          <w:sz w:val="24"/>
          <w:szCs w:val="24"/>
          <w:lang w:val="en-US"/>
        </w:rPr>
        <w:t xml:space="preserve"> </w:t>
      </w:r>
      <w:r w:rsidR="00556B19" w:rsidRPr="00F4226B">
        <w:rPr>
          <w:rFonts w:ascii="Times New Roman" w:hAnsi="Times New Roman"/>
          <w:sz w:val="24"/>
          <w:szCs w:val="24"/>
          <w:lang w:val="en-US"/>
        </w:rPr>
        <w:t xml:space="preserve">have </w:t>
      </w:r>
      <w:r w:rsidR="00DF79CD" w:rsidRPr="00F4226B">
        <w:rPr>
          <w:rFonts w:ascii="Times New Roman" w:hAnsi="Times New Roman"/>
          <w:sz w:val="24"/>
          <w:szCs w:val="24"/>
          <w:lang w:val="en-US"/>
        </w:rPr>
        <w:t>valuation</w:t>
      </w:r>
      <w:r w:rsidR="004556A1" w:rsidRPr="00F4226B">
        <w:rPr>
          <w:rFonts w:ascii="Times New Roman" w:hAnsi="Times New Roman"/>
          <w:sz w:val="24"/>
          <w:szCs w:val="24"/>
          <w:lang w:val="en-US"/>
        </w:rPr>
        <w:t xml:space="preserve"> </w:t>
      </w:r>
      <w:r w:rsidR="00556B19" w:rsidRPr="00F4226B">
        <w:rPr>
          <w:rFonts w:ascii="Times New Roman" w:hAnsi="Times New Roman"/>
          <w:sz w:val="24"/>
          <w:szCs w:val="24"/>
          <w:lang w:val="en-US"/>
        </w:rPr>
        <w:t>implications</w:t>
      </w:r>
      <w:r w:rsidR="007A572C" w:rsidRPr="00F4226B">
        <w:rPr>
          <w:rFonts w:ascii="Times New Roman" w:hAnsi="Times New Roman"/>
          <w:sz w:val="24"/>
          <w:szCs w:val="24"/>
          <w:lang w:val="en-US"/>
        </w:rPr>
        <w:t xml:space="preserve">, but </w:t>
      </w:r>
      <w:r w:rsidR="00F00DFB">
        <w:rPr>
          <w:rFonts w:ascii="Times New Roman" w:hAnsi="Times New Roman"/>
          <w:sz w:val="24"/>
          <w:szCs w:val="24"/>
          <w:lang w:val="en-US"/>
        </w:rPr>
        <w:t xml:space="preserve">the </w:t>
      </w:r>
      <w:r w:rsidR="007A572C" w:rsidRPr="00F4226B">
        <w:rPr>
          <w:rFonts w:ascii="Times New Roman" w:hAnsi="Times New Roman"/>
          <w:sz w:val="24"/>
          <w:szCs w:val="24"/>
          <w:lang w:val="en-US"/>
        </w:rPr>
        <w:t xml:space="preserve">findings differ </w:t>
      </w:r>
      <w:r w:rsidR="00F00DFB">
        <w:rPr>
          <w:rFonts w:ascii="Times New Roman" w:hAnsi="Times New Roman"/>
          <w:sz w:val="24"/>
          <w:szCs w:val="24"/>
          <w:lang w:val="en-US"/>
        </w:rPr>
        <w:t>with regard</w:t>
      </w:r>
      <w:r w:rsidR="00F00DFB" w:rsidRPr="00F4226B">
        <w:rPr>
          <w:rFonts w:ascii="Times New Roman" w:hAnsi="Times New Roman"/>
          <w:sz w:val="24"/>
          <w:szCs w:val="24"/>
          <w:lang w:val="en-US"/>
        </w:rPr>
        <w:t xml:space="preserve"> </w:t>
      </w:r>
      <w:r w:rsidR="007A572C" w:rsidRPr="00F4226B">
        <w:rPr>
          <w:rFonts w:ascii="Times New Roman" w:hAnsi="Times New Roman"/>
          <w:sz w:val="24"/>
          <w:szCs w:val="24"/>
          <w:lang w:val="en-US"/>
        </w:rPr>
        <w:t xml:space="preserve">to which set </w:t>
      </w:r>
      <w:r w:rsidR="006141E4" w:rsidRPr="00F4226B">
        <w:rPr>
          <w:rFonts w:ascii="Times New Roman" w:hAnsi="Times New Roman"/>
          <w:sz w:val="24"/>
          <w:szCs w:val="24"/>
          <w:lang w:val="en-US"/>
        </w:rPr>
        <w:t xml:space="preserve">has greater </w:t>
      </w:r>
      <w:r w:rsidR="007A572C" w:rsidRPr="00F4226B">
        <w:rPr>
          <w:rFonts w:ascii="Times New Roman" w:hAnsi="Times New Roman"/>
          <w:sz w:val="24"/>
          <w:szCs w:val="24"/>
          <w:lang w:val="en-US"/>
        </w:rPr>
        <w:t>value relevan</w:t>
      </w:r>
      <w:r w:rsidR="00A46B20" w:rsidRPr="00F4226B">
        <w:rPr>
          <w:rFonts w:ascii="Times New Roman" w:hAnsi="Times New Roman"/>
          <w:sz w:val="24"/>
          <w:szCs w:val="24"/>
          <w:lang w:val="en-US"/>
        </w:rPr>
        <w:t>ce</w:t>
      </w:r>
      <w:r w:rsidR="00DB5F43" w:rsidRPr="00F4226B">
        <w:rPr>
          <w:rFonts w:ascii="Times New Roman" w:hAnsi="Times New Roman"/>
          <w:sz w:val="24"/>
          <w:szCs w:val="24"/>
          <w:lang w:val="en-US"/>
        </w:rPr>
        <w:t xml:space="preserve">. </w:t>
      </w:r>
      <w:r w:rsidR="00F2590A" w:rsidRPr="00F4226B">
        <w:rPr>
          <w:rFonts w:ascii="Times New Roman" w:hAnsi="Times New Roman"/>
          <w:sz w:val="24"/>
          <w:szCs w:val="24"/>
          <w:lang w:val="en-US"/>
        </w:rPr>
        <w:t xml:space="preserve">For example, </w:t>
      </w:r>
      <w:r w:rsidR="00362E6F" w:rsidRPr="00F4226B">
        <w:rPr>
          <w:rFonts w:ascii="Times New Roman" w:hAnsi="Times New Roman"/>
          <w:sz w:val="24"/>
          <w:szCs w:val="24"/>
          <w:lang w:val="en-US"/>
        </w:rPr>
        <w:t xml:space="preserve">Kirkulak and Balsari (2009) and Filip and Raffournier (2010) </w:t>
      </w:r>
      <w:r w:rsidR="007A572C" w:rsidRPr="00F4226B">
        <w:rPr>
          <w:rFonts w:ascii="Times New Roman" w:hAnsi="Times New Roman"/>
          <w:sz w:val="24"/>
          <w:szCs w:val="24"/>
          <w:lang w:val="en-US"/>
        </w:rPr>
        <w:t xml:space="preserve">show that </w:t>
      </w:r>
      <w:r w:rsidR="00984724" w:rsidRPr="00F4226B">
        <w:rPr>
          <w:rFonts w:ascii="Times New Roman" w:hAnsi="Times New Roman"/>
          <w:sz w:val="24"/>
          <w:szCs w:val="24"/>
          <w:lang w:val="en-US"/>
        </w:rPr>
        <w:t xml:space="preserve">HC amounts are more </w:t>
      </w:r>
      <w:r w:rsidR="00984724" w:rsidRPr="00F4226B">
        <w:rPr>
          <w:rFonts w:ascii="Times New Roman" w:hAnsi="Times New Roman"/>
          <w:sz w:val="24"/>
          <w:szCs w:val="24"/>
          <w:lang w:val="en-US"/>
        </w:rPr>
        <w:lastRenderedPageBreak/>
        <w:t xml:space="preserve">value relevant, </w:t>
      </w:r>
      <w:r w:rsidR="00F4226B">
        <w:rPr>
          <w:rFonts w:ascii="Times New Roman" w:hAnsi="Times New Roman"/>
          <w:sz w:val="24"/>
          <w:szCs w:val="24"/>
          <w:lang w:val="en-US"/>
        </w:rPr>
        <w:t>while</w:t>
      </w:r>
      <w:r w:rsidR="007A572C" w:rsidRPr="00F4226B">
        <w:rPr>
          <w:rFonts w:ascii="Times New Roman" w:hAnsi="Times New Roman"/>
          <w:sz w:val="24"/>
          <w:szCs w:val="24"/>
          <w:lang w:val="en-US"/>
        </w:rPr>
        <w:t xml:space="preserve"> Rivera (1987) and Barniv (1999) conclude that IA </w:t>
      </w:r>
      <w:r w:rsidR="001E0C7D" w:rsidRPr="00F4226B">
        <w:rPr>
          <w:rFonts w:ascii="Times New Roman" w:hAnsi="Times New Roman"/>
          <w:sz w:val="24"/>
          <w:szCs w:val="24"/>
          <w:lang w:val="en-US"/>
        </w:rPr>
        <w:t>a</w:t>
      </w:r>
      <w:r w:rsidR="009C4115" w:rsidRPr="00F4226B">
        <w:rPr>
          <w:rFonts w:ascii="Times New Roman" w:hAnsi="Times New Roman"/>
          <w:sz w:val="24"/>
          <w:szCs w:val="24"/>
          <w:lang w:val="en-US"/>
        </w:rPr>
        <w:t>m</w:t>
      </w:r>
      <w:r w:rsidR="001E0C7D" w:rsidRPr="00F4226B">
        <w:rPr>
          <w:rFonts w:ascii="Times New Roman" w:hAnsi="Times New Roman"/>
          <w:sz w:val="24"/>
          <w:szCs w:val="24"/>
          <w:lang w:val="en-US"/>
        </w:rPr>
        <w:t xml:space="preserve">ounts </w:t>
      </w:r>
      <w:r w:rsidR="007A572C" w:rsidRPr="00F4226B">
        <w:rPr>
          <w:rFonts w:ascii="Times New Roman" w:hAnsi="Times New Roman"/>
          <w:sz w:val="24"/>
          <w:szCs w:val="24"/>
          <w:lang w:val="en-US"/>
        </w:rPr>
        <w:t>have greater value relevance</w:t>
      </w:r>
      <w:r w:rsidR="001E0C7D" w:rsidRPr="00F4226B">
        <w:rPr>
          <w:rFonts w:ascii="Times New Roman" w:hAnsi="Times New Roman"/>
          <w:sz w:val="24"/>
          <w:szCs w:val="24"/>
          <w:lang w:val="en-US"/>
        </w:rPr>
        <w:t xml:space="preserve">. Thus </w:t>
      </w:r>
      <w:r w:rsidR="004556A1" w:rsidRPr="00F4226B">
        <w:rPr>
          <w:rFonts w:ascii="Times New Roman" w:hAnsi="Times New Roman"/>
          <w:sz w:val="24"/>
          <w:szCs w:val="24"/>
          <w:lang w:val="en-US"/>
        </w:rPr>
        <w:t>the</w:t>
      </w:r>
      <w:r w:rsidR="00556B19" w:rsidRPr="00F4226B">
        <w:rPr>
          <w:rFonts w:ascii="Times New Roman" w:hAnsi="Times New Roman"/>
          <w:sz w:val="24"/>
          <w:szCs w:val="24"/>
          <w:lang w:val="en-US"/>
        </w:rPr>
        <w:t xml:space="preserve"> extent to which </w:t>
      </w:r>
      <w:r w:rsidR="004556A1" w:rsidRPr="00F4226B">
        <w:rPr>
          <w:rFonts w:ascii="Times New Roman" w:hAnsi="Times New Roman"/>
          <w:sz w:val="24"/>
          <w:szCs w:val="24"/>
          <w:lang w:val="en-US"/>
        </w:rPr>
        <w:t xml:space="preserve">IA </w:t>
      </w:r>
      <w:r w:rsidR="00E93E07" w:rsidRPr="00F4226B">
        <w:rPr>
          <w:rFonts w:ascii="Times New Roman" w:hAnsi="Times New Roman"/>
          <w:sz w:val="24"/>
          <w:szCs w:val="24"/>
          <w:lang w:val="en-US"/>
        </w:rPr>
        <w:t xml:space="preserve">accounting </w:t>
      </w:r>
      <w:r w:rsidR="00695C16" w:rsidRPr="00F4226B">
        <w:rPr>
          <w:rFonts w:ascii="Times New Roman" w:hAnsi="Times New Roman"/>
          <w:sz w:val="24"/>
          <w:szCs w:val="24"/>
          <w:lang w:val="en-US"/>
        </w:rPr>
        <w:t xml:space="preserve">amounts </w:t>
      </w:r>
      <w:r w:rsidR="00A57FAB" w:rsidRPr="00F4226B">
        <w:rPr>
          <w:rFonts w:ascii="Times New Roman" w:hAnsi="Times New Roman"/>
          <w:sz w:val="24"/>
          <w:szCs w:val="24"/>
          <w:lang w:val="en-US"/>
        </w:rPr>
        <w:t xml:space="preserve">are </w:t>
      </w:r>
      <w:r w:rsidR="004556A1" w:rsidRPr="00F4226B">
        <w:rPr>
          <w:rFonts w:ascii="Times New Roman" w:hAnsi="Times New Roman"/>
          <w:sz w:val="24"/>
          <w:szCs w:val="24"/>
          <w:lang w:val="en-US"/>
        </w:rPr>
        <w:t xml:space="preserve">superior to HC </w:t>
      </w:r>
      <w:r w:rsidR="00695C16" w:rsidRPr="00F4226B">
        <w:rPr>
          <w:rFonts w:ascii="Times New Roman" w:hAnsi="Times New Roman"/>
          <w:sz w:val="24"/>
          <w:szCs w:val="24"/>
          <w:lang w:val="en-US"/>
        </w:rPr>
        <w:t xml:space="preserve">amounts </w:t>
      </w:r>
      <w:r w:rsidR="00556B19" w:rsidRPr="00F4226B">
        <w:rPr>
          <w:rFonts w:ascii="Times New Roman" w:hAnsi="Times New Roman"/>
          <w:sz w:val="24"/>
          <w:szCs w:val="24"/>
          <w:lang w:val="en-US"/>
        </w:rPr>
        <w:t xml:space="preserve">remains </w:t>
      </w:r>
      <w:r w:rsidR="00F37A96" w:rsidRPr="00F4226B">
        <w:rPr>
          <w:rFonts w:ascii="Times New Roman" w:hAnsi="Times New Roman"/>
          <w:sz w:val="24"/>
          <w:szCs w:val="24"/>
          <w:lang w:val="en-US"/>
        </w:rPr>
        <w:t>an</w:t>
      </w:r>
      <w:r w:rsidR="00F00DFB">
        <w:rPr>
          <w:rFonts w:ascii="Times New Roman" w:hAnsi="Times New Roman"/>
          <w:sz w:val="24"/>
          <w:szCs w:val="24"/>
          <w:lang w:val="en-US"/>
        </w:rPr>
        <w:t xml:space="preserve"> open</w:t>
      </w:r>
      <w:r w:rsidR="00F37A96" w:rsidRPr="00F4226B">
        <w:rPr>
          <w:rFonts w:ascii="Times New Roman" w:hAnsi="Times New Roman"/>
          <w:sz w:val="24"/>
          <w:szCs w:val="24"/>
          <w:lang w:val="en-US"/>
        </w:rPr>
        <w:t xml:space="preserve"> </w:t>
      </w:r>
      <w:r w:rsidR="005410F7" w:rsidRPr="00F4226B">
        <w:rPr>
          <w:rFonts w:ascii="Times New Roman" w:hAnsi="Times New Roman"/>
          <w:sz w:val="24"/>
          <w:szCs w:val="24"/>
          <w:lang w:val="en-US"/>
        </w:rPr>
        <w:t>empirical question</w:t>
      </w:r>
      <w:r w:rsidR="004556A1" w:rsidRPr="00F4226B">
        <w:rPr>
          <w:rFonts w:ascii="Times New Roman" w:hAnsi="Times New Roman"/>
          <w:sz w:val="24"/>
          <w:szCs w:val="24"/>
          <w:lang w:val="en-US"/>
        </w:rPr>
        <w:t>.</w:t>
      </w:r>
      <w:r w:rsidR="00F4226B">
        <w:rPr>
          <w:rFonts w:ascii="Times New Roman" w:hAnsi="Times New Roman"/>
          <w:sz w:val="24"/>
          <w:szCs w:val="24"/>
          <w:lang w:val="en-US"/>
        </w:rPr>
        <w:t xml:space="preserve"> </w:t>
      </w:r>
    </w:p>
    <w:p w14:paraId="398EE3B0" w14:textId="3794E74F" w:rsidR="00F945F0" w:rsidRPr="00F4226B" w:rsidRDefault="00F945F0" w:rsidP="00050E8C">
      <w:pPr>
        <w:spacing w:after="0" w:line="360" w:lineRule="auto"/>
        <w:ind w:firstLine="284"/>
        <w:jc w:val="both"/>
        <w:rPr>
          <w:rFonts w:ascii="Times New Roman" w:eastAsia="Times New Roman" w:hAnsi="Times New Roman"/>
          <w:sz w:val="24"/>
          <w:szCs w:val="24"/>
          <w:lang w:val="en-US" w:eastAsia="en-GB"/>
        </w:rPr>
      </w:pPr>
      <w:r w:rsidRPr="00F4226B">
        <w:rPr>
          <w:rFonts w:ascii="Times New Roman" w:eastAsia="Times New Roman" w:hAnsi="Times New Roman"/>
          <w:color w:val="000000"/>
          <w:sz w:val="24"/>
          <w:szCs w:val="24"/>
          <w:lang w:val="en-US" w:eastAsia="en-GB"/>
        </w:rPr>
        <w:t>In this study,</w:t>
      </w:r>
      <w:r w:rsidR="00C21BCF" w:rsidRPr="00F4226B">
        <w:rPr>
          <w:rFonts w:ascii="Times New Roman" w:eastAsia="Times New Roman" w:hAnsi="Times New Roman"/>
          <w:color w:val="000000"/>
          <w:sz w:val="24"/>
          <w:szCs w:val="24"/>
          <w:lang w:val="en-US" w:eastAsia="en-GB"/>
        </w:rPr>
        <w:t xml:space="preserve"> we exploit </w:t>
      </w:r>
      <w:r w:rsidR="007B6A90" w:rsidRPr="00F4226B">
        <w:rPr>
          <w:rFonts w:ascii="Times New Roman" w:eastAsia="Times New Roman" w:hAnsi="Times New Roman"/>
          <w:color w:val="000000"/>
          <w:sz w:val="24"/>
          <w:szCs w:val="24"/>
          <w:lang w:val="en-US" w:eastAsia="en-GB"/>
        </w:rPr>
        <w:t xml:space="preserve">Zimbabwe’s </w:t>
      </w:r>
      <w:r w:rsidR="00C21BCF" w:rsidRPr="00F4226B">
        <w:rPr>
          <w:rFonts w:ascii="Times New Roman" w:eastAsia="Times New Roman" w:hAnsi="Times New Roman"/>
          <w:color w:val="000000"/>
          <w:sz w:val="24"/>
          <w:szCs w:val="24"/>
          <w:lang w:val="en-US" w:eastAsia="en-GB"/>
        </w:rPr>
        <w:t>unique setting</w:t>
      </w:r>
      <w:r w:rsidR="007B6A90" w:rsidRPr="00F4226B">
        <w:rPr>
          <w:rFonts w:ascii="Times New Roman" w:eastAsia="Times New Roman" w:hAnsi="Times New Roman"/>
          <w:color w:val="000000"/>
          <w:sz w:val="24"/>
          <w:szCs w:val="24"/>
          <w:lang w:val="en-US" w:eastAsia="en-GB"/>
        </w:rPr>
        <w:t xml:space="preserve"> </w:t>
      </w:r>
      <w:r w:rsidRPr="00F4226B">
        <w:rPr>
          <w:rFonts w:ascii="Times New Roman" w:eastAsia="Times New Roman" w:hAnsi="Times New Roman"/>
          <w:color w:val="000000"/>
          <w:sz w:val="24"/>
          <w:szCs w:val="24"/>
          <w:lang w:val="en-US" w:eastAsia="en-GB"/>
        </w:rPr>
        <w:t>to </w:t>
      </w:r>
      <w:r w:rsidR="009E7336" w:rsidRPr="00F4226B">
        <w:rPr>
          <w:rFonts w:ascii="Times New Roman" w:eastAsia="Times New Roman" w:hAnsi="Times New Roman"/>
          <w:color w:val="000000"/>
          <w:sz w:val="24"/>
          <w:szCs w:val="24"/>
          <w:lang w:val="en-US" w:eastAsia="en-GB"/>
        </w:rPr>
        <w:t xml:space="preserve">provide new </w:t>
      </w:r>
      <w:r w:rsidR="00DF705B" w:rsidRPr="00F4226B">
        <w:rPr>
          <w:rFonts w:ascii="Times New Roman" w:eastAsia="Times New Roman" w:hAnsi="Times New Roman"/>
          <w:color w:val="000000"/>
          <w:sz w:val="24"/>
          <w:szCs w:val="24"/>
          <w:lang w:val="en-US" w:eastAsia="en-GB"/>
        </w:rPr>
        <w:t xml:space="preserve">and </w:t>
      </w:r>
      <w:r w:rsidR="009E7336" w:rsidRPr="00F4226B">
        <w:rPr>
          <w:rFonts w:ascii="Times New Roman" w:eastAsia="Times New Roman" w:hAnsi="Times New Roman"/>
          <w:color w:val="000000"/>
          <w:sz w:val="24"/>
          <w:szCs w:val="24"/>
          <w:lang w:val="en-US" w:eastAsia="en-GB"/>
        </w:rPr>
        <w:t xml:space="preserve">hard evidence on </w:t>
      </w:r>
      <w:r w:rsidR="00D266B9" w:rsidRPr="00F4226B">
        <w:rPr>
          <w:rFonts w:ascii="Times New Roman" w:eastAsia="Times New Roman" w:hAnsi="Times New Roman"/>
          <w:color w:val="000000"/>
          <w:sz w:val="24"/>
          <w:szCs w:val="24"/>
          <w:lang w:val="en-US" w:eastAsia="en-GB"/>
        </w:rPr>
        <w:t>the relative usefulness of accounting amounts obtained from accounting systems that focus on different measurement attributes.</w:t>
      </w:r>
      <w:r w:rsidR="00D266B9">
        <w:rPr>
          <w:rFonts w:ascii="Times New Roman" w:eastAsia="Times New Roman" w:hAnsi="Times New Roman"/>
          <w:color w:val="000000"/>
          <w:sz w:val="24"/>
          <w:szCs w:val="24"/>
          <w:lang w:val="en-US" w:eastAsia="en-GB"/>
        </w:rPr>
        <w:t xml:space="preserve"> This issue is </w:t>
      </w:r>
      <w:r w:rsidRPr="00F4226B">
        <w:rPr>
          <w:rFonts w:ascii="Times New Roman" w:eastAsia="Times New Roman" w:hAnsi="Times New Roman"/>
          <w:color w:val="000000"/>
          <w:sz w:val="24"/>
          <w:szCs w:val="24"/>
          <w:lang w:val="en-US" w:eastAsia="en-GB"/>
        </w:rPr>
        <w:t>at the heart of the accounting profession in both practice and academia</w:t>
      </w:r>
      <w:r w:rsidR="00F00DFB">
        <w:rPr>
          <w:rFonts w:ascii="Times New Roman" w:eastAsia="Times New Roman" w:hAnsi="Times New Roman"/>
          <w:color w:val="000000"/>
          <w:sz w:val="24"/>
          <w:szCs w:val="24"/>
          <w:lang w:val="en-US" w:eastAsia="en-GB"/>
        </w:rPr>
        <w:t xml:space="preserve"> but</w:t>
      </w:r>
      <w:r w:rsidRPr="00F4226B">
        <w:rPr>
          <w:rFonts w:ascii="Times New Roman" w:eastAsia="Times New Roman" w:hAnsi="Times New Roman"/>
          <w:color w:val="000000"/>
          <w:sz w:val="24"/>
          <w:szCs w:val="24"/>
          <w:lang w:val="en-US" w:eastAsia="en-GB"/>
        </w:rPr>
        <w:t xml:space="preserve"> has been overlooked</w:t>
      </w:r>
      <w:r w:rsidR="00F00DFB">
        <w:rPr>
          <w:rFonts w:ascii="Times New Roman" w:eastAsia="Times New Roman" w:hAnsi="Times New Roman"/>
          <w:color w:val="000000"/>
          <w:sz w:val="24"/>
          <w:szCs w:val="24"/>
          <w:lang w:val="en-US" w:eastAsia="en-GB"/>
        </w:rPr>
        <w:t xml:space="preserve">. </w:t>
      </w:r>
      <w:r w:rsidRPr="00F4226B">
        <w:rPr>
          <w:rFonts w:ascii="Times New Roman" w:eastAsia="Times New Roman" w:hAnsi="Times New Roman"/>
          <w:color w:val="000000"/>
          <w:sz w:val="24"/>
          <w:szCs w:val="24"/>
          <w:lang w:val="en-US" w:eastAsia="en-GB"/>
        </w:rPr>
        <w:t>In particular, we examine the </w:t>
      </w:r>
      <w:r w:rsidRPr="00F4226B">
        <w:rPr>
          <w:rFonts w:ascii="Times New Roman" w:eastAsia="Times New Roman" w:hAnsi="Times New Roman"/>
          <w:i/>
          <w:iCs/>
          <w:color w:val="000000"/>
          <w:sz w:val="24"/>
          <w:szCs w:val="24"/>
          <w:lang w:val="en-US" w:eastAsia="en-GB"/>
        </w:rPr>
        <w:t>relative </w:t>
      </w:r>
      <w:r w:rsidRPr="00F4226B">
        <w:rPr>
          <w:rFonts w:ascii="Times New Roman" w:eastAsia="Times New Roman" w:hAnsi="Times New Roman"/>
          <w:color w:val="000000"/>
          <w:sz w:val="24"/>
          <w:szCs w:val="24"/>
          <w:lang w:val="en-US" w:eastAsia="en-GB"/>
        </w:rPr>
        <w:t>and </w:t>
      </w:r>
      <w:r w:rsidRPr="00F4226B">
        <w:rPr>
          <w:rFonts w:ascii="Times New Roman" w:eastAsia="Times New Roman" w:hAnsi="Times New Roman"/>
          <w:i/>
          <w:iCs/>
          <w:color w:val="000000"/>
          <w:sz w:val="24"/>
          <w:szCs w:val="24"/>
          <w:lang w:val="en-US" w:eastAsia="en-GB"/>
        </w:rPr>
        <w:t>incremental</w:t>
      </w:r>
      <w:r w:rsidRPr="00F4226B">
        <w:rPr>
          <w:rFonts w:ascii="Times New Roman" w:eastAsia="Times New Roman" w:hAnsi="Times New Roman"/>
          <w:color w:val="000000"/>
          <w:sz w:val="24"/>
          <w:szCs w:val="24"/>
          <w:lang w:val="en-US" w:eastAsia="en-GB"/>
        </w:rPr>
        <w:t> value relevance of HC and</w:t>
      </w:r>
      <w:r w:rsidR="00C70F4C" w:rsidRPr="00F4226B">
        <w:rPr>
          <w:rFonts w:ascii="Times New Roman" w:eastAsia="Times New Roman" w:hAnsi="Times New Roman"/>
          <w:color w:val="000000"/>
          <w:sz w:val="24"/>
          <w:szCs w:val="24"/>
          <w:lang w:val="en-US" w:eastAsia="en-GB"/>
        </w:rPr>
        <w:t xml:space="preserve"> IA accounting </w:t>
      </w:r>
      <w:r w:rsidRPr="00F4226B">
        <w:rPr>
          <w:rFonts w:ascii="Times New Roman" w:eastAsia="Times New Roman" w:hAnsi="Times New Roman"/>
          <w:color w:val="000000"/>
          <w:sz w:val="24"/>
          <w:szCs w:val="24"/>
          <w:lang w:val="en-US" w:eastAsia="en-GB"/>
        </w:rPr>
        <w:t>amounts for stock valuation in a </w:t>
      </w:r>
      <w:r w:rsidR="00C21BCF" w:rsidRPr="00F4226B">
        <w:rPr>
          <w:rFonts w:ascii="Times New Roman" w:eastAsia="Times New Roman" w:hAnsi="Times New Roman"/>
          <w:color w:val="000000"/>
          <w:sz w:val="24"/>
          <w:szCs w:val="24"/>
          <w:lang w:val="en-US" w:eastAsia="en-GB"/>
        </w:rPr>
        <w:t>hyperinflationary environment.</w:t>
      </w:r>
      <w:r w:rsidRPr="00F4226B">
        <w:rPr>
          <w:rFonts w:ascii="Times New Roman" w:eastAsia="Times New Roman" w:hAnsi="Times New Roman"/>
          <w:color w:val="000000"/>
          <w:sz w:val="24"/>
          <w:szCs w:val="24"/>
          <w:lang w:val="en-US" w:eastAsia="en-GB"/>
        </w:rPr>
        <w:t> In addition, we </w:t>
      </w:r>
      <w:r w:rsidR="00C70F4C" w:rsidRPr="00F4226B">
        <w:rPr>
          <w:rFonts w:ascii="Times New Roman" w:eastAsia="Times New Roman" w:hAnsi="Times New Roman"/>
          <w:color w:val="000000"/>
          <w:sz w:val="24"/>
          <w:szCs w:val="24"/>
          <w:lang w:val="en-US" w:eastAsia="en-GB"/>
        </w:rPr>
        <w:t xml:space="preserve">examine </w:t>
      </w:r>
      <w:r w:rsidRPr="00F4226B">
        <w:rPr>
          <w:rFonts w:ascii="Times New Roman" w:eastAsia="Times New Roman" w:hAnsi="Times New Roman"/>
          <w:color w:val="000000"/>
          <w:sz w:val="24"/>
          <w:szCs w:val="24"/>
          <w:lang w:val="en-US" w:eastAsia="en-GB"/>
        </w:rPr>
        <w:t>the </w:t>
      </w:r>
      <w:r w:rsidRPr="00F4226B">
        <w:rPr>
          <w:rFonts w:ascii="Times New Roman" w:eastAsia="Times New Roman" w:hAnsi="Times New Roman"/>
          <w:i/>
          <w:iCs/>
          <w:color w:val="000000"/>
          <w:sz w:val="24"/>
          <w:szCs w:val="24"/>
          <w:lang w:val="en-US" w:eastAsia="en-GB"/>
        </w:rPr>
        <w:t>relative</w:t>
      </w:r>
      <w:r w:rsidR="00552909" w:rsidRPr="00F4226B">
        <w:rPr>
          <w:rFonts w:ascii="Times New Roman" w:eastAsia="Times New Roman" w:hAnsi="Times New Roman"/>
          <w:i/>
          <w:iCs/>
          <w:color w:val="000000"/>
          <w:sz w:val="24"/>
          <w:szCs w:val="24"/>
          <w:lang w:val="en-US" w:eastAsia="en-GB"/>
        </w:rPr>
        <w:t xml:space="preserve"> power </w:t>
      </w:r>
      <w:r w:rsidRPr="00F4226B">
        <w:rPr>
          <w:rFonts w:ascii="Times New Roman" w:eastAsia="Times New Roman" w:hAnsi="Times New Roman"/>
          <w:color w:val="000000"/>
          <w:sz w:val="24"/>
          <w:szCs w:val="24"/>
          <w:lang w:val="en-US" w:eastAsia="en-GB"/>
        </w:rPr>
        <w:t>of HC and</w:t>
      </w:r>
      <w:r w:rsidR="00D266B9">
        <w:rPr>
          <w:rFonts w:ascii="Times New Roman" w:eastAsia="Times New Roman" w:hAnsi="Times New Roman"/>
          <w:color w:val="000000"/>
          <w:sz w:val="24"/>
          <w:szCs w:val="24"/>
          <w:lang w:val="en-US" w:eastAsia="en-GB"/>
        </w:rPr>
        <w:t xml:space="preserve"> IA accounting amounts</w:t>
      </w:r>
      <w:r w:rsidRPr="00F4226B">
        <w:rPr>
          <w:rFonts w:ascii="Times New Roman" w:eastAsia="Times New Roman" w:hAnsi="Times New Roman"/>
          <w:color w:val="000000"/>
          <w:sz w:val="24"/>
          <w:szCs w:val="24"/>
          <w:lang w:val="en-US" w:eastAsia="en-GB"/>
        </w:rPr>
        <w:t xml:space="preserve"> in predicting future cash</w:t>
      </w:r>
      <w:r w:rsidR="00C70F4C" w:rsidRPr="00F4226B">
        <w:rPr>
          <w:rFonts w:ascii="Times New Roman" w:eastAsia="Times New Roman" w:hAnsi="Times New Roman"/>
          <w:color w:val="000000"/>
          <w:sz w:val="24"/>
          <w:szCs w:val="24"/>
          <w:lang w:val="en-US" w:eastAsia="en-GB"/>
        </w:rPr>
        <w:t xml:space="preserve"> flows </w:t>
      </w:r>
      <w:r w:rsidRPr="00F4226B">
        <w:rPr>
          <w:rFonts w:ascii="Times New Roman" w:eastAsia="Times New Roman" w:hAnsi="Times New Roman"/>
          <w:color w:val="000000"/>
          <w:sz w:val="24"/>
          <w:szCs w:val="24"/>
          <w:lang w:val="en-US" w:eastAsia="en-GB"/>
        </w:rPr>
        <w:t xml:space="preserve">from operations. </w:t>
      </w:r>
      <w:r w:rsidR="00E83F2A" w:rsidRPr="00F4226B">
        <w:rPr>
          <w:rFonts w:ascii="Times New Roman" w:eastAsia="Times New Roman" w:hAnsi="Times New Roman"/>
          <w:color w:val="000000"/>
          <w:sz w:val="24"/>
          <w:szCs w:val="24"/>
          <w:lang w:val="en-US" w:eastAsia="en-GB"/>
        </w:rPr>
        <w:t xml:space="preserve">In this context, </w:t>
      </w:r>
      <w:r w:rsidRPr="00F4226B">
        <w:rPr>
          <w:rFonts w:ascii="Times New Roman" w:eastAsia="Times New Roman" w:hAnsi="Times New Roman"/>
          <w:color w:val="000000"/>
          <w:sz w:val="24"/>
          <w:szCs w:val="24"/>
          <w:lang w:val="en-US" w:eastAsia="en-GB"/>
        </w:rPr>
        <w:t xml:space="preserve">we provide insights </w:t>
      </w:r>
      <w:r w:rsidRPr="00F4226B">
        <w:rPr>
          <w:rFonts w:ascii="Times New Roman" w:eastAsia="Times New Roman" w:hAnsi="Times New Roman"/>
          <w:color w:val="000000"/>
          <w:sz w:val="24"/>
          <w:szCs w:val="24"/>
          <w:lang w:val="en-US" w:eastAsia="en-GB"/>
        </w:rPr>
        <w:lastRenderedPageBreak/>
        <w:t>into why the market may price the two sets of amounts differently</w:t>
      </w:r>
      <w:r w:rsidR="00D266B9">
        <w:rPr>
          <w:rFonts w:ascii="Times New Roman" w:eastAsia="Times New Roman" w:hAnsi="Times New Roman"/>
          <w:color w:val="000000"/>
          <w:sz w:val="24"/>
          <w:szCs w:val="24"/>
          <w:lang w:val="en-US" w:eastAsia="en-GB"/>
        </w:rPr>
        <w:t>. T</w:t>
      </w:r>
      <w:r w:rsidR="00CB1BBE">
        <w:rPr>
          <w:rFonts w:ascii="Times New Roman" w:eastAsia="Times New Roman" w:hAnsi="Times New Roman"/>
          <w:color w:val="000000"/>
          <w:sz w:val="24"/>
          <w:szCs w:val="24"/>
          <w:lang w:val="en-US" w:eastAsia="en-GB"/>
        </w:rPr>
        <w:t xml:space="preserve">his </w:t>
      </w:r>
      <w:r w:rsidRPr="00F4226B">
        <w:rPr>
          <w:rFonts w:ascii="Times New Roman" w:eastAsia="Times New Roman" w:hAnsi="Times New Roman"/>
          <w:color w:val="000000"/>
          <w:sz w:val="24"/>
          <w:szCs w:val="24"/>
          <w:lang w:val="en-US" w:eastAsia="en-GB"/>
        </w:rPr>
        <w:t>issue</w:t>
      </w:r>
      <w:r w:rsidR="00B87F2B" w:rsidRPr="00F4226B">
        <w:rPr>
          <w:rFonts w:ascii="Times New Roman" w:eastAsia="Times New Roman" w:hAnsi="Times New Roman"/>
          <w:color w:val="000000"/>
          <w:sz w:val="24"/>
          <w:szCs w:val="24"/>
          <w:lang w:val="en-US" w:eastAsia="en-GB"/>
        </w:rPr>
        <w:t xml:space="preserve"> </w:t>
      </w:r>
      <w:r w:rsidR="001B0DB2" w:rsidRPr="00F4226B">
        <w:rPr>
          <w:rFonts w:ascii="Times New Roman" w:eastAsia="Times New Roman" w:hAnsi="Times New Roman"/>
          <w:color w:val="000000"/>
          <w:sz w:val="24"/>
          <w:szCs w:val="24"/>
          <w:lang w:val="en-US" w:eastAsia="en-GB"/>
        </w:rPr>
        <w:t xml:space="preserve">has not </w:t>
      </w:r>
      <w:r w:rsidR="00CB1BBE">
        <w:rPr>
          <w:rFonts w:ascii="Times New Roman" w:eastAsia="Times New Roman" w:hAnsi="Times New Roman"/>
          <w:color w:val="000000"/>
          <w:sz w:val="24"/>
          <w:szCs w:val="24"/>
          <w:lang w:val="en-US" w:eastAsia="en-GB"/>
        </w:rPr>
        <w:t xml:space="preserve">yet </w:t>
      </w:r>
      <w:r w:rsidR="001B0DB2" w:rsidRPr="00F4226B">
        <w:rPr>
          <w:rFonts w:ascii="Times New Roman" w:eastAsia="Times New Roman" w:hAnsi="Times New Roman"/>
          <w:color w:val="000000"/>
          <w:sz w:val="24"/>
          <w:szCs w:val="24"/>
          <w:lang w:val="en-US" w:eastAsia="en-GB"/>
        </w:rPr>
        <w:t xml:space="preserve">been </w:t>
      </w:r>
      <w:r w:rsidRPr="00F4226B">
        <w:rPr>
          <w:rFonts w:ascii="Times New Roman" w:eastAsia="Times New Roman" w:hAnsi="Times New Roman"/>
          <w:color w:val="000000"/>
          <w:sz w:val="24"/>
          <w:szCs w:val="24"/>
          <w:lang w:val="en-US" w:eastAsia="en-GB"/>
        </w:rPr>
        <w:t>explored</w:t>
      </w:r>
      <w:r w:rsidR="00CB1BBE">
        <w:rPr>
          <w:rFonts w:ascii="Times New Roman" w:eastAsia="Times New Roman" w:hAnsi="Times New Roman"/>
          <w:color w:val="000000"/>
          <w:sz w:val="24"/>
          <w:szCs w:val="24"/>
          <w:lang w:val="en-US" w:eastAsia="en-GB"/>
        </w:rPr>
        <w:t xml:space="preserve"> </w:t>
      </w:r>
      <w:r w:rsidRPr="00F4226B">
        <w:rPr>
          <w:rFonts w:ascii="Times New Roman" w:eastAsia="Times New Roman" w:hAnsi="Times New Roman"/>
          <w:color w:val="000000"/>
          <w:sz w:val="24"/>
          <w:szCs w:val="24"/>
          <w:lang w:val="en-US" w:eastAsia="en-GB"/>
        </w:rPr>
        <w:t>in studies o</w:t>
      </w:r>
      <w:r w:rsidR="001B0DB2" w:rsidRPr="00F4226B">
        <w:rPr>
          <w:rFonts w:ascii="Times New Roman" w:eastAsia="Times New Roman" w:hAnsi="Times New Roman"/>
          <w:color w:val="000000"/>
          <w:sz w:val="24"/>
          <w:szCs w:val="24"/>
          <w:lang w:val="en-US" w:eastAsia="en-GB"/>
        </w:rPr>
        <w:t>n the value relevance o</w:t>
      </w:r>
      <w:r w:rsidRPr="00F4226B">
        <w:rPr>
          <w:rFonts w:ascii="Times New Roman" w:eastAsia="Times New Roman" w:hAnsi="Times New Roman"/>
          <w:color w:val="000000"/>
          <w:sz w:val="24"/>
          <w:szCs w:val="24"/>
          <w:lang w:val="en-US" w:eastAsia="en-GB"/>
        </w:rPr>
        <w:t>f HC and IA amounts. </w:t>
      </w:r>
    </w:p>
    <w:p w14:paraId="506BDD7C" w14:textId="7BAA4C5B" w:rsidR="00D6177D" w:rsidRPr="00F4226B" w:rsidRDefault="00C23F03" w:rsidP="000D0D17">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In 1999,</w:t>
      </w:r>
      <w:r w:rsidR="00D620EA" w:rsidRPr="00F4226B">
        <w:rPr>
          <w:rFonts w:ascii="Times New Roman" w:hAnsi="Times New Roman"/>
          <w:sz w:val="24"/>
          <w:szCs w:val="24"/>
          <w:lang w:val="en-US"/>
        </w:rPr>
        <w:t xml:space="preserve"> </w:t>
      </w:r>
      <w:r w:rsidR="003A6514" w:rsidRPr="00F4226B">
        <w:rPr>
          <w:rFonts w:ascii="Times New Roman" w:hAnsi="Times New Roman"/>
          <w:sz w:val="24"/>
          <w:szCs w:val="24"/>
          <w:lang w:val="en-US"/>
        </w:rPr>
        <w:t xml:space="preserve">Zimbabwe </w:t>
      </w:r>
      <w:r w:rsidRPr="00F4226B">
        <w:rPr>
          <w:rFonts w:ascii="Times New Roman" w:hAnsi="Times New Roman"/>
          <w:sz w:val="24"/>
          <w:szCs w:val="24"/>
          <w:lang w:val="en-US"/>
        </w:rPr>
        <w:t xml:space="preserve">was designated a hyperinflationary economy by the regulatory authorities, </w:t>
      </w:r>
      <w:r w:rsidR="00F4226B">
        <w:rPr>
          <w:rFonts w:ascii="Times New Roman" w:hAnsi="Times New Roman"/>
          <w:sz w:val="24"/>
          <w:szCs w:val="24"/>
          <w:lang w:val="en-US"/>
        </w:rPr>
        <w:t xml:space="preserve">namely, </w:t>
      </w:r>
      <w:r w:rsidRPr="00F4226B">
        <w:rPr>
          <w:rFonts w:ascii="Times New Roman" w:hAnsi="Times New Roman"/>
          <w:sz w:val="24"/>
          <w:szCs w:val="24"/>
          <w:lang w:val="en-US"/>
        </w:rPr>
        <w:t xml:space="preserve">the Institute of Chartered Accountants of Zimbabwe (ICAZ) and the Zimbabwe Stock Exchange (ZSE). </w:t>
      </w:r>
      <w:r w:rsidR="00AF5A68" w:rsidRPr="00F4226B">
        <w:rPr>
          <w:rFonts w:ascii="Times New Roman" w:hAnsi="Times New Roman"/>
          <w:sz w:val="24"/>
          <w:szCs w:val="24"/>
          <w:lang w:val="en-US"/>
        </w:rPr>
        <w:t>Consequently, effective for financial reporting periods beginning on or after Jan</w:t>
      </w:r>
      <w:r w:rsidR="00910B87">
        <w:rPr>
          <w:rFonts w:ascii="Times New Roman" w:hAnsi="Times New Roman"/>
          <w:sz w:val="24"/>
          <w:szCs w:val="24"/>
          <w:lang w:val="en-US"/>
        </w:rPr>
        <w:t xml:space="preserve">. 1, </w:t>
      </w:r>
      <w:r w:rsidR="00AF5A68" w:rsidRPr="00F4226B">
        <w:rPr>
          <w:rFonts w:ascii="Times New Roman" w:hAnsi="Times New Roman"/>
          <w:sz w:val="24"/>
          <w:szCs w:val="24"/>
          <w:lang w:val="en-US"/>
        </w:rPr>
        <w:t xml:space="preserve">2000, listed and other large unlisted firms were required to restate </w:t>
      </w:r>
      <w:r w:rsidR="00CB1BBE">
        <w:rPr>
          <w:rFonts w:ascii="Times New Roman" w:hAnsi="Times New Roman"/>
          <w:sz w:val="24"/>
          <w:szCs w:val="24"/>
          <w:lang w:val="en-US"/>
        </w:rPr>
        <w:t xml:space="preserve">their </w:t>
      </w:r>
      <w:r w:rsidR="00AF5A68" w:rsidRPr="00F4226B">
        <w:rPr>
          <w:rFonts w:ascii="Times New Roman" w:hAnsi="Times New Roman"/>
          <w:sz w:val="24"/>
          <w:szCs w:val="24"/>
          <w:lang w:val="en-US"/>
        </w:rPr>
        <w:t>financial statements in accordance with IAS 29</w:t>
      </w:r>
      <w:r w:rsidRPr="00F4226B">
        <w:rPr>
          <w:rFonts w:ascii="Times New Roman" w:hAnsi="Times New Roman"/>
          <w:sz w:val="24"/>
          <w:szCs w:val="24"/>
          <w:lang w:val="en-US"/>
        </w:rPr>
        <w:t>.</w:t>
      </w:r>
      <w:r w:rsidR="00214ED8" w:rsidRPr="00F4226B">
        <w:rPr>
          <w:rFonts w:ascii="Times New Roman" w:hAnsi="Times New Roman"/>
          <w:sz w:val="24"/>
          <w:szCs w:val="24"/>
          <w:lang w:val="en-US"/>
        </w:rPr>
        <w:t xml:space="preserve"> </w:t>
      </w:r>
      <w:r w:rsidR="00EB5440" w:rsidRPr="00F4226B">
        <w:rPr>
          <w:rFonts w:ascii="Times New Roman" w:hAnsi="Times New Roman"/>
          <w:sz w:val="24"/>
          <w:szCs w:val="24"/>
          <w:lang w:val="en-US"/>
        </w:rPr>
        <w:t xml:space="preserve">However, contrary to </w:t>
      </w:r>
      <w:r w:rsidR="003A633B" w:rsidRPr="00F4226B">
        <w:rPr>
          <w:rFonts w:ascii="Times New Roman" w:hAnsi="Times New Roman"/>
          <w:sz w:val="24"/>
          <w:szCs w:val="24"/>
          <w:lang w:val="en-US"/>
        </w:rPr>
        <w:t xml:space="preserve">the provisions of </w:t>
      </w:r>
      <w:r w:rsidRPr="00F4226B">
        <w:rPr>
          <w:rFonts w:ascii="Times New Roman" w:hAnsi="Times New Roman"/>
          <w:sz w:val="24"/>
          <w:szCs w:val="24"/>
          <w:lang w:val="en-US"/>
        </w:rPr>
        <w:t>IAS 29</w:t>
      </w:r>
      <w:r w:rsidR="00EB5440" w:rsidRPr="00F4226B">
        <w:rPr>
          <w:rFonts w:ascii="Times New Roman" w:hAnsi="Times New Roman"/>
          <w:sz w:val="24"/>
          <w:szCs w:val="24"/>
          <w:lang w:val="en-US"/>
        </w:rPr>
        <w:t xml:space="preserve"> </w:t>
      </w:r>
      <w:r w:rsidR="00580C4B" w:rsidRPr="00F4226B">
        <w:rPr>
          <w:rFonts w:ascii="Times New Roman" w:hAnsi="Times New Roman"/>
          <w:sz w:val="24"/>
          <w:szCs w:val="24"/>
          <w:lang w:val="en-US"/>
        </w:rPr>
        <w:t xml:space="preserve">prohibiting </w:t>
      </w:r>
      <w:r w:rsidR="002019C0" w:rsidRPr="00F4226B">
        <w:rPr>
          <w:rFonts w:ascii="Times New Roman" w:hAnsi="Times New Roman"/>
          <w:sz w:val="24"/>
          <w:szCs w:val="24"/>
          <w:lang w:val="en-US"/>
        </w:rPr>
        <w:t xml:space="preserve">the publication of HC statements </w:t>
      </w:r>
      <w:r w:rsidR="00817FD3" w:rsidRPr="00F4226B">
        <w:rPr>
          <w:rFonts w:ascii="Times New Roman" w:hAnsi="Times New Roman"/>
          <w:sz w:val="24"/>
          <w:szCs w:val="24"/>
          <w:lang w:val="en-US"/>
        </w:rPr>
        <w:t xml:space="preserve">in </w:t>
      </w:r>
      <w:r w:rsidR="00B87F2B" w:rsidRPr="00F4226B">
        <w:rPr>
          <w:rFonts w:ascii="Times New Roman" w:hAnsi="Times New Roman"/>
          <w:sz w:val="24"/>
          <w:szCs w:val="24"/>
          <w:lang w:val="en-US"/>
        </w:rPr>
        <w:t xml:space="preserve">a </w:t>
      </w:r>
      <w:r w:rsidR="00817FD3" w:rsidRPr="00F4226B">
        <w:rPr>
          <w:rFonts w:ascii="Times New Roman" w:hAnsi="Times New Roman"/>
          <w:sz w:val="24"/>
          <w:szCs w:val="24"/>
          <w:lang w:val="en-US"/>
        </w:rPr>
        <w:t xml:space="preserve">hyperinflationary environment, </w:t>
      </w:r>
      <w:r w:rsidRPr="00F4226B">
        <w:rPr>
          <w:rFonts w:ascii="Times New Roman" w:hAnsi="Times New Roman"/>
          <w:sz w:val="24"/>
          <w:szCs w:val="24"/>
          <w:lang w:val="en-US"/>
        </w:rPr>
        <w:t xml:space="preserve">the ICAZ and ZSE permitted firms to publish </w:t>
      </w:r>
      <w:r w:rsidR="00580C4B" w:rsidRPr="00F4226B">
        <w:rPr>
          <w:rFonts w:ascii="Times New Roman" w:hAnsi="Times New Roman"/>
          <w:sz w:val="24"/>
          <w:szCs w:val="24"/>
          <w:lang w:val="en-US"/>
        </w:rPr>
        <w:t>the</w:t>
      </w:r>
      <w:r w:rsidR="003C71AA">
        <w:rPr>
          <w:rFonts w:ascii="Times New Roman" w:hAnsi="Times New Roman"/>
          <w:sz w:val="24"/>
          <w:szCs w:val="24"/>
          <w:lang w:val="en-US"/>
        </w:rPr>
        <w:t>se</w:t>
      </w:r>
      <w:r w:rsidR="00580C4B" w:rsidRPr="00F4226B">
        <w:rPr>
          <w:rFonts w:ascii="Times New Roman" w:hAnsi="Times New Roman"/>
          <w:sz w:val="24"/>
          <w:szCs w:val="24"/>
          <w:lang w:val="en-US"/>
        </w:rPr>
        <w:t xml:space="preserve"> </w:t>
      </w:r>
      <w:r w:rsidRPr="00F4226B">
        <w:rPr>
          <w:rFonts w:ascii="Times New Roman" w:hAnsi="Times New Roman"/>
          <w:sz w:val="24"/>
          <w:szCs w:val="24"/>
          <w:lang w:val="en-US"/>
        </w:rPr>
        <w:t>statements as supplementary information. This was a compromise</w:t>
      </w:r>
      <w:r w:rsidR="00CB1BBE">
        <w:rPr>
          <w:rFonts w:ascii="Times New Roman" w:hAnsi="Times New Roman"/>
          <w:sz w:val="24"/>
          <w:szCs w:val="24"/>
          <w:lang w:val="en-US"/>
        </w:rPr>
        <w:t xml:space="preserve"> that was</w:t>
      </w:r>
      <w:r w:rsidRPr="00F4226B">
        <w:rPr>
          <w:rFonts w:ascii="Times New Roman" w:hAnsi="Times New Roman"/>
          <w:sz w:val="24"/>
          <w:szCs w:val="24"/>
          <w:lang w:val="en-US"/>
        </w:rPr>
        <w:t xml:space="preserve"> made </w:t>
      </w:r>
      <w:r w:rsidR="00580C4B" w:rsidRPr="00F4226B">
        <w:rPr>
          <w:rFonts w:ascii="Times New Roman" w:hAnsi="Times New Roman"/>
          <w:sz w:val="24"/>
          <w:szCs w:val="24"/>
          <w:lang w:val="en-US"/>
        </w:rPr>
        <w:t>after</w:t>
      </w:r>
      <w:r w:rsidRPr="00F4226B">
        <w:rPr>
          <w:rFonts w:ascii="Times New Roman" w:hAnsi="Times New Roman"/>
          <w:sz w:val="24"/>
          <w:szCs w:val="24"/>
          <w:lang w:val="en-US"/>
        </w:rPr>
        <w:t xml:space="preserve"> </w:t>
      </w:r>
      <w:r w:rsidR="00B42BE7">
        <w:rPr>
          <w:rFonts w:ascii="Times New Roman" w:hAnsi="Times New Roman"/>
          <w:sz w:val="24"/>
          <w:szCs w:val="24"/>
          <w:lang w:val="en-US"/>
        </w:rPr>
        <w:t xml:space="preserve">an </w:t>
      </w:r>
      <w:r w:rsidR="002019C0" w:rsidRPr="00F4226B">
        <w:rPr>
          <w:rFonts w:ascii="Times New Roman" w:hAnsi="Times New Roman"/>
          <w:sz w:val="24"/>
          <w:szCs w:val="24"/>
          <w:lang w:val="en-US"/>
        </w:rPr>
        <w:t xml:space="preserve">agreement </w:t>
      </w:r>
      <w:r w:rsidR="00B42BE7">
        <w:rPr>
          <w:rFonts w:ascii="Times New Roman" w:hAnsi="Times New Roman"/>
          <w:sz w:val="24"/>
          <w:szCs w:val="24"/>
          <w:lang w:val="en-US"/>
        </w:rPr>
        <w:t xml:space="preserve">was reached </w:t>
      </w:r>
      <w:r w:rsidRPr="00F4226B">
        <w:rPr>
          <w:rFonts w:ascii="Times New Roman" w:hAnsi="Times New Roman"/>
          <w:sz w:val="24"/>
          <w:szCs w:val="24"/>
          <w:lang w:val="en-US"/>
        </w:rPr>
        <w:t>with the IASB, following strong lobbying by preparers</w:t>
      </w:r>
      <w:r w:rsidR="0006774D" w:rsidRPr="00F4226B">
        <w:rPr>
          <w:rFonts w:ascii="Times New Roman" w:hAnsi="Times New Roman"/>
          <w:sz w:val="24"/>
          <w:szCs w:val="24"/>
          <w:lang w:val="en-US"/>
        </w:rPr>
        <w:t>, auditors</w:t>
      </w:r>
      <w:r w:rsidR="0064208E">
        <w:rPr>
          <w:rFonts w:ascii="Times New Roman" w:hAnsi="Times New Roman"/>
          <w:sz w:val="24"/>
          <w:szCs w:val="24"/>
          <w:lang w:val="en-US"/>
        </w:rPr>
        <w:t>,</w:t>
      </w:r>
      <w:r w:rsidRPr="00F4226B">
        <w:rPr>
          <w:rFonts w:ascii="Times New Roman" w:hAnsi="Times New Roman"/>
          <w:sz w:val="24"/>
          <w:szCs w:val="24"/>
          <w:lang w:val="en-US"/>
        </w:rPr>
        <w:t xml:space="preserve"> and users of financial statements </w:t>
      </w:r>
      <w:r w:rsidR="002019C0" w:rsidRPr="00F4226B">
        <w:rPr>
          <w:rFonts w:ascii="Times New Roman" w:hAnsi="Times New Roman"/>
          <w:sz w:val="24"/>
          <w:szCs w:val="24"/>
          <w:lang w:val="en-US"/>
        </w:rPr>
        <w:t xml:space="preserve">in Zimbabwe </w:t>
      </w:r>
      <w:r w:rsidRPr="00F4226B">
        <w:rPr>
          <w:rFonts w:ascii="Times New Roman" w:hAnsi="Times New Roman"/>
          <w:sz w:val="24"/>
          <w:szCs w:val="24"/>
          <w:lang w:val="en-US"/>
        </w:rPr>
        <w:t xml:space="preserve">against </w:t>
      </w:r>
      <w:r w:rsidR="00EB5440" w:rsidRPr="00F4226B">
        <w:rPr>
          <w:rFonts w:ascii="Times New Roman" w:hAnsi="Times New Roman"/>
          <w:sz w:val="24"/>
          <w:szCs w:val="24"/>
          <w:lang w:val="en-US"/>
        </w:rPr>
        <w:t xml:space="preserve">the </w:t>
      </w:r>
      <w:r w:rsidRPr="00F4226B">
        <w:rPr>
          <w:rFonts w:ascii="Times New Roman" w:hAnsi="Times New Roman"/>
          <w:sz w:val="24"/>
          <w:szCs w:val="24"/>
          <w:lang w:val="en-US"/>
        </w:rPr>
        <w:t>adopti</w:t>
      </w:r>
      <w:r w:rsidR="00EB5440" w:rsidRPr="00F4226B">
        <w:rPr>
          <w:rFonts w:ascii="Times New Roman" w:hAnsi="Times New Roman"/>
          <w:sz w:val="24"/>
          <w:szCs w:val="24"/>
          <w:lang w:val="en-US"/>
        </w:rPr>
        <w:t>on of</w:t>
      </w:r>
      <w:r w:rsidRPr="00F4226B">
        <w:rPr>
          <w:rFonts w:ascii="Times New Roman" w:hAnsi="Times New Roman"/>
          <w:sz w:val="24"/>
          <w:szCs w:val="24"/>
          <w:lang w:val="en-US"/>
        </w:rPr>
        <w:t xml:space="preserve"> IAS </w:t>
      </w:r>
      <w:r w:rsidRPr="00F4226B">
        <w:rPr>
          <w:rFonts w:ascii="Times New Roman" w:hAnsi="Times New Roman"/>
          <w:sz w:val="24"/>
          <w:szCs w:val="24"/>
          <w:lang w:val="en-US"/>
        </w:rPr>
        <w:lastRenderedPageBreak/>
        <w:t xml:space="preserve">29. In the end, firms </w:t>
      </w:r>
      <w:r w:rsidR="002019C0" w:rsidRPr="00F4226B">
        <w:rPr>
          <w:rFonts w:ascii="Times New Roman" w:hAnsi="Times New Roman"/>
          <w:sz w:val="24"/>
          <w:szCs w:val="24"/>
          <w:lang w:val="en-US"/>
        </w:rPr>
        <w:t xml:space="preserve">voluntarily </w:t>
      </w:r>
      <w:r w:rsidRPr="00F4226B">
        <w:rPr>
          <w:rFonts w:ascii="Times New Roman" w:hAnsi="Times New Roman"/>
          <w:sz w:val="24"/>
          <w:szCs w:val="24"/>
          <w:lang w:val="en-US"/>
        </w:rPr>
        <w:t xml:space="preserve">settled to </w:t>
      </w:r>
      <w:r w:rsidR="00002087" w:rsidRPr="00F4226B">
        <w:rPr>
          <w:rFonts w:ascii="Times New Roman" w:hAnsi="Times New Roman"/>
          <w:sz w:val="24"/>
          <w:szCs w:val="24"/>
          <w:lang w:val="en-US"/>
        </w:rPr>
        <w:t xml:space="preserve">present </w:t>
      </w:r>
      <w:r w:rsidR="00002087" w:rsidRPr="00804A08">
        <w:rPr>
          <w:rFonts w:ascii="Times New Roman" w:hAnsi="Times New Roman"/>
          <w:sz w:val="24"/>
          <w:szCs w:val="24"/>
          <w:lang w:val="en-US"/>
        </w:rPr>
        <w:t>prominently</w:t>
      </w:r>
      <w:r w:rsidR="00FD1D71" w:rsidRPr="00F4226B">
        <w:rPr>
          <w:rFonts w:ascii="Times New Roman" w:hAnsi="Times New Roman"/>
          <w:i/>
          <w:sz w:val="24"/>
          <w:szCs w:val="24"/>
          <w:lang w:val="en-US"/>
        </w:rPr>
        <w:t xml:space="preserve"> </w:t>
      </w:r>
      <w:r w:rsidRPr="00F4226B">
        <w:rPr>
          <w:rFonts w:ascii="Times New Roman" w:hAnsi="Times New Roman"/>
          <w:i/>
          <w:sz w:val="24"/>
          <w:szCs w:val="24"/>
          <w:lang w:val="en-US"/>
        </w:rPr>
        <w:t>both</w:t>
      </w:r>
      <w:r w:rsidRPr="00F4226B">
        <w:rPr>
          <w:rFonts w:ascii="Times New Roman" w:hAnsi="Times New Roman"/>
          <w:sz w:val="24"/>
          <w:szCs w:val="24"/>
          <w:lang w:val="en-US"/>
        </w:rPr>
        <w:t xml:space="preserve"> IA and HC</w:t>
      </w:r>
      <w:r w:rsidR="00002087" w:rsidRPr="00F4226B">
        <w:rPr>
          <w:rFonts w:ascii="Times New Roman" w:hAnsi="Times New Roman"/>
          <w:sz w:val="24"/>
          <w:szCs w:val="24"/>
          <w:lang w:val="en-US"/>
        </w:rPr>
        <w:t xml:space="preserve"> amounts on the face of </w:t>
      </w:r>
      <w:r w:rsidR="00002087" w:rsidRPr="00F4226B">
        <w:rPr>
          <w:rFonts w:ascii="Times New Roman" w:hAnsi="Times New Roman"/>
          <w:i/>
          <w:sz w:val="24"/>
          <w:szCs w:val="24"/>
          <w:lang w:val="en-US"/>
        </w:rPr>
        <w:t>primary</w:t>
      </w:r>
      <w:r w:rsidRPr="00F4226B">
        <w:rPr>
          <w:rFonts w:ascii="Times New Roman" w:hAnsi="Times New Roman"/>
          <w:sz w:val="24"/>
          <w:szCs w:val="24"/>
          <w:lang w:val="en-US"/>
        </w:rPr>
        <w:t xml:space="preserve"> financial statements, side-by-side, ensuring that </w:t>
      </w:r>
      <w:r w:rsidRPr="00804A08">
        <w:rPr>
          <w:rFonts w:ascii="Times New Roman" w:hAnsi="Times New Roman"/>
          <w:sz w:val="24"/>
          <w:szCs w:val="24"/>
          <w:lang w:val="en-US"/>
        </w:rPr>
        <w:t>both sets</w:t>
      </w:r>
      <w:r w:rsidRPr="00F4226B">
        <w:rPr>
          <w:rFonts w:ascii="Times New Roman" w:hAnsi="Times New Roman"/>
          <w:sz w:val="24"/>
          <w:szCs w:val="24"/>
          <w:lang w:val="en-US"/>
        </w:rPr>
        <w:t xml:space="preserve"> of statements were audited and accompanied by </w:t>
      </w:r>
      <w:r w:rsidR="006A14F7" w:rsidRPr="00F4226B">
        <w:rPr>
          <w:rFonts w:ascii="Times New Roman" w:hAnsi="Times New Roman"/>
          <w:sz w:val="24"/>
          <w:szCs w:val="24"/>
          <w:lang w:val="en-US"/>
        </w:rPr>
        <w:t xml:space="preserve">detailed </w:t>
      </w:r>
      <w:r w:rsidRPr="00F4226B">
        <w:rPr>
          <w:rFonts w:ascii="Times New Roman" w:hAnsi="Times New Roman"/>
          <w:sz w:val="24"/>
          <w:szCs w:val="24"/>
          <w:lang w:val="en-US"/>
        </w:rPr>
        <w:t>disclosure notes</w:t>
      </w:r>
      <w:r w:rsidR="0064208E">
        <w:rPr>
          <w:rFonts w:ascii="Times New Roman" w:hAnsi="Times New Roman"/>
          <w:sz w:val="24"/>
          <w:szCs w:val="24"/>
          <w:lang w:val="en-US"/>
        </w:rPr>
        <w:t>.</w:t>
      </w:r>
      <w:r w:rsidRPr="00F4226B">
        <w:rPr>
          <w:rFonts w:ascii="Times New Roman" w:hAnsi="Times New Roman"/>
          <w:sz w:val="24"/>
          <w:szCs w:val="24"/>
          <w:lang w:val="en-US"/>
        </w:rPr>
        <w:t xml:space="preserve"> (</w:t>
      </w:r>
      <w:r w:rsidR="0064208E">
        <w:rPr>
          <w:rFonts w:ascii="Times New Roman" w:hAnsi="Times New Roman"/>
          <w:sz w:val="24"/>
          <w:szCs w:val="24"/>
          <w:lang w:val="en-US"/>
        </w:rPr>
        <w:t>S</w:t>
      </w:r>
      <w:r w:rsidRPr="00F4226B">
        <w:rPr>
          <w:rFonts w:ascii="Times New Roman" w:hAnsi="Times New Roman"/>
          <w:sz w:val="24"/>
          <w:szCs w:val="24"/>
          <w:lang w:val="en-US"/>
        </w:rPr>
        <w:t>ee Appendix 1</w:t>
      </w:r>
      <w:r w:rsidR="002D2B4D" w:rsidRPr="00F4226B">
        <w:rPr>
          <w:rFonts w:ascii="Times New Roman" w:hAnsi="Times New Roman"/>
          <w:sz w:val="24"/>
          <w:szCs w:val="24"/>
          <w:lang w:val="en-US"/>
        </w:rPr>
        <w:t xml:space="preserve"> for an example of </w:t>
      </w:r>
      <w:r w:rsidR="00CB1BBE">
        <w:rPr>
          <w:rFonts w:ascii="Times New Roman" w:hAnsi="Times New Roman"/>
          <w:sz w:val="24"/>
          <w:szCs w:val="24"/>
          <w:lang w:val="en-US"/>
        </w:rPr>
        <w:t xml:space="preserve">the </w:t>
      </w:r>
      <w:r w:rsidR="002D2B4D" w:rsidRPr="00F4226B">
        <w:rPr>
          <w:rFonts w:ascii="Times New Roman" w:hAnsi="Times New Roman"/>
          <w:sz w:val="24"/>
          <w:szCs w:val="24"/>
          <w:lang w:val="en-US"/>
        </w:rPr>
        <w:t>presentation format</w:t>
      </w:r>
      <w:r w:rsidR="0064208E">
        <w:rPr>
          <w:rFonts w:ascii="Times New Roman" w:hAnsi="Times New Roman"/>
          <w:sz w:val="24"/>
          <w:szCs w:val="24"/>
          <w:lang w:val="en-US"/>
        </w:rPr>
        <w:t>.</w:t>
      </w:r>
      <w:r w:rsidRPr="00F4226B">
        <w:rPr>
          <w:rFonts w:ascii="Times New Roman" w:hAnsi="Times New Roman"/>
          <w:sz w:val="24"/>
          <w:szCs w:val="24"/>
          <w:lang w:val="en-US"/>
        </w:rPr>
        <w:t>) T</w:t>
      </w:r>
      <w:r w:rsidR="006A14F7" w:rsidRPr="00F4226B">
        <w:rPr>
          <w:rFonts w:ascii="Times New Roman" w:hAnsi="Times New Roman"/>
          <w:sz w:val="24"/>
          <w:szCs w:val="24"/>
          <w:lang w:val="en-US"/>
        </w:rPr>
        <w:t xml:space="preserve">o </w:t>
      </w:r>
      <w:r w:rsidR="00823F29" w:rsidRPr="00F4226B">
        <w:rPr>
          <w:rFonts w:ascii="Times New Roman" w:hAnsi="Times New Roman"/>
          <w:sz w:val="24"/>
          <w:szCs w:val="24"/>
          <w:lang w:val="en-US"/>
        </w:rPr>
        <w:t xml:space="preserve">the </w:t>
      </w:r>
      <w:r w:rsidR="006A14F7" w:rsidRPr="00F4226B">
        <w:rPr>
          <w:rFonts w:ascii="Times New Roman" w:hAnsi="Times New Roman"/>
          <w:sz w:val="24"/>
          <w:szCs w:val="24"/>
          <w:lang w:val="en-US"/>
        </w:rPr>
        <w:t>firms, t</w:t>
      </w:r>
      <w:r w:rsidRPr="00F4226B">
        <w:rPr>
          <w:rFonts w:ascii="Times New Roman" w:hAnsi="Times New Roman"/>
          <w:sz w:val="24"/>
          <w:szCs w:val="24"/>
          <w:lang w:val="en-US"/>
        </w:rPr>
        <w:t>his provided the corner solution</w:t>
      </w:r>
      <w:r w:rsidR="0064208E">
        <w:rPr>
          <w:rFonts w:ascii="Times New Roman" w:hAnsi="Times New Roman"/>
          <w:sz w:val="24"/>
          <w:szCs w:val="24"/>
          <w:lang w:val="en-US"/>
        </w:rPr>
        <w:t>,</w:t>
      </w:r>
      <w:r w:rsidRPr="00F4226B">
        <w:rPr>
          <w:rFonts w:ascii="Times New Roman" w:hAnsi="Times New Roman"/>
          <w:sz w:val="24"/>
          <w:szCs w:val="24"/>
          <w:lang w:val="en-US"/>
        </w:rPr>
        <w:t xml:space="preserve"> </w:t>
      </w:r>
      <w:r w:rsidR="00002087" w:rsidRPr="00F4226B">
        <w:rPr>
          <w:rFonts w:ascii="Times New Roman" w:hAnsi="Times New Roman"/>
          <w:sz w:val="24"/>
          <w:szCs w:val="24"/>
          <w:lang w:val="en-US"/>
        </w:rPr>
        <w:t>as it enabled</w:t>
      </w:r>
      <w:r w:rsidR="00823F29" w:rsidRPr="00F4226B">
        <w:rPr>
          <w:rFonts w:ascii="Times New Roman" w:hAnsi="Times New Roman"/>
          <w:sz w:val="24"/>
          <w:szCs w:val="24"/>
          <w:lang w:val="en-US"/>
        </w:rPr>
        <w:t xml:space="preserve"> them</w:t>
      </w:r>
      <w:r w:rsidR="00002087" w:rsidRPr="00F4226B">
        <w:rPr>
          <w:rFonts w:ascii="Times New Roman" w:hAnsi="Times New Roman"/>
          <w:sz w:val="24"/>
          <w:szCs w:val="24"/>
          <w:lang w:val="en-US"/>
        </w:rPr>
        <w:t xml:space="preserve"> </w:t>
      </w:r>
      <w:r w:rsidRPr="00F4226B">
        <w:rPr>
          <w:rFonts w:ascii="Times New Roman" w:hAnsi="Times New Roman"/>
          <w:sz w:val="24"/>
          <w:szCs w:val="24"/>
          <w:lang w:val="en-US"/>
        </w:rPr>
        <w:t>to be IAS 29 compliant</w:t>
      </w:r>
      <w:r w:rsidR="00F4226B">
        <w:rPr>
          <w:rFonts w:ascii="Times New Roman" w:hAnsi="Times New Roman"/>
          <w:sz w:val="24"/>
          <w:szCs w:val="24"/>
          <w:lang w:val="en-US"/>
        </w:rPr>
        <w:t xml:space="preserve"> and </w:t>
      </w:r>
      <w:r w:rsidRPr="00F4226B">
        <w:rPr>
          <w:rFonts w:ascii="Times New Roman" w:hAnsi="Times New Roman"/>
          <w:sz w:val="24"/>
          <w:szCs w:val="24"/>
          <w:lang w:val="en-US"/>
        </w:rPr>
        <w:t>meet user demands for audited and detailed HC financial statements (Chamisa 2007). Th</w:t>
      </w:r>
      <w:r w:rsidR="00DF705B" w:rsidRPr="00F4226B">
        <w:rPr>
          <w:rFonts w:ascii="Times New Roman" w:hAnsi="Times New Roman"/>
          <w:sz w:val="24"/>
          <w:szCs w:val="24"/>
          <w:lang w:val="en-US"/>
        </w:rPr>
        <w:t xml:space="preserve">is </w:t>
      </w:r>
      <w:r w:rsidR="00663E39" w:rsidRPr="00F4226B">
        <w:rPr>
          <w:rFonts w:ascii="Times New Roman" w:hAnsi="Times New Roman"/>
          <w:sz w:val="24"/>
          <w:szCs w:val="24"/>
          <w:lang w:val="en-US"/>
        </w:rPr>
        <w:t xml:space="preserve">unique </w:t>
      </w:r>
      <w:r w:rsidR="00F31D52" w:rsidRPr="00F4226B">
        <w:rPr>
          <w:rFonts w:ascii="Times New Roman" w:hAnsi="Times New Roman"/>
          <w:sz w:val="24"/>
          <w:szCs w:val="24"/>
          <w:lang w:val="en-US"/>
        </w:rPr>
        <w:t xml:space="preserve">reporting practice </w:t>
      </w:r>
      <w:r w:rsidR="006A14F7" w:rsidRPr="00F4226B">
        <w:rPr>
          <w:rFonts w:ascii="Times New Roman" w:hAnsi="Times New Roman"/>
          <w:sz w:val="24"/>
          <w:szCs w:val="24"/>
          <w:lang w:val="en-US"/>
        </w:rPr>
        <w:t>offers</w:t>
      </w:r>
      <w:r w:rsidRPr="00F4226B">
        <w:rPr>
          <w:rFonts w:ascii="Times New Roman" w:hAnsi="Times New Roman"/>
          <w:sz w:val="24"/>
          <w:szCs w:val="24"/>
          <w:lang w:val="en-US"/>
        </w:rPr>
        <w:t xml:space="preserve"> </w:t>
      </w:r>
      <w:r w:rsidR="005C733F" w:rsidRPr="00F4226B">
        <w:rPr>
          <w:rFonts w:ascii="Times New Roman" w:hAnsi="Times New Roman"/>
          <w:sz w:val="24"/>
          <w:szCs w:val="24"/>
          <w:lang w:val="en-US"/>
        </w:rPr>
        <w:t xml:space="preserve">opportunities </w:t>
      </w:r>
      <w:r w:rsidR="00EA69E9" w:rsidRPr="00F4226B">
        <w:rPr>
          <w:rFonts w:ascii="Times New Roman" w:hAnsi="Times New Roman"/>
          <w:sz w:val="24"/>
          <w:szCs w:val="24"/>
          <w:lang w:val="en-US"/>
        </w:rPr>
        <w:t xml:space="preserve">to </w:t>
      </w:r>
      <w:r w:rsidR="00F5003D" w:rsidRPr="00F4226B">
        <w:rPr>
          <w:rFonts w:ascii="Times New Roman" w:hAnsi="Times New Roman"/>
          <w:sz w:val="24"/>
          <w:szCs w:val="24"/>
          <w:lang w:val="en-US"/>
        </w:rPr>
        <w:t xml:space="preserve">provide </w:t>
      </w:r>
      <w:r w:rsidR="00A60CC3" w:rsidRPr="00F4226B">
        <w:rPr>
          <w:rFonts w:ascii="Times New Roman" w:hAnsi="Times New Roman"/>
          <w:sz w:val="24"/>
          <w:szCs w:val="24"/>
          <w:lang w:val="en-US"/>
        </w:rPr>
        <w:t xml:space="preserve">better </w:t>
      </w:r>
      <w:r w:rsidR="005C733F" w:rsidRPr="00F4226B">
        <w:rPr>
          <w:rFonts w:ascii="Times New Roman" w:hAnsi="Times New Roman"/>
          <w:sz w:val="24"/>
          <w:szCs w:val="24"/>
          <w:lang w:val="en-US"/>
        </w:rPr>
        <w:t>insights</w:t>
      </w:r>
      <w:r w:rsidR="00A60CC3" w:rsidRPr="00F4226B">
        <w:rPr>
          <w:rFonts w:ascii="Times New Roman" w:hAnsi="Times New Roman"/>
          <w:sz w:val="24"/>
          <w:szCs w:val="24"/>
          <w:lang w:val="en-US"/>
        </w:rPr>
        <w:t xml:space="preserve"> o</w:t>
      </w:r>
      <w:r w:rsidR="00663E39" w:rsidRPr="00F4226B">
        <w:rPr>
          <w:rFonts w:ascii="Times New Roman" w:hAnsi="Times New Roman"/>
          <w:sz w:val="24"/>
          <w:szCs w:val="24"/>
          <w:lang w:val="en-US"/>
        </w:rPr>
        <w:t>n</w:t>
      </w:r>
      <w:r w:rsidR="00A60CC3" w:rsidRPr="00F4226B">
        <w:rPr>
          <w:rFonts w:ascii="Times New Roman" w:hAnsi="Times New Roman"/>
          <w:sz w:val="24"/>
          <w:szCs w:val="24"/>
          <w:lang w:val="en-US"/>
        </w:rPr>
        <w:t xml:space="preserve"> the</w:t>
      </w:r>
      <w:r w:rsidR="00EA69E9" w:rsidRPr="00F4226B">
        <w:rPr>
          <w:rFonts w:ascii="Times New Roman" w:hAnsi="Times New Roman"/>
          <w:sz w:val="24"/>
          <w:szCs w:val="24"/>
          <w:lang w:val="en-US"/>
        </w:rPr>
        <w:t xml:space="preserve"> relative and incremental </w:t>
      </w:r>
      <w:r w:rsidR="00A60CC3" w:rsidRPr="00F4226B">
        <w:rPr>
          <w:rFonts w:ascii="Times New Roman" w:hAnsi="Times New Roman"/>
          <w:sz w:val="24"/>
          <w:szCs w:val="24"/>
          <w:lang w:val="en-US"/>
        </w:rPr>
        <w:t>value relevance of HC and IA amounts</w:t>
      </w:r>
      <w:r w:rsidR="00E80C01" w:rsidRPr="00F4226B">
        <w:rPr>
          <w:rFonts w:ascii="Times New Roman" w:hAnsi="Times New Roman"/>
          <w:sz w:val="24"/>
          <w:szCs w:val="24"/>
          <w:lang w:val="en-US"/>
        </w:rPr>
        <w:t>.</w:t>
      </w:r>
      <w:r w:rsidR="00A60CC3" w:rsidRPr="00F4226B">
        <w:rPr>
          <w:rFonts w:ascii="Times New Roman" w:hAnsi="Times New Roman"/>
          <w:sz w:val="24"/>
          <w:szCs w:val="24"/>
          <w:lang w:val="en-US"/>
        </w:rPr>
        <w:t xml:space="preserve"> </w:t>
      </w:r>
      <w:r w:rsidR="0025445B" w:rsidRPr="00F4226B">
        <w:rPr>
          <w:rFonts w:ascii="Times New Roman" w:hAnsi="Times New Roman"/>
          <w:sz w:val="24"/>
          <w:szCs w:val="24"/>
          <w:lang w:val="en-US"/>
        </w:rPr>
        <w:t>Our</w:t>
      </w:r>
      <w:r w:rsidR="00AC2FD9" w:rsidRPr="00F4226B">
        <w:rPr>
          <w:rFonts w:ascii="Times New Roman" w:hAnsi="Times New Roman"/>
          <w:sz w:val="24"/>
          <w:szCs w:val="24"/>
          <w:lang w:val="en-US"/>
        </w:rPr>
        <w:t xml:space="preserve"> </w:t>
      </w:r>
      <w:r w:rsidR="00E80C01" w:rsidRPr="00F4226B">
        <w:rPr>
          <w:rFonts w:ascii="Times New Roman" w:hAnsi="Times New Roman"/>
          <w:sz w:val="24"/>
          <w:szCs w:val="24"/>
          <w:lang w:val="en-US"/>
        </w:rPr>
        <w:t>dataset avoids problem</w:t>
      </w:r>
      <w:r w:rsidR="0025445B" w:rsidRPr="00F4226B">
        <w:rPr>
          <w:rFonts w:ascii="Times New Roman" w:hAnsi="Times New Roman"/>
          <w:sz w:val="24"/>
          <w:szCs w:val="24"/>
          <w:lang w:val="en-US"/>
        </w:rPr>
        <w:t>s</w:t>
      </w:r>
      <w:r w:rsidR="00E80C01" w:rsidRPr="00F4226B">
        <w:rPr>
          <w:rFonts w:ascii="Times New Roman" w:hAnsi="Times New Roman"/>
          <w:sz w:val="24"/>
          <w:szCs w:val="24"/>
          <w:lang w:val="en-US"/>
        </w:rPr>
        <w:t xml:space="preserve"> </w:t>
      </w:r>
      <w:r w:rsidR="0011656A">
        <w:rPr>
          <w:rFonts w:ascii="Times New Roman" w:hAnsi="Times New Roman"/>
          <w:sz w:val="24"/>
          <w:szCs w:val="24"/>
          <w:lang w:val="en-US"/>
        </w:rPr>
        <w:t>that</w:t>
      </w:r>
      <w:r w:rsidR="0011656A" w:rsidRPr="00F4226B">
        <w:rPr>
          <w:rFonts w:ascii="Times New Roman" w:hAnsi="Times New Roman"/>
          <w:sz w:val="24"/>
          <w:szCs w:val="24"/>
          <w:lang w:val="en-US"/>
        </w:rPr>
        <w:t xml:space="preserve"> </w:t>
      </w:r>
      <w:r w:rsidR="00E80C01" w:rsidRPr="00F4226B">
        <w:rPr>
          <w:rFonts w:ascii="Times New Roman" w:hAnsi="Times New Roman"/>
          <w:sz w:val="24"/>
          <w:szCs w:val="24"/>
          <w:lang w:val="en-US"/>
        </w:rPr>
        <w:t>prior studies</w:t>
      </w:r>
      <w:r w:rsidR="0011656A">
        <w:rPr>
          <w:rFonts w:ascii="Times New Roman" w:hAnsi="Times New Roman"/>
          <w:sz w:val="24"/>
          <w:szCs w:val="24"/>
          <w:lang w:val="en-US"/>
        </w:rPr>
        <w:t xml:space="preserve"> have faced</w:t>
      </w:r>
      <w:r w:rsidR="00CB1BBE">
        <w:rPr>
          <w:rFonts w:ascii="Times New Roman" w:hAnsi="Times New Roman"/>
          <w:sz w:val="24"/>
          <w:szCs w:val="24"/>
          <w:lang w:val="en-US"/>
        </w:rPr>
        <w:t>,</w:t>
      </w:r>
      <w:r w:rsidR="00E80C01" w:rsidRPr="00F4226B">
        <w:rPr>
          <w:rFonts w:ascii="Times New Roman" w:hAnsi="Times New Roman"/>
          <w:sz w:val="24"/>
          <w:szCs w:val="24"/>
          <w:lang w:val="en-US"/>
        </w:rPr>
        <w:t xml:space="preserve"> </w:t>
      </w:r>
      <w:r w:rsidR="0025445B" w:rsidRPr="00F4226B">
        <w:rPr>
          <w:rFonts w:ascii="Times New Roman" w:hAnsi="Times New Roman"/>
          <w:sz w:val="24"/>
          <w:szCs w:val="24"/>
          <w:lang w:val="en-US"/>
        </w:rPr>
        <w:t>such as</w:t>
      </w:r>
      <w:r w:rsidR="00CB1BBE">
        <w:rPr>
          <w:rFonts w:ascii="Times New Roman" w:hAnsi="Times New Roman"/>
          <w:sz w:val="24"/>
          <w:szCs w:val="24"/>
          <w:lang w:val="en-US"/>
        </w:rPr>
        <w:t xml:space="preserve"> the following</w:t>
      </w:r>
      <w:r w:rsidR="0025445B" w:rsidRPr="00F4226B">
        <w:rPr>
          <w:rFonts w:ascii="Times New Roman" w:hAnsi="Times New Roman"/>
          <w:sz w:val="24"/>
          <w:szCs w:val="24"/>
          <w:lang w:val="en-US"/>
        </w:rPr>
        <w:t>: (a) estimating unreported IA (or HC) amounts</w:t>
      </w:r>
      <w:r w:rsidR="00CB1BBE">
        <w:rPr>
          <w:rFonts w:ascii="Times New Roman" w:hAnsi="Times New Roman"/>
          <w:sz w:val="24"/>
          <w:szCs w:val="24"/>
          <w:lang w:val="en-US"/>
        </w:rPr>
        <w:t>,</w:t>
      </w:r>
      <w:r w:rsidR="00B42BE7">
        <w:rPr>
          <w:rFonts w:ascii="Times New Roman" w:hAnsi="Times New Roman"/>
          <w:sz w:val="24"/>
          <w:szCs w:val="24"/>
          <w:lang w:val="en-US"/>
        </w:rPr>
        <w:t xml:space="preserve"> which leads to </w:t>
      </w:r>
      <w:r w:rsidR="00B42BE7" w:rsidRPr="00F4226B">
        <w:rPr>
          <w:rFonts w:ascii="Times New Roman" w:hAnsi="Times New Roman"/>
          <w:sz w:val="24"/>
          <w:szCs w:val="24"/>
          <w:lang w:val="en-US"/>
        </w:rPr>
        <w:t>measurement errors</w:t>
      </w:r>
      <w:r w:rsidR="0064208E">
        <w:rPr>
          <w:rFonts w:ascii="Times New Roman" w:hAnsi="Times New Roman"/>
          <w:sz w:val="24"/>
          <w:szCs w:val="24"/>
          <w:lang w:val="en-US"/>
        </w:rPr>
        <w:t>;</w:t>
      </w:r>
      <w:r w:rsidR="00CB1BBE" w:rsidRPr="00F4226B">
        <w:rPr>
          <w:rFonts w:ascii="Times New Roman" w:hAnsi="Times New Roman"/>
          <w:sz w:val="24"/>
          <w:szCs w:val="24"/>
          <w:lang w:val="en-US"/>
        </w:rPr>
        <w:t xml:space="preserve"> </w:t>
      </w:r>
      <w:r w:rsidR="0025445B" w:rsidRPr="00F4226B">
        <w:rPr>
          <w:rFonts w:ascii="Times New Roman" w:hAnsi="Times New Roman"/>
          <w:sz w:val="24"/>
          <w:szCs w:val="24"/>
          <w:lang w:val="en-US"/>
        </w:rPr>
        <w:t xml:space="preserve">(b) testing for </w:t>
      </w:r>
      <w:r w:rsidR="0025445B" w:rsidRPr="00F4226B">
        <w:rPr>
          <w:rFonts w:ascii="Times New Roman" w:hAnsi="Times New Roman"/>
          <w:i/>
          <w:sz w:val="24"/>
          <w:szCs w:val="24"/>
          <w:lang w:val="en-US"/>
        </w:rPr>
        <w:t>relative</w:t>
      </w:r>
      <w:r w:rsidR="0025445B" w:rsidRPr="00F4226B">
        <w:rPr>
          <w:rFonts w:ascii="Times New Roman" w:hAnsi="Times New Roman"/>
          <w:sz w:val="24"/>
          <w:szCs w:val="24"/>
          <w:lang w:val="en-US"/>
        </w:rPr>
        <w:t xml:space="preserve"> value relevance when one dataset (IA or HC) is reported in the notes</w:t>
      </w:r>
      <w:r w:rsidR="0064208E">
        <w:rPr>
          <w:rFonts w:ascii="Times New Roman" w:hAnsi="Times New Roman"/>
          <w:sz w:val="24"/>
          <w:szCs w:val="24"/>
          <w:lang w:val="en-US"/>
        </w:rPr>
        <w:t>;</w:t>
      </w:r>
      <w:r w:rsidR="00CB1BBE" w:rsidRPr="00F4226B">
        <w:rPr>
          <w:rFonts w:ascii="Times New Roman" w:hAnsi="Times New Roman"/>
          <w:sz w:val="24"/>
          <w:szCs w:val="24"/>
          <w:lang w:val="en-US"/>
        </w:rPr>
        <w:t xml:space="preserve"> </w:t>
      </w:r>
      <w:r w:rsidR="0025445B" w:rsidRPr="00F4226B">
        <w:rPr>
          <w:rFonts w:ascii="Times New Roman" w:hAnsi="Times New Roman"/>
          <w:sz w:val="24"/>
          <w:szCs w:val="24"/>
          <w:lang w:val="en-US"/>
        </w:rPr>
        <w:t xml:space="preserve">and (c) using single-period datasets </w:t>
      </w:r>
      <w:r w:rsidR="00B42BE7">
        <w:rPr>
          <w:rFonts w:ascii="Times New Roman" w:hAnsi="Times New Roman"/>
          <w:sz w:val="24"/>
          <w:szCs w:val="24"/>
          <w:lang w:val="en-US"/>
        </w:rPr>
        <w:t>that</w:t>
      </w:r>
      <w:r w:rsidR="00B42BE7" w:rsidRPr="00F4226B">
        <w:rPr>
          <w:rFonts w:ascii="Times New Roman" w:hAnsi="Times New Roman"/>
          <w:sz w:val="24"/>
          <w:szCs w:val="24"/>
          <w:lang w:val="en-US"/>
        </w:rPr>
        <w:t xml:space="preserve"> </w:t>
      </w:r>
      <w:r w:rsidR="0025445B" w:rsidRPr="00F4226B">
        <w:rPr>
          <w:rFonts w:ascii="Times New Roman" w:hAnsi="Times New Roman"/>
          <w:sz w:val="24"/>
          <w:szCs w:val="24"/>
          <w:lang w:val="en-US"/>
        </w:rPr>
        <w:t xml:space="preserve">fail to account for the learning effect </w:t>
      </w:r>
      <w:r w:rsidR="00AC2FD9" w:rsidRPr="00F4226B">
        <w:rPr>
          <w:rFonts w:ascii="Times New Roman" w:hAnsi="Times New Roman"/>
          <w:sz w:val="24"/>
          <w:szCs w:val="24"/>
          <w:lang w:val="en-US"/>
        </w:rPr>
        <w:t>(see Section 3</w:t>
      </w:r>
      <w:r w:rsidR="001E01B2" w:rsidRPr="00F4226B">
        <w:rPr>
          <w:rFonts w:ascii="Times New Roman" w:hAnsi="Times New Roman"/>
          <w:sz w:val="24"/>
          <w:szCs w:val="24"/>
          <w:lang w:val="en-US"/>
        </w:rPr>
        <w:t>)</w:t>
      </w:r>
      <w:r w:rsidR="00E80C01" w:rsidRPr="00F4226B">
        <w:rPr>
          <w:rFonts w:ascii="Times New Roman" w:hAnsi="Times New Roman"/>
          <w:sz w:val="24"/>
          <w:szCs w:val="24"/>
          <w:lang w:val="en-US"/>
        </w:rPr>
        <w:t xml:space="preserve">. </w:t>
      </w:r>
    </w:p>
    <w:p w14:paraId="0C14DE14" w14:textId="7359A4DC" w:rsidR="00CA1D61" w:rsidRPr="00F4226B" w:rsidRDefault="001E01B2" w:rsidP="000D0D17">
      <w:pPr>
        <w:spacing w:after="0" w:line="360" w:lineRule="auto"/>
        <w:ind w:firstLine="284"/>
        <w:jc w:val="both"/>
        <w:rPr>
          <w:rFonts w:ascii="Times New Roman" w:hAnsi="Times New Roman"/>
          <w:sz w:val="24"/>
          <w:szCs w:val="24"/>
          <w:lang w:val="en-US"/>
        </w:rPr>
      </w:pPr>
      <w:r w:rsidRPr="00F4226B">
        <w:rPr>
          <w:rFonts w:ascii="Times New Roman" w:eastAsia="Times New Roman" w:hAnsi="Times New Roman"/>
          <w:color w:val="000000"/>
          <w:sz w:val="24"/>
          <w:szCs w:val="24"/>
          <w:lang w:val="en-US" w:eastAsia="en-GB"/>
        </w:rPr>
        <w:lastRenderedPageBreak/>
        <w:t xml:space="preserve">Using </w:t>
      </w:r>
      <w:r w:rsidR="00D6177D" w:rsidRPr="00F4226B">
        <w:rPr>
          <w:rFonts w:ascii="Times New Roman" w:eastAsia="Times New Roman" w:hAnsi="Times New Roman"/>
          <w:color w:val="000000"/>
          <w:sz w:val="24"/>
          <w:szCs w:val="24"/>
          <w:lang w:val="en-US" w:eastAsia="en-GB"/>
        </w:rPr>
        <w:t>a sample of ZSE listed firms over the 2000</w:t>
      </w:r>
      <w:r w:rsidR="0064208E">
        <w:rPr>
          <w:rFonts w:ascii="Times New Roman" w:eastAsia="Times New Roman" w:hAnsi="Times New Roman"/>
          <w:color w:val="000000"/>
          <w:sz w:val="24"/>
          <w:szCs w:val="24"/>
          <w:lang w:val="en-US" w:eastAsia="en-GB"/>
        </w:rPr>
        <w:t>–</w:t>
      </w:r>
      <w:r w:rsidR="00D6177D" w:rsidRPr="00F4226B">
        <w:rPr>
          <w:rFonts w:ascii="Times New Roman" w:eastAsia="Times New Roman" w:hAnsi="Times New Roman"/>
          <w:color w:val="000000"/>
          <w:sz w:val="24"/>
          <w:szCs w:val="24"/>
          <w:lang w:val="en-US" w:eastAsia="en-GB"/>
        </w:rPr>
        <w:t>2005</w:t>
      </w:r>
      <w:r w:rsidR="00CB1BBE" w:rsidRPr="00CB1BBE">
        <w:rPr>
          <w:rFonts w:ascii="Times New Roman" w:eastAsia="Times New Roman" w:hAnsi="Times New Roman"/>
          <w:color w:val="000000"/>
          <w:sz w:val="24"/>
          <w:szCs w:val="24"/>
          <w:lang w:val="en-US" w:eastAsia="en-GB"/>
        </w:rPr>
        <w:t xml:space="preserve"> </w:t>
      </w:r>
      <w:r w:rsidR="00CB1BBE" w:rsidRPr="00F4226B">
        <w:rPr>
          <w:rFonts w:ascii="Times New Roman" w:eastAsia="Times New Roman" w:hAnsi="Times New Roman"/>
          <w:color w:val="000000"/>
          <w:sz w:val="24"/>
          <w:szCs w:val="24"/>
          <w:lang w:val="en-US" w:eastAsia="en-GB"/>
        </w:rPr>
        <w:t>period</w:t>
      </w:r>
      <w:r w:rsidRPr="00F4226B">
        <w:rPr>
          <w:rFonts w:ascii="Times New Roman" w:eastAsia="Times New Roman" w:hAnsi="Times New Roman"/>
          <w:color w:val="000000"/>
          <w:sz w:val="24"/>
          <w:szCs w:val="24"/>
          <w:lang w:val="en-US" w:eastAsia="en-GB"/>
        </w:rPr>
        <w:t xml:space="preserve">, we </w:t>
      </w:r>
      <w:r w:rsidR="001B364B" w:rsidRPr="00F4226B">
        <w:rPr>
          <w:rFonts w:ascii="Times New Roman" w:hAnsi="Times New Roman"/>
          <w:sz w:val="24"/>
          <w:szCs w:val="24"/>
          <w:lang w:val="en-US" w:eastAsia="en-GB"/>
        </w:rPr>
        <w:t xml:space="preserve">employ </w:t>
      </w:r>
      <w:r w:rsidR="00CB5F30" w:rsidRPr="00F4226B">
        <w:rPr>
          <w:rFonts w:ascii="Times New Roman" w:hAnsi="Times New Roman"/>
          <w:sz w:val="24"/>
          <w:szCs w:val="24"/>
          <w:lang w:val="en-US" w:eastAsia="en-GB"/>
        </w:rPr>
        <w:t>the returns and price models</w:t>
      </w:r>
      <w:r w:rsidR="00B511F3" w:rsidRPr="00F4226B">
        <w:rPr>
          <w:rFonts w:ascii="Times New Roman" w:hAnsi="Times New Roman"/>
          <w:sz w:val="24"/>
          <w:szCs w:val="24"/>
          <w:lang w:val="en-US" w:eastAsia="en-GB"/>
        </w:rPr>
        <w:t xml:space="preserve"> in the </w:t>
      </w:r>
      <w:r w:rsidRPr="00F4226B">
        <w:rPr>
          <w:rFonts w:ascii="Times New Roman" w:hAnsi="Times New Roman"/>
          <w:sz w:val="24"/>
          <w:szCs w:val="24"/>
          <w:lang w:val="en-US" w:eastAsia="en-GB"/>
        </w:rPr>
        <w:t>tests</w:t>
      </w:r>
      <w:r w:rsidR="00B511F3" w:rsidRPr="00F4226B">
        <w:rPr>
          <w:rFonts w:ascii="Times New Roman" w:hAnsi="Times New Roman"/>
          <w:sz w:val="24"/>
          <w:szCs w:val="24"/>
          <w:lang w:val="en-US" w:eastAsia="en-GB"/>
        </w:rPr>
        <w:t xml:space="preserve"> and report several interesting findings</w:t>
      </w:r>
      <w:r w:rsidR="001B364B" w:rsidRPr="00F4226B">
        <w:rPr>
          <w:rFonts w:ascii="Times New Roman" w:hAnsi="Times New Roman"/>
          <w:sz w:val="24"/>
          <w:szCs w:val="24"/>
          <w:lang w:val="en-US" w:eastAsia="en-GB"/>
        </w:rPr>
        <w:t xml:space="preserve">. </w:t>
      </w:r>
      <w:r w:rsidR="00CA1D61" w:rsidRPr="00F4226B">
        <w:rPr>
          <w:rFonts w:ascii="Times New Roman" w:hAnsi="Times New Roman"/>
          <w:sz w:val="24"/>
          <w:szCs w:val="24"/>
          <w:lang w:val="en-US" w:eastAsia="en-GB"/>
        </w:rPr>
        <w:t>In the first test, we compare the value relevance of the two sets of amounts</w:t>
      </w:r>
      <w:r w:rsidR="00CB1BBE">
        <w:rPr>
          <w:rFonts w:ascii="Times New Roman" w:hAnsi="Times New Roman"/>
          <w:sz w:val="24"/>
          <w:szCs w:val="24"/>
          <w:lang w:val="en-US" w:eastAsia="en-GB"/>
        </w:rPr>
        <w:t>. S</w:t>
      </w:r>
      <w:r w:rsidR="00CA1D61" w:rsidRPr="00F4226B">
        <w:rPr>
          <w:rFonts w:ascii="Times New Roman" w:hAnsi="Times New Roman"/>
          <w:sz w:val="24"/>
          <w:szCs w:val="24"/>
          <w:lang w:val="en-US" w:eastAsia="en-GB"/>
        </w:rPr>
        <w:t>imilar to Kirkulak and Balsari (2009) and Filip and Raffournier (2010)</w:t>
      </w:r>
      <w:r w:rsidR="007D21F2" w:rsidRPr="00F4226B">
        <w:rPr>
          <w:rFonts w:ascii="Times New Roman" w:hAnsi="Times New Roman"/>
          <w:sz w:val="24"/>
          <w:szCs w:val="24"/>
          <w:lang w:val="en-US" w:eastAsia="en-GB"/>
        </w:rPr>
        <w:t>,</w:t>
      </w:r>
      <w:r w:rsidR="00CA1D61" w:rsidRPr="00F4226B">
        <w:rPr>
          <w:rFonts w:ascii="Times New Roman" w:hAnsi="Times New Roman"/>
          <w:sz w:val="24"/>
          <w:szCs w:val="24"/>
          <w:lang w:val="en-US" w:eastAsia="en-GB"/>
        </w:rPr>
        <w:t xml:space="preserve"> </w:t>
      </w:r>
      <w:r w:rsidR="00CB1BBE">
        <w:rPr>
          <w:rFonts w:ascii="Times New Roman" w:hAnsi="Times New Roman"/>
          <w:sz w:val="24"/>
          <w:szCs w:val="24"/>
          <w:lang w:val="en-US" w:eastAsia="en-GB"/>
        </w:rPr>
        <w:t xml:space="preserve">we </w:t>
      </w:r>
      <w:r w:rsidR="00CB1BBE" w:rsidRPr="00F4226B">
        <w:rPr>
          <w:rFonts w:ascii="Times New Roman" w:hAnsi="Times New Roman"/>
          <w:sz w:val="24"/>
          <w:szCs w:val="24"/>
          <w:lang w:val="en-US" w:eastAsia="en-GB"/>
        </w:rPr>
        <w:t>document</w:t>
      </w:r>
      <w:r w:rsidR="00CB1BBE">
        <w:rPr>
          <w:rFonts w:ascii="Times New Roman" w:hAnsi="Times New Roman"/>
          <w:sz w:val="24"/>
          <w:szCs w:val="24"/>
          <w:lang w:val="en-US" w:eastAsia="en-GB"/>
        </w:rPr>
        <w:t xml:space="preserve"> </w:t>
      </w:r>
      <w:r w:rsidR="00CA1D61" w:rsidRPr="00F4226B">
        <w:rPr>
          <w:rFonts w:ascii="Times New Roman" w:hAnsi="Times New Roman"/>
          <w:sz w:val="24"/>
          <w:szCs w:val="24"/>
          <w:lang w:val="en-US"/>
        </w:rPr>
        <w:t xml:space="preserve">that both HC and IA amounts are value relevant, but overall HC amounts are superior. We next test whether IA data, </w:t>
      </w:r>
      <w:r w:rsidR="00CB1BBE">
        <w:rPr>
          <w:rFonts w:ascii="Times New Roman" w:hAnsi="Times New Roman"/>
          <w:sz w:val="24"/>
          <w:szCs w:val="24"/>
          <w:lang w:val="en-US"/>
        </w:rPr>
        <w:t>particularly</w:t>
      </w:r>
      <w:r w:rsidR="00CA1D61" w:rsidRPr="00F4226B">
        <w:rPr>
          <w:rFonts w:ascii="Times New Roman" w:hAnsi="Times New Roman"/>
          <w:sz w:val="24"/>
          <w:szCs w:val="24"/>
          <w:lang w:val="en-US"/>
        </w:rPr>
        <w:t xml:space="preserve"> the </w:t>
      </w:r>
      <w:r w:rsidR="00F4226B" w:rsidRPr="00F4226B">
        <w:rPr>
          <w:rFonts w:ascii="Times New Roman" w:hAnsi="Times New Roman"/>
          <w:sz w:val="24"/>
          <w:szCs w:val="24"/>
          <w:lang w:val="en-US"/>
        </w:rPr>
        <w:t>recognized</w:t>
      </w:r>
      <w:r w:rsidR="00CA1D61" w:rsidRPr="00F4226B">
        <w:rPr>
          <w:rFonts w:ascii="Times New Roman" w:hAnsi="Times New Roman"/>
          <w:sz w:val="24"/>
          <w:szCs w:val="24"/>
          <w:lang w:val="en-US"/>
        </w:rPr>
        <w:t xml:space="preserve"> inflation gains and losses</w:t>
      </w:r>
      <w:r w:rsidR="00CB1BBE">
        <w:rPr>
          <w:rFonts w:ascii="Times New Roman" w:hAnsi="Times New Roman"/>
          <w:sz w:val="24"/>
          <w:szCs w:val="24"/>
          <w:lang w:val="en-US"/>
        </w:rPr>
        <w:t>,</w:t>
      </w:r>
      <w:r w:rsidR="00CA1D61" w:rsidRPr="00F4226B">
        <w:rPr>
          <w:rFonts w:ascii="Times New Roman" w:hAnsi="Times New Roman"/>
          <w:sz w:val="24"/>
          <w:szCs w:val="24"/>
          <w:lang w:val="en-US"/>
        </w:rPr>
        <w:t xml:space="preserve"> provide incremental information content beyond that provided by HC amounts. Konchitchki (2011</w:t>
      </w:r>
      <w:r w:rsidR="0064208E">
        <w:rPr>
          <w:rFonts w:ascii="Times New Roman" w:hAnsi="Times New Roman"/>
          <w:sz w:val="24"/>
          <w:szCs w:val="24"/>
          <w:lang w:val="en-US"/>
        </w:rPr>
        <w:t>,</w:t>
      </w:r>
      <w:r w:rsidR="00CA1D61" w:rsidRPr="00F4226B">
        <w:rPr>
          <w:rFonts w:ascii="Times New Roman" w:hAnsi="Times New Roman"/>
          <w:sz w:val="24"/>
          <w:szCs w:val="24"/>
          <w:lang w:val="en-US"/>
        </w:rPr>
        <w:t xml:space="preserve"> 2013) show</w:t>
      </w:r>
      <w:r w:rsidR="00B511F3" w:rsidRPr="00F4226B">
        <w:rPr>
          <w:rFonts w:ascii="Times New Roman" w:hAnsi="Times New Roman"/>
          <w:sz w:val="24"/>
          <w:szCs w:val="24"/>
          <w:lang w:val="en-US"/>
        </w:rPr>
        <w:t>s</w:t>
      </w:r>
      <w:r w:rsidR="00CA1D61" w:rsidRPr="00F4226B">
        <w:rPr>
          <w:rFonts w:ascii="Times New Roman" w:hAnsi="Times New Roman"/>
          <w:sz w:val="24"/>
          <w:szCs w:val="24"/>
          <w:lang w:val="en-US"/>
        </w:rPr>
        <w:t xml:space="preserve"> that the unrecogni</w:t>
      </w:r>
      <w:r w:rsidR="00F4226B">
        <w:rPr>
          <w:rFonts w:ascii="Times New Roman" w:hAnsi="Times New Roman"/>
          <w:sz w:val="24"/>
          <w:szCs w:val="24"/>
          <w:lang w:val="en-US"/>
        </w:rPr>
        <w:t>z</w:t>
      </w:r>
      <w:r w:rsidR="00CA1D61" w:rsidRPr="00F4226B">
        <w:rPr>
          <w:rFonts w:ascii="Times New Roman" w:hAnsi="Times New Roman"/>
          <w:sz w:val="24"/>
          <w:szCs w:val="24"/>
          <w:lang w:val="en-US"/>
        </w:rPr>
        <w:t>ed gains and losses have substantial implications for valuation. In essence, our tests amount to a decomposition of the IA statements into their HC amounts</w:t>
      </w:r>
      <w:r w:rsidR="00CB1BBE">
        <w:rPr>
          <w:rFonts w:ascii="Times New Roman" w:hAnsi="Times New Roman"/>
          <w:sz w:val="24"/>
          <w:szCs w:val="24"/>
          <w:lang w:val="en-US"/>
        </w:rPr>
        <w:t xml:space="preserve"> </w:t>
      </w:r>
      <w:r w:rsidR="00EF7250">
        <w:rPr>
          <w:rFonts w:ascii="Times New Roman" w:hAnsi="Times New Roman"/>
          <w:sz w:val="24"/>
          <w:szCs w:val="24"/>
          <w:lang w:val="en-US"/>
        </w:rPr>
        <w:t>as well as</w:t>
      </w:r>
      <w:r w:rsidR="00EF7250" w:rsidRPr="00F4226B">
        <w:rPr>
          <w:rFonts w:ascii="Times New Roman" w:hAnsi="Times New Roman"/>
          <w:sz w:val="24"/>
          <w:szCs w:val="24"/>
          <w:lang w:val="en-US"/>
        </w:rPr>
        <w:t xml:space="preserve"> </w:t>
      </w:r>
      <w:r w:rsidR="00CA1D61" w:rsidRPr="00F4226B">
        <w:rPr>
          <w:rFonts w:ascii="Times New Roman" w:hAnsi="Times New Roman"/>
          <w:sz w:val="24"/>
          <w:szCs w:val="24"/>
          <w:lang w:val="en-US"/>
        </w:rPr>
        <w:t xml:space="preserve">inflation gains and losses. This analysis is analogous to prior studies, </w:t>
      </w:r>
      <w:r w:rsidR="00CB1BBE">
        <w:rPr>
          <w:rFonts w:ascii="Times New Roman" w:hAnsi="Times New Roman"/>
          <w:sz w:val="24"/>
          <w:szCs w:val="24"/>
          <w:lang w:val="en-US"/>
        </w:rPr>
        <w:t>such as</w:t>
      </w:r>
      <w:r w:rsidR="00CA1D61" w:rsidRPr="00F4226B">
        <w:rPr>
          <w:rFonts w:ascii="Times New Roman" w:hAnsi="Times New Roman"/>
          <w:sz w:val="24"/>
          <w:szCs w:val="24"/>
          <w:lang w:val="en-US"/>
        </w:rPr>
        <w:t xml:space="preserve"> </w:t>
      </w:r>
      <w:r w:rsidR="0064208E">
        <w:rPr>
          <w:rFonts w:ascii="Times New Roman" w:hAnsi="Times New Roman"/>
          <w:sz w:val="24"/>
          <w:szCs w:val="24"/>
          <w:lang w:val="en-US"/>
        </w:rPr>
        <w:t xml:space="preserve">by </w:t>
      </w:r>
      <w:r w:rsidR="00CA1D61" w:rsidRPr="00F4226B">
        <w:rPr>
          <w:rFonts w:ascii="Times New Roman" w:hAnsi="Times New Roman"/>
          <w:sz w:val="24"/>
          <w:szCs w:val="24"/>
          <w:lang w:val="en-US"/>
        </w:rPr>
        <w:t>Sloan (1996) and Barth et al</w:t>
      </w:r>
      <w:r w:rsidR="008C489A" w:rsidRPr="00F4226B">
        <w:rPr>
          <w:rFonts w:ascii="Times New Roman" w:hAnsi="Times New Roman"/>
          <w:sz w:val="24"/>
          <w:szCs w:val="24"/>
          <w:lang w:val="en-US"/>
        </w:rPr>
        <w:t>.</w:t>
      </w:r>
      <w:r w:rsidR="00CA1D61" w:rsidRPr="00F4226B">
        <w:rPr>
          <w:rFonts w:ascii="Times New Roman" w:hAnsi="Times New Roman"/>
          <w:sz w:val="24"/>
          <w:szCs w:val="24"/>
          <w:lang w:val="en-US"/>
        </w:rPr>
        <w:t xml:space="preserve"> (2001), </w:t>
      </w:r>
      <w:r w:rsidR="00593BF3">
        <w:rPr>
          <w:rFonts w:ascii="Times New Roman" w:hAnsi="Times New Roman"/>
          <w:sz w:val="24"/>
          <w:szCs w:val="24"/>
          <w:lang w:val="en-US"/>
        </w:rPr>
        <w:t>who show</w:t>
      </w:r>
      <w:r w:rsidR="00593BF3" w:rsidRPr="00F4226B">
        <w:rPr>
          <w:rFonts w:ascii="Times New Roman" w:hAnsi="Times New Roman"/>
          <w:sz w:val="24"/>
          <w:szCs w:val="24"/>
          <w:lang w:val="en-US"/>
        </w:rPr>
        <w:t xml:space="preserve"> </w:t>
      </w:r>
      <w:r w:rsidR="00CA1D61" w:rsidRPr="00F4226B">
        <w:rPr>
          <w:rFonts w:ascii="Times New Roman" w:hAnsi="Times New Roman"/>
          <w:sz w:val="24"/>
          <w:szCs w:val="24"/>
          <w:lang w:val="en-US"/>
        </w:rPr>
        <w:t>that models that dis</w:t>
      </w:r>
      <w:r w:rsidR="00CA1D61" w:rsidRPr="00F4226B">
        <w:rPr>
          <w:rFonts w:ascii="Times New Roman" w:hAnsi="Times New Roman"/>
          <w:sz w:val="24"/>
          <w:szCs w:val="24"/>
          <w:lang w:val="en-US"/>
        </w:rPr>
        <w:lastRenderedPageBreak/>
        <w:t xml:space="preserve">aggregate earnings into their components exhibit greater explanatory power. We find that </w:t>
      </w:r>
      <w:r w:rsidR="00F4226B" w:rsidRPr="00F4226B">
        <w:rPr>
          <w:rFonts w:ascii="Times New Roman" w:hAnsi="Times New Roman"/>
          <w:sz w:val="24"/>
          <w:szCs w:val="24"/>
          <w:lang w:val="en-US"/>
        </w:rPr>
        <w:t>recognized</w:t>
      </w:r>
      <w:r w:rsidR="00CA1D61" w:rsidRPr="00F4226B">
        <w:rPr>
          <w:rFonts w:ascii="Times New Roman" w:hAnsi="Times New Roman"/>
          <w:sz w:val="24"/>
          <w:szCs w:val="24"/>
          <w:lang w:val="en-US"/>
        </w:rPr>
        <w:t xml:space="preserve"> inflation gains and losses provide incremental information content</w:t>
      </w:r>
      <w:r w:rsidR="00CB1BBE">
        <w:rPr>
          <w:rFonts w:ascii="Times New Roman" w:hAnsi="Times New Roman"/>
          <w:sz w:val="24"/>
          <w:szCs w:val="24"/>
          <w:lang w:val="en-US"/>
        </w:rPr>
        <w:t>,</w:t>
      </w:r>
      <w:r w:rsidR="00CA1D61" w:rsidRPr="00F4226B">
        <w:rPr>
          <w:rFonts w:ascii="Times New Roman" w:hAnsi="Times New Roman"/>
          <w:sz w:val="24"/>
          <w:szCs w:val="24"/>
          <w:lang w:val="en-US"/>
        </w:rPr>
        <w:t xml:space="preserve"> and</w:t>
      </w:r>
      <w:r w:rsidR="00CB1BBE">
        <w:rPr>
          <w:rFonts w:ascii="Times New Roman" w:hAnsi="Times New Roman"/>
          <w:sz w:val="24"/>
          <w:szCs w:val="24"/>
          <w:lang w:val="en-US"/>
        </w:rPr>
        <w:t xml:space="preserve"> we</w:t>
      </w:r>
      <w:r w:rsidR="00CA1D61" w:rsidRPr="00F4226B">
        <w:rPr>
          <w:rFonts w:ascii="Times New Roman" w:hAnsi="Times New Roman"/>
          <w:sz w:val="24"/>
          <w:szCs w:val="24"/>
          <w:lang w:val="en-US"/>
        </w:rPr>
        <w:t xml:space="preserve"> further demonstrate that the explanatory power of this incremental model is similar to </w:t>
      </w:r>
      <w:r w:rsidR="00CB1BBE">
        <w:rPr>
          <w:rFonts w:ascii="Times New Roman" w:hAnsi="Times New Roman"/>
          <w:sz w:val="24"/>
          <w:szCs w:val="24"/>
          <w:lang w:val="en-US"/>
        </w:rPr>
        <w:t xml:space="preserve">that of </w:t>
      </w:r>
      <w:r w:rsidR="00CA1D61" w:rsidRPr="00F4226B">
        <w:rPr>
          <w:rFonts w:ascii="Times New Roman" w:hAnsi="Times New Roman"/>
          <w:sz w:val="24"/>
          <w:szCs w:val="24"/>
          <w:lang w:val="en-US"/>
        </w:rPr>
        <w:t xml:space="preserve">the HC model but superior to </w:t>
      </w:r>
      <w:r w:rsidR="00CB1BBE">
        <w:rPr>
          <w:rFonts w:ascii="Times New Roman" w:hAnsi="Times New Roman"/>
          <w:sz w:val="24"/>
          <w:szCs w:val="24"/>
          <w:lang w:val="en-US"/>
        </w:rPr>
        <w:t xml:space="preserve">that of </w:t>
      </w:r>
      <w:r w:rsidR="00CA1D61" w:rsidRPr="00F4226B">
        <w:rPr>
          <w:rFonts w:ascii="Times New Roman" w:hAnsi="Times New Roman"/>
          <w:sz w:val="24"/>
          <w:szCs w:val="24"/>
          <w:lang w:val="en-US"/>
        </w:rPr>
        <w:t xml:space="preserve">the IA model. </w:t>
      </w:r>
      <w:r w:rsidR="009E0057" w:rsidRPr="00F4226B">
        <w:rPr>
          <w:rFonts w:ascii="Times New Roman" w:hAnsi="Times New Roman"/>
          <w:sz w:val="24"/>
          <w:szCs w:val="24"/>
          <w:lang w:val="en-US"/>
        </w:rPr>
        <w:t>Overall, t</w:t>
      </w:r>
      <w:r w:rsidR="00CA1D61" w:rsidRPr="00F4226B">
        <w:rPr>
          <w:rFonts w:ascii="Times New Roman" w:hAnsi="Times New Roman"/>
          <w:sz w:val="24"/>
          <w:szCs w:val="24"/>
          <w:lang w:val="en-US"/>
        </w:rPr>
        <w:t>hese results do not support IAS 29</w:t>
      </w:r>
      <w:r w:rsidR="0047313B" w:rsidRPr="00F4226B">
        <w:rPr>
          <w:rFonts w:ascii="Times New Roman" w:hAnsi="Times New Roman"/>
          <w:sz w:val="24"/>
          <w:szCs w:val="24"/>
          <w:lang w:val="en-US"/>
        </w:rPr>
        <w:t>’s contention</w:t>
      </w:r>
      <w:r w:rsidR="00CB1BBE">
        <w:rPr>
          <w:rFonts w:ascii="Times New Roman" w:hAnsi="Times New Roman"/>
          <w:sz w:val="24"/>
          <w:szCs w:val="24"/>
          <w:lang w:val="en-US"/>
        </w:rPr>
        <w:t>,</w:t>
      </w:r>
      <w:r w:rsidR="00CA1D61" w:rsidRPr="00F4226B">
        <w:rPr>
          <w:rFonts w:ascii="Times New Roman" w:hAnsi="Times New Roman"/>
          <w:sz w:val="24"/>
          <w:szCs w:val="24"/>
          <w:lang w:val="en-US"/>
        </w:rPr>
        <w:t xml:space="preserve"> and </w:t>
      </w:r>
      <w:r w:rsidR="00CB1BBE">
        <w:rPr>
          <w:rFonts w:ascii="Times New Roman" w:hAnsi="Times New Roman"/>
          <w:sz w:val="24"/>
          <w:szCs w:val="24"/>
          <w:lang w:val="en-US"/>
        </w:rPr>
        <w:t xml:space="preserve">they </w:t>
      </w:r>
      <w:r w:rsidR="00CA1D61" w:rsidRPr="00F4226B">
        <w:rPr>
          <w:rFonts w:ascii="Times New Roman" w:hAnsi="Times New Roman"/>
          <w:sz w:val="24"/>
          <w:szCs w:val="24"/>
          <w:lang w:val="en-US"/>
        </w:rPr>
        <w:t xml:space="preserve">suggest that providing only IA amounts in a hyperinflationary economy leads to </w:t>
      </w:r>
      <w:r w:rsidR="00CB1BBE">
        <w:rPr>
          <w:rFonts w:ascii="Times New Roman" w:hAnsi="Times New Roman"/>
          <w:sz w:val="24"/>
          <w:szCs w:val="24"/>
          <w:lang w:val="en-US"/>
        </w:rPr>
        <w:t xml:space="preserve">a </w:t>
      </w:r>
      <w:r w:rsidR="00CA1D61" w:rsidRPr="00F4226B">
        <w:rPr>
          <w:rFonts w:ascii="Times New Roman" w:hAnsi="Times New Roman"/>
          <w:sz w:val="24"/>
          <w:szCs w:val="24"/>
          <w:lang w:val="en-US"/>
        </w:rPr>
        <w:t xml:space="preserve">loss of value-relevant information. </w:t>
      </w:r>
    </w:p>
    <w:p w14:paraId="17984C75" w14:textId="70C00D92" w:rsidR="00CA1D61" w:rsidRPr="00F4226B" w:rsidRDefault="00CA1D61" w:rsidP="007137C0">
      <w:pPr>
        <w:spacing w:after="0"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In our third test, we </w:t>
      </w:r>
      <w:r w:rsidR="000531EC" w:rsidRPr="00F4226B">
        <w:rPr>
          <w:rFonts w:ascii="Times New Roman" w:hAnsi="Times New Roman"/>
          <w:sz w:val="24"/>
          <w:szCs w:val="24"/>
          <w:lang w:val="en-US"/>
        </w:rPr>
        <w:t xml:space="preserve">exploit </w:t>
      </w:r>
      <w:r w:rsidR="00D50A18" w:rsidRPr="00F4226B">
        <w:rPr>
          <w:rFonts w:ascii="Times New Roman" w:hAnsi="Times New Roman"/>
          <w:sz w:val="24"/>
          <w:szCs w:val="24"/>
          <w:lang w:val="en-US"/>
        </w:rPr>
        <w:t xml:space="preserve">our </w:t>
      </w:r>
      <w:r w:rsidR="0025445B" w:rsidRPr="00F4226B">
        <w:rPr>
          <w:rFonts w:ascii="Times New Roman" w:hAnsi="Times New Roman"/>
          <w:sz w:val="24"/>
          <w:szCs w:val="24"/>
          <w:lang w:val="en-US"/>
        </w:rPr>
        <w:t>innovative setting</w:t>
      </w:r>
      <w:r w:rsidR="000531EC" w:rsidRPr="00F4226B">
        <w:rPr>
          <w:rFonts w:ascii="Times New Roman" w:hAnsi="Times New Roman"/>
          <w:sz w:val="24"/>
          <w:szCs w:val="24"/>
          <w:lang w:val="en-US"/>
        </w:rPr>
        <w:t xml:space="preserve"> to test whether the value relevance of HC and IA amounts change with the level of inflation. </w:t>
      </w:r>
      <w:r w:rsidRPr="00F4226B">
        <w:rPr>
          <w:rFonts w:ascii="Times New Roman" w:hAnsi="Times New Roman"/>
          <w:sz w:val="24"/>
          <w:szCs w:val="24"/>
          <w:lang w:val="en-US"/>
        </w:rPr>
        <w:t xml:space="preserve">Within </w:t>
      </w:r>
      <w:r w:rsidR="00D50A18" w:rsidRPr="00F4226B">
        <w:rPr>
          <w:rFonts w:ascii="Times New Roman" w:hAnsi="Times New Roman"/>
          <w:sz w:val="24"/>
          <w:szCs w:val="24"/>
          <w:lang w:val="en-US"/>
        </w:rPr>
        <w:t>our study</w:t>
      </w:r>
      <w:r w:rsidR="00BD4547" w:rsidRPr="00F4226B">
        <w:rPr>
          <w:rFonts w:ascii="Times New Roman" w:hAnsi="Times New Roman"/>
          <w:sz w:val="24"/>
          <w:szCs w:val="24"/>
          <w:lang w:val="en-US"/>
        </w:rPr>
        <w:t xml:space="preserve"> period</w:t>
      </w:r>
      <w:r w:rsidRPr="00F4226B">
        <w:rPr>
          <w:rFonts w:ascii="Times New Roman" w:hAnsi="Times New Roman"/>
          <w:sz w:val="24"/>
          <w:szCs w:val="24"/>
          <w:lang w:val="en-US"/>
        </w:rPr>
        <w:t>, we can dis</w:t>
      </w:r>
      <w:r w:rsidR="00D50A18" w:rsidRPr="00F4226B">
        <w:rPr>
          <w:rFonts w:ascii="Times New Roman" w:hAnsi="Times New Roman"/>
          <w:sz w:val="24"/>
          <w:szCs w:val="24"/>
          <w:lang w:val="en-US"/>
        </w:rPr>
        <w:t>tinguish</w:t>
      </w:r>
      <w:r w:rsidRPr="00F4226B">
        <w:rPr>
          <w:rFonts w:ascii="Times New Roman" w:hAnsi="Times New Roman"/>
          <w:sz w:val="24"/>
          <w:szCs w:val="24"/>
          <w:lang w:val="en-US"/>
        </w:rPr>
        <w:t xml:space="preserve"> between two distinct periods of inflationary conditions: </w:t>
      </w:r>
      <w:r w:rsidR="00CB1BBE">
        <w:rPr>
          <w:rFonts w:ascii="Times New Roman" w:hAnsi="Times New Roman"/>
          <w:sz w:val="24"/>
          <w:szCs w:val="24"/>
          <w:lang w:val="en-US"/>
        </w:rPr>
        <w:t>a</w:t>
      </w:r>
      <w:r w:rsidR="00CB1BBE"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relatively low inflation period </w:t>
      </w:r>
      <w:r w:rsidR="00BD4547" w:rsidRPr="00F4226B">
        <w:rPr>
          <w:rFonts w:ascii="Times New Roman" w:hAnsi="Times New Roman"/>
          <w:sz w:val="24"/>
          <w:szCs w:val="24"/>
          <w:lang w:val="en-US"/>
        </w:rPr>
        <w:t>(2000</w:t>
      </w:r>
      <w:r w:rsidR="00046AC0">
        <w:rPr>
          <w:rFonts w:ascii="Times New Roman" w:hAnsi="Times New Roman"/>
          <w:sz w:val="24"/>
          <w:szCs w:val="24"/>
          <w:lang w:val="en-US"/>
        </w:rPr>
        <w:t>–</w:t>
      </w:r>
      <w:r w:rsidR="00BD4547" w:rsidRPr="00F4226B">
        <w:rPr>
          <w:rFonts w:ascii="Times New Roman" w:hAnsi="Times New Roman"/>
          <w:sz w:val="24"/>
          <w:szCs w:val="24"/>
          <w:lang w:val="en-US"/>
        </w:rPr>
        <w:t xml:space="preserve">2002, with an average inflation rate of 90.9%) and </w:t>
      </w:r>
      <w:r w:rsidR="00CB1BBE">
        <w:rPr>
          <w:rFonts w:ascii="Times New Roman" w:hAnsi="Times New Roman"/>
          <w:sz w:val="24"/>
          <w:szCs w:val="24"/>
          <w:lang w:val="en-US"/>
        </w:rPr>
        <w:t xml:space="preserve">a </w:t>
      </w:r>
      <w:r w:rsidR="00BD4547" w:rsidRPr="00F4226B">
        <w:rPr>
          <w:rFonts w:ascii="Times New Roman" w:hAnsi="Times New Roman"/>
          <w:sz w:val="24"/>
          <w:szCs w:val="24"/>
          <w:lang w:val="en-US"/>
        </w:rPr>
        <w:t>relatively high inflation period (2003</w:t>
      </w:r>
      <w:r w:rsidR="00046AC0">
        <w:rPr>
          <w:rFonts w:ascii="Times New Roman" w:hAnsi="Times New Roman"/>
          <w:sz w:val="24"/>
          <w:szCs w:val="24"/>
          <w:lang w:val="en-US"/>
        </w:rPr>
        <w:t>–</w:t>
      </w:r>
      <w:r w:rsidR="00BD4547" w:rsidRPr="00F4226B">
        <w:rPr>
          <w:rFonts w:ascii="Times New Roman" w:hAnsi="Times New Roman"/>
          <w:sz w:val="24"/>
          <w:szCs w:val="24"/>
          <w:lang w:val="en-US"/>
        </w:rPr>
        <w:lastRenderedPageBreak/>
        <w:t>2005, with an average inflation rate of 361.3%) (see Table 1)</w:t>
      </w:r>
      <w:r w:rsidR="009A471A" w:rsidRPr="00F4226B">
        <w:rPr>
          <w:rFonts w:ascii="Times New Roman" w:hAnsi="Times New Roman"/>
          <w:sz w:val="24"/>
          <w:szCs w:val="24"/>
          <w:lang w:val="en-US"/>
        </w:rPr>
        <w:t xml:space="preserve">. </w:t>
      </w:r>
      <w:r w:rsidRPr="00F4226B">
        <w:rPr>
          <w:rFonts w:ascii="Times New Roman" w:hAnsi="Times New Roman"/>
          <w:sz w:val="24"/>
          <w:szCs w:val="24"/>
          <w:lang w:val="en-US"/>
        </w:rPr>
        <w:t>We document powerful and interesting results</w:t>
      </w:r>
      <w:r w:rsidR="000531EC" w:rsidRPr="00F4226B">
        <w:rPr>
          <w:rFonts w:ascii="Times New Roman" w:hAnsi="Times New Roman"/>
          <w:sz w:val="24"/>
          <w:szCs w:val="24"/>
          <w:lang w:val="en-US"/>
        </w:rPr>
        <w:t>. W</w:t>
      </w:r>
      <w:r w:rsidRPr="00F4226B">
        <w:rPr>
          <w:rFonts w:ascii="Times New Roman" w:hAnsi="Times New Roman"/>
          <w:sz w:val="24"/>
          <w:szCs w:val="24"/>
          <w:lang w:val="en-US"/>
        </w:rPr>
        <w:t xml:space="preserve">hereas HC amounts exhibit significantly greater value relevance than IA amounts in </w:t>
      </w:r>
      <w:r w:rsidR="000531EC" w:rsidRPr="00F4226B">
        <w:rPr>
          <w:rFonts w:ascii="Times New Roman" w:hAnsi="Times New Roman"/>
          <w:sz w:val="24"/>
          <w:szCs w:val="24"/>
          <w:lang w:val="en-US"/>
        </w:rPr>
        <w:t>the</w:t>
      </w:r>
      <w:r w:rsidRPr="00F4226B">
        <w:rPr>
          <w:rFonts w:ascii="Times New Roman" w:hAnsi="Times New Roman"/>
          <w:sz w:val="24"/>
          <w:szCs w:val="24"/>
          <w:lang w:val="en-US"/>
        </w:rPr>
        <w:t xml:space="preserve"> relatively low inflation period, the differences in value relevance are less distinguishable in the relatively high inflation period. Further, our evidence shows </w:t>
      </w:r>
      <w:r w:rsidR="00CB1BBE">
        <w:rPr>
          <w:rFonts w:ascii="Times New Roman" w:hAnsi="Times New Roman"/>
          <w:sz w:val="24"/>
          <w:szCs w:val="24"/>
          <w:lang w:val="en-US"/>
        </w:rPr>
        <w:t xml:space="preserve">an </w:t>
      </w:r>
      <w:r w:rsidRPr="00F4226B">
        <w:rPr>
          <w:rFonts w:ascii="Times New Roman" w:hAnsi="Times New Roman"/>
          <w:sz w:val="24"/>
          <w:szCs w:val="24"/>
          <w:lang w:val="en-US"/>
        </w:rPr>
        <w:t xml:space="preserve">increasing value relevance of </w:t>
      </w:r>
      <w:r w:rsidR="000531EC" w:rsidRPr="00F4226B">
        <w:rPr>
          <w:rFonts w:ascii="Times New Roman" w:hAnsi="Times New Roman"/>
          <w:sz w:val="24"/>
          <w:szCs w:val="24"/>
          <w:lang w:val="en-US"/>
        </w:rPr>
        <w:t xml:space="preserve">the two </w:t>
      </w:r>
      <w:r w:rsidRPr="00F4226B">
        <w:rPr>
          <w:rFonts w:ascii="Times New Roman" w:hAnsi="Times New Roman"/>
          <w:sz w:val="24"/>
          <w:szCs w:val="24"/>
          <w:lang w:val="en-US"/>
        </w:rPr>
        <w:t>sets of amounts as inflation levels increase but the increase is greater for IA amounts. These results imply that</w:t>
      </w:r>
      <w:r w:rsidR="00046AC0">
        <w:rPr>
          <w:rFonts w:ascii="Times New Roman" w:hAnsi="Times New Roman"/>
          <w:sz w:val="24"/>
          <w:szCs w:val="24"/>
          <w:lang w:val="en-US"/>
        </w:rPr>
        <w:t>,</w:t>
      </w:r>
      <w:r w:rsidRPr="00F4226B">
        <w:rPr>
          <w:rFonts w:ascii="Times New Roman" w:hAnsi="Times New Roman"/>
          <w:sz w:val="24"/>
          <w:szCs w:val="24"/>
          <w:lang w:val="en-US"/>
        </w:rPr>
        <w:t xml:space="preserve"> in periods of higher inflation, investors fail to completely discriminate between the two measures but </w:t>
      </w:r>
      <w:r w:rsidR="00CB1BBE">
        <w:rPr>
          <w:rFonts w:ascii="Times New Roman" w:hAnsi="Times New Roman"/>
          <w:sz w:val="24"/>
          <w:szCs w:val="24"/>
          <w:lang w:val="en-US"/>
        </w:rPr>
        <w:t xml:space="preserve">they </w:t>
      </w:r>
      <w:r w:rsidRPr="00F4226B">
        <w:rPr>
          <w:rFonts w:ascii="Times New Roman" w:hAnsi="Times New Roman"/>
          <w:sz w:val="24"/>
          <w:szCs w:val="24"/>
          <w:lang w:val="en-US"/>
        </w:rPr>
        <w:t xml:space="preserve">seem to attach greater value </w:t>
      </w:r>
      <w:r w:rsidR="00CB1BBE">
        <w:rPr>
          <w:rFonts w:ascii="Times New Roman" w:hAnsi="Times New Roman"/>
          <w:sz w:val="24"/>
          <w:szCs w:val="24"/>
          <w:lang w:val="en-US"/>
        </w:rPr>
        <w:t>to</w:t>
      </w:r>
      <w:r w:rsidR="00CB1BBE" w:rsidRPr="00F4226B">
        <w:rPr>
          <w:rFonts w:ascii="Times New Roman" w:hAnsi="Times New Roman"/>
          <w:sz w:val="24"/>
          <w:szCs w:val="24"/>
          <w:lang w:val="en-US"/>
        </w:rPr>
        <w:t xml:space="preserve"> </w:t>
      </w:r>
      <w:r w:rsidRPr="00F4226B">
        <w:rPr>
          <w:rFonts w:ascii="Times New Roman" w:hAnsi="Times New Roman"/>
          <w:sz w:val="24"/>
          <w:szCs w:val="24"/>
          <w:lang w:val="en-US"/>
        </w:rPr>
        <w:t>IA amounts</w:t>
      </w:r>
      <w:r w:rsidR="00046AC0">
        <w:rPr>
          <w:rFonts w:ascii="Times New Roman" w:hAnsi="Times New Roman"/>
          <w:sz w:val="24"/>
          <w:szCs w:val="24"/>
          <w:lang w:val="en-US"/>
        </w:rPr>
        <w:t>,</w:t>
      </w:r>
      <w:r w:rsidRPr="00F4226B">
        <w:rPr>
          <w:rFonts w:ascii="Times New Roman" w:hAnsi="Times New Roman"/>
          <w:sz w:val="24"/>
          <w:szCs w:val="24"/>
          <w:lang w:val="en-US"/>
        </w:rPr>
        <w:t xml:space="preserve"> relative to low inflation periods. </w:t>
      </w:r>
    </w:p>
    <w:p w14:paraId="48B9D7E8" w14:textId="5599AEB1" w:rsidR="00CA1D61" w:rsidRPr="00F4226B" w:rsidRDefault="00CA1D61" w:rsidP="00CA1D61">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Next, we apply the price model to examine the effects of inflation on the value relevance of earnings and equity book values. </w:t>
      </w:r>
      <w:r w:rsidR="001A2090" w:rsidRPr="00F4226B">
        <w:rPr>
          <w:rFonts w:ascii="Times New Roman" w:hAnsi="Times New Roman"/>
          <w:sz w:val="24"/>
          <w:szCs w:val="24"/>
          <w:lang w:val="en-US"/>
        </w:rPr>
        <w:t>We find that</w:t>
      </w:r>
      <w:r w:rsidR="00046AC0">
        <w:rPr>
          <w:rFonts w:ascii="Times New Roman" w:hAnsi="Times New Roman"/>
          <w:sz w:val="24"/>
          <w:szCs w:val="24"/>
          <w:lang w:val="en-US"/>
        </w:rPr>
        <w:t>,</w:t>
      </w:r>
      <w:r w:rsidR="001A2090" w:rsidRPr="00F4226B">
        <w:rPr>
          <w:rFonts w:ascii="Times New Roman" w:hAnsi="Times New Roman"/>
          <w:sz w:val="24"/>
          <w:szCs w:val="24"/>
          <w:lang w:val="en-US"/>
        </w:rPr>
        <w:t xml:space="preserve"> whereas earnings </w:t>
      </w:r>
      <w:r w:rsidR="00CD788F" w:rsidRPr="00F4226B">
        <w:rPr>
          <w:rFonts w:ascii="Times New Roman" w:hAnsi="Times New Roman"/>
          <w:sz w:val="24"/>
          <w:szCs w:val="24"/>
          <w:lang w:val="en-US"/>
        </w:rPr>
        <w:t xml:space="preserve">obtained </w:t>
      </w:r>
      <w:r w:rsidR="001A2090" w:rsidRPr="00F4226B">
        <w:rPr>
          <w:rFonts w:ascii="Times New Roman" w:hAnsi="Times New Roman"/>
          <w:sz w:val="24"/>
          <w:szCs w:val="24"/>
          <w:lang w:val="en-US"/>
        </w:rPr>
        <w:t xml:space="preserve">under both the HC and IA </w:t>
      </w:r>
      <w:r w:rsidR="00CD788F" w:rsidRPr="00F4226B">
        <w:rPr>
          <w:rFonts w:ascii="Times New Roman" w:hAnsi="Times New Roman"/>
          <w:sz w:val="24"/>
          <w:szCs w:val="24"/>
          <w:lang w:val="en-US"/>
        </w:rPr>
        <w:t xml:space="preserve">accounting </w:t>
      </w:r>
      <w:r w:rsidR="001A2090" w:rsidRPr="00F4226B">
        <w:rPr>
          <w:rFonts w:ascii="Times New Roman" w:hAnsi="Times New Roman"/>
          <w:sz w:val="24"/>
          <w:szCs w:val="24"/>
          <w:lang w:val="en-US"/>
        </w:rPr>
        <w:t>systems</w:t>
      </w:r>
      <w:r w:rsidR="00CD788F" w:rsidRPr="00F4226B">
        <w:rPr>
          <w:rFonts w:ascii="Times New Roman" w:hAnsi="Times New Roman"/>
          <w:sz w:val="24"/>
          <w:szCs w:val="24"/>
          <w:lang w:val="en-US"/>
        </w:rPr>
        <w:t xml:space="preserve"> have valuation relevance</w:t>
      </w:r>
      <w:r w:rsidR="001A2090" w:rsidRPr="00F4226B">
        <w:rPr>
          <w:rFonts w:ascii="Times New Roman" w:hAnsi="Times New Roman"/>
          <w:sz w:val="24"/>
          <w:szCs w:val="24"/>
          <w:lang w:val="en-US"/>
        </w:rPr>
        <w:t xml:space="preserve">, book values are of value </w:t>
      </w:r>
      <w:r w:rsidR="00CB1BBE" w:rsidRPr="00F4226B">
        <w:rPr>
          <w:rFonts w:ascii="Times New Roman" w:hAnsi="Times New Roman"/>
          <w:sz w:val="24"/>
          <w:szCs w:val="24"/>
          <w:lang w:val="en-US"/>
        </w:rPr>
        <w:t xml:space="preserve">only </w:t>
      </w:r>
      <w:r w:rsidR="001A2090" w:rsidRPr="00F4226B">
        <w:rPr>
          <w:rFonts w:ascii="Times New Roman" w:hAnsi="Times New Roman"/>
          <w:sz w:val="24"/>
          <w:szCs w:val="24"/>
          <w:lang w:val="en-US"/>
        </w:rPr>
        <w:t xml:space="preserve">under the </w:t>
      </w:r>
      <w:r w:rsidR="001A2090" w:rsidRPr="00F4226B">
        <w:rPr>
          <w:rFonts w:ascii="Times New Roman" w:hAnsi="Times New Roman"/>
          <w:sz w:val="24"/>
          <w:szCs w:val="24"/>
          <w:lang w:val="en-US"/>
        </w:rPr>
        <w:lastRenderedPageBreak/>
        <w:t>IA accounting system. These findings are consistent with research demonstrating that the valuation weights of equity book values adjusted for inflation are greater than those of the HC</w:t>
      </w:r>
      <w:r w:rsidR="00F4226B">
        <w:rPr>
          <w:rFonts w:ascii="Times New Roman" w:hAnsi="Times New Roman"/>
          <w:sz w:val="24"/>
          <w:szCs w:val="24"/>
          <w:lang w:val="en-US"/>
        </w:rPr>
        <w:t>-</w:t>
      </w:r>
      <w:r w:rsidR="001A2090" w:rsidRPr="00F4226B">
        <w:rPr>
          <w:rFonts w:ascii="Times New Roman" w:hAnsi="Times New Roman"/>
          <w:sz w:val="24"/>
          <w:szCs w:val="24"/>
          <w:lang w:val="en-US"/>
        </w:rPr>
        <w:t xml:space="preserve">based book values (e.g., Hughes et al. 2004; Ashton et al. 2011; </w:t>
      </w:r>
      <w:r w:rsidRPr="00F4226B">
        <w:rPr>
          <w:rFonts w:ascii="Times New Roman" w:hAnsi="Times New Roman"/>
          <w:sz w:val="24"/>
          <w:szCs w:val="24"/>
          <w:lang w:val="en-US"/>
        </w:rPr>
        <w:t>Konchitchki 2011)</w:t>
      </w:r>
      <w:r w:rsidR="001A2090" w:rsidRPr="00F4226B">
        <w:rPr>
          <w:rFonts w:ascii="Times New Roman" w:hAnsi="Times New Roman"/>
          <w:sz w:val="24"/>
          <w:szCs w:val="24"/>
          <w:lang w:val="en-US"/>
        </w:rPr>
        <w:t>.</w:t>
      </w:r>
      <w:r w:rsidRPr="00F4226B">
        <w:rPr>
          <w:rFonts w:ascii="Times New Roman" w:hAnsi="Times New Roman"/>
          <w:sz w:val="24"/>
          <w:szCs w:val="24"/>
          <w:lang w:val="en-US"/>
        </w:rPr>
        <w:t xml:space="preserve"> Thus it appears that</w:t>
      </w:r>
      <w:r w:rsidR="00F12370">
        <w:rPr>
          <w:rFonts w:ascii="Times New Roman" w:hAnsi="Times New Roman"/>
          <w:sz w:val="24"/>
          <w:szCs w:val="24"/>
          <w:lang w:val="en-US"/>
        </w:rPr>
        <w:t>,</w:t>
      </w:r>
      <w:r w:rsidRPr="00F4226B">
        <w:rPr>
          <w:rFonts w:ascii="Times New Roman" w:hAnsi="Times New Roman"/>
          <w:sz w:val="24"/>
          <w:szCs w:val="24"/>
          <w:lang w:val="en-US"/>
        </w:rPr>
        <w:t xml:space="preserve"> </w:t>
      </w:r>
      <w:r w:rsidR="00B01F94" w:rsidRPr="00F4226B">
        <w:rPr>
          <w:rFonts w:ascii="Times New Roman" w:hAnsi="Times New Roman"/>
          <w:sz w:val="24"/>
          <w:szCs w:val="24"/>
          <w:lang w:val="en-US"/>
        </w:rPr>
        <w:t xml:space="preserve">when investors </w:t>
      </w:r>
      <w:r w:rsidR="009D5F66" w:rsidRPr="00F4226B">
        <w:rPr>
          <w:rFonts w:ascii="Times New Roman" w:hAnsi="Times New Roman"/>
          <w:sz w:val="24"/>
          <w:szCs w:val="24"/>
          <w:lang w:val="en-US"/>
        </w:rPr>
        <w:t xml:space="preserve">are presented with </w:t>
      </w:r>
      <w:r w:rsidRPr="00F4226B">
        <w:rPr>
          <w:rFonts w:ascii="Times New Roman" w:hAnsi="Times New Roman"/>
          <w:sz w:val="24"/>
          <w:szCs w:val="24"/>
          <w:lang w:val="en-US"/>
        </w:rPr>
        <w:t xml:space="preserve">HC </w:t>
      </w:r>
      <w:r w:rsidR="009D5F66" w:rsidRPr="00F4226B">
        <w:rPr>
          <w:rFonts w:ascii="Times New Roman" w:hAnsi="Times New Roman"/>
          <w:sz w:val="24"/>
          <w:szCs w:val="24"/>
          <w:lang w:val="en-US"/>
        </w:rPr>
        <w:t xml:space="preserve">financial statements, they </w:t>
      </w:r>
      <w:r w:rsidRPr="00F4226B">
        <w:rPr>
          <w:rFonts w:ascii="Times New Roman" w:hAnsi="Times New Roman"/>
          <w:sz w:val="24"/>
          <w:szCs w:val="24"/>
          <w:lang w:val="en-US"/>
        </w:rPr>
        <w:t>fixate on earnings</w:t>
      </w:r>
      <w:r w:rsidR="00CB1BBE">
        <w:rPr>
          <w:rFonts w:ascii="Times New Roman" w:hAnsi="Times New Roman"/>
          <w:sz w:val="24"/>
          <w:szCs w:val="24"/>
          <w:lang w:val="en-US"/>
        </w:rPr>
        <w:t xml:space="preserve"> and</w:t>
      </w:r>
      <w:r w:rsidR="00CB1BBE" w:rsidRPr="00F4226B">
        <w:rPr>
          <w:rFonts w:ascii="Times New Roman" w:hAnsi="Times New Roman"/>
          <w:sz w:val="24"/>
          <w:szCs w:val="24"/>
          <w:lang w:val="en-US"/>
        </w:rPr>
        <w:t xml:space="preserve"> ignor</w:t>
      </w:r>
      <w:r w:rsidR="00CB1BBE">
        <w:rPr>
          <w:rFonts w:ascii="Times New Roman" w:hAnsi="Times New Roman"/>
          <w:sz w:val="24"/>
          <w:szCs w:val="24"/>
          <w:lang w:val="en-US"/>
        </w:rPr>
        <w:t>e</w:t>
      </w:r>
      <w:r w:rsidR="00CB1BBE" w:rsidRPr="00F4226B">
        <w:rPr>
          <w:rFonts w:ascii="Times New Roman" w:hAnsi="Times New Roman"/>
          <w:sz w:val="24"/>
          <w:szCs w:val="24"/>
          <w:lang w:val="en-US"/>
        </w:rPr>
        <w:t xml:space="preserve"> </w:t>
      </w:r>
      <w:r w:rsidR="009D5F66" w:rsidRPr="00F4226B">
        <w:rPr>
          <w:rFonts w:ascii="Times New Roman" w:hAnsi="Times New Roman"/>
          <w:sz w:val="24"/>
          <w:szCs w:val="24"/>
          <w:lang w:val="en-US"/>
        </w:rPr>
        <w:t xml:space="preserve">the value of </w:t>
      </w:r>
      <w:r w:rsidRPr="00F4226B">
        <w:rPr>
          <w:rFonts w:ascii="Times New Roman" w:hAnsi="Times New Roman"/>
          <w:sz w:val="24"/>
          <w:szCs w:val="24"/>
          <w:lang w:val="en-US"/>
        </w:rPr>
        <w:t xml:space="preserve">inflation gains and losses in nonmonetary assets </w:t>
      </w:r>
      <w:r w:rsidR="00CB1BBE">
        <w:rPr>
          <w:rFonts w:ascii="Times New Roman" w:hAnsi="Times New Roman"/>
          <w:sz w:val="24"/>
          <w:szCs w:val="24"/>
          <w:lang w:val="en-US"/>
        </w:rPr>
        <w:t xml:space="preserve">but they </w:t>
      </w:r>
      <w:r w:rsidRPr="00F4226B">
        <w:rPr>
          <w:rFonts w:ascii="Times New Roman" w:hAnsi="Times New Roman"/>
          <w:sz w:val="24"/>
          <w:szCs w:val="24"/>
          <w:lang w:val="en-US"/>
        </w:rPr>
        <w:t xml:space="preserve">find the gains and losses informative under the IA system. This </w:t>
      </w:r>
      <w:r w:rsidR="008F203B" w:rsidRPr="00F4226B">
        <w:rPr>
          <w:rFonts w:ascii="Times New Roman" w:hAnsi="Times New Roman"/>
          <w:sz w:val="24"/>
          <w:szCs w:val="24"/>
          <w:lang w:val="en-US"/>
        </w:rPr>
        <w:t>implies</w:t>
      </w:r>
      <w:r w:rsidRPr="00F4226B">
        <w:rPr>
          <w:rFonts w:ascii="Times New Roman" w:hAnsi="Times New Roman"/>
          <w:sz w:val="24"/>
          <w:szCs w:val="24"/>
          <w:lang w:val="en-US"/>
        </w:rPr>
        <w:t xml:space="preserve"> </w:t>
      </w:r>
      <w:r w:rsidR="00552909" w:rsidRPr="00F4226B">
        <w:rPr>
          <w:rFonts w:ascii="Times New Roman" w:hAnsi="Times New Roman"/>
          <w:sz w:val="24"/>
          <w:szCs w:val="24"/>
          <w:lang w:val="en-US"/>
        </w:rPr>
        <w:t>that</w:t>
      </w:r>
      <w:r w:rsidR="00F12370">
        <w:rPr>
          <w:rFonts w:ascii="Times New Roman" w:hAnsi="Times New Roman"/>
          <w:sz w:val="24"/>
          <w:szCs w:val="24"/>
          <w:lang w:val="en-US"/>
        </w:rPr>
        <w:t>,</w:t>
      </w:r>
      <w:r w:rsidR="00552909"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when IA data </w:t>
      </w:r>
      <w:r w:rsidR="00CB1BBE">
        <w:rPr>
          <w:rFonts w:ascii="Times New Roman" w:hAnsi="Times New Roman"/>
          <w:sz w:val="24"/>
          <w:szCs w:val="24"/>
          <w:lang w:val="en-US"/>
        </w:rPr>
        <w:t>are</w:t>
      </w:r>
      <w:r w:rsidR="00CB1BBE"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not available, investors fail to incorporate the information, possibly because inflation affects accounting amounts in complex and unfamiliar ways (Beaver and Landsman 1983).   </w:t>
      </w:r>
    </w:p>
    <w:p w14:paraId="1C9CA9FD" w14:textId="3D792D2E" w:rsidR="00CA1D61" w:rsidRPr="00F4226B" w:rsidRDefault="00CA1D61" w:rsidP="00CA1D61">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Finally, while our analyses show that both HC and IA amounts have valuation implications, HC amounts appear to </w:t>
      </w:r>
      <w:r w:rsidR="00552909" w:rsidRPr="00F4226B">
        <w:rPr>
          <w:rFonts w:ascii="Times New Roman" w:hAnsi="Times New Roman"/>
          <w:sz w:val="24"/>
          <w:szCs w:val="24"/>
          <w:lang w:val="en-US"/>
        </w:rPr>
        <w:t xml:space="preserve">be </w:t>
      </w:r>
      <w:r w:rsidRPr="00F4226B">
        <w:rPr>
          <w:rFonts w:ascii="Times New Roman" w:hAnsi="Times New Roman"/>
          <w:sz w:val="24"/>
          <w:szCs w:val="24"/>
          <w:lang w:val="en-US"/>
        </w:rPr>
        <w:t>more value relevan</w:t>
      </w:r>
      <w:r w:rsidR="00552909" w:rsidRPr="00F4226B">
        <w:rPr>
          <w:rFonts w:ascii="Times New Roman" w:hAnsi="Times New Roman"/>
          <w:sz w:val="24"/>
          <w:szCs w:val="24"/>
          <w:lang w:val="en-US"/>
        </w:rPr>
        <w:t>t</w:t>
      </w:r>
      <w:r w:rsidRPr="00F4226B">
        <w:rPr>
          <w:rFonts w:ascii="Times New Roman" w:hAnsi="Times New Roman"/>
          <w:sz w:val="24"/>
          <w:szCs w:val="24"/>
          <w:lang w:val="en-US"/>
        </w:rPr>
        <w:t xml:space="preserve">. One explanation for the greater value relevance of HC amounts may lie in their ability to help investors </w:t>
      </w:r>
      <w:r w:rsidR="00CB1BBE">
        <w:rPr>
          <w:rFonts w:ascii="Times New Roman" w:hAnsi="Times New Roman"/>
          <w:sz w:val="24"/>
          <w:szCs w:val="24"/>
          <w:lang w:val="en-US"/>
        </w:rPr>
        <w:t xml:space="preserve">predict </w:t>
      </w:r>
      <w:r w:rsidRPr="00F4226B">
        <w:rPr>
          <w:rFonts w:ascii="Times New Roman" w:hAnsi="Times New Roman"/>
          <w:sz w:val="24"/>
          <w:szCs w:val="24"/>
          <w:lang w:val="en-US"/>
        </w:rPr>
        <w:t xml:space="preserve">future economic outcomes in </w:t>
      </w:r>
      <w:r w:rsidRPr="00F4226B">
        <w:rPr>
          <w:rFonts w:ascii="Times New Roman" w:hAnsi="Times New Roman"/>
          <w:sz w:val="24"/>
          <w:szCs w:val="24"/>
          <w:lang w:val="en-US"/>
        </w:rPr>
        <w:lastRenderedPageBreak/>
        <w:t>the valuation of equity (e.g., Barth et al. 2001; Curtis et al. 2015).</w:t>
      </w:r>
      <w:r w:rsidR="000244A5" w:rsidRPr="00F4226B">
        <w:rPr>
          <w:rFonts w:ascii="Times New Roman" w:hAnsi="Times New Roman"/>
          <w:sz w:val="24"/>
          <w:szCs w:val="24"/>
          <w:lang w:val="en-US"/>
        </w:rPr>
        <w:t xml:space="preserve"> Accordingly, w</w:t>
      </w:r>
      <w:r w:rsidRPr="00F4226B">
        <w:rPr>
          <w:rFonts w:ascii="Times New Roman" w:hAnsi="Times New Roman"/>
          <w:sz w:val="24"/>
          <w:szCs w:val="24"/>
          <w:lang w:val="en-US"/>
        </w:rPr>
        <w:t xml:space="preserve">e test </w:t>
      </w:r>
      <w:r w:rsidR="00CA531B" w:rsidRPr="00F4226B">
        <w:rPr>
          <w:rFonts w:ascii="Times New Roman" w:hAnsi="Times New Roman"/>
          <w:sz w:val="24"/>
          <w:szCs w:val="24"/>
          <w:lang w:val="en-US"/>
        </w:rPr>
        <w:t xml:space="preserve">for </w:t>
      </w:r>
      <w:r w:rsidRPr="00F4226B">
        <w:rPr>
          <w:rFonts w:ascii="Times New Roman" w:hAnsi="Times New Roman"/>
          <w:sz w:val="24"/>
          <w:szCs w:val="24"/>
          <w:lang w:val="en-US"/>
        </w:rPr>
        <w:t xml:space="preserve">the relative power of the HC and IA amounts in </w:t>
      </w:r>
      <w:r w:rsidR="007E728E" w:rsidRPr="00F4226B">
        <w:rPr>
          <w:rFonts w:ascii="Times New Roman" w:hAnsi="Times New Roman"/>
          <w:sz w:val="24"/>
          <w:szCs w:val="24"/>
          <w:lang w:val="en-US"/>
        </w:rPr>
        <w:t>predicting</w:t>
      </w:r>
      <w:r w:rsidRPr="00F4226B">
        <w:rPr>
          <w:rFonts w:ascii="Times New Roman" w:hAnsi="Times New Roman"/>
          <w:sz w:val="24"/>
          <w:szCs w:val="24"/>
          <w:lang w:val="en-US"/>
        </w:rPr>
        <w:t xml:space="preserve"> future cash flows from operations. Our </w:t>
      </w:r>
      <w:r w:rsidR="00CA531B" w:rsidRPr="00F4226B">
        <w:rPr>
          <w:rFonts w:ascii="Times New Roman" w:hAnsi="Times New Roman"/>
          <w:sz w:val="24"/>
          <w:szCs w:val="24"/>
          <w:lang w:val="en-US"/>
        </w:rPr>
        <w:t xml:space="preserve">results </w:t>
      </w:r>
      <w:r w:rsidRPr="00F4226B">
        <w:rPr>
          <w:rFonts w:ascii="Times New Roman" w:hAnsi="Times New Roman"/>
          <w:sz w:val="24"/>
          <w:szCs w:val="24"/>
          <w:lang w:val="en-US"/>
        </w:rPr>
        <w:t>show that current HC earnings and cash flows better predict</w:t>
      </w:r>
      <w:r w:rsidR="00F12370">
        <w:rPr>
          <w:rFonts w:ascii="Times New Roman" w:hAnsi="Times New Roman"/>
          <w:sz w:val="24"/>
          <w:szCs w:val="24"/>
          <w:lang w:val="en-US"/>
        </w:rPr>
        <w:t xml:space="preserve"> </w:t>
      </w:r>
      <w:r w:rsidRPr="00F4226B">
        <w:rPr>
          <w:rFonts w:ascii="Times New Roman" w:hAnsi="Times New Roman"/>
          <w:sz w:val="24"/>
          <w:szCs w:val="24"/>
          <w:lang w:val="en-US"/>
        </w:rPr>
        <w:t>future cash flows than current IA earnings and cash flows.</w:t>
      </w:r>
      <w:r w:rsidR="00CA531B" w:rsidRPr="00F4226B">
        <w:rPr>
          <w:rFonts w:ascii="Times New Roman" w:hAnsi="Times New Roman"/>
          <w:sz w:val="24"/>
          <w:szCs w:val="24"/>
          <w:lang w:val="en-US"/>
        </w:rPr>
        <w:t xml:space="preserve"> Hence it appears that </w:t>
      </w:r>
      <w:r w:rsidR="00D6628D" w:rsidRPr="00F4226B">
        <w:rPr>
          <w:rFonts w:ascii="Times New Roman" w:hAnsi="Times New Roman"/>
          <w:sz w:val="24"/>
          <w:szCs w:val="24"/>
          <w:lang w:val="en-US"/>
        </w:rPr>
        <w:t>the reason why</w:t>
      </w:r>
      <w:r w:rsidR="00541381" w:rsidRPr="00F4226B">
        <w:rPr>
          <w:rFonts w:ascii="Times New Roman" w:hAnsi="Times New Roman"/>
          <w:sz w:val="24"/>
          <w:szCs w:val="24"/>
          <w:lang w:val="en-US"/>
        </w:rPr>
        <w:t xml:space="preserve"> investors price HC </w:t>
      </w:r>
      <w:r w:rsidR="00A22017">
        <w:rPr>
          <w:rFonts w:ascii="Times New Roman" w:hAnsi="Times New Roman"/>
          <w:sz w:val="24"/>
          <w:szCs w:val="24"/>
          <w:lang w:val="en-US"/>
        </w:rPr>
        <w:t xml:space="preserve">amounts </w:t>
      </w:r>
      <w:r w:rsidR="00541381" w:rsidRPr="00F4226B">
        <w:rPr>
          <w:rFonts w:ascii="Times New Roman" w:hAnsi="Times New Roman"/>
          <w:sz w:val="24"/>
          <w:szCs w:val="24"/>
          <w:lang w:val="en-US"/>
        </w:rPr>
        <w:t>better than IA amounts</w:t>
      </w:r>
      <w:r w:rsidR="00363D72" w:rsidRPr="00F4226B">
        <w:rPr>
          <w:rFonts w:ascii="Times New Roman" w:hAnsi="Times New Roman"/>
          <w:sz w:val="24"/>
          <w:szCs w:val="24"/>
          <w:lang w:val="en-US"/>
        </w:rPr>
        <w:t xml:space="preserve"> is that HC amounts </w:t>
      </w:r>
      <w:r w:rsidR="000244A5" w:rsidRPr="00F4226B">
        <w:rPr>
          <w:rFonts w:ascii="Times New Roman" w:hAnsi="Times New Roman"/>
          <w:sz w:val="24"/>
          <w:szCs w:val="24"/>
          <w:lang w:val="en-US"/>
        </w:rPr>
        <w:t xml:space="preserve">are more informative in </w:t>
      </w:r>
      <w:r w:rsidR="00363D72" w:rsidRPr="00F4226B">
        <w:rPr>
          <w:rFonts w:ascii="Times New Roman" w:hAnsi="Times New Roman"/>
          <w:sz w:val="24"/>
          <w:szCs w:val="24"/>
          <w:lang w:val="en-US"/>
        </w:rPr>
        <w:t>predicti</w:t>
      </w:r>
      <w:r w:rsidR="000244A5" w:rsidRPr="00F4226B">
        <w:rPr>
          <w:rFonts w:ascii="Times New Roman" w:hAnsi="Times New Roman"/>
          <w:sz w:val="24"/>
          <w:szCs w:val="24"/>
          <w:lang w:val="en-US"/>
        </w:rPr>
        <w:t>ng</w:t>
      </w:r>
      <w:r w:rsidR="00363D72" w:rsidRPr="00F4226B">
        <w:rPr>
          <w:rFonts w:ascii="Times New Roman" w:hAnsi="Times New Roman"/>
          <w:sz w:val="24"/>
          <w:szCs w:val="24"/>
          <w:lang w:val="en-US"/>
        </w:rPr>
        <w:t xml:space="preserve"> future cash flows.</w:t>
      </w:r>
      <w:r w:rsidR="00541381" w:rsidRPr="00F4226B">
        <w:rPr>
          <w:rFonts w:ascii="Times New Roman" w:hAnsi="Times New Roman"/>
          <w:sz w:val="24"/>
          <w:szCs w:val="24"/>
          <w:lang w:val="en-US"/>
        </w:rPr>
        <w:t xml:space="preserve"> </w:t>
      </w:r>
    </w:p>
    <w:p w14:paraId="281B1177" w14:textId="72928CC8" w:rsidR="00907FEE" w:rsidRPr="00F4226B" w:rsidRDefault="004646FE" w:rsidP="00B65561">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 </w:t>
      </w:r>
      <w:r w:rsidR="004F7E1A">
        <w:rPr>
          <w:rFonts w:ascii="Times New Roman" w:hAnsi="Times New Roman"/>
          <w:sz w:val="24"/>
          <w:szCs w:val="24"/>
          <w:lang w:val="en-US"/>
        </w:rPr>
        <w:t>Our study</w:t>
      </w:r>
      <w:r w:rsidR="004F7E1A" w:rsidRPr="00F4226B">
        <w:rPr>
          <w:rFonts w:ascii="Times New Roman" w:hAnsi="Times New Roman"/>
          <w:sz w:val="24"/>
          <w:szCs w:val="24"/>
          <w:lang w:val="en-US"/>
        </w:rPr>
        <w:t xml:space="preserve"> </w:t>
      </w:r>
      <w:r w:rsidR="00217746" w:rsidRPr="00F4226B">
        <w:rPr>
          <w:rFonts w:ascii="Times New Roman" w:hAnsi="Times New Roman"/>
          <w:sz w:val="24"/>
          <w:szCs w:val="24"/>
          <w:lang w:val="en-US"/>
        </w:rPr>
        <w:t>contribute</w:t>
      </w:r>
      <w:r w:rsidR="004F7E1A">
        <w:rPr>
          <w:rFonts w:ascii="Times New Roman" w:hAnsi="Times New Roman"/>
          <w:sz w:val="24"/>
          <w:szCs w:val="24"/>
          <w:lang w:val="en-US"/>
        </w:rPr>
        <w:t>s</w:t>
      </w:r>
      <w:r w:rsidR="00217746" w:rsidRPr="00F4226B">
        <w:rPr>
          <w:rFonts w:ascii="Times New Roman" w:hAnsi="Times New Roman"/>
          <w:sz w:val="24"/>
          <w:szCs w:val="24"/>
          <w:lang w:val="en-US"/>
        </w:rPr>
        <w:t xml:space="preserve"> to the literature in a number of ways. </w:t>
      </w:r>
      <w:r w:rsidR="00A938AC" w:rsidRPr="00F4226B">
        <w:rPr>
          <w:rFonts w:ascii="Times New Roman" w:hAnsi="Times New Roman"/>
          <w:sz w:val="24"/>
          <w:szCs w:val="24"/>
          <w:lang w:val="en-US"/>
        </w:rPr>
        <w:t xml:space="preserve">First, </w:t>
      </w:r>
      <w:r w:rsidR="004F7E1A">
        <w:rPr>
          <w:rFonts w:ascii="Times New Roman" w:hAnsi="Times New Roman"/>
          <w:sz w:val="24"/>
          <w:szCs w:val="24"/>
          <w:lang w:val="en-US"/>
        </w:rPr>
        <w:t>it</w:t>
      </w:r>
      <w:r w:rsidR="00A938AC" w:rsidRPr="00F4226B">
        <w:rPr>
          <w:rFonts w:ascii="Times New Roman" w:hAnsi="Times New Roman"/>
          <w:sz w:val="24"/>
          <w:szCs w:val="24"/>
          <w:lang w:val="en-US"/>
        </w:rPr>
        <w:t xml:space="preserve"> </w:t>
      </w:r>
      <w:r w:rsidR="0093579E" w:rsidRPr="00F4226B">
        <w:rPr>
          <w:rFonts w:ascii="Times New Roman" w:hAnsi="Times New Roman"/>
          <w:sz w:val="24"/>
          <w:szCs w:val="24"/>
          <w:lang w:val="en-US"/>
        </w:rPr>
        <w:t>contribut</w:t>
      </w:r>
      <w:r w:rsidR="00777260" w:rsidRPr="00F4226B">
        <w:rPr>
          <w:rFonts w:ascii="Times New Roman" w:hAnsi="Times New Roman"/>
          <w:sz w:val="24"/>
          <w:szCs w:val="24"/>
          <w:lang w:val="en-US"/>
        </w:rPr>
        <w:t>e</w:t>
      </w:r>
      <w:r w:rsidR="00A938AC" w:rsidRPr="00F4226B">
        <w:rPr>
          <w:rFonts w:ascii="Times New Roman" w:hAnsi="Times New Roman"/>
          <w:sz w:val="24"/>
          <w:szCs w:val="24"/>
          <w:lang w:val="en-US"/>
        </w:rPr>
        <w:t>s</w:t>
      </w:r>
      <w:r w:rsidR="00777260" w:rsidRPr="00F4226B">
        <w:rPr>
          <w:rFonts w:ascii="Times New Roman" w:hAnsi="Times New Roman"/>
          <w:sz w:val="24"/>
          <w:szCs w:val="24"/>
          <w:lang w:val="en-US"/>
        </w:rPr>
        <w:t xml:space="preserve"> to </w:t>
      </w:r>
      <w:r w:rsidR="00A938AC" w:rsidRPr="00F4226B">
        <w:rPr>
          <w:rFonts w:ascii="Times New Roman" w:hAnsi="Times New Roman"/>
          <w:sz w:val="24"/>
          <w:szCs w:val="24"/>
          <w:lang w:val="en-US"/>
        </w:rPr>
        <w:t xml:space="preserve">prior inflation accounting research </w:t>
      </w:r>
      <w:r w:rsidR="004F7E1A" w:rsidRPr="00111D3F">
        <w:rPr>
          <w:rFonts w:ascii="Times New Roman" w:hAnsi="Times New Roman"/>
          <w:sz w:val="24"/>
          <w:szCs w:val="24"/>
          <w:lang w:val="en-US"/>
        </w:rPr>
        <w:t>that shows</w:t>
      </w:r>
      <w:r w:rsidR="004F7E1A" w:rsidRPr="00F4226B">
        <w:rPr>
          <w:rFonts w:ascii="Times New Roman" w:hAnsi="Times New Roman"/>
          <w:sz w:val="24"/>
          <w:szCs w:val="24"/>
          <w:lang w:val="en-US"/>
        </w:rPr>
        <w:t xml:space="preserve"> </w:t>
      </w:r>
      <w:r w:rsidR="00A938AC" w:rsidRPr="00F4226B">
        <w:rPr>
          <w:rFonts w:ascii="Times New Roman" w:hAnsi="Times New Roman"/>
          <w:sz w:val="24"/>
          <w:szCs w:val="24"/>
          <w:lang w:val="en-US"/>
        </w:rPr>
        <w:t>that</w:t>
      </w:r>
      <w:r w:rsidR="00F12370">
        <w:rPr>
          <w:rFonts w:ascii="Times New Roman" w:hAnsi="Times New Roman"/>
          <w:sz w:val="24"/>
          <w:szCs w:val="24"/>
          <w:lang w:val="en-US"/>
        </w:rPr>
        <w:t>,</w:t>
      </w:r>
      <w:r w:rsidR="00A938AC" w:rsidRPr="00F4226B">
        <w:rPr>
          <w:rFonts w:ascii="Times New Roman" w:hAnsi="Times New Roman"/>
          <w:sz w:val="24"/>
          <w:szCs w:val="24"/>
          <w:lang w:val="en-US"/>
        </w:rPr>
        <w:t xml:space="preserve"> even during a period </w:t>
      </w:r>
      <w:r w:rsidR="001154D1">
        <w:rPr>
          <w:rFonts w:ascii="Times New Roman" w:hAnsi="Times New Roman"/>
          <w:sz w:val="24"/>
          <w:szCs w:val="24"/>
          <w:lang w:val="en-US"/>
        </w:rPr>
        <w:t>in</w:t>
      </w:r>
      <w:r w:rsidR="001154D1" w:rsidRPr="00F4226B">
        <w:rPr>
          <w:rFonts w:ascii="Times New Roman" w:hAnsi="Times New Roman"/>
          <w:sz w:val="24"/>
          <w:szCs w:val="24"/>
          <w:lang w:val="en-US"/>
        </w:rPr>
        <w:t xml:space="preserve"> </w:t>
      </w:r>
      <w:r w:rsidR="00A938AC" w:rsidRPr="00F4226B">
        <w:rPr>
          <w:rFonts w:ascii="Times New Roman" w:hAnsi="Times New Roman"/>
          <w:sz w:val="24"/>
          <w:szCs w:val="24"/>
          <w:lang w:val="en-US"/>
        </w:rPr>
        <w:t xml:space="preserve">which inflation is relatively low, IA accounting information has substantial economic consequences </w:t>
      </w:r>
      <w:r w:rsidR="001154D1">
        <w:rPr>
          <w:rFonts w:ascii="Times New Roman" w:hAnsi="Times New Roman"/>
          <w:sz w:val="24"/>
          <w:szCs w:val="24"/>
          <w:lang w:val="en-US"/>
        </w:rPr>
        <w:t>for</w:t>
      </w:r>
      <w:r w:rsidR="00A938AC" w:rsidRPr="00F4226B">
        <w:rPr>
          <w:rFonts w:ascii="Times New Roman" w:hAnsi="Times New Roman"/>
          <w:sz w:val="24"/>
          <w:szCs w:val="24"/>
          <w:lang w:val="en-US"/>
        </w:rPr>
        <w:t xml:space="preserve"> predicting future cash flows and stock valuation</w:t>
      </w:r>
      <w:r w:rsidR="00BF1E77" w:rsidRPr="00F4226B">
        <w:rPr>
          <w:rFonts w:ascii="Times New Roman" w:hAnsi="Times New Roman"/>
          <w:sz w:val="24"/>
          <w:szCs w:val="24"/>
          <w:lang w:val="en-US"/>
        </w:rPr>
        <w:t xml:space="preserve">. </w:t>
      </w:r>
      <w:r w:rsidR="00A938AC" w:rsidRPr="00F4226B">
        <w:rPr>
          <w:rFonts w:ascii="Times New Roman" w:hAnsi="Times New Roman"/>
          <w:sz w:val="24"/>
          <w:szCs w:val="24"/>
          <w:lang w:val="en-US"/>
        </w:rPr>
        <w:t xml:space="preserve">It does so </w:t>
      </w:r>
      <w:r w:rsidR="004F7E1A">
        <w:rPr>
          <w:rFonts w:ascii="Times New Roman" w:hAnsi="Times New Roman"/>
          <w:sz w:val="24"/>
          <w:szCs w:val="24"/>
          <w:lang w:val="en-US"/>
        </w:rPr>
        <w:t>by providing</w:t>
      </w:r>
      <w:r w:rsidR="00A938AC" w:rsidRPr="00F4226B">
        <w:rPr>
          <w:rFonts w:ascii="Times New Roman" w:hAnsi="Times New Roman"/>
          <w:sz w:val="24"/>
          <w:szCs w:val="24"/>
          <w:lang w:val="en-US"/>
        </w:rPr>
        <w:t xml:space="preserve"> evidence (a)</w:t>
      </w:r>
      <w:r w:rsidR="004F7E1A">
        <w:rPr>
          <w:rFonts w:ascii="Times New Roman" w:hAnsi="Times New Roman"/>
          <w:sz w:val="24"/>
          <w:szCs w:val="24"/>
          <w:lang w:val="en-US"/>
        </w:rPr>
        <w:t xml:space="preserve"> </w:t>
      </w:r>
      <w:r w:rsidR="001154D1">
        <w:rPr>
          <w:rFonts w:ascii="Times New Roman" w:hAnsi="Times New Roman"/>
          <w:sz w:val="24"/>
          <w:szCs w:val="24"/>
          <w:lang w:val="en-US"/>
        </w:rPr>
        <w:t xml:space="preserve">that </w:t>
      </w:r>
      <w:r w:rsidR="004F7E1A">
        <w:rPr>
          <w:rFonts w:ascii="Times New Roman" w:hAnsi="Times New Roman"/>
          <w:sz w:val="24"/>
          <w:szCs w:val="24"/>
          <w:lang w:val="en-US"/>
        </w:rPr>
        <w:t xml:space="preserve">is </w:t>
      </w:r>
      <w:r w:rsidR="00A938AC" w:rsidRPr="00F4226B">
        <w:rPr>
          <w:rFonts w:ascii="Times New Roman" w:hAnsi="Times New Roman"/>
          <w:sz w:val="24"/>
          <w:szCs w:val="24"/>
          <w:lang w:val="en-US"/>
        </w:rPr>
        <w:t>consistent with research regarding the benefits of IA amounts</w:t>
      </w:r>
      <w:r w:rsidR="00F71B21" w:rsidRPr="00F4226B">
        <w:rPr>
          <w:rFonts w:ascii="Times New Roman" w:hAnsi="Times New Roman"/>
          <w:sz w:val="24"/>
          <w:szCs w:val="24"/>
          <w:lang w:val="en-US"/>
        </w:rPr>
        <w:t xml:space="preserve"> (e.g., Konchitchki 2011)</w:t>
      </w:r>
      <w:r w:rsidR="00A938AC" w:rsidRPr="00F4226B">
        <w:rPr>
          <w:rFonts w:ascii="Times New Roman" w:hAnsi="Times New Roman"/>
          <w:sz w:val="24"/>
          <w:szCs w:val="24"/>
          <w:lang w:val="en-US"/>
        </w:rPr>
        <w:t xml:space="preserve"> and (b)</w:t>
      </w:r>
      <w:r w:rsidR="004F7E1A">
        <w:rPr>
          <w:rFonts w:ascii="Times New Roman" w:hAnsi="Times New Roman"/>
          <w:sz w:val="24"/>
          <w:szCs w:val="24"/>
          <w:lang w:val="en-US"/>
        </w:rPr>
        <w:t xml:space="preserve"> </w:t>
      </w:r>
      <w:r w:rsidR="001154D1">
        <w:rPr>
          <w:rFonts w:ascii="Times New Roman" w:hAnsi="Times New Roman"/>
          <w:sz w:val="24"/>
          <w:szCs w:val="24"/>
          <w:lang w:val="en-US"/>
        </w:rPr>
        <w:t xml:space="preserve">that </w:t>
      </w:r>
      <w:r w:rsidR="004F7E1A">
        <w:rPr>
          <w:rFonts w:ascii="Times New Roman" w:hAnsi="Times New Roman"/>
          <w:sz w:val="24"/>
          <w:szCs w:val="24"/>
          <w:lang w:val="en-US"/>
        </w:rPr>
        <w:t xml:space="preserve">indicates </w:t>
      </w:r>
      <w:r w:rsidR="00A938AC" w:rsidRPr="00F4226B">
        <w:rPr>
          <w:rFonts w:ascii="Times New Roman" w:hAnsi="Times New Roman"/>
          <w:sz w:val="24"/>
          <w:szCs w:val="24"/>
          <w:lang w:val="en-US"/>
        </w:rPr>
        <w:lastRenderedPageBreak/>
        <w:t>that the value relevance of IA amounts increases with inflation rates</w:t>
      </w:r>
      <w:r w:rsidR="00F71B21" w:rsidRPr="00F4226B">
        <w:rPr>
          <w:rFonts w:ascii="Times New Roman" w:hAnsi="Times New Roman"/>
          <w:sz w:val="24"/>
          <w:szCs w:val="24"/>
          <w:lang w:val="en-US"/>
        </w:rPr>
        <w:t xml:space="preserve"> (e.g., Ashton et al. 2011)</w:t>
      </w:r>
      <w:r w:rsidR="00A938AC" w:rsidRPr="00F4226B">
        <w:rPr>
          <w:rFonts w:ascii="Times New Roman" w:hAnsi="Times New Roman"/>
          <w:sz w:val="24"/>
          <w:szCs w:val="24"/>
          <w:lang w:val="en-US"/>
        </w:rPr>
        <w:t xml:space="preserve">. </w:t>
      </w:r>
      <w:r w:rsidR="00AB03DA" w:rsidRPr="00F4226B">
        <w:rPr>
          <w:rFonts w:ascii="Times New Roman" w:hAnsi="Times New Roman"/>
          <w:sz w:val="24"/>
          <w:szCs w:val="24"/>
          <w:lang w:val="en-US"/>
        </w:rPr>
        <w:t xml:space="preserve">Second, </w:t>
      </w:r>
      <w:r w:rsidR="009A7E40" w:rsidRPr="00F4226B">
        <w:rPr>
          <w:rFonts w:ascii="Times New Roman" w:hAnsi="Times New Roman"/>
          <w:sz w:val="24"/>
          <w:szCs w:val="24"/>
          <w:lang w:val="en-US"/>
        </w:rPr>
        <w:t>f</w:t>
      </w:r>
      <w:r w:rsidR="00187DA6" w:rsidRPr="00F4226B">
        <w:rPr>
          <w:rFonts w:ascii="Times New Roman" w:hAnsi="Times New Roman"/>
          <w:sz w:val="24"/>
          <w:szCs w:val="24"/>
          <w:lang w:val="en-US"/>
        </w:rPr>
        <w:t xml:space="preserve">or the first time, we provide </w:t>
      </w:r>
      <w:r w:rsidR="008B33DF" w:rsidRPr="00F4226B">
        <w:rPr>
          <w:rFonts w:ascii="Times New Roman" w:hAnsi="Times New Roman"/>
          <w:sz w:val="24"/>
          <w:szCs w:val="24"/>
          <w:lang w:val="en-US"/>
        </w:rPr>
        <w:t xml:space="preserve">evidence </w:t>
      </w:r>
      <w:r w:rsidR="008132BF" w:rsidRPr="00F4226B">
        <w:rPr>
          <w:rFonts w:ascii="Times New Roman" w:hAnsi="Times New Roman"/>
          <w:sz w:val="24"/>
          <w:szCs w:val="24"/>
          <w:lang w:val="en-US"/>
        </w:rPr>
        <w:t xml:space="preserve">that investors attach </w:t>
      </w:r>
      <w:r w:rsidR="008B33DF" w:rsidRPr="00F4226B">
        <w:rPr>
          <w:rFonts w:ascii="Times New Roman" w:hAnsi="Times New Roman"/>
          <w:sz w:val="24"/>
          <w:szCs w:val="24"/>
          <w:lang w:val="en-US"/>
        </w:rPr>
        <w:t xml:space="preserve">greater value </w:t>
      </w:r>
      <w:r w:rsidR="004F7E1A">
        <w:rPr>
          <w:rFonts w:ascii="Times New Roman" w:hAnsi="Times New Roman"/>
          <w:sz w:val="24"/>
          <w:szCs w:val="24"/>
          <w:lang w:val="en-US"/>
        </w:rPr>
        <w:t>to</w:t>
      </w:r>
      <w:r w:rsidR="004F7E1A" w:rsidRPr="00F4226B">
        <w:rPr>
          <w:rFonts w:ascii="Times New Roman" w:hAnsi="Times New Roman"/>
          <w:sz w:val="24"/>
          <w:szCs w:val="24"/>
          <w:lang w:val="en-US"/>
        </w:rPr>
        <w:t xml:space="preserve"> </w:t>
      </w:r>
      <w:r w:rsidR="008132BF" w:rsidRPr="00F4226B">
        <w:rPr>
          <w:rFonts w:ascii="Times New Roman" w:hAnsi="Times New Roman"/>
          <w:sz w:val="24"/>
          <w:szCs w:val="24"/>
          <w:lang w:val="en-US"/>
        </w:rPr>
        <w:t xml:space="preserve">HC </w:t>
      </w:r>
      <w:r w:rsidR="004F7E1A">
        <w:rPr>
          <w:rFonts w:ascii="Times New Roman" w:hAnsi="Times New Roman"/>
          <w:sz w:val="24"/>
          <w:szCs w:val="24"/>
          <w:lang w:val="en-US"/>
        </w:rPr>
        <w:t xml:space="preserve">amounts than </w:t>
      </w:r>
      <w:r w:rsidR="008132BF" w:rsidRPr="00F4226B">
        <w:rPr>
          <w:rFonts w:ascii="Times New Roman" w:hAnsi="Times New Roman"/>
          <w:sz w:val="24"/>
          <w:szCs w:val="24"/>
          <w:lang w:val="en-US"/>
        </w:rPr>
        <w:t xml:space="preserve">to </w:t>
      </w:r>
      <w:r w:rsidR="008B33DF" w:rsidRPr="00F4226B">
        <w:rPr>
          <w:rFonts w:ascii="Times New Roman" w:hAnsi="Times New Roman"/>
          <w:sz w:val="24"/>
          <w:szCs w:val="24"/>
          <w:lang w:val="en-US"/>
        </w:rPr>
        <w:t xml:space="preserve">IA amounts in </w:t>
      </w:r>
      <w:r w:rsidR="004F7E1A">
        <w:rPr>
          <w:rFonts w:ascii="Times New Roman" w:hAnsi="Times New Roman"/>
          <w:sz w:val="24"/>
          <w:szCs w:val="24"/>
          <w:lang w:val="en-US"/>
        </w:rPr>
        <w:t xml:space="preserve">a </w:t>
      </w:r>
      <w:r w:rsidR="008B33DF" w:rsidRPr="00F4226B">
        <w:rPr>
          <w:rFonts w:ascii="Times New Roman" w:hAnsi="Times New Roman"/>
          <w:sz w:val="24"/>
          <w:szCs w:val="24"/>
          <w:lang w:val="en-US"/>
        </w:rPr>
        <w:t>relatively low inflation period</w:t>
      </w:r>
      <w:r w:rsidR="008132BF" w:rsidRPr="00F4226B">
        <w:rPr>
          <w:rFonts w:ascii="Times New Roman" w:hAnsi="Times New Roman"/>
          <w:sz w:val="24"/>
          <w:szCs w:val="24"/>
          <w:lang w:val="en-US"/>
        </w:rPr>
        <w:t xml:space="preserve"> but fail to distinguish between the two sets of amounts in </w:t>
      </w:r>
      <w:r w:rsidR="004F7E1A">
        <w:rPr>
          <w:rFonts w:ascii="Times New Roman" w:hAnsi="Times New Roman"/>
          <w:sz w:val="24"/>
          <w:szCs w:val="24"/>
          <w:lang w:val="en-US"/>
        </w:rPr>
        <w:t xml:space="preserve">a </w:t>
      </w:r>
      <w:r w:rsidR="008132BF" w:rsidRPr="00F4226B">
        <w:rPr>
          <w:rFonts w:ascii="Times New Roman" w:hAnsi="Times New Roman"/>
          <w:sz w:val="24"/>
          <w:szCs w:val="24"/>
          <w:lang w:val="en-US"/>
        </w:rPr>
        <w:t xml:space="preserve">relatively high inflation period. </w:t>
      </w:r>
      <w:r w:rsidR="009A7E40" w:rsidRPr="00F4226B">
        <w:rPr>
          <w:rFonts w:ascii="Times New Roman" w:hAnsi="Times New Roman"/>
          <w:sz w:val="24"/>
          <w:szCs w:val="24"/>
          <w:lang w:val="en-US"/>
        </w:rPr>
        <w:t xml:space="preserve">Third, </w:t>
      </w:r>
      <w:r w:rsidR="00187DA6" w:rsidRPr="00F4226B">
        <w:rPr>
          <w:rFonts w:ascii="Times New Roman" w:hAnsi="Times New Roman"/>
          <w:sz w:val="24"/>
          <w:szCs w:val="24"/>
          <w:lang w:val="en-US"/>
        </w:rPr>
        <w:t>we</w:t>
      </w:r>
      <w:r w:rsidR="001157C4" w:rsidRPr="00F4226B">
        <w:rPr>
          <w:rFonts w:ascii="Times New Roman" w:hAnsi="Times New Roman"/>
          <w:sz w:val="24"/>
          <w:szCs w:val="24"/>
          <w:lang w:val="en-US"/>
        </w:rPr>
        <w:t xml:space="preserve"> </w:t>
      </w:r>
      <w:r w:rsidR="009A7E40" w:rsidRPr="00F4226B">
        <w:rPr>
          <w:rFonts w:ascii="Times New Roman" w:hAnsi="Times New Roman"/>
          <w:sz w:val="24"/>
          <w:szCs w:val="24"/>
          <w:lang w:val="en-US"/>
        </w:rPr>
        <w:t xml:space="preserve">extend prior work by documenting </w:t>
      </w:r>
      <w:r w:rsidR="008132BF" w:rsidRPr="00F4226B">
        <w:rPr>
          <w:rFonts w:ascii="Times New Roman" w:hAnsi="Times New Roman"/>
          <w:sz w:val="24"/>
          <w:szCs w:val="24"/>
          <w:lang w:val="en-US"/>
        </w:rPr>
        <w:t xml:space="preserve">that </w:t>
      </w:r>
      <w:r w:rsidR="0065355B" w:rsidRPr="00F4226B">
        <w:rPr>
          <w:rFonts w:ascii="Times New Roman" w:hAnsi="Times New Roman"/>
          <w:sz w:val="24"/>
          <w:szCs w:val="24"/>
          <w:lang w:val="en-US"/>
        </w:rPr>
        <w:t xml:space="preserve">the differences in </w:t>
      </w:r>
      <w:r w:rsidR="004F7E1A">
        <w:rPr>
          <w:rFonts w:ascii="Times New Roman" w:hAnsi="Times New Roman"/>
          <w:sz w:val="24"/>
          <w:szCs w:val="24"/>
          <w:lang w:val="en-US"/>
        </w:rPr>
        <w:t xml:space="preserve">the </w:t>
      </w:r>
      <w:r w:rsidR="0065355B" w:rsidRPr="00F4226B">
        <w:rPr>
          <w:rFonts w:ascii="Times New Roman" w:hAnsi="Times New Roman"/>
          <w:sz w:val="24"/>
          <w:szCs w:val="24"/>
          <w:lang w:val="en-US"/>
        </w:rPr>
        <w:t xml:space="preserve">value relevance </w:t>
      </w:r>
      <w:r w:rsidR="004C0451" w:rsidRPr="00F4226B">
        <w:rPr>
          <w:rFonts w:ascii="Times New Roman" w:hAnsi="Times New Roman"/>
          <w:sz w:val="24"/>
          <w:szCs w:val="24"/>
          <w:lang w:val="en-US"/>
        </w:rPr>
        <w:t xml:space="preserve">of </w:t>
      </w:r>
      <w:r w:rsidR="009A7E40" w:rsidRPr="00F4226B">
        <w:rPr>
          <w:rFonts w:ascii="Times New Roman" w:hAnsi="Times New Roman"/>
          <w:sz w:val="24"/>
          <w:szCs w:val="24"/>
          <w:lang w:val="en-US"/>
        </w:rPr>
        <w:t xml:space="preserve">HC and IA </w:t>
      </w:r>
      <w:r w:rsidR="004C0451" w:rsidRPr="00F4226B">
        <w:rPr>
          <w:rFonts w:ascii="Times New Roman" w:hAnsi="Times New Roman"/>
          <w:sz w:val="24"/>
          <w:szCs w:val="24"/>
          <w:lang w:val="en-US"/>
        </w:rPr>
        <w:t xml:space="preserve">amounts </w:t>
      </w:r>
      <w:r w:rsidR="0065355B" w:rsidRPr="00F4226B">
        <w:rPr>
          <w:rFonts w:ascii="Times New Roman" w:hAnsi="Times New Roman"/>
          <w:sz w:val="24"/>
          <w:szCs w:val="24"/>
          <w:lang w:val="en-US"/>
        </w:rPr>
        <w:t>stem from the</w:t>
      </w:r>
      <w:r w:rsidR="004C0451" w:rsidRPr="00F4226B">
        <w:rPr>
          <w:rFonts w:ascii="Times New Roman" w:hAnsi="Times New Roman"/>
          <w:sz w:val="24"/>
          <w:szCs w:val="24"/>
          <w:lang w:val="en-US"/>
        </w:rPr>
        <w:t>ir</w:t>
      </w:r>
      <w:r w:rsidR="0065355B" w:rsidRPr="00F4226B">
        <w:rPr>
          <w:rFonts w:ascii="Times New Roman" w:hAnsi="Times New Roman"/>
          <w:sz w:val="24"/>
          <w:szCs w:val="24"/>
          <w:lang w:val="en-US"/>
        </w:rPr>
        <w:t xml:space="preserve"> ability to </w:t>
      </w:r>
      <w:r w:rsidR="00122394" w:rsidRPr="00F4226B">
        <w:rPr>
          <w:rFonts w:ascii="Times New Roman" w:hAnsi="Times New Roman"/>
          <w:sz w:val="24"/>
          <w:szCs w:val="24"/>
          <w:lang w:val="en-US"/>
        </w:rPr>
        <w:t xml:space="preserve">predict </w:t>
      </w:r>
      <w:r w:rsidR="00D429C4" w:rsidRPr="00F4226B">
        <w:rPr>
          <w:rFonts w:ascii="Times New Roman" w:hAnsi="Times New Roman"/>
          <w:sz w:val="24"/>
          <w:szCs w:val="24"/>
          <w:lang w:val="en-US"/>
        </w:rPr>
        <w:t xml:space="preserve">future cash </w:t>
      </w:r>
      <w:r w:rsidR="000C3E3A" w:rsidRPr="00F4226B">
        <w:rPr>
          <w:rFonts w:ascii="Times New Roman" w:hAnsi="Times New Roman"/>
          <w:sz w:val="24"/>
          <w:szCs w:val="24"/>
          <w:lang w:val="en-US"/>
        </w:rPr>
        <w:t>flow</w:t>
      </w:r>
      <w:r w:rsidR="00313776" w:rsidRPr="00F4226B">
        <w:rPr>
          <w:rFonts w:ascii="Times New Roman" w:hAnsi="Times New Roman"/>
          <w:sz w:val="24"/>
          <w:szCs w:val="24"/>
          <w:lang w:val="en-US"/>
        </w:rPr>
        <w:t>s</w:t>
      </w:r>
      <w:r w:rsidR="000C3E3A" w:rsidRPr="00F4226B">
        <w:rPr>
          <w:rFonts w:ascii="Times New Roman" w:hAnsi="Times New Roman"/>
          <w:sz w:val="24"/>
          <w:szCs w:val="24"/>
          <w:lang w:val="en-US"/>
        </w:rPr>
        <w:t xml:space="preserve"> </w:t>
      </w:r>
      <w:r w:rsidR="0065355B" w:rsidRPr="00F4226B">
        <w:rPr>
          <w:rFonts w:ascii="Times New Roman" w:hAnsi="Times New Roman"/>
          <w:sz w:val="24"/>
          <w:szCs w:val="24"/>
          <w:lang w:val="en-US"/>
        </w:rPr>
        <w:t>from operations</w:t>
      </w:r>
      <w:r w:rsidR="009A7E40" w:rsidRPr="00F4226B">
        <w:rPr>
          <w:rFonts w:ascii="Times New Roman" w:hAnsi="Times New Roman"/>
          <w:sz w:val="24"/>
          <w:szCs w:val="24"/>
          <w:lang w:val="en-US"/>
        </w:rPr>
        <w:t xml:space="preserve">. Thus we </w:t>
      </w:r>
      <w:r w:rsidR="004F7E1A">
        <w:rPr>
          <w:rFonts w:ascii="Times New Roman" w:hAnsi="Times New Roman"/>
          <w:sz w:val="24"/>
          <w:szCs w:val="24"/>
          <w:lang w:val="en-US"/>
        </w:rPr>
        <w:t>elucidate</w:t>
      </w:r>
      <w:r w:rsidR="008132BF" w:rsidRPr="00F4226B">
        <w:rPr>
          <w:rFonts w:ascii="Times New Roman" w:hAnsi="Times New Roman"/>
          <w:sz w:val="24"/>
          <w:szCs w:val="24"/>
          <w:lang w:val="en-US"/>
        </w:rPr>
        <w:t xml:space="preserve"> </w:t>
      </w:r>
      <w:r w:rsidR="001157C4" w:rsidRPr="00F4226B">
        <w:rPr>
          <w:rFonts w:ascii="Times New Roman" w:hAnsi="Times New Roman"/>
          <w:sz w:val="24"/>
          <w:szCs w:val="24"/>
          <w:lang w:val="en-US"/>
        </w:rPr>
        <w:t>why investors may price HC and IA amounts differently</w:t>
      </w:r>
      <w:r w:rsidR="0065355B" w:rsidRPr="00F4226B">
        <w:rPr>
          <w:rFonts w:ascii="Times New Roman" w:hAnsi="Times New Roman"/>
          <w:sz w:val="24"/>
          <w:szCs w:val="24"/>
          <w:lang w:val="en-US"/>
        </w:rPr>
        <w:t>.</w:t>
      </w:r>
      <w:r w:rsidR="00D429C4" w:rsidRPr="00F4226B">
        <w:rPr>
          <w:rFonts w:ascii="Times New Roman" w:hAnsi="Times New Roman"/>
          <w:sz w:val="24"/>
          <w:szCs w:val="24"/>
          <w:lang w:val="en-US"/>
        </w:rPr>
        <w:t xml:space="preserve"> </w:t>
      </w:r>
      <w:r w:rsidR="00C74136" w:rsidRPr="00F4226B">
        <w:rPr>
          <w:rFonts w:ascii="Times New Roman" w:hAnsi="Times New Roman"/>
          <w:sz w:val="24"/>
          <w:szCs w:val="24"/>
          <w:lang w:val="en-US"/>
        </w:rPr>
        <w:t xml:space="preserve">Fourth, we contribute to a long line of research </w:t>
      </w:r>
      <w:r w:rsidR="00D96AD9" w:rsidRPr="00F4226B">
        <w:rPr>
          <w:rFonts w:ascii="Times New Roman" w:hAnsi="Times New Roman"/>
          <w:sz w:val="24"/>
          <w:szCs w:val="24"/>
          <w:lang w:val="en-US"/>
        </w:rPr>
        <w:t xml:space="preserve">that </w:t>
      </w:r>
      <w:r w:rsidR="00C74136" w:rsidRPr="00F4226B">
        <w:rPr>
          <w:rFonts w:ascii="Times New Roman" w:hAnsi="Times New Roman"/>
          <w:sz w:val="24"/>
          <w:szCs w:val="24"/>
          <w:lang w:val="en-US"/>
        </w:rPr>
        <w:t>examin</w:t>
      </w:r>
      <w:r w:rsidR="00D96AD9" w:rsidRPr="00F4226B">
        <w:rPr>
          <w:rFonts w:ascii="Times New Roman" w:hAnsi="Times New Roman"/>
          <w:sz w:val="24"/>
          <w:szCs w:val="24"/>
          <w:lang w:val="en-US"/>
        </w:rPr>
        <w:t>es</w:t>
      </w:r>
      <w:r w:rsidR="00C74136" w:rsidRPr="00F4226B">
        <w:rPr>
          <w:rFonts w:ascii="Times New Roman" w:hAnsi="Times New Roman"/>
          <w:sz w:val="24"/>
          <w:szCs w:val="24"/>
          <w:lang w:val="en-US"/>
        </w:rPr>
        <w:t xml:space="preserve"> the relative or incremental information </w:t>
      </w:r>
      <w:r w:rsidR="00111D3F">
        <w:rPr>
          <w:rFonts w:ascii="Times New Roman" w:hAnsi="Times New Roman"/>
          <w:sz w:val="24"/>
          <w:szCs w:val="24"/>
          <w:lang w:val="en-US"/>
        </w:rPr>
        <w:t xml:space="preserve">content </w:t>
      </w:r>
      <w:r w:rsidR="003D222E" w:rsidRPr="00F4226B">
        <w:rPr>
          <w:rFonts w:ascii="Times New Roman" w:hAnsi="Times New Roman"/>
          <w:sz w:val="24"/>
          <w:szCs w:val="24"/>
          <w:lang w:val="en-US"/>
        </w:rPr>
        <w:t xml:space="preserve">of </w:t>
      </w:r>
      <w:r w:rsidR="002E299B" w:rsidRPr="00F4226B">
        <w:rPr>
          <w:rFonts w:ascii="Times New Roman" w:hAnsi="Times New Roman"/>
          <w:sz w:val="24"/>
          <w:szCs w:val="24"/>
          <w:lang w:val="en-US"/>
        </w:rPr>
        <w:t>disaggregating</w:t>
      </w:r>
      <w:r w:rsidR="00C74136" w:rsidRPr="00F4226B">
        <w:rPr>
          <w:rFonts w:ascii="Times New Roman" w:hAnsi="Times New Roman"/>
          <w:sz w:val="24"/>
          <w:szCs w:val="24"/>
          <w:lang w:val="en-US"/>
        </w:rPr>
        <w:t xml:space="preserve"> earnings into </w:t>
      </w:r>
      <w:r w:rsidR="00003B3A">
        <w:rPr>
          <w:rFonts w:ascii="Times New Roman" w:hAnsi="Times New Roman"/>
          <w:sz w:val="24"/>
          <w:szCs w:val="24"/>
          <w:lang w:val="en-US"/>
        </w:rPr>
        <w:t xml:space="preserve">their </w:t>
      </w:r>
      <w:r w:rsidR="00C74136" w:rsidRPr="00F4226B">
        <w:rPr>
          <w:rFonts w:ascii="Times New Roman" w:hAnsi="Times New Roman"/>
          <w:sz w:val="24"/>
          <w:szCs w:val="24"/>
          <w:lang w:val="en-US"/>
        </w:rPr>
        <w:t>accrual and cash flow components (e.g.</w:t>
      </w:r>
      <w:r w:rsidR="004E7751" w:rsidRPr="00F4226B">
        <w:rPr>
          <w:rFonts w:ascii="Times New Roman" w:hAnsi="Times New Roman"/>
          <w:sz w:val="24"/>
          <w:szCs w:val="24"/>
          <w:lang w:val="en-US"/>
        </w:rPr>
        <w:t>,</w:t>
      </w:r>
      <w:r w:rsidR="00C74136" w:rsidRPr="00F4226B">
        <w:rPr>
          <w:rFonts w:ascii="Times New Roman" w:hAnsi="Times New Roman"/>
          <w:sz w:val="24"/>
          <w:szCs w:val="24"/>
          <w:lang w:val="en-US"/>
        </w:rPr>
        <w:t xml:space="preserve"> Sloan 1996; Barth et al. 2001). Our evidence</w:t>
      </w:r>
      <w:r w:rsidR="00313776" w:rsidRPr="00F4226B">
        <w:rPr>
          <w:rFonts w:ascii="Times New Roman" w:hAnsi="Times New Roman"/>
          <w:sz w:val="24"/>
          <w:szCs w:val="24"/>
          <w:lang w:val="en-US"/>
        </w:rPr>
        <w:t>,</w:t>
      </w:r>
      <w:r w:rsidR="00C74136" w:rsidRPr="00F4226B">
        <w:rPr>
          <w:rFonts w:ascii="Times New Roman" w:hAnsi="Times New Roman"/>
          <w:sz w:val="24"/>
          <w:szCs w:val="24"/>
          <w:lang w:val="en-US"/>
        </w:rPr>
        <w:t xml:space="preserve"> </w:t>
      </w:r>
      <w:r w:rsidR="00003B3A">
        <w:rPr>
          <w:rFonts w:ascii="Times New Roman" w:hAnsi="Times New Roman"/>
          <w:sz w:val="24"/>
          <w:szCs w:val="24"/>
          <w:lang w:val="en-US"/>
        </w:rPr>
        <w:t>which documents</w:t>
      </w:r>
      <w:r w:rsidR="00C74136" w:rsidRPr="00F4226B">
        <w:rPr>
          <w:rFonts w:ascii="Times New Roman" w:hAnsi="Times New Roman"/>
          <w:sz w:val="24"/>
          <w:szCs w:val="24"/>
          <w:lang w:val="en-US"/>
        </w:rPr>
        <w:t xml:space="preserve"> that IA </w:t>
      </w:r>
      <w:r w:rsidR="00B358D9" w:rsidRPr="00F4226B">
        <w:rPr>
          <w:rFonts w:ascii="Times New Roman" w:hAnsi="Times New Roman"/>
          <w:sz w:val="24"/>
          <w:szCs w:val="24"/>
          <w:lang w:val="en-US"/>
        </w:rPr>
        <w:t xml:space="preserve">earnings </w:t>
      </w:r>
      <w:r w:rsidR="00C74136" w:rsidRPr="00F4226B">
        <w:rPr>
          <w:rFonts w:ascii="Times New Roman" w:hAnsi="Times New Roman"/>
          <w:sz w:val="24"/>
          <w:szCs w:val="24"/>
          <w:lang w:val="en-US"/>
        </w:rPr>
        <w:t xml:space="preserve">decomposed into their HC </w:t>
      </w:r>
      <w:r w:rsidR="00EF7250">
        <w:rPr>
          <w:rFonts w:ascii="Times New Roman" w:hAnsi="Times New Roman"/>
          <w:sz w:val="24"/>
          <w:szCs w:val="24"/>
          <w:lang w:val="en-US"/>
        </w:rPr>
        <w:t>as well as</w:t>
      </w:r>
      <w:r w:rsidR="00EF7250" w:rsidRPr="00F4226B">
        <w:rPr>
          <w:rFonts w:ascii="Times New Roman" w:hAnsi="Times New Roman"/>
          <w:sz w:val="24"/>
          <w:szCs w:val="24"/>
          <w:lang w:val="en-US"/>
        </w:rPr>
        <w:t xml:space="preserve"> </w:t>
      </w:r>
      <w:r w:rsidR="00C74136" w:rsidRPr="00F4226B">
        <w:rPr>
          <w:rFonts w:ascii="Times New Roman" w:hAnsi="Times New Roman"/>
          <w:sz w:val="24"/>
          <w:szCs w:val="24"/>
          <w:lang w:val="en-US"/>
        </w:rPr>
        <w:t xml:space="preserve">inflation gains and losses </w:t>
      </w:r>
      <w:r w:rsidR="00B358D9" w:rsidRPr="00F4226B">
        <w:rPr>
          <w:rFonts w:ascii="Times New Roman" w:hAnsi="Times New Roman"/>
          <w:sz w:val="24"/>
          <w:szCs w:val="24"/>
          <w:lang w:val="en-US"/>
        </w:rPr>
        <w:t xml:space="preserve">components </w:t>
      </w:r>
      <w:r w:rsidR="00C74136" w:rsidRPr="00F4226B">
        <w:rPr>
          <w:rFonts w:ascii="Times New Roman" w:hAnsi="Times New Roman"/>
          <w:sz w:val="24"/>
          <w:szCs w:val="24"/>
          <w:lang w:val="en-US"/>
        </w:rPr>
        <w:t>provide greater valuation implications</w:t>
      </w:r>
      <w:r w:rsidR="00313776" w:rsidRPr="00F4226B">
        <w:rPr>
          <w:rFonts w:ascii="Times New Roman" w:hAnsi="Times New Roman"/>
          <w:sz w:val="24"/>
          <w:szCs w:val="24"/>
          <w:lang w:val="en-US"/>
        </w:rPr>
        <w:t>,</w:t>
      </w:r>
      <w:r w:rsidR="00C74136" w:rsidRPr="00F4226B">
        <w:rPr>
          <w:rFonts w:ascii="Times New Roman" w:hAnsi="Times New Roman"/>
          <w:sz w:val="24"/>
          <w:szCs w:val="24"/>
          <w:lang w:val="en-US"/>
        </w:rPr>
        <w:t xml:space="preserve"> offers new insights.</w:t>
      </w:r>
    </w:p>
    <w:p w14:paraId="327790CE" w14:textId="1F52598E" w:rsidR="00D17030" w:rsidRPr="00F4226B" w:rsidRDefault="00D26ECE" w:rsidP="00D26E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lastRenderedPageBreak/>
        <w:t xml:space="preserve">Finally, </w:t>
      </w:r>
      <w:r w:rsidR="00C63DA2" w:rsidRPr="00F4226B">
        <w:rPr>
          <w:rFonts w:ascii="Times New Roman" w:hAnsi="Times New Roman"/>
          <w:sz w:val="24"/>
          <w:szCs w:val="24"/>
          <w:lang w:val="en-US"/>
        </w:rPr>
        <w:t xml:space="preserve">our work </w:t>
      </w:r>
      <w:r w:rsidR="006949CE" w:rsidRPr="00F4226B">
        <w:rPr>
          <w:rFonts w:ascii="Times New Roman" w:hAnsi="Times New Roman"/>
          <w:sz w:val="24"/>
          <w:szCs w:val="24"/>
          <w:lang w:val="en-US"/>
        </w:rPr>
        <w:t>contribute</w:t>
      </w:r>
      <w:r w:rsidR="00C63DA2" w:rsidRPr="00F4226B">
        <w:rPr>
          <w:rFonts w:ascii="Times New Roman" w:hAnsi="Times New Roman"/>
          <w:sz w:val="24"/>
          <w:szCs w:val="24"/>
          <w:lang w:val="en-US"/>
        </w:rPr>
        <w:t>s</w:t>
      </w:r>
      <w:r w:rsidR="006949CE" w:rsidRPr="00F4226B">
        <w:rPr>
          <w:rFonts w:ascii="Times New Roman" w:hAnsi="Times New Roman"/>
          <w:sz w:val="24"/>
          <w:szCs w:val="24"/>
          <w:lang w:val="en-US"/>
        </w:rPr>
        <w:t xml:space="preserve"> to </w:t>
      </w:r>
      <w:r w:rsidR="00403ACD" w:rsidRPr="00F4226B">
        <w:rPr>
          <w:rFonts w:ascii="Times New Roman" w:hAnsi="Times New Roman"/>
          <w:sz w:val="24"/>
          <w:szCs w:val="24"/>
          <w:lang w:val="en-US"/>
        </w:rPr>
        <w:t xml:space="preserve">a growing </w:t>
      </w:r>
      <w:r w:rsidR="00003B3A">
        <w:rPr>
          <w:rFonts w:ascii="Times New Roman" w:hAnsi="Times New Roman"/>
          <w:sz w:val="24"/>
          <w:szCs w:val="24"/>
          <w:lang w:val="en-US"/>
        </w:rPr>
        <w:t xml:space="preserve">body of </w:t>
      </w:r>
      <w:r w:rsidR="00602085" w:rsidRPr="00F4226B">
        <w:rPr>
          <w:rFonts w:ascii="Times New Roman" w:hAnsi="Times New Roman"/>
          <w:sz w:val="24"/>
          <w:szCs w:val="24"/>
          <w:lang w:val="en-US"/>
        </w:rPr>
        <w:t xml:space="preserve">research </w:t>
      </w:r>
      <w:r w:rsidR="00403ACD" w:rsidRPr="00F4226B">
        <w:rPr>
          <w:rFonts w:ascii="Times New Roman" w:hAnsi="Times New Roman"/>
          <w:sz w:val="24"/>
          <w:szCs w:val="24"/>
          <w:lang w:val="en-US"/>
        </w:rPr>
        <w:t xml:space="preserve">on </w:t>
      </w:r>
      <w:r w:rsidR="008C2688" w:rsidRPr="00F4226B">
        <w:rPr>
          <w:rFonts w:ascii="Times New Roman" w:hAnsi="Times New Roman"/>
          <w:sz w:val="24"/>
          <w:szCs w:val="24"/>
          <w:lang w:val="en-US"/>
        </w:rPr>
        <w:t>macro-</w:t>
      </w:r>
      <w:r w:rsidR="00403ACD" w:rsidRPr="00F4226B">
        <w:rPr>
          <w:rFonts w:ascii="Times New Roman" w:hAnsi="Times New Roman"/>
          <w:sz w:val="24"/>
          <w:szCs w:val="24"/>
          <w:lang w:val="en-US"/>
        </w:rPr>
        <w:t xml:space="preserve">accounting </w:t>
      </w:r>
      <w:r w:rsidR="00277405" w:rsidRPr="00F4226B">
        <w:rPr>
          <w:rFonts w:ascii="Times New Roman" w:hAnsi="Times New Roman"/>
          <w:sz w:val="24"/>
          <w:szCs w:val="24"/>
          <w:lang w:val="en-US"/>
        </w:rPr>
        <w:t xml:space="preserve">by examining the </w:t>
      </w:r>
      <w:r w:rsidR="008C2688" w:rsidRPr="00F4226B">
        <w:rPr>
          <w:rFonts w:ascii="Times New Roman" w:hAnsi="Times New Roman"/>
          <w:sz w:val="24"/>
          <w:szCs w:val="24"/>
          <w:lang w:val="en-US"/>
        </w:rPr>
        <w:t>link from macro</w:t>
      </w:r>
      <w:r w:rsidR="00277405" w:rsidRPr="00F4226B">
        <w:rPr>
          <w:rFonts w:ascii="Times New Roman" w:hAnsi="Times New Roman"/>
          <w:sz w:val="24"/>
          <w:szCs w:val="24"/>
          <w:lang w:val="en-US"/>
        </w:rPr>
        <w:t>economic data</w:t>
      </w:r>
      <w:r w:rsidR="008C2688" w:rsidRPr="00F4226B">
        <w:rPr>
          <w:rFonts w:ascii="Times New Roman" w:hAnsi="Times New Roman"/>
          <w:sz w:val="24"/>
          <w:szCs w:val="24"/>
          <w:lang w:val="en-US"/>
        </w:rPr>
        <w:t xml:space="preserve"> (i.e.</w:t>
      </w:r>
      <w:r w:rsidR="00313776" w:rsidRPr="00F4226B">
        <w:rPr>
          <w:rFonts w:ascii="Times New Roman" w:hAnsi="Times New Roman"/>
          <w:sz w:val="24"/>
          <w:szCs w:val="24"/>
          <w:lang w:val="en-US"/>
        </w:rPr>
        <w:t>,</w:t>
      </w:r>
      <w:r w:rsidR="008C2688" w:rsidRPr="00F4226B">
        <w:rPr>
          <w:rFonts w:ascii="Times New Roman" w:hAnsi="Times New Roman"/>
          <w:sz w:val="24"/>
          <w:szCs w:val="24"/>
          <w:lang w:val="en-US"/>
        </w:rPr>
        <w:t xml:space="preserve"> inflation) to firm</w:t>
      </w:r>
      <w:r w:rsidR="00277405" w:rsidRPr="00F4226B">
        <w:rPr>
          <w:rFonts w:ascii="Times New Roman" w:hAnsi="Times New Roman"/>
          <w:sz w:val="24"/>
          <w:szCs w:val="24"/>
          <w:lang w:val="en-US"/>
        </w:rPr>
        <w:t>-level data</w:t>
      </w:r>
      <w:r w:rsidR="008C2688" w:rsidRPr="00F4226B">
        <w:rPr>
          <w:rFonts w:ascii="Times New Roman" w:hAnsi="Times New Roman"/>
          <w:sz w:val="24"/>
          <w:szCs w:val="24"/>
          <w:lang w:val="en-US"/>
        </w:rPr>
        <w:t xml:space="preserve"> (i.e.</w:t>
      </w:r>
      <w:r w:rsidR="00277405" w:rsidRPr="00F4226B">
        <w:rPr>
          <w:rFonts w:ascii="Times New Roman" w:hAnsi="Times New Roman"/>
          <w:sz w:val="24"/>
          <w:szCs w:val="24"/>
          <w:lang w:val="en-US"/>
        </w:rPr>
        <w:t xml:space="preserve">, </w:t>
      </w:r>
      <w:r w:rsidR="008C2688" w:rsidRPr="00F4226B">
        <w:rPr>
          <w:rFonts w:ascii="Times New Roman" w:hAnsi="Times New Roman"/>
          <w:sz w:val="24"/>
          <w:szCs w:val="24"/>
          <w:lang w:val="en-US"/>
        </w:rPr>
        <w:t>information in earnings</w:t>
      </w:r>
      <w:r w:rsidR="00277405" w:rsidRPr="00F4226B">
        <w:rPr>
          <w:rFonts w:ascii="Times New Roman" w:hAnsi="Times New Roman"/>
          <w:sz w:val="24"/>
          <w:szCs w:val="24"/>
          <w:lang w:val="en-US"/>
        </w:rPr>
        <w:t xml:space="preserve"> and </w:t>
      </w:r>
      <w:r w:rsidR="00317EE0">
        <w:rPr>
          <w:rFonts w:ascii="Times New Roman" w:hAnsi="Times New Roman"/>
          <w:sz w:val="24"/>
          <w:szCs w:val="24"/>
          <w:lang w:val="en-US"/>
        </w:rPr>
        <w:t xml:space="preserve">equity </w:t>
      </w:r>
      <w:r w:rsidR="00277405" w:rsidRPr="00F4226B">
        <w:rPr>
          <w:rFonts w:ascii="Times New Roman" w:hAnsi="Times New Roman"/>
          <w:sz w:val="24"/>
          <w:szCs w:val="24"/>
          <w:lang w:val="en-US"/>
        </w:rPr>
        <w:t>book values</w:t>
      </w:r>
      <w:r w:rsidR="008C2688" w:rsidRPr="00F4226B">
        <w:rPr>
          <w:rFonts w:ascii="Times New Roman" w:hAnsi="Times New Roman"/>
          <w:sz w:val="24"/>
          <w:szCs w:val="24"/>
          <w:lang w:val="en-US"/>
        </w:rPr>
        <w:t>)</w:t>
      </w:r>
      <w:r w:rsidR="00BF204B" w:rsidRPr="00F4226B">
        <w:rPr>
          <w:rFonts w:ascii="Times New Roman" w:hAnsi="Times New Roman"/>
          <w:sz w:val="24"/>
          <w:szCs w:val="24"/>
          <w:lang w:val="en-US"/>
        </w:rPr>
        <w:t xml:space="preserve">. </w:t>
      </w:r>
      <w:r w:rsidR="00963E2A" w:rsidRPr="00F4226B">
        <w:rPr>
          <w:rFonts w:ascii="Times New Roman" w:hAnsi="Times New Roman"/>
          <w:sz w:val="24"/>
          <w:szCs w:val="24"/>
          <w:lang w:val="en-US"/>
        </w:rPr>
        <w:t xml:space="preserve">In particular, using published </w:t>
      </w:r>
      <w:r w:rsidR="00003B3A">
        <w:rPr>
          <w:rFonts w:ascii="Times New Roman" w:hAnsi="Times New Roman"/>
          <w:sz w:val="24"/>
          <w:szCs w:val="24"/>
          <w:lang w:val="en-US"/>
        </w:rPr>
        <w:t xml:space="preserve">actual </w:t>
      </w:r>
      <w:r w:rsidR="00963E2A" w:rsidRPr="00F4226B">
        <w:rPr>
          <w:rFonts w:ascii="Times New Roman" w:hAnsi="Times New Roman"/>
          <w:sz w:val="24"/>
          <w:szCs w:val="24"/>
          <w:lang w:val="en-US"/>
        </w:rPr>
        <w:t>accounting amounts, we</w:t>
      </w:r>
      <w:r w:rsidR="00C74136" w:rsidRPr="00F4226B">
        <w:rPr>
          <w:rFonts w:ascii="Times New Roman" w:hAnsi="Times New Roman"/>
          <w:sz w:val="24"/>
          <w:szCs w:val="24"/>
          <w:lang w:val="en-US"/>
        </w:rPr>
        <w:t xml:space="preserve"> inform </w:t>
      </w:r>
      <w:r w:rsidR="00963E2A" w:rsidRPr="00F4226B">
        <w:rPr>
          <w:rFonts w:ascii="Times New Roman" w:hAnsi="Times New Roman"/>
          <w:sz w:val="24"/>
          <w:szCs w:val="24"/>
          <w:lang w:val="en-US"/>
        </w:rPr>
        <w:t>recent work on (1) how inflation affects firm-level performance, future cash flow prediction and stock returns (Konchitchki 2011; 2013; Curtis et al. 2015), (2) how the prediction of firm fundamentals is enhanced by integrating macro information (Konchitchki 2011; Li et al. 2014</w:t>
      </w:r>
      <w:r w:rsidR="009E206E">
        <w:rPr>
          <w:rFonts w:ascii="Times New Roman" w:hAnsi="Times New Roman"/>
          <w:sz w:val="24"/>
          <w:szCs w:val="24"/>
          <w:lang w:val="en-US"/>
        </w:rPr>
        <w:t>)</w:t>
      </w:r>
      <w:r w:rsidR="00963E2A" w:rsidRPr="00F4226B">
        <w:rPr>
          <w:rFonts w:ascii="Times New Roman" w:hAnsi="Times New Roman"/>
          <w:sz w:val="24"/>
          <w:szCs w:val="24"/>
          <w:lang w:val="en-US"/>
        </w:rPr>
        <w:t xml:space="preserve">, and (3) how a firm’s sensitivity to downward macroeconomic conditions affects its stock returns (Konchitchki et al. 2016). </w:t>
      </w:r>
      <w:r w:rsidR="0033126E" w:rsidRPr="00F4226B">
        <w:rPr>
          <w:rFonts w:ascii="Times New Roman" w:hAnsi="Times New Roman"/>
          <w:sz w:val="24"/>
          <w:szCs w:val="24"/>
          <w:lang w:val="en-US"/>
        </w:rPr>
        <w:t xml:space="preserve">We also inform </w:t>
      </w:r>
      <w:r w:rsidR="00177307" w:rsidRPr="00F4226B">
        <w:rPr>
          <w:rFonts w:ascii="Times New Roman" w:hAnsi="Times New Roman"/>
          <w:sz w:val="24"/>
          <w:szCs w:val="24"/>
          <w:lang w:val="en-US"/>
        </w:rPr>
        <w:t xml:space="preserve">the </w:t>
      </w:r>
      <w:r w:rsidR="008C2688" w:rsidRPr="00F4226B">
        <w:rPr>
          <w:rFonts w:ascii="Times New Roman" w:hAnsi="Times New Roman"/>
          <w:sz w:val="24"/>
          <w:szCs w:val="24"/>
          <w:lang w:val="en-US"/>
        </w:rPr>
        <w:t>research on a link that operates</w:t>
      </w:r>
      <w:r w:rsidR="001C0A9F" w:rsidRPr="00F4226B">
        <w:rPr>
          <w:rFonts w:ascii="Times New Roman" w:hAnsi="Times New Roman"/>
          <w:sz w:val="24"/>
          <w:szCs w:val="24"/>
          <w:lang w:val="en-US"/>
        </w:rPr>
        <w:t xml:space="preserve"> in the opposite direction, that is, </w:t>
      </w:r>
      <w:r w:rsidR="008C2688" w:rsidRPr="00F4226B">
        <w:rPr>
          <w:rFonts w:ascii="Times New Roman" w:hAnsi="Times New Roman"/>
          <w:sz w:val="24"/>
          <w:szCs w:val="24"/>
          <w:lang w:val="en-US"/>
        </w:rPr>
        <w:t xml:space="preserve">from </w:t>
      </w:r>
      <w:r w:rsidR="00003B3A">
        <w:rPr>
          <w:rFonts w:ascii="Times New Roman" w:hAnsi="Times New Roman"/>
          <w:sz w:val="24"/>
          <w:szCs w:val="24"/>
          <w:lang w:val="en-US"/>
        </w:rPr>
        <w:t xml:space="preserve">the </w:t>
      </w:r>
      <w:r w:rsidR="001C63B8" w:rsidRPr="00F4226B">
        <w:rPr>
          <w:rFonts w:ascii="Times New Roman" w:hAnsi="Times New Roman"/>
          <w:sz w:val="24"/>
          <w:szCs w:val="24"/>
          <w:lang w:val="en-US"/>
        </w:rPr>
        <w:t>micro-</w:t>
      </w:r>
      <w:r w:rsidR="00313776" w:rsidRPr="00F4226B">
        <w:rPr>
          <w:rFonts w:ascii="Times New Roman" w:hAnsi="Times New Roman"/>
          <w:sz w:val="24"/>
          <w:szCs w:val="24"/>
          <w:lang w:val="en-US"/>
        </w:rPr>
        <w:t xml:space="preserve"> </w:t>
      </w:r>
      <w:r w:rsidR="001C63B8" w:rsidRPr="00F4226B">
        <w:rPr>
          <w:rFonts w:ascii="Times New Roman" w:hAnsi="Times New Roman"/>
          <w:sz w:val="24"/>
          <w:szCs w:val="24"/>
          <w:lang w:val="en-US"/>
        </w:rPr>
        <w:t>(</w:t>
      </w:r>
      <w:r w:rsidR="008C2688" w:rsidRPr="00F4226B">
        <w:rPr>
          <w:rFonts w:ascii="Times New Roman" w:hAnsi="Times New Roman"/>
          <w:sz w:val="24"/>
          <w:szCs w:val="24"/>
          <w:lang w:val="en-US"/>
        </w:rPr>
        <w:t>firm</w:t>
      </w:r>
      <w:r w:rsidR="00172AD9" w:rsidRPr="00F4226B">
        <w:rPr>
          <w:rFonts w:ascii="Times New Roman" w:hAnsi="Times New Roman"/>
          <w:sz w:val="24"/>
          <w:szCs w:val="24"/>
          <w:lang w:val="en-US"/>
        </w:rPr>
        <w:t>s</w:t>
      </w:r>
      <w:r w:rsidR="001C63B8" w:rsidRPr="00F4226B">
        <w:rPr>
          <w:rFonts w:ascii="Times New Roman" w:hAnsi="Times New Roman"/>
          <w:sz w:val="24"/>
          <w:szCs w:val="24"/>
          <w:lang w:val="en-US"/>
        </w:rPr>
        <w:t>)</w:t>
      </w:r>
      <w:r w:rsidR="0013269D" w:rsidRPr="00F4226B">
        <w:rPr>
          <w:rFonts w:ascii="Times New Roman" w:hAnsi="Times New Roman"/>
          <w:sz w:val="24"/>
          <w:szCs w:val="24"/>
          <w:lang w:val="en-US"/>
        </w:rPr>
        <w:t xml:space="preserve"> </w:t>
      </w:r>
      <w:r w:rsidR="008C2688" w:rsidRPr="00F4226B">
        <w:rPr>
          <w:rFonts w:ascii="Times New Roman" w:hAnsi="Times New Roman"/>
          <w:sz w:val="24"/>
          <w:szCs w:val="24"/>
          <w:lang w:val="en-US"/>
        </w:rPr>
        <w:t xml:space="preserve">to </w:t>
      </w:r>
      <w:r w:rsidR="001C0A9F" w:rsidRPr="00F4226B">
        <w:rPr>
          <w:rFonts w:ascii="Times New Roman" w:hAnsi="Times New Roman"/>
          <w:sz w:val="24"/>
          <w:szCs w:val="24"/>
          <w:lang w:val="en-US"/>
        </w:rPr>
        <w:t xml:space="preserve">the </w:t>
      </w:r>
      <w:r w:rsidR="008C2688" w:rsidRPr="00F4226B">
        <w:rPr>
          <w:rFonts w:ascii="Times New Roman" w:hAnsi="Times New Roman"/>
          <w:sz w:val="24"/>
          <w:szCs w:val="24"/>
          <w:lang w:val="en-US"/>
        </w:rPr>
        <w:t>macro</w:t>
      </w:r>
      <w:r w:rsidR="001C63B8" w:rsidRPr="00F4226B">
        <w:rPr>
          <w:rFonts w:ascii="Times New Roman" w:hAnsi="Times New Roman"/>
          <w:sz w:val="24"/>
          <w:szCs w:val="24"/>
          <w:lang w:val="en-US"/>
        </w:rPr>
        <w:t>-</w:t>
      </w:r>
      <w:r w:rsidR="00172AD9" w:rsidRPr="00F4226B">
        <w:rPr>
          <w:rFonts w:ascii="Times New Roman" w:hAnsi="Times New Roman"/>
          <w:sz w:val="24"/>
          <w:szCs w:val="24"/>
          <w:lang w:val="en-US"/>
        </w:rPr>
        <w:t>level</w:t>
      </w:r>
      <w:r w:rsidR="0033126E" w:rsidRPr="00F4226B">
        <w:rPr>
          <w:rFonts w:ascii="Times New Roman" w:hAnsi="Times New Roman"/>
          <w:sz w:val="24"/>
          <w:szCs w:val="24"/>
          <w:lang w:val="en-US"/>
        </w:rPr>
        <w:t xml:space="preserve"> (e.g., </w:t>
      </w:r>
      <w:r w:rsidR="00652693" w:rsidRPr="00F4226B">
        <w:rPr>
          <w:rFonts w:ascii="Times New Roman" w:hAnsi="Times New Roman"/>
          <w:sz w:val="24"/>
          <w:szCs w:val="24"/>
          <w:lang w:val="en-US"/>
        </w:rPr>
        <w:t>Konchitchki and Patatoukas 2014</w:t>
      </w:r>
      <w:r w:rsidR="00DA21E2" w:rsidRPr="00F4226B">
        <w:rPr>
          <w:rFonts w:ascii="Times New Roman" w:hAnsi="Times New Roman"/>
          <w:sz w:val="24"/>
          <w:szCs w:val="24"/>
          <w:lang w:val="en-US"/>
        </w:rPr>
        <w:t>a,</w:t>
      </w:r>
      <w:r w:rsidR="005A151A" w:rsidRPr="00F4226B">
        <w:rPr>
          <w:rFonts w:ascii="Times New Roman" w:hAnsi="Times New Roman"/>
          <w:sz w:val="24"/>
          <w:szCs w:val="24"/>
          <w:lang w:val="en-US"/>
        </w:rPr>
        <w:t xml:space="preserve"> </w:t>
      </w:r>
      <w:r w:rsidR="00DA21E2" w:rsidRPr="00F4226B">
        <w:rPr>
          <w:rFonts w:ascii="Times New Roman" w:hAnsi="Times New Roman"/>
          <w:sz w:val="24"/>
          <w:szCs w:val="24"/>
          <w:lang w:val="en-US"/>
        </w:rPr>
        <w:t>b</w:t>
      </w:r>
      <w:r w:rsidR="0033126E" w:rsidRPr="00F4226B">
        <w:rPr>
          <w:rFonts w:ascii="Times New Roman" w:hAnsi="Times New Roman"/>
          <w:sz w:val="24"/>
          <w:szCs w:val="24"/>
          <w:lang w:val="en-US"/>
        </w:rPr>
        <w:t xml:space="preserve">; </w:t>
      </w:r>
      <w:r w:rsidR="00652693" w:rsidRPr="00F4226B">
        <w:rPr>
          <w:rFonts w:ascii="Times New Roman" w:hAnsi="Times New Roman"/>
          <w:sz w:val="24"/>
          <w:szCs w:val="24"/>
          <w:lang w:val="en-US"/>
        </w:rPr>
        <w:t>Patatoukas 2014</w:t>
      </w:r>
      <w:r w:rsidR="0033126E" w:rsidRPr="00F4226B">
        <w:rPr>
          <w:rFonts w:ascii="Times New Roman" w:hAnsi="Times New Roman"/>
          <w:sz w:val="24"/>
          <w:szCs w:val="24"/>
          <w:lang w:val="en-US"/>
        </w:rPr>
        <w:t xml:space="preserve">; </w:t>
      </w:r>
      <w:r w:rsidR="00652693" w:rsidRPr="00F4226B">
        <w:rPr>
          <w:rFonts w:ascii="Times New Roman" w:hAnsi="Times New Roman"/>
          <w:sz w:val="24"/>
          <w:szCs w:val="24"/>
          <w:lang w:val="en-US"/>
        </w:rPr>
        <w:t>Gallo et al. 2016)</w:t>
      </w:r>
      <w:r w:rsidR="0033126E" w:rsidRPr="00F4226B">
        <w:rPr>
          <w:rFonts w:ascii="Times New Roman" w:hAnsi="Times New Roman"/>
          <w:sz w:val="24"/>
          <w:szCs w:val="24"/>
          <w:lang w:val="en-US"/>
        </w:rPr>
        <w:t xml:space="preserve"> by providing </w:t>
      </w:r>
      <w:r w:rsidR="00A72422" w:rsidRPr="00F4226B">
        <w:rPr>
          <w:rFonts w:ascii="Times New Roman" w:hAnsi="Times New Roman"/>
          <w:sz w:val="24"/>
          <w:szCs w:val="24"/>
          <w:lang w:val="en-US"/>
        </w:rPr>
        <w:t xml:space="preserve">evidence </w:t>
      </w:r>
      <w:r w:rsidR="00177307" w:rsidRPr="00F4226B">
        <w:rPr>
          <w:rFonts w:ascii="Times New Roman" w:hAnsi="Times New Roman"/>
          <w:sz w:val="24"/>
          <w:szCs w:val="24"/>
          <w:lang w:val="en-US"/>
        </w:rPr>
        <w:t xml:space="preserve">that </w:t>
      </w:r>
      <w:r w:rsidR="00A542CF" w:rsidRPr="00F4226B">
        <w:rPr>
          <w:rFonts w:ascii="Times New Roman" w:hAnsi="Times New Roman"/>
          <w:sz w:val="24"/>
          <w:szCs w:val="24"/>
          <w:lang w:val="en-US"/>
        </w:rPr>
        <w:t xml:space="preserve">inflation </w:t>
      </w:r>
      <w:r w:rsidR="001240AB" w:rsidRPr="00F4226B">
        <w:rPr>
          <w:rFonts w:ascii="Times New Roman" w:hAnsi="Times New Roman"/>
          <w:sz w:val="24"/>
          <w:szCs w:val="24"/>
          <w:lang w:val="en-US"/>
        </w:rPr>
        <w:t>(</w:t>
      </w:r>
      <w:r w:rsidR="00003B3A">
        <w:rPr>
          <w:rFonts w:ascii="Times New Roman" w:hAnsi="Times New Roman"/>
          <w:sz w:val="24"/>
          <w:szCs w:val="24"/>
          <w:lang w:val="en-US"/>
        </w:rPr>
        <w:t xml:space="preserve">a </w:t>
      </w:r>
      <w:r w:rsidR="001240AB" w:rsidRPr="00F4226B">
        <w:rPr>
          <w:rFonts w:ascii="Times New Roman" w:hAnsi="Times New Roman"/>
          <w:sz w:val="24"/>
          <w:szCs w:val="24"/>
          <w:lang w:val="en-US"/>
        </w:rPr>
        <w:t xml:space="preserve">macro-level factor) affects the value relevance of </w:t>
      </w:r>
      <w:r w:rsidR="0098434D" w:rsidRPr="00F4226B">
        <w:rPr>
          <w:rFonts w:ascii="Times New Roman" w:hAnsi="Times New Roman"/>
          <w:sz w:val="24"/>
          <w:szCs w:val="24"/>
          <w:lang w:val="en-US"/>
        </w:rPr>
        <w:t>firm-level</w:t>
      </w:r>
      <w:r w:rsidR="001240AB" w:rsidRPr="00F4226B">
        <w:rPr>
          <w:rFonts w:ascii="Times New Roman" w:hAnsi="Times New Roman"/>
          <w:sz w:val="24"/>
          <w:szCs w:val="24"/>
          <w:lang w:val="en-US"/>
        </w:rPr>
        <w:t xml:space="preserve"> accounting amounts</w:t>
      </w:r>
      <w:r w:rsidR="00652693" w:rsidRPr="00F4226B">
        <w:rPr>
          <w:rFonts w:ascii="Times New Roman" w:hAnsi="Times New Roman"/>
          <w:sz w:val="24"/>
          <w:szCs w:val="24"/>
          <w:lang w:val="en-US"/>
        </w:rPr>
        <w:t>.</w:t>
      </w:r>
      <w:r w:rsidR="008C0938" w:rsidRPr="00F4226B">
        <w:rPr>
          <w:rFonts w:ascii="Times New Roman" w:hAnsi="Times New Roman"/>
          <w:sz w:val="24"/>
          <w:szCs w:val="24"/>
          <w:lang w:val="en-US"/>
        </w:rPr>
        <w:t xml:space="preserve">  </w:t>
      </w:r>
    </w:p>
    <w:p w14:paraId="2FFAFAE4" w14:textId="77777777" w:rsidR="00D53007" w:rsidRPr="00F4226B" w:rsidRDefault="00D53007"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lastRenderedPageBreak/>
        <w:t xml:space="preserve">The remainder of the paper is organized as follows. The next section </w:t>
      </w:r>
      <w:r w:rsidR="00DA00D1" w:rsidRPr="00F4226B">
        <w:rPr>
          <w:rFonts w:ascii="Times New Roman" w:hAnsi="Times New Roman"/>
          <w:sz w:val="24"/>
          <w:szCs w:val="24"/>
          <w:lang w:val="en-US"/>
        </w:rPr>
        <w:t>discusses the study context, while Section 3 presents</w:t>
      </w:r>
      <w:r w:rsidRPr="00F4226B">
        <w:rPr>
          <w:rFonts w:ascii="Times New Roman" w:hAnsi="Times New Roman"/>
          <w:sz w:val="24"/>
          <w:szCs w:val="24"/>
          <w:lang w:val="en-US"/>
        </w:rPr>
        <w:t xml:space="preserve"> a review of the related literature. </w:t>
      </w:r>
      <w:r w:rsidR="000746C8" w:rsidRPr="00F4226B">
        <w:rPr>
          <w:rFonts w:ascii="Times New Roman" w:hAnsi="Times New Roman"/>
          <w:sz w:val="24"/>
          <w:szCs w:val="24"/>
          <w:lang w:val="en-US"/>
        </w:rPr>
        <w:t>T</w:t>
      </w:r>
      <w:r w:rsidRPr="00F4226B">
        <w:rPr>
          <w:rFonts w:ascii="Times New Roman" w:hAnsi="Times New Roman"/>
          <w:sz w:val="24"/>
          <w:szCs w:val="24"/>
          <w:lang w:val="en-US"/>
        </w:rPr>
        <w:t>he research design</w:t>
      </w:r>
      <w:r w:rsidR="000746C8" w:rsidRPr="00F4226B">
        <w:rPr>
          <w:rFonts w:ascii="Times New Roman" w:hAnsi="Times New Roman"/>
          <w:sz w:val="24"/>
          <w:szCs w:val="24"/>
          <w:lang w:val="en-US"/>
        </w:rPr>
        <w:t xml:space="preserve"> </w:t>
      </w:r>
      <w:r w:rsidR="00240639" w:rsidRPr="00F4226B">
        <w:rPr>
          <w:rFonts w:ascii="Times New Roman" w:hAnsi="Times New Roman"/>
          <w:sz w:val="24"/>
          <w:szCs w:val="24"/>
          <w:lang w:val="en-US"/>
        </w:rPr>
        <w:t xml:space="preserve">and data </w:t>
      </w:r>
      <w:r w:rsidR="000746C8" w:rsidRPr="00F4226B">
        <w:rPr>
          <w:rFonts w:ascii="Times New Roman" w:hAnsi="Times New Roman"/>
          <w:sz w:val="24"/>
          <w:szCs w:val="24"/>
          <w:lang w:val="en-US"/>
        </w:rPr>
        <w:t xml:space="preserve">are described in Section </w:t>
      </w:r>
      <w:r w:rsidR="003B436F" w:rsidRPr="00F4226B">
        <w:rPr>
          <w:rFonts w:ascii="Times New Roman" w:hAnsi="Times New Roman"/>
          <w:sz w:val="24"/>
          <w:szCs w:val="24"/>
          <w:lang w:val="en-US"/>
        </w:rPr>
        <w:t>4</w:t>
      </w:r>
      <w:r w:rsidRPr="00F4226B">
        <w:rPr>
          <w:rFonts w:ascii="Times New Roman" w:hAnsi="Times New Roman"/>
          <w:sz w:val="24"/>
          <w:szCs w:val="24"/>
          <w:lang w:val="en-US"/>
        </w:rPr>
        <w:t xml:space="preserve">. The results are presented and discussed in </w:t>
      </w:r>
      <w:r w:rsidR="002E276C" w:rsidRPr="00F4226B">
        <w:rPr>
          <w:rFonts w:ascii="Times New Roman" w:hAnsi="Times New Roman"/>
          <w:sz w:val="24"/>
          <w:szCs w:val="24"/>
          <w:lang w:val="en-US"/>
        </w:rPr>
        <w:t>S</w:t>
      </w:r>
      <w:r w:rsidRPr="00F4226B">
        <w:rPr>
          <w:rFonts w:ascii="Times New Roman" w:hAnsi="Times New Roman"/>
          <w:sz w:val="24"/>
          <w:szCs w:val="24"/>
          <w:lang w:val="en-US"/>
        </w:rPr>
        <w:t xml:space="preserve">ection </w:t>
      </w:r>
      <w:r w:rsidR="003B436F" w:rsidRPr="00F4226B">
        <w:rPr>
          <w:rFonts w:ascii="Times New Roman" w:hAnsi="Times New Roman"/>
          <w:sz w:val="24"/>
          <w:szCs w:val="24"/>
          <w:lang w:val="en-US"/>
        </w:rPr>
        <w:t>5</w:t>
      </w:r>
      <w:r w:rsidR="002E276C" w:rsidRPr="00F4226B">
        <w:rPr>
          <w:rFonts w:ascii="Times New Roman" w:hAnsi="Times New Roman"/>
          <w:sz w:val="24"/>
          <w:szCs w:val="24"/>
          <w:lang w:val="en-US"/>
        </w:rPr>
        <w:t xml:space="preserve">. The last section presents </w:t>
      </w:r>
      <w:r w:rsidR="00997D6C" w:rsidRPr="00F4226B">
        <w:rPr>
          <w:rFonts w:ascii="Times New Roman" w:hAnsi="Times New Roman"/>
          <w:sz w:val="24"/>
          <w:szCs w:val="24"/>
          <w:lang w:val="en-US"/>
        </w:rPr>
        <w:t xml:space="preserve">the </w:t>
      </w:r>
      <w:r w:rsidR="002E276C" w:rsidRPr="00F4226B">
        <w:rPr>
          <w:rFonts w:ascii="Times New Roman" w:hAnsi="Times New Roman"/>
          <w:sz w:val="24"/>
          <w:szCs w:val="24"/>
          <w:lang w:val="en-US"/>
        </w:rPr>
        <w:t>conclu</w:t>
      </w:r>
      <w:r w:rsidR="00085025" w:rsidRPr="00F4226B">
        <w:rPr>
          <w:rFonts w:ascii="Times New Roman" w:hAnsi="Times New Roman"/>
          <w:sz w:val="24"/>
          <w:szCs w:val="24"/>
          <w:lang w:val="en-US"/>
        </w:rPr>
        <w:t>ding remarks</w:t>
      </w:r>
      <w:r w:rsidR="002E276C" w:rsidRPr="00F4226B">
        <w:rPr>
          <w:rFonts w:ascii="Times New Roman" w:hAnsi="Times New Roman"/>
          <w:sz w:val="24"/>
          <w:szCs w:val="24"/>
          <w:lang w:val="en-US"/>
        </w:rPr>
        <w:t>.</w:t>
      </w:r>
    </w:p>
    <w:p w14:paraId="4A77BE51" w14:textId="77777777" w:rsidR="00287272" w:rsidRPr="00F4226B" w:rsidRDefault="00287272" w:rsidP="003B13CE">
      <w:pPr>
        <w:spacing w:line="360" w:lineRule="auto"/>
        <w:ind w:firstLine="284"/>
        <w:jc w:val="both"/>
        <w:rPr>
          <w:rFonts w:ascii="Times New Roman" w:hAnsi="Times New Roman"/>
          <w:sz w:val="24"/>
          <w:szCs w:val="24"/>
          <w:lang w:val="en-US"/>
        </w:rPr>
      </w:pPr>
    </w:p>
    <w:p w14:paraId="6ECCF9D2" w14:textId="7B2FD7B4" w:rsidR="00EE445F" w:rsidRPr="00F4226B" w:rsidRDefault="002E276C" w:rsidP="003820D1">
      <w:pPr>
        <w:spacing w:line="360" w:lineRule="auto"/>
        <w:jc w:val="both"/>
        <w:outlineLvl w:val="0"/>
        <w:rPr>
          <w:rFonts w:ascii="Times New Roman" w:hAnsi="Times New Roman"/>
          <w:b/>
          <w:sz w:val="24"/>
          <w:szCs w:val="24"/>
          <w:lang w:val="en-US"/>
        </w:rPr>
      </w:pPr>
      <w:r w:rsidRPr="00F4226B">
        <w:rPr>
          <w:rFonts w:ascii="Times New Roman" w:hAnsi="Times New Roman"/>
          <w:b/>
          <w:sz w:val="24"/>
          <w:szCs w:val="24"/>
          <w:lang w:val="en-US"/>
        </w:rPr>
        <w:t xml:space="preserve">2. </w:t>
      </w:r>
      <w:r w:rsidR="00A25F60" w:rsidRPr="00F4226B">
        <w:rPr>
          <w:rFonts w:ascii="Times New Roman" w:hAnsi="Times New Roman"/>
          <w:b/>
          <w:sz w:val="24"/>
          <w:szCs w:val="24"/>
          <w:lang w:val="en-US"/>
        </w:rPr>
        <w:t xml:space="preserve"> </w:t>
      </w:r>
      <w:r w:rsidR="00DA00D1" w:rsidRPr="00F4226B">
        <w:rPr>
          <w:rFonts w:ascii="Times New Roman" w:hAnsi="Times New Roman"/>
          <w:b/>
          <w:sz w:val="24"/>
          <w:szCs w:val="24"/>
          <w:lang w:val="en-US"/>
        </w:rPr>
        <w:t xml:space="preserve">Context </w:t>
      </w:r>
    </w:p>
    <w:p w14:paraId="4898E9AB" w14:textId="77777777" w:rsidR="007B295E" w:rsidRPr="00804A08" w:rsidRDefault="007B295E" w:rsidP="003820D1">
      <w:pPr>
        <w:spacing w:line="360" w:lineRule="auto"/>
        <w:jc w:val="both"/>
        <w:outlineLvl w:val="0"/>
        <w:rPr>
          <w:rFonts w:ascii="Times New Roman" w:hAnsi="Times New Roman"/>
          <w:bCs/>
          <w:i/>
          <w:sz w:val="24"/>
          <w:szCs w:val="24"/>
          <w:lang w:val="en-US"/>
        </w:rPr>
      </w:pPr>
      <w:r w:rsidRPr="00804A08">
        <w:rPr>
          <w:rFonts w:ascii="Times New Roman" w:hAnsi="Times New Roman"/>
          <w:bCs/>
          <w:i/>
          <w:sz w:val="24"/>
          <w:szCs w:val="24"/>
          <w:lang w:val="en-US"/>
        </w:rPr>
        <w:t xml:space="preserve">2.1 </w:t>
      </w:r>
      <w:r w:rsidR="00C5336C" w:rsidRPr="00804A08">
        <w:rPr>
          <w:rFonts w:ascii="Times New Roman" w:hAnsi="Times New Roman"/>
          <w:bCs/>
          <w:i/>
          <w:sz w:val="24"/>
          <w:szCs w:val="24"/>
          <w:lang w:val="en-US"/>
        </w:rPr>
        <w:t>Macroe</w:t>
      </w:r>
      <w:r w:rsidRPr="00804A08">
        <w:rPr>
          <w:rFonts w:ascii="Times New Roman" w:hAnsi="Times New Roman"/>
          <w:bCs/>
          <w:i/>
          <w:sz w:val="24"/>
          <w:szCs w:val="24"/>
          <w:lang w:val="en-US"/>
        </w:rPr>
        <w:t>conom</w:t>
      </w:r>
      <w:r w:rsidR="00076243" w:rsidRPr="00804A08">
        <w:rPr>
          <w:rFonts w:ascii="Times New Roman" w:hAnsi="Times New Roman"/>
          <w:bCs/>
          <w:i/>
          <w:sz w:val="24"/>
          <w:szCs w:val="24"/>
          <w:lang w:val="en-US"/>
        </w:rPr>
        <w:t xml:space="preserve">ic </w:t>
      </w:r>
      <w:r w:rsidR="00C5336C" w:rsidRPr="00804A08">
        <w:rPr>
          <w:rFonts w:ascii="Times New Roman" w:hAnsi="Times New Roman"/>
          <w:bCs/>
          <w:i/>
          <w:sz w:val="24"/>
          <w:szCs w:val="24"/>
          <w:lang w:val="en-US"/>
        </w:rPr>
        <w:t>environment</w:t>
      </w:r>
    </w:p>
    <w:p w14:paraId="2D49330B" w14:textId="0E258215" w:rsidR="003467B0" w:rsidRPr="00F4226B" w:rsidRDefault="007B295E" w:rsidP="00CF3168">
      <w:pPr>
        <w:spacing w:line="360" w:lineRule="auto"/>
        <w:jc w:val="both"/>
        <w:rPr>
          <w:rFonts w:ascii="Times New Roman" w:hAnsi="Times New Roman"/>
          <w:sz w:val="24"/>
          <w:szCs w:val="24"/>
          <w:lang w:val="en-US"/>
        </w:rPr>
      </w:pPr>
      <w:r w:rsidRPr="00F4226B">
        <w:rPr>
          <w:rFonts w:ascii="Times New Roman" w:hAnsi="Times New Roman"/>
          <w:bCs/>
          <w:sz w:val="24"/>
          <w:szCs w:val="24"/>
          <w:lang w:val="en-US"/>
        </w:rPr>
        <w:t xml:space="preserve">Beginning </w:t>
      </w:r>
      <w:r w:rsidR="00887346" w:rsidRPr="00F4226B">
        <w:rPr>
          <w:rFonts w:ascii="Times New Roman" w:hAnsi="Times New Roman"/>
          <w:bCs/>
          <w:sz w:val="24"/>
          <w:szCs w:val="24"/>
          <w:lang w:val="en-US"/>
        </w:rPr>
        <w:t xml:space="preserve">in </w:t>
      </w:r>
      <w:r w:rsidR="00484DA6" w:rsidRPr="00F4226B">
        <w:rPr>
          <w:rFonts w:ascii="Times New Roman" w:hAnsi="Times New Roman"/>
          <w:bCs/>
          <w:sz w:val="24"/>
          <w:szCs w:val="24"/>
          <w:lang w:val="en-US"/>
        </w:rPr>
        <w:t xml:space="preserve">1997, </w:t>
      </w:r>
      <w:r w:rsidRPr="00F4226B">
        <w:rPr>
          <w:rFonts w:ascii="Times New Roman" w:hAnsi="Times New Roman"/>
          <w:bCs/>
          <w:sz w:val="24"/>
          <w:szCs w:val="24"/>
          <w:lang w:val="en-US"/>
        </w:rPr>
        <w:t>Zimbabwe was embroi</w:t>
      </w:r>
      <w:r w:rsidR="00BF7F94" w:rsidRPr="00F4226B">
        <w:rPr>
          <w:rFonts w:ascii="Times New Roman" w:hAnsi="Times New Roman"/>
          <w:bCs/>
          <w:sz w:val="24"/>
          <w:szCs w:val="24"/>
          <w:lang w:val="en-US"/>
        </w:rPr>
        <w:t>le</w:t>
      </w:r>
      <w:r w:rsidRPr="00F4226B">
        <w:rPr>
          <w:rFonts w:ascii="Times New Roman" w:hAnsi="Times New Roman"/>
          <w:bCs/>
          <w:sz w:val="24"/>
          <w:szCs w:val="24"/>
          <w:lang w:val="en-US"/>
        </w:rPr>
        <w:t xml:space="preserve">d </w:t>
      </w:r>
      <w:r w:rsidR="00BF7F94" w:rsidRPr="00F4226B">
        <w:rPr>
          <w:rFonts w:ascii="Times New Roman" w:hAnsi="Times New Roman"/>
          <w:bCs/>
          <w:sz w:val="24"/>
          <w:szCs w:val="24"/>
          <w:lang w:val="en-US"/>
        </w:rPr>
        <w:t>in an economic crisis</w:t>
      </w:r>
      <w:r w:rsidR="00344B82" w:rsidRPr="00F4226B">
        <w:rPr>
          <w:rFonts w:ascii="Times New Roman" w:hAnsi="Times New Roman"/>
          <w:bCs/>
          <w:sz w:val="24"/>
          <w:szCs w:val="24"/>
          <w:lang w:val="en-US"/>
        </w:rPr>
        <w:t xml:space="preserve"> </w:t>
      </w:r>
      <w:r w:rsidR="00003B3A">
        <w:rPr>
          <w:rFonts w:ascii="Times New Roman" w:hAnsi="Times New Roman"/>
          <w:bCs/>
          <w:sz w:val="24"/>
          <w:szCs w:val="24"/>
          <w:lang w:val="en-US"/>
        </w:rPr>
        <w:t xml:space="preserve">that was </w:t>
      </w:r>
      <w:r w:rsidR="00C5336C" w:rsidRPr="00F4226B">
        <w:rPr>
          <w:rFonts w:ascii="Times New Roman" w:hAnsi="Times New Roman"/>
          <w:bCs/>
          <w:sz w:val="24"/>
          <w:szCs w:val="24"/>
          <w:lang w:val="en-US"/>
        </w:rPr>
        <w:t xml:space="preserve">triggered </w:t>
      </w:r>
      <w:r w:rsidR="002416F5" w:rsidRPr="00F4226B">
        <w:rPr>
          <w:rFonts w:ascii="Times New Roman" w:hAnsi="Times New Roman"/>
          <w:bCs/>
          <w:sz w:val="24"/>
          <w:szCs w:val="24"/>
          <w:lang w:val="en-US"/>
        </w:rPr>
        <w:t xml:space="preserve">largely </w:t>
      </w:r>
      <w:r w:rsidR="00C5336C" w:rsidRPr="00F4226B">
        <w:rPr>
          <w:rFonts w:ascii="Times New Roman" w:hAnsi="Times New Roman"/>
          <w:bCs/>
          <w:sz w:val="24"/>
          <w:szCs w:val="24"/>
          <w:lang w:val="en-US"/>
        </w:rPr>
        <w:t xml:space="preserve">by </w:t>
      </w:r>
      <w:r w:rsidR="008D651A" w:rsidRPr="00F4226B">
        <w:rPr>
          <w:rFonts w:ascii="Times New Roman" w:hAnsi="Times New Roman"/>
          <w:bCs/>
          <w:sz w:val="24"/>
          <w:szCs w:val="24"/>
          <w:lang w:val="en-US"/>
        </w:rPr>
        <w:t xml:space="preserve">the </w:t>
      </w:r>
      <w:r w:rsidR="00C5336C" w:rsidRPr="00F4226B">
        <w:rPr>
          <w:rFonts w:ascii="Times New Roman" w:hAnsi="Times New Roman"/>
          <w:bCs/>
          <w:sz w:val="24"/>
          <w:szCs w:val="24"/>
          <w:lang w:val="en-US"/>
        </w:rPr>
        <w:t>land</w:t>
      </w:r>
      <w:r w:rsidR="00936FC6" w:rsidRPr="00F4226B">
        <w:rPr>
          <w:rFonts w:ascii="Times New Roman" w:hAnsi="Times New Roman"/>
          <w:bCs/>
          <w:sz w:val="24"/>
          <w:szCs w:val="24"/>
          <w:lang w:val="en-US"/>
        </w:rPr>
        <w:t xml:space="preserve"> distribution</w:t>
      </w:r>
      <w:r w:rsidR="00C5336C" w:rsidRPr="00F4226B">
        <w:rPr>
          <w:rFonts w:ascii="Times New Roman" w:hAnsi="Times New Roman"/>
          <w:bCs/>
          <w:sz w:val="24"/>
          <w:szCs w:val="24"/>
          <w:lang w:val="en-US"/>
        </w:rPr>
        <w:t xml:space="preserve"> policy, </w:t>
      </w:r>
      <w:r w:rsidR="005C0E09" w:rsidRPr="00F4226B">
        <w:rPr>
          <w:rFonts w:ascii="Times New Roman" w:hAnsi="Times New Roman"/>
          <w:bCs/>
          <w:sz w:val="24"/>
          <w:szCs w:val="24"/>
          <w:lang w:val="en-US"/>
        </w:rPr>
        <w:t xml:space="preserve">involvement in </w:t>
      </w:r>
      <w:r w:rsidR="00130879" w:rsidRPr="00F4226B">
        <w:rPr>
          <w:rFonts w:ascii="Times New Roman" w:hAnsi="Times New Roman"/>
          <w:bCs/>
          <w:sz w:val="24"/>
          <w:szCs w:val="24"/>
          <w:lang w:val="en-US"/>
        </w:rPr>
        <w:t>a</w:t>
      </w:r>
      <w:r w:rsidR="005C0E09" w:rsidRPr="00F4226B">
        <w:rPr>
          <w:rFonts w:ascii="Times New Roman" w:hAnsi="Times New Roman"/>
          <w:bCs/>
          <w:sz w:val="24"/>
          <w:szCs w:val="24"/>
          <w:lang w:val="en-US"/>
        </w:rPr>
        <w:t xml:space="preserve"> </w:t>
      </w:r>
      <w:r w:rsidR="009C5CBF" w:rsidRPr="00F4226B">
        <w:rPr>
          <w:rFonts w:ascii="Times New Roman" w:hAnsi="Times New Roman"/>
          <w:bCs/>
          <w:sz w:val="24"/>
          <w:szCs w:val="24"/>
          <w:lang w:val="en-US"/>
        </w:rPr>
        <w:t xml:space="preserve">war to support the government of </w:t>
      </w:r>
      <w:r w:rsidR="005C0E09" w:rsidRPr="00F4226B">
        <w:rPr>
          <w:rFonts w:ascii="Times New Roman" w:hAnsi="Times New Roman"/>
          <w:bCs/>
          <w:sz w:val="24"/>
          <w:szCs w:val="24"/>
          <w:lang w:val="en-US"/>
        </w:rPr>
        <w:t xml:space="preserve">Democratic Republic of Congo, </w:t>
      </w:r>
      <w:r w:rsidR="00C5336C" w:rsidRPr="00F4226B">
        <w:rPr>
          <w:rFonts w:ascii="Times New Roman" w:hAnsi="Times New Roman"/>
          <w:bCs/>
          <w:sz w:val="24"/>
          <w:szCs w:val="24"/>
          <w:lang w:val="en-US"/>
        </w:rPr>
        <w:t>severe droughts</w:t>
      </w:r>
      <w:r w:rsidR="006B4F09">
        <w:rPr>
          <w:rFonts w:ascii="Times New Roman" w:hAnsi="Times New Roman"/>
          <w:bCs/>
          <w:sz w:val="24"/>
          <w:szCs w:val="24"/>
          <w:lang w:val="en-US"/>
        </w:rPr>
        <w:t>,</w:t>
      </w:r>
      <w:r w:rsidR="00C5336C" w:rsidRPr="00F4226B">
        <w:rPr>
          <w:rFonts w:ascii="Times New Roman" w:hAnsi="Times New Roman"/>
          <w:bCs/>
          <w:sz w:val="24"/>
          <w:szCs w:val="24"/>
          <w:lang w:val="en-US"/>
        </w:rPr>
        <w:t xml:space="preserve"> and </w:t>
      </w:r>
      <w:r w:rsidR="00F02A45" w:rsidRPr="00F4226B">
        <w:rPr>
          <w:rFonts w:ascii="Times New Roman" w:hAnsi="Times New Roman"/>
          <w:bCs/>
          <w:sz w:val="24"/>
          <w:szCs w:val="24"/>
          <w:lang w:val="en-US"/>
        </w:rPr>
        <w:t xml:space="preserve">inappropriate </w:t>
      </w:r>
      <w:r w:rsidR="000E3A60" w:rsidRPr="00F4226B">
        <w:rPr>
          <w:rFonts w:ascii="Times New Roman" w:hAnsi="Times New Roman"/>
          <w:bCs/>
          <w:sz w:val="24"/>
          <w:szCs w:val="24"/>
          <w:lang w:val="en-US"/>
        </w:rPr>
        <w:t xml:space="preserve">fiscal </w:t>
      </w:r>
      <w:r w:rsidR="00F02A45" w:rsidRPr="00F4226B">
        <w:rPr>
          <w:rFonts w:ascii="Times New Roman" w:hAnsi="Times New Roman"/>
          <w:bCs/>
          <w:sz w:val="24"/>
          <w:szCs w:val="24"/>
          <w:lang w:val="en-US"/>
        </w:rPr>
        <w:t>policies</w:t>
      </w:r>
      <w:r w:rsidR="002E43C6" w:rsidRPr="00F4226B">
        <w:rPr>
          <w:rFonts w:ascii="Times New Roman" w:hAnsi="Times New Roman"/>
          <w:bCs/>
          <w:sz w:val="24"/>
          <w:szCs w:val="24"/>
          <w:lang w:val="en-US"/>
        </w:rPr>
        <w:t xml:space="preserve"> (Robertson 2003</w:t>
      </w:r>
      <w:r w:rsidR="002416F5" w:rsidRPr="00F4226B">
        <w:rPr>
          <w:rFonts w:ascii="Times New Roman" w:hAnsi="Times New Roman"/>
          <w:bCs/>
          <w:sz w:val="24"/>
          <w:szCs w:val="24"/>
          <w:lang w:val="en-US"/>
        </w:rPr>
        <w:t>;</w:t>
      </w:r>
      <w:r w:rsidR="00533D58" w:rsidRPr="00F4226B">
        <w:rPr>
          <w:rFonts w:ascii="Times New Roman" w:hAnsi="Times New Roman"/>
          <w:bCs/>
          <w:sz w:val="24"/>
          <w:szCs w:val="24"/>
          <w:lang w:val="en-US"/>
        </w:rPr>
        <w:t xml:space="preserve"> Noko </w:t>
      </w:r>
      <w:r w:rsidR="00533D58" w:rsidRPr="00F4226B">
        <w:rPr>
          <w:rFonts w:ascii="Times New Roman" w:hAnsi="Times New Roman"/>
          <w:bCs/>
          <w:sz w:val="24"/>
          <w:szCs w:val="24"/>
          <w:lang w:val="en-US"/>
        </w:rPr>
        <w:lastRenderedPageBreak/>
        <w:t>2011;</w:t>
      </w:r>
      <w:r w:rsidR="002416F5" w:rsidRPr="00F4226B">
        <w:rPr>
          <w:rFonts w:ascii="Times New Roman" w:hAnsi="Times New Roman"/>
          <w:bCs/>
          <w:sz w:val="24"/>
          <w:szCs w:val="24"/>
          <w:lang w:val="en-US"/>
        </w:rPr>
        <w:t xml:space="preserve"> Mangena et al. 2012</w:t>
      </w:r>
      <w:r w:rsidR="002E43C6" w:rsidRPr="00F4226B">
        <w:rPr>
          <w:rFonts w:ascii="Times New Roman" w:hAnsi="Times New Roman"/>
          <w:bCs/>
          <w:sz w:val="24"/>
          <w:szCs w:val="24"/>
          <w:lang w:val="en-US"/>
        </w:rPr>
        <w:t>)</w:t>
      </w:r>
      <w:r w:rsidR="00F02A45" w:rsidRPr="00F4226B">
        <w:rPr>
          <w:rFonts w:ascii="Times New Roman" w:hAnsi="Times New Roman"/>
          <w:bCs/>
          <w:sz w:val="24"/>
          <w:szCs w:val="24"/>
          <w:lang w:val="en-US"/>
        </w:rPr>
        <w:t xml:space="preserve">. </w:t>
      </w:r>
      <w:r w:rsidR="00565881" w:rsidRPr="00F4226B">
        <w:rPr>
          <w:rFonts w:ascii="Times New Roman" w:hAnsi="Times New Roman"/>
          <w:bCs/>
          <w:sz w:val="24"/>
          <w:szCs w:val="24"/>
          <w:lang w:val="en-US"/>
        </w:rPr>
        <w:t>T</w:t>
      </w:r>
      <w:r w:rsidR="00936FC6" w:rsidRPr="00F4226B">
        <w:rPr>
          <w:rFonts w:ascii="Times New Roman" w:hAnsi="Times New Roman"/>
          <w:bCs/>
          <w:sz w:val="24"/>
          <w:szCs w:val="24"/>
          <w:lang w:val="en-US"/>
        </w:rPr>
        <w:t>he land distribution policy</w:t>
      </w:r>
      <w:r w:rsidR="00565881" w:rsidRPr="00F4226B">
        <w:rPr>
          <w:rFonts w:ascii="Times New Roman" w:hAnsi="Times New Roman"/>
          <w:bCs/>
          <w:sz w:val="24"/>
          <w:szCs w:val="24"/>
          <w:lang w:val="en-US"/>
        </w:rPr>
        <w:t>, war</w:t>
      </w:r>
      <w:r w:rsidR="00887346" w:rsidRPr="00F4226B">
        <w:rPr>
          <w:rFonts w:ascii="Times New Roman" w:hAnsi="Times New Roman"/>
          <w:bCs/>
          <w:sz w:val="24"/>
          <w:szCs w:val="24"/>
          <w:lang w:val="en-US"/>
        </w:rPr>
        <w:t xml:space="preserve">, </w:t>
      </w:r>
      <w:r w:rsidR="00936FC6" w:rsidRPr="00F4226B">
        <w:rPr>
          <w:rFonts w:ascii="Times New Roman" w:hAnsi="Times New Roman"/>
          <w:bCs/>
          <w:sz w:val="24"/>
          <w:szCs w:val="24"/>
          <w:lang w:val="en-US"/>
        </w:rPr>
        <w:t xml:space="preserve">and fiscal policies </w:t>
      </w:r>
      <w:r w:rsidR="00F02A45" w:rsidRPr="00F4226B">
        <w:rPr>
          <w:rFonts w:ascii="Times New Roman" w:hAnsi="Times New Roman"/>
          <w:bCs/>
          <w:sz w:val="24"/>
          <w:szCs w:val="24"/>
          <w:lang w:val="en-US"/>
        </w:rPr>
        <w:t xml:space="preserve">were </w:t>
      </w:r>
      <w:r w:rsidR="00634E00" w:rsidRPr="00F4226B">
        <w:rPr>
          <w:rFonts w:ascii="Times New Roman" w:hAnsi="Times New Roman"/>
          <w:bCs/>
          <w:sz w:val="24"/>
          <w:szCs w:val="24"/>
          <w:lang w:val="en-US"/>
        </w:rPr>
        <w:t xml:space="preserve">disapproved by </w:t>
      </w:r>
      <w:r w:rsidR="002E43C6" w:rsidRPr="00F4226B">
        <w:rPr>
          <w:rFonts w:ascii="Times New Roman" w:hAnsi="Times New Roman"/>
          <w:bCs/>
          <w:sz w:val="24"/>
          <w:szCs w:val="24"/>
          <w:lang w:val="en-US"/>
        </w:rPr>
        <w:t>multilateral financial institutions</w:t>
      </w:r>
      <w:r w:rsidR="00130879" w:rsidRPr="00F4226B">
        <w:rPr>
          <w:rFonts w:ascii="Times New Roman" w:hAnsi="Times New Roman"/>
          <w:bCs/>
          <w:sz w:val="24"/>
          <w:szCs w:val="24"/>
          <w:lang w:val="en-US"/>
        </w:rPr>
        <w:t xml:space="preserve"> </w:t>
      </w:r>
      <w:r w:rsidR="00F05C62" w:rsidRPr="00F4226B">
        <w:rPr>
          <w:rFonts w:ascii="Times New Roman" w:hAnsi="Times New Roman"/>
          <w:bCs/>
          <w:sz w:val="24"/>
          <w:szCs w:val="24"/>
          <w:lang w:val="en-US"/>
        </w:rPr>
        <w:t>(</w:t>
      </w:r>
      <w:r w:rsidR="00130879" w:rsidRPr="00F4226B">
        <w:rPr>
          <w:rFonts w:ascii="Times New Roman" w:hAnsi="Times New Roman"/>
          <w:bCs/>
          <w:sz w:val="24"/>
          <w:szCs w:val="24"/>
          <w:lang w:val="en-US"/>
        </w:rPr>
        <w:t>i.e.</w:t>
      </w:r>
      <w:r w:rsidR="00F05C62" w:rsidRPr="00F4226B">
        <w:rPr>
          <w:rFonts w:ascii="Times New Roman" w:hAnsi="Times New Roman"/>
          <w:bCs/>
          <w:sz w:val="24"/>
          <w:szCs w:val="24"/>
          <w:lang w:val="en-US"/>
        </w:rPr>
        <w:t>,</w:t>
      </w:r>
      <w:r w:rsidR="00130879" w:rsidRPr="00F4226B">
        <w:rPr>
          <w:rFonts w:ascii="Times New Roman" w:hAnsi="Times New Roman"/>
          <w:bCs/>
          <w:sz w:val="24"/>
          <w:szCs w:val="24"/>
          <w:lang w:val="en-US"/>
        </w:rPr>
        <w:t xml:space="preserve"> </w:t>
      </w:r>
      <w:r w:rsidR="00484DA6" w:rsidRPr="00F4226B">
        <w:rPr>
          <w:rFonts w:ascii="Times New Roman" w:hAnsi="Times New Roman"/>
          <w:bCs/>
          <w:sz w:val="24"/>
          <w:szCs w:val="24"/>
          <w:lang w:val="en-US"/>
        </w:rPr>
        <w:t>International Monetary Fund</w:t>
      </w:r>
      <w:r w:rsidR="006B4F09">
        <w:rPr>
          <w:rFonts w:ascii="Times New Roman" w:hAnsi="Times New Roman"/>
          <w:bCs/>
          <w:sz w:val="24"/>
          <w:szCs w:val="24"/>
          <w:lang w:val="en-US"/>
        </w:rPr>
        <w:t xml:space="preserve"> </w:t>
      </w:r>
      <w:r w:rsidR="00F05C62" w:rsidRPr="00F4226B">
        <w:rPr>
          <w:rFonts w:ascii="Times New Roman" w:hAnsi="Times New Roman"/>
          <w:bCs/>
          <w:sz w:val="24"/>
          <w:szCs w:val="24"/>
          <w:lang w:val="en-US"/>
        </w:rPr>
        <w:t>and</w:t>
      </w:r>
      <w:r w:rsidR="00887346" w:rsidRPr="00F4226B">
        <w:rPr>
          <w:rFonts w:ascii="Times New Roman" w:hAnsi="Times New Roman"/>
          <w:bCs/>
          <w:sz w:val="24"/>
          <w:szCs w:val="24"/>
          <w:lang w:val="en-US"/>
        </w:rPr>
        <w:t xml:space="preserve"> </w:t>
      </w:r>
      <w:r w:rsidR="00484DA6" w:rsidRPr="00F4226B">
        <w:rPr>
          <w:rFonts w:ascii="Times New Roman" w:hAnsi="Times New Roman"/>
          <w:bCs/>
          <w:sz w:val="24"/>
          <w:szCs w:val="24"/>
          <w:lang w:val="en-US"/>
        </w:rPr>
        <w:t>World Bank</w:t>
      </w:r>
      <w:r w:rsidR="00F05C62" w:rsidRPr="00F4226B">
        <w:rPr>
          <w:rFonts w:ascii="Times New Roman" w:hAnsi="Times New Roman"/>
          <w:bCs/>
          <w:sz w:val="24"/>
          <w:szCs w:val="24"/>
          <w:lang w:val="en-US"/>
        </w:rPr>
        <w:t>)</w:t>
      </w:r>
      <w:r w:rsidR="002E43C6" w:rsidRPr="00F4226B">
        <w:rPr>
          <w:rFonts w:ascii="Times New Roman" w:hAnsi="Times New Roman"/>
          <w:bCs/>
          <w:sz w:val="24"/>
          <w:szCs w:val="24"/>
          <w:lang w:val="en-US"/>
        </w:rPr>
        <w:t xml:space="preserve"> </w:t>
      </w:r>
      <w:r w:rsidR="00F02A45" w:rsidRPr="00F4226B">
        <w:rPr>
          <w:rFonts w:ascii="Times New Roman" w:hAnsi="Times New Roman"/>
          <w:bCs/>
          <w:sz w:val="24"/>
          <w:szCs w:val="24"/>
          <w:lang w:val="en-US"/>
        </w:rPr>
        <w:t xml:space="preserve">and </w:t>
      </w:r>
      <w:r w:rsidR="00634E00" w:rsidRPr="00F4226B">
        <w:rPr>
          <w:rFonts w:ascii="Times New Roman" w:hAnsi="Times New Roman"/>
          <w:bCs/>
          <w:sz w:val="24"/>
          <w:szCs w:val="24"/>
          <w:lang w:val="en-US"/>
        </w:rPr>
        <w:t>most developed countries</w:t>
      </w:r>
      <w:r w:rsidR="00F46038" w:rsidRPr="00F4226B">
        <w:rPr>
          <w:rFonts w:ascii="Times New Roman" w:hAnsi="Times New Roman"/>
          <w:bCs/>
          <w:sz w:val="24"/>
          <w:szCs w:val="24"/>
          <w:lang w:val="en-US"/>
        </w:rPr>
        <w:t xml:space="preserve">. </w:t>
      </w:r>
      <w:r w:rsidR="00997D6C" w:rsidRPr="00F4226B">
        <w:rPr>
          <w:rFonts w:ascii="Times New Roman" w:hAnsi="Times New Roman"/>
          <w:bCs/>
          <w:sz w:val="24"/>
          <w:szCs w:val="24"/>
          <w:lang w:val="en-US"/>
        </w:rPr>
        <w:t xml:space="preserve">As </w:t>
      </w:r>
      <w:r w:rsidR="00D27868" w:rsidRPr="00F4226B">
        <w:rPr>
          <w:rFonts w:ascii="Times New Roman" w:hAnsi="Times New Roman"/>
          <w:bCs/>
          <w:sz w:val="24"/>
          <w:szCs w:val="24"/>
          <w:lang w:val="en-US"/>
        </w:rPr>
        <w:t>the government continue</w:t>
      </w:r>
      <w:r w:rsidR="00997D6C" w:rsidRPr="00F4226B">
        <w:rPr>
          <w:rFonts w:ascii="Times New Roman" w:hAnsi="Times New Roman"/>
          <w:bCs/>
          <w:sz w:val="24"/>
          <w:szCs w:val="24"/>
          <w:lang w:val="en-US"/>
        </w:rPr>
        <w:t>d</w:t>
      </w:r>
      <w:r w:rsidR="00D27868" w:rsidRPr="00F4226B">
        <w:rPr>
          <w:rFonts w:ascii="Times New Roman" w:hAnsi="Times New Roman"/>
          <w:bCs/>
          <w:sz w:val="24"/>
          <w:szCs w:val="24"/>
          <w:lang w:val="en-US"/>
        </w:rPr>
        <w:t xml:space="preserve"> its policies</w:t>
      </w:r>
      <w:r w:rsidR="00997D6C" w:rsidRPr="00F4226B">
        <w:rPr>
          <w:rFonts w:ascii="Times New Roman" w:hAnsi="Times New Roman"/>
          <w:bCs/>
          <w:sz w:val="24"/>
          <w:szCs w:val="24"/>
          <w:lang w:val="en-US"/>
        </w:rPr>
        <w:t xml:space="preserve">, its relationship with </w:t>
      </w:r>
      <w:r w:rsidR="007556F9" w:rsidRPr="00F4226B">
        <w:rPr>
          <w:rFonts w:ascii="Times New Roman" w:hAnsi="Times New Roman"/>
          <w:sz w:val="24"/>
          <w:szCs w:val="24"/>
          <w:lang w:val="en-US"/>
        </w:rPr>
        <w:t>developed countries and multilateral financial institutions</w:t>
      </w:r>
      <w:r w:rsidR="001D6989" w:rsidRPr="00F4226B">
        <w:rPr>
          <w:rFonts w:ascii="Times New Roman" w:hAnsi="Times New Roman"/>
          <w:sz w:val="24"/>
          <w:szCs w:val="24"/>
          <w:lang w:val="en-US"/>
        </w:rPr>
        <w:t xml:space="preserve"> </w:t>
      </w:r>
      <w:r w:rsidR="00997D6C" w:rsidRPr="00F4226B">
        <w:rPr>
          <w:rFonts w:ascii="Times New Roman" w:hAnsi="Times New Roman"/>
          <w:sz w:val="24"/>
          <w:szCs w:val="24"/>
          <w:lang w:val="en-US"/>
        </w:rPr>
        <w:t>was severely strained</w:t>
      </w:r>
      <w:r w:rsidR="00003B3A">
        <w:rPr>
          <w:rFonts w:ascii="Times New Roman" w:hAnsi="Times New Roman"/>
          <w:sz w:val="24"/>
          <w:szCs w:val="24"/>
          <w:lang w:val="en-US"/>
        </w:rPr>
        <w:t>, which led</w:t>
      </w:r>
      <w:r w:rsidR="001D6989" w:rsidRPr="00F4226B">
        <w:rPr>
          <w:rFonts w:ascii="Times New Roman" w:hAnsi="Times New Roman"/>
          <w:sz w:val="24"/>
          <w:szCs w:val="24"/>
          <w:lang w:val="en-US"/>
        </w:rPr>
        <w:t xml:space="preserve"> to </w:t>
      </w:r>
      <w:r w:rsidR="00003B3A">
        <w:rPr>
          <w:rFonts w:ascii="Times New Roman" w:hAnsi="Times New Roman"/>
          <w:sz w:val="24"/>
          <w:szCs w:val="24"/>
          <w:lang w:val="en-US"/>
        </w:rPr>
        <w:t xml:space="preserve">a </w:t>
      </w:r>
      <w:r w:rsidR="001D6989" w:rsidRPr="00F4226B">
        <w:rPr>
          <w:rFonts w:ascii="Times New Roman" w:hAnsi="Times New Roman"/>
          <w:sz w:val="24"/>
          <w:szCs w:val="24"/>
          <w:lang w:val="en-US"/>
        </w:rPr>
        <w:t xml:space="preserve">suspension of </w:t>
      </w:r>
      <w:r w:rsidR="00634E00" w:rsidRPr="00F4226B">
        <w:rPr>
          <w:rFonts w:ascii="Times New Roman" w:hAnsi="Times New Roman"/>
          <w:bCs/>
          <w:sz w:val="24"/>
          <w:szCs w:val="24"/>
          <w:lang w:val="en-US"/>
        </w:rPr>
        <w:t>balance</w:t>
      </w:r>
      <w:r w:rsidR="00003B3A">
        <w:rPr>
          <w:rFonts w:ascii="Times New Roman" w:hAnsi="Times New Roman"/>
          <w:bCs/>
          <w:sz w:val="24"/>
          <w:szCs w:val="24"/>
          <w:lang w:val="en-US"/>
        </w:rPr>
        <w:t>-</w:t>
      </w:r>
      <w:r w:rsidR="00634E00" w:rsidRPr="00F4226B">
        <w:rPr>
          <w:rFonts w:ascii="Times New Roman" w:hAnsi="Times New Roman"/>
          <w:bCs/>
          <w:sz w:val="24"/>
          <w:szCs w:val="24"/>
          <w:lang w:val="en-US"/>
        </w:rPr>
        <w:t>of</w:t>
      </w:r>
      <w:r w:rsidR="00003B3A">
        <w:rPr>
          <w:rFonts w:ascii="Times New Roman" w:hAnsi="Times New Roman"/>
          <w:bCs/>
          <w:sz w:val="24"/>
          <w:szCs w:val="24"/>
          <w:lang w:val="en-US"/>
        </w:rPr>
        <w:t>-</w:t>
      </w:r>
      <w:r w:rsidR="00634E00" w:rsidRPr="00F4226B">
        <w:rPr>
          <w:rFonts w:ascii="Times New Roman" w:hAnsi="Times New Roman"/>
          <w:bCs/>
          <w:sz w:val="24"/>
          <w:szCs w:val="24"/>
          <w:lang w:val="en-US"/>
        </w:rPr>
        <w:t>payment support in 2000</w:t>
      </w:r>
      <w:r w:rsidR="007556F9" w:rsidRPr="00F4226B">
        <w:rPr>
          <w:rFonts w:ascii="Times New Roman" w:hAnsi="Times New Roman"/>
          <w:bCs/>
          <w:sz w:val="24"/>
          <w:szCs w:val="24"/>
          <w:lang w:val="en-US"/>
        </w:rPr>
        <w:t xml:space="preserve"> </w:t>
      </w:r>
      <w:r w:rsidR="00900465" w:rsidRPr="00F4226B">
        <w:rPr>
          <w:rFonts w:ascii="Times New Roman" w:hAnsi="Times New Roman"/>
          <w:bCs/>
          <w:sz w:val="24"/>
          <w:szCs w:val="24"/>
          <w:lang w:val="en-US"/>
        </w:rPr>
        <w:t>(</w:t>
      </w:r>
      <w:r w:rsidR="00634E00" w:rsidRPr="00F4226B">
        <w:rPr>
          <w:rFonts w:ascii="Times New Roman" w:hAnsi="Times New Roman"/>
          <w:bCs/>
          <w:sz w:val="24"/>
          <w:szCs w:val="24"/>
          <w:lang w:val="en-US"/>
        </w:rPr>
        <w:t>Robertson 2003</w:t>
      </w:r>
      <w:r w:rsidR="007556F9" w:rsidRPr="00F4226B">
        <w:rPr>
          <w:rFonts w:ascii="Times New Roman" w:hAnsi="Times New Roman"/>
          <w:bCs/>
          <w:sz w:val="24"/>
          <w:szCs w:val="24"/>
          <w:lang w:val="en-US"/>
        </w:rPr>
        <w:t xml:space="preserve">; </w:t>
      </w:r>
      <w:r w:rsidR="001D6989" w:rsidRPr="00F4226B">
        <w:rPr>
          <w:rFonts w:ascii="Times New Roman" w:hAnsi="Times New Roman"/>
          <w:sz w:val="24"/>
          <w:szCs w:val="24"/>
          <w:lang w:val="en-US"/>
        </w:rPr>
        <w:t>African Development Bank</w:t>
      </w:r>
      <w:r w:rsidR="00CF66F9">
        <w:rPr>
          <w:rFonts w:ascii="Times New Roman" w:hAnsi="Times New Roman"/>
          <w:sz w:val="24"/>
          <w:szCs w:val="24"/>
          <w:lang w:val="en-US"/>
        </w:rPr>
        <w:t xml:space="preserve"> </w:t>
      </w:r>
      <w:r w:rsidR="001D6989" w:rsidRPr="00F4226B">
        <w:rPr>
          <w:rFonts w:ascii="Times New Roman" w:hAnsi="Times New Roman"/>
          <w:sz w:val="24"/>
          <w:szCs w:val="24"/>
          <w:lang w:val="en-US"/>
        </w:rPr>
        <w:t>2007</w:t>
      </w:r>
      <w:r w:rsidR="00900465" w:rsidRPr="00F4226B">
        <w:rPr>
          <w:rFonts w:ascii="Times New Roman" w:hAnsi="Times New Roman"/>
          <w:sz w:val="24"/>
          <w:szCs w:val="24"/>
          <w:lang w:val="en-US"/>
        </w:rPr>
        <w:t>)</w:t>
      </w:r>
      <w:r w:rsidR="002C4F99" w:rsidRPr="00F4226B">
        <w:rPr>
          <w:rFonts w:ascii="Times New Roman" w:hAnsi="Times New Roman"/>
          <w:bCs/>
          <w:sz w:val="24"/>
          <w:szCs w:val="24"/>
          <w:lang w:val="en-US"/>
        </w:rPr>
        <w:t xml:space="preserve">. </w:t>
      </w:r>
      <w:r w:rsidR="00887346" w:rsidRPr="00F4226B">
        <w:rPr>
          <w:rFonts w:ascii="Times New Roman" w:hAnsi="Times New Roman"/>
          <w:bCs/>
          <w:sz w:val="24"/>
          <w:szCs w:val="24"/>
          <w:lang w:val="en-US"/>
        </w:rPr>
        <w:t>In addition</w:t>
      </w:r>
      <w:r w:rsidR="00997D6C" w:rsidRPr="00F4226B">
        <w:rPr>
          <w:rFonts w:ascii="Times New Roman" w:hAnsi="Times New Roman"/>
          <w:bCs/>
          <w:sz w:val="24"/>
          <w:szCs w:val="24"/>
          <w:lang w:val="en-US"/>
        </w:rPr>
        <w:t xml:space="preserve">, </w:t>
      </w:r>
      <w:r w:rsidR="00AE76E1" w:rsidRPr="00F4226B">
        <w:rPr>
          <w:rFonts w:ascii="Times New Roman" w:hAnsi="Times New Roman"/>
          <w:bCs/>
          <w:sz w:val="24"/>
          <w:szCs w:val="24"/>
          <w:lang w:val="en-US"/>
        </w:rPr>
        <w:t>the government</w:t>
      </w:r>
      <w:r w:rsidR="0078203B" w:rsidRPr="00F4226B">
        <w:rPr>
          <w:rFonts w:ascii="Times New Roman" w:hAnsi="Times New Roman"/>
          <w:bCs/>
          <w:sz w:val="24"/>
          <w:szCs w:val="24"/>
          <w:lang w:val="en-US"/>
        </w:rPr>
        <w:t>’s</w:t>
      </w:r>
      <w:r w:rsidR="00997D6C" w:rsidRPr="00F4226B">
        <w:rPr>
          <w:rFonts w:ascii="Times New Roman" w:hAnsi="Times New Roman"/>
          <w:bCs/>
          <w:sz w:val="24"/>
          <w:szCs w:val="24"/>
          <w:lang w:val="en-US"/>
        </w:rPr>
        <w:t xml:space="preserve"> decision to pull out of the Commonwealth led to further isolation</w:t>
      </w:r>
      <w:r w:rsidR="00887346" w:rsidRPr="00F4226B">
        <w:rPr>
          <w:rFonts w:ascii="Times New Roman" w:hAnsi="Times New Roman"/>
          <w:bCs/>
          <w:sz w:val="24"/>
          <w:szCs w:val="24"/>
          <w:lang w:val="en-US"/>
        </w:rPr>
        <w:t>. T</w:t>
      </w:r>
      <w:r w:rsidR="00C3727E" w:rsidRPr="00F4226B">
        <w:rPr>
          <w:rFonts w:ascii="Times New Roman" w:hAnsi="Times New Roman"/>
          <w:bCs/>
          <w:sz w:val="24"/>
          <w:szCs w:val="24"/>
          <w:lang w:val="en-US"/>
        </w:rPr>
        <w:t>he U</w:t>
      </w:r>
      <w:r w:rsidR="00CF66F9">
        <w:rPr>
          <w:rFonts w:ascii="Times New Roman" w:hAnsi="Times New Roman"/>
          <w:bCs/>
          <w:sz w:val="24"/>
          <w:szCs w:val="24"/>
          <w:lang w:val="en-US"/>
        </w:rPr>
        <w:t xml:space="preserve">nited </w:t>
      </w:r>
      <w:r w:rsidR="00C3727E" w:rsidRPr="00F4226B">
        <w:rPr>
          <w:rFonts w:ascii="Times New Roman" w:hAnsi="Times New Roman"/>
          <w:bCs/>
          <w:sz w:val="24"/>
          <w:szCs w:val="24"/>
          <w:lang w:val="en-US"/>
        </w:rPr>
        <w:t>S</w:t>
      </w:r>
      <w:r w:rsidR="00CF66F9">
        <w:rPr>
          <w:rFonts w:ascii="Times New Roman" w:hAnsi="Times New Roman"/>
          <w:bCs/>
          <w:sz w:val="24"/>
          <w:szCs w:val="24"/>
          <w:lang w:val="en-US"/>
        </w:rPr>
        <w:t>tates</w:t>
      </w:r>
      <w:r w:rsidR="00C3727E" w:rsidRPr="00F4226B">
        <w:rPr>
          <w:rFonts w:ascii="Times New Roman" w:hAnsi="Times New Roman"/>
          <w:bCs/>
          <w:sz w:val="24"/>
          <w:szCs w:val="24"/>
          <w:lang w:val="en-US"/>
        </w:rPr>
        <w:t xml:space="preserve"> and the European Union </w:t>
      </w:r>
      <w:r w:rsidR="00887346" w:rsidRPr="00F4226B">
        <w:rPr>
          <w:rFonts w:ascii="Times New Roman" w:hAnsi="Times New Roman"/>
          <w:bCs/>
          <w:sz w:val="24"/>
          <w:szCs w:val="24"/>
          <w:lang w:val="en-US"/>
        </w:rPr>
        <w:t xml:space="preserve">eventually </w:t>
      </w:r>
      <w:r w:rsidR="00C3727E" w:rsidRPr="00F4226B">
        <w:rPr>
          <w:rFonts w:ascii="Times New Roman" w:hAnsi="Times New Roman"/>
          <w:bCs/>
          <w:sz w:val="24"/>
          <w:szCs w:val="24"/>
          <w:lang w:val="en-US"/>
        </w:rPr>
        <w:t xml:space="preserve">imposed targeted sanctions </w:t>
      </w:r>
      <w:r w:rsidR="00130879" w:rsidRPr="00F4226B">
        <w:rPr>
          <w:rFonts w:ascii="Times New Roman" w:hAnsi="Times New Roman"/>
          <w:bCs/>
          <w:sz w:val="24"/>
          <w:szCs w:val="24"/>
          <w:lang w:val="en-US"/>
        </w:rPr>
        <w:t>on the country</w:t>
      </w:r>
      <w:r w:rsidR="00003B3A">
        <w:rPr>
          <w:rFonts w:ascii="Times New Roman" w:hAnsi="Times New Roman"/>
          <w:bCs/>
          <w:sz w:val="24"/>
          <w:szCs w:val="24"/>
          <w:lang w:val="en-US"/>
        </w:rPr>
        <w:t>,</w:t>
      </w:r>
      <w:r w:rsidR="00130879" w:rsidRPr="00F4226B">
        <w:rPr>
          <w:rFonts w:ascii="Times New Roman" w:hAnsi="Times New Roman"/>
          <w:bCs/>
          <w:sz w:val="24"/>
          <w:szCs w:val="24"/>
          <w:lang w:val="en-US"/>
        </w:rPr>
        <w:t xml:space="preserve"> </w:t>
      </w:r>
      <w:r w:rsidR="00C3727E" w:rsidRPr="00F4226B">
        <w:rPr>
          <w:rFonts w:ascii="Times New Roman" w:hAnsi="Times New Roman"/>
          <w:bCs/>
          <w:sz w:val="24"/>
          <w:szCs w:val="24"/>
          <w:lang w:val="en-US"/>
        </w:rPr>
        <w:t xml:space="preserve">and external </w:t>
      </w:r>
      <w:r w:rsidR="00236AD0" w:rsidRPr="00F4226B">
        <w:rPr>
          <w:rFonts w:ascii="Times New Roman" w:hAnsi="Times New Roman"/>
          <w:bCs/>
          <w:sz w:val="24"/>
          <w:szCs w:val="24"/>
          <w:lang w:val="en-US"/>
        </w:rPr>
        <w:t xml:space="preserve">financial </w:t>
      </w:r>
      <w:r w:rsidR="00C3727E" w:rsidRPr="00F4226B">
        <w:rPr>
          <w:rFonts w:ascii="Times New Roman" w:hAnsi="Times New Roman"/>
          <w:bCs/>
          <w:sz w:val="24"/>
          <w:szCs w:val="24"/>
          <w:lang w:val="en-US"/>
        </w:rPr>
        <w:t xml:space="preserve">support became confined to </w:t>
      </w:r>
      <w:r w:rsidR="00887346" w:rsidRPr="00F4226B">
        <w:rPr>
          <w:rFonts w:ascii="Times New Roman" w:hAnsi="Times New Roman"/>
          <w:bCs/>
          <w:sz w:val="24"/>
          <w:szCs w:val="24"/>
          <w:lang w:val="en-US"/>
        </w:rPr>
        <w:t xml:space="preserve">only </w:t>
      </w:r>
      <w:r w:rsidR="00C3727E" w:rsidRPr="00F4226B">
        <w:rPr>
          <w:rFonts w:ascii="Times New Roman" w:hAnsi="Times New Roman"/>
          <w:bCs/>
          <w:sz w:val="24"/>
          <w:szCs w:val="24"/>
          <w:lang w:val="en-US"/>
        </w:rPr>
        <w:t xml:space="preserve">humanitarian assistance. Against this backdrop, </w:t>
      </w:r>
      <w:r w:rsidR="002C4F99" w:rsidRPr="00F4226B">
        <w:rPr>
          <w:rFonts w:ascii="Times New Roman" w:hAnsi="Times New Roman"/>
          <w:bCs/>
          <w:sz w:val="24"/>
          <w:szCs w:val="24"/>
          <w:lang w:val="en-US"/>
        </w:rPr>
        <w:t xml:space="preserve">the government turned to excessive use of bank </w:t>
      </w:r>
      <w:r w:rsidR="00003B3A" w:rsidRPr="00F4226B">
        <w:rPr>
          <w:rFonts w:ascii="Times New Roman" w:hAnsi="Times New Roman"/>
          <w:bCs/>
          <w:sz w:val="24"/>
          <w:szCs w:val="24"/>
          <w:lang w:val="en-US"/>
        </w:rPr>
        <w:t>financ</w:t>
      </w:r>
      <w:r w:rsidR="00003B3A">
        <w:rPr>
          <w:rFonts w:ascii="Times New Roman" w:hAnsi="Times New Roman"/>
          <w:bCs/>
          <w:sz w:val="24"/>
          <w:szCs w:val="24"/>
          <w:lang w:val="en-US"/>
        </w:rPr>
        <w:t>ing</w:t>
      </w:r>
      <w:r w:rsidR="002C4F99" w:rsidRPr="00F4226B">
        <w:rPr>
          <w:rFonts w:ascii="Times New Roman" w:hAnsi="Times New Roman"/>
          <w:bCs/>
          <w:sz w:val="24"/>
          <w:szCs w:val="24"/>
          <w:lang w:val="en-US"/>
        </w:rPr>
        <w:t xml:space="preserve">, </w:t>
      </w:r>
      <w:r w:rsidR="00003B3A">
        <w:rPr>
          <w:rFonts w:ascii="Times New Roman" w:hAnsi="Times New Roman"/>
          <w:bCs/>
          <w:sz w:val="24"/>
          <w:szCs w:val="24"/>
          <w:lang w:val="en-US"/>
        </w:rPr>
        <w:t>which fueled</w:t>
      </w:r>
      <w:r w:rsidR="002C4F99" w:rsidRPr="00F4226B">
        <w:rPr>
          <w:rFonts w:ascii="Times New Roman" w:hAnsi="Times New Roman"/>
          <w:bCs/>
          <w:sz w:val="24"/>
          <w:szCs w:val="24"/>
          <w:lang w:val="en-US"/>
        </w:rPr>
        <w:t xml:space="preserve"> money supply growth and an upsurge in inflation. In the 2000</w:t>
      </w:r>
      <w:r w:rsidR="003766C2">
        <w:rPr>
          <w:rFonts w:ascii="Times New Roman" w:hAnsi="Times New Roman"/>
          <w:bCs/>
          <w:sz w:val="24"/>
          <w:szCs w:val="24"/>
          <w:lang w:val="en-US"/>
        </w:rPr>
        <w:t>–</w:t>
      </w:r>
      <w:r w:rsidR="002C4F99" w:rsidRPr="00F4226B">
        <w:rPr>
          <w:rFonts w:ascii="Times New Roman" w:hAnsi="Times New Roman"/>
          <w:bCs/>
          <w:sz w:val="24"/>
          <w:szCs w:val="24"/>
          <w:lang w:val="en-US"/>
        </w:rPr>
        <w:t>2002</w:t>
      </w:r>
      <w:r w:rsidR="00003B3A" w:rsidRPr="00F4226B">
        <w:rPr>
          <w:rFonts w:ascii="Times New Roman" w:hAnsi="Times New Roman"/>
          <w:bCs/>
          <w:sz w:val="24"/>
          <w:szCs w:val="24"/>
          <w:lang w:val="en-US"/>
        </w:rPr>
        <w:t xml:space="preserve"> period</w:t>
      </w:r>
      <w:r w:rsidR="002C4F99" w:rsidRPr="00F4226B">
        <w:rPr>
          <w:rFonts w:ascii="Times New Roman" w:hAnsi="Times New Roman"/>
          <w:bCs/>
          <w:sz w:val="24"/>
          <w:szCs w:val="24"/>
          <w:lang w:val="en-US"/>
        </w:rPr>
        <w:t xml:space="preserve">, </w:t>
      </w:r>
      <w:r w:rsidR="00936FC6" w:rsidRPr="00F4226B">
        <w:rPr>
          <w:rFonts w:ascii="Times New Roman" w:hAnsi="Times New Roman"/>
          <w:bCs/>
          <w:sz w:val="24"/>
          <w:szCs w:val="24"/>
          <w:lang w:val="en-US"/>
        </w:rPr>
        <w:t>year-o</w:t>
      </w:r>
      <w:r w:rsidR="00887346" w:rsidRPr="00F4226B">
        <w:rPr>
          <w:rFonts w:ascii="Times New Roman" w:hAnsi="Times New Roman"/>
          <w:bCs/>
          <w:sz w:val="24"/>
          <w:szCs w:val="24"/>
          <w:lang w:val="en-US"/>
        </w:rPr>
        <w:t>ver</w:t>
      </w:r>
      <w:r w:rsidR="00936FC6" w:rsidRPr="00F4226B">
        <w:rPr>
          <w:rFonts w:ascii="Times New Roman" w:hAnsi="Times New Roman"/>
          <w:bCs/>
          <w:sz w:val="24"/>
          <w:szCs w:val="24"/>
          <w:lang w:val="en-US"/>
        </w:rPr>
        <w:t xml:space="preserve">-year </w:t>
      </w:r>
      <w:r w:rsidR="002C4F99" w:rsidRPr="00F4226B">
        <w:rPr>
          <w:rFonts w:ascii="Times New Roman" w:hAnsi="Times New Roman"/>
          <w:bCs/>
          <w:sz w:val="24"/>
          <w:szCs w:val="24"/>
          <w:lang w:val="en-US"/>
        </w:rPr>
        <w:t>inflation increased from 5</w:t>
      </w:r>
      <w:r w:rsidR="00C8185D" w:rsidRPr="00F4226B">
        <w:rPr>
          <w:rFonts w:ascii="Times New Roman" w:hAnsi="Times New Roman"/>
          <w:bCs/>
          <w:sz w:val="24"/>
          <w:szCs w:val="24"/>
          <w:lang w:val="en-US"/>
        </w:rPr>
        <w:t>5.9</w:t>
      </w:r>
      <w:r w:rsidR="002C4F99" w:rsidRPr="00F4226B">
        <w:rPr>
          <w:rFonts w:ascii="Times New Roman" w:hAnsi="Times New Roman"/>
          <w:bCs/>
          <w:sz w:val="24"/>
          <w:szCs w:val="24"/>
          <w:lang w:val="en-US"/>
        </w:rPr>
        <w:t>% to 1</w:t>
      </w:r>
      <w:r w:rsidR="00C8185D" w:rsidRPr="00F4226B">
        <w:rPr>
          <w:rFonts w:ascii="Times New Roman" w:hAnsi="Times New Roman"/>
          <w:bCs/>
          <w:sz w:val="24"/>
          <w:szCs w:val="24"/>
          <w:lang w:val="en-US"/>
        </w:rPr>
        <w:t>40.1</w:t>
      </w:r>
      <w:r w:rsidR="00003B3A" w:rsidRPr="00F4226B">
        <w:rPr>
          <w:rFonts w:ascii="Times New Roman" w:hAnsi="Times New Roman"/>
          <w:bCs/>
          <w:sz w:val="24"/>
          <w:szCs w:val="24"/>
          <w:lang w:val="en-US"/>
        </w:rPr>
        <w:t>%</w:t>
      </w:r>
      <w:r w:rsidR="00003B3A">
        <w:rPr>
          <w:rFonts w:ascii="Times New Roman" w:hAnsi="Times New Roman"/>
          <w:bCs/>
          <w:sz w:val="24"/>
          <w:szCs w:val="24"/>
          <w:lang w:val="en-US"/>
        </w:rPr>
        <w:t>. T</w:t>
      </w:r>
      <w:r w:rsidR="002E43C6" w:rsidRPr="00F4226B">
        <w:rPr>
          <w:rFonts w:ascii="Times New Roman" w:hAnsi="Times New Roman"/>
          <w:bCs/>
          <w:sz w:val="24"/>
          <w:szCs w:val="24"/>
          <w:lang w:val="en-US"/>
        </w:rPr>
        <w:t>hen</w:t>
      </w:r>
      <w:r w:rsidR="00AE1DB1" w:rsidRPr="00F4226B">
        <w:rPr>
          <w:rFonts w:ascii="Times New Roman" w:hAnsi="Times New Roman"/>
          <w:bCs/>
          <w:sz w:val="24"/>
          <w:szCs w:val="24"/>
          <w:lang w:val="en-US"/>
        </w:rPr>
        <w:t xml:space="preserve">, following </w:t>
      </w:r>
      <w:r w:rsidR="00003B3A">
        <w:rPr>
          <w:rFonts w:ascii="Times New Roman" w:hAnsi="Times New Roman"/>
          <w:bCs/>
          <w:sz w:val="24"/>
          <w:szCs w:val="24"/>
          <w:lang w:val="en-US"/>
        </w:rPr>
        <w:t xml:space="preserve">the </w:t>
      </w:r>
      <w:r w:rsidR="00AE1DB1" w:rsidRPr="00F4226B">
        <w:rPr>
          <w:rFonts w:ascii="Times New Roman" w:hAnsi="Times New Roman"/>
          <w:bCs/>
          <w:sz w:val="24"/>
          <w:szCs w:val="24"/>
          <w:lang w:val="en-US"/>
        </w:rPr>
        <w:t xml:space="preserve">disputed presidential </w:t>
      </w:r>
      <w:r w:rsidR="00AE1DB1" w:rsidRPr="00F4226B">
        <w:rPr>
          <w:rFonts w:ascii="Times New Roman" w:hAnsi="Times New Roman"/>
          <w:bCs/>
          <w:sz w:val="24"/>
          <w:szCs w:val="24"/>
          <w:lang w:val="en-US"/>
        </w:rPr>
        <w:lastRenderedPageBreak/>
        <w:t xml:space="preserve">elections in 2002, </w:t>
      </w:r>
      <w:r w:rsidR="00003B3A">
        <w:rPr>
          <w:rFonts w:ascii="Times New Roman" w:hAnsi="Times New Roman"/>
          <w:bCs/>
          <w:sz w:val="24"/>
          <w:szCs w:val="24"/>
          <w:lang w:val="en-US"/>
        </w:rPr>
        <w:t xml:space="preserve">it </w:t>
      </w:r>
      <w:r w:rsidR="002C4F99" w:rsidRPr="00F4226B">
        <w:rPr>
          <w:rFonts w:ascii="Times New Roman" w:hAnsi="Times New Roman"/>
          <w:bCs/>
          <w:sz w:val="24"/>
          <w:szCs w:val="24"/>
          <w:lang w:val="en-US"/>
        </w:rPr>
        <w:t xml:space="preserve">dramatically </w:t>
      </w:r>
      <w:r w:rsidR="006E7C93" w:rsidRPr="00F4226B">
        <w:rPr>
          <w:rFonts w:ascii="Times New Roman" w:hAnsi="Times New Roman"/>
          <w:bCs/>
          <w:sz w:val="24"/>
          <w:szCs w:val="24"/>
          <w:lang w:val="en-US"/>
        </w:rPr>
        <w:t>shot</w:t>
      </w:r>
      <w:r w:rsidR="00003B3A">
        <w:rPr>
          <w:rFonts w:ascii="Times New Roman" w:hAnsi="Times New Roman"/>
          <w:bCs/>
          <w:sz w:val="24"/>
          <w:szCs w:val="24"/>
          <w:lang w:val="en-US"/>
        </w:rPr>
        <w:t xml:space="preserve"> </w:t>
      </w:r>
      <w:r w:rsidR="006E7C93" w:rsidRPr="00F4226B">
        <w:rPr>
          <w:rFonts w:ascii="Times New Roman" w:hAnsi="Times New Roman"/>
          <w:bCs/>
          <w:sz w:val="24"/>
          <w:szCs w:val="24"/>
          <w:lang w:val="en-US"/>
        </w:rPr>
        <w:t xml:space="preserve">up </w:t>
      </w:r>
      <w:r w:rsidR="002C4F99" w:rsidRPr="00F4226B">
        <w:rPr>
          <w:rFonts w:ascii="Times New Roman" w:hAnsi="Times New Roman"/>
          <w:bCs/>
          <w:sz w:val="24"/>
          <w:szCs w:val="24"/>
          <w:lang w:val="en-US"/>
        </w:rPr>
        <w:t xml:space="preserve">to </w:t>
      </w:r>
      <w:r w:rsidR="00C8185D" w:rsidRPr="00F4226B">
        <w:rPr>
          <w:rFonts w:ascii="Times New Roman" w:hAnsi="Times New Roman"/>
          <w:bCs/>
          <w:sz w:val="24"/>
          <w:szCs w:val="24"/>
          <w:lang w:val="en-US"/>
        </w:rPr>
        <w:t>431.7</w:t>
      </w:r>
      <w:r w:rsidR="002C4F99" w:rsidRPr="00F4226B">
        <w:rPr>
          <w:rFonts w:ascii="Times New Roman" w:hAnsi="Times New Roman"/>
          <w:bCs/>
          <w:sz w:val="24"/>
          <w:szCs w:val="24"/>
          <w:lang w:val="en-US"/>
        </w:rPr>
        <w:t>% in 2003</w:t>
      </w:r>
      <w:r w:rsidR="002E43C6" w:rsidRPr="00F4226B">
        <w:rPr>
          <w:rFonts w:ascii="Times New Roman" w:hAnsi="Times New Roman"/>
          <w:bCs/>
          <w:sz w:val="24"/>
          <w:szCs w:val="24"/>
          <w:lang w:val="en-US"/>
        </w:rPr>
        <w:t xml:space="preserve"> b</w:t>
      </w:r>
      <w:r w:rsidR="00936FC6" w:rsidRPr="00F4226B">
        <w:rPr>
          <w:rFonts w:ascii="Times New Roman" w:hAnsi="Times New Roman"/>
          <w:bCs/>
          <w:sz w:val="24"/>
          <w:szCs w:val="24"/>
          <w:lang w:val="en-US"/>
        </w:rPr>
        <w:t xml:space="preserve">efore falling </w:t>
      </w:r>
      <w:r w:rsidR="002C4F99" w:rsidRPr="00F4226B">
        <w:rPr>
          <w:rFonts w:ascii="Times New Roman" w:hAnsi="Times New Roman"/>
          <w:bCs/>
          <w:sz w:val="24"/>
          <w:szCs w:val="24"/>
          <w:lang w:val="en-US"/>
        </w:rPr>
        <w:t xml:space="preserve">to </w:t>
      </w:r>
      <w:r w:rsidR="00C8185D" w:rsidRPr="00F4226B">
        <w:rPr>
          <w:rFonts w:ascii="Times New Roman" w:hAnsi="Times New Roman"/>
          <w:bCs/>
          <w:sz w:val="24"/>
          <w:szCs w:val="24"/>
          <w:lang w:val="en-US"/>
        </w:rPr>
        <w:t>302.</w:t>
      </w:r>
      <w:r w:rsidR="008D651A" w:rsidRPr="00F4226B">
        <w:rPr>
          <w:rFonts w:ascii="Times New Roman" w:hAnsi="Times New Roman"/>
          <w:bCs/>
          <w:sz w:val="24"/>
          <w:szCs w:val="24"/>
          <w:lang w:val="en-US"/>
        </w:rPr>
        <w:t>1</w:t>
      </w:r>
      <w:r w:rsidR="002C4F99" w:rsidRPr="00F4226B">
        <w:rPr>
          <w:rFonts w:ascii="Times New Roman" w:hAnsi="Times New Roman"/>
          <w:bCs/>
          <w:sz w:val="24"/>
          <w:szCs w:val="24"/>
          <w:lang w:val="en-US"/>
        </w:rPr>
        <w:t xml:space="preserve">% </w:t>
      </w:r>
      <w:r w:rsidR="00936FC6" w:rsidRPr="00F4226B">
        <w:rPr>
          <w:rFonts w:ascii="Times New Roman" w:hAnsi="Times New Roman"/>
          <w:bCs/>
          <w:sz w:val="24"/>
          <w:szCs w:val="24"/>
          <w:lang w:val="en-US"/>
        </w:rPr>
        <w:t xml:space="preserve">in </w:t>
      </w:r>
      <w:r w:rsidR="002E43C6" w:rsidRPr="00F4226B">
        <w:rPr>
          <w:rFonts w:ascii="Times New Roman" w:hAnsi="Times New Roman"/>
          <w:bCs/>
          <w:sz w:val="24"/>
          <w:szCs w:val="24"/>
          <w:lang w:val="en-US"/>
        </w:rPr>
        <w:t xml:space="preserve">2005 </w:t>
      </w:r>
      <w:r w:rsidR="002C4F99" w:rsidRPr="00F4226B">
        <w:rPr>
          <w:rFonts w:ascii="Times New Roman" w:hAnsi="Times New Roman"/>
          <w:bCs/>
          <w:sz w:val="24"/>
          <w:szCs w:val="24"/>
          <w:lang w:val="en-US"/>
        </w:rPr>
        <w:t>(see Table 1).</w:t>
      </w:r>
      <w:r w:rsidR="00BF4197" w:rsidRPr="00F4226B">
        <w:rPr>
          <w:rFonts w:ascii="Times New Roman" w:hAnsi="Times New Roman"/>
          <w:bCs/>
          <w:sz w:val="24"/>
          <w:szCs w:val="24"/>
          <w:lang w:val="en-US"/>
        </w:rPr>
        <w:t xml:space="preserve"> </w:t>
      </w:r>
      <w:r w:rsidR="005B19BD" w:rsidRPr="00F4226B">
        <w:rPr>
          <w:rFonts w:ascii="Times New Roman" w:hAnsi="Times New Roman"/>
          <w:bCs/>
          <w:sz w:val="24"/>
          <w:szCs w:val="24"/>
          <w:lang w:val="en-US"/>
        </w:rPr>
        <w:t>T</w:t>
      </w:r>
      <w:r w:rsidR="005B19BD" w:rsidRPr="00F4226B">
        <w:rPr>
          <w:rFonts w:ascii="Times New Roman" w:hAnsi="Times New Roman"/>
          <w:sz w:val="24"/>
          <w:szCs w:val="24"/>
          <w:lang w:val="en-US"/>
        </w:rPr>
        <w:t>he</w:t>
      </w:r>
      <w:r w:rsidR="00936FC6" w:rsidRPr="00F4226B">
        <w:rPr>
          <w:rFonts w:ascii="Times New Roman" w:hAnsi="Times New Roman"/>
          <w:sz w:val="24"/>
          <w:szCs w:val="24"/>
          <w:lang w:val="en-US"/>
        </w:rPr>
        <w:t>se</w:t>
      </w:r>
      <w:r w:rsidR="005B19BD" w:rsidRPr="00F4226B">
        <w:rPr>
          <w:rFonts w:ascii="Times New Roman" w:hAnsi="Times New Roman"/>
          <w:sz w:val="24"/>
          <w:szCs w:val="24"/>
          <w:lang w:val="en-US"/>
        </w:rPr>
        <w:t xml:space="preserve"> </w:t>
      </w:r>
      <w:r w:rsidR="00BF4197" w:rsidRPr="00F4226B">
        <w:rPr>
          <w:rFonts w:ascii="Times New Roman" w:hAnsi="Times New Roman"/>
          <w:sz w:val="24"/>
          <w:szCs w:val="24"/>
          <w:lang w:val="en-US"/>
        </w:rPr>
        <w:t>high rates of inflation</w:t>
      </w:r>
      <w:r w:rsidR="00936FC6" w:rsidRPr="00F4226B">
        <w:rPr>
          <w:rFonts w:ascii="Times New Roman" w:hAnsi="Times New Roman"/>
          <w:sz w:val="24"/>
          <w:szCs w:val="24"/>
          <w:lang w:val="en-US"/>
        </w:rPr>
        <w:t xml:space="preserve">, coupled with a fall in </w:t>
      </w:r>
      <w:r w:rsidR="00003B3A">
        <w:rPr>
          <w:rFonts w:ascii="Times New Roman" w:hAnsi="Times New Roman"/>
          <w:sz w:val="24"/>
          <w:szCs w:val="24"/>
          <w:lang w:val="en-US"/>
        </w:rPr>
        <w:t xml:space="preserve">the </w:t>
      </w:r>
      <w:r w:rsidR="00936FC6" w:rsidRPr="00F4226B">
        <w:rPr>
          <w:rFonts w:ascii="Times New Roman" w:hAnsi="Times New Roman"/>
          <w:sz w:val="24"/>
          <w:szCs w:val="24"/>
          <w:lang w:val="en-US"/>
        </w:rPr>
        <w:t xml:space="preserve">productivity of key sectors such as agriculture and manufacturing, </w:t>
      </w:r>
      <w:r w:rsidR="00BF4197" w:rsidRPr="00F4226B">
        <w:rPr>
          <w:rFonts w:ascii="Times New Roman" w:hAnsi="Times New Roman"/>
          <w:sz w:val="24"/>
          <w:szCs w:val="24"/>
          <w:lang w:val="en-US"/>
        </w:rPr>
        <w:t xml:space="preserve">contributed to the contraction in </w:t>
      </w:r>
      <w:r w:rsidR="00062C40" w:rsidRPr="00F4226B">
        <w:rPr>
          <w:rFonts w:ascii="Times New Roman" w:hAnsi="Times New Roman"/>
          <w:sz w:val="24"/>
          <w:szCs w:val="24"/>
          <w:lang w:val="en-US"/>
        </w:rPr>
        <w:t xml:space="preserve">the </w:t>
      </w:r>
      <w:r w:rsidR="005B19BD" w:rsidRPr="00F4226B">
        <w:rPr>
          <w:rFonts w:ascii="Times New Roman" w:hAnsi="Times New Roman"/>
          <w:sz w:val="24"/>
          <w:szCs w:val="24"/>
          <w:lang w:val="en-US"/>
        </w:rPr>
        <w:t>economy</w:t>
      </w:r>
      <w:r w:rsidR="00BF4197" w:rsidRPr="00F4226B">
        <w:rPr>
          <w:rFonts w:ascii="Times New Roman" w:hAnsi="Times New Roman"/>
          <w:sz w:val="24"/>
          <w:szCs w:val="24"/>
          <w:lang w:val="en-US"/>
        </w:rPr>
        <w:t xml:space="preserve">. In particular, </w:t>
      </w:r>
      <w:r w:rsidR="005B19BD" w:rsidRPr="00F4226B">
        <w:rPr>
          <w:rFonts w:ascii="Times New Roman" w:hAnsi="Times New Roman"/>
          <w:bCs/>
          <w:sz w:val="24"/>
          <w:szCs w:val="24"/>
          <w:lang w:val="en-US"/>
        </w:rPr>
        <w:t>real GDP shrunk by 2.</w:t>
      </w:r>
      <w:r w:rsidR="00BF4197" w:rsidRPr="00F4226B">
        <w:rPr>
          <w:rFonts w:ascii="Times New Roman" w:hAnsi="Times New Roman"/>
          <w:bCs/>
          <w:sz w:val="24"/>
          <w:szCs w:val="24"/>
          <w:lang w:val="en-US"/>
        </w:rPr>
        <w:t>7</w:t>
      </w:r>
      <w:r w:rsidR="005B19BD" w:rsidRPr="00F4226B">
        <w:rPr>
          <w:rFonts w:ascii="Times New Roman" w:hAnsi="Times New Roman"/>
          <w:bCs/>
          <w:sz w:val="24"/>
          <w:szCs w:val="24"/>
          <w:lang w:val="en-US"/>
        </w:rPr>
        <w:t xml:space="preserve">% </w:t>
      </w:r>
      <w:r w:rsidR="00003B3A">
        <w:rPr>
          <w:rFonts w:ascii="Times New Roman" w:hAnsi="Times New Roman"/>
          <w:bCs/>
          <w:sz w:val="24"/>
          <w:szCs w:val="24"/>
          <w:lang w:val="en-US"/>
        </w:rPr>
        <w:t xml:space="preserve">to </w:t>
      </w:r>
      <w:r w:rsidR="00BF4197" w:rsidRPr="00F4226B">
        <w:rPr>
          <w:rFonts w:ascii="Times New Roman" w:hAnsi="Times New Roman"/>
          <w:bCs/>
          <w:sz w:val="24"/>
          <w:szCs w:val="24"/>
          <w:lang w:val="en-US"/>
        </w:rPr>
        <w:t>7.9</w:t>
      </w:r>
      <w:r w:rsidR="005B19BD" w:rsidRPr="00F4226B">
        <w:rPr>
          <w:rFonts w:ascii="Times New Roman" w:hAnsi="Times New Roman"/>
          <w:bCs/>
          <w:sz w:val="24"/>
          <w:szCs w:val="24"/>
          <w:lang w:val="en-US"/>
        </w:rPr>
        <w:t>% in the 2000</w:t>
      </w:r>
      <w:r w:rsidR="003766C2">
        <w:rPr>
          <w:rFonts w:ascii="Times New Roman" w:hAnsi="Times New Roman"/>
          <w:bCs/>
          <w:sz w:val="24"/>
          <w:szCs w:val="24"/>
          <w:lang w:val="en-US"/>
        </w:rPr>
        <w:t>–</w:t>
      </w:r>
      <w:r w:rsidR="005B19BD" w:rsidRPr="00F4226B">
        <w:rPr>
          <w:rFonts w:ascii="Times New Roman" w:hAnsi="Times New Roman"/>
          <w:bCs/>
          <w:sz w:val="24"/>
          <w:szCs w:val="24"/>
          <w:lang w:val="en-US"/>
        </w:rPr>
        <w:t xml:space="preserve">2002 </w:t>
      </w:r>
      <w:r w:rsidR="00003B3A" w:rsidRPr="00F4226B">
        <w:rPr>
          <w:rFonts w:ascii="Times New Roman" w:hAnsi="Times New Roman"/>
          <w:bCs/>
          <w:sz w:val="24"/>
          <w:szCs w:val="24"/>
          <w:lang w:val="en-US"/>
        </w:rPr>
        <w:t xml:space="preserve">period </w:t>
      </w:r>
      <w:r w:rsidR="005B19BD" w:rsidRPr="00F4226B">
        <w:rPr>
          <w:rFonts w:ascii="Times New Roman" w:hAnsi="Times New Roman"/>
          <w:bCs/>
          <w:sz w:val="24"/>
          <w:szCs w:val="24"/>
          <w:lang w:val="en-US"/>
        </w:rPr>
        <w:t xml:space="preserve">and then by </w:t>
      </w:r>
      <w:r w:rsidR="00BF4197" w:rsidRPr="00F4226B">
        <w:rPr>
          <w:rFonts w:ascii="Times New Roman" w:hAnsi="Times New Roman"/>
          <w:bCs/>
          <w:sz w:val="24"/>
          <w:szCs w:val="24"/>
          <w:lang w:val="en-US"/>
        </w:rPr>
        <w:t>3</w:t>
      </w:r>
      <w:r w:rsidR="00B76A7B" w:rsidRPr="00F4226B">
        <w:rPr>
          <w:rFonts w:ascii="Times New Roman" w:hAnsi="Times New Roman"/>
          <w:bCs/>
          <w:sz w:val="24"/>
          <w:szCs w:val="24"/>
          <w:lang w:val="en-US"/>
        </w:rPr>
        <w:t xml:space="preserve">.8% </w:t>
      </w:r>
      <w:r w:rsidR="00003B3A">
        <w:rPr>
          <w:rFonts w:ascii="Times New Roman" w:hAnsi="Times New Roman"/>
          <w:bCs/>
          <w:sz w:val="24"/>
          <w:szCs w:val="24"/>
          <w:lang w:val="en-US"/>
        </w:rPr>
        <w:t>to</w:t>
      </w:r>
      <w:r w:rsidR="00003B3A" w:rsidRPr="00F4226B">
        <w:rPr>
          <w:rFonts w:ascii="Times New Roman" w:hAnsi="Times New Roman"/>
          <w:bCs/>
          <w:sz w:val="24"/>
          <w:szCs w:val="24"/>
          <w:lang w:val="en-US"/>
        </w:rPr>
        <w:t xml:space="preserve"> </w:t>
      </w:r>
      <w:r w:rsidR="00B76A7B" w:rsidRPr="00F4226B">
        <w:rPr>
          <w:rFonts w:ascii="Times New Roman" w:hAnsi="Times New Roman"/>
          <w:bCs/>
          <w:sz w:val="24"/>
          <w:szCs w:val="24"/>
          <w:lang w:val="en-US"/>
        </w:rPr>
        <w:t>10.4% in the 2003</w:t>
      </w:r>
      <w:r w:rsidR="003766C2">
        <w:rPr>
          <w:rFonts w:ascii="Times New Roman" w:hAnsi="Times New Roman"/>
          <w:bCs/>
          <w:sz w:val="24"/>
          <w:szCs w:val="24"/>
          <w:lang w:val="en-US"/>
        </w:rPr>
        <w:t>–</w:t>
      </w:r>
      <w:r w:rsidR="005B19BD" w:rsidRPr="00F4226B">
        <w:rPr>
          <w:rFonts w:ascii="Times New Roman" w:hAnsi="Times New Roman"/>
          <w:bCs/>
          <w:sz w:val="24"/>
          <w:szCs w:val="24"/>
          <w:lang w:val="en-US"/>
        </w:rPr>
        <w:t>2005</w:t>
      </w:r>
      <w:r w:rsidR="00003B3A" w:rsidRPr="00F4226B">
        <w:rPr>
          <w:rFonts w:ascii="Times New Roman" w:hAnsi="Times New Roman"/>
          <w:bCs/>
          <w:sz w:val="24"/>
          <w:szCs w:val="24"/>
          <w:lang w:val="en-US"/>
        </w:rPr>
        <w:t xml:space="preserve"> period</w:t>
      </w:r>
      <w:r w:rsidR="00BF4197" w:rsidRPr="00F4226B">
        <w:rPr>
          <w:rFonts w:ascii="Times New Roman" w:hAnsi="Times New Roman"/>
          <w:bCs/>
          <w:sz w:val="24"/>
          <w:szCs w:val="24"/>
          <w:lang w:val="en-US"/>
        </w:rPr>
        <w:t xml:space="preserve">, </w:t>
      </w:r>
      <w:r w:rsidR="00422321">
        <w:rPr>
          <w:rFonts w:ascii="Times New Roman" w:hAnsi="Times New Roman"/>
          <w:bCs/>
          <w:sz w:val="24"/>
          <w:szCs w:val="24"/>
          <w:lang w:val="en-US"/>
        </w:rPr>
        <w:t xml:space="preserve">representing </w:t>
      </w:r>
      <w:r w:rsidR="00BF4197" w:rsidRPr="00F4226B">
        <w:rPr>
          <w:rFonts w:ascii="Times New Roman" w:hAnsi="Times New Roman"/>
          <w:bCs/>
          <w:sz w:val="24"/>
          <w:szCs w:val="24"/>
          <w:lang w:val="en-US"/>
        </w:rPr>
        <w:t xml:space="preserve">an overall </w:t>
      </w:r>
      <w:r w:rsidR="00BF4197" w:rsidRPr="00F4226B">
        <w:rPr>
          <w:rFonts w:ascii="Times New Roman" w:hAnsi="Times New Roman"/>
          <w:sz w:val="24"/>
          <w:szCs w:val="24"/>
          <w:lang w:val="en-US"/>
        </w:rPr>
        <w:t>decline of 3</w:t>
      </w:r>
      <w:r w:rsidR="00AE76E1" w:rsidRPr="00F4226B">
        <w:rPr>
          <w:rFonts w:ascii="Times New Roman" w:hAnsi="Times New Roman"/>
          <w:sz w:val="24"/>
          <w:szCs w:val="24"/>
          <w:lang w:val="en-US"/>
        </w:rPr>
        <w:t>4.</w:t>
      </w:r>
      <w:r w:rsidR="00BF4197" w:rsidRPr="00F4226B">
        <w:rPr>
          <w:rFonts w:ascii="Times New Roman" w:hAnsi="Times New Roman"/>
          <w:sz w:val="24"/>
          <w:szCs w:val="24"/>
          <w:lang w:val="en-US"/>
        </w:rPr>
        <w:t>5% between 2000 and 2005 (see Table 1).</w:t>
      </w:r>
      <w:r w:rsidR="00A238D0" w:rsidRPr="00F4226B">
        <w:rPr>
          <w:rFonts w:ascii="Times New Roman" w:hAnsi="Times New Roman"/>
          <w:sz w:val="24"/>
          <w:szCs w:val="24"/>
          <w:lang w:val="en-US"/>
        </w:rPr>
        <w:t xml:space="preserve"> </w:t>
      </w:r>
    </w:p>
    <w:p w14:paraId="6C37F261" w14:textId="77777777" w:rsidR="00AC6366" w:rsidRPr="00F4226B" w:rsidRDefault="00AC6366" w:rsidP="00AC6366">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t>-----------------------------------</w:t>
      </w:r>
    </w:p>
    <w:p w14:paraId="395A54B9" w14:textId="77777777" w:rsidR="00AC6366" w:rsidRPr="00F4226B" w:rsidRDefault="00AC6366" w:rsidP="003820D1">
      <w:pPr>
        <w:spacing w:line="240" w:lineRule="auto"/>
        <w:ind w:firstLine="284"/>
        <w:jc w:val="center"/>
        <w:outlineLvl w:val="0"/>
        <w:rPr>
          <w:rFonts w:ascii="Times New Roman" w:hAnsi="Times New Roman"/>
          <w:b/>
          <w:sz w:val="24"/>
          <w:szCs w:val="24"/>
          <w:lang w:val="en-US"/>
        </w:rPr>
      </w:pPr>
      <w:r w:rsidRPr="00F4226B">
        <w:rPr>
          <w:rFonts w:ascii="Times New Roman" w:hAnsi="Times New Roman"/>
          <w:b/>
          <w:sz w:val="24"/>
          <w:szCs w:val="24"/>
          <w:lang w:val="en-US"/>
        </w:rPr>
        <w:t>Insert Table 1 About Here</w:t>
      </w:r>
    </w:p>
    <w:p w14:paraId="5970FCD2" w14:textId="77777777" w:rsidR="00AC6366" w:rsidRPr="00F4226B" w:rsidRDefault="00AC6366" w:rsidP="00582332">
      <w:pPr>
        <w:spacing w:line="360" w:lineRule="auto"/>
        <w:jc w:val="center"/>
        <w:rPr>
          <w:rFonts w:ascii="Times New Roman" w:hAnsi="Times New Roman"/>
          <w:sz w:val="24"/>
          <w:szCs w:val="24"/>
          <w:lang w:val="en-US"/>
        </w:rPr>
      </w:pPr>
      <w:r w:rsidRPr="00F4226B">
        <w:rPr>
          <w:rFonts w:ascii="Times New Roman" w:hAnsi="Times New Roman"/>
          <w:b/>
          <w:sz w:val="24"/>
          <w:szCs w:val="24"/>
          <w:lang w:val="en-US"/>
        </w:rPr>
        <w:t>-----------------------------------</w:t>
      </w:r>
    </w:p>
    <w:p w14:paraId="5E9FE64B" w14:textId="3271910A" w:rsidR="00B04E90" w:rsidRPr="00F4226B" w:rsidRDefault="00A238D0" w:rsidP="003467B0">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The post</w:t>
      </w:r>
      <w:r w:rsidR="00EC13D5" w:rsidRPr="00F4226B">
        <w:rPr>
          <w:rFonts w:ascii="Times New Roman" w:hAnsi="Times New Roman"/>
          <w:sz w:val="24"/>
          <w:szCs w:val="24"/>
          <w:lang w:val="en-US"/>
        </w:rPr>
        <w:t>-</w:t>
      </w:r>
      <w:r w:rsidRPr="00F4226B">
        <w:rPr>
          <w:rFonts w:ascii="Times New Roman" w:hAnsi="Times New Roman"/>
          <w:sz w:val="24"/>
          <w:szCs w:val="24"/>
          <w:lang w:val="en-US"/>
        </w:rPr>
        <w:t xml:space="preserve">2005 period </w:t>
      </w:r>
      <w:r w:rsidR="00EC13D5" w:rsidRPr="00F4226B">
        <w:rPr>
          <w:rFonts w:ascii="Times New Roman" w:hAnsi="Times New Roman"/>
          <w:sz w:val="24"/>
          <w:szCs w:val="24"/>
          <w:lang w:val="en-US"/>
        </w:rPr>
        <w:t xml:space="preserve">witnessed </w:t>
      </w:r>
      <w:r w:rsidR="009C092D" w:rsidRPr="00F4226B">
        <w:rPr>
          <w:rFonts w:ascii="Times New Roman" w:hAnsi="Times New Roman"/>
          <w:sz w:val="24"/>
          <w:szCs w:val="24"/>
          <w:lang w:val="en-US"/>
        </w:rPr>
        <w:t xml:space="preserve">further </w:t>
      </w:r>
      <w:r w:rsidR="00422321">
        <w:rPr>
          <w:rFonts w:ascii="Times New Roman" w:hAnsi="Times New Roman"/>
          <w:sz w:val="24"/>
          <w:szCs w:val="24"/>
          <w:lang w:val="en-US"/>
        </w:rPr>
        <w:t xml:space="preserve">economic </w:t>
      </w:r>
      <w:r w:rsidRPr="00F4226B">
        <w:rPr>
          <w:rFonts w:ascii="Times New Roman" w:hAnsi="Times New Roman"/>
          <w:sz w:val="24"/>
          <w:szCs w:val="24"/>
          <w:lang w:val="en-US"/>
        </w:rPr>
        <w:t>deterioration</w:t>
      </w:r>
      <w:r w:rsidR="00422321">
        <w:rPr>
          <w:rFonts w:ascii="Times New Roman" w:hAnsi="Times New Roman"/>
          <w:sz w:val="24"/>
          <w:szCs w:val="24"/>
          <w:lang w:val="en-US"/>
        </w:rPr>
        <w:t xml:space="preserve"> and</w:t>
      </w:r>
      <w:r w:rsidR="009C092D" w:rsidRPr="00F4226B">
        <w:rPr>
          <w:rFonts w:ascii="Times New Roman" w:hAnsi="Times New Roman"/>
          <w:sz w:val="24"/>
          <w:szCs w:val="24"/>
          <w:lang w:val="en-US"/>
        </w:rPr>
        <w:t xml:space="preserve"> an unprecedented </w:t>
      </w:r>
      <w:r w:rsidR="00EC13D5" w:rsidRPr="00F4226B">
        <w:rPr>
          <w:rFonts w:ascii="Times New Roman" w:hAnsi="Times New Roman"/>
          <w:sz w:val="24"/>
          <w:szCs w:val="24"/>
          <w:lang w:val="en-US"/>
        </w:rPr>
        <w:t>up</w:t>
      </w:r>
      <w:r w:rsidRPr="00F4226B">
        <w:rPr>
          <w:rFonts w:ascii="Times New Roman" w:hAnsi="Times New Roman"/>
          <w:sz w:val="24"/>
          <w:szCs w:val="24"/>
          <w:lang w:val="en-US"/>
        </w:rPr>
        <w:t xml:space="preserve">surge in inflation. </w:t>
      </w:r>
      <w:r w:rsidR="001E5A7B" w:rsidRPr="00F4226B">
        <w:rPr>
          <w:rFonts w:ascii="Times New Roman" w:hAnsi="Times New Roman"/>
          <w:sz w:val="24"/>
          <w:szCs w:val="24"/>
          <w:lang w:val="en-US"/>
        </w:rPr>
        <w:t>T</w:t>
      </w:r>
      <w:r w:rsidR="009B56F0" w:rsidRPr="00F4226B">
        <w:rPr>
          <w:rFonts w:ascii="Times New Roman" w:hAnsi="Times New Roman"/>
          <w:sz w:val="24"/>
          <w:szCs w:val="24"/>
          <w:lang w:val="en-US"/>
        </w:rPr>
        <w:t xml:space="preserve">o </w:t>
      </w:r>
      <w:r w:rsidR="00F4226B" w:rsidRPr="00F4226B">
        <w:rPr>
          <w:rFonts w:ascii="Times New Roman" w:hAnsi="Times New Roman"/>
          <w:sz w:val="24"/>
          <w:szCs w:val="24"/>
          <w:lang w:val="en-US"/>
        </w:rPr>
        <w:t>stabilize</w:t>
      </w:r>
      <w:r w:rsidR="00EC13D5" w:rsidRPr="00F4226B">
        <w:rPr>
          <w:rFonts w:ascii="Times New Roman" w:hAnsi="Times New Roman"/>
          <w:sz w:val="24"/>
          <w:szCs w:val="24"/>
          <w:lang w:val="en-US"/>
        </w:rPr>
        <w:t xml:space="preserve"> </w:t>
      </w:r>
      <w:r w:rsidR="009B56F0" w:rsidRPr="00F4226B">
        <w:rPr>
          <w:rFonts w:ascii="Times New Roman" w:hAnsi="Times New Roman"/>
          <w:sz w:val="24"/>
          <w:szCs w:val="24"/>
          <w:lang w:val="en-US"/>
        </w:rPr>
        <w:t>inflation, t</w:t>
      </w:r>
      <w:r w:rsidRPr="00F4226B">
        <w:rPr>
          <w:rFonts w:ascii="Times New Roman" w:hAnsi="Times New Roman"/>
          <w:sz w:val="24"/>
          <w:szCs w:val="24"/>
          <w:lang w:val="en-US"/>
        </w:rPr>
        <w:t xml:space="preserve">he Reserve Bank of Zimbabwe revalued the </w:t>
      </w:r>
      <w:r w:rsidR="003467B0" w:rsidRPr="00F4226B">
        <w:rPr>
          <w:rFonts w:ascii="Times New Roman" w:hAnsi="Times New Roman"/>
          <w:sz w:val="24"/>
          <w:szCs w:val="24"/>
          <w:lang w:val="en-US"/>
        </w:rPr>
        <w:t xml:space="preserve">Zimbabwe dollar </w:t>
      </w:r>
      <w:r w:rsidR="003467B0" w:rsidRPr="00F4226B">
        <w:rPr>
          <w:rFonts w:ascii="Times New Roman" w:hAnsi="Times New Roman"/>
          <w:sz w:val="24"/>
          <w:szCs w:val="24"/>
          <w:lang w:val="en-US"/>
        </w:rPr>
        <w:lastRenderedPageBreak/>
        <w:t>(</w:t>
      </w:r>
      <w:r w:rsidR="00561B58" w:rsidRPr="00F4226B">
        <w:rPr>
          <w:rFonts w:ascii="Times New Roman" w:hAnsi="Times New Roman"/>
          <w:sz w:val="24"/>
          <w:szCs w:val="24"/>
          <w:lang w:val="en-US"/>
        </w:rPr>
        <w:t>Z$</w:t>
      </w:r>
      <w:r w:rsidR="003467B0" w:rsidRPr="00F4226B">
        <w:rPr>
          <w:rFonts w:ascii="Times New Roman" w:hAnsi="Times New Roman"/>
          <w:sz w:val="24"/>
          <w:szCs w:val="24"/>
          <w:lang w:val="en-US"/>
        </w:rPr>
        <w:t>)</w:t>
      </w:r>
      <w:r w:rsidRPr="00F4226B">
        <w:rPr>
          <w:rFonts w:ascii="Times New Roman" w:hAnsi="Times New Roman"/>
          <w:sz w:val="24"/>
          <w:szCs w:val="24"/>
          <w:lang w:val="en-US"/>
        </w:rPr>
        <w:t xml:space="preserve"> three times </w:t>
      </w:r>
      <w:r w:rsidR="001E5A7B" w:rsidRPr="00F4226B">
        <w:rPr>
          <w:rFonts w:ascii="Times New Roman" w:hAnsi="Times New Roman"/>
          <w:sz w:val="24"/>
          <w:szCs w:val="24"/>
          <w:lang w:val="en-US"/>
        </w:rPr>
        <w:t>between 2</w:t>
      </w:r>
      <w:r w:rsidRPr="00F4226B">
        <w:rPr>
          <w:rFonts w:ascii="Times New Roman" w:hAnsi="Times New Roman"/>
          <w:sz w:val="24"/>
          <w:szCs w:val="24"/>
          <w:lang w:val="en-US"/>
        </w:rPr>
        <w:t>006</w:t>
      </w:r>
      <w:r w:rsidR="001E5A7B" w:rsidRPr="00F4226B">
        <w:rPr>
          <w:rFonts w:ascii="Times New Roman" w:hAnsi="Times New Roman"/>
          <w:sz w:val="24"/>
          <w:szCs w:val="24"/>
          <w:lang w:val="en-US"/>
        </w:rPr>
        <w:t xml:space="preserve"> and </w:t>
      </w:r>
      <w:r w:rsidRPr="00F4226B">
        <w:rPr>
          <w:rFonts w:ascii="Times New Roman" w:hAnsi="Times New Roman"/>
          <w:sz w:val="24"/>
          <w:szCs w:val="24"/>
          <w:lang w:val="en-US"/>
        </w:rPr>
        <w:t xml:space="preserve">2009 before </w:t>
      </w:r>
      <w:r w:rsidR="00962846" w:rsidRPr="00F4226B">
        <w:rPr>
          <w:rFonts w:ascii="Times New Roman" w:hAnsi="Times New Roman"/>
          <w:sz w:val="24"/>
          <w:szCs w:val="24"/>
          <w:lang w:val="en-US"/>
        </w:rPr>
        <w:t xml:space="preserve">officially </w:t>
      </w:r>
      <w:r w:rsidR="0007505E" w:rsidRPr="00F4226B">
        <w:rPr>
          <w:rFonts w:ascii="Times New Roman" w:hAnsi="Times New Roman"/>
          <w:sz w:val="24"/>
          <w:szCs w:val="24"/>
          <w:lang w:val="en-US"/>
        </w:rPr>
        <w:t xml:space="preserve">scrapping </w:t>
      </w:r>
      <w:r w:rsidR="001E5A7B" w:rsidRPr="00F4226B">
        <w:rPr>
          <w:rFonts w:ascii="Times New Roman" w:hAnsi="Times New Roman"/>
          <w:sz w:val="24"/>
          <w:szCs w:val="24"/>
          <w:lang w:val="en-US"/>
        </w:rPr>
        <w:t xml:space="preserve">it </w:t>
      </w:r>
      <w:r w:rsidR="00533D58" w:rsidRPr="00F4226B">
        <w:rPr>
          <w:rFonts w:ascii="Times New Roman" w:hAnsi="Times New Roman"/>
          <w:sz w:val="24"/>
          <w:szCs w:val="24"/>
          <w:lang w:val="en-US"/>
        </w:rPr>
        <w:t xml:space="preserve">on April </w:t>
      </w:r>
      <w:r w:rsidR="003766C2">
        <w:rPr>
          <w:rFonts w:ascii="Times New Roman" w:hAnsi="Times New Roman"/>
          <w:sz w:val="24"/>
          <w:szCs w:val="24"/>
          <w:lang w:val="en-US"/>
        </w:rPr>
        <w:t xml:space="preserve">12, </w:t>
      </w:r>
      <w:r w:rsidR="00962846" w:rsidRPr="00F4226B">
        <w:rPr>
          <w:rFonts w:ascii="Times New Roman" w:hAnsi="Times New Roman"/>
          <w:sz w:val="24"/>
          <w:szCs w:val="24"/>
          <w:lang w:val="en-US"/>
        </w:rPr>
        <w:t>2009</w:t>
      </w:r>
      <w:r w:rsidR="003766C2">
        <w:rPr>
          <w:rFonts w:ascii="Times New Roman" w:hAnsi="Times New Roman"/>
          <w:sz w:val="24"/>
          <w:szCs w:val="24"/>
          <w:lang w:val="en-US"/>
        </w:rPr>
        <w:t>,</w:t>
      </w:r>
      <w:r w:rsidR="003467B0" w:rsidRPr="00F4226B">
        <w:rPr>
          <w:rFonts w:ascii="Times New Roman" w:hAnsi="Times New Roman"/>
          <w:sz w:val="24"/>
          <w:szCs w:val="24"/>
          <w:lang w:val="en-US"/>
        </w:rPr>
        <w:t xml:space="preserve"> </w:t>
      </w:r>
      <w:r w:rsidR="0007505E" w:rsidRPr="00F4226B">
        <w:rPr>
          <w:rFonts w:ascii="Times New Roman" w:hAnsi="Times New Roman"/>
          <w:sz w:val="24"/>
          <w:szCs w:val="24"/>
          <w:lang w:val="en-US"/>
        </w:rPr>
        <w:t xml:space="preserve">and </w:t>
      </w:r>
      <w:r w:rsidR="003467B0" w:rsidRPr="00F4226B">
        <w:rPr>
          <w:rFonts w:ascii="Times New Roman" w:hAnsi="Times New Roman"/>
          <w:sz w:val="24"/>
          <w:szCs w:val="24"/>
          <w:lang w:val="en-US"/>
        </w:rPr>
        <w:t>replacing it with</w:t>
      </w:r>
      <w:r w:rsidR="0007505E" w:rsidRPr="00F4226B">
        <w:rPr>
          <w:rFonts w:ascii="Times New Roman" w:hAnsi="Times New Roman"/>
          <w:sz w:val="24"/>
          <w:szCs w:val="24"/>
          <w:lang w:val="en-US"/>
        </w:rPr>
        <w:t xml:space="preserve"> </w:t>
      </w:r>
      <w:r w:rsidR="00EC13D5" w:rsidRPr="00F4226B">
        <w:rPr>
          <w:rFonts w:ascii="Times New Roman" w:hAnsi="Times New Roman"/>
          <w:sz w:val="24"/>
          <w:szCs w:val="24"/>
          <w:lang w:val="en-US"/>
        </w:rPr>
        <w:t xml:space="preserve">a </w:t>
      </w:r>
      <w:r w:rsidR="0007505E" w:rsidRPr="00F4226B">
        <w:rPr>
          <w:rFonts w:ascii="Times New Roman" w:hAnsi="Times New Roman"/>
          <w:sz w:val="24"/>
          <w:szCs w:val="24"/>
          <w:lang w:val="en-US"/>
        </w:rPr>
        <w:t>multi</w:t>
      </w:r>
      <w:r w:rsidR="00EC13D5" w:rsidRPr="00F4226B">
        <w:rPr>
          <w:rFonts w:ascii="Times New Roman" w:hAnsi="Times New Roman"/>
          <w:sz w:val="24"/>
          <w:szCs w:val="24"/>
          <w:lang w:val="en-US"/>
        </w:rPr>
        <w:t>-</w:t>
      </w:r>
      <w:r w:rsidR="0007505E" w:rsidRPr="00F4226B">
        <w:rPr>
          <w:rFonts w:ascii="Times New Roman" w:hAnsi="Times New Roman"/>
          <w:sz w:val="24"/>
          <w:szCs w:val="24"/>
          <w:lang w:val="en-US"/>
        </w:rPr>
        <w:t>currenc</w:t>
      </w:r>
      <w:r w:rsidR="00EC13D5" w:rsidRPr="00F4226B">
        <w:rPr>
          <w:rFonts w:ascii="Times New Roman" w:hAnsi="Times New Roman"/>
          <w:sz w:val="24"/>
          <w:szCs w:val="24"/>
          <w:lang w:val="en-US"/>
        </w:rPr>
        <w:t>y system, with the US</w:t>
      </w:r>
      <w:r w:rsidR="003766C2">
        <w:rPr>
          <w:rFonts w:ascii="Times New Roman" w:hAnsi="Times New Roman"/>
          <w:sz w:val="24"/>
          <w:szCs w:val="24"/>
          <w:lang w:val="en-US"/>
        </w:rPr>
        <w:t xml:space="preserve"> dollar</w:t>
      </w:r>
      <w:r w:rsidR="00EC13D5" w:rsidRPr="00F4226B">
        <w:rPr>
          <w:rFonts w:ascii="Times New Roman" w:hAnsi="Times New Roman"/>
          <w:sz w:val="24"/>
          <w:szCs w:val="24"/>
          <w:lang w:val="en-US"/>
        </w:rPr>
        <w:t xml:space="preserve"> as the main currency</w:t>
      </w:r>
      <w:r w:rsidR="00533D58" w:rsidRPr="00F4226B">
        <w:rPr>
          <w:rFonts w:ascii="Times New Roman" w:hAnsi="Times New Roman"/>
          <w:sz w:val="24"/>
          <w:szCs w:val="24"/>
          <w:lang w:val="en-US"/>
        </w:rPr>
        <w:t xml:space="preserve"> (Noko</w:t>
      </w:r>
      <w:r w:rsidR="006A53EF" w:rsidRPr="00F4226B">
        <w:rPr>
          <w:rFonts w:ascii="Times New Roman" w:hAnsi="Times New Roman"/>
          <w:sz w:val="24"/>
          <w:szCs w:val="24"/>
          <w:lang w:val="en-US"/>
        </w:rPr>
        <w:t xml:space="preserve"> </w:t>
      </w:r>
      <w:r w:rsidR="00533D58" w:rsidRPr="00F4226B">
        <w:rPr>
          <w:rFonts w:ascii="Times New Roman" w:hAnsi="Times New Roman"/>
          <w:sz w:val="24"/>
          <w:szCs w:val="24"/>
          <w:lang w:val="en-US"/>
        </w:rPr>
        <w:t>2011)</w:t>
      </w:r>
      <w:r w:rsidR="0007505E" w:rsidRPr="00F4226B">
        <w:rPr>
          <w:rFonts w:ascii="Times New Roman" w:hAnsi="Times New Roman"/>
          <w:sz w:val="24"/>
          <w:szCs w:val="24"/>
          <w:lang w:val="en-US"/>
        </w:rPr>
        <w:t>.</w:t>
      </w:r>
      <w:r w:rsidR="009B56F0" w:rsidRPr="00F4226B">
        <w:rPr>
          <w:rFonts w:ascii="Times New Roman" w:hAnsi="Times New Roman"/>
          <w:sz w:val="24"/>
          <w:szCs w:val="24"/>
          <w:lang w:val="en-US"/>
        </w:rPr>
        <w:t xml:space="preserve"> </w:t>
      </w:r>
      <w:r w:rsidR="00962846" w:rsidRPr="00F4226B">
        <w:rPr>
          <w:rFonts w:ascii="Times New Roman" w:hAnsi="Times New Roman"/>
          <w:sz w:val="24"/>
          <w:szCs w:val="24"/>
          <w:lang w:val="en-US"/>
        </w:rPr>
        <w:t>T</w:t>
      </w:r>
      <w:r w:rsidR="003467B0" w:rsidRPr="00F4226B">
        <w:rPr>
          <w:rFonts w:ascii="Times New Roman" w:hAnsi="Times New Roman"/>
          <w:sz w:val="24"/>
          <w:szCs w:val="24"/>
          <w:lang w:val="en-US"/>
        </w:rPr>
        <w:t>he introducti</w:t>
      </w:r>
      <w:r w:rsidR="00962846" w:rsidRPr="00F4226B">
        <w:rPr>
          <w:rFonts w:ascii="Times New Roman" w:hAnsi="Times New Roman"/>
          <w:sz w:val="24"/>
          <w:szCs w:val="24"/>
          <w:lang w:val="en-US"/>
        </w:rPr>
        <w:t xml:space="preserve">on of the multi-currency system brought the hyperinflation to an end. </w:t>
      </w:r>
      <w:r w:rsidR="00963E2A" w:rsidRPr="00F4226B">
        <w:rPr>
          <w:rFonts w:ascii="Times New Roman" w:hAnsi="Times New Roman"/>
          <w:sz w:val="24"/>
          <w:szCs w:val="24"/>
          <w:lang w:val="en-US"/>
        </w:rPr>
        <w:t>During the 2009</w:t>
      </w:r>
      <w:r w:rsidR="003766C2">
        <w:rPr>
          <w:rFonts w:ascii="Times New Roman" w:hAnsi="Times New Roman"/>
          <w:sz w:val="24"/>
          <w:szCs w:val="24"/>
          <w:lang w:val="en-US"/>
        </w:rPr>
        <w:t>–</w:t>
      </w:r>
      <w:r w:rsidR="00963E2A" w:rsidRPr="00F4226B">
        <w:rPr>
          <w:rFonts w:ascii="Times New Roman" w:hAnsi="Times New Roman"/>
          <w:sz w:val="24"/>
          <w:szCs w:val="24"/>
          <w:lang w:val="en-US"/>
        </w:rPr>
        <w:t>2013 period, the average annual inflation rate was 3.3%, while real GDP grew by more than 8% per year (Brixiova and Ncube 2014).</w:t>
      </w:r>
    </w:p>
    <w:p w14:paraId="3752BB91" w14:textId="77777777" w:rsidR="00486AFB" w:rsidRPr="00F4226B" w:rsidRDefault="00486AFB" w:rsidP="00804A08">
      <w:pPr>
        <w:spacing w:line="360" w:lineRule="auto"/>
        <w:jc w:val="both"/>
        <w:rPr>
          <w:rFonts w:ascii="Times New Roman" w:hAnsi="Times New Roman"/>
          <w:bCs/>
          <w:sz w:val="24"/>
          <w:szCs w:val="24"/>
          <w:lang w:val="en-US"/>
        </w:rPr>
      </w:pPr>
    </w:p>
    <w:p w14:paraId="7BF267DD" w14:textId="77777777" w:rsidR="007B295E" w:rsidRPr="00804A08" w:rsidRDefault="00167521" w:rsidP="003820D1">
      <w:pPr>
        <w:spacing w:line="240" w:lineRule="auto"/>
        <w:jc w:val="both"/>
        <w:outlineLvl w:val="0"/>
        <w:rPr>
          <w:rFonts w:ascii="Times New Roman" w:hAnsi="Times New Roman"/>
          <w:i/>
          <w:sz w:val="24"/>
          <w:szCs w:val="24"/>
          <w:lang w:val="en-US"/>
        </w:rPr>
      </w:pPr>
      <w:r w:rsidRPr="00804A08">
        <w:rPr>
          <w:rFonts w:ascii="Times New Roman" w:hAnsi="Times New Roman"/>
          <w:i/>
          <w:sz w:val="24"/>
          <w:szCs w:val="24"/>
          <w:lang w:val="en-US"/>
        </w:rPr>
        <w:t xml:space="preserve">2.2 </w:t>
      </w:r>
      <w:r w:rsidR="002E43C6" w:rsidRPr="00804A08">
        <w:rPr>
          <w:rFonts w:ascii="Times New Roman" w:hAnsi="Times New Roman"/>
          <w:i/>
          <w:sz w:val="24"/>
          <w:szCs w:val="24"/>
          <w:lang w:val="en-US"/>
        </w:rPr>
        <w:t xml:space="preserve">Financial accounting and </w:t>
      </w:r>
      <w:r w:rsidR="007B295E" w:rsidRPr="00804A08">
        <w:rPr>
          <w:rFonts w:ascii="Times New Roman" w:hAnsi="Times New Roman"/>
          <w:i/>
          <w:sz w:val="24"/>
          <w:szCs w:val="24"/>
          <w:lang w:val="en-US"/>
        </w:rPr>
        <w:t>reporting</w:t>
      </w:r>
    </w:p>
    <w:p w14:paraId="1D878059" w14:textId="4F584937" w:rsidR="00FE3DFD" w:rsidRPr="00F4226B" w:rsidRDefault="00E126D8" w:rsidP="00CF3168">
      <w:pPr>
        <w:spacing w:line="360" w:lineRule="auto"/>
        <w:jc w:val="both"/>
        <w:rPr>
          <w:rFonts w:ascii="Times New Roman" w:hAnsi="Times New Roman"/>
          <w:sz w:val="24"/>
          <w:szCs w:val="24"/>
          <w:lang w:val="en-US"/>
        </w:rPr>
      </w:pPr>
      <w:r w:rsidRPr="00F4226B">
        <w:rPr>
          <w:rFonts w:ascii="Times New Roman" w:hAnsi="Times New Roman"/>
          <w:sz w:val="24"/>
          <w:szCs w:val="24"/>
          <w:lang w:val="en-US"/>
        </w:rPr>
        <w:t>In Zimbabwe, the regulatory framework for financi</w:t>
      </w:r>
      <w:r w:rsidR="00C7025C" w:rsidRPr="00F4226B">
        <w:rPr>
          <w:rFonts w:ascii="Times New Roman" w:hAnsi="Times New Roman"/>
          <w:sz w:val="24"/>
          <w:szCs w:val="24"/>
          <w:lang w:val="en-US"/>
        </w:rPr>
        <w:t>a</w:t>
      </w:r>
      <w:r w:rsidRPr="00F4226B">
        <w:rPr>
          <w:rFonts w:ascii="Times New Roman" w:hAnsi="Times New Roman"/>
          <w:sz w:val="24"/>
          <w:szCs w:val="24"/>
          <w:lang w:val="en-US"/>
        </w:rPr>
        <w:t xml:space="preserve">l accounting and reporting </w:t>
      </w:r>
      <w:r w:rsidR="00C7025C" w:rsidRPr="00F4226B">
        <w:rPr>
          <w:rFonts w:ascii="Times New Roman" w:hAnsi="Times New Roman"/>
          <w:sz w:val="24"/>
          <w:szCs w:val="24"/>
          <w:lang w:val="en-US"/>
        </w:rPr>
        <w:t>rests on three pillars</w:t>
      </w:r>
      <w:r w:rsidR="00422321">
        <w:rPr>
          <w:rFonts w:ascii="Times New Roman" w:hAnsi="Times New Roman"/>
          <w:sz w:val="24"/>
          <w:szCs w:val="24"/>
          <w:lang w:val="en-US"/>
        </w:rPr>
        <w:t>:</w:t>
      </w:r>
      <w:r w:rsidR="00F4226B">
        <w:rPr>
          <w:rFonts w:ascii="Times New Roman" w:hAnsi="Times New Roman"/>
          <w:sz w:val="24"/>
          <w:szCs w:val="24"/>
          <w:lang w:val="en-US"/>
        </w:rPr>
        <w:t xml:space="preserve"> </w:t>
      </w:r>
      <w:r w:rsidR="00C7025C" w:rsidRPr="00F4226B">
        <w:rPr>
          <w:rFonts w:ascii="Times New Roman" w:hAnsi="Times New Roman"/>
          <w:sz w:val="24"/>
          <w:szCs w:val="24"/>
          <w:lang w:val="en-US"/>
        </w:rPr>
        <w:t xml:space="preserve">the </w:t>
      </w:r>
      <w:r w:rsidR="008B4D67" w:rsidRPr="00F4226B">
        <w:rPr>
          <w:rFonts w:ascii="Times New Roman" w:hAnsi="Times New Roman"/>
          <w:sz w:val="24"/>
          <w:szCs w:val="24"/>
          <w:lang w:val="en-US"/>
        </w:rPr>
        <w:t>Companies Act</w:t>
      </w:r>
      <w:r w:rsidR="00062C40" w:rsidRPr="00F4226B">
        <w:rPr>
          <w:rFonts w:ascii="Times New Roman" w:hAnsi="Times New Roman"/>
          <w:sz w:val="24"/>
          <w:szCs w:val="24"/>
          <w:lang w:val="en-US"/>
        </w:rPr>
        <w:t xml:space="preserve"> </w:t>
      </w:r>
      <w:r w:rsidR="00EE5941" w:rsidRPr="00F4226B">
        <w:rPr>
          <w:rFonts w:ascii="Times New Roman" w:hAnsi="Times New Roman"/>
          <w:sz w:val="24"/>
          <w:szCs w:val="24"/>
          <w:lang w:val="en-US"/>
        </w:rPr>
        <w:t>(</w:t>
      </w:r>
      <w:r w:rsidR="00062C40" w:rsidRPr="00F4226B">
        <w:rPr>
          <w:rFonts w:ascii="Times New Roman" w:hAnsi="Times New Roman"/>
          <w:color w:val="222222"/>
          <w:sz w:val="24"/>
          <w:szCs w:val="24"/>
          <w:lang w:val="en-US"/>
        </w:rPr>
        <w:t>Chapter 24:03</w:t>
      </w:r>
      <w:r w:rsidR="00EE5941" w:rsidRPr="00F4226B">
        <w:rPr>
          <w:rFonts w:ascii="Times New Roman" w:hAnsi="Times New Roman"/>
          <w:color w:val="222222"/>
          <w:sz w:val="24"/>
          <w:szCs w:val="24"/>
          <w:lang w:val="en-US"/>
        </w:rPr>
        <w:t>)</w:t>
      </w:r>
      <w:r w:rsidR="00C7025C" w:rsidRPr="00F4226B">
        <w:rPr>
          <w:rFonts w:ascii="Times New Roman" w:hAnsi="Times New Roman"/>
          <w:sz w:val="24"/>
          <w:szCs w:val="24"/>
          <w:lang w:val="en-US"/>
        </w:rPr>
        <w:t xml:space="preserve">, </w:t>
      </w:r>
      <w:r w:rsidR="00A54170" w:rsidRPr="00F4226B">
        <w:rPr>
          <w:rFonts w:ascii="Times New Roman" w:hAnsi="Times New Roman"/>
          <w:sz w:val="24"/>
          <w:szCs w:val="24"/>
          <w:lang w:val="en-US"/>
        </w:rPr>
        <w:t xml:space="preserve">accounting standards and </w:t>
      </w:r>
      <w:r w:rsidR="00C7025C" w:rsidRPr="00F4226B">
        <w:rPr>
          <w:rFonts w:ascii="Times New Roman" w:hAnsi="Times New Roman"/>
          <w:sz w:val="24"/>
          <w:szCs w:val="24"/>
          <w:lang w:val="en-US"/>
        </w:rPr>
        <w:t>the Z</w:t>
      </w:r>
      <w:r w:rsidR="00DA7782" w:rsidRPr="00F4226B">
        <w:rPr>
          <w:rFonts w:ascii="Times New Roman" w:hAnsi="Times New Roman"/>
          <w:sz w:val="24"/>
          <w:szCs w:val="24"/>
          <w:lang w:val="en-US"/>
        </w:rPr>
        <w:t>SE</w:t>
      </w:r>
      <w:r w:rsidR="00C7025C" w:rsidRPr="00F4226B">
        <w:rPr>
          <w:rFonts w:ascii="Times New Roman" w:hAnsi="Times New Roman"/>
          <w:sz w:val="24"/>
          <w:szCs w:val="24"/>
          <w:lang w:val="en-US"/>
        </w:rPr>
        <w:t xml:space="preserve"> listing requirements</w:t>
      </w:r>
      <w:r w:rsidR="00524ADB" w:rsidRPr="00F4226B">
        <w:rPr>
          <w:rFonts w:ascii="Times New Roman" w:hAnsi="Times New Roman"/>
          <w:sz w:val="24"/>
          <w:szCs w:val="24"/>
          <w:lang w:val="en-US"/>
        </w:rPr>
        <w:t xml:space="preserve">. </w:t>
      </w:r>
      <w:r w:rsidR="00A57709" w:rsidRPr="00F4226B">
        <w:rPr>
          <w:rFonts w:ascii="Times New Roman" w:hAnsi="Times New Roman"/>
          <w:sz w:val="24"/>
          <w:szCs w:val="24"/>
          <w:lang w:val="en-US"/>
        </w:rPr>
        <w:t>However, t</w:t>
      </w:r>
      <w:r w:rsidR="00062C40" w:rsidRPr="00F4226B">
        <w:rPr>
          <w:rFonts w:ascii="Times New Roman" w:hAnsi="Times New Roman"/>
          <w:sz w:val="24"/>
          <w:szCs w:val="24"/>
          <w:lang w:val="en-US"/>
        </w:rPr>
        <w:t xml:space="preserve">he </w:t>
      </w:r>
      <w:r w:rsidR="0031104F" w:rsidRPr="00F4226B">
        <w:rPr>
          <w:rFonts w:ascii="Times New Roman" w:hAnsi="Times New Roman"/>
          <w:sz w:val="24"/>
          <w:szCs w:val="24"/>
          <w:lang w:val="en-US"/>
        </w:rPr>
        <w:t xml:space="preserve">responsibility for </w:t>
      </w:r>
      <w:r w:rsidR="000200B3" w:rsidRPr="00F4226B">
        <w:rPr>
          <w:rFonts w:ascii="Times New Roman" w:hAnsi="Times New Roman"/>
          <w:sz w:val="24"/>
          <w:szCs w:val="24"/>
          <w:lang w:val="en-US"/>
        </w:rPr>
        <w:t xml:space="preserve">accounting standards </w:t>
      </w:r>
      <w:r w:rsidR="00CF239F" w:rsidRPr="00F4226B">
        <w:rPr>
          <w:rFonts w:ascii="Times New Roman" w:hAnsi="Times New Roman"/>
          <w:sz w:val="24"/>
          <w:szCs w:val="24"/>
          <w:lang w:val="en-US"/>
        </w:rPr>
        <w:t>lies</w:t>
      </w:r>
      <w:r w:rsidR="0031104F" w:rsidRPr="00F4226B">
        <w:rPr>
          <w:rFonts w:ascii="Times New Roman" w:hAnsi="Times New Roman"/>
          <w:sz w:val="24"/>
          <w:szCs w:val="24"/>
          <w:lang w:val="en-US"/>
        </w:rPr>
        <w:t xml:space="preserve"> with</w:t>
      </w:r>
      <w:r w:rsidR="000200B3" w:rsidRPr="00F4226B">
        <w:rPr>
          <w:rFonts w:ascii="Times New Roman" w:hAnsi="Times New Roman"/>
          <w:sz w:val="24"/>
          <w:szCs w:val="24"/>
          <w:lang w:val="en-US"/>
        </w:rPr>
        <w:t xml:space="preserve"> </w:t>
      </w:r>
      <w:r w:rsidR="009C092D" w:rsidRPr="00F4226B">
        <w:rPr>
          <w:rFonts w:ascii="Times New Roman" w:hAnsi="Times New Roman"/>
          <w:sz w:val="24"/>
          <w:szCs w:val="24"/>
          <w:lang w:val="en-US"/>
        </w:rPr>
        <w:t xml:space="preserve">the </w:t>
      </w:r>
      <w:r w:rsidR="000200B3" w:rsidRPr="00F4226B">
        <w:rPr>
          <w:rFonts w:ascii="Times New Roman" w:hAnsi="Times New Roman"/>
          <w:sz w:val="24"/>
          <w:szCs w:val="24"/>
          <w:lang w:val="en-US"/>
        </w:rPr>
        <w:t>ICAZ</w:t>
      </w:r>
      <w:r w:rsidR="00D2239E" w:rsidRPr="00F4226B">
        <w:rPr>
          <w:rFonts w:ascii="Times New Roman" w:hAnsi="Times New Roman"/>
          <w:sz w:val="24"/>
          <w:szCs w:val="24"/>
          <w:lang w:val="en-US"/>
        </w:rPr>
        <w:t>,</w:t>
      </w:r>
      <w:r w:rsidR="000200B3" w:rsidRPr="00F4226B">
        <w:rPr>
          <w:rFonts w:ascii="Times New Roman" w:hAnsi="Times New Roman"/>
          <w:sz w:val="24"/>
          <w:szCs w:val="24"/>
          <w:lang w:val="en-US"/>
        </w:rPr>
        <w:t xml:space="preserve"> which was established in 1918</w:t>
      </w:r>
      <w:r w:rsidR="00D47D6C" w:rsidRPr="00F4226B">
        <w:rPr>
          <w:rFonts w:ascii="Times New Roman" w:hAnsi="Times New Roman"/>
          <w:sz w:val="24"/>
          <w:szCs w:val="24"/>
          <w:lang w:val="en-US"/>
        </w:rPr>
        <w:t xml:space="preserve"> and </w:t>
      </w:r>
      <w:r w:rsidR="000200B3" w:rsidRPr="00F4226B">
        <w:rPr>
          <w:rFonts w:ascii="Times New Roman" w:hAnsi="Times New Roman"/>
          <w:sz w:val="24"/>
          <w:szCs w:val="24"/>
          <w:lang w:val="en-US"/>
        </w:rPr>
        <w:t xml:space="preserve">joined the </w:t>
      </w:r>
      <w:r w:rsidR="00F80A88" w:rsidRPr="00F4226B">
        <w:rPr>
          <w:rFonts w:ascii="Times New Roman" w:hAnsi="Times New Roman"/>
          <w:sz w:val="24"/>
          <w:szCs w:val="24"/>
          <w:lang w:val="en-US"/>
        </w:rPr>
        <w:t>I</w:t>
      </w:r>
      <w:r w:rsidR="00B02C69">
        <w:rPr>
          <w:rFonts w:ascii="Times New Roman" w:hAnsi="Times New Roman"/>
          <w:sz w:val="24"/>
          <w:szCs w:val="24"/>
          <w:lang w:val="en-US"/>
        </w:rPr>
        <w:t xml:space="preserve">nternational </w:t>
      </w:r>
      <w:r w:rsidR="00F80A88" w:rsidRPr="00F4226B">
        <w:rPr>
          <w:rFonts w:ascii="Times New Roman" w:hAnsi="Times New Roman"/>
          <w:sz w:val="24"/>
          <w:szCs w:val="24"/>
          <w:lang w:val="en-US"/>
        </w:rPr>
        <w:t>A</w:t>
      </w:r>
      <w:r w:rsidR="00B02C69">
        <w:rPr>
          <w:rFonts w:ascii="Times New Roman" w:hAnsi="Times New Roman"/>
          <w:sz w:val="24"/>
          <w:szCs w:val="24"/>
          <w:lang w:val="en-US"/>
        </w:rPr>
        <w:t xml:space="preserve">ccounting </w:t>
      </w:r>
      <w:r w:rsidR="00F80A88" w:rsidRPr="00F4226B">
        <w:rPr>
          <w:rFonts w:ascii="Times New Roman" w:hAnsi="Times New Roman"/>
          <w:sz w:val="24"/>
          <w:szCs w:val="24"/>
          <w:lang w:val="en-US"/>
        </w:rPr>
        <w:t>S</w:t>
      </w:r>
      <w:r w:rsidR="00B02C69">
        <w:rPr>
          <w:rFonts w:ascii="Times New Roman" w:hAnsi="Times New Roman"/>
          <w:sz w:val="24"/>
          <w:szCs w:val="24"/>
          <w:lang w:val="en-US"/>
        </w:rPr>
        <w:t xml:space="preserve">tandards </w:t>
      </w:r>
      <w:r w:rsidR="00F80A88" w:rsidRPr="00F4226B">
        <w:rPr>
          <w:rFonts w:ascii="Times New Roman" w:hAnsi="Times New Roman"/>
          <w:sz w:val="24"/>
          <w:szCs w:val="24"/>
          <w:lang w:val="en-US"/>
        </w:rPr>
        <w:t>C</w:t>
      </w:r>
      <w:r w:rsidR="00B02C69">
        <w:rPr>
          <w:rFonts w:ascii="Times New Roman" w:hAnsi="Times New Roman"/>
          <w:sz w:val="24"/>
          <w:szCs w:val="24"/>
          <w:lang w:val="en-US"/>
        </w:rPr>
        <w:t>ommittee (IASC)</w:t>
      </w:r>
      <w:r w:rsidR="000200B3" w:rsidRPr="00F4226B">
        <w:rPr>
          <w:rFonts w:ascii="Times New Roman" w:hAnsi="Times New Roman"/>
          <w:sz w:val="24"/>
          <w:szCs w:val="24"/>
          <w:lang w:val="en-US"/>
        </w:rPr>
        <w:t xml:space="preserve"> </w:t>
      </w:r>
      <w:r w:rsidR="00D47D6C" w:rsidRPr="00F4226B">
        <w:rPr>
          <w:rFonts w:ascii="Times New Roman" w:hAnsi="Times New Roman"/>
          <w:sz w:val="24"/>
          <w:szCs w:val="24"/>
          <w:lang w:val="en-US"/>
        </w:rPr>
        <w:t xml:space="preserve">in </w:t>
      </w:r>
      <w:r w:rsidR="00D47D6C" w:rsidRPr="00F4226B">
        <w:rPr>
          <w:rFonts w:ascii="Times New Roman" w:hAnsi="Times New Roman"/>
          <w:sz w:val="24"/>
          <w:szCs w:val="24"/>
          <w:lang w:val="en-US"/>
        </w:rPr>
        <w:lastRenderedPageBreak/>
        <w:t xml:space="preserve">1974 </w:t>
      </w:r>
      <w:r w:rsidR="000200B3" w:rsidRPr="00F4226B">
        <w:rPr>
          <w:rFonts w:ascii="Times New Roman" w:hAnsi="Times New Roman"/>
          <w:sz w:val="24"/>
          <w:szCs w:val="24"/>
          <w:lang w:val="en-US"/>
        </w:rPr>
        <w:t>(Chamisa 2000).</w:t>
      </w:r>
      <w:r w:rsidR="0054174C" w:rsidRPr="00F4226B">
        <w:rPr>
          <w:rFonts w:ascii="Times New Roman" w:hAnsi="Times New Roman"/>
          <w:sz w:val="24"/>
          <w:szCs w:val="24"/>
          <w:lang w:val="en-US"/>
        </w:rPr>
        <w:t xml:space="preserve"> The ICAZ has delegated </w:t>
      </w:r>
      <w:r w:rsidR="006615EE" w:rsidRPr="00F4226B">
        <w:rPr>
          <w:rFonts w:ascii="Times New Roman" w:hAnsi="Times New Roman"/>
          <w:sz w:val="24"/>
          <w:szCs w:val="24"/>
          <w:lang w:val="en-US"/>
        </w:rPr>
        <w:t>the</w:t>
      </w:r>
      <w:r w:rsidR="0054174C" w:rsidRPr="00F4226B">
        <w:rPr>
          <w:rFonts w:ascii="Times New Roman" w:hAnsi="Times New Roman"/>
          <w:sz w:val="24"/>
          <w:szCs w:val="24"/>
          <w:lang w:val="en-US"/>
        </w:rPr>
        <w:t xml:space="preserve"> </w:t>
      </w:r>
      <w:r w:rsidR="006615EE" w:rsidRPr="00F4226B">
        <w:rPr>
          <w:rFonts w:ascii="Times New Roman" w:hAnsi="Times New Roman"/>
          <w:sz w:val="24"/>
          <w:szCs w:val="24"/>
          <w:lang w:val="en-US"/>
        </w:rPr>
        <w:t>development of</w:t>
      </w:r>
      <w:r w:rsidR="0054174C" w:rsidRPr="00F4226B">
        <w:rPr>
          <w:rFonts w:ascii="Times New Roman" w:hAnsi="Times New Roman"/>
          <w:sz w:val="24"/>
          <w:szCs w:val="24"/>
          <w:lang w:val="en-US"/>
        </w:rPr>
        <w:t xml:space="preserve"> accounting standards to the </w:t>
      </w:r>
      <w:r w:rsidR="00524ADB" w:rsidRPr="00F4226B">
        <w:rPr>
          <w:rFonts w:ascii="Times New Roman" w:hAnsi="Times New Roman"/>
          <w:sz w:val="24"/>
          <w:szCs w:val="24"/>
          <w:lang w:val="en-US"/>
        </w:rPr>
        <w:t>Zimbabwe Accounting Practices Board (ZAPB)</w:t>
      </w:r>
      <w:r w:rsidR="00422321">
        <w:rPr>
          <w:rFonts w:ascii="Times New Roman" w:hAnsi="Times New Roman"/>
          <w:sz w:val="24"/>
          <w:szCs w:val="24"/>
          <w:lang w:val="en-US"/>
        </w:rPr>
        <w:t>,</w:t>
      </w:r>
      <w:r w:rsidR="009C092D" w:rsidRPr="00F4226B">
        <w:rPr>
          <w:rFonts w:ascii="Times New Roman" w:hAnsi="Times New Roman"/>
          <w:sz w:val="24"/>
          <w:szCs w:val="24"/>
          <w:lang w:val="en-US"/>
        </w:rPr>
        <w:t xml:space="preserve"> which was set up in 1977</w:t>
      </w:r>
      <w:r w:rsidR="00524ADB" w:rsidRPr="00F4226B">
        <w:rPr>
          <w:rFonts w:ascii="Times New Roman" w:hAnsi="Times New Roman"/>
          <w:sz w:val="24"/>
          <w:szCs w:val="24"/>
          <w:lang w:val="en-US"/>
        </w:rPr>
        <w:t>.</w:t>
      </w:r>
      <w:r w:rsidR="00524ADB" w:rsidRPr="00F4226B">
        <w:rPr>
          <w:rStyle w:val="FootnoteReference"/>
          <w:rFonts w:ascii="Times New Roman" w:hAnsi="Times New Roman"/>
          <w:sz w:val="24"/>
          <w:szCs w:val="24"/>
          <w:lang w:val="en-US"/>
        </w:rPr>
        <w:footnoteReference w:id="4"/>
      </w:r>
      <w:r w:rsidR="00524ADB" w:rsidRPr="00F4226B">
        <w:rPr>
          <w:rFonts w:ascii="Times New Roman" w:hAnsi="Times New Roman"/>
          <w:sz w:val="24"/>
          <w:szCs w:val="24"/>
          <w:lang w:val="en-US"/>
        </w:rPr>
        <w:t xml:space="preserve"> </w:t>
      </w:r>
      <w:r w:rsidR="00D61FFF" w:rsidRPr="00F4226B">
        <w:rPr>
          <w:rFonts w:ascii="Times New Roman" w:hAnsi="Times New Roman"/>
          <w:sz w:val="24"/>
          <w:szCs w:val="24"/>
          <w:lang w:val="en-US"/>
        </w:rPr>
        <w:t>S</w:t>
      </w:r>
      <w:r w:rsidR="00DC3087" w:rsidRPr="00F4226B">
        <w:rPr>
          <w:rFonts w:ascii="Times New Roman" w:hAnsi="Times New Roman"/>
          <w:sz w:val="24"/>
          <w:szCs w:val="24"/>
          <w:lang w:val="en-US"/>
        </w:rPr>
        <w:t>ince</w:t>
      </w:r>
      <w:r w:rsidR="006666E1" w:rsidRPr="00F4226B">
        <w:rPr>
          <w:rFonts w:ascii="Times New Roman" w:hAnsi="Times New Roman"/>
          <w:sz w:val="24"/>
          <w:szCs w:val="24"/>
          <w:lang w:val="en-US"/>
        </w:rPr>
        <w:t xml:space="preserve"> its inception, </w:t>
      </w:r>
      <w:r w:rsidR="00D61FFF" w:rsidRPr="00F4226B">
        <w:rPr>
          <w:rFonts w:ascii="Times New Roman" w:hAnsi="Times New Roman"/>
          <w:sz w:val="24"/>
          <w:szCs w:val="24"/>
          <w:lang w:val="en-US"/>
        </w:rPr>
        <w:t xml:space="preserve">ZAPB </w:t>
      </w:r>
      <w:r w:rsidR="00DC3087" w:rsidRPr="00F4226B">
        <w:rPr>
          <w:rFonts w:ascii="Times New Roman" w:hAnsi="Times New Roman"/>
          <w:sz w:val="24"/>
          <w:szCs w:val="24"/>
          <w:lang w:val="en-US"/>
        </w:rPr>
        <w:t xml:space="preserve">has </w:t>
      </w:r>
      <w:r w:rsidR="00691119" w:rsidRPr="00F4226B">
        <w:rPr>
          <w:rFonts w:ascii="Times New Roman" w:hAnsi="Times New Roman"/>
          <w:sz w:val="24"/>
          <w:szCs w:val="24"/>
          <w:lang w:val="en-US"/>
        </w:rPr>
        <w:t>develop</w:t>
      </w:r>
      <w:r w:rsidR="00DC3087" w:rsidRPr="00F4226B">
        <w:rPr>
          <w:rFonts w:ascii="Times New Roman" w:hAnsi="Times New Roman"/>
          <w:sz w:val="24"/>
          <w:szCs w:val="24"/>
          <w:lang w:val="en-US"/>
        </w:rPr>
        <w:t>ed</w:t>
      </w:r>
      <w:r w:rsidR="00691119" w:rsidRPr="00F4226B">
        <w:rPr>
          <w:rFonts w:ascii="Times New Roman" w:hAnsi="Times New Roman"/>
          <w:sz w:val="24"/>
          <w:szCs w:val="24"/>
          <w:lang w:val="en-US"/>
        </w:rPr>
        <w:t xml:space="preserve"> local accounting standards by adopting IAS</w:t>
      </w:r>
      <w:r w:rsidR="001128F5" w:rsidRPr="00F4226B">
        <w:rPr>
          <w:rFonts w:ascii="Times New Roman" w:hAnsi="Times New Roman"/>
          <w:sz w:val="24"/>
          <w:szCs w:val="24"/>
          <w:lang w:val="en-US"/>
        </w:rPr>
        <w:t>s</w:t>
      </w:r>
      <w:r w:rsidR="00691119" w:rsidRPr="00F4226B">
        <w:rPr>
          <w:rFonts w:ascii="Times New Roman" w:hAnsi="Times New Roman"/>
          <w:sz w:val="24"/>
          <w:szCs w:val="24"/>
          <w:lang w:val="en-US"/>
        </w:rPr>
        <w:t>/</w:t>
      </w:r>
      <w:r w:rsidR="001128F5" w:rsidRPr="00F4226B">
        <w:rPr>
          <w:rFonts w:ascii="Times New Roman" w:hAnsi="Times New Roman"/>
          <w:sz w:val="24"/>
          <w:szCs w:val="24"/>
          <w:lang w:val="en-US"/>
        </w:rPr>
        <w:t>I</w:t>
      </w:r>
      <w:r w:rsidR="00691119" w:rsidRPr="00F4226B">
        <w:rPr>
          <w:rFonts w:ascii="Times New Roman" w:hAnsi="Times New Roman"/>
          <w:sz w:val="24"/>
          <w:szCs w:val="24"/>
          <w:lang w:val="en-US"/>
        </w:rPr>
        <w:t>FRS</w:t>
      </w:r>
      <w:r w:rsidR="001128F5" w:rsidRPr="00F4226B">
        <w:rPr>
          <w:rFonts w:ascii="Times New Roman" w:hAnsi="Times New Roman"/>
          <w:sz w:val="24"/>
          <w:szCs w:val="24"/>
          <w:lang w:val="en-US"/>
        </w:rPr>
        <w:t>s</w:t>
      </w:r>
      <w:r w:rsidR="00691119" w:rsidRPr="00F4226B">
        <w:rPr>
          <w:rFonts w:ascii="Times New Roman" w:hAnsi="Times New Roman"/>
          <w:sz w:val="24"/>
          <w:szCs w:val="24"/>
          <w:lang w:val="en-US"/>
        </w:rPr>
        <w:t xml:space="preserve"> without modification but after following due process (Chamisa 2000)</w:t>
      </w:r>
      <w:r w:rsidR="00584F29" w:rsidRPr="00F4226B">
        <w:rPr>
          <w:rFonts w:ascii="Times New Roman" w:hAnsi="Times New Roman"/>
          <w:sz w:val="24"/>
          <w:szCs w:val="24"/>
          <w:lang w:val="en-US"/>
        </w:rPr>
        <w:t>.</w:t>
      </w:r>
      <w:r w:rsidR="00F6071F" w:rsidRPr="00F4226B">
        <w:rPr>
          <w:rFonts w:ascii="Times New Roman" w:hAnsi="Times New Roman"/>
          <w:sz w:val="24"/>
          <w:szCs w:val="24"/>
          <w:lang w:val="en-US"/>
        </w:rPr>
        <w:t xml:space="preserve"> </w:t>
      </w:r>
      <w:r w:rsidR="00604C2A" w:rsidRPr="00F4226B">
        <w:rPr>
          <w:rFonts w:ascii="Times New Roman" w:hAnsi="Times New Roman"/>
          <w:sz w:val="24"/>
          <w:szCs w:val="24"/>
          <w:lang w:val="en-US"/>
        </w:rPr>
        <w:t xml:space="preserve">Given </w:t>
      </w:r>
      <w:r w:rsidR="00537644" w:rsidRPr="00F4226B">
        <w:rPr>
          <w:rFonts w:ascii="Times New Roman" w:hAnsi="Times New Roman"/>
          <w:sz w:val="24"/>
          <w:szCs w:val="24"/>
          <w:lang w:val="en-US"/>
        </w:rPr>
        <w:t xml:space="preserve">that </w:t>
      </w:r>
      <w:r w:rsidR="0009593F" w:rsidRPr="00F4226B">
        <w:rPr>
          <w:rFonts w:ascii="Times New Roman" w:hAnsi="Times New Roman"/>
          <w:sz w:val="24"/>
          <w:szCs w:val="24"/>
          <w:lang w:val="en-US"/>
        </w:rPr>
        <w:t>IAS</w:t>
      </w:r>
      <w:r w:rsidR="00604C2A" w:rsidRPr="00F4226B">
        <w:rPr>
          <w:rFonts w:ascii="Times New Roman" w:hAnsi="Times New Roman"/>
          <w:sz w:val="24"/>
          <w:szCs w:val="24"/>
          <w:lang w:val="en-US"/>
        </w:rPr>
        <w:t>s</w:t>
      </w:r>
      <w:r w:rsidR="0009593F" w:rsidRPr="00F4226B">
        <w:rPr>
          <w:rFonts w:ascii="Times New Roman" w:hAnsi="Times New Roman"/>
          <w:sz w:val="24"/>
          <w:szCs w:val="24"/>
          <w:lang w:val="en-US"/>
        </w:rPr>
        <w:t xml:space="preserve">/IFRSs </w:t>
      </w:r>
      <w:r w:rsidR="00604C2A" w:rsidRPr="00F4226B">
        <w:rPr>
          <w:rFonts w:ascii="Times New Roman" w:hAnsi="Times New Roman"/>
          <w:sz w:val="24"/>
          <w:szCs w:val="24"/>
          <w:lang w:val="en-US"/>
        </w:rPr>
        <w:t xml:space="preserve">are considered </w:t>
      </w:r>
      <w:r w:rsidR="0009593F" w:rsidRPr="00F4226B">
        <w:rPr>
          <w:rFonts w:ascii="Times New Roman" w:hAnsi="Times New Roman"/>
          <w:sz w:val="24"/>
          <w:szCs w:val="24"/>
          <w:lang w:val="en-US"/>
        </w:rPr>
        <w:t xml:space="preserve">high quality </w:t>
      </w:r>
      <w:r w:rsidR="00604C2A" w:rsidRPr="00F4226B">
        <w:rPr>
          <w:rFonts w:ascii="Times New Roman" w:hAnsi="Times New Roman"/>
          <w:sz w:val="24"/>
          <w:szCs w:val="24"/>
          <w:lang w:val="en-US"/>
        </w:rPr>
        <w:t>standards</w:t>
      </w:r>
      <w:r w:rsidR="00537644" w:rsidRPr="00F4226B">
        <w:rPr>
          <w:rFonts w:ascii="Times New Roman" w:hAnsi="Times New Roman"/>
          <w:sz w:val="24"/>
          <w:szCs w:val="24"/>
          <w:lang w:val="en-US"/>
        </w:rPr>
        <w:t xml:space="preserve"> (e.g., Hellstrom 2006; Barth et al. 2008)</w:t>
      </w:r>
      <w:r w:rsidR="002C0EF9" w:rsidRPr="00F4226B">
        <w:rPr>
          <w:rFonts w:ascii="Times New Roman" w:hAnsi="Times New Roman"/>
          <w:sz w:val="24"/>
          <w:szCs w:val="24"/>
          <w:lang w:val="en-US"/>
        </w:rPr>
        <w:t xml:space="preserve">, </w:t>
      </w:r>
      <w:r w:rsidR="00062C40" w:rsidRPr="00F4226B">
        <w:rPr>
          <w:rFonts w:ascii="Times New Roman" w:hAnsi="Times New Roman"/>
          <w:sz w:val="24"/>
          <w:szCs w:val="24"/>
          <w:lang w:val="en-US"/>
        </w:rPr>
        <w:t>we</w:t>
      </w:r>
      <w:r w:rsidR="002C0EF9" w:rsidRPr="00F4226B">
        <w:rPr>
          <w:rFonts w:ascii="Times New Roman" w:hAnsi="Times New Roman"/>
          <w:sz w:val="24"/>
          <w:szCs w:val="24"/>
          <w:lang w:val="en-US"/>
        </w:rPr>
        <w:t xml:space="preserve"> can infer that </w:t>
      </w:r>
      <w:r w:rsidR="006E6551" w:rsidRPr="00F4226B">
        <w:rPr>
          <w:rFonts w:ascii="Times New Roman" w:hAnsi="Times New Roman"/>
          <w:sz w:val="24"/>
          <w:szCs w:val="24"/>
          <w:lang w:val="en-US"/>
        </w:rPr>
        <w:t xml:space="preserve">accounting information </w:t>
      </w:r>
      <w:r w:rsidR="00604C2A" w:rsidRPr="00F4226B">
        <w:rPr>
          <w:rFonts w:ascii="Times New Roman" w:hAnsi="Times New Roman"/>
          <w:sz w:val="24"/>
          <w:szCs w:val="24"/>
          <w:lang w:val="en-US"/>
        </w:rPr>
        <w:t xml:space="preserve">provided </w:t>
      </w:r>
      <w:r w:rsidR="00CF239F" w:rsidRPr="00F4226B">
        <w:rPr>
          <w:rFonts w:ascii="Times New Roman" w:hAnsi="Times New Roman"/>
          <w:sz w:val="24"/>
          <w:szCs w:val="24"/>
          <w:lang w:val="en-US"/>
        </w:rPr>
        <w:t xml:space="preserve">by </w:t>
      </w:r>
      <w:r w:rsidR="000B0B33" w:rsidRPr="00F4226B">
        <w:rPr>
          <w:rFonts w:ascii="Times New Roman" w:hAnsi="Times New Roman"/>
          <w:sz w:val="24"/>
          <w:szCs w:val="24"/>
          <w:lang w:val="en-US"/>
        </w:rPr>
        <w:t xml:space="preserve">ZSE </w:t>
      </w:r>
      <w:r w:rsidR="00CF239F" w:rsidRPr="00F4226B">
        <w:rPr>
          <w:rFonts w:ascii="Times New Roman" w:hAnsi="Times New Roman"/>
          <w:sz w:val="24"/>
          <w:szCs w:val="24"/>
          <w:lang w:val="en-US"/>
        </w:rPr>
        <w:t>listed firms</w:t>
      </w:r>
      <w:r w:rsidR="002C0EF9" w:rsidRPr="00F4226B">
        <w:rPr>
          <w:rFonts w:ascii="Times New Roman" w:hAnsi="Times New Roman"/>
          <w:sz w:val="24"/>
          <w:szCs w:val="24"/>
          <w:lang w:val="en-US"/>
        </w:rPr>
        <w:t xml:space="preserve"> is of high quality</w:t>
      </w:r>
      <w:r w:rsidR="0009593F" w:rsidRPr="00F4226B">
        <w:rPr>
          <w:rFonts w:ascii="Times New Roman" w:hAnsi="Times New Roman"/>
          <w:sz w:val="24"/>
          <w:szCs w:val="24"/>
          <w:lang w:val="en-US"/>
        </w:rPr>
        <w:t xml:space="preserve">. </w:t>
      </w:r>
      <w:r w:rsidR="002C0EF9" w:rsidRPr="00F4226B">
        <w:rPr>
          <w:rFonts w:ascii="Times New Roman" w:hAnsi="Times New Roman"/>
          <w:sz w:val="24"/>
          <w:szCs w:val="24"/>
          <w:lang w:val="en-US"/>
        </w:rPr>
        <w:t xml:space="preserve">However, </w:t>
      </w:r>
      <w:r w:rsidR="008B1402" w:rsidRPr="00F4226B">
        <w:rPr>
          <w:rFonts w:ascii="Times New Roman" w:hAnsi="Times New Roman"/>
          <w:sz w:val="24"/>
          <w:szCs w:val="24"/>
          <w:lang w:val="en-US"/>
        </w:rPr>
        <w:t xml:space="preserve">Hellstrom (2006) and Barth et al. (2008) </w:t>
      </w:r>
      <w:r w:rsidR="00604C2A" w:rsidRPr="00F4226B">
        <w:rPr>
          <w:rFonts w:ascii="Times New Roman" w:hAnsi="Times New Roman"/>
          <w:sz w:val="24"/>
          <w:szCs w:val="24"/>
          <w:lang w:val="en-US"/>
        </w:rPr>
        <w:t>argue</w:t>
      </w:r>
      <w:r w:rsidR="007765AF" w:rsidRPr="00F4226B">
        <w:rPr>
          <w:rFonts w:ascii="Times New Roman" w:hAnsi="Times New Roman"/>
          <w:sz w:val="24"/>
          <w:szCs w:val="24"/>
          <w:lang w:val="en-US"/>
        </w:rPr>
        <w:t xml:space="preserve"> that the mere adoption of high</w:t>
      </w:r>
      <w:r w:rsidR="00593BF3">
        <w:rPr>
          <w:rFonts w:ascii="Times New Roman" w:hAnsi="Times New Roman"/>
          <w:sz w:val="24"/>
          <w:szCs w:val="24"/>
          <w:lang w:val="en-US"/>
        </w:rPr>
        <w:t>-</w:t>
      </w:r>
      <w:r w:rsidR="007765AF" w:rsidRPr="00F4226B">
        <w:rPr>
          <w:rFonts w:ascii="Times New Roman" w:hAnsi="Times New Roman"/>
          <w:sz w:val="24"/>
          <w:szCs w:val="24"/>
          <w:lang w:val="en-US"/>
        </w:rPr>
        <w:t>quality accounting standards may not result in high</w:t>
      </w:r>
      <w:r w:rsidR="00593BF3">
        <w:rPr>
          <w:rFonts w:ascii="Times New Roman" w:hAnsi="Times New Roman"/>
          <w:sz w:val="24"/>
          <w:szCs w:val="24"/>
          <w:lang w:val="en-US"/>
        </w:rPr>
        <w:t>-</w:t>
      </w:r>
      <w:r w:rsidR="007765AF" w:rsidRPr="00F4226B">
        <w:rPr>
          <w:rFonts w:ascii="Times New Roman" w:hAnsi="Times New Roman"/>
          <w:sz w:val="24"/>
          <w:szCs w:val="24"/>
          <w:lang w:val="en-US"/>
        </w:rPr>
        <w:t>quality accounting information if the standards are not enforced and complied with</w:t>
      </w:r>
      <w:r w:rsidR="002C0EF9" w:rsidRPr="00F4226B">
        <w:rPr>
          <w:rFonts w:ascii="Times New Roman" w:hAnsi="Times New Roman"/>
          <w:sz w:val="24"/>
          <w:szCs w:val="24"/>
          <w:lang w:val="en-US"/>
        </w:rPr>
        <w:t>. In Zimbabwe, c</w:t>
      </w:r>
      <w:r w:rsidR="00584F29" w:rsidRPr="00F4226B">
        <w:rPr>
          <w:rFonts w:ascii="Times New Roman" w:hAnsi="Times New Roman"/>
          <w:sz w:val="24"/>
          <w:szCs w:val="24"/>
          <w:lang w:val="en-US"/>
        </w:rPr>
        <w:t xml:space="preserve">ompliance with the </w:t>
      </w:r>
      <w:r w:rsidR="002C0EF9" w:rsidRPr="00F4226B">
        <w:rPr>
          <w:rFonts w:ascii="Times New Roman" w:hAnsi="Times New Roman"/>
          <w:sz w:val="24"/>
          <w:szCs w:val="24"/>
          <w:lang w:val="en-US"/>
        </w:rPr>
        <w:t>IAS</w:t>
      </w:r>
      <w:r w:rsidR="007765AF" w:rsidRPr="00F4226B">
        <w:rPr>
          <w:rFonts w:ascii="Times New Roman" w:hAnsi="Times New Roman"/>
          <w:sz w:val="24"/>
          <w:szCs w:val="24"/>
          <w:lang w:val="en-US"/>
        </w:rPr>
        <w:t>s</w:t>
      </w:r>
      <w:r w:rsidR="002C0EF9" w:rsidRPr="00F4226B">
        <w:rPr>
          <w:rFonts w:ascii="Times New Roman" w:hAnsi="Times New Roman"/>
          <w:sz w:val="24"/>
          <w:szCs w:val="24"/>
          <w:lang w:val="en-US"/>
        </w:rPr>
        <w:t>/IFRS</w:t>
      </w:r>
      <w:r w:rsidR="007765AF" w:rsidRPr="00F4226B">
        <w:rPr>
          <w:rFonts w:ascii="Times New Roman" w:hAnsi="Times New Roman"/>
          <w:sz w:val="24"/>
          <w:szCs w:val="24"/>
          <w:lang w:val="en-US"/>
        </w:rPr>
        <w:t>s</w:t>
      </w:r>
      <w:r w:rsidR="006E6551" w:rsidRPr="00F4226B">
        <w:rPr>
          <w:rFonts w:ascii="Times New Roman" w:hAnsi="Times New Roman"/>
          <w:sz w:val="24"/>
          <w:szCs w:val="24"/>
          <w:lang w:val="en-US"/>
        </w:rPr>
        <w:t xml:space="preserve"> </w:t>
      </w:r>
      <w:r w:rsidR="009B4383" w:rsidRPr="00F4226B">
        <w:rPr>
          <w:rFonts w:ascii="Times New Roman" w:hAnsi="Times New Roman"/>
          <w:sz w:val="24"/>
          <w:szCs w:val="24"/>
          <w:lang w:val="en-US"/>
        </w:rPr>
        <w:t>and</w:t>
      </w:r>
      <w:r w:rsidR="007765AF" w:rsidRPr="00F4226B">
        <w:rPr>
          <w:rFonts w:ascii="Times New Roman" w:hAnsi="Times New Roman"/>
          <w:sz w:val="24"/>
          <w:szCs w:val="24"/>
          <w:lang w:val="en-US"/>
        </w:rPr>
        <w:t xml:space="preserve"> the</w:t>
      </w:r>
      <w:r w:rsidR="009B4383" w:rsidRPr="00F4226B">
        <w:rPr>
          <w:rFonts w:ascii="Times New Roman" w:hAnsi="Times New Roman"/>
          <w:sz w:val="24"/>
          <w:szCs w:val="24"/>
          <w:lang w:val="en-US"/>
        </w:rPr>
        <w:t xml:space="preserve"> ZSE listing requirement</w:t>
      </w:r>
      <w:r w:rsidR="007765AF" w:rsidRPr="00F4226B">
        <w:rPr>
          <w:rFonts w:ascii="Times New Roman" w:hAnsi="Times New Roman"/>
          <w:sz w:val="24"/>
          <w:szCs w:val="24"/>
          <w:lang w:val="en-US"/>
        </w:rPr>
        <w:t>s</w:t>
      </w:r>
      <w:r w:rsidR="009B4383" w:rsidRPr="00F4226B">
        <w:rPr>
          <w:rFonts w:ascii="Times New Roman" w:hAnsi="Times New Roman"/>
          <w:sz w:val="24"/>
          <w:szCs w:val="24"/>
          <w:lang w:val="en-US"/>
        </w:rPr>
        <w:t xml:space="preserve"> </w:t>
      </w:r>
      <w:r w:rsidR="00584F29" w:rsidRPr="00F4226B">
        <w:rPr>
          <w:rFonts w:ascii="Times New Roman" w:hAnsi="Times New Roman"/>
          <w:sz w:val="24"/>
          <w:szCs w:val="24"/>
          <w:lang w:val="en-US"/>
        </w:rPr>
        <w:t xml:space="preserve">is enforced by </w:t>
      </w:r>
      <w:r w:rsidR="00584F29" w:rsidRPr="00F4226B">
        <w:rPr>
          <w:rFonts w:ascii="Times New Roman" w:hAnsi="Times New Roman"/>
          <w:sz w:val="24"/>
          <w:szCs w:val="24"/>
          <w:lang w:val="en-US"/>
        </w:rPr>
        <w:lastRenderedPageBreak/>
        <w:t xml:space="preserve">the ZSE Monitoring Panel, </w:t>
      </w:r>
      <w:r w:rsidR="00422321">
        <w:rPr>
          <w:rFonts w:ascii="Times New Roman" w:hAnsi="Times New Roman"/>
          <w:sz w:val="24"/>
          <w:szCs w:val="24"/>
          <w:lang w:val="en-US"/>
        </w:rPr>
        <w:t xml:space="preserve">which was </w:t>
      </w:r>
      <w:r w:rsidR="00584F29" w:rsidRPr="00F4226B">
        <w:rPr>
          <w:rFonts w:ascii="Times New Roman" w:hAnsi="Times New Roman"/>
          <w:sz w:val="24"/>
          <w:szCs w:val="24"/>
          <w:lang w:val="en-US"/>
        </w:rPr>
        <w:t xml:space="preserve">set up jointly by the ZSE and </w:t>
      </w:r>
      <w:r w:rsidR="00C1113B" w:rsidRPr="00F4226B">
        <w:rPr>
          <w:rFonts w:ascii="Times New Roman" w:hAnsi="Times New Roman"/>
          <w:sz w:val="24"/>
          <w:szCs w:val="24"/>
          <w:lang w:val="en-US"/>
        </w:rPr>
        <w:t>ZAPB</w:t>
      </w:r>
      <w:r w:rsidR="002C0EF9" w:rsidRPr="00F4226B">
        <w:rPr>
          <w:rFonts w:ascii="Times New Roman" w:hAnsi="Times New Roman"/>
          <w:sz w:val="24"/>
          <w:szCs w:val="24"/>
          <w:lang w:val="en-US"/>
        </w:rPr>
        <w:t xml:space="preserve">. </w:t>
      </w:r>
      <w:r w:rsidR="00F21180" w:rsidRPr="00F4226B">
        <w:rPr>
          <w:rFonts w:ascii="Times New Roman" w:hAnsi="Times New Roman"/>
          <w:sz w:val="24"/>
          <w:szCs w:val="24"/>
          <w:lang w:val="en-US"/>
        </w:rPr>
        <w:t xml:space="preserve">In addition, the Companies Act </w:t>
      </w:r>
      <w:r w:rsidR="00EE5941" w:rsidRPr="00F4226B">
        <w:rPr>
          <w:rFonts w:ascii="Times New Roman" w:hAnsi="Times New Roman"/>
          <w:sz w:val="24"/>
          <w:szCs w:val="24"/>
          <w:lang w:val="en-US"/>
        </w:rPr>
        <w:t>(</w:t>
      </w:r>
      <w:r w:rsidR="00F21180" w:rsidRPr="00F4226B">
        <w:rPr>
          <w:rFonts w:ascii="Times New Roman" w:hAnsi="Times New Roman"/>
          <w:sz w:val="24"/>
          <w:szCs w:val="24"/>
          <w:lang w:val="en-US"/>
        </w:rPr>
        <w:t>Chapter 24:03</w:t>
      </w:r>
      <w:r w:rsidR="00EE5941" w:rsidRPr="00F4226B">
        <w:rPr>
          <w:rFonts w:ascii="Times New Roman" w:hAnsi="Times New Roman"/>
          <w:sz w:val="24"/>
          <w:szCs w:val="24"/>
          <w:lang w:val="en-US"/>
        </w:rPr>
        <w:t>)</w:t>
      </w:r>
      <w:r w:rsidR="00F21180" w:rsidRPr="00F4226B">
        <w:rPr>
          <w:rFonts w:ascii="Times New Roman" w:hAnsi="Times New Roman"/>
          <w:sz w:val="24"/>
          <w:szCs w:val="24"/>
          <w:lang w:val="en-US"/>
        </w:rPr>
        <w:t xml:space="preserve"> requires listed firms to comply with the ZSE listing requirements. </w:t>
      </w:r>
      <w:r w:rsidR="00062C40" w:rsidRPr="00F4226B">
        <w:rPr>
          <w:rFonts w:ascii="Times New Roman" w:hAnsi="Times New Roman"/>
          <w:sz w:val="24"/>
          <w:szCs w:val="24"/>
          <w:lang w:val="en-US"/>
        </w:rPr>
        <w:t>E</w:t>
      </w:r>
      <w:r w:rsidR="00F21180" w:rsidRPr="00F4226B">
        <w:rPr>
          <w:rFonts w:ascii="Times New Roman" w:hAnsi="Times New Roman"/>
          <w:sz w:val="24"/>
          <w:szCs w:val="24"/>
          <w:lang w:val="en-US"/>
        </w:rPr>
        <w:t>mpirical research</w:t>
      </w:r>
      <w:r w:rsidR="0009593F" w:rsidRPr="00F4226B">
        <w:rPr>
          <w:rFonts w:ascii="Times New Roman" w:hAnsi="Times New Roman"/>
          <w:sz w:val="24"/>
          <w:szCs w:val="24"/>
          <w:lang w:val="en-US"/>
        </w:rPr>
        <w:t xml:space="preserve"> show</w:t>
      </w:r>
      <w:r w:rsidR="00062C40" w:rsidRPr="00F4226B">
        <w:rPr>
          <w:rFonts w:ascii="Times New Roman" w:hAnsi="Times New Roman"/>
          <w:sz w:val="24"/>
          <w:szCs w:val="24"/>
          <w:lang w:val="en-US"/>
        </w:rPr>
        <w:t>s</w:t>
      </w:r>
      <w:r w:rsidR="0009593F" w:rsidRPr="00F4226B">
        <w:rPr>
          <w:rFonts w:ascii="Times New Roman" w:hAnsi="Times New Roman"/>
          <w:sz w:val="24"/>
          <w:szCs w:val="24"/>
          <w:lang w:val="en-US"/>
        </w:rPr>
        <w:t xml:space="preserve"> that compliance with </w:t>
      </w:r>
      <w:r w:rsidR="002C0EF9" w:rsidRPr="00F4226B">
        <w:rPr>
          <w:rFonts w:ascii="Times New Roman" w:hAnsi="Times New Roman"/>
          <w:sz w:val="24"/>
          <w:szCs w:val="24"/>
          <w:lang w:val="en-US"/>
        </w:rPr>
        <w:t>IAS</w:t>
      </w:r>
      <w:r w:rsidR="00F21180" w:rsidRPr="00F4226B">
        <w:rPr>
          <w:rFonts w:ascii="Times New Roman" w:hAnsi="Times New Roman"/>
          <w:sz w:val="24"/>
          <w:szCs w:val="24"/>
          <w:lang w:val="en-US"/>
        </w:rPr>
        <w:t>s</w:t>
      </w:r>
      <w:r w:rsidR="002C0EF9" w:rsidRPr="00F4226B">
        <w:rPr>
          <w:rFonts w:ascii="Times New Roman" w:hAnsi="Times New Roman"/>
          <w:sz w:val="24"/>
          <w:szCs w:val="24"/>
          <w:lang w:val="en-US"/>
        </w:rPr>
        <w:t>/IFRS</w:t>
      </w:r>
      <w:r w:rsidR="002F03A7" w:rsidRPr="00F4226B">
        <w:rPr>
          <w:rFonts w:ascii="Times New Roman" w:hAnsi="Times New Roman"/>
          <w:sz w:val="24"/>
          <w:szCs w:val="24"/>
          <w:lang w:val="en-US"/>
        </w:rPr>
        <w:t>s</w:t>
      </w:r>
      <w:r w:rsidR="0009593F" w:rsidRPr="00F4226B">
        <w:rPr>
          <w:rFonts w:ascii="Times New Roman" w:hAnsi="Times New Roman"/>
          <w:sz w:val="24"/>
          <w:szCs w:val="24"/>
          <w:lang w:val="en-US"/>
        </w:rPr>
        <w:t xml:space="preserve"> </w:t>
      </w:r>
      <w:r w:rsidR="000A6BEA" w:rsidRPr="00F4226B">
        <w:rPr>
          <w:rFonts w:ascii="Times New Roman" w:hAnsi="Times New Roman"/>
          <w:sz w:val="24"/>
          <w:szCs w:val="24"/>
          <w:lang w:val="en-US"/>
        </w:rPr>
        <w:t xml:space="preserve">and </w:t>
      </w:r>
      <w:r w:rsidR="00F21180" w:rsidRPr="00F4226B">
        <w:rPr>
          <w:rFonts w:ascii="Times New Roman" w:hAnsi="Times New Roman"/>
          <w:sz w:val="24"/>
          <w:szCs w:val="24"/>
          <w:lang w:val="en-US"/>
        </w:rPr>
        <w:t xml:space="preserve">ZSE </w:t>
      </w:r>
      <w:r w:rsidR="000A6BEA" w:rsidRPr="00F4226B">
        <w:rPr>
          <w:rFonts w:ascii="Times New Roman" w:hAnsi="Times New Roman"/>
          <w:sz w:val="24"/>
          <w:szCs w:val="24"/>
          <w:lang w:val="en-US"/>
        </w:rPr>
        <w:t xml:space="preserve">listing rules </w:t>
      </w:r>
      <w:r w:rsidR="0009593F" w:rsidRPr="00F4226B">
        <w:rPr>
          <w:rFonts w:ascii="Times New Roman" w:hAnsi="Times New Roman"/>
          <w:sz w:val="24"/>
          <w:szCs w:val="24"/>
          <w:lang w:val="en-US"/>
        </w:rPr>
        <w:t xml:space="preserve">is </w:t>
      </w:r>
      <w:r w:rsidR="002C0EF9" w:rsidRPr="00F4226B">
        <w:rPr>
          <w:rFonts w:ascii="Times New Roman" w:hAnsi="Times New Roman"/>
          <w:sz w:val="24"/>
          <w:szCs w:val="24"/>
          <w:lang w:val="en-US"/>
        </w:rPr>
        <w:t xml:space="preserve">very </w:t>
      </w:r>
      <w:r w:rsidR="0009593F" w:rsidRPr="00F4226B">
        <w:rPr>
          <w:rFonts w:ascii="Times New Roman" w:hAnsi="Times New Roman"/>
          <w:sz w:val="24"/>
          <w:szCs w:val="24"/>
          <w:lang w:val="en-US"/>
        </w:rPr>
        <w:t>high</w:t>
      </w:r>
      <w:r w:rsidR="00B061A5" w:rsidRPr="00F4226B">
        <w:rPr>
          <w:rFonts w:ascii="Times New Roman" w:hAnsi="Times New Roman"/>
          <w:sz w:val="24"/>
          <w:szCs w:val="24"/>
          <w:lang w:val="en-US"/>
        </w:rPr>
        <w:t xml:space="preserve"> (</w:t>
      </w:r>
      <w:r w:rsidR="00B2273E" w:rsidRPr="00F4226B">
        <w:rPr>
          <w:rFonts w:ascii="Times New Roman" w:hAnsi="Times New Roman"/>
          <w:sz w:val="24"/>
          <w:szCs w:val="24"/>
          <w:lang w:val="en-US"/>
        </w:rPr>
        <w:t xml:space="preserve">Chamisa 2000; </w:t>
      </w:r>
      <w:r w:rsidR="00B061A5" w:rsidRPr="00F4226B">
        <w:rPr>
          <w:rFonts w:ascii="Times New Roman" w:hAnsi="Times New Roman"/>
          <w:sz w:val="24"/>
          <w:szCs w:val="24"/>
          <w:lang w:val="en-US"/>
        </w:rPr>
        <w:t xml:space="preserve">Owusu-Ansah 2000; </w:t>
      </w:r>
      <w:r w:rsidR="000B0B33" w:rsidRPr="00F4226B">
        <w:rPr>
          <w:rFonts w:ascii="Times New Roman" w:hAnsi="Times New Roman"/>
          <w:sz w:val="24"/>
          <w:szCs w:val="24"/>
          <w:lang w:val="en-US"/>
        </w:rPr>
        <w:t>Mangena and Tauringana 2007</w:t>
      </w:r>
      <w:r w:rsidR="00B061A5" w:rsidRPr="00F4226B">
        <w:rPr>
          <w:rFonts w:ascii="Times New Roman" w:hAnsi="Times New Roman"/>
          <w:sz w:val="24"/>
          <w:szCs w:val="24"/>
          <w:lang w:val="en-US"/>
        </w:rPr>
        <w:t>). T</w:t>
      </w:r>
      <w:r w:rsidR="00F777B7" w:rsidRPr="00F4226B">
        <w:rPr>
          <w:rFonts w:ascii="Times New Roman" w:hAnsi="Times New Roman"/>
          <w:sz w:val="24"/>
          <w:szCs w:val="24"/>
          <w:lang w:val="en-US"/>
        </w:rPr>
        <w:t>h</w:t>
      </w:r>
      <w:r w:rsidR="002C0EF9" w:rsidRPr="00F4226B">
        <w:rPr>
          <w:rFonts w:ascii="Times New Roman" w:hAnsi="Times New Roman"/>
          <w:sz w:val="24"/>
          <w:szCs w:val="24"/>
          <w:lang w:val="en-US"/>
        </w:rPr>
        <w:t xml:space="preserve">is, </w:t>
      </w:r>
      <w:r w:rsidR="00CA3EF5" w:rsidRPr="00F4226B">
        <w:rPr>
          <w:rFonts w:ascii="Times New Roman" w:hAnsi="Times New Roman"/>
          <w:sz w:val="24"/>
          <w:szCs w:val="24"/>
          <w:lang w:val="en-US"/>
        </w:rPr>
        <w:t xml:space="preserve">coupled with the fact that most </w:t>
      </w:r>
      <w:r w:rsidR="00BE3B71" w:rsidRPr="00F4226B">
        <w:rPr>
          <w:rFonts w:ascii="Times New Roman" w:hAnsi="Times New Roman"/>
          <w:sz w:val="24"/>
          <w:szCs w:val="24"/>
          <w:lang w:val="en-US"/>
        </w:rPr>
        <w:t xml:space="preserve">ZSE listed </w:t>
      </w:r>
      <w:r w:rsidR="00CA3EF5" w:rsidRPr="00F4226B">
        <w:rPr>
          <w:rFonts w:ascii="Times New Roman" w:hAnsi="Times New Roman"/>
          <w:sz w:val="24"/>
          <w:szCs w:val="24"/>
          <w:lang w:val="en-US"/>
        </w:rPr>
        <w:t xml:space="preserve">firms are audited by the </w:t>
      </w:r>
      <w:r w:rsidR="00422321">
        <w:rPr>
          <w:rFonts w:ascii="Times New Roman" w:hAnsi="Times New Roman"/>
          <w:sz w:val="24"/>
          <w:szCs w:val="24"/>
          <w:lang w:val="en-US"/>
        </w:rPr>
        <w:t>Big Four</w:t>
      </w:r>
      <w:r w:rsidR="00CA3EF5" w:rsidRPr="00F4226B">
        <w:rPr>
          <w:rFonts w:ascii="Times New Roman" w:hAnsi="Times New Roman"/>
          <w:sz w:val="24"/>
          <w:szCs w:val="24"/>
          <w:lang w:val="en-US"/>
        </w:rPr>
        <w:t xml:space="preserve"> </w:t>
      </w:r>
      <w:r w:rsidR="00F21180" w:rsidRPr="00F4226B">
        <w:rPr>
          <w:rFonts w:ascii="Times New Roman" w:hAnsi="Times New Roman"/>
          <w:sz w:val="24"/>
          <w:szCs w:val="24"/>
          <w:lang w:val="en-US"/>
        </w:rPr>
        <w:t xml:space="preserve">international </w:t>
      </w:r>
      <w:r w:rsidR="00CA3EF5" w:rsidRPr="00F4226B">
        <w:rPr>
          <w:rFonts w:ascii="Times New Roman" w:hAnsi="Times New Roman"/>
          <w:sz w:val="24"/>
          <w:szCs w:val="24"/>
          <w:lang w:val="en-US"/>
        </w:rPr>
        <w:t xml:space="preserve">accounting firms, </w:t>
      </w:r>
      <w:r w:rsidR="00EB7764" w:rsidRPr="00F4226B">
        <w:rPr>
          <w:rFonts w:ascii="Times New Roman" w:hAnsi="Times New Roman"/>
          <w:sz w:val="24"/>
          <w:szCs w:val="24"/>
          <w:lang w:val="en-US"/>
        </w:rPr>
        <w:t>suggests</w:t>
      </w:r>
      <w:r w:rsidR="002C0EF9" w:rsidRPr="00F4226B">
        <w:rPr>
          <w:rFonts w:ascii="Times New Roman" w:hAnsi="Times New Roman"/>
          <w:sz w:val="24"/>
          <w:szCs w:val="24"/>
          <w:lang w:val="en-US"/>
        </w:rPr>
        <w:t xml:space="preserve"> that </w:t>
      </w:r>
      <w:r w:rsidR="00F21180" w:rsidRPr="00F4226B">
        <w:rPr>
          <w:rFonts w:ascii="Times New Roman" w:hAnsi="Times New Roman"/>
          <w:sz w:val="24"/>
          <w:szCs w:val="24"/>
          <w:lang w:val="en-US"/>
        </w:rPr>
        <w:t>the accounting information is</w:t>
      </w:r>
      <w:r w:rsidR="00EC13D5" w:rsidRPr="00F4226B">
        <w:rPr>
          <w:rFonts w:ascii="Times New Roman" w:hAnsi="Times New Roman"/>
          <w:sz w:val="24"/>
          <w:szCs w:val="24"/>
          <w:lang w:val="en-US"/>
        </w:rPr>
        <w:t xml:space="preserve"> </w:t>
      </w:r>
      <w:r w:rsidR="000D61CF" w:rsidRPr="00F4226B">
        <w:rPr>
          <w:rFonts w:ascii="Times New Roman" w:hAnsi="Times New Roman"/>
          <w:sz w:val="24"/>
          <w:szCs w:val="24"/>
          <w:lang w:val="en-US"/>
        </w:rPr>
        <w:t>of high q</w:t>
      </w:r>
      <w:r w:rsidR="002F03A7" w:rsidRPr="00F4226B">
        <w:rPr>
          <w:rFonts w:ascii="Times New Roman" w:hAnsi="Times New Roman"/>
          <w:sz w:val="24"/>
          <w:szCs w:val="24"/>
          <w:lang w:val="en-US"/>
        </w:rPr>
        <w:t>u</w:t>
      </w:r>
      <w:r w:rsidR="000D61CF" w:rsidRPr="00F4226B">
        <w:rPr>
          <w:rFonts w:ascii="Times New Roman" w:hAnsi="Times New Roman"/>
          <w:sz w:val="24"/>
          <w:szCs w:val="24"/>
          <w:lang w:val="en-US"/>
        </w:rPr>
        <w:t>ality</w:t>
      </w:r>
      <w:r w:rsidR="003766C2">
        <w:rPr>
          <w:rFonts w:ascii="Times New Roman" w:hAnsi="Times New Roman"/>
          <w:sz w:val="24"/>
          <w:szCs w:val="24"/>
          <w:lang w:val="en-US"/>
        </w:rPr>
        <w:t>.</w:t>
      </w:r>
      <w:r w:rsidR="00F21180" w:rsidRPr="00F4226B">
        <w:rPr>
          <w:rStyle w:val="FootnoteReference"/>
          <w:rFonts w:ascii="Times New Roman" w:hAnsi="Times New Roman"/>
          <w:sz w:val="24"/>
          <w:szCs w:val="24"/>
          <w:lang w:val="en-US"/>
        </w:rPr>
        <w:footnoteReference w:id="5"/>
      </w:r>
      <w:r w:rsidR="0009593F" w:rsidRPr="00F4226B">
        <w:rPr>
          <w:rFonts w:ascii="Times New Roman" w:hAnsi="Times New Roman"/>
          <w:sz w:val="24"/>
          <w:szCs w:val="24"/>
          <w:lang w:val="en-US"/>
        </w:rPr>
        <w:t xml:space="preserve"> </w:t>
      </w:r>
    </w:p>
    <w:p w14:paraId="7253A1EF" w14:textId="77777777" w:rsidR="00486AFB" w:rsidRPr="00F4226B" w:rsidRDefault="00486AFB" w:rsidP="005351AC">
      <w:pPr>
        <w:spacing w:line="360" w:lineRule="auto"/>
        <w:ind w:firstLine="284"/>
        <w:jc w:val="both"/>
        <w:rPr>
          <w:rFonts w:ascii="Times New Roman" w:hAnsi="Times New Roman"/>
          <w:sz w:val="24"/>
          <w:szCs w:val="24"/>
          <w:lang w:val="en-US"/>
        </w:rPr>
      </w:pPr>
    </w:p>
    <w:p w14:paraId="0D78323B" w14:textId="77777777" w:rsidR="00167521" w:rsidRPr="00804A08" w:rsidRDefault="00167521" w:rsidP="003820D1">
      <w:pPr>
        <w:spacing w:line="360" w:lineRule="auto"/>
        <w:jc w:val="both"/>
        <w:outlineLvl w:val="0"/>
        <w:rPr>
          <w:rFonts w:ascii="Times New Roman" w:hAnsi="Times New Roman"/>
          <w:i/>
          <w:sz w:val="24"/>
          <w:szCs w:val="24"/>
          <w:lang w:val="en-US"/>
        </w:rPr>
      </w:pPr>
      <w:r w:rsidRPr="00804A08">
        <w:rPr>
          <w:rFonts w:ascii="Times New Roman" w:hAnsi="Times New Roman"/>
          <w:i/>
          <w:sz w:val="24"/>
          <w:szCs w:val="24"/>
          <w:lang w:val="en-US"/>
        </w:rPr>
        <w:t xml:space="preserve">2.3 </w:t>
      </w:r>
      <w:r w:rsidR="003252FC" w:rsidRPr="00804A08">
        <w:rPr>
          <w:rFonts w:ascii="Times New Roman" w:hAnsi="Times New Roman"/>
          <w:i/>
          <w:sz w:val="24"/>
          <w:szCs w:val="24"/>
          <w:lang w:val="en-US"/>
        </w:rPr>
        <w:t xml:space="preserve">Stock market </w:t>
      </w:r>
      <w:r w:rsidR="00C5336C" w:rsidRPr="00804A08">
        <w:rPr>
          <w:rFonts w:ascii="Times New Roman" w:hAnsi="Times New Roman"/>
          <w:i/>
          <w:sz w:val="24"/>
          <w:szCs w:val="24"/>
          <w:lang w:val="en-US"/>
        </w:rPr>
        <w:t>functioning</w:t>
      </w:r>
    </w:p>
    <w:p w14:paraId="572BC432" w14:textId="0752F4FD" w:rsidR="00A54170" w:rsidRPr="00F4226B" w:rsidRDefault="00835B64" w:rsidP="00CF3168">
      <w:pPr>
        <w:spacing w:line="360" w:lineRule="auto"/>
        <w:jc w:val="both"/>
        <w:rPr>
          <w:rFonts w:ascii="Times New Roman" w:hAnsi="Times New Roman"/>
          <w:iCs/>
          <w:sz w:val="24"/>
          <w:szCs w:val="24"/>
          <w:lang w:val="en-US"/>
        </w:rPr>
      </w:pPr>
      <w:r w:rsidRPr="00F4226B">
        <w:rPr>
          <w:rFonts w:ascii="Times New Roman" w:hAnsi="Times New Roman"/>
          <w:iCs/>
          <w:sz w:val="24"/>
          <w:szCs w:val="24"/>
          <w:lang w:val="en-US"/>
        </w:rPr>
        <w:lastRenderedPageBreak/>
        <w:t xml:space="preserve">The </w:t>
      </w:r>
      <w:r w:rsidR="003F46E5" w:rsidRPr="00F4226B">
        <w:rPr>
          <w:rFonts w:ascii="Times New Roman" w:hAnsi="Times New Roman"/>
          <w:iCs/>
          <w:sz w:val="24"/>
          <w:szCs w:val="24"/>
          <w:lang w:val="en-US"/>
        </w:rPr>
        <w:t xml:space="preserve">value relevance of accounting information is affected by the </w:t>
      </w:r>
      <w:r w:rsidR="00730D40" w:rsidRPr="00F4226B">
        <w:rPr>
          <w:rFonts w:ascii="Times New Roman" w:hAnsi="Times New Roman"/>
          <w:iCs/>
          <w:sz w:val="24"/>
          <w:szCs w:val="24"/>
          <w:lang w:val="en-US"/>
        </w:rPr>
        <w:t xml:space="preserve">operational </w:t>
      </w:r>
      <w:r w:rsidR="003F46E5" w:rsidRPr="00F4226B">
        <w:rPr>
          <w:rFonts w:ascii="Times New Roman" w:hAnsi="Times New Roman"/>
          <w:iCs/>
          <w:sz w:val="24"/>
          <w:szCs w:val="24"/>
          <w:lang w:val="en-US"/>
        </w:rPr>
        <w:t>efficiency of stock markets (</w:t>
      </w:r>
      <w:r w:rsidR="00B3280B" w:rsidRPr="00F4226B">
        <w:rPr>
          <w:rFonts w:ascii="Times New Roman" w:hAnsi="Times New Roman"/>
          <w:iCs/>
          <w:sz w:val="24"/>
          <w:szCs w:val="24"/>
          <w:lang w:val="en-US"/>
        </w:rPr>
        <w:t>Kothari 2001</w:t>
      </w:r>
      <w:r w:rsidR="00730D40" w:rsidRPr="00F4226B">
        <w:rPr>
          <w:rFonts w:ascii="Times New Roman" w:hAnsi="Times New Roman"/>
          <w:iCs/>
          <w:sz w:val="24"/>
          <w:szCs w:val="24"/>
          <w:lang w:val="en-US"/>
        </w:rPr>
        <w:t>; Hellstrom 2006</w:t>
      </w:r>
      <w:r w:rsidR="003F46E5" w:rsidRPr="00F4226B">
        <w:rPr>
          <w:rFonts w:ascii="Times New Roman" w:hAnsi="Times New Roman"/>
          <w:iCs/>
          <w:sz w:val="24"/>
          <w:szCs w:val="24"/>
          <w:lang w:val="en-US"/>
        </w:rPr>
        <w:t xml:space="preserve">). The </w:t>
      </w:r>
      <w:r w:rsidRPr="00F4226B">
        <w:rPr>
          <w:rFonts w:ascii="Times New Roman" w:hAnsi="Times New Roman"/>
          <w:iCs/>
          <w:sz w:val="24"/>
          <w:szCs w:val="24"/>
          <w:lang w:val="en-US"/>
        </w:rPr>
        <w:t xml:space="preserve">ZSE is one of the oldest </w:t>
      </w:r>
      <w:r w:rsidR="00A56FEE" w:rsidRPr="00F4226B">
        <w:rPr>
          <w:rFonts w:ascii="Times New Roman" w:hAnsi="Times New Roman"/>
          <w:iCs/>
          <w:sz w:val="24"/>
          <w:szCs w:val="24"/>
          <w:lang w:val="en-US"/>
        </w:rPr>
        <w:t xml:space="preserve">stock </w:t>
      </w:r>
      <w:r w:rsidRPr="00F4226B">
        <w:rPr>
          <w:rFonts w:ascii="Times New Roman" w:hAnsi="Times New Roman"/>
          <w:iCs/>
          <w:sz w:val="24"/>
          <w:szCs w:val="24"/>
          <w:lang w:val="en-US"/>
        </w:rPr>
        <w:t>exchange</w:t>
      </w:r>
      <w:r w:rsidR="00A56FEE" w:rsidRPr="00F4226B">
        <w:rPr>
          <w:rFonts w:ascii="Times New Roman" w:hAnsi="Times New Roman"/>
          <w:iCs/>
          <w:sz w:val="24"/>
          <w:szCs w:val="24"/>
          <w:lang w:val="en-US"/>
        </w:rPr>
        <w:t>s</w:t>
      </w:r>
      <w:r w:rsidRPr="00F4226B">
        <w:rPr>
          <w:rFonts w:ascii="Times New Roman" w:hAnsi="Times New Roman"/>
          <w:iCs/>
          <w:sz w:val="24"/>
          <w:szCs w:val="24"/>
          <w:lang w:val="en-US"/>
        </w:rPr>
        <w:t xml:space="preserve"> </w:t>
      </w:r>
      <w:r w:rsidR="00595333" w:rsidRPr="00F4226B">
        <w:rPr>
          <w:rFonts w:ascii="Times New Roman" w:hAnsi="Times New Roman"/>
          <w:iCs/>
          <w:sz w:val="24"/>
          <w:szCs w:val="24"/>
          <w:lang w:val="en-US"/>
        </w:rPr>
        <w:t xml:space="preserve">in </w:t>
      </w:r>
      <w:r w:rsidRPr="00F4226B">
        <w:rPr>
          <w:rFonts w:ascii="Times New Roman" w:hAnsi="Times New Roman"/>
          <w:iCs/>
          <w:sz w:val="24"/>
          <w:szCs w:val="24"/>
          <w:lang w:val="en-US"/>
        </w:rPr>
        <w:t>Africa</w:t>
      </w:r>
      <w:r w:rsidR="00715DCE">
        <w:rPr>
          <w:rFonts w:ascii="Times New Roman" w:hAnsi="Times New Roman"/>
          <w:iCs/>
          <w:sz w:val="24"/>
          <w:szCs w:val="24"/>
          <w:lang w:val="en-US"/>
        </w:rPr>
        <w:t xml:space="preserve">; </w:t>
      </w:r>
      <w:r w:rsidRPr="00F4226B">
        <w:rPr>
          <w:rFonts w:ascii="Times New Roman" w:hAnsi="Times New Roman"/>
          <w:iCs/>
          <w:sz w:val="24"/>
          <w:szCs w:val="24"/>
          <w:lang w:val="en-US"/>
        </w:rPr>
        <w:t xml:space="preserve">established in 1896, </w:t>
      </w:r>
      <w:r w:rsidR="00715DCE">
        <w:rPr>
          <w:rFonts w:ascii="Times New Roman" w:hAnsi="Times New Roman"/>
          <w:iCs/>
          <w:sz w:val="24"/>
          <w:szCs w:val="24"/>
          <w:lang w:val="en-US"/>
        </w:rPr>
        <w:t xml:space="preserve">it was </w:t>
      </w:r>
      <w:r w:rsidRPr="00F4226B">
        <w:rPr>
          <w:rFonts w:ascii="Times New Roman" w:hAnsi="Times New Roman"/>
          <w:iCs/>
          <w:sz w:val="24"/>
          <w:szCs w:val="24"/>
          <w:lang w:val="en-US"/>
        </w:rPr>
        <w:t>initially</w:t>
      </w:r>
      <w:r w:rsidR="00715DCE">
        <w:rPr>
          <w:rFonts w:ascii="Times New Roman" w:hAnsi="Times New Roman"/>
          <w:iCs/>
          <w:sz w:val="24"/>
          <w:szCs w:val="24"/>
          <w:lang w:val="en-US"/>
        </w:rPr>
        <w:t xml:space="preserve"> intended</w:t>
      </w:r>
      <w:r w:rsidRPr="00F4226B">
        <w:rPr>
          <w:rFonts w:ascii="Times New Roman" w:hAnsi="Times New Roman"/>
          <w:iCs/>
          <w:sz w:val="24"/>
          <w:szCs w:val="24"/>
          <w:lang w:val="en-US"/>
        </w:rPr>
        <w:t xml:space="preserve"> to provide a forum through which mining companies could raise equity financing to fund operations (Mangena and Tauringana 2007). However, </w:t>
      </w:r>
      <w:r w:rsidRPr="00F4226B">
        <w:rPr>
          <w:rFonts w:ascii="Times New Roman" w:hAnsi="Times New Roman"/>
          <w:sz w:val="24"/>
          <w:szCs w:val="24"/>
          <w:lang w:val="en-US"/>
        </w:rPr>
        <w:t xml:space="preserve">today, the majority of listed companies are nonmining. </w:t>
      </w:r>
      <w:r w:rsidR="00880DFE" w:rsidRPr="00F4226B">
        <w:rPr>
          <w:rFonts w:ascii="Times New Roman" w:hAnsi="Times New Roman"/>
          <w:iCs/>
          <w:sz w:val="24"/>
          <w:szCs w:val="24"/>
          <w:lang w:val="en-US"/>
        </w:rPr>
        <w:t xml:space="preserve">The </w:t>
      </w:r>
      <w:r w:rsidR="003F46E5" w:rsidRPr="00F4226B">
        <w:rPr>
          <w:rFonts w:ascii="Times New Roman" w:hAnsi="Times New Roman"/>
          <w:iCs/>
          <w:sz w:val="24"/>
          <w:szCs w:val="24"/>
          <w:lang w:val="en-US"/>
        </w:rPr>
        <w:t>exchange</w:t>
      </w:r>
      <w:r w:rsidR="00C1113B" w:rsidRPr="00F4226B">
        <w:rPr>
          <w:rFonts w:ascii="Times New Roman" w:hAnsi="Times New Roman"/>
          <w:iCs/>
          <w:sz w:val="24"/>
          <w:szCs w:val="24"/>
          <w:lang w:val="en-US"/>
        </w:rPr>
        <w:t xml:space="preserve"> </w:t>
      </w:r>
      <w:r w:rsidRPr="00F4226B">
        <w:rPr>
          <w:rFonts w:ascii="Times New Roman" w:hAnsi="Times New Roman"/>
          <w:iCs/>
          <w:sz w:val="24"/>
          <w:szCs w:val="24"/>
          <w:lang w:val="en-US"/>
        </w:rPr>
        <w:t>is small by international standards</w:t>
      </w:r>
      <w:r w:rsidR="00F4226B">
        <w:rPr>
          <w:rFonts w:ascii="Times New Roman" w:hAnsi="Times New Roman"/>
          <w:iCs/>
          <w:sz w:val="24"/>
          <w:szCs w:val="24"/>
          <w:lang w:val="en-US"/>
        </w:rPr>
        <w:t xml:space="preserve"> but</w:t>
      </w:r>
      <w:r w:rsidR="00085736">
        <w:rPr>
          <w:rFonts w:ascii="Times New Roman" w:hAnsi="Times New Roman"/>
          <w:iCs/>
          <w:sz w:val="24"/>
          <w:szCs w:val="24"/>
          <w:lang w:val="en-US"/>
        </w:rPr>
        <w:t xml:space="preserve"> is</w:t>
      </w:r>
      <w:r w:rsidR="00F4226B">
        <w:rPr>
          <w:rFonts w:ascii="Times New Roman" w:hAnsi="Times New Roman"/>
          <w:iCs/>
          <w:sz w:val="24"/>
          <w:szCs w:val="24"/>
          <w:lang w:val="en-US"/>
        </w:rPr>
        <w:t xml:space="preserve"> </w:t>
      </w:r>
      <w:r w:rsidR="000F0083" w:rsidRPr="00F4226B">
        <w:rPr>
          <w:rFonts w:ascii="Times New Roman" w:hAnsi="Times New Roman"/>
          <w:iCs/>
          <w:sz w:val="24"/>
          <w:szCs w:val="24"/>
          <w:lang w:val="en-US"/>
        </w:rPr>
        <w:t xml:space="preserve">the </w:t>
      </w:r>
      <w:r w:rsidR="00585147" w:rsidRPr="00F4226B">
        <w:rPr>
          <w:rFonts w:ascii="Times New Roman" w:hAnsi="Times New Roman"/>
          <w:iCs/>
          <w:sz w:val="24"/>
          <w:szCs w:val="24"/>
          <w:lang w:val="en-US"/>
        </w:rPr>
        <w:t xml:space="preserve">third </w:t>
      </w:r>
      <w:r w:rsidR="000F0083" w:rsidRPr="00F4226B">
        <w:rPr>
          <w:rFonts w:ascii="Times New Roman" w:hAnsi="Times New Roman"/>
          <w:iCs/>
          <w:sz w:val="24"/>
          <w:szCs w:val="24"/>
          <w:lang w:val="en-US"/>
        </w:rPr>
        <w:t xml:space="preserve">largest, </w:t>
      </w:r>
      <w:r w:rsidRPr="00F4226B">
        <w:rPr>
          <w:rFonts w:ascii="Times New Roman" w:hAnsi="Times New Roman"/>
          <w:iCs/>
          <w:sz w:val="24"/>
          <w:szCs w:val="24"/>
          <w:lang w:val="en-US"/>
        </w:rPr>
        <w:t>most active</w:t>
      </w:r>
      <w:r w:rsidR="003766C2">
        <w:rPr>
          <w:rFonts w:ascii="Times New Roman" w:hAnsi="Times New Roman"/>
          <w:iCs/>
          <w:sz w:val="24"/>
          <w:szCs w:val="24"/>
          <w:lang w:val="en-US"/>
        </w:rPr>
        <w:t>,</w:t>
      </w:r>
      <w:r w:rsidRPr="00F4226B">
        <w:rPr>
          <w:rFonts w:ascii="Times New Roman" w:hAnsi="Times New Roman"/>
          <w:iCs/>
          <w:sz w:val="24"/>
          <w:szCs w:val="24"/>
          <w:lang w:val="en-US"/>
        </w:rPr>
        <w:t xml:space="preserve"> </w:t>
      </w:r>
      <w:r w:rsidR="0020701A" w:rsidRPr="00F4226B">
        <w:rPr>
          <w:rFonts w:ascii="Times New Roman" w:hAnsi="Times New Roman"/>
          <w:iCs/>
          <w:sz w:val="24"/>
          <w:szCs w:val="24"/>
          <w:lang w:val="en-US"/>
        </w:rPr>
        <w:t xml:space="preserve">and liquid </w:t>
      </w:r>
      <w:r w:rsidRPr="00F4226B">
        <w:rPr>
          <w:rFonts w:ascii="Times New Roman" w:hAnsi="Times New Roman"/>
          <w:iCs/>
          <w:sz w:val="24"/>
          <w:szCs w:val="24"/>
          <w:lang w:val="en-US"/>
        </w:rPr>
        <w:t>stock exchange in Africa (World Bank 2003</w:t>
      </w:r>
      <w:r w:rsidR="002F03A7" w:rsidRPr="00F4226B">
        <w:rPr>
          <w:rFonts w:ascii="Times New Roman" w:hAnsi="Times New Roman"/>
          <w:iCs/>
          <w:sz w:val="24"/>
          <w:szCs w:val="24"/>
          <w:lang w:val="en-US"/>
        </w:rPr>
        <w:t>; Senbet and Otchere 2008</w:t>
      </w:r>
      <w:r w:rsidRPr="00F4226B">
        <w:rPr>
          <w:rFonts w:ascii="Times New Roman" w:hAnsi="Times New Roman"/>
          <w:iCs/>
          <w:sz w:val="24"/>
          <w:szCs w:val="24"/>
          <w:lang w:val="en-US"/>
        </w:rPr>
        <w:t>)</w:t>
      </w:r>
      <w:r w:rsidR="000F0083" w:rsidRPr="00F4226B">
        <w:rPr>
          <w:rFonts w:ascii="Times New Roman" w:hAnsi="Times New Roman"/>
          <w:iCs/>
          <w:sz w:val="24"/>
          <w:szCs w:val="24"/>
          <w:lang w:val="en-US"/>
        </w:rPr>
        <w:t xml:space="preserve">. According to Senbet and Otchere (2008), the market capitalization ratio (a measure of size) </w:t>
      </w:r>
      <w:r w:rsidR="00585147" w:rsidRPr="00F4226B">
        <w:rPr>
          <w:rFonts w:ascii="Times New Roman" w:hAnsi="Times New Roman"/>
          <w:iCs/>
          <w:sz w:val="24"/>
          <w:szCs w:val="24"/>
          <w:lang w:val="en-US"/>
        </w:rPr>
        <w:t xml:space="preserve">ranged </w:t>
      </w:r>
      <w:r w:rsidR="000F0083" w:rsidRPr="00F4226B">
        <w:rPr>
          <w:rFonts w:ascii="Times New Roman" w:hAnsi="Times New Roman"/>
          <w:iCs/>
          <w:sz w:val="24"/>
          <w:szCs w:val="24"/>
          <w:lang w:val="en-US"/>
        </w:rPr>
        <w:t>from 32.</w:t>
      </w:r>
      <w:r w:rsidR="00730D40" w:rsidRPr="00F4226B">
        <w:rPr>
          <w:rFonts w:ascii="Times New Roman" w:hAnsi="Times New Roman"/>
          <w:iCs/>
          <w:sz w:val="24"/>
          <w:szCs w:val="24"/>
          <w:lang w:val="en-US"/>
        </w:rPr>
        <w:t>9</w:t>
      </w:r>
      <w:r w:rsidR="000F0083" w:rsidRPr="00F4226B">
        <w:rPr>
          <w:rFonts w:ascii="Times New Roman" w:hAnsi="Times New Roman"/>
          <w:iCs/>
          <w:sz w:val="24"/>
          <w:szCs w:val="24"/>
          <w:lang w:val="en-US"/>
        </w:rPr>
        <w:t xml:space="preserve">% of GDP in 2000 to </w:t>
      </w:r>
      <w:r w:rsidR="00F4226B">
        <w:rPr>
          <w:rFonts w:ascii="Times New Roman" w:hAnsi="Times New Roman"/>
          <w:iCs/>
          <w:sz w:val="24"/>
          <w:szCs w:val="24"/>
          <w:lang w:val="en-US"/>
        </w:rPr>
        <w:t>approximately 7</w:t>
      </w:r>
      <w:r w:rsidR="000F0083" w:rsidRPr="00F4226B">
        <w:rPr>
          <w:rFonts w:ascii="Times New Roman" w:hAnsi="Times New Roman"/>
          <w:iCs/>
          <w:sz w:val="24"/>
          <w:szCs w:val="24"/>
          <w:lang w:val="en-US"/>
        </w:rPr>
        <w:t>0.</w:t>
      </w:r>
      <w:r w:rsidR="00730D40" w:rsidRPr="00F4226B">
        <w:rPr>
          <w:rFonts w:ascii="Times New Roman" w:hAnsi="Times New Roman"/>
          <w:iCs/>
          <w:sz w:val="24"/>
          <w:szCs w:val="24"/>
          <w:lang w:val="en-US"/>
        </w:rPr>
        <w:t>3</w:t>
      </w:r>
      <w:r w:rsidR="000F0083" w:rsidRPr="00F4226B">
        <w:rPr>
          <w:rFonts w:ascii="Times New Roman" w:hAnsi="Times New Roman"/>
          <w:iCs/>
          <w:sz w:val="24"/>
          <w:szCs w:val="24"/>
          <w:lang w:val="en-US"/>
        </w:rPr>
        <w:t>% of GDP in 2005</w:t>
      </w:r>
      <w:r w:rsidR="0004296A" w:rsidRPr="00F4226B">
        <w:rPr>
          <w:rFonts w:ascii="Times New Roman" w:hAnsi="Times New Roman"/>
          <w:iCs/>
          <w:sz w:val="24"/>
          <w:szCs w:val="24"/>
          <w:lang w:val="en-US"/>
        </w:rPr>
        <w:t xml:space="preserve"> (see Table 2)</w:t>
      </w:r>
      <w:r w:rsidR="00585147" w:rsidRPr="00F4226B">
        <w:rPr>
          <w:rFonts w:ascii="Times New Roman" w:hAnsi="Times New Roman"/>
          <w:iCs/>
          <w:sz w:val="24"/>
          <w:szCs w:val="24"/>
          <w:lang w:val="en-US"/>
        </w:rPr>
        <w:t xml:space="preserve">, </w:t>
      </w:r>
      <w:r w:rsidR="00036753" w:rsidRPr="00F4226B">
        <w:rPr>
          <w:rFonts w:ascii="Times New Roman" w:hAnsi="Times New Roman"/>
          <w:iCs/>
          <w:sz w:val="24"/>
          <w:szCs w:val="24"/>
          <w:lang w:val="en-US"/>
        </w:rPr>
        <w:t xml:space="preserve">making it the third largest in Africa after </w:t>
      </w:r>
      <w:r w:rsidR="00585147" w:rsidRPr="00F4226B">
        <w:rPr>
          <w:rFonts w:ascii="Times New Roman" w:hAnsi="Times New Roman"/>
          <w:iCs/>
          <w:sz w:val="24"/>
          <w:szCs w:val="24"/>
          <w:lang w:val="en-US"/>
        </w:rPr>
        <w:t xml:space="preserve">the Egyptian Stock Exchange </w:t>
      </w:r>
      <w:r w:rsidR="000E35FC" w:rsidRPr="00F4226B">
        <w:rPr>
          <w:rFonts w:ascii="Times New Roman" w:hAnsi="Times New Roman"/>
          <w:iCs/>
          <w:sz w:val="24"/>
          <w:szCs w:val="24"/>
          <w:lang w:val="en-US"/>
        </w:rPr>
        <w:t xml:space="preserve">(EGSE) </w:t>
      </w:r>
      <w:r w:rsidR="00585147" w:rsidRPr="00F4226B">
        <w:rPr>
          <w:rFonts w:ascii="Times New Roman" w:hAnsi="Times New Roman"/>
          <w:iCs/>
          <w:sz w:val="24"/>
          <w:szCs w:val="24"/>
          <w:lang w:val="en-US"/>
        </w:rPr>
        <w:t>and</w:t>
      </w:r>
      <w:r w:rsidR="00715DCE">
        <w:rPr>
          <w:rFonts w:ascii="Times New Roman" w:hAnsi="Times New Roman"/>
          <w:iCs/>
          <w:sz w:val="24"/>
          <w:szCs w:val="24"/>
          <w:lang w:val="en-US"/>
        </w:rPr>
        <w:t xml:space="preserve"> the</w:t>
      </w:r>
      <w:r w:rsidR="00585147" w:rsidRPr="00F4226B">
        <w:rPr>
          <w:rFonts w:ascii="Times New Roman" w:hAnsi="Times New Roman"/>
          <w:iCs/>
          <w:sz w:val="24"/>
          <w:szCs w:val="24"/>
          <w:lang w:val="en-US"/>
        </w:rPr>
        <w:t xml:space="preserve"> J</w:t>
      </w:r>
      <w:r w:rsidR="00036753" w:rsidRPr="00F4226B">
        <w:rPr>
          <w:rFonts w:ascii="Times New Roman" w:hAnsi="Times New Roman"/>
          <w:iCs/>
          <w:sz w:val="24"/>
          <w:szCs w:val="24"/>
          <w:lang w:val="en-US"/>
        </w:rPr>
        <w:t>ohannesburg</w:t>
      </w:r>
      <w:r w:rsidR="00585147" w:rsidRPr="00F4226B">
        <w:rPr>
          <w:rFonts w:ascii="Times New Roman" w:hAnsi="Times New Roman"/>
          <w:iCs/>
          <w:sz w:val="24"/>
          <w:szCs w:val="24"/>
          <w:lang w:val="en-US"/>
        </w:rPr>
        <w:t xml:space="preserve"> Securities Exchange </w:t>
      </w:r>
      <w:r w:rsidR="00036753" w:rsidRPr="00F4226B">
        <w:rPr>
          <w:rFonts w:ascii="Times New Roman" w:hAnsi="Times New Roman"/>
          <w:iCs/>
          <w:sz w:val="24"/>
          <w:szCs w:val="24"/>
          <w:lang w:val="en-US"/>
        </w:rPr>
        <w:t>(JSE)</w:t>
      </w:r>
      <w:r w:rsidR="000F0083" w:rsidRPr="00F4226B">
        <w:rPr>
          <w:rFonts w:ascii="Times New Roman" w:hAnsi="Times New Roman"/>
          <w:iCs/>
          <w:sz w:val="24"/>
          <w:szCs w:val="24"/>
          <w:lang w:val="en-US"/>
        </w:rPr>
        <w:t xml:space="preserve">. The growth </w:t>
      </w:r>
      <w:r w:rsidR="000E35FC" w:rsidRPr="00F4226B">
        <w:rPr>
          <w:rFonts w:ascii="Times New Roman" w:hAnsi="Times New Roman"/>
          <w:iCs/>
          <w:sz w:val="24"/>
          <w:szCs w:val="24"/>
          <w:lang w:val="en-US"/>
        </w:rPr>
        <w:t xml:space="preserve">in the </w:t>
      </w:r>
      <w:r w:rsidR="000F0083" w:rsidRPr="00F4226B">
        <w:rPr>
          <w:rFonts w:ascii="Times New Roman" w:hAnsi="Times New Roman"/>
          <w:iCs/>
          <w:sz w:val="24"/>
          <w:szCs w:val="24"/>
          <w:lang w:val="en-US"/>
        </w:rPr>
        <w:t>ratio coincided with an increase in the number of listed firms</w:t>
      </w:r>
      <w:r w:rsidR="00715DCE">
        <w:rPr>
          <w:rFonts w:ascii="Times New Roman" w:hAnsi="Times New Roman"/>
          <w:iCs/>
          <w:sz w:val="24"/>
          <w:szCs w:val="24"/>
          <w:lang w:val="en-US"/>
        </w:rPr>
        <w:t>,</w:t>
      </w:r>
      <w:r w:rsidR="000F0083" w:rsidRPr="00F4226B">
        <w:rPr>
          <w:rFonts w:ascii="Times New Roman" w:hAnsi="Times New Roman"/>
          <w:iCs/>
          <w:sz w:val="24"/>
          <w:szCs w:val="24"/>
          <w:lang w:val="en-US"/>
        </w:rPr>
        <w:t xml:space="preserve"> from 71 to 79</w:t>
      </w:r>
      <w:r w:rsidR="00715DCE">
        <w:rPr>
          <w:rFonts w:ascii="Times New Roman" w:hAnsi="Times New Roman"/>
          <w:iCs/>
          <w:sz w:val="24"/>
          <w:szCs w:val="24"/>
          <w:lang w:val="en-US"/>
        </w:rPr>
        <w:t>,</w:t>
      </w:r>
      <w:r w:rsidR="000F0083" w:rsidRPr="00F4226B">
        <w:rPr>
          <w:rFonts w:ascii="Times New Roman" w:hAnsi="Times New Roman"/>
          <w:iCs/>
          <w:sz w:val="24"/>
          <w:szCs w:val="24"/>
          <w:lang w:val="en-US"/>
        </w:rPr>
        <w:t xml:space="preserve"> in the same </w:t>
      </w:r>
      <w:r w:rsidR="000F0083" w:rsidRPr="00F4226B">
        <w:rPr>
          <w:rFonts w:ascii="Times New Roman" w:hAnsi="Times New Roman"/>
          <w:iCs/>
          <w:sz w:val="24"/>
          <w:szCs w:val="24"/>
          <w:lang w:val="en-US"/>
        </w:rPr>
        <w:lastRenderedPageBreak/>
        <w:t xml:space="preserve">period. In terms of market </w:t>
      </w:r>
      <w:r w:rsidR="00585147" w:rsidRPr="00F4226B">
        <w:rPr>
          <w:rFonts w:ascii="Times New Roman" w:hAnsi="Times New Roman"/>
          <w:iCs/>
          <w:sz w:val="24"/>
          <w:szCs w:val="24"/>
          <w:lang w:val="en-US"/>
        </w:rPr>
        <w:t>activity</w:t>
      </w:r>
      <w:r w:rsidR="000F0083" w:rsidRPr="00F4226B">
        <w:rPr>
          <w:rFonts w:ascii="Times New Roman" w:hAnsi="Times New Roman"/>
          <w:iCs/>
          <w:sz w:val="24"/>
          <w:szCs w:val="24"/>
          <w:lang w:val="en-US"/>
        </w:rPr>
        <w:t xml:space="preserve">, </w:t>
      </w:r>
      <w:r w:rsidR="00585147" w:rsidRPr="00F4226B">
        <w:rPr>
          <w:rFonts w:ascii="Times New Roman" w:hAnsi="Times New Roman"/>
          <w:iCs/>
          <w:sz w:val="24"/>
          <w:szCs w:val="24"/>
          <w:lang w:val="en-US"/>
        </w:rPr>
        <w:t xml:space="preserve">Senbet and Otchere (2008) indicate that </w:t>
      </w:r>
      <w:r w:rsidR="000F0083" w:rsidRPr="00F4226B">
        <w:rPr>
          <w:rFonts w:ascii="Times New Roman" w:hAnsi="Times New Roman"/>
          <w:iCs/>
          <w:sz w:val="24"/>
          <w:szCs w:val="24"/>
          <w:lang w:val="en-US"/>
        </w:rPr>
        <w:t xml:space="preserve">the </w:t>
      </w:r>
      <w:r w:rsidR="00585147" w:rsidRPr="00F4226B">
        <w:rPr>
          <w:rFonts w:ascii="Times New Roman" w:hAnsi="Times New Roman"/>
          <w:iCs/>
          <w:sz w:val="24"/>
          <w:szCs w:val="24"/>
          <w:lang w:val="en-US"/>
        </w:rPr>
        <w:t xml:space="preserve">ZSE </w:t>
      </w:r>
      <w:r w:rsidR="000F0083" w:rsidRPr="00F4226B">
        <w:rPr>
          <w:rFonts w:ascii="Times New Roman" w:hAnsi="Times New Roman"/>
          <w:iCs/>
          <w:sz w:val="24"/>
          <w:szCs w:val="24"/>
          <w:lang w:val="en-US"/>
        </w:rPr>
        <w:t>turnover ratio (</w:t>
      </w:r>
      <w:r w:rsidR="00585147" w:rsidRPr="00F4226B">
        <w:rPr>
          <w:rFonts w:ascii="Times New Roman" w:hAnsi="Times New Roman"/>
          <w:iCs/>
          <w:sz w:val="24"/>
          <w:szCs w:val="24"/>
          <w:lang w:val="en-US"/>
        </w:rPr>
        <w:t xml:space="preserve">the </w:t>
      </w:r>
      <w:r w:rsidR="000F0083" w:rsidRPr="00F4226B">
        <w:rPr>
          <w:rFonts w:ascii="Times New Roman" w:hAnsi="Times New Roman"/>
          <w:iCs/>
          <w:sz w:val="24"/>
          <w:szCs w:val="24"/>
          <w:lang w:val="en-US"/>
        </w:rPr>
        <w:t>value of shares traded to market capitalization)</w:t>
      </w:r>
      <w:r w:rsidR="00143761" w:rsidRPr="00F4226B">
        <w:rPr>
          <w:rFonts w:ascii="Times New Roman" w:hAnsi="Times New Roman"/>
          <w:iCs/>
          <w:sz w:val="24"/>
          <w:szCs w:val="24"/>
          <w:lang w:val="en-US"/>
        </w:rPr>
        <w:t xml:space="preserve"> </w:t>
      </w:r>
      <w:r w:rsidR="00585147" w:rsidRPr="00F4226B">
        <w:rPr>
          <w:rFonts w:ascii="Times New Roman" w:hAnsi="Times New Roman"/>
          <w:iCs/>
          <w:sz w:val="24"/>
          <w:szCs w:val="24"/>
          <w:lang w:val="en-US"/>
        </w:rPr>
        <w:t xml:space="preserve">ranged </w:t>
      </w:r>
      <w:r w:rsidR="00143761" w:rsidRPr="00F4226B">
        <w:rPr>
          <w:rFonts w:ascii="Times New Roman" w:hAnsi="Times New Roman"/>
          <w:iCs/>
          <w:sz w:val="24"/>
          <w:szCs w:val="24"/>
          <w:lang w:val="en-US"/>
        </w:rPr>
        <w:t>from 23.</w:t>
      </w:r>
      <w:r w:rsidR="000E35FC" w:rsidRPr="00F4226B">
        <w:rPr>
          <w:rFonts w:ascii="Times New Roman" w:hAnsi="Times New Roman"/>
          <w:iCs/>
          <w:sz w:val="24"/>
          <w:szCs w:val="24"/>
          <w:lang w:val="en-US"/>
        </w:rPr>
        <w:t>3</w:t>
      </w:r>
      <w:r w:rsidR="00143761" w:rsidRPr="00F4226B">
        <w:rPr>
          <w:rFonts w:ascii="Times New Roman" w:hAnsi="Times New Roman"/>
          <w:iCs/>
          <w:sz w:val="24"/>
          <w:szCs w:val="24"/>
          <w:lang w:val="en-US"/>
        </w:rPr>
        <w:t>% in 2000 to 1</w:t>
      </w:r>
      <w:r w:rsidR="00036753" w:rsidRPr="00F4226B">
        <w:rPr>
          <w:rFonts w:ascii="Times New Roman" w:hAnsi="Times New Roman"/>
          <w:iCs/>
          <w:sz w:val="24"/>
          <w:szCs w:val="24"/>
          <w:lang w:val="en-US"/>
        </w:rPr>
        <w:t>5.</w:t>
      </w:r>
      <w:r w:rsidR="008B1402" w:rsidRPr="00F4226B">
        <w:rPr>
          <w:rFonts w:ascii="Times New Roman" w:hAnsi="Times New Roman"/>
          <w:iCs/>
          <w:sz w:val="24"/>
          <w:szCs w:val="24"/>
          <w:lang w:val="en-US"/>
        </w:rPr>
        <w:t>3</w:t>
      </w:r>
      <w:r w:rsidR="00143761" w:rsidRPr="00F4226B">
        <w:rPr>
          <w:rFonts w:ascii="Times New Roman" w:hAnsi="Times New Roman"/>
          <w:iCs/>
          <w:sz w:val="24"/>
          <w:szCs w:val="24"/>
          <w:lang w:val="en-US"/>
        </w:rPr>
        <w:t>% in 2005</w:t>
      </w:r>
      <w:r w:rsidR="003F46E5" w:rsidRPr="00F4226B">
        <w:rPr>
          <w:rFonts w:ascii="Times New Roman" w:hAnsi="Times New Roman"/>
          <w:iCs/>
          <w:sz w:val="24"/>
          <w:szCs w:val="24"/>
          <w:lang w:val="en-US"/>
        </w:rPr>
        <w:t xml:space="preserve">, declining with </w:t>
      </w:r>
      <w:r w:rsidR="00715DCE">
        <w:rPr>
          <w:rFonts w:ascii="Times New Roman" w:hAnsi="Times New Roman"/>
          <w:iCs/>
          <w:sz w:val="24"/>
          <w:szCs w:val="24"/>
          <w:lang w:val="en-US"/>
        </w:rPr>
        <w:t xml:space="preserve">a </w:t>
      </w:r>
      <w:r w:rsidR="000E35FC" w:rsidRPr="00F4226B">
        <w:rPr>
          <w:rFonts w:ascii="Times New Roman" w:hAnsi="Times New Roman"/>
          <w:iCs/>
          <w:sz w:val="24"/>
          <w:szCs w:val="24"/>
          <w:lang w:val="en-US"/>
        </w:rPr>
        <w:t xml:space="preserve">contraction in </w:t>
      </w:r>
      <w:r w:rsidR="003F46E5" w:rsidRPr="00F4226B">
        <w:rPr>
          <w:rFonts w:ascii="Times New Roman" w:hAnsi="Times New Roman"/>
          <w:iCs/>
          <w:sz w:val="24"/>
          <w:szCs w:val="24"/>
          <w:lang w:val="en-US"/>
        </w:rPr>
        <w:t>the economy</w:t>
      </w:r>
      <w:r w:rsidR="00143761" w:rsidRPr="00F4226B">
        <w:rPr>
          <w:rFonts w:ascii="Times New Roman" w:hAnsi="Times New Roman"/>
          <w:iCs/>
          <w:sz w:val="24"/>
          <w:szCs w:val="24"/>
          <w:lang w:val="en-US"/>
        </w:rPr>
        <w:t>.</w:t>
      </w:r>
      <w:r w:rsidR="00585147" w:rsidRPr="00F4226B">
        <w:rPr>
          <w:rFonts w:ascii="Times New Roman" w:hAnsi="Times New Roman"/>
          <w:iCs/>
          <w:sz w:val="24"/>
          <w:szCs w:val="24"/>
          <w:lang w:val="en-US"/>
        </w:rPr>
        <w:t xml:space="preserve"> Th</w:t>
      </w:r>
      <w:r w:rsidR="00FC4FAF" w:rsidRPr="00F4226B">
        <w:rPr>
          <w:rFonts w:ascii="Times New Roman" w:hAnsi="Times New Roman"/>
          <w:iCs/>
          <w:sz w:val="24"/>
          <w:szCs w:val="24"/>
          <w:lang w:val="en-US"/>
        </w:rPr>
        <w:t>is activity level is high in the context of Africa</w:t>
      </w:r>
      <w:r w:rsidR="00F4226B">
        <w:rPr>
          <w:rFonts w:ascii="Times New Roman" w:hAnsi="Times New Roman"/>
          <w:iCs/>
          <w:sz w:val="24"/>
          <w:szCs w:val="24"/>
          <w:lang w:val="en-US"/>
        </w:rPr>
        <w:t xml:space="preserve"> and is </w:t>
      </w:r>
      <w:r w:rsidR="00FC4FAF" w:rsidRPr="00F4226B">
        <w:rPr>
          <w:rFonts w:ascii="Times New Roman" w:hAnsi="Times New Roman"/>
          <w:iCs/>
          <w:sz w:val="24"/>
          <w:szCs w:val="24"/>
          <w:lang w:val="en-US"/>
        </w:rPr>
        <w:t xml:space="preserve">lower than </w:t>
      </w:r>
      <w:r w:rsidR="00715DCE" w:rsidRPr="00F4226B">
        <w:rPr>
          <w:rFonts w:ascii="Times New Roman" w:hAnsi="Times New Roman"/>
          <w:iCs/>
          <w:sz w:val="24"/>
          <w:szCs w:val="24"/>
          <w:lang w:val="en-US"/>
        </w:rPr>
        <w:t xml:space="preserve">only </w:t>
      </w:r>
      <w:r w:rsidR="00585147" w:rsidRPr="00F4226B">
        <w:rPr>
          <w:rFonts w:ascii="Times New Roman" w:hAnsi="Times New Roman"/>
          <w:iCs/>
          <w:sz w:val="24"/>
          <w:szCs w:val="24"/>
          <w:lang w:val="en-US"/>
        </w:rPr>
        <w:t>the E</w:t>
      </w:r>
      <w:r w:rsidR="000E35FC" w:rsidRPr="00F4226B">
        <w:rPr>
          <w:rFonts w:ascii="Times New Roman" w:hAnsi="Times New Roman"/>
          <w:iCs/>
          <w:sz w:val="24"/>
          <w:szCs w:val="24"/>
          <w:lang w:val="en-US"/>
        </w:rPr>
        <w:t>GSE</w:t>
      </w:r>
      <w:r w:rsidR="00585147" w:rsidRPr="00F4226B">
        <w:rPr>
          <w:rFonts w:ascii="Times New Roman" w:hAnsi="Times New Roman"/>
          <w:iCs/>
          <w:sz w:val="24"/>
          <w:szCs w:val="24"/>
          <w:lang w:val="en-US"/>
        </w:rPr>
        <w:t xml:space="preserve"> and the JSE</w:t>
      </w:r>
      <w:r w:rsidR="00715DCE">
        <w:rPr>
          <w:rFonts w:ascii="Times New Roman" w:hAnsi="Times New Roman"/>
          <w:iCs/>
          <w:sz w:val="24"/>
          <w:szCs w:val="24"/>
          <w:lang w:val="en-US"/>
        </w:rPr>
        <w:t>,</w:t>
      </w:r>
      <w:r w:rsidR="00585147" w:rsidRPr="00F4226B">
        <w:rPr>
          <w:rFonts w:ascii="Times New Roman" w:hAnsi="Times New Roman"/>
          <w:iCs/>
          <w:sz w:val="24"/>
          <w:szCs w:val="24"/>
          <w:lang w:val="en-US"/>
        </w:rPr>
        <w:t xml:space="preserve"> with</w:t>
      </w:r>
      <w:r w:rsidR="00715DCE">
        <w:rPr>
          <w:rFonts w:ascii="Times New Roman" w:hAnsi="Times New Roman"/>
          <w:iCs/>
          <w:sz w:val="24"/>
          <w:szCs w:val="24"/>
          <w:lang w:val="en-US"/>
        </w:rPr>
        <w:t xml:space="preserve"> </w:t>
      </w:r>
      <w:r w:rsidR="00585147" w:rsidRPr="00F4226B">
        <w:rPr>
          <w:rFonts w:ascii="Times New Roman" w:hAnsi="Times New Roman"/>
          <w:iCs/>
          <w:sz w:val="24"/>
          <w:szCs w:val="24"/>
          <w:lang w:val="en-US"/>
        </w:rPr>
        <w:t>mean ratio</w:t>
      </w:r>
      <w:r w:rsidR="00715DCE">
        <w:rPr>
          <w:rFonts w:ascii="Times New Roman" w:hAnsi="Times New Roman"/>
          <w:iCs/>
          <w:sz w:val="24"/>
          <w:szCs w:val="24"/>
          <w:lang w:val="en-US"/>
        </w:rPr>
        <w:t>s</w:t>
      </w:r>
      <w:r w:rsidR="00585147" w:rsidRPr="00F4226B">
        <w:rPr>
          <w:rFonts w:ascii="Times New Roman" w:hAnsi="Times New Roman"/>
          <w:iCs/>
          <w:sz w:val="24"/>
          <w:szCs w:val="24"/>
          <w:lang w:val="en-US"/>
        </w:rPr>
        <w:t xml:space="preserve"> of 27.7% and 47.3%, respectively. </w:t>
      </w:r>
    </w:p>
    <w:p w14:paraId="451285EF" w14:textId="77777777" w:rsidR="0004296A" w:rsidRPr="00F4226B" w:rsidRDefault="0004296A" w:rsidP="003B13CE">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t>-----------------------------------</w:t>
      </w:r>
    </w:p>
    <w:p w14:paraId="72A8FE82" w14:textId="77777777" w:rsidR="0004296A" w:rsidRPr="00F4226B" w:rsidRDefault="0004296A" w:rsidP="003820D1">
      <w:pPr>
        <w:spacing w:line="240" w:lineRule="auto"/>
        <w:ind w:firstLine="284"/>
        <w:jc w:val="center"/>
        <w:outlineLvl w:val="0"/>
        <w:rPr>
          <w:rFonts w:ascii="Times New Roman" w:hAnsi="Times New Roman"/>
          <w:b/>
          <w:sz w:val="24"/>
          <w:szCs w:val="24"/>
          <w:lang w:val="en-US"/>
        </w:rPr>
      </w:pPr>
      <w:r w:rsidRPr="00F4226B">
        <w:rPr>
          <w:rFonts w:ascii="Times New Roman" w:hAnsi="Times New Roman"/>
          <w:b/>
          <w:sz w:val="24"/>
          <w:szCs w:val="24"/>
          <w:lang w:val="en-US"/>
        </w:rPr>
        <w:t>Insert Table 2 About Here</w:t>
      </w:r>
    </w:p>
    <w:p w14:paraId="5838B584" w14:textId="77777777" w:rsidR="0004296A" w:rsidRPr="00F4226B" w:rsidRDefault="0004296A" w:rsidP="003B13CE">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t>-----------------------------------</w:t>
      </w:r>
    </w:p>
    <w:p w14:paraId="12985F33" w14:textId="39978317" w:rsidR="00A54170" w:rsidRPr="00F4226B" w:rsidRDefault="002F03A7" w:rsidP="00CF3168">
      <w:pPr>
        <w:spacing w:line="360" w:lineRule="auto"/>
        <w:jc w:val="both"/>
        <w:rPr>
          <w:rFonts w:ascii="Times New Roman" w:hAnsi="Times New Roman"/>
          <w:iCs/>
          <w:sz w:val="24"/>
          <w:szCs w:val="24"/>
          <w:lang w:val="en-US"/>
        </w:rPr>
      </w:pPr>
      <w:r w:rsidRPr="00F4226B">
        <w:rPr>
          <w:rFonts w:ascii="Times New Roman" w:hAnsi="Times New Roman"/>
          <w:iCs/>
          <w:sz w:val="24"/>
          <w:szCs w:val="24"/>
          <w:lang w:val="en-US"/>
        </w:rPr>
        <w:t>A</w:t>
      </w:r>
      <w:r w:rsidR="003566EE" w:rsidRPr="00F4226B">
        <w:rPr>
          <w:rFonts w:ascii="Times New Roman" w:hAnsi="Times New Roman"/>
          <w:iCs/>
          <w:sz w:val="24"/>
          <w:szCs w:val="24"/>
          <w:lang w:val="en-US"/>
        </w:rPr>
        <w:t xml:space="preserve">ccording to </w:t>
      </w:r>
      <w:r w:rsidR="00A56FEE" w:rsidRPr="00F4226B">
        <w:rPr>
          <w:rFonts w:ascii="Times New Roman" w:hAnsi="Times New Roman"/>
          <w:iCs/>
          <w:sz w:val="24"/>
          <w:szCs w:val="24"/>
          <w:lang w:val="en-US"/>
        </w:rPr>
        <w:t>Hellstrom</w:t>
      </w:r>
      <w:r w:rsidRPr="00F4226B">
        <w:rPr>
          <w:rFonts w:ascii="Times New Roman" w:hAnsi="Times New Roman"/>
          <w:iCs/>
          <w:sz w:val="24"/>
          <w:szCs w:val="24"/>
          <w:lang w:val="en-US"/>
        </w:rPr>
        <w:t xml:space="preserve"> (</w:t>
      </w:r>
      <w:r w:rsidR="00A56FEE" w:rsidRPr="00F4226B">
        <w:rPr>
          <w:rFonts w:ascii="Times New Roman" w:hAnsi="Times New Roman"/>
          <w:iCs/>
          <w:sz w:val="24"/>
          <w:szCs w:val="24"/>
          <w:lang w:val="en-US"/>
        </w:rPr>
        <w:t>2006</w:t>
      </w:r>
      <w:r w:rsidRPr="00F4226B">
        <w:rPr>
          <w:rFonts w:ascii="Times New Roman" w:hAnsi="Times New Roman"/>
          <w:iCs/>
          <w:sz w:val="24"/>
          <w:szCs w:val="24"/>
          <w:lang w:val="en-US"/>
        </w:rPr>
        <w:t xml:space="preserve">) and </w:t>
      </w:r>
      <w:r w:rsidR="00A56FEE" w:rsidRPr="00F4226B">
        <w:rPr>
          <w:rFonts w:ascii="Times New Roman" w:hAnsi="Times New Roman"/>
          <w:iCs/>
          <w:sz w:val="24"/>
          <w:szCs w:val="24"/>
          <w:lang w:val="en-US"/>
        </w:rPr>
        <w:t>Barth et al.</w:t>
      </w:r>
      <w:r w:rsidRPr="00F4226B">
        <w:rPr>
          <w:rFonts w:ascii="Times New Roman" w:hAnsi="Times New Roman"/>
          <w:iCs/>
          <w:sz w:val="24"/>
          <w:szCs w:val="24"/>
          <w:lang w:val="en-US"/>
        </w:rPr>
        <w:t xml:space="preserve"> (</w:t>
      </w:r>
      <w:r w:rsidR="00A56FEE" w:rsidRPr="00F4226B">
        <w:rPr>
          <w:rFonts w:ascii="Times New Roman" w:hAnsi="Times New Roman"/>
          <w:iCs/>
          <w:sz w:val="24"/>
          <w:szCs w:val="24"/>
          <w:lang w:val="en-US"/>
        </w:rPr>
        <w:t>2008)</w:t>
      </w:r>
      <w:r w:rsidRPr="00F4226B">
        <w:rPr>
          <w:rFonts w:ascii="Times New Roman" w:hAnsi="Times New Roman"/>
          <w:iCs/>
          <w:sz w:val="24"/>
          <w:szCs w:val="24"/>
          <w:lang w:val="en-US"/>
        </w:rPr>
        <w:t xml:space="preserve">, </w:t>
      </w:r>
      <w:r w:rsidR="00A56FEE" w:rsidRPr="00F4226B">
        <w:rPr>
          <w:rFonts w:ascii="Times New Roman" w:hAnsi="Times New Roman"/>
          <w:iCs/>
          <w:sz w:val="24"/>
          <w:szCs w:val="24"/>
          <w:lang w:val="en-US"/>
        </w:rPr>
        <w:t>a</w:t>
      </w:r>
      <w:r w:rsidR="00A54170" w:rsidRPr="00F4226B">
        <w:rPr>
          <w:rFonts w:ascii="Times New Roman" w:hAnsi="Times New Roman"/>
          <w:iCs/>
          <w:sz w:val="24"/>
          <w:szCs w:val="24"/>
          <w:lang w:val="en-US"/>
        </w:rPr>
        <w:t xml:space="preserve">n important feature of </w:t>
      </w:r>
      <w:r w:rsidR="00A56FEE" w:rsidRPr="00F4226B">
        <w:rPr>
          <w:rFonts w:ascii="Times New Roman" w:hAnsi="Times New Roman"/>
          <w:iCs/>
          <w:sz w:val="24"/>
          <w:szCs w:val="24"/>
          <w:lang w:val="en-US"/>
        </w:rPr>
        <w:t xml:space="preserve">stock market </w:t>
      </w:r>
      <w:r w:rsidR="00A54170" w:rsidRPr="00F4226B">
        <w:rPr>
          <w:rFonts w:ascii="Times New Roman" w:hAnsi="Times New Roman"/>
          <w:iCs/>
          <w:sz w:val="24"/>
          <w:szCs w:val="24"/>
          <w:lang w:val="en-US"/>
        </w:rPr>
        <w:t xml:space="preserve">functioning </w:t>
      </w:r>
      <w:r w:rsidR="00D22B82" w:rsidRPr="00F4226B">
        <w:rPr>
          <w:rFonts w:ascii="Times New Roman" w:hAnsi="Times New Roman"/>
          <w:iCs/>
          <w:sz w:val="24"/>
          <w:szCs w:val="24"/>
          <w:lang w:val="en-US"/>
        </w:rPr>
        <w:t xml:space="preserve">and the value relevance of </w:t>
      </w:r>
      <w:r w:rsidR="00512DD8" w:rsidRPr="00F4226B">
        <w:rPr>
          <w:rFonts w:ascii="Times New Roman" w:hAnsi="Times New Roman"/>
          <w:iCs/>
          <w:sz w:val="24"/>
          <w:szCs w:val="24"/>
          <w:lang w:val="en-US"/>
        </w:rPr>
        <w:t xml:space="preserve">accounting numbers </w:t>
      </w:r>
      <w:r w:rsidR="00A54170" w:rsidRPr="00F4226B">
        <w:rPr>
          <w:rFonts w:ascii="Times New Roman" w:hAnsi="Times New Roman"/>
          <w:iCs/>
          <w:sz w:val="24"/>
          <w:szCs w:val="24"/>
          <w:lang w:val="en-US"/>
        </w:rPr>
        <w:t>relates to the timely release of information.</w:t>
      </w:r>
      <w:r w:rsidR="00A54170" w:rsidRPr="00F4226B">
        <w:rPr>
          <w:rFonts w:ascii="Times New Roman" w:hAnsi="Times New Roman"/>
          <w:sz w:val="24"/>
          <w:szCs w:val="24"/>
          <w:lang w:val="en-US"/>
        </w:rPr>
        <w:t xml:space="preserve"> </w:t>
      </w:r>
      <w:r w:rsidR="007F4DAE" w:rsidRPr="00F4226B">
        <w:rPr>
          <w:rFonts w:ascii="Times New Roman" w:hAnsi="Times New Roman"/>
          <w:sz w:val="24"/>
          <w:szCs w:val="24"/>
          <w:lang w:val="en-US"/>
        </w:rPr>
        <w:t>In this regard, t</w:t>
      </w:r>
      <w:r w:rsidR="00A54170" w:rsidRPr="00F4226B">
        <w:rPr>
          <w:rFonts w:ascii="Times New Roman" w:hAnsi="Times New Roman"/>
          <w:sz w:val="24"/>
          <w:szCs w:val="24"/>
          <w:lang w:val="en-US"/>
        </w:rPr>
        <w:t xml:space="preserve">he ZSE </w:t>
      </w:r>
      <w:r w:rsidR="00DF3ABC" w:rsidRPr="00F4226B">
        <w:rPr>
          <w:rFonts w:ascii="Times New Roman" w:hAnsi="Times New Roman"/>
          <w:sz w:val="24"/>
          <w:szCs w:val="24"/>
          <w:lang w:val="en-US"/>
        </w:rPr>
        <w:t xml:space="preserve">Listing Rules (2002) </w:t>
      </w:r>
      <w:r w:rsidR="00A54170" w:rsidRPr="00F4226B">
        <w:rPr>
          <w:rFonts w:ascii="Times New Roman" w:hAnsi="Times New Roman"/>
          <w:sz w:val="24"/>
          <w:szCs w:val="24"/>
          <w:lang w:val="en-US"/>
        </w:rPr>
        <w:t>require listed firms to submit</w:t>
      </w:r>
      <w:r w:rsidRPr="00F4226B">
        <w:rPr>
          <w:rFonts w:ascii="Times New Roman" w:hAnsi="Times New Roman"/>
          <w:sz w:val="24"/>
          <w:szCs w:val="24"/>
          <w:lang w:val="en-US"/>
        </w:rPr>
        <w:t xml:space="preserve"> </w:t>
      </w:r>
      <w:r w:rsidR="00D22B82" w:rsidRPr="00F4226B">
        <w:rPr>
          <w:rFonts w:ascii="Times New Roman" w:hAnsi="Times New Roman"/>
          <w:sz w:val="24"/>
          <w:szCs w:val="24"/>
          <w:lang w:val="en-US"/>
        </w:rPr>
        <w:t xml:space="preserve">to the ZSE </w:t>
      </w:r>
      <w:r w:rsidR="00D22B82" w:rsidRPr="00F4226B">
        <w:rPr>
          <w:rFonts w:ascii="Times New Roman" w:hAnsi="Times New Roman"/>
          <w:sz w:val="24"/>
          <w:szCs w:val="24"/>
          <w:lang w:val="en-US"/>
        </w:rPr>
        <w:lastRenderedPageBreak/>
        <w:t xml:space="preserve">and to all shareholders </w:t>
      </w:r>
      <w:r w:rsidR="00A54170" w:rsidRPr="00F4226B">
        <w:rPr>
          <w:rFonts w:ascii="Times New Roman" w:hAnsi="Times New Roman"/>
          <w:sz w:val="24"/>
          <w:szCs w:val="24"/>
          <w:lang w:val="en-US"/>
        </w:rPr>
        <w:t xml:space="preserve">copies </w:t>
      </w:r>
      <w:r w:rsidR="00D22B82" w:rsidRPr="00F4226B">
        <w:rPr>
          <w:rFonts w:ascii="Times New Roman" w:hAnsi="Times New Roman"/>
          <w:sz w:val="24"/>
          <w:szCs w:val="24"/>
          <w:lang w:val="en-US"/>
        </w:rPr>
        <w:t>of the audited annual reports by end of the third month after their fiscal year-end</w:t>
      </w:r>
      <w:r w:rsidR="002A7300" w:rsidRPr="00F4226B">
        <w:rPr>
          <w:rFonts w:ascii="Times New Roman" w:hAnsi="Times New Roman"/>
          <w:sz w:val="24"/>
          <w:szCs w:val="24"/>
          <w:lang w:val="en-US"/>
        </w:rPr>
        <w:t>.</w:t>
      </w:r>
      <w:r w:rsidR="00DF3ABC" w:rsidRPr="00F4226B">
        <w:rPr>
          <w:rStyle w:val="FootnoteReference"/>
          <w:rFonts w:ascii="Times New Roman" w:hAnsi="Times New Roman"/>
          <w:sz w:val="24"/>
          <w:szCs w:val="24"/>
          <w:lang w:val="en-US"/>
        </w:rPr>
        <w:footnoteReference w:id="6"/>
      </w:r>
      <w:r w:rsidR="00C36A56" w:rsidRPr="00F4226B">
        <w:rPr>
          <w:rFonts w:ascii="Times New Roman" w:hAnsi="Times New Roman"/>
          <w:color w:val="000000"/>
          <w:sz w:val="24"/>
          <w:szCs w:val="24"/>
          <w:shd w:val="clear" w:color="auto" w:fill="FFFFFF"/>
          <w:lang w:val="en-US"/>
        </w:rPr>
        <w:t xml:space="preserve"> </w:t>
      </w:r>
      <w:r w:rsidR="008E4C39" w:rsidRPr="00F4226B">
        <w:rPr>
          <w:rFonts w:ascii="Times New Roman" w:hAnsi="Times New Roman"/>
          <w:color w:val="000000"/>
          <w:sz w:val="24"/>
          <w:szCs w:val="24"/>
          <w:shd w:val="clear" w:color="auto" w:fill="FFFFFF"/>
          <w:lang w:val="en-US"/>
        </w:rPr>
        <w:t xml:space="preserve">In the event that a firm fails to meet this deadline, the ZSE requires </w:t>
      </w:r>
      <w:r w:rsidR="00D16BB7" w:rsidRPr="00F4226B">
        <w:rPr>
          <w:rFonts w:ascii="Times New Roman" w:hAnsi="Times New Roman"/>
          <w:color w:val="000000"/>
          <w:sz w:val="24"/>
          <w:szCs w:val="24"/>
          <w:shd w:val="clear" w:color="auto" w:fill="FFFFFF"/>
          <w:lang w:val="en-US"/>
        </w:rPr>
        <w:t>th</w:t>
      </w:r>
      <w:r w:rsidR="00DF3ABC" w:rsidRPr="00F4226B">
        <w:rPr>
          <w:rFonts w:ascii="Times New Roman" w:hAnsi="Times New Roman"/>
          <w:color w:val="000000"/>
          <w:sz w:val="24"/>
          <w:szCs w:val="24"/>
          <w:shd w:val="clear" w:color="auto" w:fill="FFFFFF"/>
          <w:lang w:val="en-US"/>
        </w:rPr>
        <w:t>at a preliminary report</w:t>
      </w:r>
      <w:r w:rsidR="00715DCE">
        <w:rPr>
          <w:rFonts w:ascii="Times New Roman" w:hAnsi="Times New Roman"/>
          <w:color w:val="000000"/>
          <w:sz w:val="24"/>
          <w:szCs w:val="24"/>
          <w:shd w:val="clear" w:color="auto" w:fill="FFFFFF"/>
          <w:lang w:val="en-US"/>
        </w:rPr>
        <w:t xml:space="preserve"> </w:t>
      </w:r>
      <w:r w:rsidR="00DF3ABC" w:rsidRPr="00F4226B">
        <w:rPr>
          <w:rFonts w:ascii="Times New Roman" w:hAnsi="Times New Roman"/>
          <w:color w:val="000000"/>
          <w:sz w:val="24"/>
          <w:szCs w:val="24"/>
          <w:shd w:val="clear" w:color="auto" w:fill="FFFFFF"/>
          <w:lang w:val="en-US"/>
        </w:rPr>
        <w:t xml:space="preserve">be </w:t>
      </w:r>
      <w:r w:rsidR="00D16BB7" w:rsidRPr="00F4226B">
        <w:rPr>
          <w:rFonts w:ascii="Times New Roman" w:hAnsi="Times New Roman"/>
          <w:color w:val="000000"/>
          <w:sz w:val="24"/>
          <w:szCs w:val="24"/>
          <w:shd w:val="clear" w:color="auto" w:fill="FFFFFF"/>
          <w:lang w:val="en-US"/>
        </w:rPr>
        <w:t>publi</w:t>
      </w:r>
      <w:r w:rsidR="00DF3ABC" w:rsidRPr="00F4226B">
        <w:rPr>
          <w:rFonts w:ascii="Times New Roman" w:hAnsi="Times New Roman"/>
          <w:color w:val="000000"/>
          <w:sz w:val="24"/>
          <w:szCs w:val="24"/>
          <w:shd w:val="clear" w:color="auto" w:fill="FFFFFF"/>
          <w:lang w:val="en-US"/>
        </w:rPr>
        <w:t xml:space="preserve">shed in the national press </w:t>
      </w:r>
      <w:r w:rsidR="00D16BB7" w:rsidRPr="00F4226B">
        <w:rPr>
          <w:rFonts w:ascii="Times New Roman" w:hAnsi="Times New Roman"/>
          <w:color w:val="000000"/>
          <w:sz w:val="24"/>
          <w:szCs w:val="24"/>
          <w:shd w:val="clear" w:color="auto" w:fill="FFFFFF"/>
          <w:lang w:val="en-US"/>
        </w:rPr>
        <w:t>and distribut</w:t>
      </w:r>
      <w:r w:rsidR="00DF3ABC" w:rsidRPr="00F4226B">
        <w:rPr>
          <w:rFonts w:ascii="Times New Roman" w:hAnsi="Times New Roman"/>
          <w:color w:val="000000"/>
          <w:sz w:val="24"/>
          <w:szCs w:val="24"/>
          <w:shd w:val="clear" w:color="auto" w:fill="FFFFFF"/>
          <w:lang w:val="en-US"/>
        </w:rPr>
        <w:t>ed to all shareholders</w:t>
      </w:r>
      <w:r w:rsidR="0086551B" w:rsidRPr="00F4226B">
        <w:rPr>
          <w:rFonts w:ascii="Times New Roman" w:hAnsi="Times New Roman"/>
          <w:color w:val="000000"/>
          <w:sz w:val="24"/>
          <w:szCs w:val="24"/>
          <w:shd w:val="clear" w:color="auto" w:fill="FFFFFF"/>
          <w:lang w:val="en-US"/>
        </w:rPr>
        <w:t xml:space="preserve">, even if the </w:t>
      </w:r>
      <w:r w:rsidR="00C27B17" w:rsidRPr="00F4226B">
        <w:rPr>
          <w:rFonts w:ascii="Times New Roman" w:hAnsi="Times New Roman"/>
          <w:color w:val="000000"/>
          <w:sz w:val="24"/>
          <w:szCs w:val="24"/>
          <w:shd w:val="clear" w:color="auto" w:fill="FFFFFF"/>
          <w:lang w:val="en-US"/>
        </w:rPr>
        <w:t>report is</w:t>
      </w:r>
      <w:r w:rsidR="0086551B" w:rsidRPr="00F4226B">
        <w:rPr>
          <w:rFonts w:ascii="Times New Roman" w:hAnsi="Times New Roman"/>
          <w:color w:val="000000"/>
          <w:sz w:val="24"/>
          <w:szCs w:val="24"/>
          <w:shd w:val="clear" w:color="auto" w:fill="FFFFFF"/>
          <w:lang w:val="en-US"/>
        </w:rPr>
        <w:t xml:space="preserve"> unaudited</w:t>
      </w:r>
      <w:r w:rsidR="00DF3ABC" w:rsidRPr="00F4226B">
        <w:rPr>
          <w:rFonts w:ascii="Times New Roman" w:hAnsi="Times New Roman"/>
          <w:color w:val="000000"/>
          <w:sz w:val="24"/>
          <w:szCs w:val="24"/>
          <w:shd w:val="clear" w:color="auto" w:fill="FFFFFF"/>
          <w:lang w:val="en-US"/>
        </w:rPr>
        <w:t xml:space="preserve">. </w:t>
      </w:r>
      <w:r w:rsidR="00A54170" w:rsidRPr="00F4226B">
        <w:rPr>
          <w:rFonts w:ascii="Times New Roman" w:hAnsi="Times New Roman"/>
          <w:color w:val="000000"/>
          <w:sz w:val="24"/>
          <w:szCs w:val="24"/>
          <w:lang w:val="en-US"/>
        </w:rPr>
        <w:t xml:space="preserve">Owusu-Ansah (2000) </w:t>
      </w:r>
      <w:r w:rsidR="00C36A56" w:rsidRPr="00F4226B">
        <w:rPr>
          <w:rFonts w:ascii="Times New Roman" w:hAnsi="Times New Roman"/>
          <w:color w:val="000000"/>
          <w:sz w:val="24"/>
          <w:szCs w:val="24"/>
          <w:lang w:val="en-US"/>
        </w:rPr>
        <w:t xml:space="preserve">shows that </w:t>
      </w:r>
      <w:r w:rsidR="00A54170" w:rsidRPr="00F4226B">
        <w:rPr>
          <w:rFonts w:ascii="Times New Roman" w:hAnsi="Times New Roman"/>
          <w:color w:val="000000"/>
          <w:sz w:val="24"/>
          <w:szCs w:val="24"/>
          <w:lang w:val="en-US"/>
        </w:rPr>
        <w:t xml:space="preserve">98% of </w:t>
      </w:r>
      <w:r w:rsidR="0040208F" w:rsidRPr="00F4226B">
        <w:rPr>
          <w:rFonts w:ascii="Times New Roman" w:hAnsi="Times New Roman"/>
          <w:color w:val="000000"/>
          <w:sz w:val="24"/>
          <w:szCs w:val="24"/>
          <w:lang w:val="en-US"/>
        </w:rPr>
        <w:t>ZSE</w:t>
      </w:r>
      <w:r w:rsidR="00A54170" w:rsidRPr="00F4226B">
        <w:rPr>
          <w:rFonts w:ascii="Times New Roman" w:hAnsi="Times New Roman"/>
          <w:color w:val="000000"/>
          <w:sz w:val="24"/>
          <w:szCs w:val="24"/>
          <w:lang w:val="en-US"/>
        </w:rPr>
        <w:t xml:space="preserve"> </w:t>
      </w:r>
      <w:r w:rsidR="00C36A56" w:rsidRPr="00F4226B">
        <w:rPr>
          <w:rFonts w:ascii="Times New Roman" w:hAnsi="Times New Roman"/>
          <w:color w:val="000000"/>
          <w:sz w:val="24"/>
          <w:szCs w:val="24"/>
          <w:lang w:val="en-US"/>
        </w:rPr>
        <w:t xml:space="preserve">listed </w:t>
      </w:r>
      <w:r w:rsidR="00A54170" w:rsidRPr="00F4226B">
        <w:rPr>
          <w:rFonts w:ascii="Times New Roman" w:hAnsi="Times New Roman"/>
          <w:color w:val="000000"/>
          <w:sz w:val="24"/>
          <w:szCs w:val="24"/>
          <w:lang w:val="en-US"/>
        </w:rPr>
        <w:t>firms publish annual reports by the regulatory deadline</w:t>
      </w:r>
      <w:r w:rsidRPr="00F4226B">
        <w:rPr>
          <w:rFonts w:ascii="Times New Roman" w:hAnsi="Times New Roman"/>
          <w:color w:val="000000"/>
          <w:sz w:val="24"/>
          <w:szCs w:val="24"/>
          <w:lang w:val="en-US"/>
        </w:rPr>
        <w:t xml:space="preserve">, implying that </w:t>
      </w:r>
      <w:r w:rsidR="00CF239F" w:rsidRPr="00F4226B">
        <w:rPr>
          <w:rFonts w:ascii="Times New Roman" w:hAnsi="Times New Roman"/>
          <w:color w:val="000000"/>
          <w:sz w:val="24"/>
          <w:szCs w:val="24"/>
          <w:lang w:val="en-US"/>
        </w:rPr>
        <w:t xml:space="preserve">the </w:t>
      </w:r>
      <w:r w:rsidR="00C36A56" w:rsidRPr="00F4226B">
        <w:rPr>
          <w:rFonts w:ascii="Times New Roman" w:hAnsi="Times New Roman"/>
          <w:color w:val="000000"/>
          <w:sz w:val="24"/>
          <w:szCs w:val="24"/>
          <w:lang w:val="en-US"/>
        </w:rPr>
        <w:t xml:space="preserve">accounting </w:t>
      </w:r>
      <w:r w:rsidR="009043FC" w:rsidRPr="00F4226B">
        <w:rPr>
          <w:rFonts w:ascii="Times New Roman" w:hAnsi="Times New Roman"/>
          <w:color w:val="000000"/>
          <w:sz w:val="24"/>
          <w:szCs w:val="24"/>
          <w:lang w:val="en-US"/>
        </w:rPr>
        <w:t>numbers</w:t>
      </w:r>
      <w:r w:rsidR="00A54170" w:rsidRPr="00F4226B">
        <w:rPr>
          <w:rFonts w:ascii="Times New Roman" w:hAnsi="Times New Roman"/>
          <w:color w:val="000000"/>
          <w:sz w:val="24"/>
          <w:szCs w:val="24"/>
          <w:lang w:val="en-US"/>
        </w:rPr>
        <w:t xml:space="preserve"> </w:t>
      </w:r>
      <w:r w:rsidR="00F777B7" w:rsidRPr="00F4226B">
        <w:rPr>
          <w:rFonts w:ascii="Times New Roman" w:hAnsi="Times New Roman"/>
          <w:color w:val="000000"/>
          <w:sz w:val="24"/>
          <w:szCs w:val="24"/>
          <w:lang w:val="en-US"/>
        </w:rPr>
        <w:t xml:space="preserve">released by </w:t>
      </w:r>
      <w:r w:rsidR="00F777B7" w:rsidRPr="00F4226B">
        <w:rPr>
          <w:rFonts w:ascii="Times New Roman" w:hAnsi="Times New Roman"/>
          <w:sz w:val="24"/>
          <w:szCs w:val="24"/>
          <w:lang w:val="en-US"/>
        </w:rPr>
        <w:t>the</w:t>
      </w:r>
      <w:r w:rsidR="00BE3B71" w:rsidRPr="00F4226B">
        <w:rPr>
          <w:rFonts w:ascii="Times New Roman" w:hAnsi="Times New Roman"/>
          <w:sz w:val="24"/>
          <w:szCs w:val="24"/>
          <w:lang w:val="en-US"/>
        </w:rPr>
        <w:t>se</w:t>
      </w:r>
      <w:r w:rsidR="00A54170" w:rsidRPr="00F4226B">
        <w:rPr>
          <w:rFonts w:ascii="Times New Roman" w:hAnsi="Times New Roman"/>
          <w:sz w:val="24"/>
          <w:szCs w:val="24"/>
          <w:lang w:val="en-US"/>
        </w:rPr>
        <w:t xml:space="preserve"> firms </w:t>
      </w:r>
      <w:r w:rsidR="009043FC" w:rsidRPr="00F4226B">
        <w:rPr>
          <w:rFonts w:ascii="Times New Roman" w:hAnsi="Times New Roman"/>
          <w:sz w:val="24"/>
          <w:szCs w:val="24"/>
          <w:lang w:val="en-US"/>
        </w:rPr>
        <w:t xml:space="preserve">are </w:t>
      </w:r>
      <w:r w:rsidRPr="00F4226B">
        <w:rPr>
          <w:rFonts w:ascii="Times New Roman" w:hAnsi="Times New Roman"/>
          <w:sz w:val="24"/>
          <w:szCs w:val="24"/>
          <w:lang w:val="en-US"/>
        </w:rPr>
        <w:t xml:space="preserve">timely and </w:t>
      </w:r>
      <w:r w:rsidR="008170CE">
        <w:rPr>
          <w:rFonts w:ascii="Times New Roman" w:hAnsi="Times New Roman"/>
          <w:sz w:val="24"/>
          <w:szCs w:val="24"/>
          <w:lang w:val="en-US"/>
        </w:rPr>
        <w:t xml:space="preserve">are </w:t>
      </w:r>
      <w:r w:rsidR="00F777B7" w:rsidRPr="00F4226B">
        <w:rPr>
          <w:rFonts w:ascii="Times New Roman" w:hAnsi="Times New Roman"/>
          <w:sz w:val="24"/>
          <w:szCs w:val="24"/>
          <w:lang w:val="en-US"/>
        </w:rPr>
        <w:t xml:space="preserve">likely </w:t>
      </w:r>
      <w:r w:rsidR="00A54170" w:rsidRPr="00F4226B">
        <w:rPr>
          <w:rFonts w:ascii="Times New Roman" w:hAnsi="Times New Roman"/>
          <w:sz w:val="24"/>
          <w:szCs w:val="24"/>
          <w:lang w:val="en-US"/>
        </w:rPr>
        <w:t>associate</w:t>
      </w:r>
      <w:r w:rsidR="008170CE">
        <w:rPr>
          <w:rFonts w:ascii="Times New Roman" w:hAnsi="Times New Roman"/>
          <w:sz w:val="24"/>
          <w:szCs w:val="24"/>
          <w:lang w:val="en-US"/>
        </w:rPr>
        <w:t>d</w:t>
      </w:r>
      <w:r w:rsidR="00A54170" w:rsidRPr="00F4226B">
        <w:rPr>
          <w:rFonts w:ascii="Times New Roman" w:hAnsi="Times New Roman"/>
          <w:sz w:val="24"/>
          <w:szCs w:val="24"/>
          <w:lang w:val="en-US"/>
        </w:rPr>
        <w:t xml:space="preserve"> with s</w:t>
      </w:r>
      <w:r w:rsidRPr="00F4226B">
        <w:rPr>
          <w:rFonts w:ascii="Times New Roman" w:hAnsi="Times New Roman"/>
          <w:sz w:val="24"/>
          <w:szCs w:val="24"/>
          <w:lang w:val="en-US"/>
        </w:rPr>
        <w:t xml:space="preserve">tock </w:t>
      </w:r>
      <w:r w:rsidR="00A54170" w:rsidRPr="00F4226B">
        <w:rPr>
          <w:rFonts w:ascii="Times New Roman" w:hAnsi="Times New Roman"/>
          <w:sz w:val="24"/>
          <w:szCs w:val="24"/>
          <w:lang w:val="en-US"/>
        </w:rPr>
        <w:t>prices.</w:t>
      </w:r>
      <w:r w:rsidR="00062C40" w:rsidRPr="00F4226B">
        <w:rPr>
          <w:rFonts w:ascii="Times New Roman" w:hAnsi="Times New Roman"/>
          <w:sz w:val="24"/>
          <w:szCs w:val="24"/>
          <w:lang w:val="en-US"/>
        </w:rPr>
        <w:t xml:space="preserve"> </w:t>
      </w:r>
      <w:r w:rsidR="00244ADC" w:rsidRPr="00F4226B">
        <w:rPr>
          <w:rFonts w:ascii="Times New Roman" w:hAnsi="Times New Roman"/>
          <w:sz w:val="24"/>
          <w:szCs w:val="24"/>
          <w:lang w:val="en-US"/>
        </w:rPr>
        <w:t>Oppong (1993) confirms this association between stock prices and earnings in Zimbabwe.</w:t>
      </w:r>
    </w:p>
    <w:p w14:paraId="7A88DD9F" w14:textId="77777777" w:rsidR="002F03A7" w:rsidRPr="00F4226B" w:rsidRDefault="002F03A7" w:rsidP="003B13CE">
      <w:pPr>
        <w:spacing w:line="360" w:lineRule="auto"/>
        <w:ind w:firstLine="284"/>
        <w:jc w:val="both"/>
        <w:rPr>
          <w:rFonts w:ascii="Times New Roman" w:hAnsi="Times New Roman"/>
          <w:sz w:val="24"/>
          <w:szCs w:val="24"/>
          <w:lang w:val="en-US"/>
        </w:rPr>
      </w:pPr>
    </w:p>
    <w:p w14:paraId="6FAB2282" w14:textId="77777777" w:rsidR="00276F36" w:rsidRPr="00F4226B" w:rsidRDefault="00276F36" w:rsidP="003820D1">
      <w:pPr>
        <w:spacing w:line="360" w:lineRule="auto"/>
        <w:jc w:val="both"/>
        <w:outlineLvl w:val="0"/>
        <w:rPr>
          <w:rFonts w:ascii="Times New Roman" w:hAnsi="Times New Roman"/>
          <w:b/>
          <w:sz w:val="24"/>
          <w:szCs w:val="24"/>
          <w:lang w:val="en-US"/>
        </w:rPr>
      </w:pPr>
      <w:r w:rsidRPr="00F4226B">
        <w:rPr>
          <w:rFonts w:ascii="Times New Roman" w:hAnsi="Times New Roman"/>
          <w:b/>
          <w:sz w:val="24"/>
          <w:szCs w:val="24"/>
          <w:lang w:val="en-US"/>
        </w:rPr>
        <w:lastRenderedPageBreak/>
        <w:t xml:space="preserve">3. </w:t>
      </w:r>
      <w:r w:rsidR="00A25F60" w:rsidRPr="00F4226B">
        <w:rPr>
          <w:rFonts w:ascii="Times New Roman" w:hAnsi="Times New Roman"/>
          <w:b/>
          <w:sz w:val="24"/>
          <w:szCs w:val="24"/>
          <w:lang w:val="en-US"/>
        </w:rPr>
        <w:t xml:space="preserve"> </w:t>
      </w:r>
      <w:r w:rsidR="009148D6" w:rsidRPr="00F4226B">
        <w:rPr>
          <w:rFonts w:ascii="Times New Roman" w:hAnsi="Times New Roman"/>
          <w:b/>
          <w:sz w:val="24"/>
          <w:szCs w:val="24"/>
          <w:lang w:val="en-US"/>
        </w:rPr>
        <w:t xml:space="preserve">Literature </w:t>
      </w:r>
      <w:r w:rsidR="00C253F5" w:rsidRPr="00F4226B">
        <w:rPr>
          <w:rFonts w:ascii="Times New Roman" w:hAnsi="Times New Roman"/>
          <w:b/>
          <w:sz w:val="24"/>
          <w:szCs w:val="24"/>
          <w:lang w:val="en-US"/>
        </w:rPr>
        <w:t>r</w:t>
      </w:r>
      <w:r w:rsidR="009148D6" w:rsidRPr="00F4226B">
        <w:rPr>
          <w:rFonts w:ascii="Times New Roman" w:hAnsi="Times New Roman"/>
          <w:b/>
          <w:sz w:val="24"/>
          <w:szCs w:val="24"/>
          <w:lang w:val="en-US"/>
        </w:rPr>
        <w:t xml:space="preserve">eview </w:t>
      </w:r>
    </w:p>
    <w:p w14:paraId="1357B7E9" w14:textId="77777777" w:rsidR="00BA73A7" w:rsidRPr="00804A08" w:rsidRDefault="00BA73A7" w:rsidP="003820D1">
      <w:pPr>
        <w:spacing w:line="360" w:lineRule="auto"/>
        <w:jc w:val="both"/>
        <w:outlineLvl w:val="0"/>
        <w:rPr>
          <w:rFonts w:ascii="Times New Roman" w:hAnsi="Times New Roman"/>
          <w:i/>
          <w:sz w:val="24"/>
          <w:szCs w:val="24"/>
          <w:lang w:val="en-US"/>
        </w:rPr>
      </w:pPr>
      <w:r w:rsidRPr="00804A08">
        <w:rPr>
          <w:rFonts w:ascii="Times New Roman" w:hAnsi="Times New Roman"/>
          <w:i/>
          <w:sz w:val="24"/>
          <w:szCs w:val="24"/>
          <w:lang w:val="en-US"/>
        </w:rPr>
        <w:t xml:space="preserve">3.1 </w:t>
      </w:r>
      <w:r w:rsidR="008F40AE" w:rsidRPr="00804A08">
        <w:rPr>
          <w:rFonts w:ascii="Times New Roman" w:hAnsi="Times New Roman"/>
          <w:i/>
          <w:sz w:val="24"/>
          <w:szCs w:val="24"/>
          <w:lang w:val="en-US"/>
        </w:rPr>
        <w:t>Relat</w:t>
      </w:r>
      <w:r w:rsidR="00CE7E07" w:rsidRPr="00804A08">
        <w:rPr>
          <w:rFonts w:ascii="Times New Roman" w:hAnsi="Times New Roman"/>
          <w:i/>
          <w:sz w:val="24"/>
          <w:szCs w:val="24"/>
          <w:lang w:val="en-US"/>
        </w:rPr>
        <w:t xml:space="preserve">ion to </w:t>
      </w:r>
      <w:r w:rsidR="008F40AE" w:rsidRPr="00804A08">
        <w:rPr>
          <w:rFonts w:ascii="Times New Roman" w:hAnsi="Times New Roman"/>
          <w:i/>
          <w:sz w:val="24"/>
          <w:szCs w:val="24"/>
          <w:lang w:val="en-US"/>
        </w:rPr>
        <w:t>p</w:t>
      </w:r>
      <w:r w:rsidRPr="00804A08">
        <w:rPr>
          <w:rFonts w:ascii="Times New Roman" w:hAnsi="Times New Roman"/>
          <w:i/>
          <w:sz w:val="24"/>
          <w:szCs w:val="24"/>
          <w:lang w:val="en-US"/>
        </w:rPr>
        <w:t>rior studies</w:t>
      </w:r>
    </w:p>
    <w:p w14:paraId="273721AA" w14:textId="6E2DB115" w:rsidR="00A95527" w:rsidRPr="00F4226B" w:rsidRDefault="00A123C3" w:rsidP="00CF3168">
      <w:pPr>
        <w:spacing w:line="360" w:lineRule="auto"/>
        <w:jc w:val="both"/>
        <w:rPr>
          <w:rFonts w:ascii="Times New Roman" w:hAnsi="Times New Roman"/>
          <w:sz w:val="24"/>
          <w:szCs w:val="24"/>
          <w:lang w:val="en-US"/>
        </w:rPr>
      </w:pPr>
      <w:r w:rsidRPr="00F4226B">
        <w:rPr>
          <w:rFonts w:ascii="Times New Roman" w:hAnsi="Times New Roman"/>
          <w:sz w:val="24"/>
          <w:szCs w:val="24"/>
          <w:lang w:val="en-US"/>
        </w:rPr>
        <w:t>O</w:t>
      </w:r>
      <w:r w:rsidR="004D17F1" w:rsidRPr="00F4226B">
        <w:rPr>
          <w:rFonts w:ascii="Times New Roman" w:hAnsi="Times New Roman"/>
          <w:sz w:val="24"/>
          <w:szCs w:val="24"/>
          <w:lang w:val="en-US"/>
        </w:rPr>
        <w:t xml:space="preserve">ur work relates to </w:t>
      </w:r>
      <w:r w:rsidR="002E1180" w:rsidRPr="00F4226B">
        <w:rPr>
          <w:rFonts w:ascii="Times New Roman" w:hAnsi="Times New Roman"/>
          <w:sz w:val="24"/>
          <w:szCs w:val="24"/>
          <w:lang w:val="en-US"/>
        </w:rPr>
        <w:t>t</w:t>
      </w:r>
      <w:r w:rsidR="004179BB" w:rsidRPr="00F4226B">
        <w:rPr>
          <w:rFonts w:ascii="Times New Roman" w:hAnsi="Times New Roman"/>
          <w:sz w:val="24"/>
          <w:szCs w:val="24"/>
          <w:lang w:val="en-US"/>
        </w:rPr>
        <w:t>hree</w:t>
      </w:r>
      <w:r w:rsidR="002E1180" w:rsidRPr="00F4226B">
        <w:rPr>
          <w:rFonts w:ascii="Times New Roman" w:hAnsi="Times New Roman"/>
          <w:sz w:val="24"/>
          <w:szCs w:val="24"/>
          <w:lang w:val="en-US"/>
        </w:rPr>
        <w:t xml:space="preserve"> streams of </w:t>
      </w:r>
      <w:r w:rsidR="00E40DE3" w:rsidRPr="00F4226B">
        <w:rPr>
          <w:rFonts w:ascii="Times New Roman" w:hAnsi="Times New Roman"/>
          <w:sz w:val="24"/>
          <w:szCs w:val="24"/>
          <w:lang w:val="en-US"/>
        </w:rPr>
        <w:t>literature on t</w:t>
      </w:r>
      <w:r w:rsidR="004B1436" w:rsidRPr="00F4226B">
        <w:rPr>
          <w:rFonts w:ascii="Times New Roman" w:hAnsi="Times New Roman"/>
          <w:sz w:val="24"/>
          <w:szCs w:val="24"/>
          <w:lang w:val="en-US"/>
        </w:rPr>
        <w:t xml:space="preserve">he </w:t>
      </w:r>
      <w:r w:rsidR="004179BB" w:rsidRPr="00F4226B">
        <w:rPr>
          <w:rFonts w:ascii="Times New Roman" w:hAnsi="Times New Roman"/>
          <w:sz w:val="24"/>
          <w:szCs w:val="24"/>
          <w:lang w:val="en-US"/>
        </w:rPr>
        <w:t>link</w:t>
      </w:r>
      <w:r w:rsidR="004B1436" w:rsidRPr="00F4226B">
        <w:rPr>
          <w:rFonts w:ascii="Times New Roman" w:hAnsi="Times New Roman"/>
          <w:sz w:val="24"/>
          <w:szCs w:val="24"/>
          <w:lang w:val="en-US"/>
        </w:rPr>
        <w:t xml:space="preserve"> between accounting </w:t>
      </w:r>
      <w:r w:rsidR="00CD3448" w:rsidRPr="00F4226B">
        <w:rPr>
          <w:rFonts w:ascii="Times New Roman" w:hAnsi="Times New Roman"/>
          <w:sz w:val="24"/>
          <w:szCs w:val="24"/>
          <w:lang w:val="en-US"/>
        </w:rPr>
        <w:t>amounts</w:t>
      </w:r>
      <w:r w:rsidR="004B1436" w:rsidRPr="00F4226B">
        <w:rPr>
          <w:rFonts w:ascii="Times New Roman" w:hAnsi="Times New Roman"/>
          <w:sz w:val="24"/>
          <w:szCs w:val="24"/>
          <w:lang w:val="en-US"/>
        </w:rPr>
        <w:t xml:space="preserve"> and stock returns</w:t>
      </w:r>
      <w:r w:rsidR="003766C2">
        <w:rPr>
          <w:rFonts w:ascii="Times New Roman" w:hAnsi="Times New Roman"/>
          <w:sz w:val="24"/>
          <w:szCs w:val="24"/>
          <w:lang w:val="en-US"/>
        </w:rPr>
        <w:t>,</w:t>
      </w:r>
      <w:r w:rsidR="004B1436" w:rsidRPr="00F4226B">
        <w:rPr>
          <w:rFonts w:ascii="Times New Roman" w:hAnsi="Times New Roman"/>
          <w:sz w:val="24"/>
          <w:szCs w:val="24"/>
          <w:lang w:val="en-US"/>
        </w:rPr>
        <w:t xml:space="preserve"> values of equity</w:t>
      </w:r>
      <w:r w:rsidR="003766C2">
        <w:rPr>
          <w:rFonts w:ascii="Times New Roman" w:hAnsi="Times New Roman"/>
          <w:sz w:val="24"/>
          <w:szCs w:val="24"/>
          <w:lang w:val="en-US"/>
        </w:rPr>
        <w:t>, or both</w:t>
      </w:r>
      <w:r w:rsidR="004E4E99" w:rsidRPr="00F4226B">
        <w:rPr>
          <w:rFonts w:ascii="Times New Roman" w:hAnsi="Times New Roman"/>
          <w:sz w:val="24"/>
          <w:szCs w:val="24"/>
          <w:lang w:val="en-US"/>
        </w:rPr>
        <w:t xml:space="preserve">. </w:t>
      </w:r>
      <w:r w:rsidR="007C45EA" w:rsidRPr="00F4226B">
        <w:rPr>
          <w:rFonts w:ascii="Times New Roman" w:hAnsi="Times New Roman"/>
          <w:sz w:val="24"/>
          <w:szCs w:val="24"/>
          <w:lang w:val="en-US"/>
        </w:rPr>
        <w:t xml:space="preserve">One </w:t>
      </w:r>
      <w:r w:rsidR="00BA73A7" w:rsidRPr="00F4226B">
        <w:rPr>
          <w:rFonts w:ascii="Times New Roman" w:hAnsi="Times New Roman"/>
          <w:sz w:val="24"/>
          <w:szCs w:val="24"/>
          <w:lang w:val="en-US"/>
        </w:rPr>
        <w:t>stream</w:t>
      </w:r>
      <w:r w:rsidR="007C45EA" w:rsidRPr="00F4226B">
        <w:rPr>
          <w:rFonts w:ascii="Times New Roman" w:hAnsi="Times New Roman"/>
          <w:sz w:val="24"/>
          <w:szCs w:val="24"/>
          <w:lang w:val="en-US"/>
        </w:rPr>
        <w:t xml:space="preserve">, </w:t>
      </w:r>
      <w:r w:rsidR="009C44FD">
        <w:rPr>
          <w:rFonts w:ascii="Times New Roman" w:hAnsi="Times New Roman"/>
          <w:sz w:val="24"/>
          <w:szCs w:val="24"/>
          <w:lang w:val="en-US"/>
        </w:rPr>
        <w:t>the one</w:t>
      </w:r>
      <w:r w:rsidR="009C44FD" w:rsidRPr="00F4226B">
        <w:rPr>
          <w:rFonts w:ascii="Times New Roman" w:hAnsi="Times New Roman"/>
          <w:sz w:val="24"/>
          <w:szCs w:val="24"/>
          <w:lang w:val="en-US"/>
        </w:rPr>
        <w:t xml:space="preserve"> </w:t>
      </w:r>
      <w:r w:rsidR="00E778D3" w:rsidRPr="00F4226B">
        <w:rPr>
          <w:rFonts w:ascii="Times New Roman" w:hAnsi="Times New Roman"/>
          <w:sz w:val="24"/>
          <w:szCs w:val="24"/>
          <w:lang w:val="en-US"/>
        </w:rPr>
        <w:t xml:space="preserve">most closely </w:t>
      </w:r>
      <w:r w:rsidR="00086CEE" w:rsidRPr="00F4226B">
        <w:rPr>
          <w:rFonts w:ascii="Times New Roman" w:hAnsi="Times New Roman"/>
          <w:sz w:val="24"/>
          <w:szCs w:val="24"/>
          <w:lang w:val="en-US"/>
        </w:rPr>
        <w:t>related</w:t>
      </w:r>
      <w:r w:rsidR="00BA73A7" w:rsidRPr="00F4226B">
        <w:rPr>
          <w:rFonts w:ascii="Times New Roman" w:hAnsi="Times New Roman"/>
          <w:sz w:val="24"/>
          <w:szCs w:val="24"/>
          <w:lang w:val="en-US"/>
        </w:rPr>
        <w:t xml:space="preserve"> to our study, examines the value relevance of</w:t>
      </w:r>
      <w:r w:rsidR="00F4226B">
        <w:rPr>
          <w:rFonts w:ascii="Times New Roman" w:hAnsi="Times New Roman"/>
          <w:sz w:val="24"/>
          <w:szCs w:val="24"/>
          <w:lang w:val="en-US"/>
        </w:rPr>
        <w:t xml:space="preserve"> IA </w:t>
      </w:r>
      <w:r w:rsidR="00E40DE3" w:rsidRPr="00F4226B">
        <w:rPr>
          <w:rFonts w:ascii="Times New Roman" w:hAnsi="Times New Roman"/>
          <w:sz w:val="24"/>
          <w:szCs w:val="24"/>
          <w:lang w:val="en-US"/>
        </w:rPr>
        <w:t xml:space="preserve">accounting </w:t>
      </w:r>
      <w:r w:rsidR="000C0D25" w:rsidRPr="00F4226B">
        <w:rPr>
          <w:rFonts w:ascii="Times New Roman" w:hAnsi="Times New Roman"/>
          <w:sz w:val="24"/>
          <w:szCs w:val="24"/>
          <w:lang w:val="en-US"/>
        </w:rPr>
        <w:t>amounts</w:t>
      </w:r>
      <w:r w:rsidR="00BA73A7" w:rsidRPr="00F4226B">
        <w:rPr>
          <w:rFonts w:ascii="Times New Roman" w:hAnsi="Times New Roman"/>
          <w:sz w:val="24"/>
          <w:szCs w:val="24"/>
          <w:lang w:val="en-US"/>
        </w:rPr>
        <w:t>.</w:t>
      </w:r>
      <w:r w:rsidR="004D17F1" w:rsidRPr="00F4226B">
        <w:rPr>
          <w:rFonts w:ascii="Times New Roman" w:hAnsi="Times New Roman"/>
          <w:sz w:val="24"/>
          <w:szCs w:val="24"/>
          <w:lang w:val="en-US"/>
        </w:rPr>
        <w:t xml:space="preserve"> </w:t>
      </w:r>
      <w:r w:rsidR="005442C5" w:rsidRPr="00F4226B">
        <w:rPr>
          <w:rFonts w:ascii="Times New Roman" w:hAnsi="Times New Roman"/>
          <w:sz w:val="24"/>
          <w:szCs w:val="24"/>
          <w:lang w:val="en-US"/>
        </w:rPr>
        <w:t>I</w:t>
      </w:r>
      <w:r w:rsidRPr="00F4226B">
        <w:rPr>
          <w:rFonts w:ascii="Times New Roman" w:hAnsi="Times New Roman"/>
          <w:sz w:val="24"/>
          <w:szCs w:val="24"/>
          <w:lang w:val="en-US"/>
        </w:rPr>
        <w:t xml:space="preserve">n the 1970s and 1980s, </w:t>
      </w:r>
      <w:r w:rsidR="00A570FA" w:rsidRPr="00F4226B">
        <w:rPr>
          <w:rFonts w:ascii="Times New Roman" w:hAnsi="Times New Roman"/>
          <w:sz w:val="24"/>
          <w:szCs w:val="24"/>
          <w:lang w:val="en-US"/>
        </w:rPr>
        <w:t xml:space="preserve">a major debate </w:t>
      </w:r>
      <w:r w:rsidR="00945470" w:rsidRPr="00F4226B">
        <w:rPr>
          <w:rFonts w:ascii="Times New Roman" w:hAnsi="Times New Roman"/>
          <w:sz w:val="24"/>
          <w:szCs w:val="24"/>
          <w:lang w:val="en-US"/>
        </w:rPr>
        <w:t>in the U</w:t>
      </w:r>
      <w:r w:rsidR="003766C2">
        <w:rPr>
          <w:rFonts w:ascii="Times New Roman" w:hAnsi="Times New Roman"/>
          <w:sz w:val="24"/>
          <w:szCs w:val="24"/>
          <w:lang w:val="en-US"/>
        </w:rPr>
        <w:t xml:space="preserve">nited </w:t>
      </w:r>
      <w:r w:rsidR="00945470" w:rsidRPr="00F4226B">
        <w:rPr>
          <w:rFonts w:ascii="Times New Roman" w:hAnsi="Times New Roman"/>
          <w:sz w:val="24"/>
          <w:szCs w:val="24"/>
          <w:lang w:val="en-US"/>
        </w:rPr>
        <w:t>K</w:t>
      </w:r>
      <w:r w:rsidR="003766C2">
        <w:rPr>
          <w:rFonts w:ascii="Times New Roman" w:hAnsi="Times New Roman"/>
          <w:sz w:val="24"/>
          <w:szCs w:val="24"/>
          <w:lang w:val="en-US"/>
        </w:rPr>
        <w:t>ingdom</w:t>
      </w:r>
      <w:r w:rsidR="00945470" w:rsidRPr="00F4226B">
        <w:rPr>
          <w:rFonts w:ascii="Times New Roman" w:hAnsi="Times New Roman"/>
          <w:sz w:val="24"/>
          <w:szCs w:val="24"/>
          <w:lang w:val="en-US"/>
        </w:rPr>
        <w:t xml:space="preserve"> and U</w:t>
      </w:r>
      <w:r w:rsidR="003766C2">
        <w:rPr>
          <w:rFonts w:ascii="Times New Roman" w:hAnsi="Times New Roman"/>
          <w:sz w:val="24"/>
          <w:szCs w:val="24"/>
          <w:lang w:val="en-US"/>
        </w:rPr>
        <w:t xml:space="preserve">nited </w:t>
      </w:r>
      <w:r w:rsidR="00945470" w:rsidRPr="00F4226B">
        <w:rPr>
          <w:rFonts w:ascii="Times New Roman" w:hAnsi="Times New Roman"/>
          <w:sz w:val="24"/>
          <w:szCs w:val="24"/>
          <w:lang w:val="en-US"/>
        </w:rPr>
        <w:t>S</w:t>
      </w:r>
      <w:r w:rsidR="003766C2">
        <w:rPr>
          <w:rFonts w:ascii="Times New Roman" w:hAnsi="Times New Roman"/>
          <w:sz w:val="24"/>
          <w:szCs w:val="24"/>
          <w:lang w:val="en-US"/>
        </w:rPr>
        <w:t>tates</w:t>
      </w:r>
      <w:r w:rsidR="00945470" w:rsidRPr="00F4226B">
        <w:rPr>
          <w:rFonts w:ascii="Times New Roman" w:hAnsi="Times New Roman"/>
          <w:sz w:val="24"/>
          <w:szCs w:val="24"/>
          <w:lang w:val="en-US"/>
        </w:rPr>
        <w:t xml:space="preserve"> </w:t>
      </w:r>
      <w:r w:rsidR="00A570FA" w:rsidRPr="00F4226B">
        <w:rPr>
          <w:rFonts w:ascii="Times New Roman" w:hAnsi="Times New Roman"/>
          <w:sz w:val="24"/>
          <w:szCs w:val="24"/>
          <w:lang w:val="en-US"/>
        </w:rPr>
        <w:t xml:space="preserve">focused on whether to </w:t>
      </w:r>
      <w:r w:rsidR="00F4226B" w:rsidRPr="00F4226B">
        <w:rPr>
          <w:rFonts w:ascii="Times New Roman" w:hAnsi="Times New Roman"/>
          <w:sz w:val="24"/>
          <w:szCs w:val="24"/>
          <w:lang w:val="en-US"/>
        </w:rPr>
        <w:t>recognize</w:t>
      </w:r>
      <w:r w:rsidR="00A570FA" w:rsidRPr="00F4226B">
        <w:rPr>
          <w:rFonts w:ascii="Times New Roman" w:hAnsi="Times New Roman"/>
          <w:sz w:val="24"/>
          <w:szCs w:val="24"/>
          <w:lang w:val="en-US"/>
        </w:rPr>
        <w:t xml:space="preserve"> the effects of inflation in published financial statements. </w:t>
      </w:r>
      <w:r w:rsidR="00E40DE3" w:rsidRPr="00F4226B">
        <w:rPr>
          <w:rFonts w:ascii="Times New Roman" w:hAnsi="Times New Roman"/>
          <w:sz w:val="24"/>
          <w:szCs w:val="24"/>
          <w:lang w:val="en-US"/>
        </w:rPr>
        <w:t>T</w:t>
      </w:r>
      <w:r w:rsidR="008B6FEF" w:rsidRPr="00F4226B">
        <w:rPr>
          <w:rFonts w:ascii="Times New Roman" w:hAnsi="Times New Roman"/>
          <w:sz w:val="24"/>
          <w:szCs w:val="24"/>
          <w:lang w:val="en-US"/>
        </w:rPr>
        <w:t>h</w:t>
      </w:r>
      <w:r w:rsidRPr="00F4226B">
        <w:rPr>
          <w:rFonts w:ascii="Times New Roman" w:hAnsi="Times New Roman"/>
          <w:sz w:val="24"/>
          <w:szCs w:val="24"/>
          <w:lang w:val="en-US"/>
        </w:rPr>
        <w:t xml:space="preserve">is </w:t>
      </w:r>
      <w:r w:rsidR="00FE2634" w:rsidRPr="00F4226B">
        <w:rPr>
          <w:rFonts w:ascii="Times New Roman" w:hAnsi="Times New Roman"/>
          <w:sz w:val="24"/>
          <w:szCs w:val="24"/>
          <w:lang w:val="en-US"/>
        </w:rPr>
        <w:t>culminated in the introduction of accounting standards</w:t>
      </w:r>
      <w:r w:rsidR="0065272C" w:rsidRPr="00F4226B">
        <w:rPr>
          <w:rFonts w:ascii="Times New Roman" w:hAnsi="Times New Roman"/>
          <w:sz w:val="24"/>
          <w:szCs w:val="24"/>
          <w:lang w:val="en-US"/>
        </w:rPr>
        <w:t xml:space="preserve"> </w:t>
      </w:r>
      <w:r w:rsidR="009C44FD">
        <w:rPr>
          <w:rFonts w:ascii="Times New Roman" w:hAnsi="Times New Roman"/>
          <w:sz w:val="24"/>
          <w:szCs w:val="24"/>
          <w:lang w:val="en-US"/>
        </w:rPr>
        <w:lastRenderedPageBreak/>
        <w:t>that required</w:t>
      </w:r>
      <w:r w:rsidR="00CF239F" w:rsidRPr="00F4226B">
        <w:rPr>
          <w:rFonts w:ascii="Times New Roman" w:hAnsi="Times New Roman"/>
          <w:sz w:val="24"/>
          <w:szCs w:val="24"/>
          <w:lang w:val="en-US"/>
        </w:rPr>
        <w:t xml:space="preserve"> </w:t>
      </w:r>
      <w:r w:rsidR="008B6FEF" w:rsidRPr="00F4226B">
        <w:rPr>
          <w:rFonts w:ascii="Times New Roman" w:hAnsi="Times New Roman"/>
          <w:sz w:val="24"/>
          <w:szCs w:val="24"/>
          <w:lang w:val="en-US"/>
        </w:rPr>
        <w:t xml:space="preserve">publication of </w:t>
      </w:r>
      <w:r w:rsidR="00CF239F" w:rsidRPr="00F4226B">
        <w:rPr>
          <w:rFonts w:ascii="Times New Roman" w:hAnsi="Times New Roman"/>
          <w:sz w:val="24"/>
          <w:szCs w:val="24"/>
          <w:lang w:val="en-US"/>
        </w:rPr>
        <w:t xml:space="preserve">IA </w:t>
      </w:r>
      <w:r w:rsidR="002F03A7" w:rsidRPr="00F4226B">
        <w:rPr>
          <w:rFonts w:ascii="Times New Roman" w:hAnsi="Times New Roman"/>
          <w:sz w:val="24"/>
          <w:szCs w:val="24"/>
          <w:lang w:val="en-US"/>
        </w:rPr>
        <w:t>amounts</w:t>
      </w:r>
      <w:r w:rsidR="008B6FEF" w:rsidRPr="00F4226B">
        <w:rPr>
          <w:rFonts w:ascii="Times New Roman" w:hAnsi="Times New Roman"/>
          <w:sz w:val="24"/>
          <w:szCs w:val="24"/>
          <w:lang w:val="en-US"/>
        </w:rPr>
        <w:t xml:space="preserve"> </w:t>
      </w:r>
      <w:r w:rsidR="00CF239F" w:rsidRPr="00F4226B">
        <w:rPr>
          <w:rFonts w:ascii="Times New Roman" w:hAnsi="Times New Roman"/>
          <w:sz w:val="24"/>
          <w:szCs w:val="24"/>
          <w:lang w:val="en-US"/>
        </w:rPr>
        <w:t xml:space="preserve">as </w:t>
      </w:r>
      <w:r w:rsidR="009C44FD" w:rsidRPr="00F4226B">
        <w:rPr>
          <w:rFonts w:ascii="Times New Roman" w:hAnsi="Times New Roman"/>
          <w:sz w:val="24"/>
          <w:szCs w:val="24"/>
          <w:lang w:val="en-US"/>
        </w:rPr>
        <w:t>supplement</w:t>
      </w:r>
      <w:r w:rsidR="009C44FD">
        <w:rPr>
          <w:rFonts w:ascii="Times New Roman" w:hAnsi="Times New Roman"/>
          <w:sz w:val="24"/>
          <w:szCs w:val="24"/>
          <w:lang w:val="en-US"/>
        </w:rPr>
        <w:t>s</w:t>
      </w:r>
      <w:r w:rsidR="009C44FD" w:rsidRPr="00F4226B">
        <w:rPr>
          <w:rFonts w:ascii="Times New Roman" w:hAnsi="Times New Roman"/>
          <w:sz w:val="24"/>
          <w:szCs w:val="24"/>
          <w:lang w:val="en-US"/>
        </w:rPr>
        <w:t xml:space="preserve"> </w:t>
      </w:r>
      <w:r w:rsidR="00CF239F" w:rsidRPr="00F4226B">
        <w:rPr>
          <w:rFonts w:ascii="Times New Roman" w:hAnsi="Times New Roman"/>
          <w:sz w:val="24"/>
          <w:szCs w:val="24"/>
          <w:lang w:val="en-US"/>
        </w:rPr>
        <w:t>to HC statements.</w:t>
      </w:r>
      <w:r w:rsidR="008B6FEF" w:rsidRPr="00F4226B">
        <w:rPr>
          <w:rStyle w:val="FootnoteReference"/>
          <w:rFonts w:ascii="Times New Roman" w:hAnsi="Times New Roman"/>
          <w:sz w:val="24"/>
          <w:szCs w:val="24"/>
          <w:lang w:val="en-US"/>
        </w:rPr>
        <w:footnoteReference w:id="7"/>
      </w:r>
      <w:r w:rsidR="00CF239F" w:rsidRPr="00F4226B">
        <w:rPr>
          <w:rFonts w:ascii="Times New Roman" w:hAnsi="Times New Roman"/>
          <w:sz w:val="24"/>
          <w:szCs w:val="24"/>
          <w:lang w:val="en-US"/>
        </w:rPr>
        <w:t xml:space="preserve"> </w:t>
      </w:r>
      <w:r w:rsidR="00951021" w:rsidRPr="00F4226B">
        <w:rPr>
          <w:rFonts w:ascii="Times New Roman" w:hAnsi="Times New Roman"/>
          <w:sz w:val="24"/>
          <w:szCs w:val="24"/>
          <w:lang w:val="en-US"/>
        </w:rPr>
        <w:t xml:space="preserve">Consequently, </w:t>
      </w:r>
      <w:r w:rsidR="00E40DE3" w:rsidRPr="00F4226B">
        <w:rPr>
          <w:rFonts w:ascii="Times New Roman" w:hAnsi="Times New Roman"/>
          <w:sz w:val="24"/>
          <w:szCs w:val="24"/>
          <w:lang w:val="en-US"/>
        </w:rPr>
        <w:t xml:space="preserve">several </w:t>
      </w:r>
      <w:r w:rsidR="0061130C" w:rsidRPr="00F4226B">
        <w:rPr>
          <w:rFonts w:ascii="Times New Roman" w:hAnsi="Times New Roman"/>
          <w:sz w:val="24"/>
          <w:szCs w:val="24"/>
          <w:lang w:val="en-US"/>
        </w:rPr>
        <w:t xml:space="preserve">studies </w:t>
      </w:r>
      <w:r w:rsidR="008B6FEF" w:rsidRPr="00F4226B">
        <w:rPr>
          <w:rFonts w:ascii="Times New Roman" w:hAnsi="Times New Roman"/>
          <w:sz w:val="24"/>
          <w:szCs w:val="24"/>
          <w:lang w:val="en-US"/>
        </w:rPr>
        <w:t>examine</w:t>
      </w:r>
      <w:r w:rsidR="009C44FD">
        <w:rPr>
          <w:rFonts w:ascii="Times New Roman" w:hAnsi="Times New Roman"/>
          <w:sz w:val="24"/>
          <w:szCs w:val="24"/>
          <w:lang w:val="en-US"/>
        </w:rPr>
        <w:t>d</w:t>
      </w:r>
      <w:r w:rsidR="00BA73A7" w:rsidRPr="00F4226B">
        <w:rPr>
          <w:rFonts w:ascii="Times New Roman" w:hAnsi="Times New Roman"/>
          <w:sz w:val="24"/>
          <w:szCs w:val="24"/>
          <w:lang w:val="en-US"/>
        </w:rPr>
        <w:t xml:space="preserve"> the </w:t>
      </w:r>
      <w:r w:rsidR="00CF239F" w:rsidRPr="00F4226B">
        <w:rPr>
          <w:rFonts w:ascii="Times New Roman" w:hAnsi="Times New Roman"/>
          <w:sz w:val="24"/>
          <w:szCs w:val="24"/>
          <w:lang w:val="en-US"/>
        </w:rPr>
        <w:t xml:space="preserve">incremental </w:t>
      </w:r>
      <w:r w:rsidR="00BA73A7" w:rsidRPr="00F4226B">
        <w:rPr>
          <w:rFonts w:ascii="Times New Roman" w:hAnsi="Times New Roman"/>
          <w:sz w:val="24"/>
          <w:szCs w:val="24"/>
          <w:lang w:val="en-US"/>
        </w:rPr>
        <w:t>value</w:t>
      </w:r>
      <w:r w:rsidR="008B6FEF" w:rsidRPr="00F4226B">
        <w:rPr>
          <w:rFonts w:ascii="Times New Roman" w:hAnsi="Times New Roman"/>
          <w:sz w:val="24"/>
          <w:szCs w:val="24"/>
          <w:lang w:val="en-US"/>
        </w:rPr>
        <w:t xml:space="preserve"> </w:t>
      </w:r>
      <w:r w:rsidR="00BA73A7" w:rsidRPr="00F4226B">
        <w:rPr>
          <w:rFonts w:ascii="Times New Roman" w:hAnsi="Times New Roman"/>
          <w:sz w:val="24"/>
          <w:szCs w:val="24"/>
          <w:lang w:val="en-US"/>
        </w:rPr>
        <w:t xml:space="preserve">relevance of IA </w:t>
      </w:r>
      <w:r w:rsidR="002F03A7" w:rsidRPr="00F4226B">
        <w:rPr>
          <w:rFonts w:ascii="Times New Roman" w:hAnsi="Times New Roman"/>
          <w:sz w:val="24"/>
          <w:szCs w:val="24"/>
          <w:lang w:val="en-US"/>
        </w:rPr>
        <w:t>amounts</w:t>
      </w:r>
      <w:r w:rsidR="0061130C" w:rsidRPr="00F4226B">
        <w:rPr>
          <w:rFonts w:ascii="Times New Roman" w:hAnsi="Times New Roman"/>
          <w:sz w:val="24"/>
          <w:szCs w:val="24"/>
          <w:lang w:val="en-US"/>
        </w:rPr>
        <w:t xml:space="preserve"> </w:t>
      </w:r>
      <w:r w:rsidR="00BA73A7" w:rsidRPr="00F4226B">
        <w:rPr>
          <w:rFonts w:ascii="Times New Roman" w:hAnsi="Times New Roman"/>
          <w:sz w:val="24"/>
          <w:szCs w:val="24"/>
          <w:lang w:val="en-US"/>
        </w:rPr>
        <w:t>(e.g., Beaver et al. 1980; Watts and Zimmerman 1980; Appleyard and Strong 1984; Board and Walker 1984</w:t>
      </w:r>
      <w:r w:rsidR="0061130C" w:rsidRPr="00F4226B">
        <w:rPr>
          <w:rFonts w:ascii="Times New Roman" w:hAnsi="Times New Roman"/>
          <w:sz w:val="24"/>
          <w:szCs w:val="24"/>
          <w:lang w:val="en-US"/>
        </w:rPr>
        <w:t xml:space="preserve">; Skerratt and Thompson 1984; </w:t>
      </w:r>
      <w:r w:rsidR="004D683A" w:rsidRPr="00F4226B">
        <w:rPr>
          <w:rFonts w:ascii="Times New Roman" w:hAnsi="Times New Roman"/>
          <w:sz w:val="24"/>
          <w:szCs w:val="24"/>
          <w:lang w:val="en-US"/>
        </w:rPr>
        <w:t xml:space="preserve">Brayshaw and Miro 1985; </w:t>
      </w:r>
      <w:r w:rsidR="0061130C" w:rsidRPr="00F4226B">
        <w:rPr>
          <w:rFonts w:ascii="Times New Roman" w:hAnsi="Times New Roman"/>
          <w:sz w:val="24"/>
          <w:szCs w:val="24"/>
          <w:lang w:val="en-US"/>
        </w:rPr>
        <w:t>Murdoch 1986</w:t>
      </w:r>
      <w:r w:rsidR="00BA73A7" w:rsidRPr="00F4226B">
        <w:rPr>
          <w:rFonts w:ascii="Times New Roman" w:hAnsi="Times New Roman"/>
          <w:sz w:val="24"/>
          <w:szCs w:val="24"/>
          <w:lang w:val="en-US"/>
        </w:rPr>
        <w:t>)</w:t>
      </w:r>
      <w:r w:rsidR="00F573FF" w:rsidRPr="00F4226B">
        <w:rPr>
          <w:rFonts w:ascii="Times New Roman" w:hAnsi="Times New Roman"/>
          <w:sz w:val="24"/>
          <w:szCs w:val="24"/>
          <w:lang w:val="en-US"/>
        </w:rPr>
        <w:t>.</w:t>
      </w:r>
      <w:r w:rsidR="0069529E" w:rsidRPr="00F4226B">
        <w:rPr>
          <w:rFonts w:ascii="Times New Roman" w:hAnsi="Times New Roman"/>
          <w:sz w:val="24"/>
          <w:szCs w:val="24"/>
          <w:lang w:val="en-US"/>
        </w:rPr>
        <w:t xml:space="preserve"> </w:t>
      </w:r>
      <w:r w:rsidR="009C44FD">
        <w:rPr>
          <w:rFonts w:ascii="Times New Roman" w:hAnsi="Times New Roman"/>
          <w:sz w:val="24"/>
          <w:szCs w:val="24"/>
          <w:lang w:val="en-US"/>
        </w:rPr>
        <w:t>Overall</w:t>
      </w:r>
      <w:r w:rsidR="00A355C9" w:rsidRPr="00F4226B">
        <w:rPr>
          <w:rFonts w:ascii="Times New Roman" w:hAnsi="Times New Roman"/>
          <w:sz w:val="24"/>
          <w:szCs w:val="24"/>
          <w:lang w:val="en-US"/>
        </w:rPr>
        <w:t>, the</w:t>
      </w:r>
      <w:r w:rsidR="00405E9A" w:rsidRPr="00F4226B">
        <w:rPr>
          <w:rFonts w:ascii="Times New Roman" w:hAnsi="Times New Roman"/>
          <w:sz w:val="24"/>
          <w:szCs w:val="24"/>
          <w:lang w:val="en-US"/>
        </w:rPr>
        <w:t xml:space="preserve"> </w:t>
      </w:r>
      <w:r w:rsidR="00E40DE3" w:rsidRPr="00F4226B">
        <w:rPr>
          <w:rFonts w:ascii="Times New Roman" w:hAnsi="Times New Roman"/>
          <w:sz w:val="24"/>
          <w:szCs w:val="24"/>
          <w:lang w:val="en-US"/>
        </w:rPr>
        <w:t>results</w:t>
      </w:r>
      <w:r w:rsidR="00405E9A" w:rsidRPr="00F4226B">
        <w:rPr>
          <w:rFonts w:ascii="Times New Roman" w:hAnsi="Times New Roman"/>
          <w:sz w:val="24"/>
          <w:szCs w:val="24"/>
          <w:lang w:val="en-US"/>
        </w:rPr>
        <w:t xml:space="preserve"> </w:t>
      </w:r>
      <w:r w:rsidR="00A355C9" w:rsidRPr="00F4226B">
        <w:rPr>
          <w:rFonts w:ascii="Times New Roman" w:hAnsi="Times New Roman"/>
          <w:sz w:val="24"/>
          <w:szCs w:val="24"/>
          <w:lang w:val="en-US"/>
        </w:rPr>
        <w:t xml:space="preserve">suggest that </w:t>
      </w:r>
      <w:r w:rsidR="004E27B7" w:rsidRPr="00F4226B">
        <w:rPr>
          <w:rFonts w:ascii="Times New Roman" w:hAnsi="Times New Roman"/>
          <w:sz w:val="24"/>
          <w:szCs w:val="24"/>
          <w:lang w:val="en-US"/>
        </w:rPr>
        <w:t xml:space="preserve">IA </w:t>
      </w:r>
      <w:r w:rsidR="002F03A7" w:rsidRPr="00F4226B">
        <w:rPr>
          <w:rFonts w:ascii="Times New Roman" w:hAnsi="Times New Roman"/>
          <w:sz w:val="24"/>
          <w:szCs w:val="24"/>
          <w:lang w:val="en-US"/>
        </w:rPr>
        <w:t>amounts</w:t>
      </w:r>
      <w:r w:rsidR="004E27B7" w:rsidRPr="00F4226B">
        <w:rPr>
          <w:rFonts w:ascii="Times New Roman" w:hAnsi="Times New Roman"/>
          <w:sz w:val="24"/>
          <w:szCs w:val="24"/>
          <w:lang w:val="en-US"/>
        </w:rPr>
        <w:t xml:space="preserve"> </w:t>
      </w:r>
      <w:r w:rsidR="00DC65F5" w:rsidRPr="00F4226B">
        <w:rPr>
          <w:rFonts w:ascii="Times New Roman" w:hAnsi="Times New Roman"/>
          <w:sz w:val="24"/>
          <w:szCs w:val="24"/>
          <w:lang w:val="en-US"/>
        </w:rPr>
        <w:t>“</w:t>
      </w:r>
      <w:r w:rsidR="004E27B7" w:rsidRPr="00F4226B">
        <w:rPr>
          <w:rFonts w:ascii="Times New Roman" w:hAnsi="Times New Roman"/>
          <w:sz w:val="24"/>
          <w:szCs w:val="24"/>
          <w:lang w:val="en-US"/>
        </w:rPr>
        <w:t>are inconsequential for making financial d</w:t>
      </w:r>
      <w:r w:rsidR="00AC13F7" w:rsidRPr="00F4226B">
        <w:rPr>
          <w:rFonts w:ascii="Times New Roman" w:hAnsi="Times New Roman"/>
          <w:sz w:val="24"/>
          <w:szCs w:val="24"/>
          <w:lang w:val="en-US"/>
        </w:rPr>
        <w:t>e</w:t>
      </w:r>
      <w:r w:rsidR="004E27B7" w:rsidRPr="00F4226B">
        <w:rPr>
          <w:rFonts w:ascii="Times New Roman" w:hAnsi="Times New Roman"/>
          <w:sz w:val="24"/>
          <w:szCs w:val="24"/>
          <w:lang w:val="en-US"/>
        </w:rPr>
        <w:t>cisions</w:t>
      </w:r>
      <w:r w:rsidR="00DC65F5" w:rsidRPr="00F4226B">
        <w:rPr>
          <w:rFonts w:ascii="Times New Roman" w:hAnsi="Times New Roman"/>
          <w:sz w:val="24"/>
          <w:szCs w:val="24"/>
          <w:lang w:val="en-US"/>
        </w:rPr>
        <w:t>”</w:t>
      </w:r>
      <w:r w:rsidR="004E27B7" w:rsidRPr="00F4226B">
        <w:rPr>
          <w:rFonts w:ascii="Times New Roman" w:hAnsi="Times New Roman"/>
          <w:sz w:val="24"/>
          <w:szCs w:val="24"/>
          <w:lang w:val="en-US"/>
        </w:rPr>
        <w:t xml:space="preserve"> (</w:t>
      </w:r>
      <w:r w:rsidR="00A355C9" w:rsidRPr="00F4226B">
        <w:rPr>
          <w:rFonts w:ascii="Times New Roman" w:hAnsi="Times New Roman"/>
          <w:sz w:val="24"/>
          <w:szCs w:val="24"/>
          <w:lang w:val="en-US"/>
        </w:rPr>
        <w:t>Konchitchki 2011</w:t>
      </w:r>
      <w:r w:rsidR="003766C2">
        <w:rPr>
          <w:rFonts w:ascii="Times New Roman" w:hAnsi="Times New Roman"/>
          <w:sz w:val="24"/>
          <w:szCs w:val="24"/>
          <w:lang w:val="en-US"/>
        </w:rPr>
        <w:t>,</w:t>
      </w:r>
      <w:r w:rsidR="004E27B7" w:rsidRPr="00F4226B">
        <w:rPr>
          <w:rFonts w:ascii="Times New Roman" w:hAnsi="Times New Roman"/>
          <w:sz w:val="24"/>
          <w:szCs w:val="24"/>
          <w:lang w:val="en-US"/>
        </w:rPr>
        <w:t xml:space="preserve"> </w:t>
      </w:r>
      <w:r w:rsidR="003766C2">
        <w:rPr>
          <w:rFonts w:ascii="Times New Roman" w:hAnsi="Times New Roman"/>
          <w:sz w:val="24"/>
          <w:szCs w:val="24"/>
          <w:lang w:val="en-US"/>
        </w:rPr>
        <w:t xml:space="preserve">p. </w:t>
      </w:r>
      <w:r w:rsidR="004E27B7" w:rsidRPr="00F4226B">
        <w:rPr>
          <w:rFonts w:ascii="Times New Roman" w:hAnsi="Times New Roman"/>
          <w:sz w:val="24"/>
          <w:szCs w:val="24"/>
          <w:lang w:val="en-US"/>
        </w:rPr>
        <w:t>1046)</w:t>
      </w:r>
      <w:r w:rsidR="000A6BEA" w:rsidRPr="00F4226B">
        <w:rPr>
          <w:rFonts w:ascii="Times New Roman" w:hAnsi="Times New Roman"/>
          <w:sz w:val="24"/>
          <w:szCs w:val="24"/>
          <w:lang w:val="en-US"/>
        </w:rPr>
        <w:t xml:space="preserve"> and are </w:t>
      </w:r>
      <w:r w:rsidR="00DF6FDA" w:rsidRPr="00F4226B">
        <w:rPr>
          <w:rFonts w:ascii="Times New Roman" w:hAnsi="Times New Roman"/>
          <w:sz w:val="24"/>
          <w:szCs w:val="24"/>
          <w:lang w:val="en-US"/>
        </w:rPr>
        <w:t>attribute</w:t>
      </w:r>
      <w:r w:rsidR="009562CB" w:rsidRPr="00F4226B">
        <w:rPr>
          <w:rFonts w:ascii="Times New Roman" w:hAnsi="Times New Roman"/>
          <w:sz w:val="24"/>
          <w:szCs w:val="24"/>
          <w:lang w:val="en-US"/>
        </w:rPr>
        <w:t>d to</w:t>
      </w:r>
      <w:r w:rsidR="002D12F0" w:rsidRPr="00F4226B">
        <w:rPr>
          <w:rFonts w:ascii="Times New Roman" w:hAnsi="Times New Roman"/>
          <w:sz w:val="24"/>
          <w:szCs w:val="24"/>
          <w:lang w:val="en-US"/>
        </w:rPr>
        <w:t xml:space="preserve"> </w:t>
      </w:r>
      <w:r w:rsidR="009C44FD">
        <w:rPr>
          <w:rFonts w:ascii="Times New Roman" w:hAnsi="Times New Roman"/>
          <w:sz w:val="24"/>
          <w:szCs w:val="24"/>
          <w:lang w:val="en-US"/>
        </w:rPr>
        <w:t xml:space="preserve">a </w:t>
      </w:r>
      <w:r w:rsidR="009562CB" w:rsidRPr="00F4226B">
        <w:rPr>
          <w:rFonts w:ascii="Times New Roman" w:hAnsi="Times New Roman"/>
          <w:sz w:val="24"/>
          <w:szCs w:val="24"/>
          <w:lang w:val="en-US"/>
        </w:rPr>
        <w:t>learning effect</w:t>
      </w:r>
      <w:r w:rsidR="00DF0976">
        <w:rPr>
          <w:rFonts w:ascii="Times New Roman" w:hAnsi="Times New Roman"/>
          <w:sz w:val="24"/>
          <w:szCs w:val="24"/>
          <w:lang w:val="en-US"/>
        </w:rPr>
        <w:t>.</w:t>
      </w:r>
      <w:r w:rsidR="009562CB" w:rsidRPr="00F4226B">
        <w:rPr>
          <w:rFonts w:ascii="Times New Roman" w:hAnsi="Times New Roman"/>
          <w:sz w:val="24"/>
          <w:szCs w:val="24"/>
          <w:lang w:val="en-US"/>
        </w:rPr>
        <w:t xml:space="preserve"> </w:t>
      </w:r>
      <w:r w:rsidR="00DF0976">
        <w:rPr>
          <w:rFonts w:ascii="Times New Roman" w:hAnsi="Times New Roman"/>
          <w:sz w:val="24"/>
          <w:szCs w:val="24"/>
          <w:lang w:val="en-US"/>
        </w:rPr>
        <w:t>T</w:t>
      </w:r>
      <w:r w:rsidR="002D12F0" w:rsidRPr="00F4226B">
        <w:rPr>
          <w:rFonts w:ascii="Times New Roman" w:hAnsi="Times New Roman"/>
          <w:sz w:val="24"/>
          <w:szCs w:val="24"/>
          <w:lang w:val="en-US"/>
        </w:rPr>
        <w:t xml:space="preserve">he studies </w:t>
      </w:r>
      <w:r w:rsidR="005E4F3A" w:rsidRPr="00F4226B">
        <w:rPr>
          <w:rFonts w:ascii="Times New Roman" w:hAnsi="Times New Roman"/>
          <w:sz w:val="24"/>
          <w:szCs w:val="24"/>
          <w:lang w:val="en-US"/>
        </w:rPr>
        <w:t>focus</w:t>
      </w:r>
      <w:r w:rsidR="002D12F0" w:rsidRPr="00F4226B">
        <w:rPr>
          <w:rFonts w:ascii="Times New Roman" w:hAnsi="Times New Roman"/>
          <w:sz w:val="24"/>
          <w:szCs w:val="24"/>
          <w:lang w:val="en-US"/>
        </w:rPr>
        <w:t>ed</w:t>
      </w:r>
      <w:r w:rsidR="005E4F3A" w:rsidRPr="00F4226B">
        <w:rPr>
          <w:rFonts w:ascii="Times New Roman" w:hAnsi="Times New Roman"/>
          <w:sz w:val="24"/>
          <w:szCs w:val="24"/>
          <w:lang w:val="en-US"/>
        </w:rPr>
        <w:t xml:space="preserve"> on </w:t>
      </w:r>
      <w:r w:rsidR="002D12F0" w:rsidRPr="00F4226B">
        <w:rPr>
          <w:rFonts w:ascii="Times New Roman" w:hAnsi="Times New Roman"/>
          <w:sz w:val="24"/>
          <w:szCs w:val="24"/>
          <w:lang w:val="en-US"/>
        </w:rPr>
        <w:t xml:space="preserve">IA effects on </w:t>
      </w:r>
      <w:r w:rsidR="005E4F3A" w:rsidRPr="00F4226B">
        <w:rPr>
          <w:rFonts w:ascii="Times New Roman" w:hAnsi="Times New Roman"/>
          <w:sz w:val="24"/>
          <w:szCs w:val="24"/>
          <w:lang w:val="en-US"/>
        </w:rPr>
        <w:t>contemporaneous annual and short-window returns</w:t>
      </w:r>
      <w:r w:rsidR="009C44FD">
        <w:rPr>
          <w:rFonts w:ascii="Times New Roman" w:hAnsi="Times New Roman"/>
          <w:sz w:val="24"/>
          <w:szCs w:val="24"/>
          <w:lang w:val="en-US"/>
        </w:rPr>
        <w:t xml:space="preserve"> and </w:t>
      </w:r>
      <w:r w:rsidR="003566EE" w:rsidRPr="00F4226B">
        <w:rPr>
          <w:rFonts w:ascii="Times New Roman" w:hAnsi="Times New Roman"/>
          <w:sz w:val="24"/>
          <w:szCs w:val="24"/>
          <w:lang w:val="en-US"/>
        </w:rPr>
        <w:t>thus fail</w:t>
      </w:r>
      <w:r w:rsidR="009C44FD">
        <w:rPr>
          <w:rFonts w:ascii="Times New Roman" w:hAnsi="Times New Roman"/>
          <w:sz w:val="24"/>
          <w:szCs w:val="24"/>
          <w:lang w:val="en-US"/>
        </w:rPr>
        <w:t>ed</w:t>
      </w:r>
      <w:r w:rsidR="003566EE" w:rsidRPr="00F4226B">
        <w:rPr>
          <w:rFonts w:ascii="Times New Roman" w:hAnsi="Times New Roman"/>
          <w:sz w:val="24"/>
          <w:szCs w:val="24"/>
          <w:lang w:val="en-US"/>
        </w:rPr>
        <w:t xml:space="preserve"> to capture investors’ learning on how to process and use IA data</w:t>
      </w:r>
      <w:r w:rsidR="009562CB" w:rsidRPr="00F4226B">
        <w:rPr>
          <w:rFonts w:ascii="Times New Roman" w:hAnsi="Times New Roman"/>
          <w:sz w:val="24"/>
          <w:szCs w:val="24"/>
          <w:lang w:val="en-US"/>
        </w:rPr>
        <w:t xml:space="preserve"> (Watts and Zimmerman 1980)</w:t>
      </w:r>
      <w:r w:rsidR="002D12F0" w:rsidRPr="00F4226B">
        <w:rPr>
          <w:rFonts w:ascii="Times New Roman" w:hAnsi="Times New Roman"/>
          <w:sz w:val="24"/>
          <w:szCs w:val="24"/>
          <w:lang w:val="en-US"/>
        </w:rPr>
        <w:t xml:space="preserve">. </w:t>
      </w:r>
      <w:r w:rsidR="000A6BEA" w:rsidRPr="00F4226B">
        <w:rPr>
          <w:rFonts w:ascii="Times New Roman" w:hAnsi="Times New Roman"/>
          <w:sz w:val="24"/>
          <w:szCs w:val="24"/>
          <w:lang w:val="en-US"/>
        </w:rPr>
        <w:t>T</w:t>
      </w:r>
      <w:r w:rsidR="002F00B8" w:rsidRPr="00F4226B">
        <w:rPr>
          <w:rFonts w:ascii="Times New Roman" w:hAnsi="Times New Roman"/>
          <w:sz w:val="24"/>
          <w:szCs w:val="24"/>
          <w:lang w:val="en-US"/>
        </w:rPr>
        <w:t xml:space="preserve">he </w:t>
      </w:r>
      <w:r w:rsidR="005E4F3A" w:rsidRPr="00F4226B">
        <w:rPr>
          <w:rFonts w:ascii="Times New Roman" w:hAnsi="Times New Roman"/>
          <w:sz w:val="24"/>
          <w:szCs w:val="24"/>
          <w:lang w:val="en-US"/>
        </w:rPr>
        <w:t xml:space="preserve">most recent studies </w:t>
      </w:r>
      <w:r w:rsidR="00634A23" w:rsidRPr="00F4226B">
        <w:rPr>
          <w:rFonts w:ascii="Times New Roman" w:hAnsi="Times New Roman"/>
          <w:sz w:val="24"/>
          <w:szCs w:val="24"/>
          <w:lang w:val="en-US"/>
        </w:rPr>
        <w:t xml:space="preserve">by Konchitchki </w:t>
      </w:r>
      <w:r w:rsidR="00634A23" w:rsidRPr="00F4226B">
        <w:rPr>
          <w:rFonts w:ascii="Times New Roman" w:hAnsi="Times New Roman"/>
          <w:sz w:val="24"/>
          <w:szCs w:val="24"/>
          <w:lang w:val="en-US"/>
        </w:rPr>
        <w:lastRenderedPageBreak/>
        <w:t>(2011</w:t>
      </w:r>
      <w:r w:rsidR="00D33D71">
        <w:rPr>
          <w:rFonts w:ascii="Times New Roman" w:hAnsi="Times New Roman"/>
          <w:sz w:val="24"/>
          <w:szCs w:val="24"/>
          <w:lang w:val="en-US"/>
        </w:rPr>
        <w:t>;</w:t>
      </w:r>
      <w:r w:rsidR="00634A23" w:rsidRPr="00F4226B">
        <w:rPr>
          <w:rFonts w:ascii="Times New Roman" w:hAnsi="Times New Roman"/>
          <w:sz w:val="24"/>
          <w:szCs w:val="24"/>
          <w:lang w:val="en-US"/>
        </w:rPr>
        <w:t xml:space="preserve"> 2013) </w:t>
      </w:r>
      <w:r w:rsidR="005E4F3A" w:rsidRPr="00F4226B">
        <w:rPr>
          <w:rFonts w:ascii="Times New Roman" w:hAnsi="Times New Roman"/>
          <w:sz w:val="24"/>
          <w:szCs w:val="24"/>
          <w:lang w:val="en-US"/>
        </w:rPr>
        <w:t>consider longer</w:t>
      </w:r>
      <w:r w:rsidR="00437B97" w:rsidRPr="00F4226B">
        <w:rPr>
          <w:rFonts w:ascii="Times New Roman" w:hAnsi="Times New Roman"/>
          <w:sz w:val="24"/>
          <w:szCs w:val="24"/>
          <w:lang w:val="en-US"/>
        </w:rPr>
        <w:t xml:space="preserve">-horizon </w:t>
      </w:r>
      <w:r w:rsidR="005E4F3A" w:rsidRPr="00F4226B">
        <w:rPr>
          <w:rFonts w:ascii="Times New Roman" w:hAnsi="Times New Roman"/>
          <w:sz w:val="24"/>
          <w:szCs w:val="24"/>
          <w:lang w:val="en-US"/>
        </w:rPr>
        <w:t xml:space="preserve">periods </w:t>
      </w:r>
      <w:r w:rsidR="00BC4036" w:rsidRPr="00F4226B">
        <w:rPr>
          <w:rFonts w:ascii="Times New Roman" w:hAnsi="Times New Roman"/>
          <w:sz w:val="24"/>
          <w:szCs w:val="24"/>
          <w:lang w:val="en-US"/>
        </w:rPr>
        <w:t xml:space="preserve">and document </w:t>
      </w:r>
      <w:r w:rsidR="005E4F3A" w:rsidRPr="00F4226B">
        <w:rPr>
          <w:rFonts w:ascii="Times New Roman" w:hAnsi="Times New Roman"/>
          <w:sz w:val="24"/>
          <w:szCs w:val="24"/>
          <w:lang w:val="en-US"/>
        </w:rPr>
        <w:t xml:space="preserve">that IA </w:t>
      </w:r>
      <w:r w:rsidR="00B232FE" w:rsidRPr="00F4226B">
        <w:rPr>
          <w:rFonts w:ascii="Times New Roman" w:hAnsi="Times New Roman"/>
          <w:sz w:val="24"/>
          <w:szCs w:val="24"/>
          <w:lang w:val="en-US"/>
        </w:rPr>
        <w:t>data</w:t>
      </w:r>
      <w:r w:rsidR="005E4F3A" w:rsidRPr="00F4226B">
        <w:rPr>
          <w:rFonts w:ascii="Times New Roman" w:hAnsi="Times New Roman"/>
          <w:sz w:val="24"/>
          <w:szCs w:val="24"/>
          <w:lang w:val="en-US"/>
        </w:rPr>
        <w:t>, even in periods of low inflation, ha</w:t>
      </w:r>
      <w:r w:rsidR="00310CD6" w:rsidRPr="00F4226B">
        <w:rPr>
          <w:rFonts w:ascii="Times New Roman" w:hAnsi="Times New Roman"/>
          <w:sz w:val="24"/>
          <w:szCs w:val="24"/>
          <w:lang w:val="en-US"/>
        </w:rPr>
        <w:t>ve</w:t>
      </w:r>
      <w:r w:rsidR="00F241ED" w:rsidRPr="00F4226B">
        <w:rPr>
          <w:rFonts w:ascii="Times New Roman" w:hAnsi="Times New Roman"/>
          <w:sz w:val="24"/>
          <w:szCs w:val="24"/>
          <w:lang w:val="en-US"/>
        </w:rPr>
        <w:t xml:space="preserve"> </w:t>
      </w:r>
      <w:r w:rsidR="00561B58" w:rsidRPr="00F4226B">
        <w:rPr>
          <w:rFonts w:ascii="Times New Roman" w:hAnsi="Times New Roman"/>
          <w:sz w:val="24"/>
          <w:szCs w:val="24"/>
          <w:lang w:val="en-US"/>
        </w:rPr>
        <w:t xml:space="preserve">valuation </w:t>
      </w:r>
      <w:r w:rsidR="00B232FE" w:rsidRPr="00F4226B">
        <w:rPr>
          <w:rFonts w:ascii="Times New Roman" w:hAnsi="Times New Roman"/>
          <w:sz w:val="24"/>
          <w:szCs w:val="24"/>
          <w:lang w:val="en-US"/>
        </w:rPr>
        <w:t>implications</w:t>
      </w:r>
      <w:r w:rsidR="005E4F3A" w:rsidRPr="00F4226B">
        <w:rPr>
          <w:rFonts w:ascii="Times New Roman" w:hAnsi="Times New Roman"/>
          <w:sz w:val="24"/>
          <w:szCs w:val="24"/>
          <w:lang w:val="en-US"/>
        </w:rPr>
        <w:t xml:space="preserve">. </w:t>
      </w:r>
      <w:r w:rsidR="00437B97" w:rsidRPr="00F4226B">
        <w:rPr>
          <w:rFonts w:ascii="Times New Roman" w:hAnsi="Times New Roman"/>
          <w:sz w:val="24"/>
          <w:szCs w:val="24"/>
          <w:lang w:val="en-US"/>
        </w:rPr>
        <w:t xml:space="preserve">However, because IA </w:t>
      </w:r>
      <w:r w:rsidR="00634A23" w:rsidRPr="00F4226B">
        <w:rPr>
          <w:rFonts w:ascii="Times New Roman" w:hAnsi="Times New Roman"/>
          <w:sz w:val="24"/>
          <w:szCs w:val="24"/>
          <w:lang w:val="en-US"/>
        </w:rPr>
        <w:t xml:space="preserve">data </w:t>
      </w:r>
      <w:r w:rsidR="008A5CF7" w:rsidRPr="00F4226B">
        <w:rPr>
          <w:rFonts w:ascii="Times New Roman" w:hAnsi="Times New Roman"/>
          <w:sz w:val="24"/>
          <w:szCs w:val="24"/>
          <w:lang w:val="en-US"/>
        </w:rPr>
        <w:t xml:space="preserve">in these studies </w:t>
      </w:r>
      <w:r w:rsidR="00437B97" w:rsidRPr="00F4226B">
        <w:rPr>
          <w:rFonts w:ascii="Times New Roman" w:hAnsi="Times New Roman"/>
          <w:sz w:val="24"/>
          <w:szCs w:val="24"/>
          <w:lang w:val="en-US"/>
        </w:rPr>
        <w:t xml:space="preserve">are </w:t>
      </w:r>
      <w:r w:rsidR="00FA4564" w:rsidRPr="00F4226B">
        <w:rPr>
          <w:rFonts w:ascii="Times New Roman" w:hAnsi="Times New Roman"/>
          <w:sz w:val="24"/>
          <w:szCs w:val="24"/>
          <w:lang w:val="en-US"/>
        </w:rPr>
        <w:t>estimated, the</w:t>
      </w:r>
      <w:r w:rsidR="003566EE" w:rsidRPr="00F4226B">
        <w:rPr>
          <w:rFonts w:ascii="Times New Roman" w:hAnsi="Times New Roman"/>
          <w:sz w:val="24"/>
          <w:szCs w:val="24"/>
          <w:lang w:val="en-US"/>
        </w:rPr>
        <w:t xml:space="preserve"> results </w:t>
      </w:r>
      <w:r w:rsidR="00BC4036" w:rsidRPr="00F4226B">
        <w:rPr>
          <w:rFonts w:ascii="Times New Roman" w:hAnsi="Times New Roman"/>
          <w:sz w:val="24"/>
          <w:szCs w:val="24"/>
          <w:lang w:val="en-US"/>
        </w:rPr>
        <w:t xml:space="preserve">are prone to </w:t>
      </w:r>
      <w:r w:rsidR="00310CD6" w:rsidRPr="00F4226B">
        <w:rPr>
          <w:rFonts w:ascii="Times New Roman" w:hAnsi="Times New Roman"/>
          <w:sz w:val="24"/>
          <w:szCs w:val="24"/>
          <w:lang w:val="en-US"/>
        </w:rPr>
        <w:t>measurement error</w:t>
      </w:r>
      <w:r w:rsidR="00BC4036" w:rsidRPr="00F4226B">
        <w:rPr>
          <w:rFonts w:ascii="Times New Roman" w:hAnsi="Times New Roman"/>
          <w:sz w:val="24"/>
          <w:szCs w:val="24"/>
          <w:lang w:val="en-US"/>
        </w:rPr>
        <w:t>s</w:t>
      </w:r>
      <w:r w:rsidR="00E01E32" w:rsidRPr="00F4226B">
        <w:rPr>
          <w:rFonts w:ascii="Times New Roman" w:hAnsi="Times New Roman"/>
          <w:sz w:val="24"/>
          <w:szCs w:val="24"/>
          <w:lang w:val="en-US"/>
        </w:rPr>
        <w:t xml:space="preserve"> (Murdoch 1986)</w:t>
      </w:r>
      <w:r w:rsidR="005E0B31">
        <w:rPr>
          <w:rFonts w:ascii="Times New Roman" w:hAnsi="Times New Roman"/>
          <w:sz w:val="24"/>
          <w:szCs w:val="24"/>
          <w:lang w:val="en-US"/>
        </w:rPr>
        <w:t xml:space="preserve">. </w:t>
      </w:r>
      <w:r w:rsidR="005E0B31" w:rsidRPr="00076626">
        <w:rPr>
          <w:rFonts w:ascii="Times New Roman" w:hAnsi="Times New Roman"/>
          <w:sz w:val="24"/>
          <w:szCs w:val="24"/>
          <w:lang w:val="en-US"/>
        </w:rPr>
        <w:t>In addition, by estimating IA amounts</w:t>
      </w:r>
      <w:r w:rsidR="00330ACD">
        <w:rPr>
          <w:rFonts w:ascii="Times New Roman" w:hAnsi="Times New Roman"/>
          <w:sz w:val="24"/>
          <w:szCs w:val="24"/>
          <w:lang w:val="en-US"/>
        </w:rPr>
        <w:t>,</w:t>
      </w:r>
      <w:r w:rsidR="00E01E32" w:rsidRPr="00F4226B">
        <w:rPr>
          <w:rFonts w:ascii="Times New Roman" w:hAnsi="Times New Roman"/>
          <w:sz w:val="24"/>
          <w:szCs w:val="24"/>
          <w:lang w:val="en-US"/>
        </w:rPr>
        <w:t xml:space="preserve"> </w:t>
      </w:r>
      <w:r w:rsidR="00330ACD">
        <w:rPr>
          <w:rFonts w:ascii="Times New Roman" w:hAnsi="Times New Roman"/>
          <w:sz w:val="24"/>
          <w:szCs w:val="24"/>
          <w:lang w:val="en-US"/>
        </w:rPr>
        <w:t xml:space="preserve">the studies </w:t>
      </w:r>
      <w:r w:rsidR="00330ACD" w:rsidRPr="00F4226B">
        <w:rPr>
          <w:rFonts w:ascii="Times New Roman" w:hAnsi="Times New Roman"/>
          <w:sz w:val="24"/>
          <w:szCs w:val="24"/>
          <w:lang w:val="en-US"/>
        </w:rPr>
        <w:t>disregard</w:t>
      </w:r>
      <w:r w:rsidR="00330ACD">
        <w:rPr>
          <w:rFonts w:ascii="Times New Roman" w:hAnsi="Times New Roman"/>
          <w:sz w:val="24"/>
          <w:szCs w:val="24"/>
          <w:lang w:val="en-US"/>
        </w:rPr>
        <w:t xml:space="preserve"> </w:t>
      </w:r>
      <w:r w:rsidR="00E01E32" w:rsidRPr="00F4226B">
        <w:rPr>
          <w:rFonts w:ascii="Times New Roman" w:hAnsi="Times New Roman"/>
          <w:sz w:val="24"/>
          <w:szCs w:val="24"/>
          <w:lang w:val="en-US"/>
        </w:rPr>
        <w:t xml:space="preserve">the </w:t>
      </w:r>
      <w:r w:rsidR="00F4226B" w:rsidRPr="00F4226B">
        <w:rPr>
          <w:rFonts w:ascii="Times New Roman" w:hAnsi="Times New Roman"/>
          <w:sz w:val="24"/>
          <w:szCs w:val="24"/>
          <w:lang w:val="en-US"/>
        </w:rPr>
        <w:t>often-highlighted</w:t>
      </w:r>
      <w:r w:rsidR="00E01E32" w:rsidRPr="00F4226B">
        <w:rPr>
          <w:rFonts w:ascii="Times New Roman" w:hAnsi="Times New Roman"/>
          <w:sz w:val="24"/>
          <w:szCs w:val="24"/>
          <w:lang w:val="en-US"/>
        </w:rPr>
        <w:t xml:space="preserve"> problem that investors ignore IA amounts when </w:t>
      </w:r>
      <w:r w:rsidR="00330ACD">
        <w:rPr>
          <w:rFonts w:ascii="Times New Roman" w:hAnsi="Times New Roman"/>
          <w:sz w:val="24"/>
          <w:szCs w:val="24"/>
          <w:lang w:val="en-US"/>
        </w:rPr>
        <w:t xml:space="preserve">they are </w:t>
      </w:r>
      <w:r w:rsidR="00E01E32" w:rsidRPr="00F4226B">
        <w:rPr>
          <w:rFonts w:ascii="Times New Roman" w:hAnsi="Times New Roman"/>
          <w:sz w:val="24"/>
          <w:szCs w:val="24"/>
          <w:lang w:val="en-US"/>
        </w:rPr>
        <w:t>unavailable</w:t>
      </w:r>
      <w:r w:rsidR="00310CD6" w:rsidRPr="00F4226B">
        <w:rPr>
          <w:rFonts w:ascii="Times New Roman" w:hAnsi="Times New Roman"/>
          <w:sz w:val="24"/>
          <w:szCs w:val="24"/>
          <w:lang w:val="en-US"/>
        </w:rPr>
        <w:t>.</w:t>
      </w:r>
      <w:r w:rsidR="00E01E32" w:rsidRPr="00F4226B">
        <w:rPr>
          <w:rStyle w:val="FootnoteReference"/>
          <w:rFonts w:ascii="Times New Roman" w:hAnsi="Times New Roman"/>
          <w:sz w:val="24"/>
          <w:szCs w:val="24"/>
          <w:lang w:val="en-US"/>
        </w:rPr>
        <w:footnoteReference w:id="8"/>
      </w:r>
      <w:r w:rsidR="00310CD6" w:rsidRPr="00F4226B">
        <w:rPr>
          <w:rFonts w:ascii="Times New Roman" w:hAnsi="Times New Roman"/>
          <w:sz w:val="24"/>
          <w:szCs w:val="24"/>
          <w:lang w:val="en-US"/>
        </w:rPr>
        <w:t xml:space="preserve"> </w:t>
      </w:r>
      <w:r w:rsidR="00634A23" w:rsidRPr="00F4226B">
        <w:rPr>
          <w:rFonts w:ascii="Times New Roman" w:hAnsi="Times New Roman"/>
          <w:sz w:val="24"/>
          <w:szCs w:val="24"/>
          <w:lang w:val="en-US"/>
        </w:rPr>
        <w:t xml:space="preserve">Further, </w:t>
      </w:r>
      <w:r w:rsidR="00FA4564" w:rsidRPr="00F4226B">
        <w:rPr>
          <w:rFonts w:ascii="Times New Roman" w:hAnsi="Times New Roman"/>
          <w:sz w:val="24"/>
          <w:szCs w:val="24"/>
          <w:lang w:val="en-US"/>
        </w:rPr>
        <w:t xml:space="preserve">the studies </w:t>
      </w:r>
      <w:r w:rsidR="00634A23" w:rsidRPr="00F4226B">
        <w:rPr>
          <w:rFonts w:ascii="Times New Roman" w:hAnsi="Times New Roman"/>
          <w:sz w:val="24"/>
          <w:szCs w:val="24"/>
          <w:lang w:val="en-US"/>
        </w:rPr>
        <w:t>address the question of whether inflation gains and losses have incremental information</w:t>
      </w:r>
      <w:r w:rsidR="003566EE" w:rsidRPr="00F4226B">
        <w:rPr>
          <w:rFonts w:ascii="Times New Roman" w:hAnsi="Times New Roman"/>
          <w:sz w:val="24"/>
          <w:szCs w:val="24"/>
          <w:lang w:val="en-US"/>
        </w:rPr>
        <w:t xml:space="preserve">, but </w:t>
      </w:r>
      <w:r w:rsidR="00330ACD">
        <w:rPr>
          <w:rFonts w:ascii="Times New Roman" w:hAnsi="Times New Roman"/>
          <w:sz w:val="24"/>
          <w:szCs w:val="24"/>
          <w:lang w:val="en-US"/>
        </w:rPr>
        <w:t xml:space="preserve">they do </w:t>
      </w:r>
      <w:r w:rsidR="003566EE" w:rsidRPr="00F4226B">
        <w:rPr>
          <w:rFonts w:ascii="Times New Roman" w:hAnsi="Times New Roman"/>
          <w:sz w:val="24"/>
          <w:szCs w:val="24"/>
          <w:lang w:val="en-US"/>
        </w:rPr>
        <w:t xml:space="preserve">not </w:t>
      </w:r>
      <w:r w:rsidR="00330ACD">
        <w:rPr>
          <w:rFonts w:ascii="Times New Roman" w:hAnsi="Times New Roman"/>
          <w:sz w:val="24"/>
          <w:szCs w:val="24"/>
          <w:lang w:val="en-US"/>
        </w:rPr>
        <w:t xml:space="preserve">address </w:t>
      </w:r>
      <w:r w:rsidR="00634A23" w:rsidRPr="00F4226B">
        <w:rPr>
          <w:rFonts w:ascii="Times New Roman" w:hAnsi="Times New Roman"/>
          <w:sz w:val="24"/>
          <w:szCs w:val="24"/>
          <w:lang w:val="en-US"/>
        </w:rPr>
        <w:t xml:space="preserve">the relative value relevance of HC and IA amounts. </w:t>
      </w:r>
      <w:r w:rsidR="003566EE" w:rsidRPr="00F4226B">
        <w:rPr>
          <w:rFonts w:ascii="Times New Roman" w:hAnsi="Times New Roman"/>
          <w:sz w:val="24"/>
          <w:szCs w:val="24"/>
          <w:lang w:val="en-US"/>
        </w:rPr>
        <w:t>Thus w</w:t>
      </w:r>
      <w:r w:rsidR="00AE0A24" w:rsidRPr="00F4226B">
        <w:rPr>
          <w:rFonts w:ascii="Times New Roman" w:hAnsi="Times New Roman"/>
          <w:sz w:val="24"/>
          <w:szCs w:val="24"/>
          <w:lang w:val="en-US"/>
        </w:rPr>
        <w:t xml:space="preserve">e </w:t>
      </w:r>
      <w:r w:rsidR="00F241ED" w:rsidRPr="00F4226B">
        <w:rPr>
          <w:rFonts w:ascii="Times New Roman" w:hAnsi="Times New Roman"/>
          <w:sz w:val="24"/>
          <w:szCs w:val="24"/>
          <w:lang w:val="en-US"/>
        </w:rPr>
        <w:t>contribut</w:t>
      </w:r>
      <w:r w:rsidR="00AE0A24" w:rsidRPr="00F4226B">
        <w:rPr>
          <w:rFonts w:ascii="Times New Roman" w:hAnsi="Times New Roman"/>
          <w:sz w:val="24"/>
          <w:szCs w:val="24"/>
          <w:lang w:val="en-US"/>
        </w:rPr>
        <w:t>e</w:t>
      </w:r>
      <w:r w:rsidR="00F241ED" w:rsidRPr="00F4226B">
        <w:rPr>
          <w:rFonts w:ascii="Times New Roman" w:hAnsi="Times New Roman"/>
          <w:sz w:val="24"/>
          <w:szCs w:val="24"/>
          <w:lang w:val="en-US"/>
        </w:rPr>
        <w:t xml:space="preserve"> </w:t>
      </w:r>
      <w:r w:rsidR="005A2DC0" w:rsidRPr="00F4226B">
        <w:rPr>
          <w:rFonts w:ascii="Times New Roman" w:hAnsi="Times New Roman"/>
          <w:sz w:val="24"/>
          <w:szCs w:val="24"/>
          <w:lang w:val="en-US"/>
        </w:rPr>
        <w:t xml:space="preserve">by </w:t>
      </w:r>
      <w:r w:rsidR="007C325C" w:rsidRPr="00F4226B">
        <w:rPr>
          <w:rFonts w:ascii="Times New Roman" w:hAnsi="Times New Roman"/>
          <w:sz w:val="24"/>
          <w:szCs w:val="24"/>
          <w:lang w:val="en-US"/>
        </w:rPr>
        <w:t>us</w:t>
      </w:r>
      <w:r w:rsidR="00AE0A24" w:rsidRPr="00F4226B">
        <w:rPr>
          <w:rFonts w:ascii="Times New Roman" w:hAnsi="Times New Roman"/>
          <w:sz w:val="24"/>
          <w:szCs w:val="24"/>
          <w:lang w:val="en-US"/>
        </w:rPr>
        <w:t>ing</w:t>
      </w:r>
      <w:r w:rsidR="007C325C" w:rsidRPr="00F4226B">
        <w:rPr>
          <w:rFonts w:ascii="Times New Roman" w:hAnsi="Times New Roman"/>
          <w:sz w:val="24"/>
          <w:szCs w:val="24"/>
          <w:lang w:val="en-US"/>
        </w:rPr>
        <w:t xml:space="preserve"> actual</w:t>
      </w:r>
      <w:r w:rsidR="00E664E7" w:rsidRPr="00F4226B">
        <w:rPr>
          <w:rFonts w:ascii="Times New Roman" w:hAnsi="Times New Roman"/>
          <w:sz w:val="24"/>
          <w:szCs w:val="24"/>
          <w:lang w:val="en-US"/>
        </w:rPr>
        <w:t xml:space="preserve"> published</w:t>
      </w:r>
      <w:r w:rsidR="007C325C" w:rsidRPr="00F4226B">
        <w:rPr>
          <w:rFonts w:ascii="Times New Roman" w:hAnsi="Times New Roman"/>
          <w:sz w:val="24"/>
          <w:szCs w:val="24"/>
          <w:lang w:val="en-US"/>
        </w:rPr>
        <w:t xml:space="preserve"> inflation data</w:t>
      </w:r>
      <w:r w:rsidR="00027F31" w:rsidRPr="00F4226B">
        <w:rPr>
          <w:rFonts w:ascii="Times New Roman" w:hAnsi="Times New Roman"/>
          <w:sz w:val="24"/>
          <w:szCs w:val="24"/>
          <w:lang w:val="en-US"/>
        </w:rPr>
        <w:t xml:space="preserve"> </w:t>
      </w:r>
      <w:r w:rsidR="00CD41A3" w:rsidRPr="00F4226B">
        <w:rPr>
          <w:rFonts w:ascii="Times New Roman" w:hAnsi="Times New Roman"/>
          <w:sz w:val="24"/>
          <w:szCs w:val="24"/>
          <w:lang w:val="en-US"/>
        </w:rPr>
        <w:t xml:space="preserve">and </w:t>
      </w:r>
      <w:r w:rsidR="007C325C" w:rsidRPr="00F4226B">
        <w:rPr>
          <w:rFonts w:ascii="Times New Roman" w:hAnsi="Times New Roman"/>
          <w:sz w:val="24"/>
          <w:szCs w:val="24"/>
          <w:lang w:val="en-US"/>
        </w:rPr>
        <w:t xml:space="preserve">examining </w:t>
      </w:r>
      <w:r w:rsidR="00634A23" w:rsidRPr="00F4226B">
        <w:rPr>
          <w:rFonts w:ascii="Times New Roman" w:hAnsi="Times New Roman"/>
          <w:sz w:val="24"/>
          <w:szCs w:val="24"/>
          <w:lang w:val="en-US"/>
        </w:rPr>
        <w:t xml:space="preserve">both </w:t>
      </w:r>
      <w:r w:rsidR="00F241ED" w:rsidRPr="00F4226B">
        <w:rPr>
          <w:rFonts w:ascii="Times New Roman" w:hAnsi="Times New Roman"/>
          <w:sz w:val="24"/>
          <w:szCs w:val="24"/>
          <w:lang w:val="en-US"/>
        </w:rPr>
        <w:t xml:space="preserve">the relative </w:t>
      </w:r>
      <w:r w:rsidR="000B1458" w:rsidRPr="00F4226B">
        <w:rPr>
          <w:rFonts w:ascii="Times New Roman" w:hAnsi="Times New Roman"/>
          <w:sz w:val="24"/>
          <w:szCs w:val="24"/>
          <w:lang w:val="en-US"/>
        </w:rPr>
        <w:t xml:space="preserve">and </w:t>
      </w:r>
      <w:r w:rsidR="00027F31" w:rsidRPr="00F4226B">
        <w:rPr>
          <w:rFonts w:ascii="Times New Roman" w:hAnsi="Times New Roman"/>
          <w:sz w:val="24"/>
          <w:szCs w:val="24"/>
          <w:lang w:val="en-US"/>
        </w:rPr>
        <w:t xml:space="preserve">incremental </w:t>
      </w:r>
      <w:r w:rsidR="00F241ED" w:rsidRPr="00F4226B">
        <w:rPr>
          <w:rFonts w:ascii="Times New Roman" w:hAnsi="Times New Roman"/>
          <w:sz w:val="24"/>
          <w:szCs w:val="24"/>
          <w:lang w:val="en-US"/>
        </w:rPr>
        <w:t>value</w:t>
      </w:r>
      <w:r w:rsidR="00F4226B">
        <w:rPr>
          <w:rFonts w:ascii="Times New Roman" w:hAnsi="Times New Roman"/>
          <w:sz w:val="24"/>
          <w:szCs w:val="24"/>
          <w:lang w:val="en-US"/>
        </w:rPr>
        <w:t xml:space="preserve"> </w:t>
      </w:r>
      <w:r w:rsidR="00F241ED" w:rsidRPr="00F4226B">
        <w:rPr>
          <w:rFonts w:ascii="Times New Roman" w:hAnsi="Times New Roman"/>
          <w:sz w:val="24"/>
          <w:szCs w:val="24"/>
          <w:lang w:val="en-US"/>
        </w:rPr>
        <w:t xml:space="preserve">relevance of IA and HC </w:t>
      </w:r>
      <w:r w:rsidR="00E664E7" w:rsidRPr="00F4226B">
        <w:rPr>
          <w:rFonts w:ascii="Times New Roman" w:hAnsi="Times New Roman"/>
          <w:sz w:val="24"/>
          <w:szCs w:val="24"/>
          <w:lang w:val="en-US"/>
        </w:rPr>
        <w:t>amounts</w:t>
      </w:r>
      <w:r w:rsidR="00F241ED" w:rsidRPr="00F4226B">
        <w:rPr>
          <w:rFonts w:ascii="Times New Roman" w:hAnsi="Times New Roman"/>
          <w:sz w:val="24"/>
          <w:szCs w:val="24"/>
          <w:lang w:val="en-US"/>
        </w:rPr>
        <w:t xml:space="preserve">. </w:t>
      </w:r>
    </w:p>
    <w:p w14:paraId="09133D32" w14:textId="1E42D9D5" w:rsidR="003D1374" w:rsidRPr="00F4226B" w:rsidRDefault="00795778"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lastRenderedPageBreak/>
        <w:t xml:space="preserve">Outside the </w:t>
      </w:r>
      <w:r w:rsidR="0021420B" w:rsidRPr="00F4226B">
        <w:rPr>
          <w:rFonts w:ascii="Times New Roman" w:hAnsi="Times New Roman"/>
          <w:sz w:val="24"/>
          <w:szCs w:val="24"/>
          <w:lang w:val="en-US"/>
        </w:rPr>
        <w:t>U</w:t>
      </w:r>
      <w:r w:rsidR="00E3621B">
        <w:rPr>
          <w:rFonts w:ascii="Times New Roman" w:hAnsi="Times New Roman"/>
          <w:sz w:val="24"/>
          <w:szCs w:val="24"/>
          <w:lang w:val="en-US"/>
        </w:rPr>
        <w:t xml:space="preserve">nited </w:t>
      </w:r>
      <w:r w:rsidR="0021420B" w:rsidRPr="00F4226B">
        <w:rPr>
          <w:rFonts w:ascii="Times New Roman" w:hAnsi="Times New Roman"/>
          <w:sz w:val="24"/>
          <w:szCs w:val="24"/>
          <w:lang w:val="en-US"/>
        </w:rPr>
        <w:t>K</w:t>
      </w:r>
      <w:r w:rsidR="00E3621B">
        <w:rPr>
          <w:rFonts w:ascii="Times New Roman" w:hAnsi="Times New Roman"/>
          <w:sz w:val="24"/>
          <w:szCs w:val="24"/>
          <w:lang w:val="en-US"/>
        </w:rPr>
        <w:t>ingdom</w:t>
      </w:r>
      <w:r w:rsidR="0021420B" w:rsidRPr="00F4226B">
        <w:rPr>
          <w:rFonts w:ascii="Times New Roman" w:hAnsi="Times New Roman"/>
          <w:sz w:val="24"/>
          <w:szCs w:val="24"/>
          <w:lang w:val="en-US"/>
        </w:rPr>
        <w:t xml:space="preserve"> and U</w:t>
      </w:r>
      <w:r w:rsidR="00E3621B">
        <w:rPr>
          <w:rFonts w:ascii="Times New Roman" w:hAnsi="Times New Roman"/>
          <w:sz w:val="24"/>
          <w:szCs w:val="24"/>
          <w:lang w:val="en-US"/>
        </w:rPr>
        <w:t xml:space="preserve">nited </w:t>
      </w:r>
      <w:r w:rsidR="0021420B" w:rsidRPr="00F4226B">
        <w:rPr>
          <w:rFonts w:ascii="Times New Roman" w:hAnsi="Times New Roman"/>
          <w:sz w:val="24"/>
          <w:szCs w:val="24"/>
          <w:lang w:val="en-US"/>
        </w:rPr>
        <w:t>S</w:t>
      </w:r>
      <w:r w:rsidR="00E3621B">
        <w:rPr>
          <w:rFonts w:ascii="Times New Roman" w:hAnsi="Times New Roman"/>
          <w:sz w:val="24"/>
          <w:szCs w:val="24"/>
          <w:lang w:val="en-US"/>
        </w:rPr>
        <w:t>tates</w:t>
      </w:r>
      <w:r w:rsidR="0021420B" w:rsidRPr="00F4226B">
        <w:rPr>
          <w:rFonts w:ascii="Times New Roman" w:hAnsi="Times New Roman"/>
          <w:sz w:val="24"/>
          <w:szCs w:val="24"/>
          <w:lang w:val="en-US"/>
        </w:rPr>
        <w:t xml:space="preserve">, </w:t>
      </w:r>
      <w:r w:rsidR="005442C5" w:rsidRPr="00F4226B">
        <w:rPr>
          <w:rFonts w:ascii="Times New Roman" w:hAnsi="Times New Roman"/>
          <w:sz w:val="24"/>
          <w:szCs w:val="24"/>
          <w:lang w:val="en-US"/>
        </w:rPr>
        <w:t xml:space="preserve">a number of </w:t>
      </w:r>
      <w:r w:rsidR="003E24D4" w:rsidRPr="00F4226B">
        <w:rPr>
          <w:rFonts w:ascii="Times New Roman" w:hAnsi="Times New Roman"/>
          <w:sz w:val="24"/>
          <w:szCs w:val="24"/>
          <w:lang w:val="en-US"/>
        </w:rPr>
        <w:t xml:space="preserve">studies </w:t>
      </w:r>
      <w:r w:rsidR="00C27B17" w:rsidRPr="00F4226B">
        <w:rPr>
          <w:rFonts w:ascii="Times New Roman" w:hAnsi="Times New Roman"/>
          <w:sz w:val="24"/>
          <w:szCs w:val="24"/>
          <w:lang w:val="en-US"/>
        </w:rPr>
        <w:t>examine</w:t>
      </w:r>
      <w:r w:rsidR="0021420B" w:rsidRPr="00F4226B">
        <w:rPr>
          <w:rFonts w:ascii="Times New Roman" w:hAnsi="Times New Roman"/>
          <w:sz w:val="24"/>
          <w:szCs w:val="24"/>
          <w:lang w:val="en-US"/>
        </w:rPr>
        <w:t xml:space="preserve"> </w:t>
      </w:r>
      <w:r w:rsidR="00330ACD">
        <w:rPr>
          <w:rFonts w:ascii="Times New Roman" w:hAnsi="Times New Roman"/>
          <w:sz w:val="24"/>
          <w:szCs w:val="24"/>
          <w:lang w:val="en-US"/>
        </w:rPr>
        <w:t xml:space="preserve">the </w:t>
      </w:r>
      <w:r w:rsidR="0021420B" w:rsidRPr="00F4226B">
        <w:rPr>
          <w:rFonts w:ascii="Times New Roman" w:hAnsi="Times New Roman"/>
          <w:sz w:val="24"/>
          <w:szCs w:val="24"/>
          <w:lang w:val="en-US"/>
        </w:rPr>
        <w:t xml:space="preserve">value relevance </w:t>
      </w:r>
      <w:r w:rsidR="00C27B17" w:rsidRPr="00F4226B">
        <w:rPr>
          <w:rFonts w:ascii="Times New Roman" w:hAnsi="Times New Roman"/>
          <w:sz w:val="24"/>
          <w:szCs w:val="24"/>
          <w:lang w:val="en-US"/>
        </w:rPr>
        <w:t xml:space="preserve">of accounting amounts </w:t>
      </w:r>
      <w:r w:rsidR="005924A2" w:rsidRPr="00F4226B">
        <w:rPr>
          <w:rFonts w:ascii="Times New Roman" w:hAnsi="Times New Roman"/>
          <w:sz w:val="24"/>
          <w:szCs w:val="24"/>
          <w:lang w:val="en-US"/>
        </w:rPr>
        <w:t xml:space="preserve">in </w:t>
      </w:r>
      <w:r w:rsidR="00845A2E" w:rsidRPr="00F4226B">
        <w:rPr>
          <w:rFonts w:ascii="Times New Roman" w:hAnsi="Times New Roman"/>
          <w:sz w:val="24"/>
          <w:szCs w:val="24"/>
          <w:lang w:val="en-US"/>
        </w:rPr>
        <w:t>hyperinflationary economies</w:t>
      </w:r>
      <w:r w:rsidR="005262EE" w:rsidRPr="00F4226B">
        <w:rPr>
          <w:rFonts w:ascii="Times New Roman" w:hAnsi="Times New Roman"/>
          <w:sz w:val="24"/>
          <w:szCs w:val="24"/>
          <w:lang w:val="en-US"/>
        </w:rPr>
        <w:t xml:space="preserve">, </w:t>
      </w:r>
      <w:r w:rsidR="00330ACD">
        <w:rPr>
          <w:rFonts w:ascii="Times New Roman" w:hAnsi="Times New Roman"/>
          <w:sz w:val="24"/>
          <w:szCs w:val="24"/>
          <w:lang w:val="en-US"/>
        </w:rPr>
        <w:t xml:space="preserve">such as </w:t>
      </w:r>
      <w:r w:rsidR="005262EE" w:rsidRPr="00F4226B">
        <w:rPr>
          <w:rFonts w:ascii="Times New Roman" w:hAnsi="Times New Roman"/>
          <w:sz w:val="24"/>
          <w:szCs w:val="24"/>
          <w:lang w:val="en-US"/>
        </w:rPr>
        <w:t xml:space="preserve">Mexico </w:t>
      </w:r>
      <w:r w:rsidR="000D1883" w:rsidRPr="00F4226B">
        <w:rPr>
          <w:rFonts w:ascii="Times New Roman" w:hAnsi="Times New Roman"/>
          <w:sz w:val="24"/>
          <w:szCs w:val="24"/>
          <w:lang w:val="en-US"/>
        </w:rPr>
        <w:t>(Rivera 1987</w:t>
      </w:r>
      <w:r w:rsidR="005262EE" w:rsidRPr="00F4226B">
        <w:rPr>
          <w:rFonts w:ascii="Times New Roman" w:hAnsi="Times New Roman"/>
          <w:sz w:val="24"/>
          <w:szCs w:val="24"/>
          <w:lang w:val="en-US"/>
        </w:rPr>
        <w:t>), Israel (Barniv 1999), Turkey (</w:t>
      </w:r>
      <w:r w:rsidR="000C0535" w:rsidRPr="00F4226B">
        <w:rPr>
          <w:rFonts w:ascii="Times New Roman" w:hAnsi="Times New Roman"/>
          <w:sz w:val="24"/>
          <w:szCs w:val="24"/>
          <w:lang w:val="en-US"/>
        </w:rPr>
        <w:t xml:space="preserve">Kirkulak </w:t>
      </w:r>
      <w:r w:rsidR="00B10532" w:rsidRPr="00F4226B">
        <w:rPr>
          <w:rFonts w:ascii="Times New Roman" w:hAnsi="Times New Roman"/>
          <w:sz w:val="24"/>
          <w:szCs w:val="24"/>
          <w:lang w:val="en-US"/>
        </w:rPr>
        <w:t>and</w:t>
      </w:r>
      <w:r w:rsidR="000C0535" w:rsidRPr="00F4226B">
        <w:rPr>
          <w:rFonts w:ascii="Times New Roman" w:hAnsi="Times New Roman"/>
          <w:sz w:val="24"/>
          <w:szCs w:val="24"/>
          <w:lang w:val="en-US"/>
        </w:rPr>
        <w:t xml:space="preserve"> Balsari 2009</w:t>
      </w:r>
      <w:r w:rsidR="005262EE" w:rsidRPr="00F4226B">
        <w:rPr>
          <w:rFonts w:ascii="Times New Roman" w:hAnsi="Times New Roman"/>
          <w:sz w:val="24"/>
          <w:szCs w:val="24"/>
          <w:lang w:val="en-US"/>
        </w:rPr>
        <w:t>)</w:t>
      </w:r>
      <w:r w:rsidR="00E3621B">
        <w:rPr>
          <w:rFonts w:ascii="Times New Roman" w:hAnsi="Times New Roman"/>
          <w:sz w:val="24"/>
          <w:szCs w:val="24"/>
          <w:lang w:val="en-US"/>
        </w:rPr>
        <w:t>,</w:t>
      </w:r>
      <w:r w:rsidR="005262EE" w:rsidRPr="00F4226B">
        <w:rPr>
          <w:rFonts w:ascii="Times New Roman" w:hAnsi="Times New Roman"/>
          <w:sz w:val="24"/>
          <w:szCs w:val="24"/>
          <w:lang w:val="en-US"/>
        </w:rPr>
        <w:t xml:space="preserve"> and Romania (</w:t>
      </w:r>
      <w:r w:rsidR="00F617A3" w:rsidRPr="00F4226B">
        <w:rPr>
          <w:rFonts w:ascii="Times New Roman" w:hAnsi="Times New Roman"/>
          <w:sz w:val="24"/>
          <w:szCs w:val="24"/>
          <w:lang w:val="en-US"/>
        </w:rPr>
        <w:t xml:space="preserve">Filip </w:t>
      </w:r>
      <w:r w:rsidR="00B10532" w:rsidRPr="00F4226B">
        <w:rPr>
          <w:rFonts w:ascii="Times New Roman" w:hAnsi="Times New Roman"/>
          <w:sz w:val="24"/>
          <w:szCs w:val="24"/>
          <w:lang w:val="en-US"/>
        </w:rPr>
        <w:t>and</w:t>
      </w:r>
      <w:r w:rsidR="00F617A3" w:rsidRPr="00F4226B">
        <w:rPr>
          <w:rFonts w:ascii="Times New Roman" w:hAnsi="Times New Roman"/>
          <w:sz w:val="24"/>
          <w:szCs w:val="24"/>
          <w:lang w:val="en-US"/>
        </w:rPr>
        <w:t xml:space="preserve"> Raffournier 2010</w:t>
      </w:r>
      <w:r w:rsidR="000D1883" w:rsidRPr="00F4226B">
        <w:rPr>
          <w:rFonts w:ascii="Times New Roman" w:hAnsi="Times New Roman"/>
          <w:sz w:val="24"/>
          <w:szCs w:val="24"/>
          <w:lang w:val="en-US"/>
        </w:rPr>
        <w:t>)</w:t>
      </w:r>
      <w:r w:rsidR="003E24D4" w:rsidRPr="00F4226B">
        <w:rPr>
          <w:rFonts w:ascii="Times New Roman" w:hAnsi="Times New Roman"/>
          <w:sz w:val="24"/>
          <w:szCs w:val="24"/>
          <w:lang w:val="en-US"/>
        </w:rPr>
        <w:t>.</w:t>
      </w:r>
      <w:r w:rsidR="005C4FC0" w:rsidRPr="00F4226B">
        <w:rPr>
          <w:rFonts w:ascii="Times New Roman" w:hAnsi="Times New Roman"/>
          <w:sz w:val="24"/>
          <w:szCs w:val="24"/>
          <w:lang w:val="en-US"/>
        </w:rPr>
        <w:t xml:space="preserve"> T</w:t>
      </w:r>
      <w:r w:rsidR="005262EE" w:rsidRPr="00F4226B">
        <w:rPr>
          <w:rFonts w:ascii="Times New Roman" w:hAnsi="Times New Roman"/>
          <w:sz w:val="24"/>
          <w:szCs w:val="24"/>
          <w:lang w:val="en-US"/>
        </w:rPr>
        <w:t xml:space="preserve">hese </w:t>
      </w:r>
      <w:r w:rsidR="007371EA" w:rsidRPr="00F4226B">
        <w:rPr>
          <w:rFonts w:ascii="Times New Roman" w:hAnsi="Times New Roman"/>
          <w:sz w:val="24"/>
          <w:szCs w:val="24"/>
          <w:lang w:val="en-US"/>
        </w:rPr>
        <w:t>studies extend</w:t>
      </w:r>
      <w:r w:rsidR="005C4FC0" w:rsidRPr="00F4226B">
        <w:rPr>
          <w:rFonts w:ascii="Times New Roman" w:hAnsi="Times New Roman"/>
          <w:sz w:val="24"/>
          <w:szCs w:val="24"/>
          <w:lang w:val="en-US"/>
        </w:rPr>
        <w:t xml:space="preserve"> prior work </w:t>
      </w:r>
      <w:r w:rsidR="005262EE" w:rsidRPr="00F4226B">
        <w:rPr>
          <w:rFonts w:ascii="Times New Roman" w:hAnsi="Times New Roman"/>
          <w:sz w:val="24"/>
          <w:szCs w:val="24"/>
          <w:lang w:val="en-US"/>
        </w:rPr>
        <w:t xml:space="preserve">by </w:t>
      </w:r>
      <w:r w:rsidR="007371EA" w:rsidRPr="00F4226B">
        <w:rPr>
          <w:rFonts w:ascii="Times New Roman" w:hAnsi="Times New Roman"/>
          <w:sz w:val="24"/>
          <w:szCs w:val="24"/>
          <w:lang w:val="en-US"/>
        </w:rPr>
        <w:t>explor</w:t>
      </w:r>
      <w:r w:rsidR="005262EE" w:rsidRPr="00F4226B">
        <w:rPr>
          <w:rFonts w:ascii="Times New Roman" w:hAnsi="Times New Roman"/>
          <w:sz w:val="24"/>
          <w:szCs w:val="24"/>
          <w:lang w:val="en-US"/>
        </w:rPr>
        <w:t xml:space="preserve">ing </w:t>
      </w:r>
      <w:r w:rsidR="006C4F29" w:rsidRPr="00F4226B">
        <w:rPr>
          <w:rFonts w:ascii="Times New Roman" w:hAnsi="Times New Roman"/>
          <w:sz w:val="24"/>
          <w:szCs w:val="24"/>
          <w:lang w:val="en-US"/>
        </w:rPr>
        <w:t xml:space="preserve">not only </w:t>
      </w:r>
      <w:r w:rsidR="003636D9">
        <w:rPr>
          <w:rFonts w:ascii="Times New Roman" w:hAnsi="Times New Roman"/>
          <w:sz w:val="24"/>
          <w:szCs w:val="24"/>
          <w:lang w:val="en-US"/>
        </w:rPr>
        <w:t xml:space="preserve">the </w:t>
      </w:r>
      <w:r w:rsidR="005262EE" w:rsidRPr="00F4226B">
        <w:rPr>
          <w:rFonts w:ascii="Times New Roman" w:hAnsi="Times New Roman"/>
          <w:sz w:val="24"/>
          <w:szCs w:val="24"/>
          <w:lang w:val="en-US"/>
        </w:rPr>
        <w:t>incremental</w:t>
      </w:r>
      <w:r w:rsidR="00F4226B">
        <w:rPr>
          <w:rFonts w:ascii="Times New Roman" w:hAnsi="Times New Roman"/>
          <w:sz w:val="24"/>
          <w:szCs w:val="24"/>
          <w:lang w:val="en-US"/>
        </w:rPr>
        <w:t xml:space="preserve"> but also</w:t>
      </w:r>
      <w:r w:rsidR="006C4F29" w:rsidRPr="00F4226B">
        <w:rPr>
          <w:rFonts w:ascii="Times New Roman" w:hAnsi="Times New Roman"/>
          <w:sz w:val="24"/>
          <w:szCs w:val="24"/>
          <w:lang w:val="en-US"/>
        </w:rPr>
        <w:t xml:space="preserve"> </w:t>
      </w:r>
      <w:r w:rsidR="003636D9">
        <w:rPr>
          <w:rFonts w:ascii="Times New Roman" w:hAnsi="Times New Roman"/>
          <w:sz w:val="24"/>
          <w:szCs w:val="24"/>
          <w:lang w:val="en-US"/>
        </w:rPr>
        <w:t xml:space="preserve">the </w:t>
      </w:r>
      <w:r w:rsidR="006C4F29" w:rsidRPr="00F4226B">
        <w:rPr>
          <w:rFonts w:ascii="Times New Roman" w:hAnsi="Times New Roman"/>
          <w:sz w:val="24"/>
          <w:szCs w:val="24"/>
          <w:lang w:val="en-US"/>
        </w:rPr>
        <w:t>relative</w:t>
      </w:r>
      <w:r w:rsidR="005262EE" w:rsidRPr="00F4226B">
        <w:rPr>
          <w:rFonts w:ascii="Times New Roman" w:hAnsi="Times New Roman"/>
          <w:sz w:val="24"/>
          <w:szCs w:val="24"/>
          <w:lang w:val="en-US"/>
        </w:rPr>
        <w:t xml:space="preserve"> </w:t>
      </w:r>
      <w:r w:rsidR="000F3768" w:rsidRPr="00F4226B">
        <w:rPr>
          <w:rFonts w:ascii="Times New Roman" w:hAnsi="Times New Roman"/>
          <w:sz w:val="24"/>
          <w:szCs w:val="24"/>
          <w:lang w:val="en-US"/>
        </w:rPr>
        <w:t xml:space="preserve">value relevance of HC and IA </w:t>
      </w:r>
      <w:r w:rsidR="00310CD6" w:rsidRPr="00F4226B">
        <w:rPr>
          <w:rFonts w:ascii="Times New Roman" w:hAnsi="Times New Roman"/>
          <w:sz w:val="24"/>
          <w:szCs w:val="24"/>
          <w:lang w:val="en-US"/>
        </w:rPr>
        <w:t>amounts</w:t>
      </w:r>
      <w:r w:rsidR="005262EE" w:rsidRPr="00F4226B">
        <w:rPr>
          <w:rFonts w:ascii="Times New Roman" w:hAnsi="Times New Roman"/>
          <w:sz w:val="24"/>
          <w:szCs w:val="24"/>
          <w:lang w:val="en-US"/>
        </w:rPr>
        <w:t xml:space="preserve">. </w:t>
      </w:r>
      <w:r w:rsidR="002F00B8" w:rsidRPr="00F4226B">
        <w:rPr>
          <w:rFonts w:ascii="Times New Roman" w:hAnsi="Times New Roman"/>
          <w:sz w:val="24"/>
          <w:szCs w:val="24"/>
          <w:lang w:val="en-US"/>
        </w:rPr>
        <w:t>On the whole, t</w:t>
      </w:r>
      <w:r w:rsidR="006C4F29" w:rsidRPr="00F4226B">
        <w:rPr>
          <w:rFonts w:ascii="Times New Roman" w:hAnsi="Times New Roman"/>
          <w:sz w:val="24"/>
          <w:szCs w:val="24"/>
          <w:lang w:val="en-US"/>
        </w:rPr>
        <w:t xml:space="preserve">he results indicate that both HC and IA </w:t>
      </w:r>
      <w:r w:rsidR="00310CD6" w:rsidRPr="00F4226B">
        <w:rPr>
          <w:rFonts w:ascii="Times New Roman" w:hAnsi="Times New Roman"/>
          <w:sz w:val="24"/>
          <w:szCs w:val="24"/>
          <w:lang w:val="en-US"/>
        </w:rPr>
        <w:t xml:space="preserve">amounts </w:t>
      </w:r>
      <w:r w:rsidR="006C4F29" w:rsidRPr="00F4226B">
        <w:rPr>
          <w:rFonts w:ascii="Times New Roman" w:hAnsi="Times New Roman"/>
          <w:sz w:val="24"/>
          <w:szCs w:val="24"/>
          <w:lang w:val="en-US"/>
        </w:rPr>
        <w:t xml:space="preserve">are value relevant and have incremental </w:t>
      </w:r>
      <w:r w:rsidR="002F00B8" w:rsidRPr="00F4226B">
        <w:rPr>
          <w:rFonts w:ascii="Times New Roman" w:hAnsi="Times New Roman"/>
          <w:sz w:val="24"/>
          <w:szCs w:val="24"/>
          <w:lang w:val="en-US"/>
        </w:rPr>
        <w:t>value</w:t>
      </w:r>
      <w:r w:rsidR="006C4F29" w:rsidRPr="00F4226B">
        <w:rPr>
          <w:rFonts w:ascii="Times New Roman" w:hAnsi="Times New Roman"/>
          <w:sz w:val="24"/>
          <w:szCs w:val="24"/>
          <w:lang w:val="en-US"/>
        </w:rPr>
        <w:t xml:space="preserve"> </w:t>
      </w:r>
      <w:r w:rsidR="00E3621B">
        <w:rPr>
          <w:rFonts w:ascii="Times New Roman" w:hAnsi="Times New Roman"/>
          <w:sz w:val="24"/>
          <w:szCs w:val="24"/>
          <w:lang w:val="en-US"/>
        </w:rPr>
        <w:t xml:space="preserve">to each </w:t>
      </w:r>
      <w:r w:rsidR="006C4F29" w:rsidRPr="00F4226B">
        <w:rPr>
          <w:rFonts w:ascii="Times New Roman" w:hAnsi="Times New Roman"/>
          <w:sz w:val="24"/>
          <w:szCs w:val="24"/>
          <w:lang w:val="en-US"/>
        </w:rPr>
        <w:t>other</w:t>
      </w:r>
      <w:r w:rsidR="00596D75" w:rsidRPr="00F4226B">
        <w:rPr>
          <w:rFonts w:ascii="Times New Roman" w:hAnsi="Times New Roman"/>
          <w:sz w:val="24"/>
          <w:szCs w:val="24"/>
          <w:lang w:val="en-US"/>
        </w:rPr>
        <w:t xml:space="preserve">. </w:t>
      </w:r>
      <w:r w:rsidR="003636D9">
        <w:rPr>
          <w:rFonts w:ascii="Times New Roman" w:hAnsi="Times New Roman"/>
          <w:sz w:val="24"/>
          <w:szCs w:val="24"/>
          <w:lang w:val="en-US"/>
        </w:rPr>
        <w:t>However, t</w:t>
      </w:r>
      <w:r w:rsidR="002F00B8" w:rsidRPr="00F4226B">
        <w:rPr>
          <w:rFonts w:ascii="Times New Roman" w:hAnsi="Times New Roman"/>
          <w:sz w:val="24"/>
          <w:szCs w:val="24"/>
          <w:lang w:val="en-US"/>
        </w:rPr>
        <w:t>he results are</w:t>
      </w:r>
      <w:r w:rsidR="003636D9">
        <w:rPr>
          <w:rFonts w:ascii="Times New Roman" w:hAnsi="Times New Roman"/>
          <w:sz w:val="24"/>
          <w:szCs w:val="24"/>
          <w:lang w:val="en-US"/>
        </w:rPr>
        <w:t xml:space="preserve"> </w:t>
      </w:r>
      <w:r w:rsidR="002F00B8" w:rsidRPr="00F4226B">
        <w:rPr>
          <w:rFonts w:ascii="Times New Roman" w:hAnsi="Times New Roman"/>
          <w:sz w:val="24"/>
          <w:szCs w:val="24"/>
          <w:lang w:val="en-US"/>
        </w:rPr>
        <w:t xml:space="preserve">conflicting as to </w:t>
      </w:r>
      <w:r w:rsidR="006C4F29" w:rsidRPr="00F4226B">
        <w:rPr>
          <w:rFonts w:ascii="Times New Roman" w:hAnsi="Times New Roman"/>
          <w:sz w:val="24"/>
          <w:szCs w:val="24"/>
          <w:lang w:val="en-US"/>
        </w:rPr>
        <w:t>which a</w:t>
      </w:r>
      <w:r w:rsidR="00310CD6" w:rsidRPr="00F4226B">
        <w:rPr>
          <w:rFonts w:ascii="Times New Roman" w:hAnsi="Times New Roman"/>
          <w:sz w:val="24"/>
          <w:szCs w:val="24"/>
          <w:lang w:val="en-US"/>
        </w:rPr>
        <w:t>mounts</w:t>
      </w:r>
      <w:r w:rsidR="006C4F29" w:rsidRPr="00F4226B">
        <w:rPr>
          <w:rFonts w:ascii="Times New Roman" w:hAnsi="Times New Roman"/>
          <w:sz w:val="24"/>
          <w:szCs w:val="24"/>
          <w:lang w:val="en-US"/>
        </w:rPr>
        <w:t xml:space="preserve"> are more value relevant. </w:t>
      </w:r>
      <w:r w:rsidR="00B232FE" w:rsidRPr="00F4226B">
        <w:rPr>
          <w:rFonts w:ascii="Times New Roman" w:hAnsi="Times New Roman"/>
          <w:sz w:val="24"/>
          <w:szCs w:val="24"/>
          <w:lang w:val="en-US"/>
        </w:rPr>
        <w:t xml:space="preserve">Rivera (1987) and Barniv (1999) </w:t>
      </w:r>
      <w:r w:rsidR="006C4F29" w:rsidRPr="00F4226B">
        <w:rPr>
          <w:rFonts w:ascii="Times New Roman" w:hAnsi="Times New Roman"/>
          <w:sz w:val="24"/>
          <w:szCs w:val="24"/>
          <w:lang w:val="en-US"/>
        </w:rPr>
        <w:t xml:space="preserve">find that </w:t>
      </w:r>
      <w:r w:rsidR="00BF30BE" w:rsidRPr="00F4226B">
        <w:rPr>
          <w:rFonts w:ascii="Times New Roman" w:hAnsi="Times New Roman"/>
          <w:sz w:val="24"/>
          <w:szCs w:val="24"/>
          <w:lang w:val="en-US"/>
        </w:rPr>
        <w:t>IA</w:t>
      </w:r>
      <w:r w:rsidR="00E76C8D" w:rsidRPr="00F4226B">
        <w:rPr>
          <w:rFonts w:ascii="Times New Roman" w:hAnsi="Times New Roman"/>
          <w:sz w:val="24"/>
          <w:szCs w:val="24"/>
          <w:lang w:val="en-US"/>
        </w:rPr>
        <w:t xml:space="preserve"> </w:t>
      </w:r>
      <w:r w:rsidR="00717F91" w:rsidRPr="00F4226B">
        <w:rPr>
          <w:rFonts w:ascii="Times New Roman" w:hAnsi="Times New Roman"/>
          <w:sz w:val="24"/>
          <w:szCs w:val="24"/>
          <w:lang w:val="en-US"/>
        </w:rPr>
        <w:t xml:space="preserve">amounts </w:t>
      </w:r>
      <w:r w:rsidR="006C4F29" w:rsidRPr="00F4226B">
        <w:rPr>
          <w:rFonts w:ascii="Times New Roman" w:hAnsi="Times New Roman"/>
          <w:sz w:val="24"/>
          <w:szCs w:val="24"/>
          <w:lang w:val="en-US"/>
        </w:rPr>
        <w:t>are more value relevant</w:t>
      </w:r>
      <w:r w:rsidR="002F00B8" w:rsidRPr="00F4226B">
        <w:rPr>
          <w:rFonts w:ascii="Times New Roman" w:hAnsi="Times New Roman"/>
          <w:sz w:val="24"/>
          <w:szCs w:val="24"/>
          <w:lang w:val="en-US"/>
        </w:rPr>
        <w:t xml:space="preserve"> </w:t>
      </w:r>
      <w:r w:rsidR="00260F91" w:rsidRPr="00F4226B">
        <w:rPr>
          <w:rFonts w:ascii="Times New Roman" w:hAnsi="Times New Roman"/>
          <w:sz w:val="24"/>
          <w:szCs w:val="24"/>
          <w:lang w:val="en-US"/>
        </w:rPr>
        <w:t>and suggest that HC amounts must either be reported as supplementary information or supplanted by IA amounts and not reported at all</w:t>
      </w:r>
      <w:r w:rsidR="006C4F29" w:rsidRPr="00F4226B">
        <w:rPr>
          <w:rFonts w:ascii="Times New Roman" w:hAnsi="Times New Roman"/>
          <w:sz w:val="24"/>
          <w:szCs w:val="24"/>
          <w:lang w:val="en-US"/>
        </w:rPr>
        <w:t xml:space="preserve">. </w:t>
      </w:r>
      <w:r w:rsidR="00C77A0F" w:rsidRPr="00F4226B">
        <w:rPr>
          <w:rFonts w:ascii="Times New Roman" w:hAnsi="Times New Roman"/>
          <w:sz w:val="24"/>
          <w:szCs w:val="24"/>
          <w:lang w:val="en-US"/>
        </w:rPr>
        <w:t xml:space="preserve">In contrast, </w:t>
      </w:r>
      <w:r w:rsidR="00BE125A" w:rsidRPr="00F4226B">
        <w:rPr>
          <w:rFonts w:ascii="Times New Roman" w:hAnsi="Times New Roman"/>
          <w:sz w:val="24"/>
          <w:szCs w:val="24"/>
          <w:lang w:val="en-US"/>
        </w:rPr>
        <w:t>Kirkulak and Balsari</w:t>
      </w:r>
      <w:r w:rsidR="00B232FE" w:rsidRPr="00F4226B">
        <w:rPr>
          <w:rFonts w:ascii="Times New Roman" w:hAnsi="Times New Roman"/>
          <w:sz w:val="24"/>
          <w:szCs w:val="24"/>
          <w:lang w:val="en-US"/>
        </w:rPr>
        <w:t xml:space="preserve"> (</w:t>
      </w:r>
      <w:r w:rsidR="00BE125A" w:rsidRPr="00F4226B">
        <w:rPr>
          <w:rFonts w:ascii="Times New Roman" w:hAnsi="Times New Roman"/>
          <w:sz w:val="24"/>
          <w:szCs w:val="24"/>
          <w:lang w:val="en-US"/>
        </w:rPr>
        <w:t>2009</w:t>
      </w:r>
      <w:r w:rsidR="00B232FE" w:rsidRPr="00F4226B">
        <w:rPr>
          <w:rFonts w:ascii="Times New Roman" w:hAnsi="Times New Roman"/>
          <w:sz w:val="24"/>
          <w:szCs w:val="24"/>
          <w:lang w:val="en-US"/>
        </w:rPr>
        <w:t xml:space="preserve">) and </w:t>
      </w:r>
      <w:r w:rsidR="00B53C84" w:rsidRPr="00F4226B">
        <w:rPr>
          <w:rFonts w:ascii="Times New Roman" w:hAnsi="Times New Roman"/>
          <w:sz w:val="24"/>
          <w:szCs w:val="24"/>
          <w:lang w:val="en-US"/>
        </w:rPr>
        <w:t>Filip and Raffournier</w:t>
      </w:r>
      <w:r w:rsidR="00B232FE" w:rsidRPr="00F4226B">
        <w:rPr>
          <w:rFonts w:ascii="Times New Roman" w:hAnsi="Times New Roman"/>
          <w:sz w:val="24"/>
          <w:szCs w:val="24"/>
          <w:lang w:val="en-US"/>
        </w:rPr>
        <w:t xml:space="preserve"> (</w:t>
      </w:r>
      <w:r w:rsidR="00B53C84" w:rsidRPr="00F4226B">
        <w:rPr>
          <w:rFonts w:ascii="Times New Roman" w:hAnsi="Times New Roman"/>
          <w:sz w:val="24"/>
          <w:szCs w:val="24"/>
          <w:lang w:val="en-US"/>
        </w:rPr>
        <w:t>2010</w:t>
      </w:r>
      <w:r w:rsidR="00BE125A" w:rsidRPr="00F4226B">
        <w:rPr>
          <w:rFonts w:ascii="Times New Roman" w:hAnsi="Times New Roman"/>
          <w:sz w:val="24"/>
          <w:szCs w:val="24"/>
          <w:lang w:val="en-US"/>
        </w:rPr>
        <w:t>)</w:t>
      </w:r>
      <w:r w:rsidR="00FA5E68" w:rsidRPr="00F4226B">
        <w:rPr>
          <w:rFonts w:ascii="Times New Roman" w:hAnsi="Times New Roman"/>
          <w:sz w:val="24"/>
          <w:szCs w:val="24"/>
          <w:lang w:val="en-US"/>
        </w:rPr>
        <w:t xml:space="preserve"> </w:t>
      </w:r>
      <w:r w:rsidR="00B53C84" w:rsidRPr="00F4226B">
        <w:rPr>
          <w:rFonts w:ascii="Times New Roman" w:hAnsi="Times New Roman"/>
          <w:sz w:val="24"/>
          <w:szCs w:val="24"/>
          <w:lang w:val="en-US"/>
        </w:rPr>
        <w:t xml:space="preserve">show that HC amounts </w:t>
      </w:r>
      <w:r w:rsidR="00D91BC7" w:rsidRPr="00F4226B">
        <w:rPr>
          <w:rFonts w:ascii="Times New Roman" w:hAnsi="Times New Roman"/>
          <w:sz w:val="24"/>
          <w:szCs w:val="24"/>
          <w:lang w:val="en-US"/>
        </w:rPr>
        <w:t xml:space="preserve">are more </w:t>
      </w:r>
      <w:r w:rsidR="002F00B8" w:rsidRPr="00F4226B">
        <w:rPr>
          <w:rFonts w:ascii="Times New Roman" w:hAnsi="Times New Roman"/>
          <w:sz w:val="24"/>
          <w:szCs w:val="24"/>
          <w:lang w:val="en-US"/>
        </w:rPr>
        <w:t>value relevan</w:t>
      </w:r>
      <w:r w:rsidR="00E664E7" w:rsidRPr="00F4226B">
        <w:rPr>
          <w:rFonts w:ascii="Times New Roman" w:hAnsi="Times New Roman"/>
          <w:sz w:val="24"/>
          <w:szCs w:val="24"/>
          <w:lang w:val="en-US"/>
        </w:rPr>
        <w:t>t</w:t>
      </w:r>
      <w:r w:rsidR="002F00B8" w:rsidRPr="00F4226B">
        <w:rPr>
          <w:rFonts w:ascii="Times New Roman" w:hAnsi="Times New Roman"/>
          <w:sz w:val="24"/>
          <w:szCs w:val="24"/>
          <w:lang w:val="en-US"/>
        </w:rPr>
        <w:t xml:space="preserve"> </w:t>
      </w:r>
      <w:r w:rsidR="00D10163" w:rsidRPr="00F4226B">
        <w:rPr>
          <w:rFonts w:ascii="Times New Roman" w:hAnsi="Times New Roman"/>
          <w:sz w:val="24"/>
          <w:szCs w:val="24"/>
          <w:lang w:val="en-US"/>
        </w:rPr>
        <w:t>and conclud</w:t>
      </w:r>
      <w:r w:rsidR="00D91BC7" w:rsidRPr="00F4226B">
        <w:rPr>
          <w:rFonts w:ascii="Times New Roman" w:hAnsi="Times New Roman"/>
          <w:sz w:val="24"/>
          <w:szCs w:val="24"/>
          <w:lang w:val="en-US"/>
        </w:rPr>
        <w:t>e</w:t>
      </w:r>
      <w:r w:rsidR="00D10163" w:rsidRPr="00F4226B">
        <w:rPr>
          <w:rFonts w:ascii="Times New Roman" w:hAnsi="Times New Roman"/>
          <w:sz w:val="24"/>
          <w:szCs w:val="24"/>
          <w:lang w:val="en-US"/>
        </w:rPr>
        <w:t xml:space="preserve"> that IA amounts should be reported as </w:t>
      </w:r>
      <w:r w:rsidR="003636D9">
        <w:rPr>
          <w:rFonts w:ascii="Times New Roman" w:hAnsi="Times New Roman"/>
          <w:sz w:val="24"/>
          <w:szCs w:val="24"/>
          <w:lang w:val="en-US"/>
        </w:rPr>
        <w:t xml:space="preserve">a </w:t>
      </w:r>
      <w:r w:rsidR="00D10163" w:rsidRPr="00F4226B">
        <w:rPr>
          <w:rFonts w:ascii="Times New Roman" w:hAnsi="Times New Roman"/>
          <w:sz w:val="24"/>
          <w:szCs w:val="24"/>
          <w:lang w:val="en-US"/>
        </w:rPr>
        <w:t xml:space="preserve">supplementary </w:t>
      </w:r>
      <w:r w:rsidR="00D10163" w:rsidRPr="00F4226B">
        <w:rPr>
          <w:rFonts w:ascii="Times New Roman" w:hAnsi="Times New Roman"/>
          <w:sz w:val="24"/>
          <w:szCs w:val="24"/>
          <w:lang w:val="en-US"/>
        </w:rPr>
        <w:lastRenderedPageBreak/>
        <w:t>to, instead of supplanting</w:t>
      </w:r>
      <w:r w:rsidR="003636D9">
        <w:rPr>
          <w:rFonts w:ascii="Times New Roman" w:hAnsi="Times New Roman"/>
          <w:sz w:val="24"/>
          <w:szCs w:val="24"/>
          <w:lang w:val="en-US"/>
        </w:rPr>
        <w:t>,</w:t>
      </w:r>
      <w:r w:rsidR="00D10163" w:rsidRPr="00F4226B">
        <w:rPr>
          <w:rFonts w:ascii="Times New Roman" w:hAnsi="Times New Roman"/>
          <w:sz w:val="24"/>
          <w:szCs w:val="24"/>
          <w:lang w:val="en-US"/>
        </w:rPr>
        <w:t xml:space="preserve"> HC </w:t>
      </w:r>
      <w:r w:rsidR="00D91BC7" w:rsidRPr="00F4226B">
        <w:rPr>
          <w:rFonts w:ascii="Times New Roman" w:hAnsi="Times New Roman"/>
          <w:sz w:val="24"/>
          <w:szCs w:val="24"/>
          <w:lang w:val="en-US"/>
        </w:rPr>
        <w:t>amounts</w:t>
      </w:r>
      <w:r w:rsidR="001B3A42" w:rsidRPr="00F4226B">
        <w:rPr>
          <w:rFonts w:ascii="Times New Roman" w:hAnsi="Times New Roman"/>
          <w:sz w:val="24"/>
          <w:szCs w:val="24"/>
          <w:lang w:val="en-US"/>
        </w:rPr>
        <w:t>.</w:t>
      </w:r>
      <w:r w:rsidR="009062D7" w:rsidRPr="00F4226B">
        <w:rPr>
          <w:rFonts w:ascii="Times New Roman" w:hAnsi="Times New Roman"/>
          <w:sz w:val="24"/>
          <w:szCs w:val="24"/>
          <w:lang w:val="en-US"/>
        </w:rPr>
        <w:t xml:space="preserve"> </w:t>
      </w:r>
      <w:r w:rsidR="00310CD6" w:rsidRPr="00F4226B">
        <w:rPr>
          <w:rFonts w:ascii="Times New Roman" w:hAnsi="Times New Roman"/>
          <w:sz w:val="24"/>
          <w:szCs w:val="24"/>
          <w:lang w:val="en-US"/>
        </w:rPr>
        <w:t xml:space="preserve">As </w:t>
      </w:r>
      <w:r w:rsidR="00B232FE" w:rsidRPr="00F4226B">
        <w:rPr>
          <w:rFonts w:ascii="Times New Roman" w:hAnsi="Times New Roman"/>
          <w:sz w:val="24"/>
          <w:szCs w:val="24"/>
          <w:lang w:val="en-US"/>
        </w:rPr>
        <w:t xml:space="preserve">we </w:t>
      </w:r>
      <w:r w:rsidR="003636D9">
        <w:rPr>
          <w:rFonts w:ascii="Times New Roman" w:hAnsi="Times New Roman"/>
          <w:sz w:val="24"/>
          <w:szCs w:val="24"/>
          <w:lang w:val="en-US"/>
        </w:rPr>
        <w:t xml:space="preserve">noted </w:t>
      </w:r>
      <w:r w:rsidR="00310CD6" w:rsidRPr="00F4226B">
        <w:rPr>
          <w:rFonts w:ascii="Times New Roman" w:hAnsi="Times New Roman"/>
          <w:sz w:val="24"/>
          <w:szCs w:val="24"/>
          <w:lang w:val="en-US"/>
        </w:rPr>
        <w:t>earlier, t</w:t>
      </w:r>
      <w:r w:rsidR="009062D7" w:rsidRPr="00F4226B">
        <w:rPr>
          <w:rFonts w:ascii="Times New Roman" w:hAnsi="Times New Roman"/>
          <w:sz w:val="24"/>
          <w:szCs w:val="24"/>
          <w:lang w:val="en-US"/>
        </w:rPr>
        <w:t xml:space="preserve">hese conflicting results </w:t>
      </w:r>
      <w:r w:rsidR="0022295B" w:rsidRPr="00F4226B">
        <w:rPr>
          <w:rFonts w:ascii="Times New Roman" w:hAnsi="Times New Roman"/>
          <w:sz w:val="24"/>
          <w:szCs w:val="24"/>
          <w:lang w:val="en-US"/>
        </w:rPr>
        <w:t xml:space="preserve">might </w:t>
      </w:r>
      <w:r w:rsidR="009062D7" w:rsidRPr="00F4226B">
        <w:rPr>
          <w:rFonts w:ascii="Times New Roman" w:hAnsi="Times New Roman"/>
          <w:sz w:val="24"/>
          <w:szCs w:val="24"/>
          <w:lang w:val="en-US"/>
        </w:rPr>
        <w:t xml:space="preserve">stem from </w:t>
      </w:r>
      <w:r w:rsidR="00310CD6" w:rsidRPr="00F4226B">
        <w:rPr>
          <w:rFonts w:ascii="Times New Roman" w:hAnsi="Times New Roman"/>
          <w:sz w:val="24"/>
          <w:szCs w:val="24"/>
          <w:lang w:val="en-US"/>
        </w:rPr>
        <w:t xml:space="preserve">measurement errors, </w:t>
      </w:r>
      <w:r w:rsidR="00F345FC" w:rsidRPr="00F4226B">
        <w:rPr>
          <w:rFonts w:ascii="Times New Roman" w:hAnsi="Times New Roman"/>
          <w:sz w:val="24"/>
          <w:szCs w:val="24"/>
          <w:lang w:val="en-US"/>
        </w:rPr>
        <w:t xml:space="preserve">data </w:t>
      </w:r>
      <w:r w:rsidR="00310CD6" w:rsidRPr="00F4226B">
        <w:rPr>
          <w:rFonts w:ascii="Times New Roman" w:hAnsi="Times New Roman"/>
          <w:sz w:val="24"/>
          <w:szCs w:val="24"/>
          <w:lang w:val="en-US"/>
        </w:rPr>
        <w:t>availability</w:t>
      </w:r>
      <w:r w:rsidR="00D83200">
        <w:rPr>
          <w:rFonts w:ascii="Times New Roman" w:hAnsi="Times New Roman"/>
          <w:sz w:val="24"/>
          <w:szCs w:val="24"/>
          <w:lang w:val="en-US"/>
        </w:rPr>
        <w:t>,</w:t>
      </w:r>
      <w:r w:rsidR="00310CD6" w:rsidRPr="00F4226B">
        <w:rPr>
          <w:rFonts w:ascii="Times New Roman" w:hAnsi="Times New Roman"/>
          <w:sz w:val="24"/>
          <w:szCs w:val="24"/>
          <w:lang w:val="en-US"/>
        </w:rPr>
        <w:t xml:space="preserve"> </w:t>
      </w:r>
      <w:r w:rsidR="00F345FC" w:rsidRPr="00F4226B">
        <w:rPr>
          <w:rFonts w:ascii="Times New Roman" w:hAnsi="Times New Roman"/>
          <w:sz w:val="24"/>
          <w:szCs w:val="24"/>
          <w:lang w:val="en-US"/>
        </w:rPr>
        <w:t xml:space="preserve">and the use of </w:t>
      </w:r>
      <w:r w:rsidR="001E5A7B" w:rsidRPr="00F4226B">
        <w:rPr>
          <w:rFonts w:ascii="Times New Roman" w:hAnsi="Times New Roman"/>
          <w:sz w:val="24"/>
          <w:szCs w:val="24"/>
          <w:lang w:val="en-US"/>
        </w:rPr>
        <w:t>single-period datasets</w:t>
      </w:r>
      <w:r w:rsidR="009908BC" w:rsidRPr="00F4226B">
        <w:rPr>
          <w:rFonts w:ascii="Times New Roman" w:hAnsi="Times New Roman"/>
          <w:sz w:val="24"/>
          <w:szCs w:val="24"/>
          <w:lang w:val="en-US"/>
        </w:rPr>
        <w:t>.</w:t>
      </w:r>
      <w:r w:rsidR="00C0239C" w:rsidRPr="00F4226B">
        <w:rPr>
          <w:rFonts w:ascii="Times New Roman" w:hAnsi="Times New Roman"/>
          <w:sz w:val="24"/>
          <w:szCs w:val="24"/>
          <w:lang w:val="en-US"/>
        </w:rPr>
        <w:t xml:space="preserve"> </w:t>
      </w:r>
      <w:r w:rsidR="003D1374" w:rsidRPr="00F4226B">
        <w:rPr>
          <w:rFonts w:ascii="Times New Roman" w:hAnsi="Times New Roman"/>
          <w:sz w:val="24"/>
          <w:szCs w:val="24"/>
          <w:lang w:val="en-US"/>
        </w:rPr>
        <w:t xml:space="preserve">Our dataset </w:t>
      </w:r>
      <w:r w:rsidR="00F345FC" w:rsidRPr="00F4226B">
        <w:rPr>
          <w:rFonts w:ascii="Times New Roman" w:hAnsi="Times New Roman"/>
          <w:sz w:val="24"/>
          <w:szCs w:val="24"/>
          <w:lang w:val="en-US"/>
        </w:rPr>
        <w:t xml:space="preserve">does not </w:t>
      </w:r>
      <w:r w:rsidR="00A916C1" w:rsidRPr="00F4226B">
        <w:rPr>
          <w:rFonts w:ascii="Times New Roman" w:hAnsi="Times New Roman"/>
          <w:sz w:val="24"/>
          <w:szCs w:val="24"/>
          <w:lang w:val="en-US"/>
        </w:rPr>
        <w:t>have</w:t>
      </w:r>
      <w:r w:rsidR="00F345FC" w:rsidRPr="00F4226B">
        <w:rPr>
          <w:rFonts w:ascii="Times New Roman" w:hAnsi="Times New Roman"/>
          <w:sz w:val="24"/>
          <w:szCs w:val="24"/>
          <w:lang w:val="en-US"/>
        </w:rPr>
        <w:t xml:space="preserve"> these problems</w:t>
      </w:r>
      <w:r w:rsidR="009104AC" w:rsidRPr="00F4226B">
        <w:rPr>
          <w:rFonts w:ascii="Times New Roman" w:hAnsi="Times New Roman"/>
          <w:sz w:val="24"/>
          <w:szCs w:val="24"/>
          <w:lang w:val="en-US"/>
        </w:rPr>
        <w:t xml:space="preserve">. </w:t>
      </w:r>
      <w:r w:rsidR="00A916C1" w:rsidRPr="00F4226B">
        <w:rPr>
          <w:rFonts w:ascii="Times New Roman" w:hAnsi="Times New Roman"/>
          <w:sz w:val="24"/>
          <w:szCs w:val="24"/>
          <w:lang w:val="en-US"/>
        </w:rPr>
        <w:t>Further</w:t>
      </w:r>
      <w:r w:rsidR="006D77CF" w:rsidRPr="00F4226B">
        <w:rPr>
          <w:rFonts w:ascii="Times New Roman" w:hAnsi="Times New Roman"/>
          <w:sz w:val="24"/>
          <w:szCs w:val="24"/>
          <w:lang w:val="en-US"/>
        </w:rPr>
        <w:t xml:space="preserve">, an important omission in </w:t>
      </w:r>
      <w:r w:rsidR="00A916C1" w:rsidRPr="00F4226B">
        <w:rPr>
          <w:rFonts w:ascii="Times New Roman" w:hAnsi="Times New Roman"/>
          <w:sz w:val="24"/>
          <w:szCs w:val="24"/>
          <w:lang w:val="en-US"/>
        </w:rPr>
        <w:t xml:space="preserve">these </w:t>
      </w:r>
      <w:r w:rsidR="00CB1C42" w:rsidRPr="00F4226B">
        <w:rPr>
          <w:rFonts w:ascii="Times New Roman" w:hAnsi="Times New Roman"/>
          <w:sz w:val="24"/>
          <w:szCs w:val="24"/>
          <w:lang w:val="en-US"/>
        </w:rPr>
        <w:t xml:space="preserve">studies </w:t>
      </w:r>
      <w:r w:rsidR="006D77CF" w:rsidRPr="00F4226B">
        <w:rPr>
          <w:rFonts w:ascii="Times New Roman" w:hAnsi="Times New Roman"/>
          <w:sz w:val="24"/>
          <w:szCs w:val="24"/>
          <w:lang w:val="en-US"/>
        </w:rPr>
        <w:t xml:space="preserve">is that they </w:t>
      </w:r>
      <w:r w:rsidR="00CB1C42" w:rsidRPr="00F4226B">
        <w:rPr>
          <w:rFonts w:ascii="Times New Roman" w:hAnsi="Times New Roman"/>
          <w:sz w:val="24"/>
          <w:szCs w:val="24"/>
          <w:lang w:val="en-US"/>
        </w:rPr>
        <w:t xml:space="preserve">do not </w:t>
      </w:r>
      <w:r w:rsidR="00F4226B">
        <w:rPr>
          <w:rFonts w:ascii="Times New Roman" w:hAnsi="Times New Roman"/>
          <w:sz w:val="24"/>
          <w:szCs w:val="24"/>
          <w:lang w:val="en-US"/>
        </w:rPr>
        <w:t xml:space="preserve">analyze </w:t>
      </w:r>
      <w:r w:rsidR="00CB1C42" w:rsidRPr="00F4226B">
        <w:rPr>
          <w:rFonts w:ascii="Times New Roman" w:hAnsi="Times New Roman"/>
          <w:sz w:val="24"/>
          <w:szCs w:val="24"/>
          <w:lang w:val="en-US"/>
        </w:rPr>
        <w:t xml:space="preserve">why either HC or IA </w:t>
      </w:r>
      <w:r w:rsidR="00BA30B4" w:rsidRPr="00F4226B">
        <w:rPr>
          <w:rFonts w:ascii="Times New Roman" w:hAnsi="Times New Roman"/>
          <w:sz w:val="24"/>
          <w:szCs w:val="24"/>
          <w:lang w:val="en-US"/>
        </w:rPr>
        <w:t>amounts are</w:t>
      </w:r>
      <w:r w:rsidR="00CB1C42" w:rsidRPr="00F4226B">
        <w:rPr>
          <w:rFonts w:ascii="Times New Roman" w:hAnsi="Times New Roman"/>
          <w:sz w:val="24"/>
          <w:szCs w:val="24"/>
          <w:lang w:val="en-US"/>
        </w:rPr>
        <w:t xml:space="preserve"> more value relevant</w:t>
      </w:r>
      <w:r w:rsidR="006D77CF" w:rsidRPr="00F4226B">
        <w:rPr>
          <w:rFonts w:ascii="Times New Roman" w:hAnsi="Times New Roman"/>
          <w:sz w:val="24"/>
          <w:szCs w:val="24"/>
          <w:lang w:val="en-US"/>
        </w:rPr>
        <w:t xml:space="preserve">. We </w:t>
      </w:r>
      <w:r w:rsidR="00CB1C42" w:rsidRPr="00F4226B">
        <w:rPr>
          <w:rFonts w:ascii="Times New Roman" w:hAnsi="Times New Roman"/>
          <w:sz w:val="24"/>
          <w:szCs w:val="24"/>
          <w:lang w:val="en-US"/>
        </w:rPr>
        <w:t xml:space="preserve">address </w:t>
      </w:r>
      <w:r w:rsidR="006D77CF" w:rsidRPr="00F4226B">
        <w:rPr>
          <w:rFonts w:ascii="Times New Roman" w:hAnsi="Times New Roman"/>
          <w:sz w:val="24"/>
          <w:szCs w:val="24"/>
          <w:lang w:val="en-US"/>
        </w:rPr>
        <w:t>this gap</w:t>
      </w:r>
      <w:r w:rsidR="00CB1C42" w:rsidRPr="00F4226B">
        <w:rPr>
          <w:rFonts w:ascii="Times New Roman" w:hAnsi="Times New Roman"/>
          <w:sz w:val="24"/>
          <w:szCs w:val="24"/>
          <w:lang w:val="en-US"/>
        </w:rPr>
        <w:t xml:space="preserve">. </w:t>
      </w:r>
      <w:r w:rsidR="00AC0E4F" w:rsidRPr="00F4226B">
        <w:rPr>
          <w:rFonts w:ascii="Times New Roman" w:hAnsi="Times New Roman"/>
          <w:sz w:val="24"/>
          <w:szCs w:val="24"/>
          <w:lang w:val="en-US"/>
        </w:rPr>
        <w:t xml:space="preserve"> </w:t>
      </w:r>
      <w:r w:rsidR="00BA5EA7" w:rsidRPr="00F4226B">
        <w:rPr>
          <w:rFonts w:ascii="Times New Roman" w:hAnsi="Times New Roman"/>
          <w:sz w:val="24"/>
          <w:szCs w:val="24"/>
          <w:lang w:val="en-US"/>
        </w:rPr>
        <w:t xml:space="preserve"> </w:t>
      </w:r>
    </w:p>
    <w:p w14:paraId="421F50C0" w14:textId="6093C142" w:rsidR="007C58BB" w:rsidRPr="00F4226B" w:rsidRDefault="004D17F1" w:rsidP="003B13CE">
      <w:pPr>
        <w:pStyle w:val="FootnoteText"/>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The second stream of </w:t>
      </w:r>
      <w:r w:rsidR="00E23259" w:rsidRPr="00F4226B">
        <w:rPr>
          <w:rFonts w:ascii="Times New Roman" w:hAnsi="Times New Roman"/>
          <w:sz w:val="24"/>
          <w:szCs w:val="24"/>
          <w:lang w:val="en-US"/>
        </w:rPr>
        <w:t>s</w:t>
      </w:r>
      <w:r w:rsidR="000236E1" w:rsidRPr="00F4226B">
        <w:rPr>
          <w:rFonts w:ascii="Times New Roman" w:hAnsi="Times New Roman"/>
          <w:sz w:val="24"/>
          <w:szCs w:val="24"/>
          <w:lang w:val="en-US"/>
        </w:rPr>
        <w:t xml:space="preserve">tudies </w:t>
      </w:r>
      <w:r w:rsidR="004E4E99" w:rsidRPr="00F4226B">
        <w:rPr>
          <w:rFonts w:ascii="Times New Roman" w:hAnsi="Times New Roman"/>
          <w:sz w:val="24"/>
          <w:szCs w:val="24"/>
          <w:lang w:val="en-US"/>
        </w:rPr>
        <w:t>examin</w:t>
      </w:r>
      <w:r w:rsidR="000D6C55" w:rsidRPr="00F4226B">
        <w:rPr>
          <w:rFonts w:ascii="Times New Roman" w:hAnsi="Times New Roman"/>
          <w:sz w:val="24"/>
          <w:szCs w:val="24"/>
          <w:lang w:val="en-US"/>
        </w:rPr>
        <w:t>e</w:t>
      </w:r>
      <w:r w:rsidR="003636D9">
        <w:rPr>
          <w:rFonts w:ascii="Times New Roman" w:hAnsi="Times New Roman"/>
          <w:sz w:val="24"/>
          <w:szCs w:val="24"/>
          <w:lang w:val="en-US"/>
        </w:rPr>
        <w:t>s the</w:t>
      </w:r>
      <w:r w:rsidR="000D6C55" w:rsidRPr="00F4226B">
        <w:rPr>
          <w:rFonts w:ascii="Times New Roman" w:hAnsi="Times New Roman"/>
          <w:sz w:val="24"/>
          <w:szCs w:val="24"/>
          <w:lang w:val="en-US"/>
        </w:rPr>
        <w:t xml:space="preserve"> </w:t>
      </w:r>
      <w:r w:rsidR="000236E1" w:rsidRPr="00F4226B">
        <w:rPr>
          <w:rFonts w:ascii="Times New Roman" w:hAnsi="Times New Roman"/>
          <w:sz w:val="24"/>
          <w:szCs w:val="24"/>
          <w:lang w:val="en-US"/>
        </w:rPr>
        <w:t xml:space="preserve">value relevance of </w:t>
      </w:r>
      <w:r w:rsidR="00665127" w:rsidRPr="00F4226B">
        <w:rPr>
          <w:rFonts w:ascii="Times New Roman" w:hAnsi="Times New Roman"/>
          <w:sz w:val="24"/>
          <w:szCs w:val="24"/>
          <w:lang w:val="en-US"/>
        </w:rPr>
        <w:t xml:space="preserve">HC </w:t>
      </w:r>
      <w:r w:rsidR="004E4E99" w:rsidRPr="00F4226B">
        <w:rPr>
          <w:rFonts w:ascii="Times New Roman" w:hAnsi="Times New Roman"/>
          <w:sz w:val="24"/>
          <w:szCs w:val="24"/>
          <w:lang w:val="en-US"/>
        </w:rPr>
        <w:t>earnings and book values</w:t>
      </w:r>
      <w:r w:rsidR="002027A6" w:rsidRPr="00F4226B">
        <w:rPr>
          <w:rFonts w:ascii="Times New Roman" w:hAnsi="Times New Roman"/>
          <w:sz w:val="24"/>
          <w:szCs w:val="24"/>
          <w:lang w:val="en-US"/>
        </w:rPr>
        <w:t xml:space="preserve">. </w:t>
      </w:r>
      <w:r w:rsidR="00D71154" w:rsidRPr="00F4226B">
        <w:rPr>
          <w:rFonts w:ascii="Times New Roman" w:hAnsi="Times New Roman"/>
          <w:sz w:val="24"/>
          <w:szCs w:val="24"/>
          <w:lang w:val="en-US"/>
        </w:rPr>
        <w:t xml:space="preserve">In particular, our work relates to </w:t>
      </w:r>
      <w:r w:rsidR="006D77CF" w:rsidRPr="00F4226B">
        <w:rPr>
          <w:rFonts w:ascii="Times New Roman" w:hAnsi="Times New Roman"/>
          <w:sz w:val="24"/>
          <w:szCs w:val="24"/>
          <w:lang w:val="en-US"/>
        </w:rPr>
        <w:t>a</w:t>
      </w:r>
      <w:r w:rsidR="00CB1C42" w:rsidRPr="00F4226B">
        <w:rPr>
          <w:rFonts w:ascii="Times New Roman" w:hAnsi="Times New Roman"/>
          <w:sz w:val="24"/>
          <w:szCs w:val="24"/>
          <w:lang w:val="en-US"/>
        </w:rPr>
        <w:t xml:space="preserve"> stream of </w:t>
      </w:r>
      <w:r w:rsidR="004E3869" w:rsidRPr="00F4226B">
        <w:rPr>
          <w:rFonts w:ascii="Times New Roman" w:hAnsi="Times New Roman"/>
          <w:sz w:val="24"/>
          <w:szCs w:val="24"/>
          <w:lang w:val="en-US"/>
        </w:rPr>
        <w:t xml:space="preserve">studies </w:t>
      </w:r>
      <w:r w:rsidR="00665127" w:rsidRPr="00F4226B">
        <w:rPr>
          <w:rFonts w:ascii="Times New Roman" w:hAnsi="Times New Roman"/>
          <w:sz w:val="24"/>
          <w:szCs w:val="24"/>
          <w:lang w:val="en-US"/>
        </w:rPr>
        <w:t xml:space="preserve">that </w:t>
      </w:r>
      <w:r w:rsidR="004E3869" w:rsidRPr="00F4226B">
        <w:rPr>
          <w:rFonts w:ascii="Times New Roman" w:hAnsi="Times New Roman"/>
          <w:sz w:val="24"/>
          <w:szCs w:val="24"/>
          <w:lang w:val="en-US"/>
        </w:rPr>
        <w:t>test</w:t>
      </w:r>
      <w:r w:rsidR="00CB1C42" w:rsidRPr="00F4226B">
        <w:rPr>
          <w:rFonts w:ascii="Times New Roman" w:hAnsi="Times New Roman"/>
          <w:sz w:val="24"/>
          <w:szCs w:val="24"/>
          <w:lang w:val="en-US"/>
        </w:rPr>
        <w:t>s</w:t>
      </w:r>
      <w:r w:rsidR="004E3869" w:rsidRPr="00F4226B">
        <w:rPr>
          <w:rFonts w:ascii="Times New Roman" w:hAnsi="Times New Roman"/>
          <w:sz w:val="24"/>
          <w:szCs w:val="24"/>
          <w:lang w:val="en-US"/>
        </w:rPr>
        <w:t xml:space="preserve"> whether </w:t>
      </w:r>
      <w:r w:rsidR="003636D9">
        <w:rPr>
          <w:rFonts w:ascii="Times New Roman" w:hAnsi="Times New Roman"/>
          <w:sz w:val="24"/>
          <w:szCs w:val="24"/>
          <w:lang w:val="en-US"/>
        </w:rPr>
        <w:t xml:space="preserve">the </w:t>
      </w:r>
      <w:r w:rsidR="004E3869" w:rsidRPr="00F4226B">
        <w:rPr>
          <w:rFonts w:ascii="Times New Roman" w:hAnsi="Times New Roman"/>
          <w:sz w:val="24"/>
          <w:szCs w:val="24"/>
          <w:lang w:val="en-US"/>
        </w:rPr>
        <w:t>value relevance</w:t>
      </w:r>
      <w:r w:rsidR="00BC4036" w:rsidRPr="00F4226B">
        <w:rPr>
          <w:rFonts w:ascii="Times New Roman" w:hAnsi="Times New Roman"/>
          <w:sz w:val="24"/>
          <w:szCs w:val="24"/>
          <w:lang w:val="en-US"/>
        </w:rPr>
        <w:t xml:space="preserve"> </w:t>
      </w:r>
      <w:r w:rsidR="004E3869" w:rsidRPr="00F4226B">
        <w:rPr>
          <w:rFonts w:ascii="Times New Roman" w:hAnsi="Times New Roman"/>
          <w:sz w:val="24"/>
          <w:szCs w:val="24"/>
          <w:lang w:val="en-US"/>
        </w:rPr>
        <w:t xml:space="preserve">of earnings and book values has </w:t>
      </w:r>
      <w:r w:rsidR="00A900F0" w:rsidRPr="00F4226B">
        <w:rPr>
          <w:rFonts w:ascii="Times New Roman" w:hAnsi="Times New Roman"/>
          <w:sz w:val="24"/>
          <w:szCs w:val="24"/>
          <w:lang w:val="en-US"/>
        </w:rPr>
        <w:t xml:space="preserve">increased or </w:t>
      </w:r>
      <w:r w:rsidR="004E3869" w:rsidRPr="00F4226B">
        <w:rPr>
          <w:rFonts w:ascii="Times New Roman" w:hAnsi="Times New Roman"/>
          <w:sz w:val="24"/>
          <w:szCs w:val="24"/>
          <w:lang w:val="en-US"/>
        </w:rPr>
        <w:t xml:space="preserve">decreased over time </w:t>
      </w:r>
      <w:r w:rsidR="00BC4036" w:rsidRPr="00F4226B">
        <w:rPr>
          <w:rFonts w:ascii="Times New Roman" w:hAnsi="Times New Roman"/>
          <w:sz w:val="24"/>
          <w:szCs w:val="24"/>
          <w:lang w:val="en-US"/>
        </w:rPr>
        <w:t>(</w:t>
      </w:r>
      <w:r w:rsidR="00E969B8" w:rsidRPr="00F4226B">
        <w:rPr>
          <w:rFonts w:ascii="Times New Roman" w:hAnsi="Times New Roman"/>
          <w:sz w:val="24"/>
          <w:szCs w:val="24"/>
          <w:lang w:val="en-US"/>
        </w:rPr>
        <w:t>e.g., Collins et al. 1997; Francis and Schipper 1999</w:t>
      </w:r>
      <w:r w:rsidR="00BC4036" w:rsidRPr="00F4226B">
        <w:rPr>
          <w:rFonts w:ascii="Times New Roman" w:hAnsi="Times New Roman"/>
          <w:sz w:val="24"/>
          <w:szCs w:val="24"/>
          <w:lang w:val="en-US"/>
        </w:rPr>
        <w:t>)</w:t>
      </w:r>
      <w:r w:rsidR="00E969B8" w:rsidRPr="00F4226B">
        <w:rPr>
          <w:rFonts w:ascii="Times New Roman" w:hAnsi="Times New Roman"/>
          <w:sz w:val="24"/>
          <w:szCs w:val="24"/>
          <w:lang w:val="en-US"/>
        </w:rPr>
        <w:t>.</w:t>
      </w:r>
      <w:r w:rsidR="004E3869" w:rsidRPr="00F4226B">
        <w:rPr>
          <w:rFonts w:ascii="Times New Roman" w:hAnsi="Times New Roman"/>
          <w:sz w:val="24"/>
          <w:szCs w:val="24"/>
          <w:lang w:val="en-US"/>
        </w:rPr>
        <w:t xml:space="preserve"> </w:t>
      </w:r>
      <w:r w:rsidR="002A7300" w:rsidRPr="00F4226B">
        <w:rPr>
          <w:rFonts w:ascii="Times New Roman" w:hAnsi="Times New Roman"/>
          <w:sz w:val="24"/>
          <w:szCs w:val="24"/>
          <w:lang w:val="en-US"/>
        </w:rPr>
        <w:t xml:space="preserve">These studies show that the value relevance of earnings has declined while </w:t>
      </w:r>
      <w:r w:rsidR="006D77CF" w:rsidRPr="00F4226B">
        <w:rPr>
          <w:rFonts w:ascii="Times New Roman" w:hAnsi="Times New Roman"/>
          <w:sz w:val="24"/>
          <w:szCs w:val="24"/>
          <w:lang w:val="en-US"/>
        </w:rPr>
        <w:t xml:space="preserve">that </w:t>
      </w:r>
      <w:r w:rsidR="002A7300" w:rsidRPr="00F4226B">
        <w:rPr>
          <w:rFonts w:ascii="Times New Roman" w:hAnsi="Times New Roman"/>
          <w:sz w:val="24"/>
          <w:szCs w:val="24"/>
          <w:lang w:val="en-US"/>
        </w:rPr>
        <w:t xml:space="preserve">of book values has increased. </w:t>
      </w:r>
      <w:r w:rsidR="00BE3DD2" w:rsidRPr="00F4226B">
        <w:rPr>
          <w:rFonts w:ascii="Times New Roman" w:hAnsi="Times New Roman"/>
          <w:sz w:val="24"/>
          <w:szCs w:val="24"/>
          <w:lang w:val="en-US"/>
        </w:rPr>
        <w:t>O</w:t>
      </w:r>
      <w:r w:rsidR="004E3869" w:rsidRPr="00F4226B">
        <w:rPr>
          <w:rFonts w:ascii="Times New Roman" w:hAnsi="Times New Roman"/>
          <w:sz w:val="24"/>
          <w:szCs w:val="24"/>
          <w:lang w:val="en-US"/>
        </w:rPr>
        <w:t xml:space="preserve">ther </w:t>
      </w:r>
      <w:r w:rsidR="00CB1C42" w:rsidRPr="00F4226B">
        <w:rPr>
          <w:rFonts w:ascii="Times New Roman" w:hAnsi="Times New Roman"/>
          <w:sz w:val="24"/>
          <w:szCs w:val="24"/>
          <w:lang w:val="en-US"/>
        </w:rPr>
        <w:t xml:space="preserve">related </w:t>
      </w:r>
      <w:r w:rsidR="004E3869" w:rsidRPr="00F4226B">
        <w:rPr>
          <w:rFonts w:ascii="Times New Roman" w:hAnsi="Times New Roman"/>
          <w:sz w:val="24"/>
          <w:szCs w:val="24"/>
          <w:lang w:val="en-US"/>
        </w:rPr>
        <w:t xml:space="preserve">studies </w:t>
      </w:r>
      <w:r w:rsidR="00861CEF" w:rsidRPr="00F4226B">
        <w:rPr>
          <w:rFonts w:ascii="Times New Roman" w:hAnsi="Times New Roman"/>
          <w:sz w:val="24"/>
          <w:szCs w:val="24"/>
          <w:lang w:val="en-US"/>
        </w:rPr>
        <w:t xml:space="preserve">examine the relative or incremental value </w:t>
      </w:r>
      <w:r w:rsidR="00A900F0" w:rsidRPr="00F4226B">
        <w:rPr>
          <w:rFonts w:ascii="Times New Roman" w:hAnsi="Times New Roman"/>
          <w:sz w:val="24"/>
          <w:szCs w:val="24"/>
          <w:lang w:val="en-US"/>
        </w:rPr>
        <w:t xml:space="preserve">relevance </w:t>
      </w:r>
      <w:r w:rsidR="00C04F62" w:rsidRPr="00F4226B">
        <w:rPr>
          <w:rFonts w:ascii="Times New Roman" w:hAnsi="Times New Roman"/>
          <w:sz w:val="24"/>
          <w:szCs w:val="24"/>
          <w:lang w:val="en-US"/>
        </w:rPr>
        <w:t xml:space="preserve">of </w:t>
      </w:r>
      <w:r w:rsidR="00861CEF" w:rsidRPr="00F4226B">
        <w:rPr>
          <w:rFonts w:ascii="Times New Roman" w:hAnsi="Times New Roman"/>
          <w:sz w:val="24"/>
          <w:szCs w:val="24"/>
          <w:lang w:val="en-US"/>
        </w:rPr>
        <w:t xml:space="preserve">earnings </w:t>
      </w:r>
      <w:r w:rsidR="00D074B7">
        <w:rPr>
          <w:rFonts w:ascii="Times New Roman" w:hAnsi="Times New Roman"/>
          <w:sz w:val="24"/>
          <w:szCs w:val="24"/>
          <w:lang w:val="en-US"/>
        </w:rPr>
        <w:t xml:space="preserve">and earnings disaggregated </w:t>
      </w:r>
      <w:r w:rsidR="00D074B7" w:rsidRPr="00F4226B">
        <w:rPr>
          <w:rFonts w:ascii="Times New Roman" w:hAnsi="Times New Roman"/>
          <w:sz w:val="24"/>
          <w:szCs w:val="24"/>
          <w:lang w:val="en-US"/>
        </w:rPr>
        <w:t xml:space="preserve">into </w:t>
      </w:r>
      <w:r w:rsidR="00D074B7">
        <w:rPr>
          <w:rFonts w:ascii="Times New Roman" w:hAnsi="Times New Roman"/>
          <w:sz w:val="24"/>
          <w:szCs w:val="24"/>
          <w:lang w:val="en-US"/>
        </w:rPr>
        <w:t>their</w:t>
      </w:r>
      <w:r w:rsidR="00D074B7" w:rsidRPr="00F4226B">
        <w:rPr>
          <w:rFonts w:ascii="Times New Roman" w:hAnsi="Times New Roman"/>
          <w:sz w:val="24"/>
          <w:szCs w:val="24"/>
          <w:lang w:val="en-US"/>
        </w:rPr>
        <w:t xml:space="preserve"> accruals and cash flow components</w:t>
      </w:r>
      <w:r w:rsidR="00D074B7">
        <w:rPr>
          <w:rFonts w:ascii="Times New Roman" w:hAnsi="Times New Roman"/>
          <w:sz w:val="24"/>
          <w:szCs w:val="24"/>
          <w:lang w:val="en-US"/>
        </w:rPr>
        <w:t xml:space="preserve">. These studies </w:t>
      </w:r>
      <w:r w:rsidR="00D074B7" w:rsidRPr="00F4226B">
        <w:rPr>
          <w:rFonts w:ascii="Times New Roman" w:hAnsi="Times New Roman"/>
          <w:sz w:val="24"/>
          <w:szCs w:val="24"/>
          <w:lang w:val="en-US"/>
        </w:rPr>
        <w:t xml:space="preserve">show that </w:t>
      </w:r>
      <w:r w:rsidR="00D074B7">
        <w:rPr>
          <w:rFonts w:ascii="Times New Roman" w:hAnsi="Times New Roman"/>
          <w:sz w:val="24"/>
          <w:szCs w:val="24"/>
          <w:lang w:val="en-US"/>
        </w:rPr>
        <w:t xml:space="preserve">models in which earnigs are </w:t>
      </w:r>
      <w:r w:rsidR="00D074B7" w:rsidRPr="00F4226B">
        <w:rPr>
          <w:rFonts w:ascii="Times New Roman" w:hAnsi="Times New Roman"/>
          <w:sz w:val="24"/>
          <w:szCs w:val="24"/>
          <w:lang w:val="en-US"/>
        </w:rPr>
        <w:t>disaggregat</w:t>
      </w:r>
      <w:r w:rsidR="00D074B7">
        <w:rPr>
          <w:rFonts w:ascii="Times New Roman" w:hAnsi="Times New Roman"/>
          <w:sz w:val="24"/>
          <w:szCs w:val="24"/>
          <w:lang w:val="en-US"/>
        </w:rPr>
        <w:t xml:space="preserve">ed into accruals and </w:t>
      </w:r>
      <w:r w:rsidR="00D074B7">
        <w:rPr>
          <w:rFonts w:ascii="Times New Roman" w:hAnsi="Times New Roman"/>
          <w:sz w:val="24"/>
          <w:szCs w:val="24"/>
          <w:lang w:val="en-US"/>
        </w:rPr>
        <w:lastRenderedPageBreak/>
        <w:t xml:space="preserve">cash flows exhibit greater value </w:t>
      </w:r>
      <w:r w:rsidR="00D074B7" w:rsidRPr="00F4226B">
        <w:rPr>
          <w:rFonts w:ascii="Times New Roman" w:hAnsi="Times New Roman"/>
          <w:sz w:val="24"/>
          <w:szCs w:val="24"/>
          <w:lang w:val="en-US"/>
        </w:rPr>
        <w:t xml:space="preserve">relevance </w:t>
      </w:r>
      <w:r w:rsidR="004E3869" w:rsidRPr="00F4226B">
        <w:rPr>
          <w:rFonts w:ascii="Times New Roman" w:hAnsi="Times New Roman"/>
          <w:sz w:val="24"/>
          <w:szCs w:val="24"/>
          <w:lang w:val="en-US"/>
        </w:rPr>
        <w:t>(</w:t>
      </w:r>
      <w:r w:rsidR="00CB1C42" w:rsidRPr="00F4226B">
        <w:rPr>
          <w:rFonts w:ascii="Times New Roman" w:hAnsi="Times New Roman"/>
          <w:sz w:val="24"/>
          <w:szCs w:val="24"/>
          <w:lang w:val="en-US"/>
        </w:rPr>
        <w:t xml:space="preserve">Finger 1994; </w:t>
      </w:r>
      <w:r w:rsidR="004E3869" w:rsidRPr="00F4226B">
        <w:rPr>
          <w:rFonts w:ascii="Times New Roman" w:hAnsi="Times New Roman"/>
          <w:sz w:val="24"/>
          <w:szCs w:val="24"/>
          <w:lang w:val="en-US"/>
        </w:rPr>
        <w:t xml:space="preserve">Sloan 1996; Barth et al. </w:t>
      </w:r>
      <w:r w:rsidR="00BC4036" w:rsidRPr="00F4226B">
        <w:rPr>
          <w:rFonts w:ascii="Times New Roman" w:hAnsi="Times New Roman"/>
          <w:sz w:val="24"/>
          <w:szCs w:val="24"/>
          <w:lang w:val="en-US"/>
        </w:rPr>
        <w:t>2</w:t>
      </w:r>
      <w:r w:rsidR="004E3869" w:rsidRPr="00F4226B">
        <w:rPr>
          <w:rFonts w:ascii="Times New Roman" w:hAnsi="Times New Roman"/>
          <w:sz w:val="24"/>
          <w:szCs w:val="24"/>
          <w:lang w:val="en-US"/>
        </w:rPr>
        <w:t>001</w:t>
      </w:r>
      <w:r w:rsidR="00812848" w:rsidRPr="00F4226B">
        <w:rPr>
          <w:rFonts w:ascii="Times New Roman" w:hAnsi="Times New Roman"/>
          <w:sz w:val="24"/>
          <w:szCs w:val="24"/>
          <w:lang w:val="en-US"/>
        </w:rPr>
        <w:t>a</w:t>
      </w:r>
      <w:r w:rsidR="004E3869" w:rsidRPr="00F4226B">
        <w:rPr>
          <w:rFonts w:ascii="Times New Roman" w:hAnsi="Times New Roman"/>
          <w:sz w:val="24"/>
          <w:szCs w:val="24"/>
          <w:lang w:val="en-US"/>
        </w:rPr>
        <w:t>; Bartov et al. 2001)</w:t>
      </w:r>
      <w:r w:rsidR="00AB399C" w:rsidRPr="00F4226B">
        <w:rPr>
          <w:rFonts w:ascii="Times New Roman" w:hAnsi="Times New Roman"/>
          <w:sz w:val="24"/>
          <w:szCs w:val="24"/>
          <w:lang w:val="en-US"/>
        </w:rPr>
        <w:t xml:space="preserve">. </w:t>
      </w:r>
      <w:r w:rsidR="00D76EF3" w:rsidRPr="00F4226B">
        <w:rPr>
          <w:rFonts w:ascii="Times New Roman" w:hAnsi="Times New Roman"/>
          <w:sz w:val="24"/>
          <w:szCs w:val="24"/>
          <w:lang w:val="en-US"/>
        </w:rPr>
        <w:t xml:space="preserve">We </w:t>
      </w:r>
      <w:r w:rsidR="00144DAF" w:rsidRPr="00F4226B">
        <w:rPr>
          <w:rFonts w:ascii="Times New Roman" w:hAnsi="Times New Roman"/>
          <w:sz w:val="24"/>
          <w:szCs w:val="24"/>
          <w:lang w:val="en-US"/>
        </w:rPr>
        <w:t xml:space="preserve">extend </w:t>
      </w:r>
      <w:r w:rsidR="002217A8" w:rsidRPr="00F4226B">
        <w:rPr>
          <w:rFonts w:ascii="Times New Roman" w:hAnsi="Times New Roman"/>
          <w:sz w:val="24"/>
          <w:szCs w:val="24"/>
          <w:lang w:val="en-US"/>
        </w:rPr>
        <w:t>th</w:t>
      </w:r>
      <w:r w:rsidR="00D701BF" w:rsidRPr="00F4226B">
        <w:rPr>
          <w:rFonts w:ascii="Times New Roman" w:hAnsi="Times New Roman"/>
          <w:sz w:val="24"/>
          <w:szCs w:val="24"/>
          <w:lang w:val="en-US"/>
        </w:rPr>
        <w:t xml:space="preserve">ese </w:t>
      </w:r>
      <w:r w:rsidR="002217A8" w:rsidRPr="00F4226B">
        <w:rPr>
          <w:rFonts w:ascii="Times New Roman" w:hAnsi="Times New Roman"/>
          <w:sz w:val="24"/>
          <w:szCs w:val="24"/>
          <w:lang w:val="en-US"/>
        </w:rPr>
        <w:t xml:space="preserve">studies </w:t>
      </w:r>
      <w:r w:rsidR="00144DAF" w:rsidRPr="00F4226B">
        <w:rPr>
          <w:rFonts w:ascii="Times New Roman" w:hAnsi="Times New Roman"/>
          <w:sz w:val="24"/>
          <w:szCs w:val="24"/>
          <w:lang w:val="en-US"/>
        </w:rPr>
        <w:t xml:space="preserve">by </w:t>
      </w:r>
      <w:r w:rsidR="00F4226B">
        <w:rPr>
          <w:rFonts w:ascii="Times New Roman" w:hAnsi="Times New Roman"/>
          <w:sz w:val="24"/>
          <w:szCs w:val="24"/>
          <w:lang w:val="en-US"/>
        </w:rPr>
        <w:t xml:space="preserve">analyzing </w:t>
      </w:r>
      <w:r w:rsidR="00B75939" w:rsidRPr="00F4226B">
        <w:rPr>
          <w:rFonts w:ascii="Times New Roman" w:hAnsi="Times New Roman"/>
          <w:sz w:val="24"/>
          <w:szCs w:val="24"/>
          <w:lang w:val="en-US"/>
        </w:rPr>
        <w:t>and compar</w:t>
      </w:r>
      <w:r w:rsidR="00144DAF" w:rsidRPr="00F4226B">
        <w:rPr>
          <w:rFonts w:ascii="Times New Roman" w:hAnsi="Times New Roman"/>
          <w:sz w:val="24"/>
          <w:szCs w:val="24"/>
          <w:lang w:val="en-US"/>
        </w:rPr>
        <w:t>ing</w:t>
      </w:r>
      <w:r w:rsidR="00B75939" w:rsidRPr="00F4226B">
        <w:rPr>
          <w:rFonts w:ascii="Times New Roman" w:hAnsi="Times New Roman"/>
          <w:sz w:val="24"/>
          <w:szCs w:val="24"/>
          <w:lang w:val="en-US"/>
        </w:rPr>
        <w:t xml:space="preserve"> </w:t>
      </w:r>
      <w:r w:rsidR="003636D9">
        <w:rPr>
          <w:rFonts w:ascii="Times New Roman" w:hAnsi="Times New Roman"/>
          <w:sz w:val="24"/>
          <w:szCs w:val="24"/>
          <w:lang w:val="en-US"/>
        </w:rPr>
        <w:t xml:space="preserve">the </w:t>
      </w:r>
      <w:r w:rsidR="00B75939" w:rsidRPr="00F4226B">
        <w:rPr>
          <w:rFonts w:ascii="Times New Roman" w:hAnsi="Times New Roman"/>
          <w:sz w:val="24"/>
          <w:szCs w:val="24"/>
          <w:lang w:val="en-US"/>
        </w:rPr>
        <w:t xml:space="preserve">value relevance of </w:t>
      </w:r>
      <w:r w:rsidR="008E6D17" w:rsidRPr="00F4226B">
        <w:rPr>
          <w:rFonts w:ascii="Times New Roman" w:hAnsi="Times New Roman"/>
          <w:sz w:val="24"/>
          <w:szCs w:val="24"/>
          <w:lang w:val="en-US"/>
        </w:rPr>
        <w:t>earnings and</w:t>
      </w:r>
      <w:r w:rsidR="002776D0" w:rsidRPr="00F4226B">
        <w:rPr>
          <w:rFonts w:ascii="Times New Roman" w:hAnsi="Times New Roman"/>
          <w:sz w:val="24"/>
          <w:szCs w:val="24"/>
          <w:lang w:val="en-US"/>
        </w:rPr>
        <w:t xml:space="preserve"> </w:t>
      </w:r>
      <w:r w:rsidR="000E0069">
        <w:rPr>
          <w:rFonts w:ascii="Times New Roman" w:hAnsi="Times New Roman"/>
          <w:sz w:val="24"/>
          <w:szCs w:val="24"/>
          <w:lang w:val="en-US"/>
        </w:rPr>
        <w:t xml:space="preserve">equity </w:t>
      </w:r>
      <w:r w:rsidR="008E6D17" w:rsidRPr="00F4226B">
        <w:rPr>
          <w:rFonts w:ascii="Times New Roman" w:hAnsi="Times New Roman"/>
          <w:sz w:val="24"/>
          <w:szCs w:val="24"/>
          <w:lang w:val="en-US"/>
        </w:rPr>
        <w:t xml:space="preserve">book values </w:t>
      </w:r>
      <w:r w:rsidR="00BC4036" w:rsidRPr="00F4226B">
        <w:rPr>
          <w:rFonts w:ascii="Times New Roman" w:hAnsi="Times New Roman"/>
          <w:sz w:val="24"/>
          <w:szCs w:val="24"/>
          <w:lang w:val="en-US"/>
        </w:rPr>
        <w:t>obtained</w:t>
      </w:r>
      <w:r w:rsidR="00C96BA5" w:rsidRPr="00F4226B">
        <w:rPr>
          <w:rFonts w:ascii="Times New Roman" w:hAnsi="Times New Roman"/>
          <w:sz w:val="24"/>
          <w:szCs w:val="24"/>
          <w:lang w:val="en-US"/>
        </w:rPr>
        <w:t xml:space="preserve"> from accounting systems</w:t>
      </w:r>
      <w:r w:rsidR="00D76EF3" w:rsidRPr="00F4226B">
        <w:rPr>
          <w:rFonts w:ascii="Times New Roman" w:hAnsi="Times New Roman"/>
          <w:sz w:val="24"/>
          <w:szCs w:val="24"/>
          <w:lang w:val="en-US"/>
        </w:rPr>
        <w:t xml:space="preserve"> that focus on different measurement attributes</w:t>
      </w:r>
      <w:r w:rsidR="00C96BA5" w:rsidRPr="00F4226B">
        <w:rPr>
          <w:rFonts w:ascii="Times New Roman" w:hAnsi="Times New Roman"/>
          <w:sz w:val="24"/>
          <w:szCs w:val="24"/>
          <w:lang w:val="en-US"/>
        </w:rPr>
        <w:t xml:space="preserve">. </w:t>
      </w:r>
      <w:r w:rsidR="00E353F3" w:rsidRPr="00F4226B">
        <w:rPr>
          <w:rFonts w:ascii="Times New Roman" w:hAnsi="Times New Roman"/>
          <w:sz w:val="24"/>
          <w:szCs w:val="24"/>
          <w:lang w:val="en-US"/>
        </w:rPr>
        <w:t xml:space="preserve">This is important given that </w:t>
      </w:r>
      <w:r w:rsidR="00146C33" w:rsidRPr="00F4226B">
        <w:rPr>
          <w:rFonts w:ascii="Times New Roman" w:hAnsi="Times New Roman"/>
          <w:sz w:val="24"/>
          <w:szCs w:val="24"/>
          <w:lang w:val="en-US"/>
        </w:rPr>
        <w:t>Hughes et al. (2004) and Ashton et al. (2011)</w:t>
      </w:r>
      <w:r w:rsidR="00E353F3" w:rsidRPr="00F4226B">
        <w:rPr>
          <w:rFonts w:ascii="Times New Roman" w:hAnsi="Times New Roman"/>
          <w:sz w:val="24"/>
          <w:szCs w:val="24"/>
          <w:lang w:val="en-US"/>
        </w:rPr>
        <w:t xml:space="preserve"> indicate that </w:t>
      </w:r>
      <w:r w:rsidR="0054431A" w:rsidRPr="00F4226B">
        <w:rPr>
          <w:rFonts w:ascii="Times New Roman" w:hAnsi="Times New Roman"/>
          <w:sz w:val="24"/>
          <w:szCs w:val="24"/>
          <w:lang w:val="en-US"/>
        </w:rPr>
        <w:t xml:space="preserve">the use of HC </w:t>
      </w:r>
      <w:r w:rsidR="009D419E" w:rsidRPr="00F4226B">
        <w:rPr>
          <w:rFonts w:ascii="Times New Roman" w:hAnsi="Times New Roman"/>
          <w:sz w:val="24"/>
          <w:szCs w:val="24"/>
          <w:lang w:val="en-US"/>
        </w:rPr>
        <w:t>a</w:t>
      </w:r>
      <w:r w:rsidR="00DC65F5" w:rsidRPr="00F4226B">
        <w:rPr>
          <w:rFonts w:ascii="Times New Roman" w:hAnsi="Times New Roman"/>
          <w:sz w:val="24"/>
          <w:szCs w:val="24"/>
          <w:lang w:val="en-US"/>
        </w:rPr>
        <w:t>m</w:t>
      </w:r>
      <w:r w:rsidR="009D419E" w:rsidRPr="00F4226B">
        <w:rPr>
          <w:rFonts w:ascii="Times New Roman" w:hAnsi="Times New Roman"/>
          <w:sz w:val="24"/>
          <w:szCs w:val="24"/>
          <w:lang w:val="en-US"/>
        </w:rPr>
        <w:t xml:space="preserve">ounts </w:t>
      </w:r>
      <w:r w:rsidR="0054431A" w:rsidRPr="00F4226B">
        <w:rPr>
          <w:rFonts w:ascii="Times New Roman" w:hAnsi="Times New Roman"/>
          <w:sz w:val="24"/>
          <w:szCs w:val="24"/>
          <w:lang w:val="en-US"/>
        </w:rPr>
        <w:t xml:space="preserve">distorts the mapping of </w:t>
      </w:r>
      <w:r w:rsidR="002776D0" w:rsidRPr="00F4226B">
        <w:rPr>
          <w:rFonts w:ascii="Times New Roman" w:hAnsi="Times New Roman"/>
          <w:sz w:val="24"/>
          <w:szCs w:val="24"/>
          <w:lang w:val="en-US"/>
        </w:rPr>
        <w:t>e</w:t>
      </w:r>
      <w:r w:rsidR="0054431A" w:rsidRPr="00F4226B">
        <w:rPr>
          <w:rFonts w:ascii="Times New Roman" w:hAnsi="Times New Roman"/>
          <w:sz w:val="24"/>
          <w:szCs w:val="24"/>
          <w:lang w:val="en-US"/>
        </w:rPr>
        <w:t>arnings and book values into equity value</w:t>
      </w:r>
      <w:r w:rsidR="00144DAF" w:rsidRPr="00F4226B">
        <w:rPr>
          <w:rFonts w:ascii="Times New Roman" w:hAnsi="Times New Roman"/>
          <w:sz w:val="24"/>
          <w:szCs w:val="24"/>
          <w:lang w:val="en-US"/>
        </w:rPr>
        <w:t>s</w:t>
      </w:r>
      <w:r w:rsidR="0054431A" w:rsidRPr="00F4226B">
        <w:rPr>
          <w:rFonts w:ascii="Times New Roman" w:hAnsi="Times New Roman"/>
          <w:sz w:val="24"/>
          <w:szCs w:val="24"/>
          <w:lang w:val="en-US"/>
        </w:rPr>
        <w:t>.</w:t>
      </w:r>
      <w:r w:rsidR="002217A8" w:rsidRPr="00F4226B">
        <w:rPr>
          <w:rFonts w:ascii="Times New Roman" w:hAnsi="Times New Roman"/>
          <w:sz w:val="24"/>
          <w:szCs w:val="24"/>
          <w:lang w:val="en-US"/>
        </w:rPr>
        <w:t xml:space="preserve"> </w:t>
      </w:r>
      <w:r w:rsidR="00D701BF" w:rsidRPr="00F4226B">
        <w:rPr>
          <w:rFonts w:ascii="Times New Roman" w:hAnsi="Times New Roman"/>
          <w:sz w:val="24"/>
          <w:szCs w:val="24"/>
          <w:lang w:val="en-US"/>
        </w:rPr>
        <w:t xml:space="preserve">These two </w:t>
      </w:r>
      <w:r w:rsidR="00146C33" w:rsidRPr="00F4226B">
        <w:rPr>
          <w:rFonts w:ascii="Times New Roman" w:hAnsi="Times New Roman"/>
          <w:sz w:val="24"/>
          <w:szCs w:val="24"/>
          <w:lang w:val="en-US"/>
        </w:rPr>
        <w:t xml:space="preserve">studies </w:t>
      </w:r>
      <w:r w:rsidR="0022295B" w:rsidRPr="00F4226B">
        <w:rPr>
          <w:rFonts w:ascii="Times New Roman" w:hAnsi="Times New Roman"/>
          <w:sz w:val="24"/>
          <w:szCs w:val="24"/>
          <w:lang w:val="en-US"/>
        </w:rPr>
        <w:t>theoretically</w:t>
      </w:r>
      <w:r w:rsidR="003636D9" w:rsidRPr="003636D9">
        <w:rPr>
          <w:rFonts w:ascii="Times New Roman" w:hAnsi="Times New Roman"/>
          <w:sz w:val="24"/>
          <w:szCs w:val="24"/>
          <w:lang w:val="en-US"/>
        </w:rPr>
        <w:t xml:space="preserve"> </w:t>
      </w:r>
      <w:r w:rsidR="003636D9" w:rsidRPr="00F4226B">
        <w:rPr>
          <w:rFonts w:ascii="Times New Roman" w:hAnsi="Times New Roman"/>
          <w:sz w:val="24"/>
          <w:szCs w:val="24"/>
          <w:lang w:val="en-US"/>
        </w:rPr>
        <w:t>show</w:t>
      </w:r>
      <w:r w:rsidR="0022295B" w:rsidRPr="00F4226B">
        <w:rPr>
          <w:rFonts w:ascii="Times New Roman" w:hAnsi="Times New Roman"/>
          <w:sz w:val="24"/>
          <w:szCs w:val="24"/>
          <w:lang w:val="en-US"/>
        </w:rPr>
        <w:t xml:space="preserve"> </w:t>
      </w:r>
      <w:r w:rsidR="00235681" w:rsidRPr="00F4226B">
        <w:rPr>
          <w:rFonts w:ascii="Times New Roman" w:hAnsi="Times New Roman"/>
          <w:sz w:val="24"/>
          <w:szCs w:val="24"/>
          <w:lang w:val="en-US"/>
        </w:rPr>
        <w:t>that</w:t>
      </w:r>
      <w:r w:rsidR="00D83200">
        <w:rPr>
          <w:rFonts w:ascii="Times New Roman" w:hAnsi="Times New Roman"/>
          <w:sz w:val="24"/>
          <w:szCs w:val="24"/>
          <w:lang w:val="en-US"/>
        </w:rPr>
        <w:t>,</w:t>
      </w:r>
      <w:r w:rsidR="00235681" w:rsidRPr="00F4226B">
        <w:rPr>
          <w:rFonts w:ascii="Times New Roman" w:hAnsi="Times New Roman"/>
          <w:sz w:val="24"/>
          <w:szCs w:val="24"/>
          <w:lang w:val="en-US"/>
        </w:rPr>
        <w:t xml:space="preserve"> even at low levels of inflation, valuation models that fail to capture inflation produce severe under-valuations. </w:t>
      </w:r>
      <w:r w:rsidR="004B774B" w:rsidRPr="00F4226B">
        <w:rPr>
          <w:rFonts w:ascii="Times New Roman" w:hAnsi="Times New Roman"/>
          <w:sz w:val="24"/>
          <w:szCs w:val="24"/>
          <w:lang w:val="en-US"/>
        </w:rPr>
        <w:t>Thus, b</w:t>
      </w:r>
      <w:r w:rsidR="0061368E" w:rsidRPr="00F4226B">
        <w:rPr>
          <w:rFonts w:ascii="Times New Roman" w:hAnsi="Times New Roman"/>
          <w:sz w:val="24"/>
          <w:szCs w:val="24"/>
          <w:lang w:val="en-US"/>
        </w:rPr>
        <w:t xml:space="preserve">y considering both HC and IA </w:t>
      </w:r>
      <w:r w:rsidR="00B11854" w:rsidRPr="00F4226B">
        <w:rPr>
          <w:rFonts w:ascii="Times New Roman" w:hAnsi="Times New Roman"/>
          <w:sz w:val="24"/>
          <w:szCs w:val="24"/>
          <w:lang w:val="en-US"/>
        </w:rPr>
        <w:t>data</w:t>
      </w:r>
      <w:r w:rsidR="00CC3292" w:rsidRPr="00F4226B">
        <w:rPr>
          <w:rFonts w:ascii="Times New Roman" w:hAnsi="Times New Roman"/>
          <w:sz w:val="24"/>
          <w:szCs w:val="24"/>
          <w:lang w:val="en-US"/>
        </w:rPr>
        <w:t xml:space="preserve">, </w:t>
      </w:r>
      <w:r w:rsidR="0061368E" w:rsidRPr="00F4226B">
        <w:rPr>
          <w:rFonts w:ascii="Times New Roman" w:hAnsi="Times New Roman"/>
          <w:sz w:val="24"/>
          <w:szCs w:val="24"/>
          <w:lang w:val="en-US"/>
        </w:rPr>
        <w:t xml:space="preserve">we contribute to </w:t>
      </w:r>
      <w:r w:rsidR="00E353F3" w:rsidRPr="00F4226B">
        <w:rPr>
          <w:rFonts w:ascii="Times New Roman" w:hAnsi="Times New Roman"/>
          <w:sz w:val="24"/>
          <w:szCs w:val="24"/>
          <w:lang w:val="en-US"/>
        </w:rPr>
        <w:t xml:space="preserve">an </w:t>
      </w:r>
      <w:r w:rsidR="0061368E" w:rsidRPr="00F4226B">
        <w:rPr>
          <w:rFonts w:ascii="Times New Roman" w:hAnsi="Times New Roman"/>
          <w:sz w:val="24"/>
          <w:szCs w:val="24"/>
          <w:lang w:val="en-US"/>
        </w:rPr>
        <w:t xml:space="preserve">understanding of </w:t>
      </w:r>
      <w:r w:rsidR="0022295B" w:rsidRPr="00F4226B">
        <w:rPr>
          <w:rFonts w:ascii="Times New Roman" w:hAnsi="Times New Roman"/>
          <w:sz w:val="24"/>
          <w:szCs w:val="24"/>
          <w:lang w:val="en-US"/>
        </w:rPr>
        <w:t xml:space="preserve">how </w:t>
      </w:r>
      <w:r w:rsidR="00B11854" w:rsidRPr="00F4226B">
        <w:rPr>
          <w:rFonts w:ascii="Times New Roman" w:hAnsi="Times New Roman"/>
          <w:sz w:val="24"/>
          <w:szCs w:val="24"/>
          <w:lang w:val="en-US"/>
        </w:rPr>
        <w:t xml:space="preserve">different </w:t>
      </w:r>
      <w:r w:rsidR="00E531FC" w:rsidRPr="00F4226B">
        <w:rPr>
          <w:rFonts w:ascii="Times New Roman" w:hAnsi="Times New Roman"/>
          <w:sz w:val="24"/>
          <w:szCs w:val="24"/>
          <w:lang w:val="en-US"/>
        </w:rPr>
        <w:t xml:space="preserve">accounting </w:t>
      </w:r>
      <w:r w:rsidR="00B11854" w:rsidRPr="00F4226B">
        <w:rPr>
          <w:rFonts w:ascii="Times New Roman" w:hAnsi="Times New Roman"/>
          <w:sz w:val="24"/>
          <w:szCs w:val="24"/>
          <w:lang w:val="en-US"/>
        </w:rPr>
        <w:t xml:space="preserve">systems affect the value relevance of </w:t>
      </w:r>
      <w:r w:rsidR="00A900F0" w:rsidRPr="00F4226B">
        <w:rPr>
          <w:rFonts w:ascii="Times New Roman" w:hAnsi="Times New Roman"/>
          <w:sz w:val="24"/>
          <w:szCs w:val="24"/>
          <w:lang w:val="en-US"/>
        </w:rPr>
        <w:t>accounting amounts</w:t>
      </w:r>
      <w:r w:rsidR="00CC3292" w:rsidRPr="00F4226B">
        <w:rPr>
          <w:rFonts w:ascii="Times New Roman" w:hAnsi="Times New Roman"/>
          <w:sz w:val="24"/>
          <w:szCs w:val="24"/>
          <w:lang w:val="en-US"/>
        </w:rPr>
        <w:t xml:space="preserve">. </w:t>
      </w:r>
      <w:r w:rsidR="0061368E" w:rsidRPr="00F4226B">
        <w:rPr>
          <w:rFonts w:ascii="Times New Roman" w:hAnsi="Times New Roman"/>
          <w:sz w:val="24"/>
          <w:szCs w:val="24"/>
          <w:lang w:val="en-US"/>
        </w:rPr>
        <w:t xml:space="preserve">   </w:t>
      </w:r>
    </w:p>
    <w:p w14:paraId="4669A852" w14:textId="0E7D99B9" w:rsidR="00E74F50" w:rsidRPr="00F4226B" w:rsidRDefault="004179BB"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lastRenderedPageBreak/>
        <w:t xml:space="preserve">Finally, our work also relates to a </w:t>
      </w:r>
      <w:r w:rsidR="009937AE" w:rsidRPr="00F4226B">
        <w:rPr>
          <w:rFonts w:ascii="Times New Roman" w:hAnsi="Times New Roman"/>
          <w:sz w:val="24"/>
          <w:szCs w:val="24"/>
          <w:lang w:val="en-US"/>
        </w:rPr>
        <w:t>g</w:t>
      </w:r>
      <w:r w:rsidRPr="00F4226B">
        <w:rPr>
          <w:rFonts w:ascii="Times New Roman" w:hAnsi="Times New Roman"/>
          <w:sz w:val="24"/>
          <w:szCs w:val="24"/>
          <w:lang w:val="en-US"/>
        </w:rPr>
        <w:t xml:space="preserve">rowing stream of </w:t>
      </w:r>
      <w:r w:rsidR="00A66C2B" w:rsidRPr="00F4226B">
        <w:rPr>
          <w:rFonts w:ascii="Times New Roman" w:hAnsi="Times New Roman"/>
          <w:sz w:val="24"/>
          <w:szCs w:val="24"/>
          <w:lang w:val="en-US"/>
        </w:rPr>
        <w:t>research on macro-accounting</w:t>
      </w:r>
      <w:r w:rsidRPr="00F4226B">
        <w:rPr>
          <w:rFonts w:ascii="Times New Roman" w:hAnsi="Times New Roman"/>
          <w:sz w:val="24"/>
          <w:szCs w:val="24"/>
          <w:lang w:val="en-US"/>
        </w:rPr>
        <w:t>.</w:t>
      </w:r>
      <w:r w:rsidR="005F028F" w:rsidRPr="00F4226B">
        <w:rPr>
          <w:rStyle w:val="FootnoteReference"/>
          <w:rFonts w:ascii="Times New Roman" w:hAnsi="Times New Roman"/>
          <w:sz w:val="24"/>
          <w:szCs w:val="24"/>
          <w:lang w:val="en-US"/>
        </w:rPr>
        <w:footnoteReference w:id="9"/>
      </w:r>
      <w:r w:rsidRPr="00F4226B">
        <w:rPr>
          <w:rFonts w:ascii="Times New Roman" w:hAnsi="Times New Roman"/>
          <w:sz w:val="24"/>
          <w:szCs w:val="24"/>
          <w:lang w:val="en-US"/>
        </w:rPr>
        <w:t xml:space="preserve"> </w:t>
      </w:r>
      <w:r w:rsidR="00D701BF" w:rsidRPr="00F4226B">
        <w:rPr>
          <w:rFonts w:ascii="Times New Roman" w:hAnsi="Times New Roman"/>
          <w:sz w:val="24"/>
          <w:szCs w:val="24"/>
          <w:lang w:val="en-US"/>
        </w:rPr>
        <w:t>In summary</w:t>
      </w:r>
      <w:r w:rsidRPr="00F4226B">
        <w:rPr>
          <w:rFonts w:ascii="Times New Roman" w:hAnsi="Times New Roman"/>
          <w:sz w:val="24"/>
          <w:szCs w:val="24"/>
          <w:lang w:val="en-US"/>
        </w:rPr>
        <w:t xml:space="preserve">, some studies examine the </w:t>
      </w:r>
      <w:r w:rsidR="00A66C2B" w:rsidRPr="00F4226B">
        <w:rPr>
          <w:rFonts w:ascii="Times New Roman" w:hAnsi="Times New Roman"/>
          <w:sz w:val="24"/>
          <w:szCs w:val="24"/>
          <w:lang w:val="en-US"/>
        </w:rPr>
        <w:t>macro to micro link</w:t>
      </w:r>
      <w:r w:rsidR="002B4156" w:rsidRPr="00F4226B">
        <w:rPr>
          <w:rFonts w:ascii="Times New Roman" w:hAnsi="Times New Roman"/>
          <w:sz w:val="24"/>
          <w:szCs w:val="24"/>
          <w:lang w:val="en-US"/>
        </w:rPr>
        <w:t xml:space="preserve">, that is, the </w:t>
      </w:r>
      <w:r w:rsidRPr="00F4226B">
        <w:rPr>
          <w:rFonts w:ascii="Times New Roman" w:hAnsi="Times New Roman"/>
          <w:sz w:val="24"/>
          <w:szCs w:val="24"/>
          <w:lang w:val="en-US"/>
        </w:rPr>
        <w:t xml:space="preserve">effects of information </w:t>
      </w:r>
      <w:r w:rsidR="00D074B7">
        <w:rPr>
          <w:rFonts w:ascii="Times New Roman" w:hAnsi="Times New Roman"/>
          <w:sz w:val="24"/>
          <w:szCs w:val="24"/>
          <w:lang w:val="en-US"/>
        </w:rPr>
        <w:t>i</w:t>
      </w:r>
      <w:r w:rsidR="003636D9">
        <w:rPr>
          <w:rFonts w:ascii="Times New Roman" w:hAnsi="Times New Roman"/>
          <w:sz w:val="24"/>
          <w:szCs w:val="24"/>
          <w:lang w:val="en-US"/>
        </w:rPr>
        <w:t>n</w:t>
      </w:r>
      <w:r w:rsidR="003636D9"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macroeconomic </w:t>
      </w:r>
      <w:r w:rsidR="002B4156" w:rsidRPr="00F4226B">
        <w:rPr>
          <w:rFonts w:ascii="Times New Roman" w:hAnsi="Times New Roman"/>
          <w:sz w:val="24"/>
          <w:szCs w:val="24"/>
          <w:lang w:val="en-US"/>
        </w:rPr>
        <w:t>data</w:t>
      </w:r>
      <w:r w:rsidRPr="00F4226B">
        <w:rPr>
          <w:rFonts w:ascii="Times New Roman" w:hAnsi="Times New Roman"/>
          <w:sz w:val="24"/>
          <w:szCs w:val="24"/>
          <w:lang w:val="en-US"/>
        </w:rPr>
        <w:t xml:space="preserve"> </w:t>
      </w:r>
      <w:r w:rsidR="00D074B7">
        <w:rPr>
          <w:rFonts w:ascii="Times New Roman" w:hAnsi="Times New Roman"/>
          <w:sz w:val="24"/>
          <w:szCs w:val="24"/>
          <w:lang w:val="en-US"/>
        </w:rPr>
        <w:t>on</w:t>
      </w:r>
      <w:r w:rsidRPr="00F4226B">
        <w:rPr>
          <w:rFonts w:ascii="Times New Roman" w:hAnsi="Times New Roman"/>
          <w:sz w:val="24"/>
          <w:szCs w:val="24"/>
          <w:lang w:val="en-US"/>
        </w:rPr>
        <w:t xml:space="preserve"> the firm. </w:t>
      </w:r>
      <w:r w:rsidR="009937AE" w:rsidRPr="00F4226B">
        <w:rPr>
          <w:rFonts w:ascii="Times New Roman" w:hAnsi="Times New Roman"/>
          <w:sz w:val="24"/>
          <w:szCs w:val="24"/>
          <w:lang w:val="en-US"/>
        </w:rPr>
        <w:t xml:space="preserve">For example, </w:t>
      </w:r>
      <w:r w:rsidR="00DE385B" w:rsidRPr="00F4226B">
        <w:rPr>
          <w:rFonts w:ascii="Times New Roman" w:hAnsi="Times New Roman"/>
          <w:sz w:val="24"/>
          <w:szCs w:val="24"/>
          <w:lang w:val="en-US"/>
        </w:rPr>
        <w:t>Konchitchki (2011</w:t>
      </w:r>
      <w:r w:rsidR="002B4156" w:rsidRPr="00F4226B">
        <w:rPr>
          <w:rFonts w:ascii="Times New Roman" w:hAnsi="Times New Roman"/>
          <w:sz w:val="24"/>
          <w:szCs w:val="24"/>
          <w:lang w:val="en-US"/>
        </w:rPr>
        <w:t>; 2013</w:t>
      </w:r>
      <w:r w:rsidR="00DE385B" w:rsidRPr="00F4226B">
        <w:rPr>
          <w:rFonts w:ascii="Times New Roman" w:hAnsi="Times New Roman"/>
          <w:sz w:val="24"/>
          <w:szCs w:val="24"/>
          <w:lang w:val="en-US"/>
        </w:rPr>
        <w:t xml:space="preserve">) </w:t>
      </w:r>
      <w:r w:rsidR="00334CA5" w:rsidRPr="00F4226B">
        <w:rPr>
          <w:rFonts w:ascii="Times New Roman" w:hAnsi="Times New Roman"/>
          <w:sz w:val="24"/>
          <w:szCs w:val="24"/>
          <w:lang w:val="en-US"/>
        </w:rPr>
        <w:t xml:space="preserve">and Curtis et al. (2015) </w:t>
      </w:r>
      <w:r w:rsidR="002B4156" w:rsidRPr="00F4226B">
        <w:rPr>
          <w:rFonts w:ascii="Times New Roman" w:hAnsi="Times New Roman"/>
          <w:sz w:val="24"/>
          <w:szCs w:val="24"/>
          <w:lang w:val="en-US"/>
        </w:rPr>
        <w:t xml:space="preserve">show that inflation affects firms’ accounting performance and has incremental information content for predicting future cash flows and stock valuation. Li et al. (2014) </w:t>
      </w:r>
      <w:r w:rsidR="00D058D1" w:rsidRPr="00F4226B">
        <w:rPr>
          <w:rFonts w:ascii="Times New Roman" w:hAnsi="Times New Roman"/>
          <w:sz w:val="24"/>
          <w:szCs w:val="24"/>
          <w:lang w:val="en-US"/>
        </w:rPr>
        <w:t xml:space="preserve">find </w:t>
      </w:r>
      <w:r w:rsidR="002B4156" w:rsidRPr="00F4226B">
        <w:rPr>
          <w:rFonts w:ascii="Times New Roman" w:hAnsi="Times New Roman"/>
          <w:sz w:val="24"/>
          <w:szCs w:val="24"/>
          <w:lang w:val="en-US"/>
        </w:rPr>
        <w:t xml:space="preserve">that combining </w:t>
      </w:r>
      <w:r w:rsidR="00EB16E7" w:rsidRPr="00F4226B">
        <w:rPr>
          <w:rFonts w:ascii="Times New Roman" w:hAnsi="Times New Roman"/>
          <w:sz w:val="24"/>
          <w:szCs w:val="24"/>
          <w:lang w:val="en-US"/>
        </w:rPr>
        <w:t xml:space="preserve">firm-level </w:t>
      </w:r>
      <w:r w:rsidR="002B4156" w:rsidRPr="00F4226B">
        <w:rPr>
          <w:rFonts w:ascii="Times New Roman" w:hAnsi="Times New Roman"/>
          <w:sz w:val="24"/>
          <w:szCs w:val="24"/>
          <w:lang w:val="en-US"/>
        </w:rPr>
        <w:t xml:space="preserve">geographic segment </w:t>
      </w:r>
      <w:r w:rsidR="00EB16E7" w:rsidRPr="00F4226B">
        <w:rPr>
          <w:rFonts w:ascii="Times New Roman" w:hAnsi="Times New Roman"/>
          <w:sz w:val="24"/>
          <w:szCs w:val="24"/>
          <w:lang w:val="en-US"/>
        </w:rPr>
        <w:t>data</w:t>
      </w:r>
      <w:r w:rsidR="002B4156" w:rsidRPr="00F4226B">
        <w:rPr>
          <w:rFonts w:ascii="Times New Roman" w:hAnsi="Times New Roman"/>
          <w:sz w:val="24"/>
          <w:szCs w:val="24"/>
          <w:lang w:val="en-US"/>
        </w:rPr>
        <w:t xml:space="preserve"> </w:t>
      </w:r>
      <w:r w:rsidR="00EB16E7" w:rsidRPr="00F4226B">
        <w:rPr>
          <w:rFonts w:ascii="Times New Roman" w:hAnsi="Times New Roman"/>
          <w:sz w:val="24"/>
          <w:szCs w:val="24"/>
          <w:lang w:val="en-US"/>
        </w:rPr>
        <w:t xml:space="preserve">with country GDP growth forecasts leads to improvements in forecasting firm profitability. </w:t>
      </w:r>
      <w:r w:rsidR="005F028F" w:rsidRPr="00F4226B">
        <w:rPr>
          <w:rFonts w:ascii="Times New Roman" w:hAnsi="Times New Roman"/>
          <w:sz w:val="24"/>
          <w:szCs w:val="24"/>
          <w:lang w:val="en-US"/>
        </w:rPr>
        <w:t xml:space="preserve">Konchitchki et al. (2016) demonstrate that </w:t>
      </w:r>
      <w:r w:rsidR="003636D9">
        <w:rPr>
          <w:rFonts w:ascii="Times New Roman" w:hAnsi="Times New Roman"/>
          <w:sz w:val="24"/>
          <w:szCs w:val="24"/>
          <w:lang w:val="en-US"/>
        </w:rPr>
        <w:t xml:space="preserve">the </w:t>
      </w:r>
      <w:r w:rsidR="005F028F" w:rsidRPr="00F4226B">
        <w:rPr>
          <w:rFonts w:ascii="Times New Roman" w:hAnsi="Times New Roman"/>
          <w:sz w:val="24"/>
          <w:szCs w:val="24"/>
          <w:lang w:val="en-US"/>
        </w:rPr>
        <w:t xml:space="preserve">sensitivity of </w:t>
      </w:r>
      <w:r w:rsidR="003636D9">
        <w:rPr>
          <w:rFonts w:ascii="Times New Roman" w:hAnsi="Times New Roman"/>
          <w:sz w:val="24"/>
          <w:szCs w:val="24"/>
          <w:lang w:val="en-US"/>
        </w:rPr>
        <w:t>a</w:t>
      </w:r>
      <w:r w:rsidR="003636D9" w:rsidRPr="00F4226B">
        <w:rPr>
          <w:rFonts w:ascii="Times New Roman" w:hAnsi="Times New Roman"/>
          <w:sz w:val="24"/>
          <w:szCs w:val="24"/>
          <w:lang w:val="en-US"/>
        </w:rPr>
        <w:t xml:space="preserve"> </w:t>
      </w:r>
      <w:r w:rsidR="005F028F" w:rsidRPr="00F4226B">
        <w:rPr>
          <w:rFonts w:ascii="Times New Roman" w:hAnsi="Times New Roman"/>
          <w:sz w:val="24"/>
          <w:szCs w:val="24"/>
          <w:lang w:val="en-US"/>
        </w:rPr>
        <w:t xml:space="preserve">firm to downward macroeconomic conditions has implications for its stock valuation. </w:t>
      </w:r>
      <w:r w:rsidRPr="00F4226B">
        <w:rPr>
          <w:rFonts w:ascii="Times New Roman" w:hAnsi="Times New Roman"/>
          <w:sz w:val="24"/>
          <w:szCs w:val="24"/>
          <w:lang w:val="en-US"/>
        </w:rPr>
        <w:t>Other</w:t>
      </w:r>
      <w:r w:rsidR="00481C27" w:rsidRPr="00F4226B">
        <w:rPr>
          <w:rFonts w:ascii="Times New Roman" w:hAnsi="Times New Roman"/>
          <w:sz w:val="24"/>
          <w:szCs w:val="24"/>
          <w:lang w:val="en-US"/>
        </w:rPr>
        <w:t xml:space="preserve"> </w:t>
      </w:r>
      <w:r w:rsidRPr="00F4226B">
        <w:rPr>
          <w:rFonts w:ascii="Times New Roman" w:hAnsi="Times New Roman"/>
          <w:sz w:val="24"/>
          <w:szCs w:val="24"/>
          <w:lang w:val="en-US"/>
        </w:rPr>
        <w:t>s</w:t>
      </w:r>
      <w:r w:rsidR="00481C27" w:rsidRPr="00F4226B">
        <w:rPr>
          <w:rFonts w:ascii="Times New Roman" w:hAnsi="Times New Roman"/>
          <w:sz w:val="24"/>
          <w:szCs w:val="24"/>
          <w:lang w:val="en-US"/>
        </w:rPr>
        <w:t>tudies</w:t>
      </w:r>
      <w:r w:rsidRPr="00F4226B">
        <w:rPr>
          <w:rFonts w:ascii="Times New Roman" w:hAnsi="Times New Roman"/>
          <w:sz w:val="24"/>
          <w:szCs w:val="24"/>
          <w:lang w:val="en-US"/>
        </w:rPr>
        <w:t xml:space="preserve"> </w:t>
      </w:r>
      <w:r w:rsidR="00236A9C" w:rsidRPr="00F4226B">
        <w:rPr>
          <w:rFonts w:ascii="Times New Roman" w:hAnsi="Times New Roman"/>
          <w:sz w:val="24"/>
          <w:szCs w:val="24"/>
          <w:lang w:val="en-US"/>
        </w:rPr>
        <w:t xml:space="preserve">focus on </w:t>
      </w:r>
      <w:r w:rsidR="00EB16E7" w:rsidRPr="00F4226B">
        <w:rPr>
          <w:rFonts w:ascii="Times New Roman" w:hAnsi="Times New Roman"/>
          <w:sz w:val="24"/>
          <w:szCs w:val="24"/>
          <w:lang w:val="en-US"/>
        </w:rPr>
        <w:t xml:space="preserve">the micro to macro link, that is, </w:t>
      </w:r>
      <w:r w:rsidRPr="00F4226B">
        <w:rPr>
          <w:rFonts w:ascii="Times New Roman" w:hAnsi="Times New Roman"/>
          <w:sz w:val="24"/>
          <w:szCs w:val="24"/>
          <w:lang w:val="en-US"/>
        </w:rPr>
        <w:t xml:space="preserve">whether aggregate </w:t>
      </w:r>
      <w:r w:rsidR="00EB16E7" w:rsidRPr="00F4226B">
        <w:rPr>
          <w:rFonts w:ascii="Times New Roman" w:hAnsi="Times New Roman"/>
          <w:sz w:val="24"/>
          <w:szCs w:val="24"/>
          <w:lang w:val="en-US"/>
        </w:rPr>
        <w:t>accounting data</w:t>
      </w:r>
      <w:r w:rsidRPr="00F4226B">
        <w:rPr>
          <w:rFonts w:ascii="Times New Roman" w:hAnsi="Times New Roman"/>
          <w:sz w:val="24"/>
          <w:szCs w:val="24"/>
          <w:lang w:val="en-US"/>
        </w:rPr>
        <w:t xml:space="preserve"> contain </w:t>
      </w:r>
      <w:r w:rsidRPr="00F4226B">
        <w:rPr>
          <w:rFonts w:ascii="Times New Roman" w:hAnsi="Times New Roman"/>
          <w:sz w:val="24"/>
          <w:szCs w:val="24"/>
          <w:lang w:val="en-US"/>
        </w:rPr>
        <w:lastRenderedPageBreak/>
        <w:t xml:space="preserve">macroeconomic </w:t>
      </w:r>
      <w:r w:rsidR="001E5A7B" w:rsidRPr="00F4226B">
        <w:rPr>
          <w:rFonts w:ascii="Times New Roman" w:hAnsi="Times New Roman"/>
          <w:sz w:val="24"/>
          <w:szCs w:val="24"/>
          <w:lang w:val="en-US"/>
        </w:rPr>
        <w:t>news</w:t>
      </w:r>
      <w:r w:rsidRPr="00F4226B">
        <w:rPr>
          <w:rFonts w:ascii="Times New Roman" w:hAnsi="Times New Roman"/>
          <w:sz w:val="24"/>
          <w:szCs w:val="24"/>
          <w:lang w:val="en-US"/>
        </w:rPr>
        <w:t xml:space="preserve"> that can be informative about </w:t>
      </w:r>
      <w:r w:rsidR="00EB16E7" w:rsidRPr="00F4226B">
        <w:rPr>
          <w:rFonts w:ascii="Times New Roman" w:hAnsi="Times New Roman"/>
          <w:sz w:val="24"/>
          <w:szCs w:val="24"/>
          <w:lang w:val="en-US"/>
        </w:rPr>
        <w:t xml:space="preserve">GDP growth </w:t>
      </w:r>
      <w:r w:rsidR="00261C19" w:rsidRPr="00F4226B">
        <w:rPr>
          <w:rFonts w:ascii="Times New Roman" w:hAnsi="Times New Roman"/>
          <w:sz w:val="24"/>
          <w:szCs w:val="24"/>
          <w:lang w:val="en-US"/>
        </w:rPr>
        <w:t>(</w:t>
      </w:r>
      <w:r w:rsidR="00EB16E7" w:rsidRPr="00F4226B">
        <w:rPr>
          <w:rFonts w:ascii="Times New Roman" w:hAnsi="Times New Roman"/>
          <w:sz w:val="24"/>
          <w:szCs w:val="24"/>
          <w:lang w:val="en-US"/>
        </w:rPr>
        <w:t>Konchitchki and Patatoukas 2014</w:t>
      </w:r>
      <w:r w:rsidR="00DA21E2" w:rsidRPr="00F4226B">
        <w:rPr>
          <w:rFonts w:ascii="Times New Roman" w:hAnsi="Times New Roman"/>
          <w:sz w:val="24"/>
          <w:szCs w:val="24"/>
          <w:lang w:val="en-US"/>
        </w:rPr>
        <w:t>a,</w:t>
      </w:r>
      <w:r w:rsidR="00334CA5" w:rsidRPr="00F4226B">
        <w:rPr>
          <w:rFonts w:ascii="Times New Roman" w:hAnsi="Times New Roman"/>
          <w:sz w:val="24"/>
          <w:szCs w:val="24"/>
          <w:lang w:val="en-US"/>
        </w:rPr>
        <w:t xml:space="preserve"> </w:t>
      </w:r>
      <w:r w:rsidR="00DA21E2" w:rsidRPr="00F4226B">
        <w:rPr>
          <w:rFonts w:ascii="Times New Roman" w:hAnsi="Times New Roman"/>
          <w:sz w:val="24"/>
          <w:szCs w:val="24"/>
          <w:lang w:val="en-US"/>
        </w:rPr>
        <w:t>b</w:t>
      </w:r>
      <w:r w:rsidR="00EB16E7" w:rsidRPr="00F4226B">
        <w:rPr>
          <w:rFonts w:ascii="Times New Roman" w:hAnsi="Times New Roman"/>
          <w:sz w:val="24"/>
          <w:szCs w:val="24"/>
          <w:lang w:val="en-US"/>
        </w:rPr>
        <w:t>), stock market valuation (Patatoukas 2014)</w:t>
      </w:r>
      <w:r w:rsidR="00D83200">
        <w:rPr>
          <w:rFonts w:ascii="Times New Roman" w:hAnsi="Times New Roman"/>
          <w:sz w:val="24"/>
          <w:szCs w:val="24"/>
          <w:lang w:val="en-US"/>
        </w:rPr>
        <w:t>,</w:t>
      </w:r>
      <w:r w:rsidR="00EB16E7" w:rsidRPr="00F4226B">
        <w:rPr>
          <w:rFonts w:ascii="Times New Roman" w:hAnsi="Times New Roman"/>
          <w:sz w:val="24"/>
          <w:szCs w:val="24"/>
          <w:lang w:val="en-US"/>
        </w:rPr>
        <w:t xml:space="preserve"> and monetary policy (Gallo et al. 2016).</w:t>
      </w:r>
      <w:r w:rsidR="00261C19" w:rsidRPr="00F4226B">
        <w:rPr>
          <w:rFonts w:ascii="Times New Roman" w:hAnsi="Times New Roman"/>
          <w:sz w:val="24"/>
          <w:szCs w:val="24"/>
          <w:lang w:val="en-US"/>
        </w:rPr>
        <w:t xml:space="preserve"> </w:t>
      </w:r>
      <w:r w:rsidR="00D058D1" w:rsidRPr="00F4226B">
        <w:rPr>
          <w:rFonts w:ascii="Times New Roman" w:hAnsi="Times New Roman"/>
          <w:sz w:val="24"/>
          <w:szCs w:val="24"/>
          <w:lang w:val="en-US"/>
        </w:rPr>
        <w:t xml:space="preserve">We </w:t>
      </w:r>
      <w:r w:rsidR="00E74F50" w:rsidRPr="00F4226B">
        <w:rPr>
          <w:rFonts w:ascii="Times New Roman" w:hAnsi="Times New Roman"/>
          <w:sz w:val="24"/>
          <w:szCs w:val="24"/>
          <w:lang w:val="en-US"/>
        </w:rPr>
        <w:t>add to th</w:t>
      </w:r>
      <w:r w:rsidR="009937AE" w:rsidRPr="00F4226B">
        <w:rPr>
          <w:rFonts w:ascii="Times New Roman" w:hAnsi="Times New Roman"/>
          <w:sz w:val="24"/>
          <w:szCs w:val="24"/>
          <w:lang w:val="en-US"/>
        </w:rPr>
        <w:t xml:space="preserve">ese studies </w:t>
      </w:r>
      <w:r w:rsidR="00E74F50" w:rsidRPr="00F4226B">
        <w:rPr>
          <w:rFonts w:ascii="Times New Roman" w:hAnsi="Times New Roman"/>
          <w:sz w:val="24"/>
          <w:szCs w:val="24"/>
          <w:lang w:val="en-US"/>
        </w:rPr>
        <w:t xml:space="preserve">using </w:t>
      </w:r>
      <w:r w:rsidR="00C253F5" w:rsidRPr="00F4226B">
        <w:rPr>
          <w:rFonts w:ascii="Times New Roman" w:hAnsi="Times New Roman"/>
          <w:sz w:val="24"/>
          <w:szCs w:val="24"/>
          <w:lang w:val="en-US"/>
        </w:rPr>
        <w:t xml:space="preserve">a </w:t>
      </w:r>
      <w:r w:rsidR="00E61D3A" w:rsidRPr="00F4226B">
        <w:rPr>
          <w:rFonts w:ascii="Times New Roman" w:hAnsi="Times New Roman"/>
          <w:sz w:val="24"/>
          <w:szCs w:val="24"/>
          <w:lang w:val="en-US"/>
        </w:rPr>
        <w:t>unique data</w:t>
      </w:r>
      <w:r w:rsidR="00C253F5" w:rsidRPr="00F4226B">
        <w:rPr>
          <w:rFonts w:ascii="Times New Roman" w:hAnsi="Times New Roman"/>
          <w:sz w:val="24"/>
          <w:szCs w:val="24"/>
          <w:lang w:val="en-US"/>
        </w:rPr>
        <w:t>set</w:t>
      </w:r>
      <w:r w:rsidR="00E61D3A" w:rsidRPr="00F4226B">
        <w:rPr>
          <w:rFonts w:ascii="Times New Roman" w:hAnsi="Times New Roman"/>
          <w:sz w:val="24"/>
          <w:szCs w:val="24"/>
          <w:lang w:val="en-US"/>
        </w:rPr>
        <w:t xml:space="preserve"> and focusing at </w:t>
      </w:r>
      <w:r w:rsidR="00E74F50" w:rsidRPr="00F4226B">
        <w:rPr>
          <w:rFonts w:ascii="Times New Roman" w:hAnsi="Times New Roman"/>
          <w:sz w:val="24"/>
          <w:szCs w:val="24"/>
          <w:lang w:val="en-US"/>
        </w:rPr>
        <w:t>the firm</w:t>
      </w:r>
      <w:r w:rsidR="003636D9">
        <w:rPr>
          <w:rFonts w:ascii="Times New Roman" w:hAnsi="Times New Roman"/>
          <w:sz w:val="24"/>
          <w:szCs w:val="24"/>
          <w:lang w:val="en-US"/>
        </w:rPr>
        <w:t xml:space="preserve"> level</w:t>
      </w:r>
      <w:r w:rsidR="00D058D1" w:rsidRPr="00F4226B">
        <w:rPr>
          <w:rFonts w:ascii="Times New Roman" w:hAnsi="Times New Roman"/>
          <w:sz w:val="24"/>
          <w:szCs w:val="24"/>
          <w:lang w:val="en-US"/>
        </w:rPr>
        <w:t xml:space="preserve"> </w:t>
      </w:r>
      <w:r w:rsidR="002028A3" w:rsidRPr="00F4226B">
        <w:rPr>
          <w:rFonts w:ascii="Times New Roman" w:hAnsi="Times New Roman"/>
          <w:sz w:val="24"/>
          <w:szCs w:val="24"/>
          <w:lang w:val="en-US"/>
        </w:rPr>
        <w:t xml:space="preserve">instead of </w:t>
      </w:r>
      <w:r w:rsidR="003636D9">
        <w:rPr>
          <w:rFonts w:ascii="Times New Roman" w:hAnsi="Times New Roman"/>
          <w:sz w:val="24"/>
          <w:szCs w:val="24"/>
          <w:lang w:val="en-US"/>
        </w:rPr>
        <w:t xml:space="preserve">the </w:t>
      </w:r>
      <w:r w:rsidR="002028A3" w:rsidRPr="00F4226B">
        <w:rPr>
          <w:rFonts w:ascii="Times New Roman" w:hAnsi="Times New Roman"/>
          <w:sz w:val="24"/>
          <w:szCs w:val="24"/>
          <w:lang w:val="en-US"/>
        </w:rPr>
        <w:t xml:space="preserve">aggregate </w:t>
      </w:r>
      <w:r w:rsidR="000B1458" w:rsidRPr="00F4226B">
        <w:rPr>
          <w:rFonts w:ascii="Times New Roman" w:hAnsi="Times New Roman"/>
          <w:sz w:val="24"/>
          <w:szCs w:val="24"/>
          <w:lang w:val="en-US"/>
        </w:rPr>
        <w:t>stock market</w:t>
      </w:r>
      <w:r w:rsidR="00F4226B">
        <w:rPr>
          <w:rFonts w:ascii="Times New Roman" w:hAnsi="Times New Roman"/>
          <w:sz w:val="24"/>
          <w:szCs w:val="24"/>
          <w:lang w:val="en-US"/>
        </w:rPr>
        <w:t xml:space="preserve"> </w:t>
      </w:r>
      <w:r w:rsidR="002028A3" w:rsidRPr="00F4226B">
        <w:rPr>
          <w:rFonts w:ascii="Times New Roman" w:hAnsi="Times New Roman"/>
          <w:sz w:val="24"/>
          <w:szCs w:val="24"/>
          <w:lang w:val="en-US"/>
        </w:rPr>
        <w:t>level</w:t>
      </w:r>
      <w:r w:rsidR="00E74F50" w:rsidRPr="00F4226B">
        <w:rPr>
          <w:rFonts w:ascii="Times New Roman" w:hAnsi="Times New Roman"/>
          <w:sz w:val="24"/>
          <w:szCs w:val="24"/>
          <w:lang w:val="en-US"/>
        </w:rPr>
        <w:t>.</w:t>
      </w:r>
      <w:r w:rsidR="002028A3" w:rsidRPr="00F4226B">
        <w:rPr>
          <w:rFonts w:ascii="Times New Roman" w:hAnsi="Times New Roman"/>
          <w:sz w:val="24"/>
          <w:szCs w:val="24"/>
          <w:lang w:val="en-US"/>
        </w:rPr>
        <w:t xml:space="preserve"> </w:t>
      </w:r>
      <w:r w:rsidR="0075213B" w:rsidRPr="00F4226B">
        <w:rPr>
          <w:rFonts w:ascii="Times New Roman" w:hAnsi="Times New Roman"/>
          <w:sz w:val="24"/>
          <w:szCs w:val="24"/>
          <w:lang w:val="en-US"/>
        </w:rPr>
        <w:t>T</w:t>
      </w:r>
      <w:r w:rsidR="00D058D1" w:rsidRPr="00F4226B">
        <w:rPr>
          <w:rFonts w:ascii="Times New Roman" w:hAnsi="Times New Roman"/>
          <w:sz w:val="24"/>
          <w:szCs w:val="24"/>
          <w:lang w:val="en-US"/>
        </w:rPr>
        <w:t>h</w:t>
      </w:r>
      <w:r w:rsidR="005B7B81" w:rsidRPr="00F4226B">
        <w:rPr>
          <w:rFonts w:ascii="Times New Roman" w:hAnsi="Times New Roman"/>
          <w:sz w:val="24"/>
          <w:szCs w:val="24"/>
          <w:lang w:val="en-US"/>
        </w:rPr>
        <w:t xml:space="preserve">is </w:t>
      </w:r>
      <w:r w:rsidR="00605F70">
        <w:rPr>
          <w:rFonts w:ascii="Times New Roman" w:hAnsi="Times New Roman"/>
          <w:sz w:val="24"/>
          <w:szCs w:val="24"/>
          <w:lang w:val="en-US"/>
        </w:rPr>
        <w:t xml:space="preserve">is </w:t>
      </w:r>
      <w:r w:rsidR="005B7B81" w:rsidRPr="00F4226B">
        <w:rPr>
          <w:rFonts w:ascii="Times New Roman" w:hAnsi="Times New Roman"/>
          <w:sz w:val="24"/>
          <w:szCs w:val="24"/>
          <w:lang w:val="en-US"/>
        </w:rPr>
        <w:t xml:space="preserve">important </w:t>
      </w:r>
      <w:r w:rsidR="0022295B" w:rsidRPr="00F4226B">
        <w:rPr>
          <w:rFonts w:ascii="Times New Roman" w:hAnsi="Times New Roman"/>
          <w:sz w:val="24"/>
          <w:szCs w:val="24"/>
          <w:lang w:val="en-US"/>
        </w:rPr>
        <w:t xml:space="preserve">because </w:t>
      </w:r>
      <w:r w:rsidR="002028A3" w:rsidRPr="00F4226B">
        <w:rPr>
          <w:rFonts w:ascii="Times New Roman" w:hAnsi="Times New Roman"/>
          <w:sz w:val="24"/>
          <w:szCs w:val="24"/>
          <w:lang w:val="en-US"/>
        </w:rPr>
        <w:t>the focus</w:t>
      </w:r>
      <w:r w:rsidR="00D058D1" w:rsidRPr="00F4226B">
        <w:rPr>
          <w:rFonts w:ascii="Times New Roman" w:hAnsi="Times New Roman"/>
          <w:sz w:val="24"/>
          <w:szCs w:val="24"/>
          <w:lang w:val="en-US"/>
        </w:rPr>
        <w:t xml:space="preserve"> </w:t>
      </w:r>
      <w:r w:rsidR="00A73AD2" w:rsidRPr="00F4226B">
        <w:rPr>
          <w:rFonts w:ascii="Times New Roman" w:hAnsi="Times New Roman"/>
          <w:sz w:val="24"/>
          <w:szCs w:val="24"/>
          <w:lang w:val="en-US"/>
        </w:rPr>
        <w:t xml:space="preserve">on </w:t>
      </w:r>
      <w:r w:rsidR="00D058D1" w:rsidRPr="00F4226B">
        <w:rPr>
          <w:rFonts w:ascii="Times New Roman" w:hAnsi="Times New Roman"/>
          <w:sz w:val="24"/>
          <w:szCs w:val="24"/>
          <w:lang w:val="en-US"/>
        </w:rPr>
        <w:t xml:space="preserve">the </w:t>
      </w:r>
      <w:r w:rsidR="00A73AD2" w:rsidRPr="00F4226B">
        <w:rPr>
          <w:rFonts w:ascii="Times New Roman" w:hAnsi="Times New Roman"/>
          <w:sz w:val="24"/>
          <w:szCs w:val="24"/>
          <w:lang w:val="en-US"/>
        </w:rPr>
        <w:t>stock market</w:t>
      </w:r>
      <w:r w:rsidR="00D058D1" w:rsidRPr="00F4226B">
        <w:rPr>
          <w:rFonts w:ascii="Times New Roman" w:hAnsi="Times New Roman"/>
          <w:sz w:val="24"/>
          <w:szCs w:val="24"/>
          <w:lang w:val="en-US"/>
        </w:rPr>
        <w:t xml:space="preserve"> level </w:t>
      </w:r>
      <w:r w:rsidR="00DC65F5" w:rsidRPr="00F4226B">
        <w:rPr>
          <w:rFonts w:ascii="Times New Roman" w:hAnsi="Times New Roman"/>
          <w:sz w:val="24"/>
          <w:szCs w:val="24"/>
          <w:lang w:val="en-US"/>
        </w:rPr>
        <w:t>“</w:t>
      </w:r>
      <w:r w:rsidR="002028A3" w:rsidRPr="00F4226B">
        <w:rPr>
          <w:rFonts w:ascii="Times New Roman" w:hAnsi="Times New Roman"/>
          <w:sz w:val="24"/>
          <w:szCs w:val="24"/>
          <w:lang w:val="en-US"/>
        </w:rPr>
        <w:t>masks considerable heterogeneity in the way inflation affects individual stocks</w:t>
      </w:r>
      <w:r w:rsidR="00D83200">
        <w:rPr>
          <w:rFonts w:ascii="Times New Roman" w:hAnsi="Times New Roman"/>
          <w:sz w:val="24"/>
          <w:szCs w:val="24"/>
          <w:lang w:val="en-US"/>
        </w:rPr>
        <w:t>,</w:t>
      </w:r>
      <w:r w:rsidR="00DC65F5" w:rsidRPr="00F4226B">
        <w:rPr>
          <w:rFonts w:ascii="Times New Roman" w:hAnsi="Times New Roman"/>
          <w:sz w:val="24"/>
          <w:szCs w:val="24"/>
          <w:lang w:val="en-US"/>
        </w:rPr>
        <w:t>”</w:t>
      </w:r>
      <w:r w:rsidR="002028A3" w:rsidRPr="00F4226B">
        <w:rPr>
          <w:rFonts w:ascii="Times New Roman" w:hAnsi="Times New Roman"/>
          <w:sz w:val="24"/>
          <w:szCs w:val="24"/>
          <w:lang w:val="en-US"/>
        </w:rPr>
        <w:t xml:space="preserve"> </w:t>
      </w:r>
      <w:r w:rsidR="005B7B81" w:rsidRPr="00F4226B">
        <w:rPr>
          <w:rFonts w:ascii="Times New Roman" w:hAnsi="Times New Roman"/>
          <w:sz w:val="24"/>
          <w:szCs w:val="24"/>
          <w:lang w:val="en-US"/>
        </w:rPr>
        <w:t xml:space="preserve">given that </w:t>
      </w:r>
      <w:r w:rsidR="00A73AD2" w:rsidRPr="00F4226B">
        <w:rPr>
          <w:rFonts w:ascii="Times New Roman" w:hAnsi="Times New Roman"/>
          <w:sz w:val="24"/>
          <w:szCs w:val="24"/>
          <w:lang w:val="en-US"/>
        </w:rPr>
        <w:t>the inflation</w:t>
      </w:r>
      <w:r w:rsidR="00393093" w:rsidRPr="00F4226B">
        <w:rPr>
          <w:rFonts w:ascii="Times New Roman" w:hAnsi="Times New Roman"/>
          <w:sz w:val="24"/>
          <w:szCs w:val="24"/>
          <w:lang w:val="en-US"/>
        </w:rPr>
        <w:t xml:space="preserve"> </w:t>
      </w:r>
      <w:r w:rsidR="001E5A7B" w:rsidRPr="00F4226B">
        <w:rPr>
          <w:rFonts w:ascii="Times New Roman" w:hAnsi="Times New Roman"/>
          <w:sz w:val="24"/>
          <w:szCs w:val="24"/>
          <w:lang w:val="en-US"/>
        </w:rPr>
        <w:t xml:space="preserve">effects </w:t>
      </w:r>
      <w:r w:rsidR="00393093" w:rsidRPr="00F4226B">
        <w:rPr>
          <w:rFonts w:ascii="Times New Roman" w:hAnsi="Times New Roman"/>
          <w:sz w:val="24"/>
          <w:szCs w:val="24"/>
          <w:lang w:val="en-US"/>
        </w:rPr>
        <w:t>on the firm</w:t>
      </w:r>
      <w:r w:rsidR="00A73AD2" w:rsidRPr="00F4226B">
        <w:rPr>
          <w:rFonts w:ascii="Times New Roman" w:hAnsi="Times New Roman"/>
          <w:sz w:val="24"/>
          <w:szCs w:val="24"/>
          <w:lang w:val="en-US"/>
        </w:rPr>
        <w:t xml:space="preserve"> depend on </w:t>
      </w:r>
      <w:r w:rsidR="00393093" w:rsidRPr="00F4226B">
        <w:rPr>
          <w:rFonts w:ascii="Times New Roman" w:hAnsi="Times New Roman"/>
          <w:sz w:val="24"/>
          <w:szCs w:val="24"/>
          <w:lang w:val="en-US"/>
        </w:rPr>
        <w:t xml:space="preserve">its </w:t>
      </w:r>
      <w:r w:rsidR="00A73AD2" w:rsidRPr="00F4226B">
        <w:rPr>
          <w:rFonts w:ascii="Times New Roman" w:hAnsi="Times New Roman"/>
          <w:sz w:val="24"/>
          <w:szCs w:val="24"/>
          <w:lang w:val="en-US"/>
        </w:rPr>
        <w:t>assets and liabilit</w:t>
      </w:r>
      <w:r w:rsidR="00BA30B4" w:rsidRPr="00F4226B">
        <w:rPr>
          <w:rFonts w:ascii="Times New Roman" w:hAnsi="Times New Roman"/>
          <w:sz w:val="24"/>
          <w:szCs w:val="24"/>
          <w:lang w:val="en-US"/>
        </w:rPr>
        <w:t>ies</w:t>
      </w:r>
      <w:r w:rsidR="00A73AD2" w:rsidRPr="00F4226B">
        <w:rPr>
          <w:rFonts w:ascii="Times New Roman" w:hAnsi="Times New Roman"/>
          <w:sz w:val="24"/>
          <w:szCs w:val="24"/>
          <w:lang w:val="en-US"/>
        </w:rPr>
        <w:t xml:space="preserve"> structures</w:t>
      </w:r>
      <w:r w:rsidR="005B7B81" w:rsidRPr="00F4226B">
        <w:rPr>
          <w:rFonts w:ascii="Times New Roman" w:hAnsi="Times New Roman"/>
          <w:sz w:val="24"/>
          <w:szCs w:val="24"/>
          <w:lang w:val="en-US"/>
        </w:rPr>
        <w:t xml:space="preserve"> (Konchitchki</w:t>
      </w:r>
      <w:r w:rsidR="001E5A7B" w:rsidRPr="00F4226B">
        <w:rPr>
          <w:rFonts w:ascii="Times New Roman" w:hAnsi="Times New Roman"/>
          <w:sz w:val="24"/>
          <w:szCs w:val="24"/>
          <w:lang w:val="en-US"/>
        </w:rPr>
        <w:t xml:space="preserve"> </w:t>
      </w:r>
      <w:r w:rsidR="005B7B81" w:rsidRPr="00F4226B">
        <w:rPr>
          <w:rFonts w:ascii="Times New Roman" w:hAnsi="Times New Roman"/>
          <w:sz w:val="24"/>
          <w:szCs w:val="24"/>
          <w:lang w:val="en-US"/>
        </w:rPr>
        <w:t>2013</w:t>
      </w:r>
      <w:r w:rsidR="00D83200">
        <w:rPr>
          <w:rFonts w:ascii="Times New Roman" w:hAnsi="Times New Roman"/>
          <w:sz w:val="24"/>
          <w:szCs w:val="24"/>
          <w:lang w:val="en-US"/>
        </w:rPr>
        <w:t>,</w:t>
      </w:r>
      <w:r w:rsidR="001E5A7B" w:rsidRPr="00F4226B">
        <w:rPr>
          <w:rFonts w:ascii="Times New Roman" w:hAnsi="Times New Roman"/>
          <w:sz w:val="24"/>
          <w:szCs w:val="24"/>
          <w:lang w:val="en-US"/>
        </w:rPr>
        <w:t xml:space="preserve"> </w:t>
      </w:r>
      <w:r w:rsidR="00D83200">
        <w:rPr>
          <w:rFonts w:ascii="Times New Roman" w:hAnsi="Times New Roman"/>
          <w:sz w:val="24"/>
          <w:szCs w:val="24"/>
          <w:lang w:val="en-US"/>
        </w:rPr>
        <w:t xml:space="preserve">p. </w:t>
      </w:r>
      <w:r w:rsidR="005B7B81" w:rsidRPr="00F4226B">
        <w:rPr>
          <w:rFonts w:ascii="Times New Roman" w:hAnsi="Times New Roman"/>
          <w:sz w:val="24"/>
          <w:szCs w:val="24"/>
          <w:lang w:val="en-US"/>
        </w:rPr>
        <w:t>41)</w:t>
      </w:r>
      <w:r w:rsidR="002028A3" w:rsidRPr="00F4226B">
        <w:rPr>
          <w:rFonts w:ascii="Times New Roman" w:hAnsi="Times New Roman"/>
          <w:sz w:val="24"/>
          <w:szCs w:val="24"/>
          <w:lang w:val="en-US"/>
        </w:rPr>
        <w:t xml:space="preserve">. </w:t>
      </w:r>
    </w:p>
    <w:p w14:paraId="5E6B3212" w14:textId="77777777" w:rsidR="00997D6C" w:rsidRPr="00F4226B" w:rsidRDefault="004179BB"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  </w:t>
      </w:r>
    </w:p>
    <w:p w14:paraId="516CC60A" w14:textId="77777777" w:rsidR="00264E18" w:rsidRPr="00804A08" w:rsidRDefault="00264E18" w:rsidP="00CF3168">
      <w:pPr>
        <w:spacing w:line="360" w:lineRule="auto"/>
        <w:jc w:val="both"/>
        <w:rPr>
          <w:rFonts w:ascii="Times New Roman" w:hAnsi="Times New Roman"/>
          <w:i/>
          <w:sz w:val="24"/>
          <w:szCs w:val="24"/>
          <w:lang w:val="en-US"/>
        </w:rPr>
      </w:pPr>
      <w:r w:rsidRPr="00804A08">
        <w:rPr>
          <w:rFonts w:ascii="Times New Roman" w:hAnsi="Times New Roman"/>
          <w:i/>
          <w:sz w:val="24"/>
          <w:szCs w:val="24"/>
          <w:lang w:val="en-US"/>
        </w:rPr>
        <w:t>3.</w:t>
      </w:r>
      <w:r w:rsidR="00F739CB" w:rsidRPr="00804A08">
        <w:rPr>
          <w:rFonts w:ascii="Times New Roman" w:hAnsi="Times New Roman"/>
          <w:i/>
          <w:sz w:val="24"/>
          <w:szCs w:val="24"/>
          <w:lang w:val="en-US"/>
        </w:rPr>
        <w:t>2</w:t>
      </w:r>
      <w:r w:rsidRPr="00804A08">
        <w:rPr>
          <w:rFonts w:ascii="Times New Roman" w:hAnsi="Times New Roman"/>
          <w:i/>
          <w:sz w:val="24"/>
          <w:szCs w:val="24"/>
          <w:lang w:val="en-US"/>
        </w:rPr>
        <w:t xml:space="preserve"> </w:t>
      </w:r>
      <w:r w:rsidR="00814924" w:rsidRPr="00804A08">
        <w:rPr>
          <w:rFonts w:ascii="Times New Roman" w:hAnsi="Times New Roman"/>
          <w:i/>
          <w:sz w:val="24"/>
          <w:szCs w:val="24"/>
          <w:lang w:val="en-US"/>
        </w:rPr>
        <w:t xml:space="preserve">The </w:t>
      </w:r>
      <w:r w:rsidR="00C253F5" w:rsidRPr="00804A08">
        <w:rPr>
          <w:rFonts w:ascii="Times New Roman" w:hAnsi="Times New Roman"/>
          <w:i/>
          <w:sz w:val="24"/>
          <w:szCs w:val="24"/>
          <w:lang w:val="en-US"/>
        </w:rPr>
        <w:t>v</w:t>
      </w:r>
      <w:r w:rsidR="006F06BA" w:rsidRPr="00804A08">
        <w:rPr>
          <w:rFonts w:ascii="Times New Roman" w:hAnsi="Times New Roman"/>
          <w:i/>
          <w:sz w:val="24"/>
          <w:szCs w:val="24"/>
          <w:lang w:val="en-US"/>
        </w:rPr>
        <w:t xml:space="preserve">aluation effects of HC and IA accounting </w:t>
      </w:r>
      <w:r w:rsidR="006676EC" w:rsidRPr="00804A08">
        <w:rPr>
          <w:rFonts w:ascii="Times New Roman" w:hAnsi="Times New Roman"/>
          <w:i/>
          <w:sz w:val="24"/>
          <w:szCs w:val="24"/>
          <w:lang w:val="en-US"/>
        </w:rPr>
        <w:t>amounts</w:t>
      </w:r>
    </w:p>
    <w:p w14:paraId="54F63DE1" w14:textId="791E0304" w:rsidR="00F87D99" w:rsidRPr="00F4226B" w:rsidRDefault="00F87D99" w:rsidP="00C253F5">
      <w:pPr>
        <w:spacing w:line="360" w:lineRule="auto"/>
        <w:ind w:right="-1"/>
        <w:jc w:val="both"/>
        <w:rPr>
          <w:rFonts w:ascii="Times New Roman" w:hAnsi="Times New Roman"/>
          <w:sz w:val="24"/>
          <w:szCs w:val="24"/>
          <w:lang w:val="en-US"/>
        </w:rPr>
      </w:pPr>
      <w:r w:rsidRPr="00F4226B">
        <w:rPr>
          <w:rFonts w:ascii="Times New Roman" w:hAnsi="Times New Roman"/>
          <w:sz w:val="24"/>
          <w:szCs w:val="24"/>
          <w:shd w:val="clear" w:color="auto" w:fill="FFFFFF"/>
          <w:lang w:val="en-US"/>
        </w:rPr>
        <w:lastRenderedPageBreak/>
        <w:t>T</w:t>
      </w:r>
      <w:r w:rsidR="0096042E" w:rsidRPr="00F4226B">
        <w:rPr>
          <w:rFonts w:ascii="Times New Roman" w:hAnsi="Times New Roman"/>
          <w:sz w:val="24"/>
          <w:szCs w:val="24"/>
          <w:shd w:val="clear" w:color="auto" w:fill="FFFFFF"/>
          <w:lang w:val="en-US"/>
        </w:rPr>
        <w:t xml:space="preserve">he </w:t>
      </w:r>
      <w:r w:rsidR="002B1E48" w:rsidRPr="00F4226B">
        <w:rPr>
          <w:rFonts w:ascii="Times New Roman" w:hAnsi="Times New Roman"/>
          <w:sz w:val="24"/>
          <w:szCs w:val="24"/>
          <w:shd w:val="clear" w:color="auto" w:fill="FFFFFF"/>
          <w:lang w:val="en-US"/>
        </w:rPr>
        <w:t xml:space="preserve">IASB </w:t>
      </w:r>
      <w:r w:rsidR="000B1458" w:rsidRPr="00F4226B">
        <w:rPr>
          <w:rFonts w:ascii="Times New Roman" w:hAnsi="Times New Roman"/>
          <w:sz w:val="24"/>
          <w:szCs w:val="24"/>
          <w:shd w:val="clear" w:color="auto" w:fill="FFFFFF"/>
          <w:lang w:val="en-US"/>
        </w:rPr>
        <w:t>c</w:t>
      </w:r>
      <w:r w:rsidR="002B1E48" w:rsidRPr="00F4226B">
        <w:rPr>
          <w:rFonts w:ascii="Times New Roman" w:hAnsi="Times New Roman"/>
          <w:sz w:val="24"/>
          <w:szCs w:val="24"/>
          <w:shd w:val="clear" w:color="auto" w:fill="FFFFFF"/>
          <w:lang w:val="en-US"/>
        </w:rPr>
        <w:t xml:space="preserve">onceptual framework </w:t>
      </w:r>
      <w:r w:rsidR="0003328D" w:rsidRPr="00F4226B">
        <w:rPr>
          <w:rFonts w:ascii="Times New Roman" w:hAnsi="Times New Roman"/>
          <w:sz w:val="24"/>
          <w:szCs w:val="24"/>
          <w:shd w:val="clear" w:color="auto" w:fill="FFFFFF"/>
          <w:lang w:val="en-US"/>
        </w:rPr>
        <w:t xml:space="preserve">and </w:t>
      </w:r>
      <w:r w:rsidR="0096042E" w:rsidRPr="00F4226B">
        <w:rPr>
          <w:rFonts w:ascii="Times New Roman" w:hAnsi="Times New Roman"/>
          <w:sz w:val="24"/>
          <w:szCs w:val="24"/>
          <w:shd w:val="clear" w:color="auto" w:fill="FFFFFF"/>
          <w:lang w:val="en-US"/>
        </w:rPr>
        <w:t>p</w:t>
      </w:r>
      <w:r w:rsidR="00540569" w:rsidRPr="00F4226B">
        <w:rPr>
          <w:rFonts w:ascii="Times New Roman" w:hAnsi="Times New Roman"/>
          <w:sz w:val="24"/>
          <w:szCs w:val="24"/>
          <w:shd w:val="clear" w:color="auto" w:fill="FFFFFF"/>
          <w:lang w:val="en-US"/>
        </w:rPr>
        <w:t xml:space="preserve">rior </w:t>
      </w:r>
      <w:r w:rsidR="00C253F5" w:rsidRPr="00F4226B">
        <w:rPr>
          <w:rFonts w:ascii="Times New Roman" w:hAnsi="Times New Roman"/>
          <w:sz w:val="24"/>
          <w:szCs w:val="24"/>
          <w:shd w:val="clear" w:color="auto" w:fill="FFFFFF"/>
          <w:lang w:val="en-US"/>
        </w:rPr>
        <w:t>studies</w:t>
      </w:r>
      <w:r w:rsidR="00540569" w:rsidRPr="00F4226B">
        <w:rPr>
          <w:rFonts w:ascii="Times New Roman" w:hAnsi="Times New Roman"/>
          <w:sz w:val="24"/>
          <w:szCs w:val="24"/>
          <w:shd w:val="clear" w:color="auto" w:fill="FFFFFF"/>
          <w:lang w:val="en-US"/>
        </w:rPr>
        <w:t xml:space="preserve"> </w:t>
      </w:r>
      <w:r w:rsidR="009E0861">
        <w:rPr>
          <w:rFonts w:ascii="Times New Roman" w:hAnsi="Times New Roman"/>
          <w:sz w:val="24"/>
          <w:szCs w:val="24"/>
          <w:shd w:val="clear" w:color="auto" w:fill="FFFFFF"/>
          <w:lang w:val="en-US"/>
        </w:rPr>
        <w:t>suggest</w:t>
      </w:r>
      <w:r w:rsidR="00BF6EF8" w:rsidRPr="00F4226B">
        <w:rPr>
          <w:rFonts w:ascii="Times New Roman" w:hAnsi="Times New Roman"/>
          <w:sz w:val="24"/>
          <w:szCs w:val="24"/>
          <w:shd w:val="clear" w:color="auto" w:fill="FFFFFF"/>
          <w:lang w:val="en-US"/>
        </w:rPr>
        <w:t xml:space="preserve"> </w:t>
      </w:r>
      <w:r w:rsidR="00456B97">
        <w:rPr>
          <w:rFonts w:ascii="Times New Roman" w:hAnsi="Times New Roman"/>
          <w:sz w:val="24"/>
          <w:szCs w:val="24"/>
          <w:shd w:val="clear" w:color="auto" w:fill="FFFFFF"/>
          <w:lang w:val="en-US"/>
        </w:rPr>
        <w:t xml:space="preserve">that </w:t>
      </w:r>
      <w:r w:rsidR="0003328D" w:rsidRPr="00F4226B">
        <w:rPr>
          <w:rFonts w:ascii="Times New Roman" w:hAnsi="Times New Roman"/>
          <w:sz w:val="24"/>
          <w:szCs w:val="24"/>
          <w:shd w:val="clear" w:color="auto" w:fill="FFFFFF"/>
          <w:lang w:val="en-US"/>
        </w:rPr>
        <w:t xml:space="preserve">the </w:t>
      </w:r>
      <w:r w:rsidR="00BF6EF8" w:rsidRPr="00F4226B">
        <w:rPr>
          <w:rFonts w:ascii="Times New Roman" w:hAnsi="Times New Roman"/>
          <w:sz w:val="24"/>
          <w:szCs w:val="24"/>
          <w:shd w:val="clear" w:color="auto" w:fill="FFFFFF"/>
          <w:lang w:val="en-US"/>
        </w:rPr>
        <w:t xml:space="preserve">role </w:t>
      </w:r>
      <w:r w:rsidR="0003328D" w:rsidRPr="00F4226B">
        <w:rPr>
          <w:rFonts w:ascii="Times New Roman" w:hAnsi="Times New Roman"/>
          <w:sz w:val="24"/>
          <w:szCs w:val="24"/>
          <w:shd w:val="clear" w:color="auto" w:fill="FFFFFF"/>
          <w:lang w:val="en-US"/>
        </w:rPr>
        <w:t xml:space="preserve">of accounting information </w:t>
      </w:r>
      <w:r w:rsidR="00456B97">
        <w:rPr>
          <w:rFonts w:ascii="Times New Roman" w:hAnsi="Times New Roman"/>
          <w:sz w:val="24"/>
          <w:szCs w:val="24"/>
          <w:shd w:val="clear" w:color="auto" w:fill="FFFFFF"/>
          <w:lang w:val="en-US"/>
        </w:rPr>
        <w:t xml:space="preserve">is </w:t>
      </w:r>
      <w:r w:rsidR="00DF0976">
        <w:rPr>
          <w:rFonts w:ascii="Times New Roman" w:hAnsi="Times New Roman"/>
          <w:sz w:val="24"/>
          <w:szCs w:val="24"/>
          <w:shd w:val="clear" w:color="auto" w:fill="FFFFFF"/>
          <w:lang w:val="en-US"/>
        </w:rPr>
        <w:t xml:space="preserve">to </w:t>
      </w:r>
      <w:r w:rsidR="0003328D" w:rsidRPr="00F4226B">
        <w:rPr>
          <w:rFonts w:ascii="Times New Roman" w:hAnsi="Times New Roman"/>
          <w:sz w:val="24"/>
          <w:szCs w:val="24"/>
          <w:shd w:val="clear" w:color="auto" w:fill="FFFFFF"/>
          <w:lang w:val="en-US"/>
        </w:rPr>
        <w:t xml:space="preserve">help </w:t>
      </w:r>
      <w:r w:rsidR="00DE15DB" w:rsidRPr="00F4226B">
        <w:rPr>
          <w:rFonts w:ascii="Times New Roman" w:hAnsi="Times New Roman"/>
          <w:sz w:val="24"/>
          <w:szCs w:val="24"/>
          <w:shd w:val="clear" w:color="auto" w:fill="FFFFFF"/>
          <w:lang w:val="en-US"/>
        </w:rPr>
        <w:t>investors</w:t>
      </w:r>
      <w:r w:rsidR="00BF6EF8" w:rsidRPr="00F4226B">
        <w:rPr>
          <w:rFonts w:ascii="Times New Roman" w:hAnsi="Times New Roman"/>
          <w:sz w:val="24"/>
          <w:szCs w:val="24"/>
          <w:shd w:val="clear" w:color="auto" w:fill="FFFFFF"/>
          <w:lang w:val="en-US"/>
        </w:rPr>
        <w:t xml:space="preserve"> (and</w:t>
      </w:r>
      <w:r w:rsidR="000B1458" w:rsidRPr="00F4226B">
        <w:rPr>
          <w:rFonts w:ascii="Times New Roman" w:hAnsi="Times New Roman"/>
          <w:sz w:val="24"/>
          <w:szCs w:val="24"/>
          <w:shd w:val="clear" w:color="auto" w:fill="FFFFFF"/>
          <w:lang w:val="en-US"/>
        </w:rPr>
        <w:t xml:space="preserve"> </w:t>
      </w:r>
      <w:r w:rsidRPr="00F4226B">
        <w:rPr>
          <w:rFonts w:ascii="Times New Roman" w:hAnsi="Times New Roman"/>
          <w:sz w:val="24"/>
          <w:szCs w:val="24"/>
          <w:shd w:val="clear" w:color="auto" w:fill="FFFFFF"/>
          <w:lang w:val="en-US"/>
        </w:rPr>
        <w:t>creditors</w:t>
      </w:r>
      <w:r w:rsidR="00BF6EF8" w:rsidRPr="00F4226B">
        <w:rPr>
          <w:rFonts w:ascii="Times New Roman" w:hAnsi="Times New Roman"/>
          <w:sz w:val="24"/>
          <w:szCs w:val="24"/>
          <w:shd w:val="clear" w:color="auto" w:fill="FFFFFF"/>
          <w:lang w:val="en-US"/>
        </w:rPr>
        <w:t>)</w:t>
      </w:r>
      <w:r w:rsidR="0003328D" w:rsidRPr="00F4226B">
        <w:rPr>
          <w:rFonts w:ascii="Times New Roman" w:hAnsi="Times New Roman"/>
          <w:sz w:val="24"/>
          <w:szCs w:val="24"/>
          <w:shd w:val="clear" w:color="auto" w:fill="FFFFFF"/>
          <w:lang w:val="en-US"/>
        </w:rPr>
        <w:t xml:space="preserve"> </w:t>
      </w:r>
      <w:r w:rsidR="00FD6A6C" w:rsidRPr="00F4226B">
        <w:rPr>
          <w:rFonts w:ascii="Times New Roman" w:hAnsi="Times New Roman"/>
          <w:sz w:val="24"/>
          <w:szCs w:val="24"/>
          <w:shd w:val="clear" w:color="auto" w:fill="FFFFFF"/>
          <w:lang w:val="en-US"/>
        </w:rPr>
        <w:t xml:space="preserve">predict </w:t>
      </w:r>
      <w:r w:rsidRPr="00F4226B">
        <w:rPr>
          <w:rFonts w:ascii="Times New Roman" w:hAnsi="Times New Roman"/>
          <w:sz w:val="24"/>
          <w:szCs w:val="24"/>
          <w:shd w:val="clear" w:color="auto" w:fill="FFFFFF"/>
          <w:lang w:val="en-US"/>
        </w:rPr>
        <w:t xml:space="preserve">a firm’s </w:t>
      </w:r>
      <w:r w:rsidR="00FD6A6C" w:rsidRPr="00F4226B">
        <w:rPr>
          <w:rFonts w:ascii="Times New Roman" w:hAnsi="Times New Roman"/>
          <w:sz w:val="24"/>
          <w:szCs w:val="24"/>
          <w:shd w:val="clear" w:color="auto" w:fill="FFFFFF"/>
          <w:lang w:val="en-US"/>
        </w:rPr>
        <w:t>future cash flows</w:t>
      </w:r>
      <w:r w:rsidR="00C253F5" w:rsidRPr="00F4226B">
        <w:rPr>
          <w:rFonts w:ascii="Times New Roman" w:hAnsi="Times New Roman"/>
          <w:sz w:val="24"/>
          <w:szCs w:val="24"/>
          <w:shd w:val="clear" w:color="auto" w:fill="FFFFFF"/>
          <w:lang w:val="en-US"/>
        </w:rPr>
        <w:t xml:space="preserve"> (Sloan 1996; Barth et al. 2001a; Bartov et al. 2001; IASB 2011</w:t>
      </w:r>
      <w:r w:rsidR="009314FA" w:rsidRPr="00F4226B">
        <w:rPr>
          <w:rFonts w:ascii="Times New Roman" w:hAnsi="Times New Roman"/>
          <w:sz w:val="24"/>
          <w:szCs w:val="24"/>
          <w:shd w:val="clear" w:color="auto" w:fill="FFFFFF"/>
          <w:lang w:val="en-US"/>
        </w:rPr>
        <w:t>; Curtis et al. 2015</w:t>
      </w:r>
      <w:r w:rsidR="00C253F5" w:rsidRPr="00F4226B">
        <w:rPr>
          <w:rFonts w:ascii="Times New Roman" w:hAnsi="Times New Roman"/>
          <w:sz w:val="24"/>
          <w:szCs w:val="24"/>
          <w:shd w:val="clear" w:color="auto" w:fill="FFFFFF"/>
          <w:lang w:val="en-US"/>
        </w:rPr>
        <w:t>)</w:t>
      </w:r>
      <w:r w:rsidR="0003328D" w:rsidRPr="00F4226B">
        <w:rPr>
          <w:rFonts w:ascii="Times New Roman" w:hAnsi="Times New Roman"/>
          <w:sz w:val="24"/>
          <w:szCs w:val="24"/>
          <w:shd w:val="clear" w:color="auto" w:fill="FFFFFF"/>
          <w:lang w:val="en-US"/>
        </w:rPr>
        <w:t xml:space="preserve">. </w:t>
      </w:r>
      <w:r w:rsidR="003E2C30" w:rsidRPr="00F4226B">
        <w:rPr>
          <w:rFonts w:ascii="Times New Roman" w:hAnsi="Times New Roman"/>
          <w:sz w:val="24"/>
          <w:szCs w:val="24"/>
          <w:shd w:val="clear" w:color="auto" w:fill="FFFFFF"/>
          <w:lang w:val="en-US"/>
        </w:rPr>
        <w:t>In this context</w:t>
      </w:r>
      <w:r w:rsidR="00BF6EF8" w:rsidRPr="00F4226B">
        <w:rPr>
          <w:rFonts w:ascii="Times New Roman" w:hAnsi="Times New Roman"/>
          <w:sz w:val="24"/>
          <w:szCs w:val="24"/>
          <w:shd w:val="clear" w:color="auto" w:fill="FFFFFF"/>
          <w:lang w:val="en-US"/>
        </w:rPr>
        <w:t>, Barth et al. (2001</w:t>
      </w:r>
      <w:r w:rsidR="00812848" w:rsidRPr="00F4226B">
        <w:rPr>
          <w:rFonts w:ascii="Times New Roman" w:hAnsi="Times New Roman"/>
          <w:sz w:val="24"/>
          <w:szCs w:val="24"/>
          <w:shd w:val="clear" w:color="auto" w:fill="FFFFFF"/>
          <w:lang w:val="en-US"/>
        </w:rPr>
        <w:t>a</w:t>
      </w:r>
      <w:r w:rsidR="00BF6EF8" w:rsidRPr="00F4226B">
        <w:rPr>
          <w:rFonts w:ascii="Times New Roman" w:hAnsi="Times New Roman"/>
          <w:sz w:val="24"/>
          <w:szCs w:val="24"/>
          <w:shd w:val="clear" w:color="auto" w:fill="FFFFFF"/>
          <w:lang w:val="en-US"/>
        </w:rPr>
        <w:t xml:space="preserve">) suggest that </w:t>
      </w:r>
      <w:r w:rsidR="00FD6A6C" w:rsidRPr="00F4226B">
        <w:rPr>
          <w:rFonts w:ascii="Times New Roman" w:hAnsi="Times New Roman"/>
          <w:sz w:val="24"/>
          <w:szCs w:val="24"/>
          <w:lang w:val="en-US"/>
        </w:rPr>
        <w:t>s</w:t>
      </w:r>
      <w:r w:rsidRPr="00F4226B">
        <w:rPr>
          <w:rFonts w:ascii="Times New Roman" w:hAnsi="Times New Roman"/>
          <w:sz w:val="24"/>
          <w:szCs w:val="24"/>
          <w:lang w:val="en-US"/>
        </w:rPr>
        <w:t>tock</w:t>
      </w:r>
      <w:r w:rsidR="00FD6A6C" w:rsidRPr="00F4226B">
        <w:rPr>
          <w:rFonts w:ascii="Times New Roman" w:hAnsi="Times New Roman"/>
          <w:sz w:val="24"/>
          <w:szCs w:val="24"/>
          <w:lang w:val="en-US"/>
        </w:rPr>
        <w:t xml:space="preserve"> prices reflect</w:t>
      </w:r>
      <w:r w:rsidR="00540569" w:rsidRPr="00F4226B">
        <w:rPr>
          <w:rFonts w:ascii="Times New Roman" w:hAnsi="Times New Roman"/>
          <w:sz w:val="24"/>
          <w:szCs w:val="24"/>
          <w:lang w:val="en-US"/>
        </w:rPr>
        <w:t xml:space="preserve"> </w:t>
      </w:r>
      <w:r w:rsidR="00BF6EF8" w:rsidRPr="00F4226B">
        <w:rPr>
          <w:rFonts w:ascii="Times New Roman" w:hAnsi="Times New Roman"/>
          <w:sz w:val="24"/>
          <w:szCs w:val="24"/>
          <w:lang w:val="en-US"/>
        </w:rPr>
        <w:t xml:space="preserve">investors’ </w:t>
      </w:r>
      <w:r w:rsidR="00FD6A6C" w:rsidRPr="00F4226B">
        <w:rPr>
          <w:rFonts w:ascii="Times New Roman" w:hAnsi="Times New Roman"/>
          <w:sz w:val="24"/>
          <w:szCs w:val="24"/>
          <w:lang w:val="en-US"/>
        </w:rPr>
        <w:t xml:space="preserve">assessment of </w:t>
      </w:r>
      <w:r w:rsidR="007C5AF2" w:rsidRPr="00F4226B">
        <w:rPr>
          <w:rFonts w:ascii="Times New Roman" w:hAnsi="Times New Roman"/>
          <w:sz w:val="24"/>
          <w:szCs w:val="24"/>
          <w:lang w:val="en-US"/>
        </w:rPr>
        <w:t>firm</w:t>
      </w:r>
      <w:r w:rsidR="005E25DA" w:rsidRPr="00F4226B">
        <w:rPr>
          <w:rFonts w:ascii="Times New Roman" w:hAnsi="Times New Roman"/>
          <w:sz w:val="24"/>
          <w:szCs w:val="24"/>
          <w:lang w:val="en-US"/>
        </w:rPr>
        <w:t>s</w:t>
      </w:r>
      <w:r w:rsidR="007C5AF2" w:rsidRPr="00F4226B">
        <w:rPr>
          <w:rFonts w:ascii="Times New Roman" w:hAnsi="Times New Roman"/>
          <w:sz w:val="24"/>
          <w:szCs w:val="24"/>
          <w:lang w:val="en-US"/>
        </w:rPr>
        <w:t xml:space="preserve">’ </w:t>
      </w:r>
      <w:r w:rsidR="00FD6A6C" w:rsidRPr="00F4226B">
        <w:rPr>
          <w:rFonts w:ascii="Times New Roman" w:hAnsi="Times New Roman"/>
          <w:sz w:val="24"/>
          <w:szCs w:val="24"/>
          <w:lang w:val="en-US"/>
        </w:rPr>
        <w:t xml:space="preserve">ability to generate </w:t>
      </w:r>
      <w:r w:rsidR="0022295B" w:rsidRPr="00F4226B">
        <w:rPr>
          <w:rFonts w:ascii="Times New Roman" w:hAnsi="Times New Roman"/>
          <w:sz w:val="24"/>
          <w:szCs w:val="24"/>
          <w:lang w:val="en-US"/>
        </w:rPr>
        <w:t xml:space="preserve">future </w:t>
      </w:r>
      <w:r w:rsidR="00FD6A6C" w:rsidRPr="00F4226B">
        <w:rPr>
          <w:rFonts w:ascii="Times New Roman" w:hAnsi="Times New Roman"/>
          <w:sz w:val="24"/>
          <w:szCs w:val="24"/>
          <w:lang w:val="en-US"/>
        </w:rPr>
        <w:t xml:space="preserve">cash flows. </w:t>
      </w:r>
      <w:r w:rsidR="003E2C30" w:rsidRPr="00F4226B">
        <w:rPr>
          <w:rFonts w:ascii="Times New Roman" w:hAnsi="Times New Roman"/>
          <w:sz w:val="24"/>
          <w:szCs w:val="24"/>
          <w:lang w:val="en-US"/>
        </w:rPr>
        <w:t>In this study</w:t>
      </w:r>
      <w:r w:rsidR="00BF6EF8" w:rsidRPr="00F4226B">
        <w:rPr>
          <w:rFonts w:ascii="Times New Roman" w:hAnsi="Times New Roman"/>
          <w:sz w:val="24"/>
          <w:szCs w:val="24"/>
          <w:lang w:val="en-US"/>
        </w:rPr>
        <w:t xml:space="preserve">, </w:t>
      </w:r>
      <w:r w:rsidR="003C6E75" w:rsidRPr="00F4226B">
        <w:rPr>
          <w:rFonts w:ascii="Times New Roman" w:hAnsi="Times New Roman"/>
          <w:sz w:val="24"/>
          <w:szCs w:val="24"/>
          <w:lang w:val="en-US"/>
        </w:rPr>
        <w:t xml:space="preserve">we </w:t>
      </w:r>
      <w:r w:rsidR="00F4226B" w:rsidRPr="00F4226B">
        <w:rPr>
          <w:rFonts w:ascii="Times New Roman" w:hAnsi="Times New Roman"/>
          <w:sz w:val="24"/>
          <w:szCs w:val="24"/>
          <w:lang w:val="en-US"/>
        </w:rPr>
        <w:t>conceptualize</w:t>
      </w:r>
      <w:r w:rsidR="003C6E75" w:rsidRPr="00F4226B">
        <w:rPr>
          <w:rFonts w:ascii="Times New Roman" w:hAnsi="Times New Roman"/>
          <w:sz w:val="24"/>
          <w:szCs w:val="24"/>
          <w:lang w:val="en-US"/>
        </w:rPr>
        <w:t xml:space="preserve"> </w:t>
      </w:r>
      <w:r w:rsidR="008476B5" w:rsidRPr="00F4226B">
        <w:rPr>
          <w:rFonts w:ascii="Times New Roman" w:hAnsi="Times New Roman"/>
          <w:sz w:val="24"/>
          <w:szCs w:val="24"/>
          <w:lang w:val="en-US"/>
        </w:rPr>
        <w:t xml:space="preserve">HC and IA </w:t>
      </w:r>
      <w:r w:rsidR="005E25DA" w:rsidRPr="00F4226B">
        <w:rPr>
          <w:rFonts w:ascii="Times New Roman" w:hAnsi="Times New Roman"/>
          <w:sz w:val="24"/>
          <w:szCs w:val="24"/>
          <w:lang w:val="en-US"/>
        </w:rPr>
        <w:t>amounts</w:t>
      </w:r>
      <w:r w:rsidR="007C5AF2" w:rsidRPr="00F4226B">
        <w:rPr>
          <w:rFonts w:ascii="Times New Roman" w:hAnsi="Times New Roman"/>
          <w:sz w:val="24"/>
          <w:szCs w:val="24"/>
          <w:lang w:val="en-US"/>
        </w:rPr>
        <w:t xml:space="preserve"> </w:t>
      </w:r>
      <w:r w:rsidR="008476B5" w:rsidRPr="00F4226B">
        <w:rPr>
          <w:rFonts w:ascii="Times New Roman" w:hAnsi="Times New Roman"/>
          <w:sz w:val="24"/>
          <w:szCs w:val="24"/>
          <w:lang w:val="en-US"/>
        </w:rPr>
        <w:t xml:space="preserve">as two alternative </w:t>
      </w:r>
      <w:r w:rsidR="00E710C2" w:rsidRPr="00F4226B">
        <w:rPr>
          <w:rFonts w:ascii="Times New Roman" w:hAnsi="Times New Roman"/>
          <w:sz w:val="24"/>
          <w:szCs w:val="24"/>
          <w:lang w:val="en-US"/>
        </w:rPr>
        <w:t xml:space="preserve">measures </w:t>
      </w:r>
      <w:r w:rsidR="005F1A84" w:rsidRPr="00F4226B">
        <w:rPr>
          <w:rFonts w:ascii="Times New Roman" w:hAnsi="Times New Roman"/>
          <w:sz w:val="24"/>
          <w:szCs w:val="24"/>
          <w:lang w:val="en-US"/>
        </w:rPr>
        <w:t xml:space="preserve">that </w:t>
      </w:r>
      <w:r w:rsidRPr="00F4226B">
        <w:rPr>
          <w:rFonts w:ascii="Times New Roman" w:hAnsi="Times New Roman"/>
          <w:sz w:val="24"/>
          <w:szCs w:val="24"/>
          <w:lang w:val="en-US"/>
        </w:rPr>
        <w:t xml:space="preserve">investors </w:t>
      </w:r>
      <w:r w:rsidR="004A3513" w:rsidRPr="00F4226B">
        <w:rPr>
          <w:rFonts w:ascii="Times New Roman" w:hAnsi="Times New Roman"/>
          <w:sz w:val="24"/>
          <w:szCs w:val="24"/>
          <w:lang w:val="en-US"/>
        </w:rPr>
        <w:t>can use</w:t>
      </w:r>
      <w:r w:rsidR="00BF6EF8" w:rsidRPr="00F4226B">
        <w:rPr>
          <w:rFonts w:ascii="Times New Roman" w:hAnsi="Times New Roman"/>
          <w:sz w:val="24"/>
          <w:szCs w:val="24"/>
          <w:lang w:val="en-US"/>
        </w:rPr>
        <w:t xml:space="preserve"> </w:t>
      </w:r>
      <w:r w:rsidR="004A3513" w:rsidRPr="00F4226B">
        <w:rPr>
          <w:rFonts w:ascii="Times New Roman" w:hAnsi="Times New Roman"/>
          <w:sz w:val="24"/>
          <w:szCs w:val="24"/>
          <w:lang w:val="en-US"/>
        </w:rPr>
        <w:t xml:space="preserve">to </w:t>
      </w:r>
      <w:r w:rsidR="00E240D5" w:rsidRPr="00F4226B">
        <w:rPr>
          <w:rFonts w:ascii="Times New Roman" w:hAnsi="Times New Roman"/>
          <w:sz w:val="24"/>
          <w:szCs w:val="24"/>
          <w:lang w:val="en-US"/>
        </w:rPr>
        <w:t>predict</w:t>
      </w:r>
      <w:r w:rsidR="00E710C2" w:rsidRPr="00F4226B">
        <w:rPr>
          <w:rFonts w:ascii="Times New Roman" w:hAnsi="Times New Roman"/>
          <w:sz w:val="24"/>
          <w:szCs w:val="24"/>
          <w:lang w:val="en-US"/>
        </w:rPr>
        <w:t xml:space="preserve"> </w:t>
      </w:r>
      <w:r w:rsidR="00BF6EF8" w:rsidRPr="00F4226B">
        <w:rPr>
          <w:rFonts w:ascii="Times New Roman" w:hAnsi="Times New Roman"/>
          <w:sz w:val="24"/>
          <w:szCs w:val="24"/>
          <w:lang w:val="en-US"/>
        </w:rPr>
        <w:t xml:space="preserve">future </w:t>
      </w:r>
      <w:r w:rsidR="00E710C2" w:rsidRPr="00F4226B">
        <w:rPr>
          <w:rFonts w:ascii="Times New Roman" w:hAnsi="Times New Roman"/>
          <w:sz w:val="24"/>
          <w:szCs w:val="24"/>
          <w:lang w:val="en-US"/>
        </w:rPr>
        <w:t xml:space="preserve">cash flows and </w:t>
      </w:r>
      <w:r w:rsidRPr="00F4226B">
        <w:rPr>
          <w:rFonts w:ascii="Times New Roman" w:hAnsi="Times New Roman"/>
          <w:sz w:val="24"/>
          <w:szCs w:val="24"/>
          <w:lang w:val="en-US"/>
        </w:rPr>
        <w:t xml:space="preserve">make </w:t>
      </w:r>
      <w:r w:rsidR="00C253F5" w:rsidRPr="00F4226B">
        <w:rPr>
          <w:rFonts w:ascii="Times New Roman" w:hAnsi="Times New Roman"/>
          <w:sz w:val="24"/>
          <w:szCs w:val="24"/>
          <w:lang w:val="en-US"/>
        </w:rPr>
        <w:t>investment</w:t>
      </w:r>
      <w:r w:rsidRPr="00F4226B">
        <w:rPr>
          <w:rFonts w:ascii="Times New Roman" w:hAnsi="Times New Roman"/>
          <w:sz w:val="24"/>
          <w:szCs w:val="24"/>
          <w:lang w:val="en-US"/>
        </w:rPr>
        <w:t xml:space="preserve"> dec</w:t>
      </w:r>
      <w:r w:rsidR="002341F2" w:rsidRPr="00F4226B">
        <w:rPr>
          <w:rFonts w:ascii="Times New Roman" w:hAnsi="Times New Roman"/>
          <w:sz w:val="24"/>
          <w:szCs w:val="24"/>
          <w:lang w:val="en-US"/>
        </w:rPr>
        <w:t>ision</w:t>
      </w:r>
      <w:r w:rsidR="007C5AF2" w:rsidRPr="00F4226B">
        <w:rPr>
          <w:rFonts w:ascii="Times New Roman" w:hAnsi="Times New Roman"/>
          <w:sz w:val="24"/>
          <w:szCs w:val="24"/>
          <w:lang w:val="en-US"/>
        </w:rPr>
        <w:t>s</w:t>
      </w:r>
      <w:r w:rsidR="005F1A84" w:rsidRPr="00F4226B">
        <w:rPr>
          <w:rFonts w:ascii="Times New Roman" w:hAnsi="Times New Roman"/>
          <w:sz w:val="24"/>
          <w:szCs w:val="24"/>
          <w:lang w:val="en-US"/>
        </w:rPr>
        <w:t xml:space="preserve">. </w:t>
      </w:r>
      <w:r w:rsidR="003E2C30" w:rsidRPr="00F4226B">
        <w:rPr>
          <w:rFonts w:ascii="Times New Roman" w:hAnsi="Times New Roman"/>
          <w:sz w:val="24"/>
          <w:szCs w:val="24"/>
          <w:lang w:val="en-US"/>
        </w:rPr>
        <w:t>Thus</w:t>
      </w:r>
      <w:r w:rsidR="007C5AF2" w:rsidRPr="00F4226B">
        <w:rPr>
          <w:rFonts w:ascii="Times New Roman" w:hAnsi="Times New Roman"/>
          <w:sz w:val="24"/>
          <w:szCs w:val="24"/>
          <w:lang w:val="en-US"/>
        </w:rPr>
        <w:t xml:space="preserve"> </w:t>
      </w:r>
      <w:r w:rsidR="00394832" w:rsidRPr="00F4226B">
        <w:rPr>
          <w:rFonts w:ascii="Times New Roman" w:hAnsi="Times New Roman"/>
          <w:sz w:val="24"/>
          <w:szCs w:val="24"/>
          <w:lang w:val="en-US"/>
        </w:rPr>
        <w:t xml:space="preserve">depending on how informative the measure is for predicting cash flows, </w:t>
      </w:r>
      <w:r w:rsidR="00171000" w:rsidRPr="00F4226B">
        <w:rPr>
          <w:rFonts w:ascii="Times New Roman" w:hAnsi="Times New Roman"/>
          <w:sz w:val="24"/>
          <w:szCs w:val="24"/>
          <w:lang w:val="en-US"/>
        </w:rPr>
        <w:t xml:space="preserve">each </w:t>
      </w:r>
      <w:r w:rsidR="00394832" w:rsidRPr="00F4226B">
        <w:rPr>
          <w:rFonts w:ascii="Times New Roman" w:hAnsi="Times New Roman"/>
          <w:sz w:val="24"/>
          <w:szCs w:val="24"/>
          <w:lang w:val="en-US"/>
        </w:rPr>
        <w:t xml:space="preserve">of the two </w:t>
      </w:r>
      <w:r w:rsidR="00171000" w:rsidRPr="00F4226B">
        <w:rPr>
          <w:rFonts w:ascii="Times New Roman" w:hAnsi="Times New Roman"/>
          <w:sz w:val="24"/>
          <w:szCs w:val="24"/>
          <w:lang w:val="en-US"/>
        </w:rPr>
        <w:t>measure</w:t>
      </w:r>
      <w:r w:rsidR="00394832" w:rsidRPr="00F4226B">
        <w:rPr>
          <w:rFonts w:ascii="Times New Roman" w:hAnsi="Times New Roman"/>
          <w:sz w:val="24"/>
          <w:szCs w:val="24"/>
          <w:lang w:val="en-US"/>
        </w:rPr>
        <w:t>s</w:t>
      </w:r>
      <w:r w:rsidR="00171000" w:rsidRPr="00F4226B">
        <w:rPr>
          <w:rFonts w:ascii="Times New Roman" w:hAnsi="Times New Roman"/>
          <w:sz w:val="24"/>
          <w:szCs w:val="24"/>
          <w:lang w:val="en-US"/>
        </w:rPr>
        <w:t xml:space="preserve"> </w:t>
      </w:r>
      <w:r w:rsidR="004A3513" w:rsidRPr="00F4226B">
        <w:rPr>
          <w:rFonts w:ascii="Times New Roman" w:hAnsi="Times New Roman"/>
          <w:sz w:val="24"/>
          <w:szCs w:val="24"/>
          <w:lang w:val="en-US"/>
        </w:rPr>
        <w:t xml:space="preserve">might be </w:t>
      </w:r>
      <w:r w:rsidR="008476B5" w:rsidRPr="00F4226B">
        <w:rPr>
          <w:rFonts w:ascii="Times New Roman" w:hAnsi="Times New Roman"/>
          <w:sz w:val="24"/>
          <w:szCs w:val="24"/>
          <w:lang w:val="en-US"/>
        </w:rPr>
        <w:t>value relevan</w:t>
      </w:r>
      <w:r w:rsidR="004A3513" w:rsidRPr="00F4226B">
        <w:rPr>
          <w:rFonts w:ascii="Times New Roman" w:hAnsi="Times New Roman"/>
          <w:sz w:val="24"/>
          <w:szCs w:val="24"/>
          <w:lang w:val="en-US"/>
        </w:rPr>
        <w:t>t</w:t>
      </w:r>
      <w:r w:rsidR="00D83200">
        <w:rPr>
          <w:rFonts w:ascii="Times New Roman" w:hAnsi="Times New Roman"/>
          <w:sz w:val="24"/>
          <w:szCs w:val="24"/>
          <w:lang w:val="en-US"/>
        </w:rPr>
        <w:t xml:space="preserve"> or</w:t>
      </w:r>
      <w:r w:rsidR="00A53EF3" w:rsidRPr="00F4226B">
        <w:rPr>
          <w:rFonts w:ascii="Times New Roman" w:hAnsi="Times New Roman"/>
          <w:sz w:val="24"/>
          <w:szCs w:val="24"/>
          <w:lang w:val="en-US"/>
        </w:rPr>
        <w:t xml:space="preserve"> </w:t>
      </w:r>
      <w:r w:rsidR="003636D9">
        <w:rPr>
          <w:rFonts w:ascii="Times New Roman" w:hAnsi="Times New Roman"/>
          <w:sz w:val="24"/>
          <w:szCs w:val="24"/>
          <w:lang w:val="en-US"/>
        </w:rPr>
        <w:t xml:space="preserve">one may be </w:t>
      </w:r>
      <w:r w:rsidR="004D0426" w:rsidRPr="00F4226B">
        <w:rPr>
          <w:rFonts w:ascii="Times New Roman" w:hAnsi="Times New Roman"/>
          <w:sz w:val="24"/>
          <w:szCs w:val="24"/>
          <w:lang w:val="en-US"/>
        </w:rPr>
        <w:t>more value relevant than the other</w:t>
      </w:r>
      <w:r w:rsidR="00171000" w:rsidRPr="00F4226B">
        <w:rPr>
          <w:rFonts w:ascii="Times New Roman" w:hAnsi="Times New Roman"/>
          <w:sz w:val="24"/>
          <w:szCs w:val="24"/>
          <w:lang w:val="en-US"/>
        </w:rPr>
        <w:t xml:space="preserve">. </w:t>
      </w:r>
    </w:p>
    <w:p w14:paraId="05B0CF30" w14:textId="73602C34" w:rsidR="008476B5" w:rsidRPr="00F4226B" w:rsidRDefault="0022295B" w:rsidP="0088145D">
      <w:pPr>
        <w:autoSpaceDE w:val="0"/>
        <w:autoSpaceDN w:val="0"/>
        <w:adjustRightInd w:val="0"/>
        <w:spacing w:after="120" w:line="360" w:lineRule="auto"/>
        <w:ind w:firstLine="284"/>
        <w:jc w:val="both"/>
        <w:rPr>
          <w:rFonts w:ascii="Times New Roman" w:hAnsi="Times New Roman"/>
          <w:sz w:val="24"/>
          <w:szCs w:val="24"/>
          <w:highlight w:val="yellow"/>
          <w:lang w:val="en-US"/>
        </w:rPr>
      </w:pPr>
      <w:r w:rsidRPr="00F4226B">
        <w:rPr>
          <w:rFonts w:ascii="Times New Roman" w:hAnsi="Times New Roman"/>
          <w:sz w:val="24"/>
          <w:szCs w:val="24"/>
          <w:lang w:val="en-US"/>
        </w:rPr>
        <w:t xml:space="preserve">Focusing on </w:t>
      </w:r>
      <w:r w:rsidR="00DD3184" w:rsidRPr="00F4226B">
        <w:rPr>
          <w:rFonts w:ascii="Times New Roman" w:hAnsi="Times New Roman"/>
          <w:sz w:val="24"/>
          <w:szCs w:val="24"/>
          <w:lang w:val="en-US"/>
        </w:rPr>
        <w:t xml:space="preserve">the value relevance of </w:t>
      </w:r>
      <w:r w:rsidR="00E53583" w:rsidRPr="00F4226B">
        <w:rPr>
          <w:rFonts w:ascii="Times New Roman" w:hAnsi="Times New Roman"/>
          <w:sz w:val="24"/>
          <w:szCs w:val="24"/>
          <w:lang w:val="en-US"/>
        </w:rPr>
        <w:t>IA</w:t>
      </w:r>
      <w:r w:rsidR="00A53EF3" w:rsidRPr="00F4226B">
        <w:rPr>
          <w:rFonts w:ascii="Times New Roman" w:hAnsi="Times New Roman"/>
          <w:sz w:val="24"/>
          <w:szCs w:val="24"/>
          <w:lang w:val="en-US"/>
        </w:rPr>
        <w:t xml:space="preserve"> </w:t>
      </w:r>
      <w:r w:rsidR="00DD3184" w:rsidRPr="00F4226B">
        <w:rPr>
          <w:rFonts w:ascii="Times New Roman" w:hAnsi="Times New Roman"/>
          <w:sz w:val="24"/>
          <w:szCs w:val="24"/>
          <w:lang w:val="en-US"/>
        </w:rPr>
        <w:t>amounts</w:t>
      </w:r>
      <w:r w:rsidR="00A53EF3" w:rsidRPr="00F4226B">
        <w:rPr>
          <w:rFonts w:ascii="Times New Roman" w:hAnsi="Times New Roman"/>
          <w:sz w:val="24"/>
          <w:szCs w:val="24"/>
          <w:lang w:val="en-US"/>
        </w:rPr>
        <w:t xml:space="preserve">, </w:t>
      </w:r>
      <w:r w:rsidR="005202A2" w:rsidRPr="00F4226B">
        <w:rPr>
          <w:rFonts w:ascii="Times New Roman" w:hAnsi="Times New Roman"/>
          <w:sz w:val="24"/>
          <w:szCs w:val="24"/>
          <w:lang w:val="en-US"/>
        </w:rPr>
        <w:t>normative theory</w:t>
      </w:r>
      <w:r w:rsidR="00A53EF3" w:rsidRPr="00F4226B">
        <w:rPr>
          <w:rFonts w:ascii="Times New Roman" w:hAnsi="Times New Roman"/>
          <w:sz w:val="24"/>
          <w:szCs w:val="24"/>
          <w:lang w:val="en-US"/>
        </w:rPr>
        <w:t xml:space="preserve"> suggests that</w:t>
      </w:r>
      <w:r w:rsidR="006912B9" w:rsidRPr="00F4226B">
        <w:rPr>
          <w:rFonts w:ascii="Times New Roman" w:hAnsi="Times New Roman"/>
          <w:sz w:val="24"/>
          <w:szCs w:val="24"/>
          <w:lang w:val="en-US"/>
        </w:rPr>
        <w:t xml:space="preserve"> </w:t>
      </w:r>
      <w:r w:rsidR="005202A2" w:rsidRPr="00F4226B">
        <w:rPr>
          <w:rFonts w:ascii="Times New Roman" w:hAnsi="Times New Roman"/>
          <w:sz w:val="24"/>
          <w:szCs w:val="24"/>
          <w:lang w:val="en-US"/>
        </w:rPr>
        <w:t>HC amounts are problematic</w:t>
      </w:r>
      <w:r w:rsidR="003636D9" w:rsidRPr="003636D9">
        <w:rPr>
          <w:rFonts w:ascii="Times New Roman" w:hAnsi="Times New Roman"/>
          <w:sz w:val="24"/>
          <w:szCs w:val="24"/>
          <w:lang w:val="en-US"/>
        </w:rPr>
        <w:t xml:space="preserve"> </w:t>
      </w:r>
      <w:r w:rsidR="003636D9" w:rsidRPr="00F4226B">
        <w:rPr>
          <w:rFonts w:ascii="Times New Roman" w:hAnsi="Times New Roman"/>
          <w:sz w:val="24"/>
          <w:szCs w:val="24"/>
          <w:lang w:val="en-US"/>
        </w:rPr>
        <w:t>under inflationary conditions</w:t>
      </w:r>
      <w:r w:rsidR="005202A2" w:rsidRPr="00F4226B">
        <w:rPr>
          <w:rFonts w:ascii="Times New Roman" w:hAnsi="Times New Roman"/>
          <w:sz w:val="24"/>
          <w:szCs w:val="24"/>
          <w:lang w:val="en-US"/>
        </w:rPr>
        <w:t xml:space="preserve"> </w:t>
      </w:r>
      <w:r w:rsidR="003636D9">
        <w:rPr>
          <w:rFonts w:ascii="Times New Roman" w:hAnsi="Times New Roman"/>
          <w:sz w:val="24"/>
          <w:szCs w:val="24"/>
          <w:lang w:val="en-US"/>
        </w:rPr>
        <w:t>because</w:t>
      </w:r>
      <w:r w:rsidR="003636D9" w:rsidRPr="00F4226B">
        <w:rPr>
          <w:rFonts w:ascii="Times New Roman" w:hAnsi="Times New Roman"/>
          <w:sz w:val="24"/>
          <w:szCs w:val="24"/>
          <w:lang w:val="en-US"/>
        </w:rPr>
        <w:t xml:space="preserve"> </w:t>
      </w:r>
      <w:r w:rsidR="005202A2" w:rsidRPr="00F4226B">
        <w:rPr>
          <w:rFonts w:ascii="Times New Roman" w:hAnsi="Times New Roman"/>
          <w:sz w:val="24"/>
          <w:szCs w:val="24"/>
          <w:lang w:val="en-US"/>
        </w:rPr>
        <w:t xml:space="preserve">they are not adjusted for </w:t>
      </w:r>
      <w:r w:rsidR="00E81EBF" w:rsidRPr="00F4226B">
        <w:rPr>
          <w:rFonts w:ascii="Times New Roman" w:hAnsi="Times New Roman"/>
          <w:sz w:val="24"/>
          <w:szCs w:val="24"/>
          <w:lang w:val="en-US"/>
        </w:rPr>
        <w:t>inflation</w:t>
      </w:r>
      <w:r w:rsidR="005202A2" w:rsidRPr="00F4226B">
        <w:rPr>
          <w:rFonts w:ascii="Times New Roman" w:hAnsi="Times New Roman"/>
          <w:sz w:val="24"/>
          <w:szCs w:val="24"/>
          <w:lang w:val="en-US"/>
        </w:rPr>
        <w:t xml:space="preserve"> </w:t>
      </w:r>
      <w:r w:rsidR="00FD3F3B" w:rsidRPr="00F4226B">
        <w:rPr>
          <w:rFonts w:ascii="Times New Roman" w:hAnsi="Times New Roman"/>
          <w:sz w:val="24"/>
          <w:szCs w:val="24"/>
          <w:lang w:val="en-US"/>
        </w:rPr>
        <w:t xml:space="preserve">(e.g., </w:t>
      </w:r>
      <w:r w:rsidR="005202A2" w:rsidRPr="00F4226B">
        <w:rPr>
          <w:rFonts w:ascii="Times New Roman" w:hAnsi="Times New Roman"/>
          <w:sz w:val="24"/>
          <w:szCs w:val="24"/>
          <w:lang w:val="en-US"/>
        </w:rPr>
        <w:t>Bartley and Boardman 1990</w:t>
      </w:r>
      <w:r w:rsidR="003C3974" w:rsidRPr="00F4226B">
        <w:rPr>
          <w:rFonts w:ascii="Times New Roman" w:hAnsi="Times New Roman"/>
          <w:sz w:val="24"/>
          <w:szCs w:val="24"/>
          <w:lang w:val="en-US"/>
        </w:rPr>
        <w:t xml:space="preserve">; </w:t>
      </w:r>
      <w:r w:rsidR="00D904DD" w:rsidRPr="00F4226B">
        <w:rPr>
          <w:rFonts w:ascii="Times New Roman" w:hAnsi="Times New Roman"/>
          <w:sz w:val="24"/>
          <w:szCs w:val="24"/>
          <w:lang w:val="en-US"/>
        </w:rPr>
        <w:t>Konchitchki, 2011</w:t>
      </w:r>
      <w:r w:rsidR="005202A2" w:rsidRPr="00F4226B">
        <w:rPr>
          <w:rFonts w:ascii="Times New Roman" w:hAnsi="Times New Roman"/>
          <w:sz w:val="24"/>
          <w:szCs w:val="24"/>
          <w:lang w:val="en-US"/>
        </w:rPr>
        <w:t xml:space="preserve">). </w:t>
      </w:r>
      <w:r w:rsidR="00091845" w:rsidRPr="00F4226B">
        <w:rPr>
          <w:rFonts w:ascii="Times New Roman" w:hAnsi="Times New Roman"/>
          <w:sz w:val="24"/>
          <w:szCs w:val="24"/>
          <w:lang w:val="en-US"/>
        </w:rPr>
        <w:t xml:space="preserve">Thies and Sturrock (1987) show that HC data </w:t>
      </w:r>
      <w:r w:rsidR="00091845" w:rsidRPr="00F4226B">
        <w:rPr>
          <w:rFonts w:ascii="Times New Roman" w:hAnsi="Times New Roman"/>
          <w:sz w:val="24"/>
          <w:szCs w:val="24"/>
          <w:lang w:val="en-US"/>
        </w:rPr>
        <w:lastRenderedPageBreak/>
        <w:t>overstate earnings and misrepresent the financial positions of firms</w:t>
      </w:r>
      <w:r w:rsidR="00C14CC4" w:rsidRPr="00F4226B">
        <w:rPr>
          <w:rFonts w:ascii="Times New Roman" w:hAnsi="Times New Roman"/>
          <w:sz w:val="24"/>
          <w:szCs w:val="24"/>
          <w:lang w:val="en-US"/>
        </w:rPr>
        <w:t xml:space="preserve"> in periods of high inflation</w:t>
      </w:r>
      <w:r w:rsidR="00091845" w:rsidRPr="00F4226B">
        <w:rPr>
          <w:rFonts w:ascii="Times New Roman" w:hAnsi="Times New Roman"/>
          <w:sz w:val="24"/>
          <w:szCs w:val="24"/>
          <w:lang w:val="en-US"/>
        </w:rPr>
        <w:t>. Hughes et al. (2004) and Ashton et al. (2011) argue that inflation creates a mismatch of HC-based allocated expenses (e.g., depreciation) and current revenue in determining earnings</w:t>
      </w:r>
      <w:r w:rsidRPr="00F4226B">
        <w:rPr>
          <w:rFonts w:ascii="Times New Roman" w:hAnsi="Times New Roman"/>
          <w:sz w:val="24"/>
          <w:szCs w:val="24"/>
          <w:lang w:val="en-US"/>
        </w:rPr>
        <w:t xml:space="preserve">. This mismatch </w:t>
      </w:r>
      <w:r w:rsidR="00091845" w:rsidRPr="00F4226B">
        <w:rPr>
          <w:rFonts w:ascii="Times New Roman" w:hAnsi="Times New Roman"/>
          <w:sz w:val="24"/>
          <w:szCs w:val="24"/>
          <w:lang w:val="en-US"/>
        </w:rPr>
        <w:t xml:space="preserve">distorts the mappings </w:t>
      </w:r>
      <w:r w:rsidR="00451918" w:rsidRPr="00F4226B">
        <w:rPr>
          <w:rFonts w:ascii="Times New Roman" w:hAnsi="Times New Roman"/>
          <w:sz w:val="24"/>
          <w:szCs w:val="24"/>
          <w:lang w:val="en-US"/>
        </w:rPr>
        <w:t xml:space="preserve">from accounting </w:t>
      </w:r>
      <w:r w:rsidR="00091845" w:rsidRPr="00F4226B">
        <w:rPr>
          <w:rFonts w:ascii="Times New Roman" w:hAnsi="Times New Roman"/>
          <w:sz w:val="24"/>
          <w:szCs w:val="24"/>
          <w:lang w:val="en-US"/>
        </w:rPr>
        <w:t xml:space="preserve">earnings and </w:t>
      </w:r>
      <w:r w:rsidR="00787B25">
        <w:rPr>
          <w:rFonts w:ascii="Times New Roman" w:hAnsi="Times New Roman"/>
          <w:sz w:val="24"/>
          <w:szCs w:val="24"/>
          <w:lang w:val="en-US"/>
        </w:rPr>
        <w:t xml:space="preserve">equity </w:t>
      </w:r>
      <w:r w:rsidR="00091845" w:rsidRPr="00F4226B">
        <w:rPr>
          <w:rFonts w:ascii="Times New Roman" w:hAnsi="Times New Roman"/>
          <w:sz w:val="24"/>
          <w:szCs w:val="24"/>
          <w:lang w:val="en-US"/>
        </w:rPr>
        <w:t>book value</w:t>
      </w:r>
      <w:r w:rsidR="00DC65F5" w:rsidRPr="00F4226B">
        <w:rPr>
          <w:rFonts w:ascii="Times New Roman" w:hAnsi="Times New Roman"/>
          <w:sz w:val="24"/>
          <w:szCs w:val="24"/>
          <w:lang w:val="en-US"/>
        </w:rPr>
        <w:t>s</w:t>
      </w:r>
      <w:r w:rsidR="00091845" w:rsidRPr="00F4226B">
        <w:rPr>
          <w:rFonts w:ascii="Times New Roman" w:hAnsi="Times New Roman"/>
          <w:sz w:val="24"/>
          <w:szCs w:val="24"/>
          <w:lang w:val="en-US"/>
        </w:rPr>
        <w:t xml:space="preserve"> into equity valu</w:t>
      </w:r>
      <w:r w:rsidR="000143DC" w:rsidRPr="00F4226B">
        <w:rPr>
          <w:rFonts w:ascii="Times New Roman" w:hAnsi="Times New Roman"/>
          <w:sz w:val="24"/>
          <w:szCs w:val="24"/>
          <w:lang w:val="en-US"/>
        </w:rPr>
        <w:t>ation</w:t>
      </w:r>
      <w:r w:rsidR="003636D9">
        <w:rPr>
          <w:rFonts w:ascii="Times New Roman" w:hAnsi="Times New Roman"/>
          <w:sz w:val="24"/>
          <w:szCs w:val="24"/>
          <w:lang w:val="en-US"/>
        </w:rPr>
        <w:t>,</w:t>
      </w:r>
      <w:r w:rsidRPr="00F4226B">
        <w:rPr>
          <w:rFonts w:ascii="Times New Roman" w:hAnsi="Times New Roman"/>
          <w:sz w:val="24"/>
          <w:szCs w:val="24"/>
          <w:lang w:val="en-US"/>
        </w:rPr>
        <w:t xml:space="preserve"> leading to loss of value</w:t>
      </w:r>
      <w:r w:rsidR="00C1247A" w:rsidRPr="00F4226B">
        <w:rPr>
          <w:rFonts w:ascii="Times New Roman" w:hAnsi="Times New Roman"/>
          <w:sz w:val="24"/>
          <w:szCs w:val="24"/>
          <w:lang w:val="en-US"/>
        </w:rPr>
        <w:t>-</w:t>
      </w:r>
      <w:r w:rsidRPr="00F4226B">
        <w:rPr>
          <w:rFonts w:ascii="Times New Roman" w:hAnsi="Times New Roman"/>
          <w:sz w:val="24"/>
          <w:szCs w:val="24"/>
          <w:lang w:val="en-US"/>
        </w:rPr>
        <w:t>relevant information</w:t>
      </w:r>
      <w:r w:rsidR="00091845" w:rsidRPr="00F4226B">
        <w:rPr>
          <w:rFonts w:ascii="Times New Roman" w:hAnsi="Times New Roman"/>
          <w:sz w:val="24"/>
          <w:szCs w:val="24"/>
          <w:lang w:val="en-US"/>
        </w:rPr>
        <w:t xml:space="preserve">. </w:t>
      </w:r>
      <w:r w:rsidR="00D904DD" w:rsidRPr="00F4226B">
        <w:rPr>
          <w:rFonts w:ascii="Times New Roman" w:hAnsi="Times New Roman"/>
          <w:sz w:val="24"/>
          <w:szCs w:val="24"/>
          <w:lang w:val="en-US"/>
        </w:rPr>
        <w:t xml:space="preserve">They show </w:t>
      </w:r>
      <w:r w:rsidR="003F3F2B" w:rsidRPr="00F4226B">
        <w:rPr>
          <w:rFonts w:ascii="Times New Roman" w:hAnsi="Times New Roman"/>
          <w:sz w:val="24"/>
          <w:szCs w:val="24"/>
          <w:lang w:val="en-US"/>
        </w:rPr>
        <w:t xml:space="preserve">that the valuation weights of </w:t>
      </w:r>
      <w:r w:rsidR="00700BE3" w:rsidRPr="00F4226B">
        <w:rPr>
          <w:rFonts w:ascii="Times New Roman" w:hAnsi="Times New Roman"/>
          <w:sz w:val="24"/>
          <w:szCs w:val="24"/>
          <w:lang w:val="en-US"/>
        </w:rPr>
        <w:t xml:space="preserve">HC </w:t>
      </w:r>
      <w:r w:rsidR="003F3F2B" w:rsidRPr="00F4226B">
        <w:rPr>
          <w:rFonts w:ascii="Times New Roman" w:hAnsi="Times New Roman"/>
          <w:sz w:val="24"/>
          <w:szCs w:val="24"/>
          <w:lang w:val="en-US"/>
        </w:rPr>
        <w:t>a</w:t>
      </w:r>
      <w:r w:rsidR="00C1247A" w:rsidRPr="00F4226B">
        <w:rPr>
          <w:rFonts w:ascii="Times New Roman" w:hAnsi="Times New Roman"/>
          <w:sz w:val="24"/>
          <w:szCs w:val="24"/>
          <w:lang w:val="en-US"/>
        </w:rPr>
        <w:t>mounts</w:t>
      </w:r>
      <w:r w:rsidR="003F3F2B" w:rsidRPr="00F4226B">
        <w:rPr>
          <w:rFonts w:ascii="Times New Roman" w:hAnsi="Times New Roman"/>
          <w:sz w:val="24"/>
          <w:szCs w:val="24"/>
          <w:lang w:val="en-US"/>
        </w:rPr>
        <w:t xml:space="preserve"> are affected by inflation</w:t>
      </w:r>
      <w:r w:rsidR="003E2C30" w:rsidRPr="00F4226B">
        <w:rPr>
          <w:rFonts w:ascii="Times New Roman" w:hAnsi="Times New Roman"/>
          <w:sz w:val="24"/>
          <w:szCs w:val="24"/>
          <w:lang w:val="en-US"/>
        </w:rPr>
        <w:t xml:space="preserve"> </w:t>
      </w:r>
      <w:r w:rsidR="00700BE3" w:rsidRPr="00F4226B">
        <w:rPr>
          <w:rFonts w:ascii="Times New Roman" w:hAnsi="Times New Roman"/>
          <w:sz w:val="24"/>
          <w:szCs w:val="24"/>
          <w:lang w:val="en-US"/>
        </w:rPr>
        <w:t xml:space="preserve">such that </w:t>
      </w:r>
      <w:r w:rsidR="003E2C30" w:rsidRPr="00F4226B">
        <w:rPr>
          <w:rFonts w:ascii="Times New Roman" w:hAnsi="Times New Roman"/>
          <w:sz w:val="24"/>
          <w:szCs w:val="24"/>
          <w:lang w:val="en-US"/>
        </w:rPr>
        <w:t xml:space="preserve">valuation models using HC </w:t>
      </w:r>
      <w:r w:rsidR="00C1247A" w:rsidRPr="00F4226B">
        <w:rPr>
          <w:rFonts w:ascii="Times New Roman" w:hAnsi="Times New Roman"/>
          <w:sz w:val="24"/>
          <w:szCs w:val="24"/>
          <w:lang w:val="en-US"/>
        </w:rPr>
        <w:t>data</w:t>
      </w:r>
      <w:r w:rsidR="003E2C30" w:rsidRPr="00F4226B">
        <w:rPr>
          <w:rFonts w:ascii="Times New Roman" w:hAnsi="Times New Roman"/>
          <w:sz w:val="24"/>
          <w:szCs w:val="24"/>
          <w:lang w:val="en-US"/>
        </w:rPr>
        <w:t xml:space="preserve"> result in </w:t>
      </w:r>
      <w:r w:rsidR="003636D9">
        <w:rPr>
          <w:rFonts w:ascii="Times New Roman" w:hAnsi="Times New Roman"/>
          <w:sz w:val="24"/>
          <w:szCs w:val="24"/>
          <w:lang w:val="en-US"/>
        </w:rPr>
        <w:t xml:space="preserve">the </w:t>
      </w:r>
      <w:r w:rsidR="003E2C30" w:rsidRPr="00F4226B">
        <w:rPr>
          <w:rFonts w:ascii="Times New Roman" w:hAnsi="Times New Roman"/>
          <w:sz w:val="24"/>
          <w:szCs w:val="24"/>
          <w:lang w:val="en-US"/>
        </w:rPr>
        <w:t>mispricing of stocks</w:t>
      </w:r>
      <w:r w:rsidR="003F3F2B" w:rsidRPr="00F4226B">
        <w:rPr>
          <w:rFonts w:ascii="Times New Roman" w:hAnsi="Times New Roman"/>
          <w:sz w:val="24"/>
          <w:szCs w:val="24"/>
          <w:lang w:val="en-US"/>
        </w:rPr>
        <w:t xml:space="preserve">. </w:t>
      </w:r>
      <w:r w:rsidR="00E24B5F" w:rsidRPr="00F4226B">
        <w:rPr>
          <w:rFonts w:ascii="Times New Roman" w:hAnsi="Times New Roman"/>
          <w:sz w:val="24"/>
          <w:szCs w:val="24"/>
          <w:lang w:val="en-US"/>
        </w:rPr>
        <w:t>Konchitchki (2011; 2013)</w:t>
      </w:r>
      <w:r w:rsidR="00C433F4" w:rsidRPr="00F4226B">
        <w:rPr>
          <w:rFonts w:ascii="Times New Roman" w:hAnsi="Times New Roman"/>
          <w:sz w:val="24"/>
          <w:szCs w:val="24"/>
          <w:lang w:val="en-US"/>
        </w:rPr>
        <w:t xml:space="preserve"> explain</w:t>
      </w:r>
      <w:r w:rsidR="00D80ABC" w:rsidRPr="00F4226B">
        <w:rPr>
          <w:rFonts w:ascii="Times New Roman" w:hAnsi="Times New Roman"/>
          <w:sz w:val="24"/>
          <w:szCs w:val="24"/>
          <w:lang w:val="en-US"/>
        </w:rPr>
        <w:t>s</w:t>
      </w:r>
      <w:r w:rsidR="00C433F4" w:rsidRPr="00F4226B">
        <w:rPr>
          <w:rFonts w:ascii="Times New Roman" w:hAnsi="Times New Roman"/>
          <w:sz w:val="24"/>
          <w:szCs w:val="24"/>
          <w:lang w:val="en-US"/>
        </w:rPr>
        <w:t xml:space="preserve"> </w:t>
      </w:r>
      <w:r w:rsidR="00D80ABC" w:rsidRPr="00F4226B">
        <w:rPr>
          <w:rFonts w:ascii="Times New Roman" w:hAnsi="Times New Roman"/>
          <w:sz w:val="24"/>
          <w:szCs w:val="24"/>
          <w:lang w:val="en-US"/>
        </w:rPr>
        <w:t xml:space="preserve">why </w:t>
      </w:r>
      <w:r w:rsidR="004F3C70" w:rsidRPr="00F4226B">
        <w:rPr>
          <w:rFonts w:ascii="Times New Roman" w:hAnsi="Times New Roman"/>
          <w:sz w:val="24"/>
          <w:szCs w:val="24"/>
          <w:lang w:val="en-US"/>
        </w:rPr>
        <w:t xml:space="preserve">IA </w:t>
      </w:r>
      <w:r w:rsidR="00F01786" w:rsidRPr="00F4226B">
        <w:rPr>
          <w:rFonts w:ascii="Times New Roman" w:hAnsi="Times New Roman"/>
          <w:sz w:val="24"/>
          <w:szCs w:val="24"/>
          <w:lang w:val="en-US"/>
        </w:rPr>
        <w:t>a</w:t>
      </w:r>
      <w:r w:rsidR="00D80ABC" w:rsidRPr="00F4226B">
        <w:rPr>
          <w:rFonts w:ascii="Times New Roman" w:hAnsi="Times New Roman"/>
          <w:sz w:val="24"/>
          <w:szCs w:val="24"/>
          <w:lang w:val="en-US"/>
        </w:rPr>
        <w:t xml:space="preserve">mounts embed </w:t>
      </w:r>
      <w:r w:rsidR="000A0B1E" w:rsidRPr="00F4226B">
        <w:rPr>
          <w:rFonts w:ascii="Times New Roman" w:hAnsi="Times New Roman"/>
          <w:sz w:val="24"/>
          <w:szCs w:val="24"/>
          <w:lang w:val="en-US"/>
        </w:rPr>
        <w:t xml:space="preserve">valuable </w:t>
      </w:r>
      <w:r w:rsidR="00D80ABC" w:rsidRPr="00F4226B">
        <w:rPr>
          <w:rFonts w:ascii="Times New Roman" w:hAnsi="Times New Roman"/>
          <w:sz w:val="24"/>
          <w:szCs w:val="24"/>
          <w:lang w:val="en-US"/>
        </w:rPr>
        <w:t>information</w:t>
      </w:r>
      <w:r w:rsidR="000A0B1E" w:rsidRPr="00F4226B">
        <w:rPr>
          <w:rFonts w:ascii="Times New Roman" w:hAnsi="Times New Roman"/>
          <w:sz w:val="24"/>
          <w:szCs w:val="24"/>
          <w:lang w:val="en-US"/>
        </w:rPr>
        <w:t xml:space="preserve"> for investors</w:t>
      </w:r>
      <w:r w:rsidR="00D80ABC" w:rsidRPr="00F4226B">
        <w:rPr>
          <w:rFonts w:ascii="Times New Roman" w:hAnsi="Times New Roman"/>
          <w:sz w:val="24"/>
          <w:szCs w:val="24"/>
          <w:lang w:val="en-US"/>
        </w:rPr>
        <w:t>.</w:t>
      </w:r>
      <w:r w:rsidR="00376489" w:rsidRPr="00F4226B">
        <w:rPr>
          <w:rFonts w:ascii="Times New Roman" w:hAnsi="Times New Roman"/>
          <w:sz w:val="24"/>
          <w:szCs w:val="24"/>
          <w:lang w:val="en-US"/>
        </w:rPr>
        <w:t xml:space="preserve"> </w:t>
      </w:r>
      <w:r w:rsidR="00C1247A" w:rsidRPr="00F4226B">
        <w:rPr>
          <w:rFonts w:ascii="Times New Roman" w:hAnsi="Times New Roman"/>
          <w:sz w:val="24"/>
          <w:szCs w:val="24"/>
          <w:lang w:val="en-US"/>
        </w:rPr>
        <w:t xml:space="preserve">The </w:t>
      </w:r>
      <w:r w:rsidR="00077EF2" w:rsidRPr="00F4226B">
        <w:rPr>
          <w:rFonts w:ascii="Times New Roman" w:hAnsi="Times New Roman"/>
          <w:sz w:val="24"/>
          <w:szCs w:val="24"/>
          <w:lang w:val="en-US"/>
        </w:rPr>
        <w:t xml:space="preserve">studies </w:t>
      </w:r>
      <w:r w:rsidR="00413515" w:rsidRPr="00F4226B">
        <w:rPr>
          <w:rFonts w:ascii="Times New Roman" w:hAnsi="Times New Roman"/>
          <w:sz w:val="24"/>
          <w:szCs w:val="24"/>
          <w:lang w:val="en-US"/>
        </w:rPr>
        <w:t>argue</w:t>
      </w:r>
      <w:r w:rsidR="00376489" w:rsidRPr="00F4226B">
        <w:rPr>
          <w:rFonts w:ascii="Times New Roman" w:hAnsi="Times New Roman"/>
          <w:sz w:val="24"/>
          <w:szCs w:val="24"/>
          <w:lang w:val="en-US"/>
        </w:rPr>
        <w:t xml:space="preserve"> </w:t>
      </w:r>
      <w:r w:rsidR="00EA2708" w:rsidRPr="00F4226B">
        <w:rPr>
          <w:rFonts w:ascii="Times New Roman" w:hAnsi="Times New Roman"/>
          <w:sz w:val="24"/>
          <w:szCs w:val="24"/>
          <w:lang w:val="en-US"/>
        </w:rPr>
        <w:t xml:space="preserve">that </w:t>
      </w:r>
      <w:r w:rsidR="00413515" w:rsidRPr="00F4226B">
        <w:rPr>
          <w:rFonts w:ascii="Times New Roman" w:hAnsi="Times New Roman"/>
          <w:sz w:val="24"/>
          <w:szCs w:val="24"/>
          <w:lang w:val="en-US"/>
        </w:rPr>
        <w:t xml:space="preserve">because </w:t>
      </w:r>
      <w:r w:rsidR="00376489" w:rsidRPr="00F4226B">
        <w:rPr>
          <w:rFonts w:ascii="Times New Roman" w:hAnsi="Times New Roman"/>
          <w:sz w:val="24"/>
          <w:szCs w:val="24"/>
          <w:lang w:val="en-US"/>
        </w:rPr>
        <w:t xml:space="preserve">HC </w:t>
      </w:r>
      <w:r w:rsidR="00DD3184" w:rsidRPr="00F4226B">
        <w:rPr>
          <w:rFonts w:ascii="Times New Roman" w:hAnsi="Times New Roman"/>
          <w:sz w:val="24"/>
          <w:szCs w:val="24"/>
          <w:lang w:val="en-US"/>
        </w:rPr>
        <w:t xml:space="preserve">amounts </w:t>
      </w:r>
      <w:r w:rsidR="00EA2708" w:rsidRPr="00F4226B">
        <w:rPr>
          <w:rFonts w:ascii="Times New Roman" w:hAnsi="Times New Roman"/>
          <w:sz w:val="24"/>
          <w:szCs w:val="24"/>
          <w:lang w:val="en-US"/>
        </w:rPr>
        <w:t xml:space="preserve">do not capture </w:t>
      </w:r>
      <w:r w:rsidR="003F3F2B" w:rsidRPr="00F4226B">
        <w:rPr>
          <w:rFonts w:ascii="Times New Roman" w:hAnsi="Times New Roman"/>
          <w:sz w:val="24"/>
          <w:szCs w:val="24"/>
          <w:lang w:val="en-US"/>
        </w:rPr>
        <w:t xml:space="preserve">inflation </w:t>
      </w:r>
      <w:r w:rsidR="00EA2708" w:rsidRPr="00F4226B">
        <w:rPr>
          <w:rFonts w:ascii="Times New Roman" w:hAnsi="Times New Roman"/>
          <w:sz w:val="24"/>
          <w:szCs w:val="24"/>
          <w:lang w:val="en-US"/>
        </w:rPr>
        <w:t xml:space="preserve">gains and losses that accumulate in </w:t>
      </w:r>
      <w:r w:rsidR="009C5B1E" w:rsidRPr="00F4226B">
        <w:rPr>
          <w:rFonts w:ascii="Times New Roman" w:hAnsi="Times New Roman"/>
          <w:sz w:val="24"/>
          <w:szCs w:val="24"/>
          <w:lang w:val="en-US"/>
        </w:rPr>
        <w:t>assets</w:t>
      </w:r>
      <w:r w:rsidR="00EA2708" w:rsidRPr="00F4226B">
        <w:rPr>
          <w:rFonts w:ascii="Times New Roman" w:hAnsi="Times New Roman"/>
          <w:sz w:val="24"/>
          <w:szCs w:val="24"/>
          <w:lang w:val="en-US"/>
        </w:rPr>
        <w:t xml:space="preserve"> </w:t>
      </w:r>
      <w:r w:rsidR="00F01786" w:rsidRPr="00F4226B">
        <w:rPr>
          <w:rFonts w:ascii="Times New Roman" w:hAnsi="Times New Roman"/>
          <w:sz w:val="24"/>
          <w:szCs w:val="24"/>
          <w:lang w:val="en-US"/>
        </w:rPr>
        <w:t>over time</w:t>
      </w:r>
      <w:r w:rsidR="00077EF2" w:rsidRPr="00F4226B">
        <w:rPr>
          <w:rFonts w:ascii="Times New Roman" w:hAnsi="Times New Roman"/>
          <w:sz w:val="24"/>
          <w:szCs w:val="24"/>
          <w:lang w:val="en-US"/>
        </w:rPr>
        <w:t xml:space="preserve">, </w:t>
      </w:r>
      <w:r w:rsidR="00413515" w:rsidRPr="00F4226B">
        <w:rPr>
          <w:rFonts w:ascii="Times New Roman" w:hAnsi="Times New Roman"/>
          <w:sz w:val="24"/>
          <w:szCs w:val="24"/>
          <w:lang w:val="en-US"/>
        </w:rPr>
        <w:t xml:space="preserve">they result in </w:t>
      </w:r>
      <w:r w:rsidR="003636D9">
        <w:rPr>
          <w:rFonts w:ascii="Times New Roman" w:hAnsi="Times New Roman"/>
          <w:sz w:val="24"/>
          <w:szCs w:val="24"/>
          <w:lang w:val="en-US"/>
        </w:rPr>
        <w:t xml:space="preserve">a </w:t>
      </w:r>
      <w:r w:rsidR="00EA2708" w:rsidRPr="00F4226B">
        <w:rPr>
          <w:rFonts w:ascii="Times New Roman" w:hAnsi="Times New Roman"/>
          <w:sz w:val="24"/>
          <w:szCs w:val="24"/>
          <w:lang w:val="en-US"/>
        </w:rPr>
        <w:t>loss of value</w:t>
      </w:r>
      <w:r w:rsidR="00F4226B">
        <w:rPr>
          <w:rFonts w:ascii="Times New Roman" w:hAnsi="Times New Roman"/>
          <w:sz w:val="24"/>
          <w:szCs w:val="24"/>
          <w:lang w:val="en-US"/>
        </w:rPr>
        <w:t>-</w:t>
      </w:r>
      <w:r w:rsidR="00EA2708" w:rsidRPr="00F4226B">
        <w:rPr>
          <w:rFonts w:ascii="Times New Roman" w:hAnsi="Times New Roman"/>
          <w:sz w:val="24"/>
          <w:szCs w:val="24"/>
          <w:lang w:val="en-US"/>
        </w:rPr>
        <w:t>relevant information</w:t>
      </w:r>
      <w:r w:rsidR="000A0B1E" w:rsidRPr="00F4226B">
        <w:rPr>
          <w:rFonts w:ascii="Times New Roman" w:hAnsi="Times New Roman"/>
          <w:sz w:val="24"/>
          <w:szCs w:val="24"/>
          <w:lang w:val="en-US"/>
        </w:rPr>
        <w:t xml:space="preserve">. </w:t>
      </w:r>
      <w:r w:rsidR="00FB5DCD" w:rsidRPr="00F4226B">
        <w:rPr>
          <w:rFonts w:ascii="Times New Roman" w:hAnsi="Times New Roman"/>
          <w:sz w:val="24"/>
          <w:szCs w:val="24"/>
          <w:lang w:val="en-US"/>
        </w:rPr>
        <w:t>In particular, Konchitchki (2011</w:t>
      </w:r>
      <w:r w:rsidR="00D83200">
        <w:rPr>
          <w:rFonts w:ascii="Times New Roman" w:hAnsi="Times New Roman"/>
          <w:sz w:val="24"/>
          <w:szCs w:val="24"/>
          <w:lang w:val="en-US"/>
        </w:rPr>
        <w:t>,</w:t>
      </w:r>
      <w:r w:rsidR="00FB5DCD" w:rsidRPr="00F4226B">
        <w:rPr>
          <w:rFonts w:ascii="Times New Roman" w:hAnsi="Times New Roman"/>
          <w:sz w:val="24"/>
          <w:szCs w:val="24"/>
          <w:lang w:val="en-US"/>
        </w:rPr>
        <w:t xml:space="preserve"> </w:t>
      </w:r>
      <w:r w:rsidR="00D83200">
        <w:rPr>
          <w:rFonts w:ascii="Times New Roman" w:hAnsi="Times New Roman"/>
          <w:sz w:val="24"/>
          <w:szCs w:val="24"/>
          <w:lang w:val="en-US"/>
        </w:rPr>
        <w:t xml:space="preserve">p. </w:t>
      </w:r>
      <w:r w:rsidR="00FB5DCD" w:rsidRPr="00F4226B">
        <w:rPr>
          <w:rFonts w:ascii="Times New Roman" w:hAnsi="Times New Roman"/>
          <w:sz w:val="24"/>
          <w:szCs w:val="24"/>
          <w:lang w:val="en-US"/>
        </w:rPr>
        <w:t xml:space="preserve">1047) suggests that </w:t>
      </w:r>
      <w:r w:rsidR="00902F8F" w:rsidRPr="00F4226B">
        <w:rPr>
          <w:rFonts w:ascii="Times New Roman" w:hAnsi="Times New Roman"/>
          <w:sz w:val="24"/>
          <w:szCs w:val="24"/>
          <w:lang w:val="en-US"/>
        </w:rPr>
        <w:t xml:space="preserve">inflation gains and losses </w:t>
      </w:r>
      <w:r w:rsidR="00DC65F5" w:rsidRPr="00F4226B">
        <w:rPr>
          <w:rFonts w:ascii="Times New Roman" w:hAnsi="Times New Roman"/>
          <w:sz w:val="24"/>
          <w:szCs w:val="24"/>
          <w:lang w:val="en-US"/>
        </w:rPr>
        <w:t>“</w:t>
      </w:r>
      <w:r w:rsidR="00FB5DCD" w:rsidRPr="00F4226B">
        <w:rPr>
          <w:rFonts w:ascii="Times New Roman" w:hAnsi="Times New Roman"/>
          <w:color w:val="231F20"/>
          <w:sz w:val="24"/>
          <w:szCs w:val="24"/>
          <w:lang w:val="en-US" w:eastAsia="en-GB"/>
        </w:rPr>
        <w:t>can translate to future cash flows</w:t>
      </w:r>
      <w:r w:rsidR="00451918" w:rsidRPr="00F4226B">
        <w:rPr>
          <w:rFonts w:ascii="Times New Roman" w:hAnsi="Times New Roman"/>
          <w:color w:val="231F20"/>
          <w:sz w:val="24"/>
          <w:szCs w:val="24"/>
          <w:lang w:val="en-US" w:eastAsia="en-GB"/>
        </w:rPr>
        <w:t xml:space="preserve"> because higher unrecognized inflations gains</w:t>
      </w:r>
      <w:r w:rsidR="00D83200">
        <w:rPr>
          <w:rFonts w:ascii="Times New Roman" w:hAnsi="Times New Roman"/>
          <w:color w:val="231F20"/>
          <w:sz w:val="24"/>
          <w:szCs w:val="24"/>
          <w:lang w:val="en-US" w:eastAsia="en-GB"/>
        </w:rPr>
        <w:t xml:space="preserve"> . . . </w:t>
      </w:r>
      <w:r w:rsidR="00451918" w:rsidRPr="00F4226B">
        <w:rPr>
          <w:rFonts w:ascii="Times New Roman" w:hAnsi="Times New Roman"/>
          <w:color w:val="231F20"/>
          <w:sz w:val="24"/>
          <w:szCs w:val="24"/>
          <w:lang w:val="en-US" w:eastAsia="en-GB"/>
        </w:rPr>
        <w:t xml:space="preserve">result in </w:t>
      </w:r>
      <w:r w:rsidR="00451918" w:rsidRPr="00F4226B">
        <w:rPr>
          <w:rFonts w:ascii="Times New Roman" w:hAnsi="Times New Roman"/>
          <w:color w:val="231F20"/>
          <w:sz w:val="24"/>
          <w:szCs w:val="24"/>
          <w:lang w:val="en-US" w:eastAsia="en-GB"/>
        </w:rPr>
        <w:lastRenderedPageBreak/>
        <w:t xml:space="preserve">higher cash flows from operations </w:t>
      </w:r>
      <w:r w:rsidR="00FB5DCD" w:rsidRPr="00F4226B">
        <w:rPr>
          <w:rFonts w:ascii="Times New Roman" w:hAnsi="Times New Roman"/>
          <w:color w:val="231F20"/>
          <w:sz w:val="24"/>
          <w:szCs w:val="24"/>
          <w:lang w:val="en-US" w:eastAsia="en-GB"/>
        </w:rPr>
        <w:t>when the assets are used</w:t>
      </w:r>
      <w:r w:rsidR="00D83200">
        <w:rPr>
          <w:rFonts w:ascii="Times New Roman" w:hAnsi="Times New Roman"/>
          <w:color w:val="231F20"/>
          <w:sz w:val="24"/>
          <w:szCs w:val="24"/>
          <w:lang w:val="en-US" w:eastAsia="en-GB"/>
        </w:rPr>
        <w:t xml:space="preserve"> . . . </w:t>
      </w:r>
      <w:r w:rsidR="00FB5DCD" w:rsidRPr="00F4226B">
        <w:rPr>
          <w:rFonts w:ascii="Times New Roman" w:hAnsi="Times New Roman"/>
          <w:color w:val="231F20"/>
          <w:sz w:val="24"/>
          <w:szCs w:val="24"/>
          <w:lang w:val="en-US" w:eastAsia="en-GB"/>
        </w:rPr>
        <w:t>or sold</w:t>
      </w:r>
      <w:r w:rsidR="00D83200">
        <w:rPr>
          <w:rFonts w:ascii="Times New Roman" w:hAnsi="Times New Roman"/>
          <w:color w:val="231F20"/>
          <w:sz w:val="24"/>
          <w:szCs w:val="24"/>
          <w:lang w:val="en-US" w:eastAsia="en-GB"/>
        </w:rPr>
        <w:t xml:space="preserve"> . . .</w:t>
      </w:r>
      <w:r w:rsidR="00DC65F5" w:rsidRPr="00F4226B">
        <w:rPr>
          <w:rFonts w:ascii="Times New Roman" w:hAnsi="Times New Roman"/>
          <w:color w:val="231F20"/>
          <w:sz w:val="24"/>
          <w:szCs w:val="24"/>
          <w:lang w:val="en-US" w:eastAsia="en-GB"/>
        </w:rPr>
        <w:t>”</w:t>
      </w:r>
      <w:r w:rsidR="00FB5DCD" w:rsidRPr="00F4226B">
        <w:rPr>
          <w:rFonts w:ascii="Times New Roman" w:hAnsi="Times New Roman"/>
          <w:color w:val="231F20"/>
          <w:sz w:val="24"/>
          <w:szCs w:val="24"/>
          <w:lang w:val="en-US" w:eastAsia="en-GB"/>
        </w:rPr>
        <w:t xml:space="preserve"> and </w:t>
      </w:r>
      <w:r w:rsidR="0097550F" w:rsidRPr="00F4226B">
        <w:rPr>
          <w:rFonts w:ascii="Times New Roman" w:hAnsi="Times New Roman"/>
          <w:color w:val="231F20"/>
          <w:sz w:val="24"/>
          <w:szCs w:val="24"/>
          <w:lang w:val="en-US" w:eastAsia="en-GB"/>
        </w:rPr>
        <w:t xml:space="preserve">then </w:t>
      </w:r>
      <w:r w:rsidR="00C1247A" w:rsidRPr="00F4226B">
        <w:rPr>
          <w:rFonts w:ascii="Times New Roman" w:hAnsi="Times New Roman"/>
          <w:sz w:val="24"/>
          <w:szCs w:val="24"/>
          <w:lang w:val="en-US"/>
        </w:rPr>
        <w:t>show</w:t>
      </w:r>
      <w:r w:rsidR="00FB5DCD" w:rsidRPr="00F4226B">
        <w:rPr>
          <w:rFonts w:ascii="Times New Roman" w:hAnsi="Times New Roman"/>
          <w:sz w:val="24"/>
          <w:szCs w:val="24"/>
          <w:lang w:val="en-US"/>
        </w:rPr>
        <w:t xml:space="preserve">s </w:t>
      </w:r>
      <w:r w:rsidR="00077EF2" w:rsidRPr="00F4226B">
        <w:rPr>
          <w:rFonts w:ascii="Times New Roman" w:hAnsi="Times New Roman"/>
          <w:sz w:val="24"/>
          <w:szCs w:val="24"/>
          <w:lang w:val="en-US"/>
        </w:rPr>
        <w:t xml:space="preserve">a positive </w:t>
      </w:r>
      <w:r w:rsidR="0097550F" w:rsidRPr="00F4226B">
        <w:rPr>
          <w:rFonts w:ascii="Times New Roman" w:hAnsi="Times New Roman"/>
          <w:sz w:val="24"/>
          <w:szCs w:val="24"/>
          <w:lang w:val="en-US"/>
        </w:rPr>
        <w:t xml:space="preserve">link </w:t>
      </w:r>
      <w:r w:rsidR="00FB5DCD" w:rsidRPr="00F4226B">
        <w:rPr>
          <w:rFonts w:ascii="Times New Roman" w:hAnsi="Times New Roman"/>
          <w:sz w:val="24"/>
          <w:szCs w:val="24"/>
          <w:lang w:val="en-US"/>
        </w:rPr>
        <w:t xml:space="preserve">between </w:t>
      </w:r>
      <w:r w:rsidR="0097550F" w:rsidRPr="00F4226B">
        <w:rPr>
          <w:rFonts w:ascii="Times New Roman" w:hAnsi="Times New Roman"/>
          <w:sz w:val="24"/>
          <w:szCs w:val="24"/>
          <w:lang w:val="en-US"/>
        </w:rPr>
        <w:t xml:space="preserve">inflation </w:t>
      </w:r>
      <w:r w:rsidR="00FB5DCD" w:rsidRPr="00F4226B">
        <w:rPr>
          <w:rFonts w:ascii="Times New Roman" w:hAnsi="Times New Roman"/>
          <w:sz w:val="24"/>
          <w:szCs w:val="24"/>
          <w:lang w:val="en-US"/>
        </w:rPr>
        <w:t>gains and losses and</w:t>
      </w:r>
      <w:r w:rsidR="00700BE3" w:rsidRPr="00F4226B">
        <w:rPr>
          <w:rFonts w:ascii="Times New Roman" w:hAnsi="Times New Roman"/>
          <w:sz w:val="24"/>
          <w:szCs w:val="24"/>
          <w:lang w:val="en-US"/>
        </w:rPr>
        <w:t xml:space="preserve"> </w:t>
      </w:r>
      <w:r w:rsidR="00077EF2" w:rsidRPr="00F4226B">
        <w:rPr>
          <w:rFonts w:ascii="Times New Roman" w:hAnsi="Times New Roman"/>
          <w:sz w:val="24"/>
          <w:szCs w:val="24"/>
          <w:lang w:val="en-US"/>
        </w:rPr>
        <w:t>future cash flows</w:t>
      </w:r>
      <w:r w:rsidR="00FB5DCD" w:rsidRPr="00F4226B">
        <w:rPr>
          <w:rFonts w:ascii="Times New Roman" w:hAnsi="Times New Roman"/>
          <w:sz w:val="24"/>
          <w:szCs w:val="24"/>
          <w:lang w:val="en-US"/>
        </w:rPr>
        <w:t xml:space="preserve"> </w:t>
      </w:r>
      <w:r w:rsidR="00077EF2" w:rsidRPr="00F4226B">
        <w:rPr>
          <w:rFonts w:ascii="Times New Roman" w:hAnsi="Times New Roman"/>
          <w:sz w:val="24"/>
          <w:szCs w:val="24"/>
          <w:lang w:val="en-US"/>
        </w:rPr>
        <w:t xml:space="preserve">and </w:t>
      </w:r>
      <w:r w:rsidR="00091845" w:rsidRPr="00F4226B">
        <w:rPr>
          <w:rFonts w:ascii="Times New Roman" w:hAnsi="Times New Roman"/>
          <w:sz w:val="24"/>
          <w:szCs w:val="24"/>
          <w:lang w:val="en-US"/>
        </w:rPr>
        <w:t>stock returns</w:t>
      </w:r>
      <w:r w:rsidR="00077EF2" w:rsidRPr="00F4226B">
        <w:rPr>
          <w:rFonts w:ascii="Times New Roman" w:hAnsi="Times New Roman"/>
          <w:sz w:val="24"/>
          <w:szCs w:val="24"/>
          <w:lang w:val="en-US"/>
        </w:rPr>
        <w:t>.</w:t>
      </w:r>
      <w:r w:rsidR="00235681" w:rsidRPr="00F4226B">
        <w:rPr>
          <w:rFonts w:ascii="Times New Roman" w:hAnsi="Times New Roman"/>
          <w:sz w:val="24"/>
          <w:szCs w:val="24"/>
          <w:lang w:val="en-US"/>
        </w:rPr>
        <w:t xml:space="preserve"> </w:t>
      </w:r>
      <w:r w:rsidR="000349CB" w:rsidRPr="00F4226B">
        <w:rPr>
          <w:rFonts w:ascii="Times New Roman" w:hAnsi="Times New Roman"/>
          <w:sz w:val="24"/>
          <w:szCs w:val="24"/>
          <w:lang w:val="en-US"/>
        </w:rPr>
        <w:t xml:space="preserve">Konchitchki (2013) </w:t>
      </w:r>
      <w:r w:rsidR="0097550F" w:rsidRPr="00F4226B">
        <w:rPr>
          <w:rFonts w:ascii="Times New Roman" w:hAnsi="Times New Roman"/>
          <w:sz w:val="24"/>
          <w:szCs w:val="24"/>
          <w:lang w:val="en-US"/>
        </w:rPr>
        <w:t xml:space="preserve">further </w:t>
      </w:r>
      <w:r w:rsidR="000349CB" w:rsidRPr="00F4226B">
        <w:rPr>
          <w:rFonts w:ascii="Times New Roman" w:hAnsi="Times New Roman"/>
          <w:sz w:val="24"/>
          <w:szCs w:val="24"/>
          <w:lang w:val="en-US"/>
        </w:rPr>
        <w:t xml:space="preserve">provides </w:t>
      </w:r>
      <w:r w:rsidR="00B85F07" w:rsidRPr="00F4226B">
        <w:rPr>
          <w:rFonts w:ascii="Times New Roman" w:hAnsi="Times New Roman"/>
          <w:sz w:val="24"/>
          <w:szCs w:val="24"/>
          <w:lang w:val="en-US"/>
        </w:rPr>
        <w:t xml:space="preserve">an </w:t>
      </w:r>
      <w:r w:rsidR="000349CB" w:rsidRPr="00F4226B">
        <w:rPr>
          <w:rFonts w:ascii="Times New Roman" w:hAnsi="Times New Roman"/>
          <w:sz w:val="24"/>
          <w:szCs w:val="24"/>
          <w:lang w:val="en-US"/>
        </w:rPr>
        <w:t>example of cash, explaining the substantial cash erosion that is unrecogni</w:t>
      </w:r>
      <w:r w:rsidR="00F4226B">
        <w:rPr>
          <w:rFonts w:ascii="Times New Roman" w:hAnsi="Times New Roman"/>
          <w:sz w:val="24"/>
          <w:szCs w:val="24"/>
          <w:lang w:val="en-US"/>
        </w:rPr>
        <w:t>z</w:t>
      </w:r>
      <w:r w:rsidR="000349CB" w:rsidRPr="00F4226B">
        <w:rPr>
          <w:rFonts w:ascii="Times New Roman" w:hAnsi="Times New Roman"/>
          <w:sz w:val="24"/>
          <w:szCs w:val="24"/>
          <w:lang w:val="en-US"/>
        </w:rPr>
        <w:t xml:space="preserve">ed under HC </w:t>
      </w:r>
      <w:r w:rsidR="003636D9">
        <w:rPr>
          <w:rFonts w:ascii="Times New Roman" w:hAnsi="Times New Roman"/>
          <w:sz w:val="24"/>
          <w:szCs w:val="24"/>
          <w:lang w:val="en-US"/>
        </w:rPr>
        <w:t>but</w:t>
      </w:r>
      <w:r w:rsidR="000349CB" w:rsidRPr="00F4226B">
        <w:rPr>
          <w:rFonts w:ascii="Times New Roman" w:hAnsi="Times New Roman"/>
          <w:sz w:val="24"/>
          <w:szCs w:val="24"/>
          <w:lang w:val="en-US"/>
        </w:rPr>
        <w:t xml:space="preserve"> does affect IA a</w:t>
      </w:r>
      <w:r w:rsidR="00182000">
        <w:rPr>
          <w:rFonts w:ascii="Times New Roman" w:hAnsi="Times New Roman"/>
          <w:sz w:val="24"/>
          <w:szCs w:val="24"/>
          <w:lang w:val="en-US"/>
        </w:rPr>
        <w:t>mounts</w:t>
      </w:r>
      <w:r w:rsidR="000349CB" w:rsidRPr="00F4226B">
        <w:rPr>
          <w:rFonts w:ascii="Times New Roman" w:hAnsi="Times New Roman"/>
          <w:sz w:val="24"/>
          <w:szCs w:val="24"/>
          <w:lang w:val="en-US"/>
        </w:rPr>
        <w:t xml:space="preserve">. </w:t>
      </w:r>
      <w:r w:rsidR="00041DB4" w:rsidRPr="00F4226B">
        <w:rPr>
          <w:rFonts w:ascii="Times New Roman" w:hAnsi="Times New Roman"/>
          <w:sz w:val="24"/>
          <w:szCs w:val="24"/>
          <w:lang w:val="en-US"/>
        </w:rPr>
        <w:t xml:space="preserve">To the extent that </w:t>
      </w:r>
      <w:r w:rsidR="00E151D2" w:rsidRPr="00F4226B">
        <w:rPr>
          <w:rFonts w:ascii="Times New Roman" w:hAnsi="Times New Roman"/>
          <w:sz w:val="24"/>
          <w:szCs w:val="24"/>
          <w:lang w:val="en-US"/>
        </w:rPr>
        <w:t xml:space="preserve">IA </w:t>
      </w:r>
      <w:r w:rsidR="00DD3184" w:rsidRPr="00F4226B">
        <w:rPr>
          <w:rFonts w:ascii="Times New Roman" w:hAnsi="Times New Roman"/>
          <w:sz w:val="24"/>
          <w:szCs w:val="24"/>
          <w:lang w:val="en-US"/>
        </w:rPr>
        <w:t xml:space="preserve">amounts </w:t>
      </w:r>
      <w:r w:rsidR="007E3F87" w:rsidRPr="00F4226B">
        <w:rPr>
          <w:rFonts w:ascii="Times New Roman" w:hAnsi="Times New Roman"/>
          <w:sz w:val="24"/>
          <w:szCs w:val="24"/>
          <w:lang w:val="en-US"/>
        </w:rPr>
        <w:t xml:space="preserve">are </w:t>
      </w:r>
      <w:r w:rsidR="00F822B7" w:rsidRPr="00F4226B">
        <w:rPr>
          <w:rFonts w:ascii="Times New Roman" w:hAnsi="Times New Roman"/>
          <w:sz w:val="24"/>
          <w:szCs w:val="24"/>
          <w:lang w:val="en-US"/>
        </w:rPr>
        <w:t>(ex</w:t>
      </w:r>
      <w:r w:rsidR="003636D9">
        <w:rPr>
          <w:rFonts w:ascii="Times New Roman" w:hAnsi="Times New Roman"/>
          <w:sz w:val="24"/>
          <w:szCs w:val="24"/>
          <w:lang w:val="en-US"/>
        </w:rPr>
        <w:t xml:space="preserve"> </w:t>
      </w:r>
      <w:r w:rsidR="00F822B7" w:rsidRPr="00F4226B">
        <w:rPr>
          <w:rFonts w:ascii="Times New Roman" w:hAnsi="Times New Roman"/>
          <w:sz w:val="24"/>
          <w:szCs w:val="24"/>
          <w:lang w:val="en-US"/>
        </w:rPr>
        <w:t xml:space="preserve">ante) </w:t>
      </w:r>
      <w:r w:rsidR="007E3F87" w:rsidRPr="00F4226B">
        <w:rPr>
          <w:rFonts w:ascii="Times New Roman" w:hAnsi="Times New Roman"/>
          <w:sz w:val="24"/>
          <w:szCs w:val="24"/>
          <w:lang w:val="en-US"/>
        </w:rPr>
        <w:t xml:space="preserve">more </w:t>
      </w:r>
      <w:r w:rsidR="00E151D2" w:rsidRPr="00F4226B">
        <w:rPr>
          <w:rFonts w:ascii="Times New Roman" w:hAnsi="Times New Roman"/>
          <w:sz w:val="24"/>
          <w:szCs w:val="24"/>
          <w:lang w:val="en-US"/>
        </w:rPr>
        <w:t>informati</w:t>
      </w:r>
      <w:r w:rsidR="007E3F87" w:rsidRPr="00F4226B">
        <w:rPr>
          <w:rFonts w:ascii="Times New Roman" w:hAnsi="Times New Roman"/>
          <w:sz w:val="24"/>
          <w:szCs w:val="24"/>
          <w:lang w:val="en-US"/>
        </w:rPr>
        <w:t>ve</w:t>
      </w:r>
      <w:r w:rsidR="00E151D2" w:rsidRPr="00F4226B">
        <w:rPr>
          <w:rFonts w:ascii="Times New Roman" w:hAnsi="Times New Roman"/>
          <w:sz w:val="24"/>
          <w:szCs w:val="24"/>
          <w:lang w:val="en-US"/>
        </w:rPr>
        <w:t xml:space="preserve"> than HC </w:t>
      </w:r>
      <w:r w:rsidR="00DD3184" w:rsidRPr="00F4226B">
        <w:rPr>
          <w:rFonts w:ascii="Times New Roman" w:hAnsi="Times New Roman"/>
          <w:sz w:val="24"/>
          <w:szCs w:val="24"/>
          <w:lang w:val="en-US"/>
        </w:rPr>
        <w:t>amounts</w:t>
      </w:r>
      <w:r w:rsidR="00E151D2" w:rsidRPr="00F4226B">
        <w:rPr>
          <w:rFonts w:ascii="Times New Roman" w:hAnsi="Times New Roman"/>
          <w:sz w:val="24"/>
          <w:szCs w:val="24"/>
          <w:lang w:val="en-US"/>
        </w:rPr>
        <w:t xml:space="preserve">, we </w:t>
      </w:r>
      <w:r w:rsidR="007E3F87" w:rsidRPr="00F4226B">
        <w:rPr>
          <w:rFonts w:ascii="Times New Roman" w:hAnsi="Times New Roman"/>
          <w:sz w:val="24"/>
          <w:szCs w:val="24"/>
          <w:lang w:val="en-US"/>
        </w:rPr>
        <w:t xml:space="preserve">predict that </w:t>
      </w:r>
      <w:r w:rsidR="00E151D2" w:rsidRPr="00F4226B">
        <w:rPr>
          <w:rFonts w:ascii="Times New Roman" w:hAnsi="Times New Roman"/>
          <w:sz w:val="24"/>
          <w:szCs w:val="24"/>
          <w:lang w:val="en-US"/>
        </w:rPr>
        <w:t xml:space="preserve">IA </w:t>
      </w:r>
      <w:r w:rsidR="0097550F" w:rsidRPr="00F4226B">
        <w:rPr>
          <w:rFonts w:ascii="Times New Roman" w:hAnsi="Times New Roman"/>
          <w:sz w:val="24"/>
          <w:szCs w:val="24"/>
          <w:lang w:val="en-US"/>
        </w:rPr>
        <w:t xml:space="preserve">data </w:t>
      </w:r>
      <w:r w:rsidR="007E3F87" w:rsidRPr="00F4226B">
        <w:rPr>
          <w:rFonts w:ascii="Times New Roman" w:hAnsi="Times New Roman"/>
          <w:sz w:val="24"/>
          <w:szCs w:val="24"/>
          <w:lang w:val="en-US"/>
        </w:rPr>
        <w:t xml:space="preserve">will </w:t>
      </w:r>
      <w:r w:rsidR="003349EE" w:rsidRPr="00F4226B">
        <w:rPr>
          <w:rFonts w:ascii="Times New Roman" w:hAnsi="Times New Roman"/>
          <w:sz w:val="24"/>
          <w:szCs w:val="24"/>
          <w:lang w:val="en-US"/>
        </w:rPr>
        <w:t>be more value relevant</w:t>
      </w:r>
      <w:r w:rsidR="00E151D2" w:rsidRPr="00F4226B">
        <w:rPr>
          <w:rFonts w:ascii="Times New Roman" w:hAnsi="Times New Roman"/>
          <w:sz w:val="24"/>
          <w:szCs w:val="24"/>
          <w:lang w:val="en-US"/>
        </w:rPr>
        <w:t xml:space="preserve">. </w:t>
      </w:r>
    </w:p>
    <w:p w14:paraId="6B090DDF" w14:textId="3E11C172" w:rsidR="005E6E36" w:rsidRPr="00F4226B" w:rsidRDefault="00D83200" w:rsidP="003B13CE">
      <w:pPr>
        <w:spacing w:line="360" w:lineRule="auto"/>
        <w:ind w:firstLine="284"/>
        <w:jc w:val="both"/>
        <w:rPr>
          <w:rFonts w:ascii="Times New Roman" w:hAnsi="Times New Roman"/>
          <w:sz w:val="24"/>
          <w:szCs w:val="24"/>
          <w:lang w:val="en-US"/>
        </w:rPr>
      </w:pPr>
      <w:r>
        <w:rPr>
          <w:rFonts w:ascii="Times New Roman" w:hAnsi="Times New Roman"/>
          <w:sz w:val="24"/>
          <w:szCs w:val="24"/>
          <w:lang w:val="en-US"/>
        </w:rPr>
        <w:t xml:space="preserve">Our </w:t>
      </w:r>
      <w:r w:rsidR="005A4EFA" w:rsidRPr="00F4226B">
        <w:rPr>
          <w:rFonts w:ascii="Times New Roman" w:hAnsi="Times New Roman"/>
          <w:sz w:val="24"/>
          <w:szCs w:val="24"/>
          <w:lang w:val="en-US"/>
        </w:rPr>
        <w:t>assum</w:t>
      </w:r>
      <w:r w:rsidR="00E73E8D" w:rsidRPr="00F4226B">
        <w:rPr>
          <w:rFonts w:ascii="Times New Roman" w:hAnsi="Times New Roman"/>
          <w:sz w:val="24"/>
          <w:szCs w:val="24"/>
          <w:lang w:val="en-US"/>
        </w:rPr>
        <w:t>ption</w:t>
      </w:r>
      <w:r w:rsidR="005A4EFA" w:rsidRPr="00F4226B">
        <w:rPr>
          <w:rFonts w:ascii="Times New Roman" w:hAnsi="Times New Roman"/>
          <w:sz w:val="24"/>
          <w:szCs w:val="24"/>
          <w:lang w:val="en-US"/>
        </w:rPr>
        <w:t xml:space="preserve"> </w:t>
      </w:r>
      <w:r w:rsidR="007E3F87" w:rsidRPr="00F4226B">
        <w:rPr>
          <w:rFonts w:ascii="Times New Roman" w:hAnsi="Times New Roman"/>
          <w:sz w:val="24"/>
          <w:szCs w:val="24"/>
          <w:lang w:val="en-US"/>
        </w:rPr>
        <w:t xml:space="preserve">is that </w:t>
      </w:r>
      <w:r w:rsidR="001D19BB" w:rsidRPr="00F4226B">
        <w:rPr>
          <w:rFonts w:ascii="Times New Roman" w:hAnsi="Times New Roman"/>
          <w:sz w:val="24"/>
          <w:szCs w:val="24"/>
          <w:lang w:val="en-US"/>
        </w:rPr>
        <w:t xml:space="preserve">investors are rational </w:t>
      </w:r>
      <w:r w:rsidR="008902F7" w:rsidRPr="00F4226B">
        <w:rPr>
          <w:rFonts w:ascii="Times New Roman" w:hAnsi="Times New Roman"/>
          <w:sz w:val="24"/>
          <w:szCs w:val="24"/>
          <w:lang w:val="en-US"/>
        </w:rPr>
        <w:t xml:space="preserve">regarding the effects of inflation </w:t>
      </w:r>
      <w:r w:rsidR="001D19BB" w:rsidRPr="00F4226B">
        <w:rPr>
          <w:rFonts w:ascii="Times New Roman" w:hAnsi="Times New Roman"/>
          <w:sz w:val="24"/>
          <w:szCs w:val="24"/>
          <w:lang w:val="en-US"/>
        </w:rPr>
        <w:t>and</w:t>
      </w:r>
      <w:r w:rsidR="00DB384D" w:rsidRPr="00F4226B">
        <w:rPr>
          <w:rFonts w:ascii="Times New Roman" w:hAnsi="Times New Roman"/>
          <w:sz w:val="24"/>
          <w:szCs w:val="24"/>
          <w:lang w:val="en-US"/>
        </w:rPr>
        <w:t xml:space="preserve"> </w:t>
      </w:r>
      <w:r w:rsidR="001D19BB" w:rsidRPr="00F4226B">
        <w:rPr>
          <w:rFonts w:ascii="Times New Roman" w:hAnsi="Times New Roman"/>
          <w:sz w:val="24"/>
          <w:szCs w:val="24"/>
          <w:lang w:val="en-US"/>
        </w:rPr>
        <w:t xml:space="preserve">thus </w:t>
      </w:r>
      <w:r w:rsidR="00D52DF8" w:rsidRPr="00F4226B">
        <w:rPr>
          <w:rFonts w:ascii="Times New Roman" w:hAnsi="Times New Roman"/>
          <w:sz w:val="24"/>
          <w:szCs w:val="24"/>
          <w:lang w:val="en-US"/>
        </w:rPr>
        <w:t xml:space="preserve">may fully impound </w:t>
      </w:r>
      <w:r w:rsidR="005A4EFA" w:rsidRPr="00F4226B">
        <w:rPr>
          <w:rFonts w:ascii="Times New Roman" w:hAnsi="Times New Roman"/>
          <w:sz w:val="24"/>
          <w:szCs w:val="24"/>
          <w:lang w:val="en-US"/>
        </w:rPr>
        <w:t xml:space="preserve">IA </w:t>
      </w:r>
      <w:r w:rsidR="008902F7" w:rsidRPr="00F4226B">
        <w:rPr>
          <w:rFonts w:ascii="Times New Roman" w:hAnsi="Times New Roman"/>
          <w:sz w:val="24"/>
          <w:szCs w:val="24"/>
          <w:lang w:val="en-US"/>
        </w:rPr>
        <w:t>amounts</w:t>
      </w:r>
      <w:r w:rsidR="00A64588" w:rsidRPr="00F4226B">
        <w:rPr>
          <w:rFonts w:ascii="Times New Roman" w:hAnsi="Times New Roman"/>
          <w:sz w:val="24"/>
          <w:szCs w:val="24"/>
          <w:lang w:val="en-US"/>
        </w:rPr>
        <w:t xml:space="preserve"> </w:t>
      </w:r>
      <w:r w:rsidR="00451918" w:rsidRPr="00F4226B">
        <w:rPr>
          <w:rFonts w:ascii="Times New Roman" w:hAnsi="Times New Roman"/>
          <w:sz w:val="24"/>
          <w:szCs w:val="24"/>
          <w:lang w:val="en-US"/>
        </w:rPr>
        <w:t xml:space="preserve">when </w:t>
      </w:r>
      <w:r w:rsidR="00A64588" w:rsidRPr="00F4226B">
        <w:rPr>
          <w:rFonts w:ascii="Times New Roman" w:hAnsi="Times New Roman"/>
          <w:sz w:val="24"/>
          <w:szCs w:val="24"/>
          <w:lang w:val="en-US"/>
        </w:rPr>
        <w:t>predict</w:t>
      </w:r>
      <w:r w:rsidR="00451918" w:rsidRPr="00F4226B">
        <w:rPr>
          <w:rFonts w:ascii="Times New Roman" w:hAnsi="Times New Roman"/>
          <w:sz w:val="24"/>
          <w:szCs w:val="24"/>
          <w:lang w:val="en-US"/>
        </w:rPr>
        <w:t>ing</w:t>
      </w:r>
      <w:r w:rsidR="00A64588" w:rsidRPr="00F4226B">
        <w:rPr>
          <w:rFonts w:ascii="Times New Roman" w:hAnsi="Times New Roman"/>
          <w:sz w:val="24"/>
          <w:szCs w:val="24"/>
          <w:lang w:val="en-US"/>
        </w:rPr>
        <w:t xml:space="preserve"> </w:t>
      </w:r>
      <w:r w:rsidR="00D52DF8" w:rsidRPr="00F4226B">
        <w:rPr>
          <w:rFonts w:ascii="Times New Roman" w:hAnsi="Times New Roman"/>
          <w:sz w:val="24"/>
          <w:szCs w:val="24"/>
          <w:lang w:val="en-US"/>
        </w:rPr>
        <w:t>future cash flows</w:t>
      </w:r>
      <w:r w:rsidR="006F07AD" w:rsidRPr="00F4226B">
        <w:rPr>
          <w:rFonts w:ascii="Times New Roman" w:hAnsi="Times New Roman"/>
          <w:sz w:val="24"/>
          <w:szCs w:val="24"/>
          <w:lang w:val="en-US"/>
        </w:rPr>
        <w:t xml:space="preserve"> and undertaking </w:t>
      </w:r>
      <w:r w:rsidR="000B4F31" w:rsidRPr="00F4226B">
        <w:rPr>
          <w:rFonts w:ascii="Times New Roman" w:hAnsi="Times New Roman"/>
          <w:sz w:val="24"/>
          <w:szCs w:val="24"/>
          <w:lang w:val="en-US"/>
        </w:rPr>
        <w:t>stock valuation</w:t>
      </w:r>
      <w:r w:rsidR="006F07AD" w:rsidRPr="00F4226B">
        <w:rPr>
          <w:rFonts w:ascii="Times New Roman" w:hAnsi="Times New Roman"/>
          <w:sz w:val="24"/>
          <w:szCs w:val="24"/>
          <w:lang w:val="en-US"/>
        </w:rPr>
        <w:t>s</w:t>
      </w:r>
      <w:r w:rsidR="002027A6" w:rsidRPr="00F4226B">
        <w:rPr>
          <w:rFonts w:ascii="Times New Roman" w:hAnsi="Times New Roman"/>
          <w:sz w:val="24"/>
          <w:szCs w:val="24"/>
          <w:lang w:val="en-US"/>
        </w:rPr>
        <w:t>.</w:t>
      </w:r>
      <w:r w:rsidR="005A4EFA" w:rsidRPr="00F4226B">
        <w:rPr>
          <w:rFonts w:ascii="Times New Roman" w:hAnsi="Times New Roman"/>
          <w:sz w:val="24"/>
          <w:szCs w:val="24"/>
          <w:lang w:val="en-US"/>
        </w:rPr>
        <w:t xml:space="preserve"> </w:t>
      </w:r>
      <w:r w:rsidR="007E3F87" w:rsidRPr="00F4226B">
        <w:rPr>
          <w:rFonts w:ascii="Times New Roman" w:hAnsi="Times New Roman"/>
          <w:sz w:val="24"/>
          <w:szCs w:val="24"/>
          <w:lang w:val="en-US"/>
        </w:rPr>
        <w:t xml:space="preserve">This </w:t>
      </w:r>
      <w:r w:rsidR="008902F7" w:rsidRPr="00F4226B">
        <w:rPr>
          <w:rFonts w:ascii="Times New Roman" w:hAnsi="Times New Roman"/>
          <w:sz w:val="24"/>
          <w:szCs w:val="24"/>
          <w:lang w:val="en-US"/>
        </w:rPr>
        <w:t xml:space="preserve">assumption is supported by </w:t>
      </w:r>
      <w:r w:rsidR="00343A7A" w:rsidRPr="00F4226B">
        <w:rPr>
          <w:rFonts w:ascii="Times New Roman" w:hAnsi="Times New Roman"/>
          <w:sz w:val="24"/>
          <w:szCs w:val="24"/>
          <w:lang w:val="en-US"/>
        </w:rPr>
        <w:t>Carsberg and Day (1984)</w:t>
      </w:r>
      <w:r w:rsidR="003636D9">
        <w:rPr>
          <w:rFonts w:ascii="Times New Roman" w:hAnsi="Times New Roman"/>
          <w:sz w:val="24"/>
          <w:szCs w:val="24"/>
          <w:lang w:val="en-US"/>
        </w:rPr>
        <w:t>,</w:t>
      </w:r>
      <w:r w:rsidR="00E73E8D" w:rsidRPr="00F4226B">
        <w:rPr>
          <w:rFonts w:ascii="Times New Roman" w:hAnsi="Times New Roman"/>
          <w:sz w:val="24"/>
          <w:szCs w:val="24"/>
          <w:lang w:val="en-US"/>
        </w:rPr>
        <w:t xml:space="preserve"> </w:t>
      </w:r>
      <w:r w:rsidR="008902F7" w:rsidRPr="00F4226B">
        <w:rPr>
          <w:rFonts w:ascii="Times New Roman" w:hAnsi="Times New Roman"/>
          <w:sz w:val="24"/>
          <w:szCs w:val="24"/>
          <w:lang w:val="en-US"/>
        </w:rPr>
        <w:t xml:space="preserve">who </w:t>
      </w:r>
      <w:r w:rsidR="00E73E8D" w:rsidRPr="00F4226B">
        <w:rPr>
          <w:rFonts w:ascii="Times New Roman" w:hAnsi="Times New Roman"/>
          <w:sz w:val="24"/>
          <w:szCs w:val="24"/>
          <w:lang w:val="en-US"/>
        </w:rPr>
        <w:t>argue</w:t>
      </w:r>
      <w:r w:rsidR="008902F7" w:rsidRPr="00F4226B">
        <w:rPr>
          <w:rFonts w:ascii="Times New Roman" w:hAnsi="Times New Roman"/>
          <w:sz w:val="24"/>
          <w:szCs w:val="24"/>
          <w:lang w:val="en-US"/>
        </w:rPr>
        <w:t xml:space="preserve"> that </w:t>
      </w:r>
      <w:r w:rsidR="00343A7A" w:rsidRPr="00F4226B">
        <w:rPr>
          <w:rFonts w:ascii="Times New Roman" w:hAnsi="Times New Roman"/>
          <w:sz w:val="24"/>
          <w:szCs w:val="24"/>
          <w:lang w:val="en-US"/>
        </w:rPr>
        <w:t xml:space="preserve">the value relevance of accounting data depends on the extent to which they are used. </w:t>
      </w:r>
      <w:r w:rsidR="00E73E8D" w:rsidRPr="00F4226B">
        <w:rPr>
          <w:rFonts w:ascii="Times New Roman" w:hAnsi="Times New Roman"/>
          <w:sz w:val="24"/>
          <w:szCs w:val="24"/>
          <w:lang w:val="en-US"/>
        </w:rPr>
        <w:t xml:space="preserve">Intuitively, </w:t>
      </w:r>
      <w:r w:rsidR="008902F7" w:rsidRPr="00F4226B">
        <w:rPr>
          <w:rFonts w:ascii="Times New Roman" w:hAnsi="Times New Roman"/>
          <w:sz w:val="24"/>
          <w:szCs w:val="24"/>
          <w:lang w:val="en-US"/>
        </w:rPr>
        <w:t xml:space="preserve">this </w:t>
      </w:r>
      <w:r w:rsidR="00343A7A" w:rsidRPr="00F4226B">
        <w:rPr>
          <w:rFonts w:ascii="Times New Roman" w:hAnsi="Times New Roman"/>
          <w:sz w:val="24"/>
          <w:szCs w:val="24"/>
          <w:lang w:val="en-US"/>
        </w:rPr>
        <w:t xml:space="preserve">is </w:t>
      </w:r>
      <w:r w:rsidR="005A4EFA" w:rsidRPr="00F4226B">
        <w:rPr>
          <w:rFonts w:ascii="Times New Roman" w:hAnsi="Times New Roman"/>
          <w:sz w:val="24"/>
          <w:szCs w:val="24"/>
          <w:lang w:val="en-US"/>
        </w:rPr>
        <w:t>appealing given that</w:t>
      </w:r>
      <w:r>
        <w:rPr>
          <w:rFonts w:ascii="Times New Roman" w:hAnsi="Times New Roman"/>
          <w:sz w:val="24"/>
          <w:szCs w:val="24"/>
          <w:lang w:val="en-US"/>
        </w:rPr>
        <w:t>,</w:t>
      </w:r>
      <w:r w:rsidR="005A4EFA" w:rsidRPr="00F4226B">
        <w:rPr>
          <w:rFonts w:ascii="Times New Roman" w:hAnsi="Times New Roman"/>
          <w:sz w:val="24"/>
          <w:szCs w:val="24"/>
          <w:lang w:val="en-US"/>
        </w:rPr>
        <w:t xml:space="preserve"> in </w:t>
      </w:r>
      <w:r w:rsidR="001D19BB" w:rsidRPr="00F4226B">
        <w:rPr>
          <w:rFonts w:ascii="Times New Roman" w:hAnsi="Times New Roman"/>
          <w:sz w:val="24"/>
          <w:szCs w:val="24"/>
          <w:lang w:val="en-US"/>
        </w:rPr>
        <w:t xml:space="preserve">our </w:t>
      </w:r>
      <w:r w:rsidR="00E73E8D" w:rsidRPr="00F4226B">
        <w:rPr>
          <w:rFonts w:ascii="Times New Roman" w:hAnsi="Times New Roman"/>
          <w:sz w:val="24"/>
          <w:szCs w:val="24"/>
          <w:lang w:val="en-US"/>
        </w:rPr>
        <w:t xml:space="preserve">study </w:t>
      </w:r>
      <w:r w:rsidR="005A4EFA" w:rsidRPr="00F4226B">
        <w:rPr>
          <w:rFonts w:ascii="Times New Roman" w:hAnsi="Times New Roman"/>
          <w:sz w:val="24"/>
          <w:szCs w:val="24"/>
          <w:lang w:val="en-US"/>
        </w:rPr>
        <w:t>setting</w:t>
      </w:r>
      <w:r w:rsidR="00343A7A" w:rsidRPr="00F4226B">
        <w:rPr>
          <w:rFonts w:ascii="Times New Roman" w:hAnsi="Times New Roman"/>
          <w:sz w:val="24"/>
          <w:szCs w:val="24"/>
          <w:lang w:val="en-US"/>
        </w:rPr>
        <w:t xml:space="preserve">, </w:t>
      </w:r>
      <w:r w:rsidR="00B92DBF" w:rsidRPr="00F4226B">
        <w:rPr>
          <w:rFonts w:ascii="Times New Roman" w:hAnsi="Times New Roman"/>
          <w:sz w:val="24"/>
          <w:szCs w:val="24"/>
          <w:lang w:val="en-US"/>
        </w:rPr>
        <w:t xml:space="preserve">both </w:t>
      </w:r>
      <w:r w:rsidR="005A4EFA" w:rsidRPr="00F4226B">
        <w:rPr>
          <w:rFonts w:ascii="Times New Roman" w:hAnsi="Times New Roman"/>
          <w:sz w:val="24"/>
          <w:szCs w:val="24"/>
          <w:lang w:val="en-US"/>
        </w:rPr>
        <w:t xml:space="preserve">IA </w:t>
      </w:r>
      <w:r w:rsidR="00B92DBF" w:rsidRPr="00F4226B">
        <w:rPr>
          <w:rFonts w:ascii="Times New Roman" w:hAnsi="Times New Roman"/>
          <w:sz w:val="24"/>
          <w:szCs w:val="24"/>
          <w:lang w:val="en-US"/>
        </w:rPr>
        <w:t xml:space="preserve">and </w:t>
      </w:r>
      <w:r w:rsidR="00343A7A" w:rsidRPr="00F4226B">
        <w:rPr>
          <w:rFonts w:ascii="Times New Roman" w:hAnsi="Times New Roman"/>
          <w:sz w:val="24"/>
          <w:szCs w:val="24"/>
          <w:lang w:val="en-US"/>
        </w:rPr>
        <w:t xml:space="preserve">HC </w:t>
      </w:r>
      <w:r w:rsidR="008902F7" w:rsidRPr="00F4226B">
        <w:rPr>
          <w:rFonts w:ascii="Times New Roman" w:hAnsi="Times New Roman"/>
          <w:sz w:val="24"/>
          <w:szCs w:val="24"/>
          <w:lang w:val="en-US"/>
        </w:rPr>
        <w:t>amounts</w:t>
      </w:r>
      <w:r w:rsidR="00343A7A" w:rsidRPr="00F4226B">
        <w:rPr>
          <w:rFonts w:ascii="Times New Roman" w:hAnsi="Times New Roman"/>
          <w:sz w:val="24"/>
          <w:szCs w:val="24"/>
          <w:lang w:val="en-US"/>
        </w:rPr>
        <w:t xml:space="preserve"> </w:t>
      </w:r>
      <w:r w:rsidR="001D19BB" w:rsidRPr="00F4226B">
        <w:rPr>
          <w:rFonts w:ascii="Times New Roman" w:hAnsi="Times New Roman"/>
          <w:sz w:val="24"/>
          <w:szCs w:val="24"/>
          <w:lang w:val="en-US"/>
        </w:rPr>
        <w:t xml:space="preserve">are </w:t>
      </w:r>
      <w:r w:rsidR="005A4EFA" w:rsidRPr="00F4226B">
        <w:rPr>
          <w:rFonts w:ascii="Times New Roman" w:hAnsi="Times New Roman"/>
          <w:sz w:val="24"/>
          <w:szCs w:val="24"/>
          <w:lang w:val="en-US"/>
        </w:rPr>
        <w:t xml:space="preserve">provided </w:t>
      </w:r>
      <w:r w:rsidR="00A75C87" w:rsidRPr="00F4226B">
        <w:rPr>
          <w:rFonts w:ascii="Times New Roman" w:hAnsi="Times New Roman"/>
          <w:sz w:val="24"/>
          <w:szCs w:val="24"/>
          <w:lang w:val="en-US"/>
        </w:rPr>
        <w:t xml:space="preserve">side-by-side </w:t>
      </w:r>
      <w:r w:rsidR="005A4EFA" w:rsidRPr="00F4226B">
        <w:rPr>
          <w:rFonts w:ascii="Times New Roman" w:hAnsi="Times New Roman"/>
          <w:sz w:val="24"/>
          <w:szCs w:val="24"/>
          <w:lang w:val="en-US"/>
        </w:rPr>
        <w:t xml:space="preserve">in financial </w:t>
      </w:r>
      <w:r w:rsidR="005A4EFA" w:rsidRPr="00F4226B">
        <w:rPr>
          <w:rFonts w:ascii="Times New Roman" w:hAnsi="Times New Roman"/>
          <w:sz w:val="24"/>
          <w:szCs w:val="24"/>
          <w:lang w:val="en-US"/>
        </w:rPr>
        <w:lastRenderedPageBreak/>
        <w:t xml:space="preserve">statements. </w:t>
      </w:r>
      <w:r w:rsidR="002D341B" w:rsidRPr="00F4226B">
        <w:rPr>
          <w:rFonts w:ascii="Times New Roman" w:hAnsi="Times New Roman"/>
          <w:sz w:val="24"/>
          <w:szCs w:val="24"/>
          <w:lang w:val="en-US"/>
        </w:rPr>
        <w:t xml:space="preserve">The availability of IA </w:t>
      </w:r>
      <w:r w:rsidR="008902F7" w:rsidRPr="00F4226B">
        <w:rPr>
          <w:rFonts w:ascii="Times New Roman" w:hAnsi="Times New Roman"/>
          <w:sz w:val="24"/>
          <w:szCs w:val="24"/>
          <w:lang w:val="en-US"/>
        </w:rPr>
        <w:t>amounts</w:t>
      </w:r>
      <w:r w:rsidR="002D341B" w:rsidRPr="00F4226B">
        <w:rPr>
          <w:rFonts w:ascii="Times New Roman" w:hAnsi="Times New Roman"/>
          <w:sz w:val="24"/>
          <w:szCs w:val="24"/>
          <w:lang w:val="en-US"/>
        </w:rPr>
        <w:t xml:space="preserve"> </w:t>
      </w:r>
      <w:r w:rsidR="00A75C87" w:rsidRPr="00F4226B">
        <w:rPr>
          <w:rFonts w:ascii="Times New Roman" w:hAnsi="Times New Roman"/>
          <w:sz w:val="24"/>
          <w:szCs w:val="24"/>
          <w:lang w:val="en-US"/>
        </w:rPr>
        <w:t xml:space="preserve">(in our study) </w:t>
      </w:r>
      <w:r w:rsidR="002D341B" w:rsidRPr="00F4226B">
        <w:rPr>
          <w:rFonts w:ascii="Times New Roman" w:hAnsi="Times New Roman"/>
          <w:sz w:val="24"/>
          <w:szCs w:val="24"/>
          <w:lang w:val="en-US"/>
        </w:rPr>
        <w:t xml:space="preserve">eliminates </w:t>
      </w:r>
      <w:r w:rsidR="00287474" w:rsidRPr="00F4226B">
        <w:rPr>
          <w:rFonts w:ascii="Times New Roman" w:hAnsi="Times New Roman"/>
          <w:sz w:val="24"/>
          <w:szCs w:val="24"/>
          <w:lang w:val="en-US"/>
        </w:rPr>
        <w:t xml:space="preserve">the </w:t>
      </w:r>
      <w:r w:rsidR="00F4226B" w:rsidRPr="00F4226B">
        <w:rPr>
          <w:rFonts w:ascii="Times New Roman" w:hAnsi="Times New Roman"/>
          <w:sz w:val="24"/>
          <w:szCs w:val="24"/>
          <w:lang w:val="en-US"/>
        </w:rPr>
        <w:t>often-highlighted</w:t>
      </w:r>
      <w:r w:rsidR="00287474" w:rsidRPr="00F4226B">
        <w:rPr>
          <w:rFonts w:ascii="Times New Roman" w:hAnsi="Times New Roman"/>
          <w:sz w:val="24"/>
          <w:szCs w:val="24"/>
          <w:lang w:val="en-US"/>
        </w:rPr>
        <w:t xml:space="preserve"> problem that </w:t>
      </w:r>
      <w:r w:rsidR="004B4F24" w:rsidRPr="00F4226B">
        <w:rPr>
          <w:rFonts w:ascii="Times New Roman" w:hAnsi="Times New Roman"/>
          <w:sz w:val="24"/>
          <w:szCs w:val="24"/>
          <w:lang w:val="en-US"/>
        </w:rPr>
        <w:t xml:space="preserve">investors ignore </w:t>
      </w:r>
      <w:r w:rsidR="00A75C87" w:rsidRPr="00F4226B">
        <w:rPr>
          <w:rFonts w:ascii="Times New Roman" w:hAnsi="Times New Roman"/>
          <w:sz w:val="24"/>
          <w:szCs w:val="24"/>
          <w:lang w:val="en-US"/>
        </w:rPr>
        <w:t>IA amounts</w:t>
      </w:r>
      <w:r w:rsidR="00287474" w:rsidRPr="00F4226B">
        <w:rPr>
          <w:rFonts w:ascii="Times New Roman" w:hAnsi="Times New Roman"/>
          <w:sz w:val="24"/>
          <w:szCs w:val="24"/>
          <w:lang w:val="en-US"/>
        </w:rPr>
        <w:t xml:space="preserve"> </w:t>
      </w:r>
      <w:r w:rsidR="008902F7" w:rsidRPr="00F4226B">
        <w:rPr>
          <w:rFonts w:ascii="Times New Roman" w:hAnsi="Times New Roman"/>
          <w:sz w:val="24"/>
          <w:szCs w:val="24"/>
          <w:lang w:val="en-US"/>
        </w:rPr>
        <w:t xml:space="preserve">when </w:t>
      </w:r>
      <w:r w:rsidR="003636D9">
        <w:rPr>
          <w:rFonts w:ascii="Times New Roman" w:hAnsi="Times New Roman"/>
          <w:sz w:val="24"/>
          <w:szCs w:val="24"/>
          <w:lang w:val="en-US"/>
        </w:rPr>
        <w:t xml:space="preserve">they are </w:t>
      </w:r>
      <w:r w:rsidR="008902F7" w:rsidRPr="00F4226B">
        <w:rPr>
          <w:rFonts w:ascii="Times New Roman" w:hAnsi="Times New Roman"/>
          <w:sz w:val="24"/>
          <w:szCs w:val="24"/>
          <w:lang w:val="en-US"/>
        </w:rPr>
        <w:t xml:space="preserve">unavailable </w:t>
      </w:r>
      <w:r w:rsidR="00E73E8D" w:rsidRPr="00F4226B">
        <w:rPr>
          <w:rFonts w:ascii="Times New Roman" w:hAnsi="Times New Roman"/>
          <w:sz w:val="24"/>
          <w:szCs w:val="24"/>
          <w:lang w:val="en-US"/>
        </w:rPr>
        <w:t xml:space="preserve">because </w:t>
      </w:r>
      <w:r w:rsidR="00B11854" w:rsidRPr="00F4226B">
        <w:rPr>
          <w:rFonts w:ascii="Times New Roman" w:hAnsi="Times New Roman"/>
          <w:sz w:val="24"/>
          <w:szCs w:val="24"/>
          <w:lang w:val="en-US"/>
        </w:rPr>
        <w:t xml:space="preserve">such data </w:t>
      </w:r>
      <w:r w:rsidR="003636D9">
        <w:rPr>
          <w:rFonts w:ascii="Times New Roman" w:hAnsi="Times New Roman"/>
          <w:sz w:val="24"/>
          <w:szCs w:val="24"/>
          <w:lang w:val="en-US"/>
        </w:rPr>
        <w:t>are</w:t>
      </w:r>
      <w:r w:rsidR="003636D9" w:rsidRPr="00F4226B">
        <w:rPr>
          <w:rFonts w:ascii="Times New Roman" w:hAnsi="Times New Roman"/>
          <w:sz w:val="24"/>
          <w:szCs w:val="24"/>
          <w:lang w:val="en-US"/>
        </w:rPr>
        <w:t xml:space="preserve"> </w:t>
      </w:r>
      <w:r w:rsidR="00B11854" w:rsidRPr="00F4226B">
        <w:rPr>
          <w:rFonts w:ascii="Times New Roman" w:hAnsi="Times New Roman"/>
          <w:sz w:val="24"/>
          <w:szCs w:val="24"/>
          <w:lang w:val="en-US"/>
        </w:rPr>
        <w:t xml:space="preserve">costly and more complicated to process than </w:t>
      </w:r>
      <w:r w:rsidR="00287474" w:rsidRPr="00F4226B">
        <w:rPr>
          <w:rFonts w:ascii="Times New Roman" w:hAnsi="Times New Roman"/>
          <w:sz w:val="24"/>
          <w:szCs w:val="24"/>
          <w:lang w:val="en-US"/>
        </w:rPr>
        <w:t xml:space="preserve">HC </w:t>
      </w:r>
      <w:r w:rsidR="00B11854" w:rsidRPr="00F4226B">
        <w:rPr>
          <w:rFonts w:ascii="Times New Roman" w:hAnsi="Times New Roman"/>
          <w:sz w:val="24"/>
          <w:szCs w:val="24"/>
          <w:lang w:val="en-US"/>
        </w:rPr>
        <w:t>data</w:t>
      </w:r>
      <w:r w:rsidR="008A0A8C" w:rsidRPr="00F4226B">
        <w:rPr>
          <w:rFonts w:ascii="Times New Roman" w:hAnsi="Times New Roman"/>
          <w:sz w:val="24"/>
          <w:szCs w:val="24"/>
          <w:lang w:val="en-US"/>
        </w:rPr>
        <w:t xml:space="preserve"> (</w:t>
      </w:r>
      <w:r w:rsidR="006C72F1" w:rsidRPr="00F4226B">
        <w:rPr>
          <w:rFonts w:ascii="Times New Roman" w:hAnsi="Times New Roman"/>
          <w:sz w:val="24"/>
          <w:szCs w:val="24"/>
          <w:lang w:val="en-US"/>
        </w:rPr>
        <w:t xml:space="preserve">Beaver and Landsman 1983; </w:t>
      </w:r>
      <w:r w:rsidR="008A0A8C" w:rsidRPr="00F4226B">
        <w:rPr>
          <w:rFonts w:ascii="Times New Roman" w:hAnsi="Times New Roman"/>
          <w:sz w:val="24"/>
          <w:szCs w:val="24"/>
          <w:lang w:val="en-US"/>
        </w:rPr>
        <w:t>Feyr and Tyran 2001; Ritter and Warr 2002).</w:t>
      </w:r>
      <w:r w:rsidR="00233EE4" w:rsidRPr="00F4226B">
        <w:rPr>
          <w:rFonts w:ascii="Times New Roman" w:hAnsi="Times New Roman"/>
          <w:sz w:val="24"/>
          <w:szCs w:val="24"/>
          <w:lang w:val="en-US"/>
        </w:rPr>
        <w:t xml:space="preserve"> </w:t>
      </w:r>
      <w:r w:rsidR="00F4226B">
        <w:rPr>
          <w:rFonts w:ascii="Times New Roman" w:hAnsi="Times New Roman"/>
          <w:sz w:val="24"/>
          <w:szCs w:val="24"/>
          <w:lang w:val="en-US"/>
        </w:rPr>
        <w:t xml:space="preserve">In contrast, </w:t>
      </w:r>
      <w:r w:rsidR="007809DA" w:rsidRPr="00F4226B">
        <w:rPr>
          <w:rFonts w:ascii="Times New Roman" w:hAnsi="Times New Roman"/>
          <w:sz w:val="24"/>
          <w:szCs w:val="24"/>
          <w:lang w:val="en-US"/>
        </w:rPr>
        <w:t xml:space="preserve">however, </w:t>
      </w:r>
      <w:r w:rsidR="00700BE3" w:rsidRPr="00F4226B">
        <w:rPr>
          <w:rFonts w:ascii="Times New Roman" w:hAnsi="Times New Roman"/>
          <w:sz w:val="24"/>
          <w:szCs w:val="24"/>
          <w:lang w:val="en-US"/>
        </w:rPr>
        <w:t xml:space="preserve">we suggest </w:t>
      </w:r>
      <w:r w:rsidR="00287474" w:rsidRPr="00F4226B">
        <w:rPr>
          <w:rFonts w:ascii="Times New Roman" w:hAnsi="Times New Roman"/>
          <w:sz w:val="24"/>
          <w:szCs w:val="24"/>
          <w:lang w:val="en-US"/>
        </w:rPr>
        <w:t>that</w:t>
      </w:r>
      <w:r>
        <w:rPr>
          <w:rFonts w:ascii="Times New Roman" w:hAnsi="Times New Roman"/>
          <w:sz w:val="24"/>
          <w:szCs w:val="24"/>
          <w:lang w:val="en-US"/>
        </w:rPr>
        <w:t>,</w:t>
      </w:r>
      <w:r w:rsidR="00287474" w:rsidRPr="00F4226B">
        <w:rPr>
          <w:rFonts w:ascii="Times New Roman" w:hAnsi="Times New Roman"/>
          <w:sz w:val="24"/>
          <w:szCs w:val="24"/>
          <w:lang w:val="en-US"/>
        </w:rPr>
        <w:t xml:space="preserve"> even though IA </w:t>
      </w:r>
      <w:r w:rsidR="008902F7" w:rsidRPr="00F4226B">
        <w:rPr>
          <w:rFonts w:ascii="Times New Roman" w:hAnsi="Times New Roman"/>
          <w:sz w:val="24"/>
          <w:szCs w:val="24"/>
          <w:lang w:val="en-US"/>
        </w:rPr>
        <w:t>amount</w:t>
      </w:r>
      <w:r w:rsidR="00287474" w:rsidRPr="00F4226B">
        <w:rPr>
          <w:rFonts w:ascii="Times New Roman" w:hAnsi="Times New Roman"/>
          <w:sz w:val="24"/>
          <w:szCs w:val="24"/>
          <w:lang w:val="en-US"/>
        </w:rPr>
        <w:t xml:space="preserve">s are </w:t>
      </w:r>
      <w:r w:rsidR="00C058EF" w:rsidRPr="00F4226B">
        <w:rPr>
          <w:rFonts w:ascii="Times New Roman" w:hAnsi="Times New Roman"/>
          <w:sz w:val="24"/>
          <w:szCs w:val="24"/>
          <w:lang w:val="en-US"/>
        </w:rPr>
        <w:t>published</w:t>
      </w:r>
      <w:r w:rsidR="00287474" w:rsidRPr="00F4226B">
        <w:rPr>
          <w:rFonts w:ascii="Times New Roman" w:hAnsi="Times New Roman"/>
          <w:sz w:val="24"/>
          <w:szCs w:val="24"/>
          <w:lang w:val="en-US"/>
        </w:rPr>
        <w:t>, investors m</w:t>
      </w:r>
      <w:r w:rsidR="00700BE3" w:rsidRPr="00F4226B">
        <w:rPr>
          <w:rFonts w:ascii="Times New Roman" w:hAnsi="Times New Roman"/>
          <w:sz w:val="24"/>
          <w:szCs w:val="24"/>
          <w:lang w:val="en-US"/>
        </w:rPr>
        <w:t xml:space="preserve">ay still </w:t>
      </w:r>
      <w:r w:rsidR="00DF6CFC" w:rsidRPr="00F4226B">
        <w:rPr>
          <w:rFonts w:ascii="Times New Roman" w:hAnsi="Times New Roman"/>
          <w:sz w:val="24"/>
          <w:szCs w:val="24"/>
          <w:lang w:val="en-US"/>
        </w:rPr>
        <w:t xml:space="preserve">fail to fully </w:t>
      </w:r>
      <w:r w:rsidR="00B11854" w:rsidRPr="00F4226B">
        <w:rPr>
          <w:rFonts w:ascii="Times New Roman" w:hAnsi="Times New Roman"/>
          <w:sz w:val="24"/>
          <w:szCs w:val="24"/>
          <w:lang w:val="en-US"/>
        </w:rPr>
        <w:t xml:space="preserve">impound </w:t>
      </w:r>
      <w:r w:rsidR="00DF6CFC" w:rsidRPr="00F4226B">
        <w:rPr>
          <w:rFonts w:ascii="Times New Roman" w:hAnsi="Times New Roman"/>
          <w:sz w:val="24"/>
          <w:szCs w:val="24"/>
          <w:lang w:val="en-US"/>
        </w:rPr>
        <w:t>the data into stock valuation</w:t>
      </w:r>
      <w:r w:rsidR="00366F20" w:rsidRPr="00F4226B">
        <w:rPr>
          <w:rFonts w:ascii="Times New Roman" w:hAnsi="Times New Roman"/>
          <w:sz w:val="24"/>
          <w:szCs w:val="24"/>
          <w:lang w:val="en-US"/>
        </w:rPr>
        <w:t xml:space="preserve">. This can </w:t>
      </w:r>
      <w:r w:rsidR="003636D9">
        <w:rPr>
          <w:rFonts w:ascii="Times New Roman" w:hAnsi="Times New Roman"/>
          <w:sz w:val="24"/>
          <w:szCs w:val="24"/>
          <w:lang w:val="en-US"/>
        </w:rPr>
        <w:t>occur</w:t>
      </w:r>
      <w:r w:rsidR="003636D9" w:rsidRPr="00F4226B">
        <w:rPr>
          <w:rFonts w:ascii="Times New Roman" w:hAnsi="Times New Roman"/>
          <w:sz w:val="24"/>
          <w:szCs w:val="24"/>
          <w:lang w:val="en-US"/>
        </w:rPr>
        <w:t xml:space="preserve"> </w:t>
      </w:r>
      <w:r w:rsidR="00366F20" w:rsidRPr="00F4226B">
        <w:rPr>
          <w:rFonts w:ascii="Times New Roman" w:hAnsi="Times New Roman"/>
          <w:sz w:val="24"/>
          <w:szCs w:val="24"/>
          <w:lang w:val="en-US"/>
        </w:rPr>
        <w:t xml:space="preserve">because the manner </w:t>
      </w:r>
      <w:r w:rsidR="000B4F31" w:rsidRPr="00F4226B">
        <w:rPr>
          <w:rFonts w:ascii="Times New Roman" w:hAnsi="Times New Roman"/>
          <w:sz w:val="24"/>
          <w:szCs w:val="24"/>
          <w:lang w:val="en-US"/>
        </w:rPr>
        <w:t>in</w:t>
      </w:r>
      <w:r w:rsidR="007809DA" w:rsidRPr="00F4226B">
        <w:rPr>
          <w:rFonts w:ascii="Times New Roman" w:hAnsi="Times New Roman"/>
          <w:sz w:val="24"/>
          <w:szCs w:val="24"/>
          <w:lang w:val="en-US"/>
        </w:rPr>
        <w:t xml:space="preserve"> </w:t>
      </w:r>
      <w:r w:rsidR="00366F20" w:rsidRPr="00F4226B">
        <w:rPr>
          <w:rFonts w:ascii="Times New Roman" w:hAnsi="Times New Roman"/>
          <w:sz w:val="24"/>
          <w:szCs w:val="24"/>
          <w:lang w:val="en-US"/>
        </w:rPr>
        <w:t>which inflation impact</w:t>
      </w:r>
      <w:r w:rsidR="008902F7" w:rsidRPr="00F4226B">
        <w:rPr>
          <w:rFonts w:ascii="Times New Roman" w:hAnsi="Times New Roman"/>
          <w:sz w:val="24"/>
          <w:szCs w:val="24"/>
          <w:lang w:val="en-US"/>
        </w:rPr>
        <w:t>s</w:t>
      </w:r>
      <w:r w:rsidR="00366F20" w:rsidRPr="00F4226B">
        <w:rPr>
          <w:rFonts w:ascii="Times New Roman" w:hAnsi="Times New Roman"/>
          <w:sz w:val="24"/>
          <w:szCs w:val="24"/>
          <w:lang w:val="en-US"/>
        </w:rPr>
        <w:t xml:space="preserve"> </w:t>
      </w:r>
      <w:r w:rsidR="00A1222A" w:rsidRPr="00F4226B">
        <w:rPr>
          <w:rFonts w:ascii="Times New Roman" w:hAnsi="Times New Roman"/>
          <w:sz w:val="24"/>
          <w:szCs w:val="24"/>
          <w:lang w:val="en-US"/>
        </w:rPr>
        <w:t xml:space="preserve">HC accounting </w:t>
      </w:r>
      <w:r w:rsidR="00C058EF" w:rsidRPr="00F4226B">
        <w:rPr>
          <w:rFonts w:ascii="Times New Roman" w:hAnsi="Times New Roman"/>
          <w:sz w:val="24"/>
          <w:szCs w:val="24"/>
          <w:lang w:val="en-US"/>
        </w:rPr>
        <w:t>amounts</w:t>
      </w:r>
      <w:r w:rsidR="00A1222A" w:rsidRPr="00F4226B">
        <w:rPr>
          <w:rFonts w:ascii="Times New Roman" w:hAnsi="Times New Roman"/>
          <w:sz w:val="24"/>
          <w:szCs w:val="24"/>
          <w:lang w:val="en-US"/>
        </w:rPr>
        <w:t xml:space="preserve"> is </w:t>
      </w:r>
      <w:r w:rsidR="00366F20" w:rsidRPr="00F4226B">
        <w:rPr>
          <w:rFonts w:ascii="Times New Roman" w:hAnsi="Times New Roman"/>
          <w:sz w:val="24"/>
          <w:szCs w:val="24"/>
          <w:lang w:val="en-US"/>
        </w:rPr>
        <w:t>complex (</w:t>
      </w:r>
      <w:r w:rsidR="008902F7" w:rsidRPr="00F4226B">
        <w:rPr>
          <w:rFonts w:ascii="Times New Roman" w:hAnsi="Times New Roman"/>
          <w:sz w:val="24"/>
          <w:szCs w:val="24"/>
          <w:lang w:val="en-US"/>
        </w:rPr>
        <w:t xml:space="preserve">Beaver and Landsman 1983; </w:t>
      </w:r>
      <w:r w:rsidR="00366F20" w:rsidRPr="00F4226B">
        <w:rPr>
          <w:rFonts w:ascii="Times New Roman" w:hAnsi="Times New Roman"/>
          <w:sz w:val="24"/>
          <w:szCs w:val="24"/>
          <w:lang w:val="en-US"/>
        </w:rPr>
        <w:t>Ashton et al. 2011</w:t>
      </w:r>
      <w:r w:rsidR="003636D9" w:rsidRPr="00F4226B">
        <w:rPr>
          <w:rFonts w:ascii="Times New Roman" w:hAnsi="Times New Roman"/>
          <w:sz w:val="24"/>
          <w:szCs w:val="24"/>
          <w:lang w:val="en-US"/>
        </w:rPr>
        <w:t>)</w:t>
      </w:r>
      <w:r w:rsidR="003636D9">
        <w:rPr>
          <w:rFonts w:ascii="Times New Roman" w:hAnsi="Times New Roman"/>
          <w:sz w:val="24"/>
          <w:szCs w:val="24"/>
          <w:lang w:val="en-US"/>
        </w:rPr>
        <w:t>;</w:t>
      </w:r>
      <w:r w:rsidR="003636D9" w:rsidRPr="00F4226B">
        <w:rPr>
          <w:rFonts w:ascii="Times New Roman" w:hAnsi="Times New Roman"/>
          <w:sz w:val="24"/>
          <w:szCs w:val="24"/>
          <w:lang w:val="en-US"/>
        </w:rPr>
        <w:t xml:space="preserve"> </w:t>
      </w:r>
      <w:r w:rsidR="00D52DF8" w:rsidRPr="00F4226B">
        <w:rPr>
          <w:rFonts w:ascii="Times New Roman" w:hAnsi="Times New Roman"/>
          <w:sz w:val="24"/>
          <w:szCs w:val="24"/>
          <w:lang w:val="en-US"/>
        </w:rPr>
        <w:t xml:space="preserve">hence </w:t>
      </w:r>
      <w:r w:rsidR="00A1222A" w:rsidRPr="00F4226B">
        <w:rPr>
          <w:rFonts w:ascii="Times New Roman" w:hAnsi="Times New Roman"/>
          <w:sz w:val="24"/>
          <w:szCs w:val="24"/>
          <w:lang w:val="en-US"/>
        </w:rPr>
        <w:t>investors m</w:t>
      </w:r>
      <w:r w:rsidR="00D52DF8" w:rsidRPr="00F4226B">
        <w:rPr>
          <w:rFonts w:ascii="Times New Roman" w:hAnsi="Times New Roman"/>
          <w:sz w:val="24"/>
          <w:szCs w:val="24"/>
          <w:lang w:val="en-US"/>
        </w:rPr>
        <w:t>ay</w:t>
      </w:r>
      <w:r w:rsidR="00A1222A" w:rsidRPr="00F4226B">
        <w:rPr>
          <w:rFonts w:ascii="Times New Roman" w:hAnsi="Times New Roman"/>
          <w:sz w:val="24"/>
          <w:szCs w:val="24"/>
          <w:lang w:val="en-US"/>
        </w:rPr>
        <w:t xml:space="preserve"> be confused </w:t>
      </w:r>
      <w:r w:rsidR="003636D9">
        <w:rPr>
          <w:rFonts w:ascii="Times New Roman" w:hAnsi="Times New Roman"/>
          <w:sz w:val="24"/>
          <w:szCs w:val="24"/>
          <w:lang w:val="en-US"/>
        </w:rPr>
        <w:t>about</w:t>
      </w:r>
      <w:r w:rsidR="00A1222A" w:rsidRPr="00F4226B">
        <w:rPr>
          <w:rFonts w:ascii="Times New Roman" w:hAnsi="Times New Roman"/>
          <w:sz w:val="24"/>
          <w:szCs w:val="24"/>
          <w:lang w:val="en-US"/>
        </w:rPr>
        <w:t xml:space="preserve"> the implications of IA amounts </w:t>
      </w:r>
      <w:r w:rsidR="003636D9">
        <w:rPr>
          <w:rFonts w:ascii="Times New Roman" w:hAnsi="Times New Roman"/>
          <w:sz w:val="24"/>
          <w:szCs w:val="24"/>
          <w:lang w:val="en-US"/>
        </w:rPr>
        <w:t>for</w:t>
      </w:r>
      <w:r w:rsidR="003636D9" w:rsidRPr="00F4226B">
        <w:rPr>
          <w:rFonts w:ascii="Times New Roman" w:hAnsi="Times New Roman"/>
          <w:sz w:val="24"/>
          <w:szCs w:val="24"/>
          <w:lang w:val="en-US"/>
        </w:rPr>
        <w:t xml:space="preserve"> </w:t>
      </w:r>
      <w:r w:rsidR="00D52DF8" w:rsidRPr="00F4226B">
        <w:rPr>
          <w:rFonts w:ascii="Times New Roman" w:hAnsi="Times New Roman"/>
          <w:sz w:val="24"/>
          <w:szCs w:val="24"/>
          <w:lang w:val="en-US"/>
        </w:rPr>
        <w:t xml:space="preserve">the firm’s </w:t>
      </w:r>
      <w:r w:rsidR="00A1222A" w:rsidRPr="00F4226B">
        <w:rPr>
          <w:rFonts w:ascii="Times New Roman" w:hAnsi="Times New Roman"/>
          <w:sz w:val="24"/>
          <w:szCs w:val="24"/>
          <w:lang w:val="en-US"/>
        </w:rPr>
        <w:t>future cash flows</w:t>
      </w:r>
      <w:r w:rsidR="00366F20" w:rsidRPr="00F4226B">
        <w:rPr>
          <w:rFonts w:ascii="Times New Roman" w:hAnsi="Times New Roman"/>
          <w:sz w:val="24"/>
          <w:szCs w:val="24"/>
          <w:lang w:val="en-US"/>
        </w:rPr>
        <w:t xml:space="preserve">. </w:t>
      </w:r>
      <w:r w:rsidR="00CA2642" w:rsidRPr="00F4226B">
        <w:rPr>
          <w:rFonts w:ascii="Times New Roman" w:hAnsi="Times New Roman"/>
          <w:sz w:val="24"/>
          <w:szCs w:val="24"/>
          <w:lang w:val="en-US"/>
        </w:rPr>
        <w:t>Th</w:t>
      </w:r>
      <w:r w:rsidR="0060760E" w:rsidRPr="00F4226B">
        <w:rPr>
          <w:rFonts w:ascii="Times New Roman" w:hAnsi="Times New Roman"/>
          <w:sz w:val="24"/>
          <w:szCs w:val="24"/>
          <w:lang w:val="en-US"/>
        </w:rPr>
        <w:t xml:space="preserve">is </w:t>
      </w:r>
      <w:r w:rsidR="00C42F8C" w:rsidRPr="00F4226B">
        <w:rPr>
          <w:rFonts w:ascii="Times New Roman" w:hAnsi="Times New Roman"/>
          <w:sz w:val="24"/>
          <w:szCs w:val="24"/>
          <w:lang w:val="en-US"/>
        </w:rPr>
        <w:t xml:space="preserve">complexity </w:t>
      </w:r>
      <w:r w:rsidR="00162D94" w:rsidRPr="00F4226B">
        <w:rPr>
          <w:rFonts w:ascii="Times New Roman" w:hAnsi="Times New Roman"/>
          <w:sz w:val="24"/>
          <w:szCs w:val="24"/>
          <w:lang w:val="en-US"/>
        </w:rPr>
        <w:t xml:space="preserve">view </w:t>
      </w:r>
      <w:r w:rsidR="00714842" w:rsidRPr="00F4226B">
        <w:rPr>
          <w:rFonts w:ascii="Times New Roman" w:hAnsi="Times New Roman"/>
          <w:sz w:val="24"/>
          <w:szCs w:val="24"/>
          <w:lang w:val="en-US"/>
        </w:rPr>
        <w:t>appear</w:t>
      </w:r>
      <w:r w:rsidR="00343A7A" w:rsidRPr="00F4226B">
        <w:rPr>
          <w:rFonts w:ascii="Times New Roman" w:hAnsi="Times New Roman"/>
          <w:sz w:val="24"/>
          <w:szCs w:val="24"/>
          <w:lang w:val="en-US"/>
        </w:rPr>
        <w:t>s</w:t>
      </w:r>
      <w:r w:rsidR="00714842" w:rsidRPr="00F4226B">
        <w:rPr>
          <w:rFonts w:ascii="Times New Roman" w:hAnsi="Times New Roman"/>
          <w:sz w:val="24"/>
          <w:szCs w:val="24"/>
          <w:lang w:val="en-US"/>
        </w:rPr>
        <w:t xml:space="preserve"> to </w:t>
      </w:r>
      <w:r w:rsidR="00CA2642" w:rsidRPr="00F4226B">
        <w:rPr>
          <w:rFonts w:ascii="Times New Roman" w:hAnsi="Times New Roman"/>
          <w:sz w:val="24"/>
          <w:szCs w:val="24"/>
          <w:lang w:val="en-US"/>
        </w:rPr>
        <w:t xml:space="preserve">resonate with </w:t>
      </w:r>
      <w:r w:rsidR="00714842" w:rsidRPr="00F4226B">
        <w:rPr>
          <w:rFonts w:ascii="Times New Roman" w:hAnsi="Times New Roman"/>
          <w:sz w:val="24"/>
          <w:szCs w:val="24"/>
          <w:lang w:val="en-US"/>
        </w:rPr>
        <w:t xml:space="preserve">one of the </w:t>
      </w:r>
      <w:r w:rsidR="00162D94" w:rsidRPr="00F4226B">
        <w:rPr>
          <w:rFonts w:ascii="Times New Roman" w:hAnsi="Times New Roman"/>
          <w:sz w:val="24"/>
          <w:szCs w:val="24"/>
          <w:lang w:val="en-US"/>
        </w:rPr>
        <w:t xml:space="preserve">key </w:t>
      </w:r>
      <w:r w:rsidR="00CA2642" w:rsidRPr="00F4226B">
        <w:rPr>
          <w:rFonts w:ascii="Times New Roman" w:hAnsi="Times New Roman"/>
          <w:sz w:val="24"/>
          <w:szCs w:val="24"/>
          <w:lang w:val="en-US"/>
        </w:rPr>
        <w:t>argument</w:t>
      </w:r>
      <w:r w:rsidR="00343A7A" w:rsidRPr="00F4226B">
        <w:rPr>
          <w:rFonts w:ascii="Times New Roman" w:hAnsi="Times New Roman"/>
          <w:sz w:val="24"/>
          <w:szCs w:val="24"/>
          <w:lang w:val="en-US"/>
        </w:rPr>
        <w:t>s</w:t>
      </w:r>
      <w:r w:rsidR="00CA2642" w:rsidRPr="00F4226B">
        <w:rPr>
          <w:rFonts w:ascii="Times New Roman" w:hAnsi="Times New Roman"/>
          <w:sz w:val="24"/>
          <w:szCs w:val="24"/>
          <w:lang w:val="en-US"/>
        </w:rPr>
        <w:t xml:space="preserve"> </w:t>
      </w:r>
      <w:r w:rsidR="003636D9">
        <w:rPr>
          <w:rFonts w:ascii="Times New Roman" w:hAnsi="Times New Roman"/>
          <w:sz w:val="24"/>
          <w:szCs w:val="24"/>
          <w:lang w:val="en-US"/>
        </w:rPr>
        <w:t xml:space="preserve">made </w:t>
      </w:r>
      <w:r w:rsidR="00125BB4" w:rsidRPr="00F4226B">
        <w:rPr>
          <w:rFonts w:ascii="Times New Roman" w:hAnsi="Times New Roman"/>
          <w:sz w:val="24"/>
          <w:szCs w:val="24"/>
          <w:lang w:val="en-US"/>
        </w:rPr>
        <w:t xml:space="preserve">by </w:t>
      </w:r>
      <w:r w:rsidR="00820B25" w:rsidRPr="00B74FE0">
        <w:rPr>
          <w:rFonts w:ascii="Times New Roman" w:hAnsi="Times New Roman"/>
          <w:sz w:val="24"/>
          <w:szCs w:val="24"/>
          <w:lang w:val="en-US"/>
        </w:rPr>
        <w:t>preparers and users of financial statements</w:t>
      </w:r>
      <w:r w:rsidR="00125BB4" w:rsidRPr="00F4226B">
        <w:rPr>
          <w:rFonts w:ascii="Times New Roman" w:hAnsi="Times New Roman"/>
          <w:sz w:val="24"/>
          <w:szCs w:val="24"/>
          <w:lang w:val="en-US"/>
        </w:rPr>
        <w:t xml:space="preserve"> </w:t>
      </w:r>
      <w:r w:rsidR="002027A6" w:rsidRPr="00F4226B">
        <w:rPr>
          <w:rFonts w:ascii="Times New Roman" w:hAnsi="Times New Roman"/>
          <w:sz w:val="24"/>
          <w:szCs w:val="24"/>
          <w:lang w:val="en-US"/>
        </w:rPr>
        <w:t xml:space="preserve">lobbying against the </w:t>
      </w:r>
      <w:r w:rsidR="00CA2642" w:rsidRPr="00F4226B">
        <w:rPr>
          <w:rFonts w:ascii="Times New Roman" w:hAnsi="Times New Roman"/>
          <w:sz w:val="24"/>
          <w:szCs w:val="24"/>
          <w:lang w:val="en-US"/>
        </w:rPr>
        <w:t>adoption of IAS 29 in Zimbabwe</w:t>
      </w:r>
      <w:r w:rsidR="004B4F24" w:rsidRPr="00F4226B">
        <w:rPr>
          <w:rFonts w:ascii="Times New Roman" w:hAnsi="Times New Roman"/>
          <w:sz w:val="24"/>
          <w:szCs w:val="24"/>
          <w:lang w:val="en-US"/>
        </w:rPr>
        <w:t xml:space="preserve">—that is, </w:t>
      </w:r>
      <w:r w:rsidR="00F50B21" w:rsidRPr="00F4226B">
        <w:rPr>
          <w:rFonts w:ascii="Times New Roman" w:hAnsi="Times New Roman"/>
          <w:sz w:val="24"/>
          <w:szCs w:val="24"/>
          <w:lang w:val="en-US"/>
        </w:rPr>
        <w:t>“</w:t>
      </w:r>
      <w:r w:rsidR="004B4F24" w:rsidRPr="00F4226B">
        <w:rPr>
          <w:rFonts w:ascii="Times New Roman" w:hAnsi="Times New Roman"/>
          <w:sz w:val="24"/>
          <w:szCs w:val="24"/>
          <w:lang w:val="en-US"/>
        </w:rPr>
        <w:t xml:space="preserve">users were more comfortable with HC </w:t>
      </w:r>
      <w:r w:rsidR="004B4F24" w:rsidRPr="00F4226B">
        <w:rPr>
          <w:rFonts w:ascii="Times New Roman" w:hAnsi="Times New Roman"/>
          <w:sz w:val="24"/>
          <w:szCs w:val="24"/>
          <w:lang w:val="en-US"/>
        </w:rPr>
        <w:lastRenderedPageBreak/>
        <w:t>financial statements</w:t>
      </w:r>
      <w:r w:rsidR="00F50B21" w:rsidRPr="00F4226B">
        <w:rPr>
          <w:rFonts w:ascii="Times New Roman" w:hAnsi="Times New Roman"/>
          <w:sz w:val="24"/>
          <w:szCs w:val="24"/>
          <w:lang w:val="en-US"/>
        </w:rPr>
        <w:t>”</w:t>
      </w:r>
      <w:r w:rsidR="00C058EF" w:rsidRPr="00F4226B">
        <w:rPr>
          <w:rFonts w:ascii="Times New Roman" w:hAnsi="Times New Roman"/>
          <w:sz w:val="24"/>
          <w:szCs w:val="24"/>
          <w:lang w:val="en-US"/>
        </w:rPr>
        <w:t xml:space="preserve"> (Chamisa et al. 2012</w:t>
      </w:r>
      <w:r>
        <w:rPr>
          <w:rFonts w:ascii="Times New Roman" w:hAnsi="Times New Roman"/>
          <w:sz w:val="24"/>
          <w:szCs w:val="24"/>
          <w:lang w:val="en-US"/>
        </w:rPr>
        <w:t xml:space="preserve">, p. </w:t>
      </w:r>
      <w:r w:rsidR="00C058EF" w:rsidRPr="00F4226B">
        <w:rPr>
          <w:rFonts w:ascii="Times New Roman" w:hAnsi="Times New Roman"/>
          <w:sz w:val="24"/>
          <w:szCs w:val="24"/>
          <w:lang w:val="en-US"/>
        </w:rPr>
        <w:t>7)</w:t>
      </w:r>
      <w:r w:rsidR="004B4F24" w:rsidRPr="00F4226B">
        <w:rPr>
          <w:rFonts w:ascii="Times New Roman" w:hAnsi="Times New Roman"/>
          <w:sz w:val="24"/>
          <w:szCs w:val="24"/>
          <w:lang w:val="en-US"/>
        </w:rPr>
        <w:t xml:space="preserve">. </w:t>
      </w:r>
      <w:r w:rsidR="008902F7" w:rsidRPr="00F4226B">
        <w:rPr>
          <w:rFonts w:ascii="Times New Roman" w:hAnsi="Times New Roman"/>
          <w:sz w:val="24"/>
          <w:szCs w:val="24"/>
          <w:lang w:val="en-US"/>
        </w:rPr>
        <w:t>Further, C</w:t>
      </w:r>
      <w:r w:rsidR="00356747" w:rsidRPr="00F4226B">
        <w:rPr>
          <w:rFonts w:ascii="Times New Roman" w:hAnsi="Times New Roman"/>
          <w:sz w:val="24"/>
          <w:szCs w:val="24"/>
          <w:lang w:val="en-US"/>
        </w:rPr>
        <w:t xml:space="preserve">hamisa (2007) </w:t>
      </w:r>
      <w:r w:rsidR="000D1EF9" w:rsidRPr="00F4226B">
        <w:rPr>
          <w:rFonts w:ascii="Times New Roman" w:hAnsi="Times New Roman"/>
          <w:sz w:val="24"/>
          <w:szCs w:val="24"/>
          <w:lang w:val="en-US"/>
        </w:rPr>
        <w:t xml:space="preserve">finds </w:t>
      </w:r>
      <w:r w:rsidR="00343A7A" w:rsidRPr="00F4226B">
        <w:rPr>
          <w:rFonts w:ascii="Times New Roman" w:hAnsi="Times New Roman"/>
          <w:sz w:val="24"/>
          <w:szCs w:val="24"/>
          <w:lang w:val="en-US"/>
        </w:rPr>
        <w:t>t</w:t>
      </w:r>
      <w:r w:rsidR="00356747" w:rsidRPr="00F4226B">
        <w:rPr>
          <w:rFonts w:ascii="Times New Roman" w:hAnsi="Times New Roman"/>
          <w:sz w:val="24"/>
          <w:szCs w:val="24"/>
          <w:lang w:val="en-US"/>
        </w:rPr>
        <w:t xml:space="preserve">hat </w:t>
      </w:r>
      <w:r w:rsidR="008902F7" w:rsidRPr="00F4226B">
        <w:rPr>
          <w:rFonts w:ascii="Times New Roman" w:hAnsi="Times New Roman"/>
          <w:sz w:val="24"/>
          <w:szCs w:val="24"/>
          <w:lang w:val="en-US"/>
        </w:rPr>
        <w:t xml:space="preserve">Zimbabwean </w:t>
      </w:r>
      <w:r w:rsidR="00CA2642" w:rsidRPr="00F4226B">
        <w:rPr>
          <w:rFonts w:ascii="Times New Roman" w:hAnsi="Times New Roman"/>
          <w:sz w:val="24"/>
          <w:szCs w:val="24"/>
          <w:lang w:val="en-US"/>
        </w:rPr>
        <w:t>analysts</w:t>
      </w:r>
      <w:r w:rsidR="006C72F1" w:rsidRPr="00F4226B">
        <w:rPr>
          <w:rFonts w:ascii="Times New Roman" w:hAnsi="Times New Roman"/>
          <w:sz w:val="24"/>
          <w:szCs w:val="24"/>
          <w:lang w:val="en-US"/>
        </w:rPr>
        <w:t xml:space="preserve"> </w:t>
      </w:r>
      <w:r w:rsidR="000D1EF9" w:rsidRPr="00F4226B">
        <w:rPr>
          <w:rFonts w:ascii="Times New Roman" w:hAnsi="Times New Roman"/>
          <w:sz w:val="24"/>
          <w:szCs w:val="24"/>
          <w:lang w:val="en-US"/>
        </w:rPr>
        <w:t xml:space="preserve">made little </w:t>
      </w:r>
      <w:r w:rsidR="00023B03" w:rsidRPr="00F4226B">
        <w:rPr>
          <w:rFonts w:ascii="Times New Roman" w:hAnsi="Times New Roman"/>
          <w:sz w:val="24"/>
          <w:szCs w:val="24"/>
          <w:lang w:val="en-US"/>
        </w:rPr>
        <w:t xml:space="preserve">use </w:t>
      </w:r>
      <w:r w:rsidR="000D1EF9" w:rsidRPr="00F4226B">
        <w:rPr>
          <w:rFonts w:ascii="Times New Roman" w:hAnsi="Times New Roman"/>
          <w:sz w:val="24"/>
          <w:szCs w:val="24"/>
          <w:lang w:val="en-US"/>
        </w:rPr>
        <w:t xml:space="preserve">of IA amounts in </w:t>
      </w:r>
      <w:r w:rsidR="00700BE3" w:rsidRPr="00F4226B">
        <w:rPr>
          <w:rFonts w:ascii="Times New Roman" w:hAnsi="Times New Roman"/>
          <w:sz w:val="24"/>
          <w:szCs w:val="24"/>
          <w:lang w:val="en-US"/>
        </w:rPr>
        <w:t xml:space="preserve">making </w:t>
      </w:r>
      <w:r w:rsidR="00C058EF" w:rsidRPr="00F4226B">
        <w:rPr>
          <w:rFonts w:ascii="Times New Roman" w:hAnsi="Times New Roman"/>
          <w:sz w:val="24"/>
          <w:szCs w:val="24"/>
          <w:lang w:val="en-US"/>
        </w:rPr>
        <w:t xml:space="preserve">investment </w:t>
      </w:r>
      <w:r w:rsidR="00CA2642" w:rsidRPr="00F4226B">
        <w:rPr>
          <w:rFonts w:ascii="Times New Roman" w:hAnsi="Times New Roman"/>
          <w:sz w:val="24"/>
          <w:szCs w:val="24"/>
          <w:lang w:val="en-US"/>
        </w:rPr>
        <w:t>decision</w:t>
      </w:r>
      <w:r w:rsidR="00700BE3" w:rsidRPr="00F4226B">
        <w:rPr>
          <w:rFonts w:ascii="Times New Roman" w:hAnsi="Times New Roman"/>
          <w:sz w:val="24"/>
          <w:szCs w:val="24"/>
          <w:lang w:val="en-US"/>
        </w:rPr>
        <w:t>s</w:t>
      </w:r>
      <w:r w:rsidR="00233EE4" w:rsidRPr="00F4226B">
        <w:rPr>
          <w:rFonts w:ascii="Times New Roman" w:hAnsi="Times New Roman"/>
          <w:sz w:val="24"/>
          <w:szCs w:val="24"/>
          <w:lang w:val="en-US"/>
        </w:rPr>
        <w:t xml:space="preserve">. </w:t>
      </w:r>
      <w:r w:rsidR="00EE2D1F" w:rsidRPr="00F4226B">
        <w:rPr>
          <w:rFonts w:ascii="Times New Roman" w:hAnsi="Times New Roman"/>
          <w:sz w:val="24"/>
          <w:szCs w:val="24"/>
          <w:lang w:val="en-US"/>
        </w:rPr>
        <w:t xml:space="preserve">Similar </w:t>
      </w:r>
      <w:r w:rsidR="000D1EF9" w:rsidRPr="00F4226B">
        <w:rPr>
          <w:rFonts w:ascii="Times New Roman" w:hAnsi="Times New Roman"/>
          <w:sz w:val="24"/>
          <w:szCs w:val="24"/>
          <w:lang w:val="en-US"/>
        </w:rPr>
        <w:t>results a</w:t>
      </w:r>
      <w:r w:rsidR="00EE2D1F" w:rsidRPr="00F4226B">
        <w:rPr>
          <w:rFonts w:ascii="Times New Roman" w:hAnsi="Times New Roman"/>
          <w:sz w:val="24"/>
          <w:szCs w:val="24"/>
          <w:lang w:val="en-US"/>
        </w:rPr>
        <w:t xml:space="preserve">re reported </w:t>
      </w:r>
      <w:r w:rsidR="000D1EF9" w:rsidRPr="00F4226B">
        <w:rPr>
          <w:rFonts w:ascii="Times New Roman" w:hAnsi="Times New Roman"/>
          <w:sz w:val="24"/>
          <w:szCs w:val="24"/>
          <w:lang w:val="en-US"/>
        </w:rPr>
        <w:t xml:space="preserve">by </w:t>
      </w:r>
      <w:r w:rsidR="00EE2D1F" w:rsidRPr="00F4226B">
        <w:rPr>
          <w:rFonts w:ascii="Times New Roman" w:hAnsi="Times New Roman"/>
          <w:sz w:val="24"/>
          <w:szCs w:val="24"/>
          <w:lang w:val="en-US"/>
        </w:rPr>
        <w:t xml:space="preserve">Berliner (1983) and Maksy (1984) </w:t>
      </w:r>
      <w:r w:rsidR="000D1EF9" w:rsidRPr="00F4226B">
        <w:rPr>
          <w:rFonts w:ascii="Times New Roman" w:hAnsi="Times New Roman"/>
          <w:sz w:val="24"/>
          <w:szCs w:val="24"/>
          <w:lang w:val="en-US"/>
        </w:rPr>
        <w:t>in the U</w:t>
      </w:r>
      <w:r>
        <w:rPr>
          <w:rFonts w:ascii="Times New Roman" w:hAnsi="Times New Roman"/>
          <w:sz w:val="24"/>
          <w:szCs w:val="24"/>
          <w:lang w:val="en-US"/>
        </w:rPr>
        <w:t xml:space="preserve">nited </w:t>
      </w:r>
      <w:r w:rsidR="000D1EF9" w:rsidRPr="00F4226B">
        <w:rPr>
          <w:rFonts w:ascii="Times New Roman" w:hAnsi="Times New Roman"/>
          <w:sz w:val="24"/>
          <w:szCs w:val="24"/>
          <w:lang w:val="en-US"/>
        </w:rPr>
        <w:t>S</w:t>
      </w:r>
      <w:r>
        <w:rPr>
          <w:rFonts w:ascii="Times New Roman" w:hAnsi="Times New Roman"/>
          <w:sz w:val="24"/>
          <w:szCs w:val="24"/>
          <w:lang w:val="en-US"/>
        </w:rPr>
        <w:t>tates</w:t>
      </w:r>
      <w:r w:rsidR="003636D9">
        <w:rPr>
          <w:rFonts w:ascii="Times New Roman" w:hAnsi="Times New Roman"/>
          <w:sz w:val="24"/>
          <w:szCs w:val="24"/>
          <w:lang w:val="en-US"/>
        </w:rPr>
        <w:t>,</w:t>
      </w:r>
      <w:r w:rsidR="000D1EF9" w:rsidRPr="00F4226B">
        <w:rPr>
          <w:rFonts w:ascii="Times New Roman" w:hAnsi="Times New Roman"/>
          <w:sz w:val="24"/>
          <w:szCs w:val="24"/>
          <w:lang w:val="en-US"/>
        </w:rPr>
        <w:t xml:space="preserve"> </w:t>
      </w:r>
      <w:r w:rsidR="003636D9">
        <w:rPr>
          <w:rFonts w:ascii="Times New Roman" w:hAnsi="Times New Roman"/>
          <w:sz w:val="24"/>
          <w:szCs w:val="24"/>
          <w:lang w:val="en-US"/>
        </w:rPr>
        <w:t>who show t</w:t>
      </w:r>
      <w:r w:rsidR="00EE2D1F" w:rsidRPr="00F4226B">
        <w:rPr>
          <w:rFonts w:ascii="Times New Roman" w:hAnsi="Times New Roman"/>
          <w:sz w:val="24"/>
          <w:szCs w:val="24"/>
          <w:lang w:val="en-US"/>
        </w:rPr>
        <w:t xml:space="preserve">hat analysts and banks, respectively, made </w:t>
      </w:r>
      <w:r w:rsidR="004B526A" w:rsidRPr="00F4226B">
        <w:rPr>
          <w:rFonts w:ascii="Times New Roman" w:hAnsi="Times New Roman"/>
          <w:sz w:val="24"/>
          <w:szCs w:val="24"/>
          <w:lang w:val="en-US"/>
        </w:rPr>
        <w:t xml:space="preserve">little </w:t>
      </w:r>
      <w:r w:rsidR="00EE2D1F" w:rsidRPr="00F4226B">
        <w:rPr>
          <w:rFonts w:ascii="Times New Roman" w:hAnsi="Times New Roman"/>
          <w:sz w:val="24"/>
          <w:szCs w:val="24"/>
          <w:lang w:val="en-US"/>
        </w:rPr>
        <w:t>use of IA amounts</w:t>
      </w:r>
      <w:r w:rsidR="000D1EF9" w:rsidRPr="00F4226B">
        <w:rPr>
          <w:rFonts w:ascii="Times New Roman" w:hAnsi="Times New Roman"/>
          <w:sz w:val="24"/>
          <w:szCs w:val="24"/>
          <w:lang w:val="en-US"/>
        </w:rPr>
        <w:t>.</w:t>
      </w:r>
      <w:r w:rsidR="00EE2D1F" w:rsidRPr="00F4226B">
        <w:rPr>
          <w:rFonts w:ascii="Times New Roman" w:hAnsi="Times New Roman"/>
          <w:sz w:val="24"/>
          <w:szCs w:val="24"/>
          <w:lang w:val="en-US"/>
        </w:rPr>
        <w:t xml:space="preserve"> </w:t>
      </w:r>
      <w:r w:rsidR="007809DA" w:rsidRPr="00F4226B">
        <w:rPr>
          <w:rFonts w:ascii="Times New Roman" w:hAnsi="Times New Roman"/>
          <w:sz w:val="24"/>
          <w:szCs w:val="24"/>
          <w:lang w:val="en-US"/>
        </w:rPr>
        <w:t>In this context</w:t>
      </w:r>
      <w:r w:rsidR="00FF51EF" w:rsidRPr="00F4226B">
        <w:rPr>
          <w:rFonts w:ascii="Times New Roman" w:hAnsi="Times New Roman"/>
          <w:sz w:val="24"/>
          <w:szCs w:val="24"/>
          <w:lang w:val="en-US"/>
        </w:rPr>
        <w:t>, we make two predictions. First, i</w:t>
      </w:r>
      <w:r w:rsidR="000D1EF9" w:rsidRPr="00F4226B">
        <w:rPr>
          <w:rFonts w:ascii="Times New Roman" w:hAnsi="Times New Roman"/>
          <w:sz w:val="24"/>
          <w:szCs w:val="24"/>
          <w:lang w:val="en-US"/>
        </w:rPr>
        <w:t xml:space="preserve">f </w:t>
      </w:r>
      <w:r w:rsidR="000B4F31" w:rsidRPr="00F4226B">
        <w:rPr>
          <w:rFonts w:ascii="Times New Roman" w:hAnsi="Times New Roman"/>
          <w:sz w:val="24"/>
          <w:szCs w:val="24"/>
          <w:lang w:val="en-US"/>
        </w:rPr>
        <w:t xml:space="preserve">investors make little use of </w:t>
      </w:r>
      <w:r w:rsidR="004167EF" w:rsidRPr="00F4226B">
        <w:rPr>
          <w:rFonts w:ascii="Times New Roman" w:hAnsi="Times New Roman"/>
          <w:sz w:val="24"/>
          <w:szCs w:val="24"/>
          <w:lang w:val="en-US"/>
        </w:rPr>
        <w:t>IA amounts</w:t>
      </w:r>
      <w:r w:rsidR="00FF51EF" w:rsidRPr="00F4226B">
        <w:rPr>
          <w:rFonts w:ascii="Times New Roman" w:hAnsi="Times New Roman"/>
          <w:sz w:val="24"/>
          <w:szCs w:val="24"/>
          <w:lang w:val="en-US"/>
        </w:rPr>
        <w:t xml:space="preserve">, </w:t>
      </w:r>
      <w:r w:rsidR="00417433" w:rsidRPr="00F4226B">
        <w:rPr>
          <w:rFonts w:ascii="Times New Roman" w:hAnsi="Times New Roman"/>
          <w:sz w:val="24"/>
          <w:szCs w:val="24"/>
          <w:lang w:val="en-US"/>
        </w:rPr>
        <w:t xml:space="preserve">HC </w:t>
      </w:r>
      <w:r w:rsidR="004167EF" w:rsidRPr="00F4226B">
        <w:rPr>
          <w:rFonts w:ascii="Times New Roman" w:hAnsi="Times New Roman"/>
          <w:sz w:val="24"/>
          <w:szCs w:val="24"/>
          <w:lang w:val="en-US"/>
        </w:rPr>
        <w:t xml:space="preserve">amounts </w:t>
      </w:r>
      <w:r w:rsidR="003636D9">
        <w:rPr>
          <w:rFonts w:ascii="Times New Roman" w:hAnsi="Times New Roman"/>
          <w:sz w:val="24"/>
          <w:szCs w:val="24"/>
          <w:lang w:val="en-US"/>
        </w:rPr>
        <w:t>will</w:t>
      </w:r>
      <w:r w:rsidR="003636D9" w:rsidRPr="00F4226B">
        <w:rPr>
          <w:rFonts w:ascii="Times New Roman" w:hAnsi="Times New Roman"/>
          <w:sz w:val="24"/>
          <w:szCs w:val="24"/>
          <w:lang w:val="en-US"/>
        </w:rPr>
        <w:t xml:space="preserve"> </w:t>
      </w:r>
      <w:r w:rsidR="00417433" w:rsidRPr="00F4226B">
        <w:rPr>
          <w:rFonts w:ascii="Times New Roman" w:hAnsi="Times New Roman"/>
          <w:sz w:val="24"/>
          <w:szCs w:val="24"/>
          <w:lang w:val="en-US"/>
        </w:rPr>
        <w:t>be more value relevant</w:t>
      </w:r>
      <w:r w:rsidR="00FE1227" w:rsidRPr="00F4226B">
        <w:rPr>
          <w:rFonts w:ascii="Times New Roman" w:hAnsi="Times New Roman"/>
          <w:sz w:val="24"/>
          <w:szCs w:val="24"/>
          <w:lang w:val="en-US"/>
        </w:rPr>
        <w:t xml:space="preserve"> than </w:t>
      </w:r>
      <w:r w:rsidR="00417433" w:rsidRPr="00F4226B">
        <w:rPr>
          <w:rFonts w:ascii="Times New Roman" w:hAnsi="Times New Roman"/>
          <w:sz w:val="24"/>
          <w:szCs w:val="24"/>
          <w:lang w:val="en-US"/>
        </w:rPr>
        <w:t xml:space="preserve">IA </w:t>
      </w:r>
      <w:r w:rsidR="004167EF" w:rsidRPr="00F4226B">
        <w:rPr>
          <w:rFonts w:ascii="Times New Roman" w:hAnsi="Times New Roman"/>
          <w:sz w:val="24"/>
          <w:szCs w:val="24"/>
          <w:lang w:val="en-US"/>
        </w:rPr>
        <w:t>amounts</w:t>
      </w:r>
      <w:r w:rsidR="00FF51EF" w:rsidRPr="00F4226B">
        <w:rPr>
          <w:rFonts w:ascii="Times New Roman" w:hAnsi="Times New Roman"/>
          <w:sz w:val="24"/>
          <w:szCs w:val="24"/>
          <w:lang w:val="en-US"/>
        </w:rPr>
        <w:t xml:space="preserve">. Second, </w:t>
      </w:r>
      <w:r w:rsidR="00023B03" w:rsidRPr="00F4226B">
        <w:rPr>
          <w:rFonts w:ascii="Times New Roman" w:hAnsi="Times New Roman"/>
          <w:sz w:val="24"/>
          <w:szCs w:val="24"/>
          <w:lang w:val="en-US"/>
        </w:rPr>
        <w:t>if i</w:t>
      </w:r>
      <w:r w:rsidR="00FF51EF" w:rsidRPr="00F4226B">
        <w:rPr>
          <w:rFonts w:ascii="Times New Roman" w:hAnsi="Times New Roman"/>
          <w:sz w:val="24"/>
          <w:szCs w:val="24"/>
          <w:lang w:val="en-US"/>
        </w:rPr>
        <w:t xml:space="preserve">nvestors </w:t>
      </w:r>
      <w:r w:rsidR="00023B03" w:rsidRPr="00F4226B">
        <w:rPr>
          <w:rFonts w:ascii="Times New Roman" w:hAnsi="Times New Roman"/>
          <w:sz w:val="24"/>
          <w:szCs w:val="24"/>
          <w:lang w:val="en-US"/>
        </w:rPr>
        <w:t xml:space="preserve">primarily </w:t>
      </w:r>
      <w:r w:rsidR="003636D9" w:rsidRPr="00F4226B">
        <w:rPr>
          <w:rFonts w:ascii="Times New Roman" w:hAnsi="Times New Roman"/>
          <w:sz w:val="24"/>
          <w:szCs w:val="24"/>
          <w:lang w:val="en-US"/>
        </w:rPr>
        <w:t xml:space="preserve">use </w:t>
      </w:r>
      <w:r w:rsidR="00FF51EF" w:rsidRPr="00F4226B">
        <w:rPr>
          <w:rFonts w:ascii="Times New Roman" w:hAnsi="Times New Roman"/>
          <w:sz w:val="24"/>
          <w:szCs w:val="24"/>
          <w:lang w:val="en-US"/>
        </w:rPr>
        <w:t>HC amounts</w:t>
      </w:r>
      <w:r w:rsidR="003636D9">
        <w:rPr>
          <w:rFonts w:ascii="Times New Roman" w:hAnsi="Times New Roman"/>
          <w:sz w:val="24"/>
          <w:szCs w:val="24"/>
          <w:lang w:val="en-US"/>
        </w:rPr>
        <w:t>,</w:t>
      </w:r>
      <w:r w:rsidR="00023B03" w:rsidRPr="00F4226B">
        <w:rPr>
          <w:rFonts w:ascii="Times New Roman" w:hAnsi="Times New Roman"/>
          <w:sz w:val="24"/>
          <w:szCs w:val="24"/>
          <w:lang w:val="en-US"/>
        </w:rPr>
        <w:t xml:space="preserve"> </w:t>
      </w:r>
      <w:r w:rsidR="00C058EF" w:rsidRPr="00F4226B">
        <w:rPr>
          <w:rFonts w:ascii="Times New Roman" w:hAnsi="Times New Roman"/>
          <w:sz w:val="24"/>
          <w:szCs w:val="24"/>
          <w:lang w:val="en-US"/>
        </w:rPr>
        <w:t xml:space="preserve">as reported by </w:t>
      </w:r>
      <w:r w:rsidR="00023B03" w:rsidRPr="00F4226B">
        <w:rPr>
          <w:rFonts w:ascii="Times New Roman" w:hAnsi="Times New Roman"/>
          <w:sz w:val="24"/>
          <w:szCs w:val="24"/>
          <w:lang w:val="en-US"/>
        </w:rPr>
        <w:t>Chamisa</w:t>
      </w:r>
      <w:r w:rsidR="00C058EF" w:rsidRPr="00F4226B">
        <w:rPr>
          <w:rFonts w:ascii="Times New Roman" w:hAnsi="Times New Roman"/>
          <w:sz w:val="24"/>
          <w:szCs w:val="24"/>
          <w:lang w:val="en-US"/>
        </w:rPr>
        <w:t xml:space="preserve"> (</w:t>
      </w:r>
      <w:r w:rsidR="00023B03" w:rsidRPr="00F4226B">
        <w:rPr>
          <w:rFonts w:ascii="Times New Roman" w:hAnsi="Times New Roman"/>
          <w:sz w:val="24"/>
          <w:szCs w:val="24"/>
          <w:lang w:val="en-US"/>
        </w:rPr>
        <w:t>2007)</w:t>
      </w:r>
      <w:r w:rsidR="00FF51EF" w:rsidRPr="00F4226B">
        <w:rPr>
          <w:rFonts w:ascii="Times New Roman" w:hAnsi="Times New Roman"/>
          <w:sz w:val="24"/>
          <w:szCs w:val="24"/>
          <w:lang w:val="en-US"/>
        </w:rPr>
        <w:t xml:space="preserve">, the information in </w:t>
      </w:r>
      <w:r w:rsidR="007809DA" w:rsidRPr="00F4226B">
        <w:rPr>
          <w:rFonts w:ascii="Times New Roman" w:hAnsi="Times New Roman"/>
          <w:sz w:val="24"/>
          <w:szCs w:val="24"/>
          <w:lang w:val="en-US"/>
        </w:rPr>
        <w:t xml:space="preserve">the </w:t>
      </w:r>
      <w:r w:rsidR="00F4226B" w:rsidRPr="00F4226B">
        <w:rPr>
          <w:rFonts w:ascii="Times New Roman" w:hAnsi="Times New Roman"/>
          <w:sz w:val="24"/>
          <w:szCs w:val="24"/>
          <w:lang w:val="en-US"/>
        </w:rPr>
        <w:t>recognized</w:t>
      </w:r>
      <w:r w:rsidR="007809DA" w:rsidRPr="00F4226B">
        <w:rPr>
          <w:rFonts w:ascii="Times New Roman" w:hAnsi="Times New Roman"/>
          <w:sz w:val="24"/>
          <w:szCs w:val="24"/>
          <w:lang w:val="en-US"/>
        </w:rPr>
        <w:t xml:space="preserve"> </w:t>
      </w:r>
      <w:r w:rsidR="00FF51EF" w:rsidRPr="00F4226B">
        <w:rPr>
          <w:rFonts w:ascii="Times New Roman" w:hAnsi="Times New Roman"/>
          <w:sz w:val="24"/>
          <w:szCs w:val="24"/>
          <w:lang w:val="en-US"/>
        </w:rPr>
        <w:t xml:space="preserve">inflation gains and losses </w:t>
      </w:r>
      <w:r w:rsidR="003636D9">
        <w:rPr>
          <w:rFonts w:ascii="Times New Roman" w:hAnsi="Times New Roman"/>
          <w:sz w:val="24"/>
          <w:szCs w:val="24"/>
          <w:lang w:val="en-US"/>
        </w:rPr>
        <w:t>will</w:t>
      </w:r>
      <w:r w:rsidR="00C058EF" w:rsidRPr="00F4226B">
        <w:rPr>
          <w:rFonts w:ascii="Times New Roman" w:hAnsi="Times New Roman"/>
          <w:sz w:val="24"/>
          <w:szCs w:val="24"/>
          <w:lang w:val="en-US"/>
        </w:rPr>
        <w:t xml:space="preserve"> </w:t>
      </w:r>
      <w:r w:rsidR="00FF51EF" w:rsidRPr="00F4226B">
        <w:rPr>
          <w:rFonts w:ascii="Times New Roman" w:hAnsi="Times New Roman"/>
          <w:sz w:val="24"/>
          <w:szCs w:val="24"/>
          <w:lang w:val="en-US"/>
        </w:rPr>
        <w:t>have incremental value relevance beyond that of HC amounts</w:t>
      </w:r>
      <w:r w:rsidR="00B52E79" w:rsidRPr="00F4226B">
        <w:rPr>
          <w:rFonts w:ascii="Times New Roman" w:hAnsi="Times New Roman"/>
          <w:sz w:val="24"/>
          <w:szCs w:val="24"/>
          <w:lang w:val="en-US"/>
        </w:rPr>
        <w:t>.</w:t>
      </w:r>
      <w:r w:rsidR="0060760E" w:rsidRPr="00F4226B">
        <w:rPr>
          <w:rFonts w:ascii="Times New Roman" w:hAnsi="Times New Roman"/>
          <w:sz w:val="24"/>
          <w:szCs w:val="24"/>
          <w:lang w:val="en-US"/>
        </w:rPr>
        <w:t xml:space="preserve"> </w:t>
      </w:r>
    </w:p>
    <w:p w14:paraId="55660F02" w14:textId="77777777" w:rsidR="00F16978" w:rsidRPr="00F4226B" w:rsidRDefault="00783291"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 </w:t>
      </w:r>
    </w:p>
    <w:p w14:paraId="475AA840" w14:textId="77777777" w:rsidR="000B2798" w:rsidRPr="00F4226B" w:rsidRDefault="000B2798" w:rsidP="003820D1">
      <w:pPr>
        <w:spacing w:line="360" w:lineRule="auto"/>
        <w:jc w:val="both"/>
        <w:outlineLvl w:val="0"/>
        <w:rPr>
          <w:rFonts w:ascii="Times New Roman" w:hAnsi="Times New Roman"/>
          <w:b/>
          <w:sz w:val="24"/>
          <w:szCs w:val="24"/>
          <w:lang w:val="en-US"/>
        </w:rPr>
      </w:pPr>
      <w:r w:rsidRPr="00F4226B">
        <w:rPr>
          <w:rFonts w:ascii="Times New Roman" w:hAnsi="Times New Roman"/>
          <w:b/>
          <w:sz w:val="24"/>
          <w:szCs w:val="24"/>
          <w:lang w:val="en-US"/>
        </w:rPr>
        <w:t xml:space="preserve">4. </w:t>
      </w:r>
      <w:r w:rsidR="00A25F60" w:rsidRPr="00F4226B">
        <w:rPr>
          <w:rFonts w:ascii="Times New Roman" w:hAnsi="Times New Roman"/>
          <w:b/>
          <w:sz w:val="24"/>
          <w:szCs w:val="24"/>
          <w:lang w:val="en-US"/>
        </w:rPr>
        <w:t xml:space="preserve"> </w:t>
      </w:r>
      <w:r w:rsidR="00E14091" w:rsidRPr="00F4226B">
        <w:rPr>
          <w:rFonts w:ascii="Times New Roman" w:hAnsi="Times New Roman"/>
          <w:b/>
          <w:sz w:val="24"/>
          <w:szCs w:val="24"/>
          <w:lang w:val="en-US"/>
        </w:rPr>
        <w:t xml:space="preserve">Research </w:t>
      </w:r>
      <w:r w:rsidR="001E44A1" w:rsidRPr="00F4226B">
        <w:rPr>
          <w:rFonts w:ascii="Times New Roman" w:hAnsi="Times New Roman"/>
          <w:b/>
          <w:sz w:val="24"/>
          <w:szCs w:val="24"/>
          <w:lang w:val="en-US"/>
        </w:rPr>
        <w:t>d</w:t>
      </w:r>
      <w:r w:rsidR="00E14091" w:rsidRPr="00F4226B">
        <w:rPr>
          <w:rFonts w:ascii="Times New Roman" w:hAnsi="Times New Roman"/>
          <w:b/>
          <w:sz w:val="24"/>
          <w:szCs w:val="24"/>
          <w:lang w:val="en-US"/>
        </w:rPr>
        <w:t xml:space="preserve">esign and </w:t>
      </w:r>
      <w:r w:rsidR="001E44A1" w:rsidRPr="00F4226B">
        <w:rPr>
          <w:rFonts w:ascii="Times New Roman" w:hAnsi="Times New Roman"/>
          <w:b/>
          <w:sz w:val="24"/>
          <w:szCs w:val="24"/>
          <w:lang w:val="en-US"/>
        </w:rPr>
        <w:t>d</w:t>
      </w:r>
      <w:r w:rsidR="00E14091" w:rsidRPr="00F4226B">
        <w:rPr>
          <w:rFonts w:ascii="Times New Roman" w:hAnsi="Times New Roman"/>
          <w:b/>
          <w:sz w:val="24"/>
          <w:szCs w:val="24"/>
          <w:lang w:val="en-US"/>
        </w:rPr>
        <w:t>ata</w:t>
      </w:r>
    </w:p>
    <w:p w14:paraId="7BF587FF" w14:textId="77777777" w:rsidR="0043669B" w:rsidRPr="00804A08" w:rsidRDefault="0043669B" w:rsidP="003820D1">
      <w:pPr>
        <w:spacing w:line="360" w:lineRule="auto"/>
        <w:jc w:val="both"/>
        <w:outlineLvl w:val="0"/>
        <w:rPr>
          <w:rFonts w:ascii="Times New Roman" w:hAnsi="Times New Roman"/>
          <w:i/>
          <w:sz w:val="24"/>
          <w:szCs w:val="24"/>
          <w:lang w:val="en-US"/>
        </w:rPr>
      </w:pPr>
      <w:r w:rsidRPr="00804A08">
        <w:rPr>
          <w:rFonts w:ascii="Times New Roman" w:hAnsi="Times New Roman"/>
          <w:i/>
          <w:sz w:val="24"/>
          <w:szCs w:val="24"/>
          <w:lang w:val="en-US"/>
        </w:rPr>
        <w:lastRenderedPageBreak/>
        <w:t>4.</w:t>
      </w:r>
      <w:r w:rsidR="00E14091" w:rsidRPr="00804A08">
        <w:rPr>
          <w:rFonts w:ascii="Times New Roman" w:hAnsi="Times New Roman"/>
          <w:i/>
          <w:sz w:val="24"/>
          <w:szCs w:val="24"/>
          <w:lang w:val="en-US"/>
        </w:rPr>
        <w:t>1</w:t>
      </w:r>
      <w:r w:rsidRPr="00804A08">
        <w:rPr>
          <w:rFonts w:ascii="Times New Roman" w:hAnsi="Times New Roman"/>
          <w:i/>
          <w:sz w:val="24"/>
          <w:szCs w:val="24"/>
          <w:lang w:val="en-US"/>
        </w:rPr>
        <w:t xml:space="preserve"> </w:t>
      </w:r>
      <w:r w:rsidR="00FE1227" w:rsidRPr="00804A08">
        <w:rPr>
          <w:rFonts w:ascii="Times New Roman" w:hAnsi="Times New Roman"/>
          <w:i/>
          <w:sz w:val="24"/>
          <w:szCs w:val="24"/>
          <w:lang w:val="en-US"/>
        </w:rPr>
        <w:t xml:space="preserve">Empirical </w:t>
      </w:r>
      <w:r w:rsidR="001E44A1" w:rsidRPr="00804A08">
        <w:rPr>
          <w:rFonts w:ascii="Times New Roman" w:hAnsi="Times New Roman"/>
          <w:i/>
          <w:sz w:val="24"/>
          <w:szCs w:val="24"/>
          <w:lang w:val="en-US"/>
        </w:rPr>
        <w:t>m</w:t>
      </w:r>
      <w:r w:rsidRPr="00804A08">
        <w:rPr>
          <w:rFonts w:ascii="Times New Roman" w:hAnsi="Times New Roman"/>
          <w:i/>
          <w:sz w:val="24"/>
          <w:szCs w:val="24"/>
          <w:lang w:val="en-US"/>
        </w:rPr>
        <w:t>odels</w:t>
      </w:r>
    </w:p>
    <w:p w14:paraId="156F3F4B" w14:textId="234643B7" w:rsidR="001A06EE" w:rsidRPr="00F4226B" w:rsidRDefault="004B26EA" w:rsidP="00625555">
      <w:pPr>
        <w:spacing w:line="360" w:lineRule="auto"/>
        <w:jc w:val="both"/>
        <w:rPr>
          <w:rFonts w:ascii="Times New Roman" w:hAnsi="Times New Roman"/>
          <w:bCs/>
          <w:sz w:val="24"/>
          <w:szCs w:val="24"/>
          <w:lang w:val="en-US"/>
        </w:rPr>
      </w:pPr>
      <w:r w:rsidRPr="00F4226B">
        <w:rPr>
          <w:rFonts w:ascii="Times New Roman" w:hAnsi="Times New Roman"/>
          <w:bCs/>
          <w:sz w:val="24"/>
          <w:szCs w:val="24"/>
          <w:lang w:val="en-US"/>
        </w:rPr>
        <w:t xml:space="preserve">We </w:t>
      </w:r>
      <w:r w:rsidR="00117A1F" w:rsidRPr="00F4226B">
        <w:rPr>
          <w:rFonts w:ascii="Times New Roman" w:hAnsi="Times New Roman"/>
          <w:bCs/>
          <w:sz w:val="24"/>
          <w:szCs w:val="24"/>
          <w:lang w:val="en-US"/>
        </w:rPr>
        <w:t xml:space="preserve">test for </w:t>
      </w:r>
      <w:r w:rsidR="007C4261" w:rsidRPr="00F4226B">
        <w:rPr>
          <w:rFonts w:ascii="Times New Roman" w:hAnsi="Times New Roman"/>
          <w:bCs/>
          <w:sz w:val="24"/>
          <w:szCs w:val="24"/>
          <w:lang w:val="en-US"/>
        </w:rPr>
        <w:t xml:space="preserve">both the </w:t>
      </w:r>
      <w:r w:rsidR="007C4261" w:rsidRPr="00F4226B">
        <w:rPr>
          <w:rFonts w:ascii="Times New Roman" w:hAnsi="Times New Roman"/>
          <w:bCs/>
          <w:i/>
          <w:sz w:val="24"/>
          <w:szCs w:val="24"/>
          <w:lang w:val="en-US"/>
        </w:rPr>
        <w:t xml:space="preserve">relative </w:t>
      </w:r>
      <w:r w:rsidR="007C4261" w:rsidRPr="00F4226B">
        <w:rPr>
          <w:rFonts w:ascii="Times New Roman" w:hAnsi="Times New Roman"/>
          <w:bCs/>
          <w:sz w:val="24"/>
          <w:szCs w:val="24"/>
          <w:lang w:val="en-US"/>
        </w:rPr>
        <w:t xml:space="preserve">and </w:t>
      </w:r>
      <w:r w:rsidR="007C4261" w:rsidRPr="00F4226B">
        <w:rPr>
          <w:rFonts w:ascii="Times New Roman" w:hAnsi="Times New Roman"/>
          <w:bCs/>
          <w:i/>
          <w:sz w:val="24"/>
          <w:szCs w:val="24"/>
          <w:lang w:val="en-US"/>
        </w:rPr>
        <w:t>incremental</w:t>
      </w:r>
      <w:r w:rsidR="007C4261" w:rsidRPr="00F4226B">
        <w:rPr>
          <w:rFonts w:ascii="Times New Roman" w:hAnsi="Times New Roman"/>
          <w:bCs/>
          <w:sz w:val="24"/>
          <w:szCs w:val="24"/>
          <w:lang w:val="en-US"/>
        </w:rPr>
        <w:t xml:space="preserve"> </w:t>
      </w:r>
      <w:r w:rsidR="00F003EE" w:rsidRPr="00F4226B">
        <w:rPr>
          <w:rFonts w:ascii="Times New Roman" w:hAnsi="Times New Roman"/>
          <w:bCs/>
          <w:sz w:val="24"/>
          <w:szCs w:val="24"/>
          <w:lang w:val="en-US"/>
        </w:rPr>
        <w:t xml:space="preserve">value relevance </w:t>
      </w:r>
      <w:r w:rsidR="007C4261" w:rsidRPr="00F4226B">
        <w:rPr>
          <w:rFonts w:ascii="Times New Roman" w:hAnsi="Times New Roman"/>
          <w:bCs/>
          <w:sz w:val="24"/>
          <w:szCs w:val="24"/>
          <w:lang w:val="en-US"/>
        </w:rPr>
        <w:t>of two sets of accounting measures</w:t>
      </w:r>
      <w:r w:rsidR="002D6719">
        <w:rPr>
          <w:rFonts w:ascii="Times New Roman" w:hAnsi="Times New Roman"/>
          <w:bCs/>
          <w:sz w:val="24"/>
          <w:szCs w:val="24"/>
          <w:lang w:val="en-US"/>
        </w:rPr>
        <w:t>:</w:t>
      </w:r>
      <w:r w:rsidR="00AD50F2" w:rsidRPr="00F4226B">
        <w:rPr>
          <w:rFonts w:ascii="Times New Roman" w:hAnsi="Times New Roman"/>
          <w:bCs/>
          <w:sz w:val="24"/>
          <w:szCs w:val="24"/>
          <w:lang w:val="en-US"/>
        </w:rPr>
        <w:t xml:space="preserve"> </w:t>
      </w:r>
      <w:r w:rsidRPr="00F4226B">
        <w:rPr>
          <w:rFonts w:ascii="Times New Roman" w:hAnsi="Times New Roman"/>
          <w:bCs/>
          <w:sz w:val="24"/>
          <w:szCs w:val="24"/>
          <w:lang w:val="en-US"/>
        </w:rPr>
        <w:t>HC and IA</w:t>
      </w:r>
      <w:r w:rsidR="00AD50F2" w:rsidRPr="00F4226B">
        <w:rPr>
          <w:rFonts w:ascii="Times New Roman" w:hAnsi="Times New Roman"/>
          <w:bCs/>
          <w:sz w:val="24"/>
          <w:szCs w:val="24"/>
          <w:lang w:val="en-US"/>
        </w:rPr>
        <w:t xml:space="preserve"> </w:t>
      </w:r>
      <w:r w:rsidR="00BC50DD" w:rsidRPr="00F4226B">
        <w:rPr>
          <w:rFonts w:ascii="Times New Roman" w:hAnsi="Times New Roman"/>
          <w:bCs/>
          <w:sz w:val="24"/>
          <w:szCs w:val="24"/>
          <w:lang w:val="en-US"/>
        </w:rPr>
        <w:t>amounts</w:t>
      </w:r>
      <w:r w:rsidR="007C4261" w:rsidRPr="00F4226B">
        <w:rPr>
          <w:rFonts w:ascii="Times New Roman" w:hAnsi="Times New Roman"/>
          <w:bCs/>
          <w:sz w:val="24"/>
          <w:szCs w:val="24"/>
          <w:lang w:val="en-US"/>
        </w:rPr>
        <w:t xml:space="preserve">. </w:t>
      </w:r>
      <w:r w:rsidR="00272132" w:rsidRPr="00F4226B">
        <w:rPr>
          <w:rFonts w:ascii="Times New Roman" w:hAnsi="Times New Roman"/>
          <w:sz w:val="24"/>
          <w:szCs w:val="24"/>
          <w:lang w:val="en-US" w:eastAsia="en-GB"/>
        </w:rPr>
        <w:t xml:space="preserve">Following </w:t>
      </w:r>
      <w:r w:rsidR="004553A4" w:rsidRPr="00F4226B">
        <w:rPr>
          <w:rFonts w:ascii="Times New Roman" w:hAnsi="Times New Roman"/>
          <w:sz w:val="24"/>
          <w:szCs w:val="24"/>
          <w:lang w:val="en-US" w:eastAsia="en-GB"/>
        </w:rPr>
        <w:t xml:space="preserve">prior literature (Biddle et al. 1995; </w:t>
      </w:r>
      <w:r w:rsidR="00272132" w:rsidRPr="00F4226B">
        <w:rPr>
          <w:rFonts w:ascii="Times New Roman" w:hAnsi="Times New Roman"/>
          <w:sz w:val="24"/>
          <w:szCs w:val="24"/>
          <w:lang w:val="en-US" w:eastAsia="en-GB"/>
        </w:rPr>
        <w:t>Francis and Schipper</w:t>
      </w:r>
      <w:r w:rsidR="004553A4" w:rsidRPr="00F4226B">
        <w:rPr>
          <w:rFonts w:ascii="Times New Roman" w:hAnsi="Times New Roman"/>
          <w:sz w:val="24"/>
          <w:szCs w:val="24"/>
          <w:lang w:val="en-US" w:eastAsia="en-GB"/>
        </w:rPr>
        <w:t xml:space="preserve"> </w:t>
      </w:r>
      <w:r w:rsidR="00272132" w:rsidRPr="00F4226B">
        <w:rPr>
          <w:rFonts w:ascii="Times New Roman" w:hAnsi="Times New Roman"/>
          <w:sz w:val="24"/>
          <w:szCs w:val="24"/>
          <w:lang w:val="en-US" w:eastAsia="en-GB"/>
        </w:rPr>
        <w:t>1999), we measure value relevance based on the ability of (</w:t>
      </w:r>
      <w:r w:rsidR="001E44A1" w:rsidRPr="00F4226B">
        <w:rPr>
          <w:rFonts w:ascii="Times New Roman" w:hAnsi="Times New Roman"/>
          <w:sz w:val="24"/>
          <w:szCs w:val="24"/>
          <w:lang w:val="en-US" w:eastAsia="en-GB"/>
        </w:rPr>
        <w:t>a</w:t>
      </w:r>
      <w:r w:rsidR="00272132" w:rsidRPr="00F4226B">
        <w:rPr>
          <w:rFonts w:ascii="Times New Roman" w:hAnsi="Times New Roman"/>
          <w:sz w:val="24"/>
          <w:szCs w:val="24"/>
          <w:lang w:val="en-US" w:eastAsia="en-GB"/>
        </w:rPr>
        <w:t>) earnings to explain annual stock returns (the returns model</w:t>
      </w:r>
      <w:r w:rsidR="002D6719" w:rsidRPr="00F4226B">
        <w:rPr>
          <w:rFonts w:ascii="Times New Roman" w:hAnsi="Times New Roman"/>
          <w:sz w:val="24"/>
          <w:szCs w:val="24"/>
          <w:lang w:val="en-US" w:eastAsia="en-GB"/>
        </w:rPr>
        <w:t>)</w:t>
      </w:r>
      <w:r w:rsidR="002D6719">
        <w:rPr>
          <w:rFonts w:ascii="Times New Roman" w:hAnsi="Times New Roman"/>
          <w:sz w:val="24"/>
          <w:szCs w:val="24"/>
          <w:lang w:val="en-US" w:eastAsia="en-GB"/>
        </w:rPr>
        <w:t xml:space="preserve"> </w:t>
      </w:r>
      <w:r w:rsidR="00272132" w:rsidRPr="00F4226B">
        <w:rPr>
          <w:rFonts w:ascii="Times New Roman" w:hAnsi="Times New Roman"/>
          <w:sz w:val="24"/>
          <w:szCs w:val="24"/>
          <w:lang w:val="en-US" w:eastAsia="en-GB"/>
        </w:rPr>
        <w:t>and (</w:t>
      </w:r>
      <w:r w:rsidR="001E44A1" w:rsidRPr="00F4226B">
        <w:rPr>
          <w:rFonts w:ascii="Times New Roman" w:hAnsi="Times New Roman"/>
          <w:sz w:val="24"/>
          <w:szCs w:val="24"/>
          <w:lang w:val="en-US" w:eastAsia="en-GB"/>
        </w:rPr>
        <w:t>b</w:t>
      </w:r>
      <w:r w:rsidR="00272132" w:rsidRPr="00F4226B">
        <w:rPr>
          <w:rFonts w:ascii="Times New Roman" w:hAnsi="Times New Roman"/>
          <w:sz w:val="24"/>
          <w:szCs w:val="24"/>
          <w:lang w:val="en-US" w:eastAsia="en-GB"/>
        </w:rPr>
        <w:t>) earnings and book values of equity to explain stock prices (the price model).</w:t>
      </w:r>
      <w:r w:rsidR="00272132" w:rsidRPr="00F4226B">
        <w:rPr>
          <w:rFonts w:ascii="Times New Roman" w:hAnsi="Times New Roman"/>
          <w:sz w:val="24"/>
          <w:szCs w:val="24"/>
          <w:lang w:val="en-US"/>
        </w:rPr>
        <w:t xml:space="preserve"> </w:t>
      </w:r>
      <w:r w:rsidR="00C04F89" w:rsidRPr="00F4226B">
        <w:rPr>
          <w:rFonts w:ascii="Times New Roman" w:hAnsi="Times New Roman"/>
          <w:sz w:val="24"/>
          <w:szCs w:val="24"/>
          <w:lang w:val="en-US"/>
        </w:rPr>
        <w:t xml:space="preserve">Kothari and Zimmerman (1995) argue that price and returns models address related but different research issues </w:t>
      </w:r>
      <w:r w:rsidR="002D6719">
        <w:rPr>
          <w:rFonts w:ascii="Times New Roman" w:hAnsi="Times New Roman"/>
          <w:sz w:val="24"/>
          <w:szCs w:val="24"/>
          <w:lang w:val="en-US"/>
        </w:rPr>
        <w:t>regarding</w:t>
      </w:r>
      <w:r w:rsidR="002D6719" w:rsidRPr="00F4226B">
        <w:rPr>
          <w:rFonts w:ascii="Times New Roman" w:hAnsi="Times New Roman"/>
          <w:sz w:val="24"/>
          <w:szCs w:val="24"/>
          <w:lang w:val="en-US"/>
        </w:rPr>
        <w:t xml:space="preserve"> </w:t>
      </w:r>
      <w:r w:rsidR="00C04F89" w:rsidRPr="00F4226B">
        <w:rPr>
          <w:rFonts w:ascii="Times New Roman" w:hAnsi="Times New Roman"/>
          <w:sz w:val="24"/>
          <w:szCs w:val="24"/>
          <w:lang w:val="en-US"/>
        </w:rPr>
        <w:t xml:space="preserve">value relevance. While price models examine what is reflected in firm value, returns models test for the timeliness of accounting data in predicting stock returns. </w:t>
      </w:r>
      <w:r w:rsidR="00272132" w:rsidRPr="00F4226B">
        <w:rPr>
          <w:rFonts w:ascii="Times New Roman" w:hAnsi="Times New Roman"/>
          <w:sz w:val="24"/>
          <w:szCs w:val="24"/>
          <w:lang w:val="en-US"/>
        </w:rPr>
        <w:t xml:space="preserve">In both instances, to the extent that IA </w:t>
      </w:r>
      <w:r w:rsidR="00A933E3" w:rsidRPr="00F4226B">
        <w:rPr>
          <w:rFonts w:ascii="Times New Roman" w:hAnsi="Times New Roman"/>
          <w:sz w:val="24"/>
          <w:szCs w:val="24"/>
          <w:lang w:val="en-US"/>
        </w:rPr>
        <w:t>amounts</w:t>
      </w:r>
      <w:r w:rsidR="00272132" w:rsidRPr="00F4226B">
        <w:rPr>
          <w:rFonts w:ascii="Times New Roman" w:hAnsi="Times New Roman"/>
          <w:sz w:val="24"/>
          <w:szCs w:val="24"/>
          <w:lang w:val="en-US"/>
        </w:rPr>
        <w:t xml:space="preserve"> provide higher</w:t>
      </w:r>
      <w:r w:rsidR="002D6719">
        <w:rPr>
          <w:rFonts w:ascii="Times New Roman" w:hAnsi="Times New Roman"/>
          <w:sz w:val="24"/>
          <w:szCs w:val="24"/>
          <w:lang w:val="en-US"/>
        </w:rPr>
        <w:t>-</w:t>
      </w:r>
      <w:r w:rsidR="00272132" w:rsidRPr="00F4226B">
        <w:rPr>
          <w:rFonts w:ascii="Times New Roman" w:hAnsi="Times New Roman"/>
          <w:sz w:val="24"/>
          <w:szCs w:val="24"/>
          <w:lang w:val="en-US"/>
        </w:rPr>
        <w:t xml:space="preserve">quality information </w:t>
      </w:r>
      <w:r w:rsidR="002D6719">
        <w:rPr>
          <w:rFonts w:ascii="Times New Roman" w:hAnsi="Times New Roman"/>
          <w:sz w:val="24"/>
          <w:szCs w:val="24"/>
          <w:lang w:val="en-US"/>
        </w:rPr>
        <w:t>than</w:t>
      </w:r>
      <w:r w:rsidR="00272132" w:rsidRPr="00F4226B">
        <w:rPr>
          <w:rFonts w:ascii="Times New Roman" w:hAnsi="Times New Roman"/>
          <w:sz w:val="24"/>
          <w:szCs w:val="24"/>
          <w:lang w:val="en-US"/>
        </w:rPr>
        <w:t xml:space="preserve"> HC </w:t>
      </w:r>
      <w:r w:rsidR="00A933E3" w:rsidRPr="00F4226B">
        <w:rPr>
          <w:rFonts w:ascii="Times New Roman" w:hAnsi="Times New Roman"/>
          <w:sz w:val="24"/>
          <w:szCs w:val="24"/>
          <w:lang w:val="en-US"/>
        </w:rPr>
        <w:t>amounts</w:t>
      </w:r>
      <w:r w:rsidR="002D6719">
        <w:rPr>
          <w:rFonts w:ascii="Times New Roman" w:hAnsi="Times New Roman"/>
          <w:sz w:val="24"/>
          <w:szCs w:val="24"/>
          <w:lang w:val="en-US"/>
        </w:rPr>
        <w:t>,</w:t>
      </w:r>
      <w:r w:rsidR="00272132" w:rsidRPr="00F4226B">
        <w:rPr>
          <w:rFonts w:ascii="Times New Roman" w:hAnsi="Times New Roman"/>
          <w:sz w:val="24"/>
          <w:szCs w:val="24"/>
          <w:lang w:val="en-US"/>
        </w:rPr>
        <w:t xml:space="preserve"> </w:t>
      </w:r>
      <w:r w:rsidR="001E44A1" w:rsidRPr="00F4226B">
        <w:rPr>
          <w:rFonts w:ascii="Times New Roman" w:hAnsi="Times New Roman"/>
          <w:sz w:val="24"/>
          <w:szCs w:val="24"/>
          <w:lang w:val="en-US"/>
        </w:rPr>
        <w:t xml:space="preserve">as argued by Ashton et al. (2011), </w:t>
      </w:r>
      <w:r w:rsidR="00272132" w:rsidRPr="00F4226B">
        <w:rPr>
          <w:rFonts w:ascii="Times New Roman" w:hAnsi="Times New Roman"/>
          <w:sz w:val="24"/>
          <w:szCs w:val="24"/>
          <w:lang w:val="en-US"/>
        </w:rPr>
        <w:t>IASB</w:t>
      </w:r>
      <w:r w:rsidR="001E44A1" w:rsidRPr="00F4226B">
        <w:rPr>
          <w:rFonts w:ascii="Times New Roman" w:hAnsi="Times New Roman"/>
          <w:sz w:val="24"/>
          <w:szCs w:val="24"/>
          <w:lang w:val="en-US"/>
        </w:rPr>
        <w:t xml:space="preserve"> (</w:t>
      </w:r>
      <w:r w:rsidR="00272132" w:rsidRPr="00F4226B">
        <w:rPr>
          <w:rFonts w:ascii="Times New Roman" w:hAnsi="Times New Roman"/>
          <w:sz w:val="24"/>
          <w:szCs w:val="24"/>
          <w:lang w:val="en-US"/>
        </w:rPr>
        <w:t>2011</w:t>
      </w:r>
      <w:r w:rsidR="001E44A1" w:rsidRPr="00F4226B">
        <w:rPr>
          <w:rFonts w:ascii="Times New Roman" w:hAnsi="Times New Roman"/>
          <w:sz w:val="24"/>
          <w:szCs w:val="24"/>
          <w:lang w:val="en-US"/>
        </w:rPr>
        <w:t>) and</w:t>
      </w:r>
      <w:r w:rsidR="00272132" w:rsidRPr="00F4226B">
        <w:rPr>
          <w:rFonts w:ascii="Times New Roman" w:hAnsi="Times New Roman"/>
          <w:sz w:val="24"/>
          <w:szCs w:val="24"/>
          <w:lang w:val="en-US"/>
        </w:rPr>
        <w:t xml:space="preserve"> Konchitchki</w:t>
      </w:r>
      <w:r w:rsidR="001E44A1" w:rsidRPr="00F4226B">
        <w:rPr>
          <w:rFonts w:ascii="Times New Roman" w:hAnsi="Times New Roman"/>
          <w:sz w:val="24"/>
          <w:szCs w:val="24"/>
          <w:lang w:val="en-US"/>
        </w:rPr>
        <w:t xml:space="preserve"> (</w:t>
      </w:r>
      <w:r w:rsidR="00272132" w:rsidRPr="00F4226B">
        <w:rPr>
          <w:rFonts w:ascii="Times New Roman" w:hAnsi="Times New Roman"/>
          <w:sz w:val="24"/>
          <w:szCs w:val="24"/>
          <w:lang w:val="en-US"/>
        </w:rPr>
        <w:t xml:space="preserve">2011), our prediction is that </w:t>
      </w:r>
      <w:r w:rsidR="00272132" w:rsidRPr="00F4226B">
        <w:rPr>
          <w:rFonts w:ascii="Times New Roman" w:hAnsi="Times New Roman"/>
          <w:sz w:val="24"/>
          <w:szCs w:val="24"/>
          <w:lang w:val="en-US" w:eastAsia="en-GB"/>
        </w:rPr>
        <w:t xml:space="preserve">IA models </w:t>
      </w:r>
      <w:r w:rsidR="002D6719">
        <w:rPr>
          <w:rFonts w:ascii="Times New Roman" w:hAnsi="Times New Roman"/>
          <w:sz w:val="24"/>
          <w:szCs w:val="24"/>
          <w:lang w:val="en-US" w:eastAsia="en-GB"/>
        </w:rPr>
        <w:t>will</w:t>
      </w:r>
      <w:r w:rsidR="002D6719" w:rsidRPr="00F4226B">
        <w:rPr>
          <w:rFonts w:ascii="Times New Roman" w:hAnsi="Times New Roman"/>
          <w:sz w:val="24"/>
          <w:szCs w:val="24"/>
          <w:lang w:val="en-US" w:eastAsia="en-GB"/>
        </w:rPr>
        <w:t xml:space="preserve"> </w:t>
      </w:r>
      <w:r w:rsidR="00272132" w:rsidRPr="00F4226B">
        <w:rPr>
          <w:rFonts w:ascii="Times New Roman" w:hAnsi="Times New Roman"/>
          <w:sz w:val="24"/>
          <w:szCs w:val="24"/>
          <w:lang w:val="en-US" w:eastAsia="en-GB"/>
        </w:rPr>
        <w:t xml:space="preserve">exhibit greater explanatory power </w:t>
      </w:r>
      <w:r w:rsidR="00272132" w:rsidRPr="00F4226B">
        <w:rPr>
          <w:rFonts w:ascii="Times New Roman" w:hAnsi="Times New Roman"/>
          <w:sz w:val="24"/>
          <w:szCs w:val="24"/>
          <w:lang w:val="en-US" w:eastAsia="en-GB"/>
        </w:rPr>
        <w:lastRenderedPageBreak/>
        <w:t>than HC models. We also expect, consistent with Konchitchki (2011)</w:t>
      </w:r>
      <w:r w:rsidR="00521DA5" w:rsidRPr="00F4226B">
        <w:rPr>
          <w:rFonts w:ascii="Times New Roman" w:hAnsi="Times New Roman"/>
          <w:sz w:val="24"/>
          <w:szCs w:val="24"/>
          <w:lang w:val="en-US" w:eastAsia="en-GB"/>
        </w:rPr>
        <w:t xml:space="preserve">, </w:t>
      </w:r>
      <w:r w:rsidR="00272132" w:rsidRPr="00F4226B">
        <w:rPr>
          <w:rFonts w:ascii="Times New Roman" w:hAnsi="Times New Roman"/>
          <w:sz w:val="24"/>
          <w:szCs w:val="24"/>
          <w:lang w:val="en-US" w:eastAsia="en-GB"/>
        </w:rPr>
        <w:t xml:space="preserve">that </w:t>
      </w:r>
      <w:r w:rsidR="00F4226B" w:rsidRPr="00F4226B">
        <w:rPr>
          <w:rFonts w:ascii="Times New Roman" w:hAnsi="Times New Roman"/>
          <w:sz w:val="24"/>
          <w:szCs w:val="24"/>
          <w:lang w:val="en-US" w:eastAsia="en-GB"/>
        </w:rPr>
        <w:t>recognized</w:t>
      </w:r>
      <w:r w:rsidR="00521DA5" w:rsidRPr="00F4226B">
        <w:rPr>
          <w:rFonts w:ascii="Times New Roman" w:hAnsi="Times New Roman"/>
          <w:sz w:val="24"/>
          <w:szCs w:val="24"/>
          <w:lang w:val="en-US" w:eastAsia="en-GB"/>
        </w:rPr>
        <w:t xml:space="preserve"> </w:t>
      </w:r>
      <w:r w:rsidR="00272132" w:rsidRPr="00F4226B">
        <w:rPr>
          <w:rFonts w:ascii="Times New Roman" w:hAnsi="Times New Roman"/>
          <w:sz w:val="24"/>
          <w:szCs w:val="24"/>
          <w:lang w:val="en-US" w:eastAsia="en-GB"/>
        </w:rPr>
        <w:t xml:space="preserve">inflation gains and losses </w:t>
      </w:r>
      <w:r w:rsidR="002D6719">
        <w:rPr>
          <w:rFonts w:ascii="Times New Roman" w:hAnsi="Times New Roman"/>
          <w:sz w:val="24"/>
          <w:szCs w:val="24"/>
          <w:lang w:val="en-US" w:eastAsia="en-GB"/>
        </w:rPr>
        <w:t>will</w:t>
      </w:r>
      <w:r w:rsidR="002D6719" w:rsidRPr="00F4226B">
        <w:rPr>
          <w:rFonts w:ascii="Times New Roman" w:hAnsi="Times New Roman"/>
          <w:sz w:val="24"/>
          <w:szCs w:val="24"/>
          <w:lang w:val="en-US" w:eastAsia="en-GB"/>
        </w:rPr>
        <w:t xml:space="preserve"> </w:t>
      </w:r>
      <w:r w:rsidR="00272132" w:rsidRPr="00F4226B">
        <w:rPr>
          <w:rFonts w:ascii="Times New Roman" w:hAnsi="Times New Roman"/>
          <w:sz w:val="24"/>
          <w:szCs w:val="24"/>
          <w:lang w:val="en-US" w:eastAsia="en-GB"/>
        </w:rPr>
        <w:t>have incremental information content beyond that of HC</w:t>
      </w:r>
      <w:r w:rsidR="00521DA5" w:rsidRPr="00F4226B">
        <w:rPr>
          <w:rFonts w:ascii="Times New Roman" w:hAnsi="Times New Roman"/>
          <w:sz w:val="24"/>
          <w:szCs w:val="24"/>
          <w:lang w:val="en-US" w:eastAsia="en-GB"/>
        </w:rPr>
        <w:t xml:space="preserve"> </w:t>
      </w:r>
      <w:r w:rsidR="00A933E3" w:rsidRPr="00F4226B">
        <w:rPr>
          <w:rFonts w:ascii="Times New Roman" w:hAnsi="Times New Roman"/>
          <w:sz w:val="24"/>
          <w:szCs w:val="24"/>
          <w:lang w:val="en-US" w:eastAsia="en-GB"/>
        </w:rPr>
        <w:t>amounts</w:t>
      </w:r>
      <w:r w:rsidR="00272132" w:rsidRPr="00F4226B">
        <w:rPr>
          <w:rFonts w:ascii="Times New Roman" w:hAnsi="Times New Roman"/>
          <w:sz w:val="24"/>
          <w:szCs w:val="24"/>
          <w:lang w:val="en-US" w:eastAsia="en-GB"/>
        </w:rPr>
        <w:t xml:space="preserve">. </w:t>
      </w:r>
      <w:r w:rsidR="0013102B" w:rsidRPr="00F4226B">
        <w:rPr>
          <w:rFonts w:ascii="Times New Roman" w:hAnsi="Times New Roman"/>
          <w:sz w:val="24"/>
          <w:szCs w:val="24"/>
          <w:lang w:val="en-US" w:eastAsia="en-GB"/>
        </w:rPr>
        <w:t xml:space="preserve">Our first model is the </w:t>
      </w:r>
      <w:r w:rsidR="0013102B" w:rsidRPr="00F4226B">
        <w:rPr>
          <w:rFonts w:ascii="Times New Roman" w:hAnsi="Times New Roman"/>
          <w:bCs/>
          <w:sz w:val="24"/>
          <w:szCs w:val="24"/>
          <w:lang w:val="en-US"/>
        </w:rPr>
        <w:t>r</w:t>
      </w:r>
      <w:r w:rsidR="00990254" w:rsidRPr="00F4226B">
        <w:rPr>
          <w:rFonts w:ascii="Times New Roman" w:hAnsi="Times New Roman"/>
          <w:bCs/>
          <w:sz w:val="24"/>
          <w:szCs w:val="24"/>
          <w:lang w:val="en-US"/>
        </w:rPr>
        <w:t xml:space="preserve">eturns </w:t>
      </w:r>
      <w:r w:rsidR="001A06EE" w:rsidRPr="00F4226B">
        <w:rPr>
          <w:rFonts w:ascii="Times New Roman" w:hAnsi="Times New Roman"/>
          <w:bCs/>
          <w:sz w:val="24"/>
          <w:szCs w:val="24"/>
          <w:lang w:val="en-US"/>
        </w:rPr>
        <w:t>model</w:t>
      </w:r>
      <w:r w:rsidR="0013102B" w:rsidRPr="00F4226B">
        <w:rPr>
          <w:rFonts w:ascii="Times New Roman" w:hAnsi="Times New Roman"/>
          <w:bCs/>
          <w:sz w:val="24"/>
          <w:szCs w:val="24"/>
          <w:lang w:val="en-US"/>
        </w:rPr>
        <w:t xml:space="preserve"> (E</w:t>
      </w:r>
      <w:r w:rsidR="0013102B" w:rsidRPr="00F4226B">
        <w:rPr>
          <w:rFonts w:ascii="Times New Roman" w:hAnsi="Times New Roman"/>
          <w:sz w:val="24"/>
          <w:szCs w:val="24"/>
          <w:lang w:val="en-US" w:eastAsia="en-GB"/>
        </w:rPr>
        <w:t>aston and Harris 1991)</w:t>
      </w:r>
      <w:r w:rsidR="00990254" w:rsidRPr="00F4226B">
        <w:rPr>
          <w:rFonts w:ascii="Times New Roman" w:hAnsi="Times New Roman"/>
          <w:bCs/>
          <w:sz w:val="24"/>
          <w:szCs w:val="24"/>
          <w:lang w:val="en-US"/>
        </w:rPr>
        <w:t xml:space="preserve">, </w:t>
      </w:r>
      <w:r w:rsidR="001A06EE" w:rsidRPr="00F4226B">
        <w:rPr>
          <w:rFonts w:ascii="Times New Roman" w:hAnsi="Times New Roman"/>
          <w:bCs/>
          <w:sz w:val="24"/>
          <w:szCs w:val="24"/>
          <w:lang w:val="en-US"/>
        </w:rPr>
        <w:t>with fixed time effects:</w:t>
      </w:r>
    </w:p>
    <w:p w14:paraId="67DBEB3F" w14:textId="77777777" w:rsidR="001A06EE" w:rsidRPr="00F4226B" w:rsidRDefault="001A06EE" w:rsidP="0044661D">
      <w:pPr>
        <w:spacing w:line="240" w:lineRule="auto"/>
        <w:ind w:firstLine="720"/>
        <w:jc w:val="both"/>
        <w:rPr>
          <w:rFonts w:ascii="Times New Roman" w:hAnsi="Times New Roman"/>
          <w:bCs/>
          <w:i/>
          <w:sz w:val="24"/>
          <w:szCs w:val="24"/>
          <w:lang w:val="en-US"/>
        </w:rPr>
      </w:pPr>
      <w:r w:rsidRPr="00F4226B">
        <w:rPr>
          <w:rFonts w:ascii="Times New Roman" w:hAnsi="Times New Roman"/>
          <w:i/>
          <w:sz w:val="24"/>
          <w:szCs w:val="24"/>
          <w:lang w:val="en-US"/>
        </w:rPr>
        <w:t>R</w:t>
      </w:r>
      <w:r w:rsidR="00844FD4" w:rsidRPr="00F4226B">
        <w:rPr>
          <w:rFonts w:ascii="Times New Roman" w:hAnsi="Times New Roman"/>
          <w:i/>
          <w:sz w:val="24"/>
          <w:szCs w:val="24"/>
          <w:lang w:val="en-US"/>
        </w:rPr>
        <w:t>ETURN</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0</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 xml:space="preserve">1 </w:t>
      </w:r>
      <w:r w:rsidRPr="00F4226B">
        <w:rPr>
          <w:rFonts w:ascii="Times New Roman" w:hAnsi="Times New Roman"/>
          <w:i/>
          <w:sz w:val="24"/>
          <w:szCs w:val="24"/>
          <w:lang w:val="en-US"/>
        </w:rPr>
        <w:t>E</w:t>
      </w:r>
      <w:r w:rsidR="00844FD4" w:rsidRPr="00F4226B">
        <w:rPr>
          <w:rFonts w:ascii="Times New Roman" w:hAnsi="Times New Roman"/>
          <w:i/>
          <w:sz w:val="24"/>
          <w:szCs w:val="24"/>
          <w:lang w:val="en-US"/>
        </w:rPr>
        <w:t>ARNING</w:t>
      </w:r>
      <w:r w:rsidRPr="00F4226B">
        <w:rPr>
          <w:rFonts w:ascii="Times New Roman" w:hAnsi="Times New Roman"/>
          <w:i/>
          <w:sz w:val="24"/>
          <w:szCs w:val="24"/>
          <w:lang w:val="en-US"/>
        </w:rPr>
        <w:t>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w:t>
      </w:r>
      <w:r w:rsidR="007E628B" w:rsidRPr="00F4226B">
        <w:rPr>
          <w:rFonts w:ascii="Times New Roman" w:hAnsi="Times New Roman"/>
          <w:i/>
          <w:sz w:val="24"/>
          <w:szCs w:val="24"/>
          <w:lang w:val="en-US"/>
        </w:rPr>
        <w:t>+ α</w:t>
      </w:r>
      <w:r w:rsidR="007E628B" w:rsidRPr="00F4226B">
        <w:rPr>
          <w:rFonts w:ascii="Times New Roman" w:hAnsi="Times New Roman"/>
          <w:i/>
          <w:sz w:val="24"/>
          <w:szCs w:val="24"/>
          <w:vertAlign w:val="subscript"/>
          <w:lang w:val="en-US"/>
        </w:rPr>
        <w:t>2</w:t>
      </w:r>
      <w:r w:rsidR="007E628B" w:rsidRPr="00F4226B">
        <w:rPr>
          <w:rFonts w:ascii="Times New Roman" w:hAnsi="Times New Roman"/>
          <w:i/>
          <w:sz w:val="24"/>
          <w:szCs w:val="24"/>
          <w:lang w:val="en-US"/>
        </w:rPr>
        <w:t xml:space="preserve">YearDummies </w:t>
      </w:r>
      <w:r w:rsidRPr="00F4226B">
        <w:rPr>
          <w:rFonts w:ascii="Times New Roman" w:hAnsi="Times New Roman"/>
          <w:i/>
          <w:sz w:val="24"/>
          <w:szCs w:val="24"/>
          <w:lang w:val="en-US"/>
        </w:rPr>
        <w:t>+ ε</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ab/>
        <w:t xml:space="preserve">  </w:t>
      </w:r>
      <w:r w:rsidRPr="00F4226B">
        <w:rPr>
          <w:rFonts w:ascii="Times New Roman" w:hAnsi="Times New Roman"/>
          <w:i/>
          <w:sz w:val="24"/>
          <w:szCs w:val="24"/>
          <w:lang w:val="en-US"/>
        </w:rPr>
        <w:tab/>
      </w:r>
      <w:r w:rsidRPr="00F4226B">
        <w:rPr>
          <w:rFonts w:ascii="Times New Roman" w:hAnsi="Times New Roman"/>
          <w:i/>
          <w:sz w:val="24"/>
          <w:szCs w:val="24"/>
          <w:lang w:val="en-US"/>
        </w:rPr>
        <w:tab/>
      </w:r>
      <w:r w:rsidR="001E44A1" w:rsidRPr="00F4226B">
        <w:rPr>
          <w:rFonts w:ascii="Times New Roman" w:hAnsi="Times New Roman"/>
          <w:i/>
          <w:sz w:val="24"/>
          <w:szCs w:val="24"/>
          <w:lang w:val="en-US"/>
        </w:rPr>
        <w:t xml:space="preserve"> </w:t>
      </w:r>
      <w:r w:rsidRPr="00F4226B">
        <w:rPr>
          <w:rFonts w:ascii="Times New Roman" w:hAnsi="Times New Roman"/>
          <w:bCs/>
          <w:i/>
          <w:sz w:val="24"/>
          <w:szCs w:val="24"/>
          <w:lang w:val="en-US"/>
        </w:rPr>
        <w:t>(1)</w:t>
      </w:r>
    </w:p>
    <w:p w14:paraId="7ADCC944" w14:textId="4A370C1A" w:rsidR="001A06EE" w:rsidRPr="00F4226B" w:rsidRDefault="001A06EE" w:rsidP="0044661D">
      <w:pPr>
        <w:spacing w:line="240" w:lineRule="auto"/>
        <w:ind w:firstLine="720"/>
        <w:jc w:val="both"/>
        <w:rPr>
          <w:rFonts w:ascii="Times New Roman" w:hAnsi="Times New Roman"/>
          <w:bCs/>
          <w:sz w:val="24"/>
          <w:szCs w:val="24"/>
          <w:lang w:val="en-US"/>
        </w:rPr>
      </w:pPr>
      <w:r w:rsidRPr="00F4226B">
        <w:rPr>
          <w:rFonts w:ascii="Times New Roman" w:hAnsi="Times New Roman"/>
          <w:i/>
          <w:sz w:val="24"/>
          <w:szCs w:val="24"/>
          <w:lang w:val="en-US"/>
        </w:rPr>
        <w:t>R</w:t>
      </w:r>
      <w:r w:rsidR="00844FD4" w:rsidRPr="00F4226B">
        <w:rPr>
          <w:rFonts w:ascii="Times New Roman" w:hAnsi="Times New Roman"/>
          <w:i/>
          <w:sz w:val="24"/>
          <w:szCs w:val="24"/>
          <w:lang w:val="en-US"/>
        </w:rPr>
        <w:t>ETURN</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0</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 xml:space="preserve">1 </w:t>
      </w:r>
      <w:r w:rsidRPr="00F4226B">
        <w:rPr>
          <w:rFonts w:ascii="Times New Roman" w:hAnsi="Times New Roman"/>
          <w:i/>
          <w:sz w:val="24"/>
          <w:szCs w:val="24"/>
          <w:lang w:val="en-US"/>
        </w:rPr>
        <w:t>E</w:t>
      </w:r>
      <w:r w:rsidR="00844FD4" w:rsidRPr="00F4226B">
        <w:rPr>
          <w:rFonts w:ascii="Times New Roman" w:hAnsi="Times New Roman"/>
          <w:i/>
          <w:sz w:val="24"/>
          <w:szCs w:val="24"/>
          <w:lang w:val="en-US"/>
        </w:rPr>
        <w:t>ARNING</w:t>
      </w:r>
      <w:r w:rsidRPr="00F4226B">
        <w:rPr>
          <w:rFonts w:ascii="Times New Roman" w:hAnsi="Times New Roman"/>
          <w:i/>
          <w:sz w:val="24"/>
          <w:szCs w:val="24"/>
          <w:lang w:val="en-US"/>
        </w:rPr>
        <w:t>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 xml:space="preserve">2 </w:t>
      </w:r>
      <w:r w:rsidR="00CC156F" w:rsidRPr="00F4226B">
        <w:rPr>
          <w:rFonts w:ascii="Times New Roman" w:hAnsi="Times New Roman"/>
          <w:i/>
          <w:sz w:val="24"/>
          <w:szCs w:val="24"/>
          <w:lang w:val="en-US"/>
        </w:rPr>
        <w:t>EI</w:t>
      </w:r>
      <w:r w:rsidR="00A25246" w:rsidRPr="00F4226B">
        <w:rPr>
          <w:rFonts w:ascii="Times New Roman" w:hAnsi="Times New Roman"/>
          <w:i/>
          <w:sz w:val="24"/>
          <w:szCs w:val="24"/>
          <w:lang w:val="en-US"/>
        </w:rPr>
        <w:t>GL</w:t>
      </w:r>
      <w:r w:rsidR="00A10713" w:rsidRPr="00F4226B">
        <w:rPr>
          <w:rFonts w:ascii="Times New Roman" w:hAnsi="Times New Roman"/>
          <w:i/>
          <w:sz w:val="24"/>
          <w:szCs w:val="24"/>
          <w:lang w:val="en-US"/>
        </w:rPr>
        <w:t>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w:t>
      </w:r>
      <w:r w:rsidR="007E628B" w:rsidRPr="00F4226B">
        <w:rPr>
          <w:rFonts w:ascii="Times New Roman" w:hAnsi="Times New Roman"/>
          <w:i/>
          <w:sz w:val="24"/>
          <w:szCs w:val="24"/>
          <w:lang w:val="en-US"/>
        </w:rPr>
        <w:t>+ α</w:t>
      </w:r>
      <w:r w:rsidR="005B7DAC" w:rsidRPr="00F4226B">
        <w:rPr>
          <w:rFonts w:ascii="Times New Roman" w:hAnsi="Times New Roman"/>
          <w:i/>
          <w:sz w:val="24"/>
          <w:szCs w:val="24"/>
          <w:vertAlign w:val="subscript"/>
          <w:lang w:val="en-US"/>
        </w:rPr>
        <w:t>3</w:t>
      </w:r>
      <w:r w:rsidR="007E628B" w:rsidRPr="00F4226B">
        <w:rPr>
          <w:rFonts w:ascii="Times New Roman" w:hAnsi="Times New Roman"/>
          <w:i/>
          <w:sz w:val="24"/>
          <w:szCs w:val="24"/>
          <w:lang w:val="en-US"/>
        </w:rPr>
        <w:t xml:space="preserve">YearDummies </w:t>
      </w:r>
      <w:r w:rsidRPr="00F4226B">
        <w:rPr>
          <w:rFonts w:ascii="Times New Roman" w:hAnsi="Times New Roman"/>
          <w:i/>
          <w:sz w:val="24"/>
          <w:szCs w:val="24"/>
          <w:lang w:val="en-US"/>
        </w:rPr>
        <w:t>+ ε</w:t>
      </w:r>
      <w:r w:rsidRPr="00F4226B">
        <w:rPr>
          <w:rFonts w:ascii="Times New Roman" w:hAnsi="Times New Roman"/>
          <w:i/>
          <w:sz w:val="24"/>
          <w:szCs w:val="24"/>
          <w:vertAlign w:val="subscript"/>
          <w:lang w:val="en-US"/>
        </w:rPr>
        <w:t>it</w:t>
      </w:r>
      <w:r w:rsidR="00D83200">
        <w:rPr>
          <w:rFonts w:ascii="Times New Roman" w:hAnsi="Times New Roman"/>
          <w:i/>
          <w:sz w:val="24"/>
          <w:szCs w:val="24"/>
          <w:lang w:val="en-US"/>
        </w:rPr>
        <w:t>,</w:t>
      </w:r>
      <w:r w:rsidR="0018119A" w:rsidRPr="00F4226B">
        <w:rPr>
          <w:rFonts w:ascii="Times New Roman" w:hAnsi="Times New Roman"/>
          <w:i/>
          <w:sz w:val="24"/>
          <w:szCs w:val="24"/>
          <w:lang w:val="en-US"/>
        </w:rPr>
        <w:t xml:space="preserve">     </w:t>
      </w:r>
      <w:r w:rsidR="007422DB" w:rsidRPr="00F4226B">
        <w:rPr>
          <w:rFonts w:ascii="Times New Roman" w:hAnsi="Times New Roman"/>
          <w:i/>
          <w:sz w:val="24"/>
          <w:szCs w:val="24"/>
          <w:lang w:val="en-US"/>
        </w:rPr>
        <w:tab/>
      </w:r>
      <w:r w:rsidR="0018119A" w:rsidRPr="00F4226B">
        <w:rPr>
          <w:rFonts w:ascii="Times New Roman" w:hAnsi="Times New Roman"/>
          <w:i/>
          <w:sz w:val="24"/>
          <w:szCs w:val="24"/>
          <w:lang w:val="en-US"/>
        </w:rPr>
        <w:t xml:space="preserve"> </w:t>
      </w:r>
      <w:r w:rsidRPr="00F4226B">
        <w:rPr>
          <w:rFonts w:ascii="Times New Roman" w:hAnsi="Times New Roman"/>
          <w:bCs/>
          <w:i/>
          <w:sz w:val="24"/>
          <w:szCs w:val="24"/>
          <w:lang w:val="en-US"/>
        </w:rPr>
        <w:t>(2)</w:t>
      </w:r>
    </w:p>
    <w:p w14:paraId="03223FCD" w14:textId="58C38A48" w:rsidR="009F21EA" w:rsidRPr="00F4226B" w:rsidRDefault="00667E01" w:rsidP="00C04F89">
      <w:pPr>
        <w:spacing w:line="360" w:lineRule="auto"/>
        <w:jc w:val="both"/>
        <w:rPr>
          <w:rFonts w:ascii="Times New Roman" w:hAnsi="Times New Roman"/>
          <w:bCs/>
          <w:sz w:val="24"/>
          <w:szCs w:val="24"/>
          <w:lang w:val="en-US"/>
        </w:rPr>
      </w:pPr>
      <w:r w:rsidRPr="00F4226B">
        <w:rPr>
          <w:rFonts w:ascii="Times New Roman" w:hAnsi="Times New Roman"/>
          <w:bCs/>
          <w:sz w:val="24"/>
          <w:szCs w:val="24"/>
          <w:lang w:val="en-US"/>
        </w:rPr>
        <w:t>w</w:t>
      </w:r>
      <w:r w:rsidR="001A06EE" w:rsidRPr="00F4226B">
        <w:rPr>
          <w:rFonts w:ascii="Times New Roman" w:hAnsi="Times New Roman"/>
          <w:bCs/>
          <w:sz w:val="24"/>
          <w:szCs w:val="24"/>
          <w:lang w:val="en-US"/>
        </w:rPr>
        <w:t xml:space="preserve">here </w:t>
      </w:r>
      <w:r w:rsidR="001A06EE" w:rsidRPr="00F4226B">
        <w:rPr>
          <w:rFonts w:ascii="Times New Roman" w:hAnsi="Times New Roman"/>
          <w:bCs/>
          <w:i/>
          <w:sz w:val="24"/>
          <w:szCs w:val="24"/>
          <w:lang w:val="en-US"/>
        </w:rPr>
        <w:t>i</w:t>
      </w:r>
      <w:r w:rsidR="001A06EE" w:rsidRPr="00F4226B">
        <w:rPr>
          <w:rFonts w:ascii="Times New Roman" w:hAnsi="Times New Roman"/>
          <w:bCs/>
          <w:sz w:val="24"/>
          <w:szCs w:val="24"/>
          <w:lang w:val="en-US"/>
        </w:rPr>
        <w:t xml:space="preserve"> and </w:t>
      </w:r>
      <w:r w:rsidR="001A06EE" w:rsidRPr="00F4226B">
        <w:rPr>
          <w:rFonts w:ascii="Times New Roman" w:hAnsi="Times New Roman"/>
          <w:bCs/>
          <w:i/>
          <w:sz w:val="24"/>
          <w:szCs w:val="24"/>
          <w:lang w:val="en-US"/>
        </w:rPr>
        <w:t>t</w:t>
      </w:r>
      <w:r w:rsidR="001A06EE" w:rsidRPr="00F4226B">
        <w:rPr>
          <w:rFonts w:ascii="Times New Roman" w:hAnsi="Times New Roman"/>
          <w:bCs/>
          <w:sz w:val="24"/>
          <w:szCs w:val="24"/>
          <w:lang w:val="en-US"/>
        </w:rPr>
        <w:t xml:space="preserve"> denote firm and year, respectively; </w:t>
      </w:r>
      <w:r w:rsidR="001A06EE" w:rsidRPr="00F4226B">
        <w:rPr>
          <w:rFonts w:ascii="Times New Roman" w:hAnsi="Times New Roman"/>
          <w:i/>
          <w:sz w:val="24"/>
          <w:szCs w:val="24"/>
          <w:lang w:val="en-US"/>
        </w:rPr>
        <w:t>R</w:t>
      </w:r>
      <w:r w:rsidR="00844FD4" w:rsidRPr="00F4226B">
        <w:rPr>
          <w:rFonts w:ascii="Times New Roman" w:hAnsi="Times New Roman"/>
          <w:i/>
          <w:sz w:val="24"/>
          <w:szCs w:val="24"/>
          <w:lang w:val="en-US"/>
        </w:rPr>
        <w:t>ETURN</w:t>
      </w:r>
      <w:r w:rsidR="001A06EE" w:rsidRPr="00F4226B">
        <w:rPr>
          <w:rFonts w:ascii="Times New Roman" w:hAnsi="Times New Roman"/>
          <w:i/>
          <w:sz w:val="24"/>
          <w:szCs w:val="24"/>
          <w:vertAlign w:val="subscript"/>
          <w:lang w:val="en-US"/>
        </w:rPr>
        <w:t>it</w:t>
      </w:r>
      <w:r w:rsidR="001A06EE" w:rsidRPr="00F4226B">
        <w:rPr>
          <w:rFonts w:ascii="Times New Roman" w:hAnsi="Times New Roman"/>
          <w:sz w:val="24"/>
          <w:szCs w:val="24"/>
          <w:vertAlign w:val="subscript"/>
          <w:lang w:val="en-US"/>
        </w:rPr>
        <w:t xml:space="preserve"> </w:t>
      </w:r>
      <w:r w:rsidR="001A06EE" w:rsidRPr="00F4226B">
        <w:rPr>
          <w:rFonts w:ascii="Times New Roman" w:hAnsi="Times New Roman"/>
          <w:sz w:val="24"/>
          <w:szCs w:val="24"/>
          <w:lang w:val="en-US"/>
        </w:rPr>
        <w:t xml:space="preserve">denotes </w:t>
      </w:r>
      <w:r w:rsidR="001A06EE" w:rsidRPr="00F4226B">
        <w:rPr>
          <w:rFonts w:ascii="Times New Roman" w:hAnsi="Times New Roman"/>
          <w:bCs/>
          <w:sz w:val="24"/>
          <w:szCs w:val="24"/>
          <w:lang w:val="en-US"/>
        </w:rPr>
        <w:t xml:space="preserve">the </w:t>
      </w:r>
      <w:r w:rsidR="00012002" w:rsidRPr="00F4226B">
        <w:rPr>
          <w:rFonts w:ascii="Times New Roman" w:hAnsi="Times New Roman"/>
          <w:bCs/>
          <w:sz w:val="24"/>
          <w:szCs w:val="24"/>
          <w:lang w:val="en-US"/>
        </w:rPr>
        <w:t>stock</w:t>
      </w:r>
      <w:r w:rsidR="001A06EE" w:rsidRPr="00F4226B">
        <w:rPr>
          <w:rFonts w:ascii="Times New Roman" w:hAnsi="Times New Roman"/>
          <w:bCs/>
          <w:sz w:val="24"/>
          <w:szCs w:val="24"/>
          <w:lang w:val="en-US"/>
        </w:rPr>
        <w:t xml:space="preserve"> return of firm </w:t>
      </w:r>
      <w:r w:rsidR="00A933E3" w:rsidRPr="00F4226B">
        <w:rPr>
          <w:rFonts w:ascii="Times New Roman" w:hAnsi="Times New Roman"/>
          <w:bCs/>
          <w:i/>
          <w:sz w:val="24"/>
          <w:szCs w:val="24"/>
          <w:lang w:val="en-US"/>
        </w:rPr>
        <w:t xml:space="preserve">i </w:t>
      </w:r>
      <w:r w:rsidR="001A06EE" w:rsidRPr="00F4226B">
        <w:rPr>
          <w:rFonts w:ascii="Times New Roman" w:hAnsi="Times New Roman"/>
          <w:bCs/>
          <w:sz w:val="24"/>
          <w:szCs w:val="24"/>
          <w:lang w:val="en-US"/>
        </w:rPr>
        <w:t xml:space="preserve">over the 12-month period ending </w:t>
      </w:r>
      <w:r w:rsidR="00D83200">
        <w:rPr>
          <w:rFonts w:ascii="Times New Roman" w:hAnsi="Times New Roman"/>
          <w:bCs/>
          <w:sz w:val="24"/>
          <w:szCs w:val="24"/>
          <w:lang w:val="en-US"/>
        </w:rPr>
        <w:t xml:space="preserve">four </w:t>
      </w:r>
      <w:r w:rsidR="001A06EE" w:rsidRPr="00F4226B">
        <w:rPr>
          <w:rFonts w:ascii="Times New Roman" w:hAnsi="Times New Roman"/>
          <w:bCs/>
          <w:sz w:val="24"/>
          <w:szCs w:val="24"/>
          <w:lang w:val="en-US"/>
        </w:rPr>
        <w:t xml:space="preserve">months after the fiscal year-end (measured as the change in </w:t>
      </w:r>
      <w:r w:rsidR="00C04F89" w:rsidRPr="00F4226B">
        <w:rPr>
          <w:rFonts w:ascii="Times New Roman" w:hAnsi="Times New Roman"/>
          <w:bCs/>
          <w:sz w:val="24"/>
          <w:szCs w:val="24"/>
          <w:lang w:val="en-US"/>
        </w:rPr>
        <w:t xml:space="preserve">stock </w:t>
      </w:r>
      <w:r w:rsidR="001A06EE" w:rsidRPr="00F4226B">
        <w:rPr>
          <w:rFonts w:ascii="Times New Roman" w:hAnsi="Times New Roman"/>
          <w:bCs/>
          <w:sz w:val="24"/>
          <w:szCs w:val="24"/>
          <w:lang w:val="en-US"/>
        </w:rPr>
        <w:t xml:space="preserve">price plus dividend per share for the </w:t>
      </w:r>
      <w:r w:rsidR="00990254" w:rsidRPr="00F4226B">
        <w:rPr>
          <w:rFonts w:ascii="Times New Roman" w:hAnsi="Times New Roman"/>
          <w:bCs/>
          <w:sz w:val="24"/>
          <w:szCs w:val="24"/>
          <w:lang w:val="en-US"/>
        </w:rPr>
        <w:t xml:space="preserve">fiscal </w:t>
      </w:r>
      <w:r w:rsidR="001A06EE" w:rsidRPr="00F4226B">
        <w:rPr>
          <w:rFonts w:ascii="Times New Roman" w:hAnsi="Times New Roman"/>
          <w:bCs/>
          <w:sz w:val="24"/>
          <w:szCs w:val="24"/>
          <w:lang w:val="en-US"/>
        </w:rPr>
        <w:t xml:space="preserve">year </w:t>
      </w:r>
      <w:r w:rsidR="007F471C" w:rsidRPr="00F4226B">
        <w:rPr>
          <w:rFonts w:ascii="Times New Roman" w:hAnsi="Times New Roman"/>
          <w:bCs/>
          <w:sz w:val="24"/>
          <w:szCs w:val="24"/>
          <w:lang w:val="en-US"/>
        </w:rPr>
        <w:t xml:space="preserve">and </w:t>
      </w:r>
      <w:r w:rsidR="001A06EE" w:rsidRPr="00F4226B">
        <w:rPr>
          <w:rFonts w:ascii="Times New Roman" w:hAnsi="Times New Roman"/>
          <w:bCs/>
          <w:sz w:val="24"/>
          <w:szCs w:val="24"/>
          <w:lang w:val="en-US"/>
        </w:rPr>
        <w:t xml:space="preserve">scaled by the </w:t>
      </w:r>
      <w:r w:rsidR="00236D32">
        <w:rPr>
          <w:rFonts w:ascii="Times New Roman" w:hAnsi="Times New Roman"/>
          <w:bCs/>
          <w:sz w:val="24"/>
          <w:szCs w:val="24"/>
          <w:lang w:val="en-US"/>
        </w:rPr>
        <w:t xml:space="preserve">stock price at the </w:t>
      </w:r>
      <w:r w:rsidR="001A06EE" w:rsidRPr="00F4226B">
        <w:rPr>
          <w:rFonts w:ascii="Times New Roman" w:hAnsi="Times New Roman"/>
          <w:bCs/>
          <w:sz w:val="24"/>
          <w:szCs w:val="24"/>
          <w:lang w:val="en-US"/>
        </w:rPr>
        <w:t xml:space="preserve">beginning </w:t>
      </w:r>
      <w:r w:rsidR="00990254" w:rsidRPr="00F4226B">
        <w:rPr>
          <w:rFonts w:ascii="Times New Roman" w:hAnsi="Times New Roman"/>
          <w:bCs/>
          <w:sz w:val="24"/>
          <w:szCs w:val="24"/>
          <w:lang w:val="en-US"/>
        </w:rPr>
        <w:t xml:space="preserve">of </w:t>
      </w:r>
      <w:r w:rsidR="00236D32">
        <w:rPr>
          <w:rFonts w:ascii="Times New Roman" w:hAnsi="Times New Roman"/>
          <w:bCs/>
          <w:sz w:val="24"/>
          <w:szCs w:val="24"/>
          <w:lang w:val="en-US"/>
        </w:rPr>
        <w:t xml:space="preserve">the </w:t>
      </w:r>
      <w:r w:rsidR="00990254" w:rsidRPr="00F4226B">
        <w:rPr>
          <w:rFonts w:ascii="Times New Roman" w:hAnsi="Times New Roman"/>
          <w:bCs/>
          <w:sz w:val="24"/>
          <w:szCs w:val="24"/>
          <w:lang w:val="en-US"/>
        </w:rPr>
        <w:t>fiscal year</w:t>
      </w:r>
      <w:r w:rsidR="001A06EE" w:rsidRPr="00F4226B">
        <w:rPr>
          <w:rFonts w:ascii="Times New Roman" w:hAnsi="Times New Roman"/>
          <w:bCs/>
          <w:sz w:val="24"/>
          <w:szCs w:val="24"/>
          <w:lang w:val="en-US"/>
        </w:rPr>
        <w:t>);</w:t>
      </w:r>
      <w:r w:rsidR="001A06EE" w:rsidRPr="00F4226B">
        <w:rPr>
          <w:rFonts w:ascii="Times New Roman" w:hAnsi="Times New Roman"/>
          <w:bCs/>
          <w:i/>
          <w:sz w:val="24"/>
          <w:szCs w:val="24"/>
          <w:lang w:val="en-US"/>
        </w:rPr>
        <w:t xml:space="preserve"> </w:t>
      </w:r>
      <w:r w:rsidR="00A25246" w:rsidRPr="00F4226B">
        <w:rPr>
          <w:rFonts w:ascii="Times New Roman" w:hAnsi="Times New Roman"/>
          <w:i/>
          <w:sz w:val="24"/>
          <w:szCs w:val="24"/>
          <w:lang w:val="en-US"/>
        </w:rPr>
        <w:t>E</w:t>
      </w:r>
      <w:r w:rsidR="00844FD4" w:rsidRPr="00F4226B">
        <w:rPr>
          <w:rFonts w:ascii="Times New Roman" w:hAnsi="Times New Roman"/>
          <w:i/>
          <w:sz w:val="24"/>
          <w:szCs w:val="24"/>
          <w:lang w:val="en-US"/>
        </w:rPr>
        <w:t>ARNING</w:t>
      </w:r>
      <w:r w:rsidR="00A25246" w:rsidRPr="00F4226B">
        <w:rPr>
          <w:rFonts w:ascii="Times New Roman" w:hAnsi="Times New Roman"/>
          <w:i/>
          <w:sz w:val="24"/>
          <w:szCs w:val="24"/>
          <w:lang w:val="en-US"/>
        </w:rPr>
        <w:t>S</w:t>
      </w:r>
      <w:r w:rsidR="00A25246" w:rsidRPr="00F4226B">
        <w:rPr>
          <w:rFonts w:ascii="Times New Roman" w:hAnsi="Times New Roman"/>
          <w:i/>
          <w:sz w:val="24"/>
          <w:szCs w:val="24"/>
          <w:vertAlign w:val="subscript"/>
          <w:lang w:val="en-US"/>
        </w:rPr>
        <w:t>it</w:t>
      </w:r>
      <w:r w:rsidR="00A25246" w:rsidRPr="00F4226B">
        <w:rPr>
          <w:rFonts w:ascii="Times New Roman" w:hAnsi="Times New Roman"/>
          <w:i/>
          <w:sz w:val="24"/>
          <w:szCs w:val="24"/>
          <w:lang w:val="en-US"/>
        </w:rPr>
        <w:t xml:space="preserve"> </w:t>
      </w:r>
      <w:r w:rsidR="001A06EE" w:rsidRPr="00F4226B">
        <w:rPr>
          <w:rFonts w:ascii="Times New Roman" w:hAnsi="Times New Roman"/>
          <w:sz w:val="24"/>
          <w:szCs w:val="24"/>
          <w:lang w:val="en-US"/>
        </w:rPr>
        <w:t xml:space="preserve">is </w:t>
      </w:r>
      <w:r w:rsidR="00A25246" w:rsidRPr="00F4226B">
        <w:rPr>
          <w:rFonts w:ascii="Times New Roman" w:hAnsi="Times New Roman"/>
          <w:sz w:val="24"/>
          <w:szCs w:val="24"/>
          <w:lang w:val="en-US"/>
        </w:rPr>
        <w:t>firm</w:t>
      </w:r>
      <w:r w:rsidR="007809DA" w:rsidRPr="00F4226B">
        <w:rPr>
          <w:rFonts w:ascii="Times New Roman" w:hAnsi="Times New Roman"/>
          <w:sz w:val="24"/>
          <w:szCs w:val="24"/>
          <w:lang w:val="en-US"/>
        </w:rPr>
        <w:t xml:space="preserve"> </w:t>
      </w:r>
      <w:r w:rsidR="007809DA" w:rsidRPr="00F4226B">
        <w:rPr>
          <w:rFonts w:ascii="Times New Roman" w:hAnsi="Times New Roman"/>
          <w:i/>
          <w:sz w:val="24"/>
          <w:szCs w:val="24"/>
          <w:lang w:val="en-US"/>
        </w:rPr>
        <w:t>i</w:t>
      </w:r>
      <w:r w:rsidR="00A25246" w:rsidRPr="00F4226B">
        <w:rPr>
          <w:rFonts w:ascii="Times New Roman" w:hAnsi="Times New Roman"/>
          <w:sz w:val="24"/>
          <w:szCs w:val="24"/>
          <w:lang w:val="en-US"/>
        </w:rPr>
        <w:t xml:space="preserve">’s </w:t>
      </w:r>
      <w:r w:rsidR="001E44A1" w:rsidRPr="00F4226B">
        <w:rPr>
          <w:rFonts w:ascii="Times New Roman" w:hAnsi="Times New Roman"/>
          <w:sz w:val="24"/>
          <w:szCs w:val="24"/>
          <w:lang w:val="en-US"/>
        </w:rPr>
        <w:t>reported basic earnings per share</w:t>
      </w:r>
      <w:r w:rsidR="007809DA" w:rsidRPr="00F4226B">
        <w:rPr>
          <w:rFonts w:ascii="Times New Roman" w:hAnsi="Times New Roman"/>
          <w:sz w:val="24"/>
          <w:szCs w:val="24"/>
          <w:lang w:val="en-US"/>
        </w:rPr>
        <w:t xml:space="preserve">, </w:t>
      </w:r>
      <w:r w:rsidR="001E44A1" w:rsidRPr="00F4226B">
        <w:rPr>
          <w:rFonts w:ascii="Times New Roman" w:hAnsi="Times New Roman"/>
          <w:sz w:val="24"/>
          <w:szCs w:val="24"/>
          <w:lang w:val="en-US"/>
        </w:rPr>
        <w:t>calculated in accordance with IAS 33</w:t>
      </w:r>
      <w:r w:rsidR="00534FE3">
        <w:rPr>
          <w:rFonts w:ascii="Times New Roman" w:hAnsi="Times New Roman"/>
          <w:sz w:val="24"/>
          <w:szCs w:val="24"/>
          <w:lang w:val="en-US"/>
        </w:rPr>
        <w:t>,</w:t>
      </w:r>
      <w:r w:rsidR="001E44A1" w:rsidRPr="00F4226B">
        <w:rPr>
          <w:rFonts w:ascii="Times New Roman" w:hAnsi="Times New Roman"/>
          <w:sz w:val="24"/>
          <w:szCs w:val="24"/>
          <w:lang w:val="en-US"/>
        </w:rPr>
        <w:t xml:space="preserve"> </w:t>
      </w:r>
      <w:r w:rsidR="00D83200">
        <w:rPr>
          <w:rFonts w:ascii="Times New Roman" w:hAnsi="Times New Roman"/>
          <w:sz w:val="24"/>
          <w:szCs w:val="24"/>
          <w:lang w:val="en-US"/>
        </w:rPr>
        <w:t>“</w:t>
      </w:r>
      <w:r w:rsidR="001E44A1" w:rsidRPr="00F4226B">
        <w:rPr>
          <w:rFonts w:ascii="Times New Roman" w:hAnsi="Times New Roman"/>
          <w:sz w:val="24"/>
          <w:szCs w:val="24"/>
          <w:lang w:val="en-US"/>
        </w:rPr>
        <w:t>Earnings per</w:t>
      </w:r>
      <w:r w:rsidR="008C58A9" w:rsidRPr="00F4226B">
        <w:rPr>
          <w:rFonts w:ascii="Times New Roman" w:hAnsi="Times New Roman"/>
          <w:sz w:val="24"/>
          <w:szCs w:val="24"/>
          <w:lang w:val="en-US"/>
        </w:rPr>
        <w:t xml:space="preserve"> share</w:t>
      </w:r>
      <w:r w:rsidR="00D83200">
        <w:rPr>
          <w:rFonts w:ascii="Times New Roman" w:hAnsi="Times New Roman"/>
          <w:sz w:val="24"/>
          <w:szCs w:val="24"/>
          <w:lang w:val="en-US"/>
        </w:rPr>
        <w:t>,”</w:t>
      </w:r>
      <w:r w:rsidR="007809DA" w:rsidRPr="00F4226B">
        <w:rPr>
          <w:rFonts w:ascii="Times New Roman" w:hAnsi="Times New Roman"/>
          <w:sz w:val="24"/>
          <w:szCs w:val="24"/>
          <w:lang w:val="en-US"/>
        </w:rPr>
        <w:t xml:space="preserve"> </w:t>
      </w:r>
      <w:r w:rsidR="00B33E77" w:rsidRPr="00F4226B">
        <w:rPr>
          <w:rFonts w:ascii="Times New Roman" w:hAnsi="Times New Roman"/>
          <w:sz w:val="24"/>
          <w:szCs w:val="24"/>
          <w:lang w:val="en-US"/>
        </w:rPr>
        <w:t>for</w:t>
      </w:r>
      <w:r w:rsidR="00A25246" w:rsidRPr="00F4226B">
        <w:rPr>
          <w:rFonts w:ascii="Times New Roman" w:hAnsi="Times New Roman"/>
          <w:sz w:val="24"/>
          <w:szCs w:val="24"/>
          <w:lang w:val="en-US"/>
        </w:rPr>
        <w:t xml:space="preserve"> fiscal year </w:t>
      </w:r>
      <w:r w:rsidR="00A25246" w:rsidRPr="00F4226B">
        <w:rPr>
          <w:rFonts w:ascii="Times New Roman" w:hAnsi="Times New Roman"/>
          <w:i/>
          <w:sz w:val="24"/>
          <w:szCs w:val="24"/>
          <w:lang w:val="en-US"/>
        </w:rPr>
        <w:t>t</w:t>
      </w:r>
      <w:r w:rsidR="00A25246" w:rsidRPr="00F4226B">
        <w:rPr>
          <w:rFonts w:ascii="Times New Roman" w:hAnsi="Times New Roman"/>
          <w:sz w:val="24"/>
          <w:szCs w:val="24"/>
          <w:lang w:val="en-US"/>
        </w:rPr>
        <w:t>;</w:t>
      </w:r>
      <w:r w:rsidR="00534FE3">
        <w:rPr>
          <w:rFonts w:ascii="Times New Roman" w:hAnsi="Times New Roman"/>
          <w:sz w:val="24"/>
          <w:szCs w:val="24"/>
          <w:lang w:val="en-US"/>
        </w:rPr>
        <w:t xml:space="preserve"> and</w:t>
      </w:r>
      <w:r w:rsidR="00A25246" w:rsidRPr="00F4226B">
        <w:rPr>
          <w:rFonts w:ascii="Times New Roman" w:hAnsi="Times New Roman"/>
          <w:sz w:val="24"/>
          <w:szCs w:val="24"/>
          <w:lang w:val="en-US"/>
        </w:rPr>
        <w:t xml:space="preserve"> </w:t>
      </w:r>
      <w:r w:rsidR="00CC156F" w:rsidRPr="00F4226B">
        <w:rPr>
          <w:rFonts w:ascii="Times New Roman" w:hAnsi="Times New Roman"/>
          <w:i/>
          <w:sz w:val="24"/>
          <w:szCs w:val="24"/>
          <w:lang w:val="en-US"/>
        </w:rPr>
        <w:t>EI</w:t>
      </w:r>
      <w:r w:rsidR="00A25246" w:rsidRPr="00F4226B">
        <w:rPr>
          <w:rFonts w:ascii="Times New Roman" w:hAnsi="Times New Roman"/>
          <w:i/>
          <w:sz w:val="24"/>
          <w:szCs w:val="24"/>
          <w:lang w:val="en-US"/>
        </w:rPr>
        <w:t>GL</w:t>
      </w:r>
      <w:r w:rsidR="00A10713" w:rsidRPr="00F4226B">
        <w:rPr>
          <w:rFonts w:ascii="Times New Roman" w:hAnsi="Times New Roman"/>
          <w:i/>
          <w:sz w:val="24"/>
          <w:szCs w:val="24"/>
          <w:lang w:val="en-US"/>
        </w:rPr>
        <w:t>S</w:t>
      </w:r>
      <w:r w:rsidR="00A25246" w:rsidRPr="00F4226B">
        <w:rPr>
          <w:rFonts w:ascii="Times New Roman" w:hAnsi="Times New Roman"/>
          <w:sz w:val="24"/>
          <w:szCs w:val="24"/>
          <w:vertAlign w:val="subscript"/>
          <w:lang w:val="en-US"/>
        </w:rPr>
        <w:t>it</w:t>
      </w:r>
      <w:r w:rsidR="00A25246" w:rsidRPr="00F4226B" w:rsidDel="00A25246">
        <w:rPr>
          <w:rFonts w:ascii="Times New Roman" w:hAnsi="Times New Roman"/>
          <w:i/>
          <w:sz w:val="24"/>
          <w:szCs w:val="24"/>
          <w:lang w:val="en-US"/>
        </w:rPr>
        <w:t xml:space="preserve"> </w:t>
      </w:r>
      <w:r w:rsidR="00E075A8" w:rsidRPr="00F4226B">
        <w:rPr>
          <w:rFonts w:ascii="Times New Roman" w:hAnsi="Times New Roman"/>
          <w:sz w:val="24"/>
          <w:szCs w:val="24"/>
          <w:lang w:val="en-US"/>
        </w:rPr>
        <w:t xml:space="preserve">is the </w:t>
      </w:r>
      <w:r w:rsidR="00F4226B" w:rsidRPr="00F4226B">
        <w:rPr>
          <w:rFonts w:ascii="Times New Roman" w:hAnsi="Times New Roman"/>
          <w:sz w:val="24"/>
          <w:szCs w:val="24"/>
          <w:lang w:val="en-US"/>
        </w:rPr>
        <w:lastRenderedPageBreak/>
        <w:t>recognized</w:t>
      </w:r>
      <w:r w:rsidR="00E075A8" w:rsidRPr="00F4226B">
        <w:rPr>
          <w:rFonts w:ascii="Times New Roman" w:hAnsi="Times New Roman"/>
          <w:sz w:val="24"/>
          <w:szCs w:val="24"/>
          <w:lang w:val="en-US"/>
        </w:rPr>
        <w:t xml:space="preserve"> </w:t>
      </w:r>
      <w:r w:rsidR="00A25246" w:rsidRPr="00F4226B">
        <w:rPr>
          <w:rFonts w:ascii="Times New Roman" w:hAnsi="Times New Roman"/>
          <w:sz w:val="24"/>
          <w:szCs w:val="24"/>
          <w:lang w:val="en-US"/>
        </w:rPr>
        <w:t>inflation gains and losses</w:t>
      </w:r>
      <w:r w:rsidR="001A06EE" w:rsidRPr="00F4226B">
        <w:rPr>
          <w:rFonts w:ascii="Times New Roman" w:hAnsi="Times New Roman"/>
          <w:sz w:val="24"/>
          <w:szCs w:val="24"/>
          <w:lang w:val="en-US"/>
        </w:rPr>
        <w:t xml:space="preserve"> </w:t>
      </w:r>
      <w:r w:rsidR="00990254" w:rsidRPr="00F4226B">
        <w:rPr>
          <w:rFonts w:ascii="Times New Roman" w:hAnsi="Times New Roman"/>
          <w:sz w:val="24"/>
          <w:szCs w:val="24"/>
          <w:lang w:val="en-US"/>
        </w:rPr>
        <w:t xml:space="preserve">in earnings </w:t>
      </w:r>
      <w:r w:rsidR="00E075A8" w:rsidRPr="00F4226B">
        <w:rPr>
          <w:rFonts w:ascii="Times New Roman" w:hAnsi="Times New Roman"/>
          <w:sz w:val="24"/>
          <w:szCs w:val="24"/>
          <w:lang w:val="en-US"/>
        </w:rPr>
        <w:t xml:space="preserve">(i.e., </w:t>
      </w:r>
      <w:r w:rsidR="00534FE3">
        <w:rPr>
          <w:rFonts w:ascii="Times New Roman" w:hAnsi="Times New Roman"/>
          <w:sz w:val="24"/>
          <w:szCs w:val="24"/>
          <w:lang w:val="en-US"/>
        </w:rPr>
        <w:t xml:space="preserve">the </w:t>
      </w:r>
      <w:r w:rsidR="001A06EE" w:rsidRPr="00F4226B">
        <w:rPr>
          <w:rFonts w:ascii="Times New Roman" w:hAnsi="Times New Roman"/>
          <w:sz w:val="24"/>
          <w:szCs w:val="24"/>
          <w:lang w:val="en-US"/>
        </w:rPr>
        <w:t>difference between HC and IA earnings</w:t>
      </w:r>
      <w:r w:rsidR="00990254" w:rsidRPr="00F4226B">
        <w:rPr>
          <w:rFonts w:ascii="Times New Roman" w:hAnsi="Times New Roman"/>
          <w:sz w:val="24"/>
          <w:szCs w:val="24"/>
          <w:lang w:val="en-US"/>
        </w:rPr>
        <w:t>)</w:t>
      </w:r>
      <w:r w:rsidR="00D36592" w:rsidRPr="00F4226B">
        <w:rPr>
          <w:rFonts w:ascii="Times New Roman" w:hAnsi="Times New Roman"/>
          <w:sz w:val="24"/>
          <w:szCs w:val="24"/>
          <w:lang w:val="en-US"/>
        </w:rPr>
        <w:t>.</w:t>
      </w:r>
      <w:r w:rsidR="001A06EE" w:rsidRPr="00F4226B">
        <w:rPr>
          <w:rFonts w:ascii="Times New Roman" w:hAnsi="Times New Roman"/>
          <w:i/>
          <w:sz w:val="24"/>
          <w:szCs w:val="24"/>
          <w:lang w:val="en-US"/>
        </w:rPr>
        <w:t xml:space="preserve"> </w:t>
      </w:r>
      <w:r w:rsidR="00F4226B">
        <w:rPr>
          <w:rFonts w:ascii="Times New Roman" w:hAnsi="Times New Roman"/>
          <w:sz w:val="24"/>
          <w:szCs w:val="24"/>
          <w:lang w:val="en-US"/>
        </w:rPr>
        <w:t>To</w:t>
      </w:r>
      <w:r w:rsidR="001A06EE" w:rsidRPr="00F4226B">
        <w:rPr>
          <w:rFonts w:ascii="Times New Roman" w:hAnsi="Times New Roman"/>
          <w:sz w:val="24"/>
          <w:szCs w:val="24"/>
          <w:lang w:val="en-US"/>
        </w:rPr>
        <w:t xml:space="preserve"> mitigate the size or scale effects, we deflate </w:t>
      </w:r>
      <w:r w:rsidR="00A25246" w:rsidRPr="00F4226B">
        <w:rPr>
          <w:rFonts w:ascii="Times New Roman" w:hAnsi="Times New Roman"/>
          <w:i/>
          <w:sz w:val="24"/>
          <w:szCs w:val="24"/>
          <w:lang w:val="en-US"/>
        </w:rPr>
        <w:t>E</w:t>
      </w:r>
      <w:r w:rsidR="00844FD4" w:rsidRPr="00F4226B">
        <w:rPr>
          <w:rFonts w:ascii="Times New Roman" w:hAnsi="Times New Roman"/>
          <w:i/>
          <w:sz w:val="24"/>
          <w:szCs w:val="24"/>
          <w:lang w:val="en-US"/>
        </w:rPr>
        <w:t>ARNING</w:t>
      </w:r>
      <w:r w:rsidR="00A25246" w:rsidRPr="00F4226B">
        <w:rPr>
          <w:rFonts w:ascii="Times New Roman" w:hAnsi="Times New Roman"/>
          <w:i/>
          <w:sz w:val="24"/>
          <w:szCs w:val="24"/>
          <w:lang w:val="en-US"/>
        </w:rPr>
        <w:t>S</w:t>
      </w:r>
      <w:r w:rsidR="00A25246" w:rsidRPr="00F4226B">
        <w:rPr>
          <w:rFonts w:ascii="Times New Roman" w:hAnsi="Times New Roman"/>
          <w:i/>
          <w:sz w:val="24"/>
          <w:szCs w:val="24"/>
          <w:vertAlign w:val="subscript"/>
          <w:lang w:val="en-US"/>
        </w:rPr>
        <w:t>it</w:t>
      </w:r>
      <w:r w:rsidR="00A25246" w:rsidRPr="00F4226B">
        <w:rPr>
          <w:rFonts w:ascii="Times New Roman" w:hAnsi="Times New Roman"/>
          <w:i/>
          <w:sz w:val="24"/>
          <w:szCs w:val="24"/>
          <w:lang w:val="en-US"/>
        </w:rPr>
        <w:t xml:space="preserve"> </w:t>
      </w:r>
      <w:r w:rsidR="001A06EE" w:rsidRPr="00F4226B">
        <w:rPr>
          <w:rFonts w:ascii="Times New Roman" w:hAnsi="Times New Roman"/>
          <w:sz w:val="24"/>
          <w:szCs w:val="24"/>
          <w:lang w:val="en-US"/>
        </w:rPr>
        <w:t xml:space="preserve">and </w:t>
      </w:r>
      <w:r w:rsidR="00CC156F" w:rsidRPr="00F4226B">
        <w:rPr>
          <w:rFonts w:ascii="Times New Roman" w:hAnsi="Times New Roman"/>
          <w:i/>
          <w:sz w:val="24"/>
          <w:szCs w:val="24"/>
          <w:lang w:val="en-US"/>
        </w:rPr>
        <w:t>EI</w:t>
      </w:r>
      <w:r w:rsidR="00A25246" w:rsidRPr="00F4226B">
        <w:rPr>
          <w:rFonts w:ascii="Times New Roman" w:hAnsi="Times New Roman"/>
          <w:i/>
          <w:sz w:val="24"/>
          <w:szCs w:val="24"/>
          <w:lang w:val="en-US"/>
        </w:rPr>
        <w:t>GL</w:t>
      </w:r>
      <w:r w:rsidR="00A10713" w:rsidRPr="00F4226B">
        <w:rPr>
          <w:rFonts w:ascii="Times New Roman" w:hAnsi="Times New Roman"/>
          <w:i/>
          <w:sz w:val="24"/>
          <w:szCs w:val="24"/>
          <w:lang w:val="en-US"/>
        </w:rPr>
        <w:t>S</w:t>
      </w:r>
      <w:r w:rsidR="00A25246" w:rsidRPr="00F4226B">
        <w:rPr>
          <w:rFonts w:ascii="Times New Roman" w:hAnsi="Times New Roman"/>
          <w:i/>
          <w:sz w:val="24"/>
          <w:szCs w:val="24"/>
          <w:vertAlign w:val="subscript"/>
          <w:lang w:val="en-US"/>
        </w:rPr>
        <w:t>it</w:t>
      </w:r>
      <w:r w:rsidR="001A06EE" w:rsidRPr="00F4226B">
        <w:rPr>
          <w:rFonts w:ascii="Times New Roman" w:hAnsi="Times New Roman"/>
          <w:bCs/>
          <w:sz w:val="24"/>
          <w:szCs w:val="24"/>
          <w:lang w:val="en-US"/>
        </w:rPr>
        <w:t xml:space="preserve"> by the s</w:t>
      </w:r>
      <w:r w:rsidR="00EA6329" w:rsidRPr="00F4226B">
        <w:rPr>
          <w:rFonts w:ascii="Times New Roman" w:hAnsi="Times New Roman"/>
          <w:bCs/>
          <w:sz w:val="24"/>
          <w:szCs w:val="24"/>
          <w:lang w:val="en-US"/>
        </w:rPr>
        <w:t>tock</w:t>
      </w:r>
      <w:r w:rsidR="001A06EE" w:rsidRPr="00F4226B">
        <w:rPr>
          <w:rFonts w:ascii="Times New Roman" w:hAnsi="Times New Roman"/>
          <w:bCs/>
          <w:sz w:val="24"/>
          <w:szCs w:val="24"/>
          <w:lang w:val="en-US"/>
        </w:rPr>
        <w:t xml:space="preserve"> price at the </w:t>
      </w:r>
      <w:r w:rsidR="003324A8" w:rsidRPr="00F4226B">
        <w:rPr>
          <w:rFonts w:ascii="Times New Roman" w:hAnsi="Times New Roman"/>
          <w:bCs/>
          <w:sz w:val="24"/>
          <w:szCs w:val="24"/>
          <w:lang w:val="en-US"/>
        </w:rPr>
        <w:t>start</w:t>
      </w:r>
      <w:r w:rsidR="001A06EE" w:rsidRPr="00F4226B">
        <w:rPr>
          <w:rFonts w:ascii="Times New Roman" w:hAnsi="Times New Roman"/>
          <w:bCs/>
          <w:sz w:val="24"/>
          <w:szCs w:val="24"/>
          <w:lang w:val="en-US"/>
        </w:rPr>
        <w:t xml:space="preserve"> of the </w:t>
      </w:r>
      <w:r w:rsidR="00A25246" w:rsidRPr="00F4226B">
        <w:rPr>
          <w:rFonts w:ascii="Times New Roman" w:hAnsi="Times New Roman"/>
          <w:bCs/>
          <w:sz w:val="24"/>
          <w:szCs w:val="24"/>
          <w:lang w:val="en-US"/>
        </w:rPr>
        <w:t>firm’s fiscal year</w:t>
      </w:r>
      <w:r w:rsidR="001A06EE" w:rsidRPr="00F4226B">
        <w:rPr>
          <w:rFonts w:ascii="Times New Roman" w:hAnsi="Times New Roman"/>
          <w:bCs/>
          <w:sz w:val="24"/>
          <w:szCs w:val="24"/>
          <w:lang w:val="en-US"/>
        </w:rPr>
        <w:t xml:space="preserve"> (Dechow 1994).</w:t>
      </w:r>
      <w:r w:rsidR="00C04F89" w:rsidRPr="00F4226B">
        <w:rPr>
          <w:rFonts w:ascii="Times New Roman" w:hAnsi="Times New Roman"/>
          <w:bCs/>
          <w:sz w:val="24"/>
          <w:szCs w:val="24"/>
          <w:lang w:val="en-US"/>
        </w:rPr>
        <w:t xml:space="preserve"> </w:t>
      </w:r>
    </w:p>
    <w:p w14:paraId="53F645F5" w14:textId="77777777" w:rsidR="00E111A3" w:rsidRPr="00F4226B" w:rsidRDefault="009F21EA" w:rsidP="009F21EA">
      <w:pPr>
        <w:spacing w:line="360" w:lineRule="auto"/>
        <w:ind w:firstLine="284"/>
        <w:jc w:val="both"/>
        <w:rPr>
          <w:rFonts w:ascii="Times New Roman" w:hAnsi="Times New Roman"/>
          <w:bCs/>
          <w:sz w:val="24"/>
          <w:szCs w:val="24"/>
          <w:lang w:val="en-US"/>
        </w:rPr>
      </w:pPr>
      <w:r w:rsidRPr="00F4226B">
        <w:rPr>
          <w:rFonts w:ascii="Times New Roman" w:hAnsi="Times New Roman"/>
          <w:sz w:val="24"/>
          <w:szCs w:val="24"/>
          <w:lang w:val="en-US"/>
        </w:rPr>
        <w:t xml:space="preserve">Our </w:t>
      </w:r>
      <w:r w:rsidR="00012002" w:rsidRPr="00F4226B">
        <w:rPr>
          <w:rFonts w:ascii="Times New Roman" w:hAnsi="Times New Roman"/>
          <w:sz w:val="24"/>
          <w:szCs w:val="24"/>
          <w:lang w:val="en-US"/>
        </w:rPr>
        <w:t xml:space="preserve">second model expresses stock prices as a function of earnings and </w:t>
      </w:r>
      <w:r w:rsidR="007D0834" w:rsidRPr="00F4226B">
        <w:rPr>
          <w:rFonts w:ascii="Times New Roman" w:hAnsi="Times New Roman"/>
          <w:sz w:val="24"/>
          <w:szCs w:val="24"/>
          <w:lang w:val="en-US"/>
        </w:rPr>
        <w:t xml:space="preserve">equity </w:t>
      </w:r>
      <w:r w:rsidR="00012002" w:rsidRPr="00F4226B">
        <w:rPr>
          <w:rFonts w:ascii="Times New Roman" w:hAnsi="Times New Roman"/>
          <w:sz w:val="24"/>
          <w:szCs w:val="24"/>
          <w:lang w:val="en-US"/>
        </w:rPr>
        <w:t>book values (</w:t>
      </w:r>
      <w:r w:rsidR="00E111A3" w:rsidRPr="00F4226B">
        <w:rPr>
          <w:rFonts w:ascii="Times New Roman" w:hAnsi="Times New Roman"/>
          <w:sz w:val="24"/>
          <w:szCs w:val="24"/>
          <w:lang w:val="en-US"/>
        </w:rPr>
        <w:t>price model</w:t>
      </w:r>
      <w:r w:rsidR="00012002" w:rsidRPr="00F4226B">
        <w:rPr>
          <w:rFonts w:ascii="Times New Roman" w:hAnsi="Times New Roman"/>
          <w:sz w:val="24"/>
          <w:szCs w:val="24"/>
          <w:lang w:val="en-US"/>
        </w:rPr>
        <w:t>) (Ohlson 1995)</w:t>
      </w:r>
      <w:r w:rsidR="00C04F89" w:rsidRPr="00F4226B">
        <w:rPr>
          <w:rFonts w:ascii="Times New Roman" w:hAnsi="Times New Roman"/>
          <w:sz w:val="24"/>
          <w:szCs w:val="24"/>
          <w:lang w:val="en-US"/>
        </w:rPr>
        <w:t xml:space="preserve"> and is </w:t>
      </w:r>
      <w:r w:rsidR="00262FF6" w:rsidRPr="00F4226B">
        <w:rPr>
          <w:rFonts w:ascii="Times New Roman" w:hAnsi="Times New Roman"/>
          <w:bCs/>
          <w:sz w:val="24"/>
          <w:szCs w:val="24"/>
          <w:lang w:val="en-US"/>
        </w:rPr>
        <w:t>specif</w:t>
      </w:r>
      <w:r w:rsidR="00C04F89" w:rsidRPr="00F4226B">
        <w:rPr>
          <w:rFonts w:ascii="Times New Roman" w:hAnsi="Times New Roman"/>
          <w:bCs/>
          <w:sz w:val="24"/>
          <w:szCs w:val="24"/>
          <w:lang w:val="en-US"/>
        </w:rPr>
        <w:t xml:space="preserve">ied as </w:t>
      </w:r>
      <w:r w:rsidR="00262FF6" w:rsidRPr="00F4226B">
        <w:rPr>
          <w:rFonts w:ascii="Times New Roman" w:hAnsi="Times New Roman"/>
          <w:bCs/>
          <w:sz w:val="24"/>
          <w:szCs w:val="24"/>
          <w:lang w:val="en-US"/>
        </w:rPr>
        <w:t>follow</w:t>
      </w:r>
      <w:r w:rsidR="00C04F89" w:rsidRPr="00F4226B">
        <w:rPr>
          <w:rFonts w:ascii="Times New Roman" w:hAnsi="Times New Roman"/>
          <w:bCs/>
          <w:sz w:val="24"/>
          <w:szCs w:val="24"/>
          <w:lang w:val="en-US"/>
        </w:rPr>
        <w:t>s</w:t>
      </w:r>
      <w:r w:rsidR="00E111A3" w:rsidRPr="00F4226B">
        <w:rPr>
          <w:rFonts w:ascii="Times New Roman" w:hAnsi="Times New Roman"/>
          <w:bCs/>
          <w:sz w:val="24"/>
          <w:szCs w:val="24"/>
          <w:lang w:val="en-US"/>
        </w:rPr>
        <w:t>:</w:t>
      </w:r>
    </w:p>
    <w:p w14:paraId="29E6A179" w14:textId="77777777" w:rsidR="00E111A3" w:rsidRPr="00F4226B" w:rsidRDefault="00E111A3" w:rsidP="0044661D">
      <w:pPr>
        <w:spacing w:line="240" w:lineRule="auto"/>
        <w:ind w:firstLine="720"/>
        <w:jc w:val="both"/>
        <w:rPr>
          <w:rFonts w:ascii="Times New Roman" w:hAnsi="Times New Roman"/>
          <w:i/>
          <w:sz w:val="24"/>
          <w:szCs w:val="24"/>
          <w:lang w:val="en-US"/>
        </w:rPr>
      </w:pPr>
      <w:r w:rsidRPr="00F4226B">
        <w:rPr>
          <w:rFonts w:ascii="Times New Roman" w:hAnsi="Times New Roman"/>
          <w:i/>
          <w:sz w:val="24"/>
          <w:szCs w:val="24"/>
          <w:lang w:val="en-US"/>
        </w:rPr>
        <w:t>P</w:t>
      </w:r>
      <w:r w:rsidR="00CC156F" w:rsidRPr="00F4226B">
        <w:rPr>
          <w:rFonts w:ascii="Times New Roman" w:hAnsi="Times New Roman"/>
          <w:i/>
          <w:sz w:val="24"/>
          <w:szCs w:val="24"/>
          <w:lang w:val="en-US"/>
        </w:rPr>
        <w:t>RICE</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0</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1</w:t>
      </w:r>
      <w:r w:rsidRPr="00F4226B">
        <w:rPr>
          <w:rFonts w:ascii="Times New Roman" w:hAnsi="Times New Roman"/>
          <w:i/>
          <w:sz w:val="24"/>
          <w:szCs w:val="24"/>
          <w:lang w:val="en-US"/>
        </w:rPr>
        <w:t>E</w:t>
      </w:r>
      <w:r w:rsidR="00ED5050" w:rsidRPr="00F4226B">
        <w:rPr>
          <w:rFonts w:ascii="Times New Roman" w:hAnsi="Times New Roman"/>
          <w:i/>
          <w:sz w:val="24"/>
          <w:szCs w:val="24"/>
          <w:lang w:val="en-US"/>
        </w:rPr>
        <w:t>ARNING</w:t>
      </w:r>
      <w:r w:rsidR="00CC156F" w:rsidRPr="00F4226B">
        <w:rPr>
          <w:rFonts w:ascii="Times New Roman" w:hAnsi="Times New Roman"/>
          <w:i/>
          <w:sz w:val="24"/>
          <w:szCs w:val="24"/>
          <w:lang w:val="en-US"/>
        </w:rPr>
        <w:t>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2</w:t>
      </w:r>
      <w:r w:rsidRPr="00F4226B">
        <w:rPr>
          <w:rFonts w:ascii="Times New Roman" w:hAnsi="Times New Roman"/>
          <w:i/>
          <w:sz w:val="24"/>
          <w:szCs w:val="24"/>
          <w:lang w:val="en-US"/>
        </w:rPr>
        <w:t>B</w:t>
      </w:r>
      <w:r w:rsidR="00ED5050" w:rsidRPr="00F4226B">
        <w:rPr>
          <w:rFonts w:ascii="Times New Roman" w:hAnsi="Times New Roman"/>
          <w:i/>
          <w:sz w:val="24"/>
          <w:szCs w:val="24"/>
          <w:lang w:val="en-US"/>
        </w:rPr>
        <w:t>OOK VALUES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3</w:t>
      </w:r>
      <w:r w:rsidRPr="00F4226B">
        <w:rPr>
          <w:rFonts w:ascii="Times New Roman" w:hAnsi="Times New Roman"/>
          <w:i/>
          <w:sz w:val="24"/>
          <w:szCs w:val="24"/>
          <w:lang w:val="en-US"/>
        </w:rPr>
        <w:t>YearDummies + ε</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w:t>
      </w:r>
      <w:r w:rsidRPr="00F4226B">
        <w:rPr>
          <w:rFonts w:ascii="Times New Roman" w:hAnsi="Times New Roman"/>
          <w:bCs/>
          <w:i/>
          <w:sz w:val="24"/>
          <w:szCs w:val="24"/>
          <w:lang w:val="en-US"/>
        </w:rPr>
        <w:t>(3)</w:t>
      </w:r>
    </w:p>
    <w:p w14:paraId="0FCD64CB" w14:textId="77777777" w:rsidR="00CC156F" w:rsidRPr="00F4226B" w:rsidRDefault="00E111A3" w:rsidP="003820D1">
      <w:pPr>
        <w:spacing w:line="240" w:lineRule="auto"/>
        <w:ind w:firstLine="720"/>
        <w:jc w:val="both"/>
        <w:outlineLvl w:val="0"/>
        <w:rPr>
          <w:rFonts w:ascii="Times New Roman" w:hAnsi="Times New Roman"/>
          <w:i/>
          <w:sz w:val="24"/>
          <w:szCs w:val="24"/>
          <w:lang w:val="en-US"/>
        </w:rPr>
      </w:pPr>
      <w:r w:rsidRPr="00F4226B">
        <w:rPr>
          <w:rFonts w:ascii="Times New Roman" w:hAnsi="Times New Roman"/>
          <w:i/>
          <w:sz w:val="24"/>
          <w:szCs w:val="24"/>
          <w:lang w:val="en-US"/>
        </w:rPr>
        <w:t>P</w:t>
      </w:r>
      <w:r w:rsidR="00CC156F" w:rsidRPr="00F4226B">
        <w:rPr>
          <w:rFonts w:ascii="Times New Roman" w:hAnsi="Times New Roman"/>
          <w:i/>
          <w:sz w:val="24"/>
          <w:szCs w:val="24"/>
          <w:lang w:val="en-US"/>
        </w:rPr>
        <w:t>RICE</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0</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1</w:t>
      </w:r>
      <w:r w:rsidRPr="00F4226B">
        <w:rPr>
          <w:rFonts w:ascii="Times New Roman" w:hAnsi="Times New Roman"/>
          <w:i/>
          <w:sz w:val="24"/>
          <w:szCs w:val="24"/>
          <w:lang w:val="en-US"/>
        </w:rPr>
        <w:t>E</w:t>
      </w:r>
      <w:r w:rsidR="00ED5050" w:rsidRPr="00F4226B">
        <w:rPr>
          <w:rFonts w:ascii="Times New Roman" w:hAnsi="Times New Roman"/>
          <w:i/>
          <w:sz w:val="24"/>
          <w:szCs w:val="24"/>
          <w:lang w:val="en-US"/>
        </w:rPr>
        <w:t>ARNING</w:t>
      </w:r>
      <w:r w:rsidRPr="00F4226B">
        <w:rPr>
          <w:rFonts w:ascii="Times New Roman" w:hAnsi="Times New Roman"/>
          <w:i/>
          <w:sz w:val="24"/>
          <w:szCs w:val="24"/>
          <w:lang w:val="en-US"/>
        </w:rPr>
        <w:t>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2</w:t>
      </w:r>
      <w:r w:rsidRPr="00F4226B">
        <w:rPr>
          <w:rFonts w:ascii="Times New Roman" w:hAnsi="Times New Roman"/>
          <w:i/>
          <w:sz w:val="24"/>
          <w:szCs w:val="24"/>
          <w:lang w:val="en-US"/>
        </w:rPr>
        <w:t>B</w:t>
      </w:r>
      <w:r w:rsidR="00ED5050" w:rsidRPr="00F4226B">
        <w:rPr>
          <w:rFonts w:ascii="Times New Roman" w:hAnsi="Times New Roman"/>
          <w:i/>
          <w:sz w:val="24"/>
          <w:szCs w:val="24"/>
          <w:lang w:val="en-US"/>
        </w:rPr>
        <w:t>OOK VALUE</w:t>
      </w:r>
      <w:r w:rsidR="00A258A0" w:rsidRPr="00F4226B">
        <w:rPr>
          <w:rFonts w:ascii="Times New Roman" w:hAnsi="Times New Roman"/>
          <w:i/>
          <w:sz w:val="24"/>
          <w:szCs w:val="24"/>
          <w:lang w:val="en-US"/>
        </w:rPr>
        <w:t>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 xml:space="preserve">3 </w:t>
      </w:r>
      <w:r w:rsidR="00CC156F" w:rsidRPr="00F4226B">
        <w:rPr>
          <w:rFonts w:ascii="Times New Roman" w:hAnsi="Times New Roman"/>
          <w:i/>
          <w:sz w:val="24"/>
          <w:szCs w:val="24"/>
          <w:lang w:val="en-US"/>
        </w:rPr>
        <w:t>EI</w:t>
      </w:r>
      <w:r w:rsidR="00262FF6" w:rsidRPr="00F4226B">
        <w:rPr>
          <w:rFonts w:ascii="Times New Roman" w:hAnsi="Times New Roman"/>
          <w:i/>
          <w:sz w:val="24"/>
          <w:szCs w:val="24"/>
          <w:lang w:val="en-US"/>
        </w:rPr>
        <w:t>G</w:t>
      </w:r>
      <w:r w:rsidR="008C58A9" w:rsidRPr="00F4226B">
        <w:rPr>
          <w:rFonts w:ascii="Times New Roman" w:hAnsi="Times New Roman"/>
          <w:i/>
          <w:sz w:val="24"/>
          <w:szCs w:val="24"/>
          <w:lang w:val="en-US"/>
        </w:rPr>
        <w:t>L</w:t>
      </w:r>
      <w:r w:rsidR="00A10713" w:rsidRPr="00F4226B">
        <w:rPr>
          <w:rFonts w:ascii="Times New Roman" w:hAnsi="Times New Roman"/>
          <w:i/>
          <w:sz w:val="24"/>
          <w:szCs w:val="24"/>
          <w:lang w:val="en-US"/>
        </w:rPr>
        <w:t>S</w:t>
      </w:r>
      <w:r w:rsidR="00262FF6"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w:t>
      </w:r>
    </w:p>
    <w:p w14:paraId="55A07E4F" w14:textId="609CE3E4" w:rsidR="00E111A3" w:rsidRPr="00F4226B" w:rsidRDefault="00E111A3" w:rsidP="0044661D">
      <w:pPr>
        <w:spacing w:line="240" w:lineRule="auto"/>
        <w:ind w:left="720" w:firstLine="720"/>
        <w:jc w:val="both"/>
        <w:rPr>
          <w:rFonts w:ascii="Times New Roman" w:hAnsi="Times New Roman"/>
          <w:bCs/>
          <w:i/>
          <w:sz w:val="24"/>
          <w:szCs w:val="24"/>
          <w:lang w:val="en-US"/>
        </w:rPr>
      </w:pPr>
      <w:r w:rsidRPr="00F4226B">
        <w:rPr>
          <w:rFonts w:ascii="Times New Roman" w:hAnsi="Times New Roman"/>
          <w:i/>
          <w:sz w:val="24"/>
          <w:szCs w:val="24"/>
          <w:lang w:val="en-US"/>
        </w:rPr>
        <w:t>+ α</w:t>
      </w:r>
      <w:r w:rsidRPr="00F4226B">
        <w:rPr>
          <w:rFonts w:ascii="Times New Roman" w:hAnsi="Times New Roman"/>
          <w:i/>
          <w:sz w:val="24"/>
          <w:szCs w:val="24"/>
          <w:vertAlign w:val="subscript"/>
          <w:lang w:val="en-US"/>
        </w:rPr>
        <w:t>4</w:t>
      </w:r>
      <w:r w:rsidRPr="00F4226B">
        <w:rPr>
          <w:rFonts w:ascii="Times New Roman" w:hAnsi="Times New Roman"/>
          <w:i/>
          <w:sz w:val="24"/>
          <w:szCs w:val="24"/>
          <w:lang w:val="en-US"/>
        </w:rPr>
        <w:t>BV</w:t>
      </w:r>
      <w:r w:rsidR="008C58A9" w:rsidRPr="00F4226B">
        <w:rPr>
          <w:rFonts w:ascii="Times New Roman" w:hAnsi="Times New Roman"/>
          <w:i/>
          <w:sz w:val="24"/>
          <w:szCs w:val="24"/>
          <w:lang w:val="en-US"/>
        </w:rPr>
        <w:t>I</w:t>
      </w:r>
      <w:r w:rsidR="00262FF6" w:rsidRPr="00F4226B">
        <w:rPr>
          <w:rFonts w:ascii="Times New Roman" w:hAnsi="Times New Roman"/>
          <w:i/>
          <w:sz w:val="24"/>
          <w:szCs w:val="24"/>
          <w:lang w:val="en-US"/>
        </w:rPr>
        <w:t>GL</w:t>
      </w:r>
      <w:r w:rsidR="00A10713" w:rsidRPr="00F4226B">
        <w:rPr>
          <w:rFonts w:ascii="Times New Roman" w:hAnsi="Times New Roman"/>
          <w:i/>
          <w:sz w:val="24"/>
          <w:szCs w:val="24"/>
          <w:lang w:val="en-US"/>
        </w:rPr>
        <w:t>S</w:t>
      </w:r>
      <w:r w:rsidR="00262FF6"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5</w:t>
      </w:r>
      <w:r w:rsidRPr="00F4226B">
        <w:rPr>
          <w:rFonts w:ascii="Times New Roman" w:hAnsi="Times New Roman"/>
          <w:i/>
          <w:sz w:val="24"/>
          <w:szCs w:val="24"/>
          <w:lang w:val="en-US"/>
        </w:rPr>
        <w:t>YearDummies + ε</w:t>
      </w:r>
      <w:r w:rsidRPr="00F4226B">
        <w:rPr>
          <w:rFonts w:ascii="Times New Roman" w:hAnsi="Times New Roman"/>
          <w:i/>
          <w:sz w:val="24"/>
          <w:szCs w:val="24"/>
          <w:vertAlign w:val="subscript"/>
          <w:lang w:val="en-US"/>
        </w:rPr>
        <w:t>it</w:t>
      </w:r>
      <w:r w:rsidR="00411DA0">
        <w:rPr>
          <w:rFonts w:ascii="Times New Roman" w:hAnsi="Times New Roman"/>
          <w:i/>
          <w:sz w:val="24"/>
          <w:szCs w:val="24"/>
          <w:lang w:val="en-US"/>
        </w:rPr>
        <w:t>,</w:t>
      </w:r>
      <w:r w:rsidRPr="00F4226B">
        <w:rPr>
          <w:rFonts w:ascii="Times New Roman" w:hAnsi="Times New Roman"/>
          <w:i/>
          <w:sz w:val="24"/>
          <w:szCs w:val="24"/>
          <w:lang w:val="en-US"/>
        </w:rPr>
        <w:t xml:space="preserve">   </w:t>
      </w:r>
      <w:r w:rsidR="008833C2" w:rsidRPr="00F4226B">
        <w:rPr>
          <w:rFonts w:ascii="Times New Roman" w:hAnsi="Times New Roman"/>
          <w:i/>
          <w:sz w:val="24"/>
          <w:szCs w:val="24"/>
          <w:lang w:val="en-US"/>
        </w:rPr>
        <w:tab/>
      </w:r>
      <w:r w:rsidR="00CC156F" w:rsidRPr="00F4226B">
        <w:rPr>
          <w:rFonts w:ascii="Times New Roman" w:hAnsi="Times New Roman"/>
          <w:i/>
          <w:sz w:val="24"/>
          <w:szCs w:val="24"/>
          <w:lang w:val="en-US"/>
        </w:rPr>
        <w:tab/>
      </w:r>
      <w:r w:rsidR="0044661D" w:rsidRPr="00F4226B">
        <w:rPr>
          <w:rFonts w:ascii="Times New Roman" w:hAnsi="Times New Roman"/>
          <w:i/>
          <w:sz w:val="24"/>
          <w:szCs w:val="24"/>
          <w:lang w:val="en-US"/>
        </w:rPr>
        <w:t xml:space="preserve">       </w:t>
      </w:r>
      <w:r w:rsidR="0044661D" w:rsidRPr="00F4226B">
        <w:rPr>
          <w:rFonts w:ascii="Times New Roman" w:hAnsi="Times New Roman"/>
          <w:i/>
          <w:sz w:val="24"/>
          <w:szCs w:val="24"/>
          <w:lang w:val="en-US"/>
        </w:rPr>
        <w:tab/>
        <w:t xml:space="preserve">      </w:t>
      </w:r>
      <w:r w:rsidR="0044661D" w:rsidRPr="00F4226B">
        <w:rPr>
          <w:rFonts w:ascii="Times New Roman" w:hAnsi="Times New Roman"/>
          <w:i/>
          <w:sz w:val="24"/>
          <w:szCs w:val="24"/>
          <w:lang w:val="en-US"/>
        </w:rPr>
        <w:tab/>
        <w:t xml:space="preserve">       </w:t>
      </w:r>
      <w:r w:rsidRPr="00F4226B">
        <w:rPr>
          <w:rFonts w:ascii="Times New Roman" w:hAnsi="Times New Roman"/>
          <w:bCs/>
          <w:i/>
          <w:sz w:val="24"/>
          <w:szCs w:val="24"/>
          <w:lang w:val="en-US"/>
        </w:rPr>
        <w:t>(4)</w:t>
      </w:r>
    </w:p>
    <w:p w14:paraId="091A903E" w14:textId="100B391E" w:rsidR="00E111A3" w:rsidRPr="00F4226B" w:rsidRDefault="00667E01" w:rsidP="00CF3168">
      <w:pPr>
        <w:spacing w:line="360" w:lineRule="auto"/>
        <w:jc w:val="both"/>
        <w:rPr>
          <w:rFonts w:ascii="Times New Roman" w:hAnsi="Times New Roman"/>
          <w:sz w:val="24"/>
          <w:szCs w:val="24"/>
          <w:lang w:val="en-US"/>
        </w:rPr>
      </w:pPr>
      <w:r w:rsidRPr="00F4226B">
        <w:rPr>
          <w:rFonts w:ascii="Times New Roman" w:hAnsi="Times New Roman"/>
          <w:bCs/>
          <w:sz w:val="24"/>
          <w:szCs w:val="24"/>
          <w:lang w:val="en-US"/>
        </w:rPr>
        <w:t>w</w:t>
      </w:r>
      <w:r w:rsidR="00E111A3" w:rsidRPr="00F4226B">
        <w:rPr>
          <w:rFonts w:ascii="Times New Roman" w:hAnsi="Times New Roman"/>
          <w:bCs/>
          <w:sz w:val="24"/>
          <w:szCs w:val="24"/>
          <w:lang w:val="en-US"/>
        </w:rPr>
        <w:t xml:space="preserve">here </w:t>
      </w:r>
      <w:r w:rsidR="00E111A3" w:rsidRPr="00F4226B">
        <w:rPr>
          <w:rFonts w:ascii="Times New Roman" w:hAnsi="Times New Roman"/>
          <w:bCs/>
          <w:i/>
          <w:sz w:val="24"/>
          <w:szCs w:val="24"/>
          <w:lang w:val="en-US"/>
        </w:rPr>
        <w:t>P</w:t>
      </w:r>
      <w:r w:rsidR="008833C2" w:rsidRPr="00F4226B">
        <w:rPr>
          <w:rFonts w:ascii="Times New Roman" w:hAnsi="Times New Roman"/>
          <w:bCs/>
          <w:i/>
          <w:sz w:val="24"/>
          <w:szCs w:val="24"/>
          <w:lang w:val="en-US"/>
        </w:rPr>
        <w:t>RICE</w:t>
      </w:r>
      <w:r w:rsidR="00262FF6" w:rsidRPr="00F4226B">
        <w:rPr>
          <w:rFonts w:ascii="Times New Roman" w:hAnsi="Times New Roman"/>
          <w:sz w:val="24"/>
          <w:szCs w:val="24"/>
          <w:vertAlign w:val="subscript"/>
          <w:lang w:val="en-US"/>
        </w:rPr>
        <w:t>it</w:t>
      </w:r>
      <w:r w:rsidR="00E111A3" w:rsidRPr="00F4226B">
        <w:rPr>
          <w:rFonts w:ascii="Times New Roman" w:hAnsi="Times New Roman"/>
          <w:bCs/>
          <w:i/>
          <w:sz w:val="24"/>
          <w:szCs w:val="24"/>
          <w:lang w:val="en-US"/>
        </w:rPr>
        <w:t xml:space="preserve"> </w:t>
      </w:r>
      <w:r w:rsidR="00E111A3" w:rsidRPr="00F4226B">
        <w:rPr>
          <w:rFonts w:ascii="Times New Roman" w:hAnsi="Times New Roman"/>
          <w:bCs/>
          <w:sz w:val="24"/>
          <w:szCs w:val="24"/>
          <w:lang w:val="en-US"/>
        </w:rPr>
        <w:t xml:space="preserve">is the price per share </w:t>
      </w:r>
      <w:r w:rsidR="009F21EA" w:rsidRPr="00F4226B">
        <w:rPr>
          <w:rFonts w:ascii="Times New Roman" w:hAnsi="Times New Roman"/>
          <w:bCs/>
          <w:sz w:val="24"/>
          <w:szCs w:val="24"/>
          <w:lang w:val="en-US"/>
        </w:rPr>
        <w:t xml:space="preserve">for firm </w:t>
      </w:r>
      <w:r w:rsidR="009F21EA" w:rsidRPr="00F4226B">
        <w:rPr>
          <w:rFonts w:ascii="Times New Roman" w:hAnsi="Times New Roman"/>
          <w:bCs/>
          <w:i/>
          <w:sz w:val="24"/>
          <w:szCs w:val="24"/>
          <w:lang w:val="en-US"/>
        </w:rPr>
        <w:t>i</w:t>
      </w:r>
      <w:r w:rsidR="009F21EA" w:rsidRPr="00F4226B">
        <w:rPr>
          <w:rFonts w:ascii="Times New Roman" w:hAnsi="Times New Roman"/>
          <w:bCs/>
          <w:sz w:val="24"/>
          <w:szCs w:val="24"/>
          <w:lang w:val="en-US"/>
        </w:rPr>
        <w:t xml:space="preserve"> </w:t>
      </w:r>
      <w:r w:rsidR="00E111A3" w:rsidRPr="00F4226B">
        <w:rPr>
          <w:rFonts w:ascii="Times New Roman" w:hAnsi="Times New Roman"/>
          <w:bCs/>
          <w:sz w:val="24"/>
          <w:szCs w:val="24"/>
          <w:lang w:val="en-US"/>
        </w:rPr>
        <w:t xml:space="preserve">at the end of the </w:t>
      </w:r>
      <w:r w:rsidR="00411DA0">
        <w:rPr>
          <w:rFonts w:ascii="Times New Roman" w:hAnsi="Times New Roman"/>
          <w:bCs/>
          <w:sz w:val="24"/>
          <w:szCs w:val="24"/>
          <w:lang w:val="en-US"/>
        </w:rPr>
        <w:t xml:space="preserve">four </w:t>
      </w:r>
      <w:r w:rsidR="00E111A3" w:rsidRPr="00F4226B">
        <w:rPr>
          <w:rFonts w:ascii="Times New Roman" w:hAnsi="Times New Roman"/>
          <w:bCs/>
          <w:sz w:val="24"/>
          <w:szCs w:val="24"/>
          <w:lang w:val="en-US"/>
        </w:rPr>
        <w:t>month</w:t>
      </w:r>
      <w:r w:rsidR="00411DA0">
        <w:rPr>
          <w:rFonts w:ascii="Times New Roman" w:hAnsi="Times New Roman"/>
          <w:bCs/>
          <w:sz w:val="24"/>
          <w:szCs w:val="24"/>
          <w:lang w:val="en-US"/>
        </w:rPr>
        <w:t>s</w:t>
      </w:r>
      <w:r w:rsidR="00D653D2">
        <w:rPr>
          <w:rFonts w:ascii="Times New Roman" w:hAnsi="Times New Roman"/>
          <w:bCs/>
          <w:sz w:val="24"/>
          <w:szCs w:val="24"/>
          <w:lang w:val="en-US"/>
        </w:rPr>
        <w:t xml:space="preserve"> </w:t>
      </w:r>
      <w:r w:rsidR="00E111A3" w:rsidRPr="00F4226B">
        <w:rPr>
          <w:rFonts w:ascii="Times New Roman" w:hAnsi="Times New Roman"/>
          <w:bCs/>
          <w:sz w:val="24"/>
          <w:szCs w:val="24"/>
          <w:lang w:val="en-US"/>
        </w:rPr>
        <w:t xml:space="preserve">after the fiscal year-end; </w:t>
      </w:r>
      <w:r w:rsidR="00E111A3" w:rsidRPr="00F4226B">
        <w:rPr>
          <w:rFonts w:ascii="Times New Roman" w:hAnsi="Times New Roman"/>
          <w:i/>
          <w:sz w:val="24"/>
          <w:szCs w:val="24"/>
          <w:lang w:val="en-US"/>
        </w:rPr>
        <w:t>E</w:t>
      </w:r>
      <w:r w:rsidR="008833C2" w:rsidRPr="00F4226B">
        <w:rPr>
          <w:rFonts w:ascii="Times New Roman" w:hAnsi="Times New Roman"/>
          <w:i/>
          <w:sz w:val="24"/>
          <w:szCs w:val="24"/>
          <w:lang w:val="en-US"/>
        </w:rPr>
        <w:t>ARNING</w:t>
      </w:r>
      <w:r w:rsidR="00E111A3" w:rsidRPr="00F4226B">
        <w:rPr>
          <w:rFonts w:ascii="Times New Roman" w:hAnsi="Times New Roman"/>
          <w:i/>
          <w:sz w:val="24"/>
          <w:szCs w:val="24"/>
          <w:lang w:val="en-US"/>
        </w:rPr>
        <w:t>S</w:t>
      </w:r>
      <w:r w:rsidR="00262FF6" w:rsidRPr="00F4226B">
        <w:rPr>
          <w:rFonts w:ascii="Times New Roman" w:hAnsi="Times New Roman"/>
          <w:sz w:val="24"/>
          <w:szCs w:val="24"/>
          <w:vertAlign w:val="subscript"/>
          <w:lang w:val="en-US"/>
        </w:rPr>
        <w:t>it</w:t>
      </w:r>
      <w:r w:rsidR="00E111A3" w:rsidRPr="00F4226B">
        <w:rPr>
          <w:rFonts w:ascii="Times New Roman" w:hAnsi="Times New Roman"/>
          <w:sz w:val="24"/>
          <w:szCs w:val="24"/>
          <w:lang w:val="en-US"/>
        </w:rPr>
        <w:t xml:space="preserve"> and </w:t>
      </w:r>
      <w:r w:rsidR="00E111A3" w:rsidRPr="00F4226B">
        <w:rPr>
          <w:rFonts w:ascii="Times New Roman" w:hAnsi="Times New Roman"/>
          <w:i/>
          <w:sz w:val="24"/>
          <w:szCs w:val="24"/>
          <w:lang w:val="en-US"/>
        </w:rPr>
        <w:t>E</w:t>
      </w:r>
      <w:r w:rsidR="008833C2" w:rsidRPr="00F4226B">
        <w:rPr>
          <w:rFonts w:ascii="Times New Roman" w:hAnsi="Times New Roman"/>
          <w:i/>
          <w:sz w:val="24"/>
          <w:szCs w:val="24"/>
          <w:lang w:val="en-US"/>
        </w:rPr>
        <w:t>I</w:t>
      </w:r>
      <w:r w:rsidR="00262FF6" w:rsidRPr="00F4226B">
        <w:rPr>
          <w:rFonts w:ascii="Times New Roman" w:hAnsi="Times New Roman"/>
          <w:i/>
          <w:sz w:val="24"/>
          <w:szCs w:val="24"/>
          <w:lang w:val="en-US"/>
        </w:rPr>
        <w:t>GL</w:t>
      </w:r>
      <w:r w:rsidR="00A10713" w:rsidRPr="00F4226B">
        <w:rPr>
          <w:rFonts w:ascii="Times New Roman" w:hAnsi="Times New Roman"/>
          <w:i/>
          <w:sz w:val="24"/>
          <w:szCs w:val="24"/>
          <w:lang w:val="en-US"/>
        </w:rPr>
        <w:t>S</w:t>
      </w:r>
      <w:r w:rsidR="00262FF6" w:rsidRPr="00F4226B">
        <w:rPr>
          <w:rFonts w:ascii="Times New Roman" w:hAnsi="Times New Roman"/>
          <w:sz w:val="24"/>
          <w:szCs w:val="24"/>
          <w:vertAlign w:val="subscript"/>
          <w:lang w:val="en-US"/>
        </w:rPr>
        <w:t>it</w:t>
      </w:r>
      <w:r w:rsidR="00E111A3" w:rsidRPr="00F4226B">
        <w:rPr>
          <w:rFonts w:ascii="Times New Roman" w:hAnsi="Times New Roman"/>
          <w:i/>
          <w:sz w:val="24"/>
          <w:szCs w:val="24"/>
          <w:lang w:val="en-US"/>
        </w:rPr>
        <w:t xml:space="preserve"> </w:t>
      </w:r>
      <w:r w:rsidR="00E111A3" w:rsidRPr="00F4226B">
        <w:rPr>
          <w:rFonts w:ascii="Times New Roman" w:hAnsi="Times New Roman"/>
          <w:sz w:val="24"/>
          <w:szCs w:val="24"/>
          <w:lang w:val="en-US"/>
        </w:rPr>
        <w:t>are as defined in Equations 1 and 2</w:t>
      </w:r>
      <w:r w:rsidR="00E111A3" w:rsidRPr="00F4226B">
        <w:rPr>
          <w:rFonts w:ascii="Times New Roman" w:hAnsi="Times New Roman"/>
          <w:i/>
          <w:sz w:val="24"/>
          <w:szCs w:val="24"/>
          <w:lang w:val="en-US"/>
        </w:rPr>
        <w:t>; B</w:t>
      </w:r>
      <w:r w:rsidR="00024118" w:rsidRPr="00F4226B">
        <w:rPr>
          <w:rFonts w:ascii="Times New Roman" w:hAnsi="Times New Roman"/>
          <w:i/>
          <w:sz w:val="24"/>
          <w:szCs w:val="24"/>
          <w:lang w:val="en-US"/>
        </w:rPr>
        <w:t xml:space="preserve">OOK </w:t>
      </w:r>
      <w:r w:rsidR="00E111A3" w:rsidRPr="00F4226B">
        <w:rPr>
          <w:rFonts w:ascii="Times New Roman" w:hAnsi="Times New Roman"/>
          <w:i/>
          <w:sz w:val="24"/>
          <w:szCs w:val="24"/>
          <w:lang w:val="en-US"/>
        </w:rPr>
        <w:t>V</w:t>
      </w:r>
      <w:r w:rsidR="00024118" w:rsidRPr="00F4226B">
        <w:rPr>
          <w:rFonts w:ascii="Times New Roman" w:hAnsi="Times New Roman"/>
          <w:i/>
          <w:sz w:val="24"/>
          <w:szCs w:val="24"/>
          <w:lang w:val="en-US"/>
        </w:rPr>
        <w:t>ALUE</w:t>
      </w:r>
      <w:r w:rsidR="00E111A3" w:rsidRPr="00F4226B">
        <w:rPr>
          <w:rFonts w:ascii="Times New Roman" w:hAnsi="Times New Roman"/>
          <w:i/>
          <w:sz w:val="24"/>
          <w:szCs w:val="24"/>
          <w:lang w:val="en-US"/>
        </w:rPr>
        <w:t>S</w:t>
      </w:r>
      <w:r w:rsidRPr="00F4226B">
        <w:rPr>
          <w:rFonts w:ascii="Times New Roman" w:hAnsi="Times New Roman"/>
          <w:sz w:val="24"/>
          <w:szCs w:val="24"/>
          <w:vertAlign w:val="subscript"/>
          <w:lang w:val="en-US"/>
        </w:rPr>
        <w:t>it</w:t>
      </w:r>
      <w:r w:rsidR="00E111A3" w:rsidRPr="00F4226B">
        <w:rPr>
          <w:rFonts w:ascii="Times New Roman" w:hAnsi="Times New Roman"/>
          <w:sz w:val="24"/>
          <w:szCs w:val="24"/>
          <w:lang w:val="en-US"/>
        </w:rPr>
        <w:t xml:space="preserve"> is the reported book value</w:t>
      </w:r>
      <w:r w:rsidR="008C58A9" w:rsidRPr="00F4226B">
        <w:rPr>
          <w:rFonts w:ascii="Times New Roman" w:hAnsi="Times New Roman"/>
          <w:sz w:val="24"/>
          <w:szCs w:val="24"/>
          <w:lang w:val="en-US"/>
        </w:rPr>
        <w:t>s</w:t>
      </w:r>
      <w:r w:rsidR="00E111A3" w:rsidRPr="00F4226B">
        <w:rPr>
          <w:rFonts w:ascii="Times New Roman" w:hAnsi="Times New Roman"/>
          <w:sz w:val="24"/>
          <w:szCs w:val="24"/>
          <w:lang w:val="en-US"/>
        </w:rPr>
        <w:t xml:space="preserve"> of equity per share</w:t>
      </w:r>
      <w:r w:rsidR="00D653D2">
        <w:rPr>
          <w:rFonts w:ascii="Times New Roman" w:hAnsi="Times New Roman"/>
          <w:sz w:val="24"/>
          <w:szCs w:val="24"/>
          <w:lang w:val="en-US"/>
        </w:rPr>
        <w:t>;</w:t>
      </w:r>
      <w:r w:rsidR="00E111A3" w:rsidRPr="00F4226B">
        <w:rPr>
          <w:rFonts w:ascii="Times New Roman" w:hAnsi="Times New Roman"/>
          <w:sz w:val="24"/>
          <w:szCs w:val="24"/>
          <w:lang w:val="en-US"/>
        </w:rPr>
        <w:t xml:space="preserve"> and </w:t>
      </w:r>
      <w:r w:rsidR="00E111A3" w:rsidRPr="00F4226B">
        <w:rPr>
          <w:rFonts w:ascii="Times New Roman" w:hAnsi="Times New Roman"/>
          <w:i/>
          <w:sz w:val="24"/>
          <w:szCs w:val="24"/>
          <w:lang w:val="en-US"/>
        </w:rPr>
        <w:t>BV</w:t>
      </w:r>
      <w:r w:rsidR="008C58A9" w:rsidRPr="00F4226B">
        <w:rPr>
          <w:rFonts w:ascii="Times New Roman" w:hAnsi="Times New Roman"/>
          <w:i/>
          <w:sz w:val="24"/>
          <w:szCs w:val="24"/>
          <w:lang w:val="en-US"/>
        </w:rPr>
        <w:t>I</w:t>
      </w:r>
      <w:r w:rsidRPr="00F4226B">
        <w:rPr>
          <w:rFonts w:ascii="Times New Roman" w:hAnsi="Times New Roman"/>
          <w:i/>
          <w:sz w:val="24"/>
          <w:szCs w:val="24"/>
          <w:lang w:val="en-US"/>
        </w:rPr>
        <w:t>GL</w:t>
      </w:r>
      <w:r w:rsidR="00A10713" w:rsidRPr="00F4226B">
        <w:rPr>
          <w:rFonts w:ascii="Times New Roman" w:hAnsi="Times New Roman"/>
          <w:i/>
          <w:sz w:val="24"/>
          <w:szCs w:val="24"/>
          <w:lang w:val="en-US"/>
        </w:rPr>
        <w:t>S</w:t>
      </w:r>
      <w:r w:rsidRPr="00F4226B">
        <w:rPr>
          <w:rFonts w:ascii="Times New Roman" w:hAnsi="Times New Roman"/>
          <w:sz w:val="24"/>
          <w:szCs w:val="24"/>
          <w:vertAlign w:val="subscript"/>
          <w:lang w:val="en-US"/>
        </w:rPr>
        <w:t xml:space="preserve">it </w:t>
      </w:r>
      <w:r w:rsidR="00E111A3" w:rsidRPr="00F4226B">
        <w:rPr>
          <w:rFonts w:ascii="Times New Roman" w:hAnsi="Times New Roman"/>
          <w:sz w:val="24"/>
          <w:szCs w:val="24"/>
          <w:lang w:val="en-US"/>
        </w:rPr>
        <w:t>is the</w:t>
      </w:r>
      <w:r w:rsidR="00E111A3" w:rsidRPr="00F4226B">
        <w:rPr>
          <w:rFonts w:ascii="Times New Roman" w:hAnsi="Times New Roman"/>
          <w:i/>
          <w:sz w:val="24"/>
          <w:szCs w:val="24"/>
          <w:lang w:val="en-US"/>
        </w:rPr>
        <w:t xml:space="preserve"> </w:t>
      </w:r>
      <w:r w:rsidR="00F4226B" w:rsidRPr="00F4226B">
        <w:rPr>
          <w:rFonts w:ascii="Times New Roman" w:hAnsi="Times New Roman"/>
          <w:sz w:val="24"/>
          <w:szCs w:val="24"/>
          <w:lang w:val="en-US"/>
        </w:rPr>
        <w:t>recognized</w:t>
      </w:r>
      <w:r w:rsidR="008C58A9" w:rsidRPr="00F4226B">
        <w:rPr>
          <w:rFonts w:ascii="Times New Roman" w:hAnsi="Times New Roman"/>
          <w:sz w:val="24"/>
          <w:szCs w:val="24"/>
          <w:lang w:val="en-US"/>
        </w:rPr>
        <w:t xml:space="preserve"> inflation gains and </w:t>
      </w:r>
      <w:r w:rsidR="008C58A9" w:rsidRPr="00F4226B">
        <w:rPr>
          <w:rFonts w:ascii="Times New Roman" w:hAnsi="Times New Roman"/>
          <w:sz w:val="24"/>
          <w:szCs w:val="24"/>
          <w:lang w:val="en-US"/>
        </w:rPr>
        <w:lastRenderedPageBreak/>
        <w:t xml:space="preserve">losses </w:t>
      </w:r>
      <w:r w:rsidR="00E111A3" w:rsidRPr="00F4226B">
        <w:rPr>
          <w:rFonts w:ascii="Times New Roman" w:hAnsi="Times New Roman"/>
          <w:sz w:val="24"/>
          <w:szCs w:val="24"/>
          <w:lang w:val="en-US"/>
        </w:rPr>
        <w:t xml:space="preserve">in </w:t>
      </w:r>
      <w:r w:rsidR="008C58A9" w:rsidRPr="00F4226B">
        <w:rPr>
          <w:rFonts w:ascii="Times New Roman" w:hAnsi="Times New Roman"/>
          <w:sz w:val="24"/>
          <w:szCs w:val="24"/>
          <w:lang w:val="en-US"/>
        </w:rPr>
        <w:t xml:space="preserve">equity </w:t>
      </w:r>
      <w:r w:rsidR="00E111A3" w:rsidRPr="00F4226B">
        <w:rPr>
          <w:rFonts w:ascii="Times New Roman" w:hAnsi="Times New Roman"/>
          <w:sz w:val="24"/>
          <w:szCs w:val="24"/>
          <w:lang w:val="en-US"/>
        </w:rPr>
        <w:t>book value</w:t>
      </w:r>
      <w:r w:rsidR="00004842" w:rsidRPr="00F4226B">
        <w:rPr>
          <w:rFonts w:ascii="Times New Roman" w:hAnsi="Times New Roman"/>
          <w:sz w:val="24"/>
          <w:szCs w:val="24"/>
          <w:lang w:val="en-US"/>
        </w:rPr>
        <w:t>s</w:t>
      </w:r>
      <w:r w:rsidR="00E111A3" w:rsidRPr="00F4226B">
        <w:rPr>
          <w:rFonts w:ascii="Times New Roman" w:hAnsi="Times New Roman"/>
          <w:sz w:val="24"/>
          <w:szCs w:val="24"/>
          <w:lang w:val="en-US"/>
        </w:rPr>
        <w:t xml:space="preserve"> </w:t>
      </w:r>
      <w:r w:rsidR="003324A8" w:rsidRPr="00F4226B">
        <w:rPr>
          <w:rFonts w:ascii="Times New Roman" w:hAnsi="Times New Roman"/>
          <w:sz w:val="24"/>
          <w:szCs w:val="24"/>
          <w:lang w:val="en-US"/>
        </w:rPr>
        <w:t>(</w:t>
      </w:r>
      <w:r w:rsidR="008C58A9" w:rsidRPr="00F4226B">
        <w:rPr>
          <w:rFonts w:ascii="Times New Roman" w:hAnsi="Times New Roman"/>
          <w:sz w:val="24"/>
          <w:szCs w:val="24"/>
          <w:lang w:val="en-US"/>
        </w:rPr>
        <w:t xml:space="preserve">i.e., </w:t>
      </w:r>
      <w:r w:rsidR="00D653D2">
        <w:rPr>
          <w:rFonts w:ascii="Times New Roman" w:hAnsi="Times New Roman"/>
          <w:sz w:val="24"/>
          <w:szCs w:val="24"/>
          <w:lang w:val="en-US"/>
        </w:rPr>
        <w:t xml:space="preserve">the </w:t>
      </w:r>
      <w:r w:rsidR="00E111A3" w:rsidRPr="00F4226B">
        <w:rPr>
          <w:rFonts w:ascii="Times New Roman" w:hAnsi="Times New Roman"/>
          <w:sz w:val="24"/>
          <w:szCs w:val="24"/>
          <w:lang w:val="en-US"/>
        </w:rPr>
        <w:t xml:space="preserve">difference between HC and IA </w:t>
      </w:r>
      <w:r w:rsidR="008C58A9" w:rsidRPr="00F4226B">
        <w:rPr>
          <w:rFonts w:ascii="Times New Roman" w:hAnsi="Times New Roman"/>
          <w:sz w:val="24"/>
          <w:szCs w:val="24"/>
          <w:lang w:val="en-US"/>
        </w:rPr>
        <w:t xml:space="preserve">equity </w:t>
      </w:r>
      <w:r w:rsidR="00E111A3" w:rsidRPr="00F4226B">
        <w:rPr>
          <w:rFonts w:ascii="Times New Roman" w:hAnsi="Times New Roman"/>
          <w:sz w:val="24"/>
          <w:szCs w:val="24"/>
          <w:lang w:val="en-US"/>
        </w:rPr>
        <w:t>book value</w:t>
      </w:r>
      <w:r w:rsidR="00004842" w:rsidRPr="00F4226B">
        <w:rPr>
          <w:rFonts w:ascii="Times New Roman" w:hAnsi="Times New Roman"/>
          <w:sz w:val="24"/>
          <w:szCs w:val="24"/>
          <w:lang w:val="en-US"/>
        </w:rPr>
        <w:t>s</w:t>
      </w:r>
      <w:r w:rsidR="00E111A3" w:rsidRPr="00F4226B">
        <w:rPr>
          <w:rFonts w:ascii="Times New Roman" w:hAnsi="Times New Roman"/>
          <w:sz w:val="24"/>
          <w:szCs w:val="24"/>
          <w:lang w:val="en-US"/>
        </w:rPr>
        <w:t>)</w:t>
      </w:r>
      <w:r w:rsidR="00E111A3" w:rsidRPr="00F4226B">
        <w:rPr>
          <w:rFonts w:ascii="Times New Roman" w:hAnsi="Times New Roman"/>
          <w:i/>
          <w:sz w:val="24"/>
          <w:szCs w:val="24"/>
          <w:lang w:val="en-US"/>
        </w:rPr>
        <w:t xml:space="preserve">. </w:t>
      </w:r>
      <w:r w:rsidR="006B67CA" w:rsidRPr="00F4226B">
        <w:rPr>
          <w:rFonts w:ascii="Times New Roman" w:hAnsi="Times New Roman"/>
          <w:sz w:val="24"/>
          <w:szCs w:val="24"/>
          <w:lang w:val="en-US"/>
        </w:rPr>
        <w:t>A</w:t>
      </w:r>
      <w:r w:rsidR="00E111A3" w:rsidRPr="00F4226B">
        <w:rPr>
          <w:rFonts w:ascii="Times New Roman" w:hAnsi="Times New Roman"/>
          <w:sz w:val="24"/>
          <w:szCs w:val="24"/>
          <w:lang w:val="en-US"/>
        </w:rPr>
        <w:t xml:space="preserve">ll variables </w:t>
      </w:r>
      <w:r w:rsidR="006B67CA" w:rsidRPr="00F4226B">
        <w:rPr>
          <w:rFonts w:ascii="Times New Roman" w:hAnsi="Times New Roman"/>
          <w:sz w:val="24"/>
          <w:szCs w:val="24"/>
          <w:lang w:val="en-US"/>
        </w:rPr>
        <w:t xml:space="preserve">are deflated by the </w:t>
      </w:r>
      <w:r w:rsidR="00E111A3" w:rsidRPr="00F4226B">
        <w:rPr>
          <w:rFonts w:ascii="Times New Roman" w:hAnsi="Times New Roman"/>
          <w:sz w:val="24"/>
          <w:szCs w:val="24"/>
          <w:lang w:val="en-US"/>
        </w:rPr>
        <w:t>s</w:t>
      </w:r>
      <w:r w:rsidR="00EA6329" w:rsidRPr="00F4226B">
        <w:rPr>
          <w:rFonts w:ascii="Times New Roman" w:hAnsi="Times New Roman"/>
          <w:sz w:val="24"/>
          <w:szCs w:val="24"/>
          <w:lang w:val="en-US"/>
        </w:rPr>
        <w:t xml:space="preserve">tock </w:t>
      </w:r>
      <w:r w:rsidR="00E111A3" w:rsidRPr="00F4226B">
        <w:rPr>
          <w:rFonts w:ascii="Times New Roman" w:hAnsi="Times New Roman"/>
          <w:sz w:val="24"/>
          <w:szCs w:val="24"/>
          <w:lang w:val="en-US"/>
        </w:rPr>
        <w:t xml:space="preserve">price at the </w:t>
      </w:r>
      <w:r w:rsidR="003324A8" w:rsidRPr="00F4226B">
        <w:rPr>
          <w:rFonts w:ascii="Times New Roman" w:hAnsi="Times New Roman"/>
          <w:sz w:val="24"/>
          <w:szCs w:val="24"/>
          <w:lang w:val="en-US"/>
        </w:rPr>
        <w:t>start of the firm’s fiscal year</w:t>
      </w:r>
      <w:r w:rsidR="00E111A3" w:rsidRPr="00F4226B">
        <w:rPr>
          <w:rFonts w:ascii="Times New Roman" w:hAnsi="Times New Roman"/>
          <w:sz w:val="24"/>
          <w:szCs w:val="24"/>
          <w:lang w:val="en-US"/>
        </w:rPr>
        <w:t>.</w:t>
      </w:r>
    </w:p>
    <w:p w14:paraId="5B1C5172" w14:textId="664963F1" w:rsidR="00BB742F" w:rsidRPr="00F4226B" w:rsidRDefault="00EE7651" w:rsidP="003B13CE">
      <w:pPr>
        <w:spacing w:line="360" w:lineRule="auto"/>
        <w:ind w:firstLine="284"/>
        <w:jc w:val="both"/>
        <w:rPr>
          <w:rFonts w:ascii="Times New Roman" w:hAnsi="Times New Roman"/>
          <w:bCs/>
          <w:sz w:val="24"/>
          <w:szCs w:val="24"/>
          <w:lang w:val="en-US"/>
        </w:rPr>
      </w:pPr>
      <w:r w:rsidRPr="00F4226B">
        <w:rPr>
          <w:rFonts w:ascii="Times New Roman" w:hAnsi="Times New Roman"/>
          <w:sz w:val="24"/>
          <w:szCs w:val="24"/>
          <w:lang w:val="en-US"/>
        </w:rPr>
        <w:t xml:space="preserve">For </w:t>
      </w:r>
      <w:r w:rsidR="00D653D2">
        <w:rPr>
          <w:rFonts w:ascii="Times New Roman" w:hAnsi="Times New Roman"/>
          <w:sz w:val="24"/>
          <w:szCs w:val="24"/>
          <w:lang w:val="en-US"/>
        </w:rPr>
        <w:t>E</w:t>
      </w:r>
      <w:r w:rsidRPr="00F4226B">
        <w:rPr>
          <w:rFonts w:ascii="Times New Roman" w:hAnsi="Times New Roman"/>
          <w:sz w:val="24"/>
          <w:szCs w:val="24"/>
          <w:lang w:val="en-US"/>
        </w:rPr>
        <w:t>quation</w:t>
      </w:r>
      <w:r w:rsidR="00B877A4" w:rsidRPr="00F4226B">
        <w:rPr>
          <w:rFonts w:ascii="Times New Roman" w:hAnsi="Times New Roman"/>
          <w:sz w:val="24"/>
          <w:szCs w:val="24"/>
          <w:lang w:val="en-US"/>
        </w:rPr>
        <w:t>s</w:t>
      </w:r>
      <w:r w:rsidRPr="00F4226B">
        <w:rPr>
          <w:rFonts w:ascii="Times New Roman" w:hAnsi="Times New Roman"/>
          <w:sz w:val="24"/>
          <w:szCs w:val="24"/>
          <w:lang w:val="en-US"/>
        </w:rPr>
        <w:t xml:space="preserve"> 1</w:t>
      </w:r>
      <w:r w:rsidR="00667E01" w:rsidRPr="00F4226B">
        <w:rPr>
          <w:rFonts w:ascii="Times New Roman" w:hAnsi="Times New Roman"/>
          <w:sz w:val="24"/>
          <w:szCs w:val="24"/>
          <w:lang w:val="en-US"/>
        </w:rPr>
        <w:t xml:space="preserve"> and 3</w:t>
      </w:r>
      <w:r w:rsidRPr="00F4226B">
        <w:rPr>
          <w:rFonts w:ascii="Times New Roman" w:hAnsi="Times New Roman"/>
          <w:sz w:val="24"/>
          <w:szCs w:val="24"/>
          <w:lang w:val="en-US"/>
        </w:rPr>
        <w:t xml:space="preserve">, </w:t>
      </w:r>
      <w:r w:rsidR="001F46D1" w:rsidRPr="00F4226B">
        <w:rPr>
          <w:rFonts w:ascii="Times New Roman" w:hAnsi="Times New Roman"/>
          <w:sz w:val="24"/>
          <w:szCs w:val="24"/>
          <w:lang w:val="en-US"/>
        </w:rPr>
        <w:t xml:space="preserve">we </w:t>
      </w:r>
      <w:r w:rsidRPr="00F4226B">
        <w:rPr>
          <w:rFonts w:ascii="Times New Roman" w:hAnsi="Times New Roman"/>
          <w:sz w:val="24"/>
          <w:szCs w:val="24"/>
          <w:lang w:val="en-US"/>
        </w:rPr>
        <w:t xml:space="preserve">run two nonnested regression models, each </w:t>
      </w:r>
      <w:r w:rsidR="001F46D1" w:rsidRPr="00F4226B">
        <w:rPr>
          <w:rFonts w:ascii="Times New Roman" w:hAnsi="Times New Roman"/>
          <w:sz w:val="24"/>
          <w:szCs w:val="24"/>
          <w:lang w:val="en-US"/>
        </w:rPr>
        <w:t xml:space="preserve">separately </w:t>
      </w:r>
      <w:r w:rsidR="00A653F1" w:rsidRPr="00F4226B">
        <w:rPr>
          <w:rFonts w:ascii="Times New Roman" w:hAnsi="Times New Roman"/>
          <w:sz w:val="24"/>
          <w:szCs w:val="24"/>
          <w:lang w:val="en-US"/>
        </w:rPr>
        <w:t xml:space="preserve">testing </w:t>
      </w:r>
      <w:r w:rsidR="003A740D" w:rsidRPr="00F4226B">
        <w:rPr>
          <w:rFonts w:ascii="Times New Roman" w:hAnsi="Times New Roman"/>
          <w:sz w:val="24"/>
          <w:szCs w:val="24"/>
          <w:lang w:val="en-US"/>
        </w:rPr>
        <w:t xml:space="preserve">whether </w:t>
      </w:r>
      <w:r w:rsidRPr="00F4226B">
        <w:rPr>
          <w:rFonts w:ascii="Times New Roman" w:hAnsi="Times New Roman"/>
          <w:sz w:val="24"/>
          <w:szCs w:val="24"/>
          <w:lang w:val="en-US"/>
        </w:rPr>
        <w:t>HC and</w:t>
      </w:r>
      <w:r w:rsidR="001F46D1" w:rsidRPr="00F4226B">
        <w:rPr>
          <w:rFonts w:ascii="Times New Roman" w:hAnsi="Times New Roman"/>
          <w:sz w:val="24"/>
          <w:szCs w:val="24"/>
          <w:lang w:val="en-US"/>
        </w:rPr>
        <w:t xml:space="preserve"> </w:t>
      </w:r>
      <w:r w:rsidR="003A740D" w:rsidRPr="00F4226B">
        <w:rPr>
          <w:rFonts w:ascii="Times New Roman" w:hAnsi="Times New Roman"/>
          <w:sz w:val="24"/>
          <w:szCs w:val="24"/>
          <w:lang w:val="en-US"/>
        </w:rPr>
        <w:t xml:space="preserve">IA </w:t>
      </w:r>
      <w:r w:rsidR="004C6E3C" w:rsidRPr="00F4226B">
        <w:rPr>
          <w:rFonts w:ascii="Times New Roman" w:hAnsi="Times New Roman"/>
          <w:sz w:val="24"/>
          <w:szCs w:val="24"/>
          <w:lang w:val="en-US"/>
        </w:rPr>
        <w:t xml:space="preserve">amounts </w:t>
      </w:r>
      <w:r w:rsidR="003A740D" w:rsidRPr="00F4226B">
        <w:rPr>
          <w:rFonts w:ascii="Times New Roman" w:hAnsi="Times New Roman"/>
          <w:sz w:val="24"/>
          <w:szCs w:val="24"/>
          <w:lang w:val="en-US"/>
        </w:rPr>
        <w:t>are value relevant</w:t>
      </w:r>
      <w:r w:rsidRPr="00F4226B">
        <w:rPr>
          <w:rFonts w:ascii="Times New Roman" w:hAnsi="Times New Roman"/>
          <w:sz w:val="24"/>
          <w:szCs w:val="24"/>
          <w:lang w:val="en-US"/>
        </w:rPr>
        <w:t>. We then compare</w:t>
      </w:r>
      <w:r w:rsidR="003262C8" w:rsidRPr="00F4226B">
        <w:rPr>
          <w:rFonts w:ascii="Times New Roman" w:hAnsi="Times New Roman"/>
          <w:sz w:val="24"/>
          <w:szCs w:val="24"/>
          <w:lang w:val="en-US"/>
        </w:rPr>
        <w:t xml:space="preserve">, using the Vuong (1989) test, </w:t>
      </w:r>
      <w:r w:rsidR="00F943DB" w:rsidRPr="00F4226B">
        <w:rPr>
          <w:rFonts w:ascii="Times New Roman" w:hAnsi="Times New Roman"/>
          <w:sz w:val="24"/>
          <w:szCs w:val="24"/>
          <w:lang w:val="en-US"/>
        </w:rPr>
        <w:t xml:space="preserve">the </w:t>
      </w:r>
      <w:r w:rsidRPr="00F4226B">
        <w:rPr>
          <w:rFonts w:ascii="Times New Roman" w:hAnsi="Times New Roman"/>
          <w:sz w:val="24"/>
          <w:szCs w:val="24"/>
          <w:lang w:val="en-US"/>
        </w:rPr>
        <w:t xml:space="preserve">adjusted </w:t>
      </w:r>
      <w:r w:rsidR="00F943DB" w:rsidRPr="00F4226B">
        <w:rPr>
          <w:rFonts w:ascii="Times New Roman" w:hAnsi="Times New Roman"/>
          <w:sz w:val="24"/>
          <w:szCs w:val="24"/>
          <w:lang w:val="en-US"/>
        </w:rPr>
        <w:t>R</w:t>
      </w:r>
      <w:r w:rsidR="00F943DB" w:rsidRPr="00F4226B">
        <w:rPr>
          <w:rFonts w:ascii="Times New Roman" w:hAnsi="Times New Roman"/>
          <w:sz w:val="24"/>
          <w:szCs w:val="24"/>
          <w:vertAlign w:val="superscript"/>
          <w:lang w:val="en-US"/>
        </w:rPr>
        <w:t>2</w:t>
      </w:r>
      <w:r w:rsidR="00F943DB" w:rsidRPr="00F4226B">
        <w:rPr>
          <w:rFonts w:ascii="Times New Roman" w:hAnsi="Times New Roman"/>
          <w:sz w:val="24"/>
          <w:szCs w:val="24"/>
          <w:lang w:val="en-US"/>
        </w:rPr>
        <w:t xml:space="preserve">s of </w:t>
      </w:r>
      <w:r w:rsidR="009C5A23" w:rsidRPr="00F4226B">
        <w:rPr>
          <w:rFonts w:ascii="Times New Roman" w:hAnsi="Times New Roman"/>
          <w:sz w:val="24"/>
          <w:szCs w:val="24"/>
          <w:lang w:val="en-US"/>
        </w:rPr>
        <w:t xml:space="preserve">the </w:t>
      </w:r>
      <w:r w:rsidR="00F943DB" w:rsidRPr="00F4226B">
        <w:rPr>
          <w:rFonts w:ascii="Times New Roman" w:hAnsi="Times New Roman"/>
          <w:sz w:val="24"/>
          <w:szCs w:val="24"/>
          <w:lang w:val="en-US"/>
        </w:rPr>
        <w:t>two models</w:t>
      </w:r>
      <w:r w:rsidRPr="00F4226B">
        <w:rPr>
          <w:rFonts w:ascii="Times New Roman" w:hAnsi="Times New Roman"/>
          <w:sz w:val="24"/>
          <w:szCs w:val="24"/>
          <w:lang w:val="en-US"/>
        </w:rPr>
        <w:t xml:space="preserve"> to determine which </w:t>
      </w:r>
      <w:r w:rsidR="009C5A23" w:rsidRPr="00F4226B">
        <w:rPr>
          <w:rFonts w:ascii="Times New Roman" w:hAnsi="Times New Roman"/>
          <w:sz w:val="24"/>
          <w:szCs w:val="24"/>
          <w:lang w:val="en-US"/>
        </w:rPr>
        <w:t xml:space="preserve">one </w:t>
      </w:r>
      <w:r w:rsidR="00704BEB" w:rsidRPr="00F4226B">
        <w:rPr>
          <w:rFonts w:ascii="Times New Roman" w:hAnsi="Times New Roman"/>
          <w:sz w:val="24"/>
          <w:szCs w:val="24"/>
          <w:lang w:val="en-US"/>
        </w:rPr>
        <w:t>is</w:t>
      </w:r>
      <w:r w:rsidRPr="00F4226B">
        <w:rPr>
          <w:rFonts w:ascii="Times New Roman" w:hAnsi="Times New Roman"/>
          <w:sz w:val="24"/>
          <w:szCs w:val="24"/>
          <w:lang w:val="en-US"/>
        </w:rPr>
        <w:t xml:space="preserve"> more value relevant</w:t>
      </w:r>
      <w:r w:rsidR="00F943DB" w:rsidRPr="00F4226B">
        <w:rPr>
          <w:rFonts w:ascii="Times New Roman" w:hAnsi="Times New Roman"/>
          <w:sz w:val="24"/>
          <w:szCs w:val="24"/>
          <w:lang w:val="en-US"/>
        </w:rPr>
        <w:t xml:space="preserve">. </w:t>
      </w:r>
      <w:r w:rsidR="003262C8" w:rsidRPr="00F4226B">
        <w:rPr>
          <w:rFonts w:ascii="Times New Roman" w:hAnsi="Times New Roman"/>
          <w:sz w:val="24"/>
          <w:szCs w:val="24"/>
          <w:lang w:val="en-US"/>
        </w:rPr>
        <w:t xml:space="preserve">The Vuong test is designed to compare two models’ fit to the same data by maximum likelihood (Dechow 1994). The null hypothesis is that </w:t>
      </w:r>
      <w:r w:rsidR="00630DFA" w:rsidRPr="00F4226B">
        <w:rPr>
          <w:rFonts w:ascii="Times New Roman" w:hAnsi="Times New Roman"/>
          <w:sz w:val="24"/>
          <w:szCs w:val="24"/>
          <w:lang w:val="en-US"/>
        </w:rPr>
        <w:t>the value relevance of</w:t>
      </w:r>
      <w:r w:rsidR="003262C8" w:rsidRPr="00F4226B">
        <w:rPr>
          <w:rFonts w:ascii="Times New Roman" w:hAnsi="Times New Roman"/>
          <w:sz w:val="24"/>
          <w:szCs w:val="24"/>
          <w:lang w:val="en-US"/>
        </w:rPr>
        <w:t xml:space="preserve"> HC and IA </w:t>
      </w:r>
      <w:r w:rsidR="007E0A5F" w:rsidRPr="00F4226B">
        <w:rPr>
          <w:rFonts w:ascii="Times New Roman" w:hAnsi="Times New Roman"/>
          <w:sz w:val="24"/>
          <w:szCs w:val="24"/>
          <w:lang w:val="en-US"/>
        </w:rPr>
        <w:t xml:space="preserve">amounts </w:t>
      </w:r>
      <w:r w:rsidR="003262C8" w:rsidRPr="00F4226B">
        <w:rPr>
          <w:rFonts w:ascii="Times New Roman" w:hAnsi="Times New Roman"/>
          <w:sz w:val="24"/>
          <w:szCs w:val="24"/>
          <w:lang w:val="en-US"/>
        </w:rPr>
        <w:t xml:space="preserve">are </w:t>
      </w:r>
      <w:r w:rsidR="00630DFA" w:rsidRPr="00F4226B">
        <w:rPr>
          <w:rFonts w:ascii="Times New Roman" w:hAnsi="Times New Roman"/>
          <w:sz w:val="24"/>
          <w:szCs w:val="24"/>
          <w:lang w:val="en-US"/>
        </w:rPr>
        <w:t>equal</w:t>
      </w:r>
      <w:r w:rsidR="003262C8" w:rsidRPr="00F4226B">
        <w:rPr>
          <w:rFonts w:ascii="Times New Roman" w:hAnsi="Times New Roman"/>
          <w:sz w:val="24"/>
          <w:szCs w:val="24"/>
          <w:lang w:val="en-US"/>
        </w:rPr>
        <w:t>. A significant Vuong’</w:t>
      </w:r>
      <w:r w:rsidR="00D36592" w:rsidRPr="00F4226B">
        <w:rPr>
          <w:rFonts w:ascii="Times New Roman" w:hAnsi="Times New Roman"/>
          <w:sz w:val="24"/>
          <w:szCs w:val="24"/>
          <w:lang w:val="en-US"/>
        </w:rPr>
        <w:t>s</w:t>
      </w:r>
      <w:r w:rsidR="003262C8" w:rsidRPr="00F4226B">
        <w:rPr>
          <w:rFonts w:ascii="Times New Roman" w:hAnsi="Times New Roman"/>
          <w:sz w:val="24"/>
          <w:szCs w:val="24"/>
          <w:lang w:val="en-US"/>
        </w:rPr>
        <w:t xml:space="preserve"> Z-statistic indicates that one model fits the data better </w:t>
      </w:r>
      <w:r w:rsidR="00A653F1">
        <w:rPr>
          <w:rFonts w:ascii="Times New Roman" w:hAnsi="Times New Roman"/>
          <w:sz w:val="24"/>
          <w:szCs w:val="24"/>
          <w:lang w:val="en-US"/>
        </w:rPr>
        <w:t>than</w:t>
      </w:r>
      <w:r w:rsidR="003262C8" w:rsidRPr="00F4226B">
        <w:rPr>
          <w:rFonts w:ascii="Times New Roman" w:hAnsi="Times New Roman"/>
          <w:sz w:val="24"/>
          <w:szCs w:val="24"/>
          <w:lang w:val="en-US"/>
        </w:rPr>
        <w:t xml:space="preserve"> the other. </w:t>
      </w:r>
      <w:r w:rsidR="00937E7C" w:rsidRPr="00F4226B">
        <w:rPr>
          <w:rFonts w:ascii="Times New Roman" w:hAnsi="Times New Roman"/>
          <w:sz w:val="24"/>
          <w:szCs w:val="24"/>
          <w:lang w:val="en-US"/>
        </w:rPr>
        <w:t xml:space="preserve">In </w:t>
      </w:r>
      <w:r w:rsidR="00D653D2">
        <w:rPr>
          <w:rFonts w:ascii="Times New Roman" w:hAnsi="Times New Roman"/>
          <w:sz w:val="24"/>
          <w:szCs w:val="24"/>
          <w:lang w:val="en-US"/>
        </w:rPr>
        <w:t>E</w:t>
      </w:r>
      <w:r w:rsidRPr="00F4226B">
        <w:rPr>
          <w:rFonts w:ascii="Times New Roman" w:hAnsi="Times New Roman"/>
          <w:sz w:val="24"/>
          <w:szCs w:val="24"/>
          <w:lang w:val="en-US"/>
        </w:rPr>
        <w:t>quation</w:t>
      </w:r>
      <w:r w:rsidR="00B877A4" w:rsidRPr="00F4226B">
        <w:rPr>
          <w:rFonts w:ascii="Times New Roman" w:hAnsi="Times New Roman"/>
          <w:sz w:val="24"/>
          <w:szCs w:val="24"/>
          <w:lang w:val="en-US"/>
        </w:rPr>
        <w:t>s</w:t>
      </w:r>
      <w:r w:rsidRPr="00F4226B">
        <w:rPr>
          <w:rFonts w:ascii="Times New Roman" w:hAnsi="Times New Roman"/>
          <w:sz w:val="24"/>
          <w:szCs w:val="24"/>
          <w:lang w:val="en-US"/>
        </w:rPr>
        <w:t xml:space="preserve"> </w:t>
      </w:r>
      <w:r w:rsidR="001F46D1" w:rsidRPr="00F4226B">
        <w:rPr>
          <w:rFonts w:ascii="Times New Roman" w:hAnsi="Times New Roman"/>
          <w:sz w:val="24"/>
          <w:szCs w:val="24"/>
          <w:lang w:val="en-US"/>
        </w:rPr>
        <w:t>2</w:t>
      </w:r>
      <w:r w:rsidR="00667E01" w:rsidRPr="00F4226B">
        <w:rPr>
          <w:rFonts w:ascii="Times New Roman" w:hAnsi="Times New Roman"/>
          <w:sz w:val="24"/>
          <w:szCs w:val="24"/>
          <w:lang w:val="en-US"/>
        </w:rPr>
        <w:t xml:space="preserve"> and 4</w:t>
      </w:r>
      <w:r w:rsidR="00937E7C" w:rsidRPr="00F4226B">
        <w:rPr>
          <w:rFonts w:ascii="Times New Roman" w:hAnsi="Times New Roman"/>
          <w:sz w:val="24"/>
          <w:szCs w:val="24"/>
          <w:lang w:val="en-US"/>
        </w:rPr>
        <w:t xml:space="preserve">, we </w:t>
      </w:r>
      <w:r w:rsidR="003A740D" w:rsidRPr="00F4226B">
        <w:rPr>
          <w:rFonts w:ascii="Times New Roman" w:hAnsi="Times New Roman"/>
          <w:sz w:val="24"/>
          <w:szCs w:val="24"/>
          <w:lang w:val="en-US"/>
        </w:rPr>
        <w:t xml:space="preserve">examine whether </w:t>
      </w:r>
      <w:r w:rsidR="00667E01" w:rsidRPr="00F4226B">
        <w:rPr>
          <w:rFonts w:ascii="Times New Roman" w:hAnsi="Times New Roman"/>
          <w:sz w:val="24"/>
          <w:szCs w:val="24"/>
          <w:lang w:val="en-US"/>
        </w:rPr>
        <w:t>inflation gains and losses</w:t>
      </w:r>
      <w:r w:rsidR="00625555" w:rsidRPr="00F4226B">
        <w:rPr>
          <w:rFonts w:ascii="Times New Roman" w:hAnsi="Times New Roman"/>
          <w:sz w:val="24"/>
          <w:szCs w:val="24"/>
          <w:lang w:val="en-US"/>
        </w:rPr>
        <w:t xml:space="preserve"> in earnings (</w:t>
      </w:r>
      <w:r w:rsidR="00625555" w:rsidRPr="00F4226B">
        <w:rPr>
          <w:rFonts w:ascii="Times New Roman" w:hAnsi="Times New Roman"/>
          <w:i/>
          <w:sz w:val="24"/>
          <w:szCs w:val="24"/>
          <w:lang w:val="en-US"/>
        </w:rPr>
        <w:t>EIGLS</w:t>
      </w:r>
      <w:r w:rsidR="00625555" w:rsidRPr="00F4226B">
        <w:rPr>
          <w:rFonts w:ascii="Times New Roman" w:hAnsi="Times New Roman"/>
          <w:sz w:val="24"/>
          <w:szCs w:val="24"/>
          <w:vertAlign w:val="subscript"/>
          <w:lang w:val="en-US"/>
        </w:rPr>
        <w:t>it</w:t>
      </w:r>
      <w:r w:rsidR="00625555" w:rsidRPr="00F4226B">
        <w:rPr>
          <w:rFonts w:ascii="Times New Roman" w:hAnsi="Times New Roman"/>
          <w:sz w:val="24"/>
          <w:szCs w:val="24"/>
          <w:lang w:val="en-US"/>
        </w:rPr>
        <w:t>)</w:t>
      </w:r>
      <w:r w:rsidR="00686263">
        <w:rPr>
          <w:rFonts w:ascii="Times New Roman" w:hAnsi="Times New Roman"/>
          <w:sz w:val="24"/>
          <w:szCs w:val="24"/>
          <w:lang w:val="en-US"/>
        </w:rPr>
        <w:t>,</w:t>
      </w:r>
      <w:r w:rsidR="00625555" w:rsidRPr="00F4226B">
        <w:rPr>
          <w:rFonts w:ascii="Times New Roman" w:hAnsi="Times New Roman"/>
          <w:sz w:val="24"/>
          <w:szCs w:val="24"/>
          <w:lang w:val="en-US"/>
        </w:rPr>
        <w:t xml:space="preserve"> and in both</w:t>
      </w:r>
      <w:r w:rsidR="00686263">
        <w:rPr>
          <w:rFonts w:ascii="Times New Roman" w:hAnsi="Times New Roman"/>
          <w:sz w:val="24"/>
          <w:szCs w:val="24"/>
          <w:lang w:val="en-US"/>
        </w:rPr>
        <w:t>,</w:t>
      </w:r>
      <w:r w:rsidR="00625555" w:rsidRPr="00F4226B">
        <w:rPr>
          <w:rFonts w:ascii="Times New Roman" w:hAnsi="Times New Roman"/>
          <w:sz w:val="24"/>
          <w:szCs w:val="24"/>
          <w:lang w:val="en-US"/>
        </w:rPr>
        <w:t xml:space="preserve"> earnings and </w:t>
      </w:r>
      <w:r w:rsidR="008C58A9" w:rsidRPr="00F4226B">
        <w:rPr>
          <w:rFonts w:ascii="Times New Roman" w:hAnsi="Times New Roman"/>
          <w:sz w:val="24"/>
          <w:szCs w:val="24"/>
          <w:lang w:val="en-US"/>
        </w:rPr>
        <w:t xml:space="preserve">equity </w:t>
      </w:r>
      <w:r w:rsidR="00625555" w:rsidRPr="00F4226B">
        <w:rPr>
          <w:rFonts w:ascii="Times New Roman" w:hAnsi="Times New Roman"/>
          <w:sz w:val="24"/>
          <w:szCs w:val="24"/>
          <w:lang w:val="en-US"/>
        </w:rPr>
        <w:t xml:space="preserve">book values </w:t>
      </w:r>
      <w:r w:rsidR="00C561CA" w:rsidRPr="00F4226B">
        <w:rPr>
          <w:rFonts w:ascii="Times New Roman" w:hAnsi="Times New Roman"/>
          <w:sz w:val="24"/>
          <w:szCs w:val="24"/>
          <w:lang w:val="en-US"/>
        </w:rPr>
        <w:t>(</w:t>
      </w:r>
      <w:r w:rsidR="00C561CA" w:rsidRPr="00F4226B">
        <w:rPr>
          <w:rFonts w:ascii="Times New Roman" w:hAnsi="Times New Roman"/>
          <w:i/>
          <w:sz w:val="24"/>
          <w:szCs w:val="24"/>
          <w:lang w:val="en-US"/>
        </w:rPr>
        <w:t>E</w:t>
      </w:r>
      <w:r w:rsidR="008833C2" w:rsidRPr="00F4226B">
        <w:rPr>
          <w:rFonts w:ascii="Times New Roman" w:hAnsi="Times New Roman"/>
          <w:i/>
          <w:sz w:val="24"/>
          <w:szCs w:val="24"/>
          <w:lang w:val="en-US"/>
        </w:rPr>
        <w:t>I</w:t>
      </w:r>
      <w:r w:rsidR="00C561CA" w:rsidRPr="00F4226B">
        <w:rPr>
          <w:rFonts w:ascii="Times New Roman" w:hAnsi="Times New Roman"/>
          <w:i/>
          <w:sz w:val="24"/>
          <w:szCs w:val="24"/>
          <w:lang w:val="en-US"/>
        </w:rPr>
        <w:t>GLS</w:t>
      </w:r>
      <w:r w:rsidR="00C561CA" w:rsidRPr="00F4226B">
        <w:rPr>
          <w:rFonts w:ascii="Times New Roman" w:hAnsi="Times New Roman"/>
          <w:sz w:val="24"/>
          <w:szCs w:val="24"/>
          <w:vertAlign w:val="subscript"/>
          <w:lang w:val="en-US"/>
        </w:rPr>
        <w:t>it</w:t>
      </w:r>
      <w:r w:rsidR="00C561CA" w:rsidRPr="00F4226B">
        <w:rPr>
          <w:rFonts w:ascii="Times New Roman" w:hAnsi="Times New Roman"/>
          <w:sz w:val="24"/>
          <w:szCs w:val="24"/>
          <w:lang w:val="en-US"/>
        </w:rPr>
        <w:t xml:space="preserve"> and </w:t>
      </w:r>
      <w:r w:rsidR="00C561CA" w:rsidRPr="00F4226B">
        <w:rPr>
          <w:rFonts w:ascii="Times New Roman" w:hAnsi="Times New Roman"/>
          <w:i/>
          <w:sz w:val="24"/>
          <w:szCs w:val="24"/>
          <w:lang w:val="en-US"/>
        </w:rPr>
        <w:t>BV</w:t>
      </w:r>
      <w:r w:rsidR="008C58A9" w:rsidRPr="00F4226B">
        <w:rPr>
          <w:rFonts w:ascii="Times New Roman" w:hAnsi="Times New Roman"/>
          <w:i/>
          <w:sz w:val="24"/>
          <w:szCs w:val="24"/>
          <w:lang w:val="en-US"/>
        </w:rPr>
        <w:t>I</w:t>
      </w:r>
      <w:r w:rsidR="00C561CA" w:rsidRPr="00F4226B">
        <w:rPr>
          <w:rFonts w:ascii="Times New Roman" w:hAnsi="Times New Roman"/>
          <w:i/>
          <w:sz w:val="24"/>
          <w:szCs w:val="24"/>
          <w:lang w:val="en-US"/>
        </w:rPr>
        <w:t>GLS</w:t>
      </w:r>
      <w:r w:rsidR="00C561CA" w:rsidRPr="00F4226B">
        <w:rPr>
          <w:rFonts w:ascii="Times New Roman" w:hAnsi="Times New Roman"/>
          <w:sz w:val="24"/>
          <w:szCs w:val="24"/>
          <w:vertAlign w:val="subscript"/>
          <w:lang w:val="en-US"/>
        </w:rPr>
        <w:t>it</w:t>
      </w:r>
      <w:r w:rsidR="00C561CA" w:rsidRPr="00F4226B">
        <w:rPr>
          <w:rFonts w:ascii="Times New Roman" w:hAnsi="Times New Roman"/>
          <w:sz w:val="24"/>
          <w:szCs w:val="24"/>
          <w:lang w:val="en-US"/>
        </w:rPr>
        <w:t>)</w:t>
      </w:r>
      <w:r w:rsidR="00625555" w:rsidRPr="00F4226B">
        <w:rPr>
          <w:rFonts w:ascii="Times New Roman" w:hAnsi="Times New Roman"/>
          <w:sz w:val="24"/>
          <w:szCs w:val="24"/>
          <w:lang w:val="en-US"/>
        </w:rPr>
        <w:t xml:space="preserve">, respectively, </w:t>
      </w:r>
      <w:r w:rsidR="002F1AB0" w:rsidRPr="00F4226B">
        <w:rPr>
          <w:rFonts w:ascii="Times New Roman" w:hAnsi="Times New Roman"/>
          <w:sz w:val="24"/>
          <w:szCs w:val="24"/>
          <w:lang w:val="en-US"/>
        </w:rPr>
        <w:t xml:space="preserve">provide incremental information beyond that provided </w:t>
      </w:r>
      <w:r w:rsidR="00504E11" w:rsidRPr="00F4226B">
        <w:rPr>
          <w:rFonts w:ascii="Times New Roman" w:hAnsi="Times New Roman"/>
          <w:sz w:val="24"/>
          <w:szCs w:val="24"/>
          <w:lang w:val="en-US"/>
        </w:rPr>
        <w:t xml:space="preserve">by </w:t>
      </w:r>
      <w:r w:rsidR="002F1AB0" w:rsidRPr="00F4226B">
        <w:rPr>
          <w:rFonts w:ascii="Times New Roman" w:hAnsi="Times New Roman"/>
          <w:sz w:val="24"/>
          <w:szCs w:val="24"/>
          <w:lang w:val="en-US"/>
        </w:rPr>
        <w:t xml:space="preserve">HC </w:t>
      </w:r>
      <w:r w:rsidR="007E0A5F" w:rsidRPr="00F4226B">
        <w:rPr>
          <w:rFonts w:ascii="Times New Roman" w:hAnsi="Times New Roman"/>
          <w:sz w:val="24"/>
          <w:szCs w:val="24"/>
          <w:lang w:val="en-US"/>
        </w:rPr>
        <w:t>amounts</w:t>
      </w:r>
      <w:r w:rsidR="00D46508" w:rsidRPr="00F4226B">
        <w:rPr>
          <w:rFonts w:ascii="Times New Roman" w:hAnsi="Times New Roman"/>
          <w:sz w:val="24"/>
          <w:szCs w:val="24"/>
          <w:lang w:val="en-US"/>
        </w:rPr>
        <w:t xml:space="preserve"> (herein referred to as the incremental content </w:t>
      </w:r>
      <w:r w:rsidR="00D46508" w:rsidRPr="00F4226B">
        <w:rPr>
          <w:rFonts w:ascii="Times New Roman" w:hAnsi="Times New Roman"/>
          <w:sz w:val="24"/>
          <w:szCs w:val="24"/>
          <w:lang w:val="en-US"/>
        </w:rPr>
        <w:lastRenderedPageBreak/>
        <w:t>model)</w:t>
      </w:r>
      <w:r w:rsidR="002F1AB0" w:rsidRPr="00F4226B">
        <w:rPr>
          <w:rFonts w:ascii="Times New Roman" w:hAnsi="Times New Roman"/>
          <w:sz w:val="24"/>
          <w:szCs w:val="24"/>
          <w:lang w:val="en-US"/>
        </w:rPr>
        <w:t xml:space="preserve">. </w:t>
      </w:r>
      <w:r w:rsidR="00504E11" w:rsidRPr="00F4226B">
        <w:rPr>
          <w:rFonts w:ascii="Times New Roman" w:hAnsi="Times New Roman"/>
          <w:sz w:val="24"/>
          <w:szCs w:val="24"/>
          <w:lang w:val="en-US"/>
        </w:rPr>
        <w:t xml:space="preserve">In essence, </w:t>
      </w:r>
      <w:r w:rsidR="00D653D2">
        <w:rPr>
          <w:rFonts w:ascii="Times New Roman" w:hAnsi="Times New Roman"/>
          <w:sz w:val="24"/>
          <w:szCs w:val="24"/>
          <w:lang w:val="en-US"/>
        </w:rPr>
        <w:t>E</w:t>
      </w:r>
      <w:r w:rsidR="00504E11" w:rsidRPr="00F4226B">
        <w:rPr>
          <w:rFonts w:ascii="Times New Roman" w:hAnsi="Times New Roman"/>
          <w:sz w:val="24"/>
          <w:szCs w:val="24"/>
          <w:lang w:val="en-US"/>
        </w:rPr>
        <w:t xml:space="preserve">quations 2 and 4 </w:t>
      </w:r>
      <w:r w:rsidR="00EA6329" w:rsidRPr="00F4226B">
        <w:rPr>
          <w:rFonts w:ascii="Times New Roman" w:hAnsi="Times New Roman"/>
          <w:sz w:val="24"/>
          <w:szCs w:val="24"/>
          <w:lang w:val="en-US"/>
        </w:rPr>
        <w:t xml:space="preserve">are analogous to </w:t>
      </w:r>
      <w:r w:rsidR="00504E11" w:rsidRPr="00F4226B">
        <w:rPr>
          <w:rFonts w:ascii="Times New Roman" w:hAnsi="Times New Roman"/>
          <w:sz w:val="24"/>
          <w:szCs w:val="24"/>
          <w:lang w:val="en-US"/>
        </w:rPr>
        <w:t xml:space="preserve">a decomposition of </w:t>
      </w:r>
      <w:r w:rsidR="007E0A5F" w:rsidRPr="00F4226B">
        <w:rPr>
          <w:rFonts w:ascii="Times New Roman" w:hAnsi="Times New Roman"/>
          <w:sz w:val="24"/>
          <w:szCs w:val="24"/>
          <w:lang w:val="en-US"/>
        </w:rPr>
        <w:t xml:space="preserve">the </w:t>
      </w:r>
      <w:r w:rsidR="00504E11" w:rsidRPr="00F4226B">
        <w:rPr>
          <w:rFonts w:ascii="Times New Roman" w:hAnsi="Times New Roman"/>
          <w:sz w:val="24"/>
          <w:szCs w:val="24"/>
          <w:lang w:val="en-US"/>
        </w:rPr>
        <w:t xml:space="preserve">IA version of </w:t>
      </w:r>
      <w:r w:rsidR="00D653D2">
        <w:rPr>
          <w:rFonts w:ascii="Times New Roman" w:hAnsi="Times New Roman"/>
          <w:sz w:val="24"/>
          <w:szCs w:val="24"/>
          <w:lang w:val="en-US"/>
        </w:rPr>
        <w:t>E</w:t>
      </w:r>
      <w:r w:rsidR="00504E11" w:rsidRPr="00F4226B">
        <w:rPr>
          <w:rFonts w:ascii="Times New Roman" w:hAnsi="Times New Roman"/>
          <w:sz w:val="24"/>
          <w:szCs w:val="24"/>
          <w:lang w:val="en-US"/>
        </w:rPr>
        <w:t>quation</w:t>
      </w:r>
      <w:r w:rsidR="00EA6329" w:rsidRPr="00F4226B">
        <w:rPr>
          <w:rFonts w:ascii="Times New Roman" w:hAnsi="Times New Roman"/>
          <w:sz w:val="24"/>
          <w:szCs w:val="24"/>
          <w:lang w:val="en-US"/>
        </w:rPr>
        <w:t>s</w:t>
      </w:r>
      <w:r w:rsidR="00504E11" w:rsidRPr="00F4226B">
        <w:rPr>
          <w:rFonts w:ascii="Times New Roman" w:hAnsi="Times New Roman"/>
          <w:sz w:val="24"/>
          <w:szCs w:val="24"/>
          <w:lang w:val="en-US"/>
        </w:rPr>
        <w:t xml:space="preserve"> 1 and 3</w:t>
      </w:r>
      <w:r w:rsidR="009F21EA" w:rsidRPr="00F4226B">
        <w:rPr>
          <w:rFonts w:ascii="Times New Roman" w:hAnsi="Times New Roman"/>
          <w:sz w:val="24"/>
          <w:szCs w:val="24"/>
          <w:lang w:val="en-US"/>
        </w:rPr>
        <w:t xml:space="preserve"> into HC </w:t>
      </w:r>
      <w:r w:rsidR="00EF7250">
        <w:rPr>
          <w:rFonts w:ascii="Times New Roman" w:hAnsi="Times New Roman"/>
          <w:sz w:val="24"/>
          <w:szCs w:val="24"/>
          <w:lang w:val="en-US"/>
        </w:rPr>
        <w:t>as well as</w:t>
      </w:r>
      <w:r w:rsidR="00EF7250" w:rsidRPr="00F4226B">
        <w:rPr>
          <w:rFonts w:ascii="Times New Roman" w:hAnsi="Times New Roman"/>
          <w:sz w:val="24"/>
          <w:szCs w:val="24"/>
          <w:lang w:val="en-US"/>
        </w:rPr>
        <w:t xml:space="preserve"> </w:t>
      </w:r>
      <w:r w:rsidR="009F21EA" w:rsidRPr="00F4226B">
        <w:rPr>
          <w:rFonts w:ascii="Times New Roman" w:hAnsi="Times New Roman"/>
          <w:sz w:val="24"/>
          <w:szCs w:val="24"/>
          <w:lang w:val="en-US"/>
        </w:rPr>
        <w:t>inflation gains and losses</w:t>
      </w:r>
      <w:r w:rsidR="00504E11" w:rsidRPr="00F4226B">
        <w:rPr>
          <w:rFonts w:ascii="Times New Roman" w:hAnsi="Times New Roman"/>
          <w:sz w:val="24"/>
          <w:szCs w:val="24"/>
          <w:lang w:val="en-US"/>
        </w:rPr>
        <w:t xml:space="preserve">. </w:t>
      </w:r>
      <w:r w:rsidR="007E0A5F" w:rsidRPr="00F4226B">
        <w:rPr>
          <w:rFonts w:ascii="Times New Roman" w:hAnsi="Times New Roman"/>
          <w:sz w:val="24"/>
          <w:szCs w:val="24"/>
          <w:lang w:val="en-US"/>
        </w:rPr>
        <w:t xml:space="preserve">We also </w:t>
      </w:r>
      <w:r w:rsidR="00504E11" w:rsidRPr="00F4226B">
        <w:rPr>
          <w:rFonts w:ascii="Times New Roman" w:hAnsi="Times New Roman"/>
          <w:sz w:val="24"/>
          <w:szCs w:val="24"/>
          <w:lang w:val="en-US"/>
        </w:rPr>
        <w:t xml:space="preserve">compare the </w:t>
      </w:r>
      <w:r w:rsidR="005C23EC" w:rsidRPr="00F4226B">
        <w:rPr>
          <w:rFonts w:ascii="Times New Roman" w:hAnsi="Times New Roman"/>
          <w:sz w:val="24"/>
          <w:szCs w:val="24"/>
          <w:lang w:val="en-US"/>
        </w:rPr>
        <w:t xml:space="preserve">explanatory powers of </w:t>
      </w:r>
      <w:r w:rsidR="00D653D2">
        <w:rPr>
          <w:rFonts w:ascii="Times New Roman" w:hAnsi="Times New Roman"/>
          <w:sz w:val="24"/>
          <w:szCs w:val="24"/>
          <w:lang w:val="en-US"/>
        </w:rPr>
        <w:t>E</w:t>
      </w:r>
      <w:r w:rsidR="005C23EC" w:rsidRPr="00F4226B">
        <w:rPr>
          <w:rFonts w:ascii="Times New Roman" w:hAnsi="Times New Roman"/>
          <w:sz w:val="24"/>
          <w:szCs w:val="24"/>
          <w:lang w:val="en-US"/>
        </w:rPr>
        <w:t xml:space="preserve">quations 2 and 4 </w:t>
      </w:r>
      <w:r w:rsidR="00504E11" w:rsidRPr="00F4226B">
        <w:rPr>
          <w:rFonts w:ascii="Times New Roman" w:hAnsi="Times New Roman"/>
          <w:sz w:val="24"/>
          <w:szCs w:val="24"/>
          <w:lang w:val="en-US"/>
        </w:rPr>
        <w:t xml:space="preserve">to </w:t>
      </w:r>
      <w:r w:rsidR="005C23EC" w:rsidRPr="00F4226B">
        <w:rPr>
          <w:rFonts w:ascii="Times New Roman" w:hAnsi="Times New Roman"/>
          <w:sz w:val="24"/>
          <w:szCs w:val="24"/>
          <w:lang w:val="en-US"/>
        </w:rPr>
        <w:t xml:space="preserve">those </w:t>
      </w:r>
      <w:r w:rsidR="001558B4" w:rsidRPr="00F4226B">
        <w:rPr>
          <w:rFonts w:ascii="Times New Roman" w:hAnsi="Times New Roman"/>
          <w:sz w:val="24"/>
          <w:szCs w:val="24"/>
          <w:lang w:val="en-US"/>
        </w:rPr>
        <w:t xml:space="preserve">of </w:t>
      </w:r>
      <w:r w:rsidR="00D653D2">
        <w:rPr>
          <w:rFonts w:ascii="Times New Roman" w:hAnsi="Times New Roman"/>
          <w:sz w:val="24"/>
          <w:szCs w:val="24"/>
          <w:lang w:val="en-US"/>
        </w:rPr>
        <w:t>E</w:t>
      </w:r>
      <w:r w:rsidR="00D653D2" w:rsidRPr="00F4226B">
        <w:rPr>
          <w:rFonts w:ascii="Times New Roman" w:hAnsi="Times New Roman"/>
          <w:sz w:val="24"/>
          <w:szCs w:val="24"/>
          <w:lang w:val="en-US"/>
        </w:rPr>
        <w:t xml:space="preserve">quations </w:t>
      </w:r>
      <w:r w:rsidR="005C23EC" w:rsidRPr="00F4226B">
        <w:rPr>
          <w:rFonts w:ascii="Times New Roman" w:hAnsi="Times New Roman"/>
          <w:sz w:val="24"/>
          <w:szCs w:val="24"/>
          <w:lang w:val="en-US"/>
        </w:rPr>
        <w:t xml:space="preserve">1 and </w:t>
      </w:r>
      <w:r w:rsidR="003324A8" w:rsidRPr="00F4226B">
        <w:rPr>
          <w:rFonts w:ascii="Times New Roman" w:hAnsi="Times New Roman"/>
          <w:sz w:val="24"/>
          <w:szCs w:val="24"/>
          <w:lang w:val="en-US"/>
        </w:rPr>
        <w:t>3</w:t>
      </w:r>
      <w:r w:rsidR="00504E11" w:rsidRPr="00F4226B">
        <w:rPr>
          <w:rFonts w:ascii="Times New Roman" w:hAnsi="Times New Roman"/>
          <w:sz w:val="24"/>
          <w:szCs w:val="24"/>
          <w:lang w:val="en-US"/>
        </w:rPr>
        <w:t xml:space="preserve">, respectively, to establish </w:t>
      </w:r>
      <w:r w:rsidR="00CF5B72" w:rsidRPr="00F4226B">
        <w:rPr>
          <w:rFonts w:ascii="Times New Roman" w:hAnsi="Times New Roman"/>
          <w:sz w:val="24"/>
          <w:szCs w:val="24"/>
          <w:lang w:val="en-US"/>
        </w:rPr>
        <w:t xml:space="preserve">which models </w:t>
      </w:r>
      <w:r w:rsidR="007E0A5F" w:rsidRPr="00F4226B">
        <w:rPr>
          <w:rFonts w:ascii="Times New Roman" w:hAnsi="Times New Roman"/>
          <w:sz w:val="24"/>
          <w:szCs w:val="24"/>
          <w:lang w:val="en-US"/>
        </w:rPr>
        <w:t>have greater value relevance</w:t>
      </w:r>
      <w:r w:rsidR="00504E11" w:rsidRPr="00F4226B">
        <w:rPr>
          <w:rFonts w:ascii="Times New Roman" w:hAnsi="Times New Roman"/>
          <w:sz w:val="24"/>
          <w:szCs w:val="24"/>
          <w:lang w:val="en-US"/>
        </w:rPr>
        <w:t xml:space="preserve">. </w:t>
      </w:r>
      <w:r w:rsidR="00472A9B" w:rsidRPr="00F4226B">
        <w:rPr>
          <w:rFonts w:ascii="Times New Roman" w:hAnsi="Times New Roman"/>
          <w:sz w:val="24"/>
          <w:szCs w:val="24"/>
          <w:lang w:val="en-US"/>
        </w:rPr>
        <w:t xml:space="preserve"> </w:t>
      </w:r>
    </w:p>
    <w:p w14:paraId="686D61B9" w14:textId="77777777" w:rsidR="00706A7F" w:rsidRPr="00F4226B" w:rsidRDefault="00706A7F" w:rsidP="003B13CE">
      <w:pPr>
        <w:spacing w:line="360" w:lineRule="auto"/>
        <w:ind w:firstLine="284"/>
        <w:jc w:val="both"/>
        <w:rPr>
          <w:rFonts w:ascii="Times New Roman" w:hAnsi="Times New Roman"/>
          <w:sz w:val="24"/>
          <w:szCs w:val="24"/>
          <w:lang w:val="en-US"/>
        </w:rPr>
      </w:pPr>
    </w:p>
    <w:p w14:paraId="474AD1D8" w14:textId="77777777" w:rsidR="00E14091" w:rsidRPr="00804A08" w:rsidRDefault="00E14091" w:rsidP="00CF3168">
      <w:pPr>
        <w:spacing w:line="360" w:lineRule="auto"/>
        <w:jc w:val="both"/>
        <w:rPr>
          <w:rFonts w:ascii="Times New Roman" w:hAnsi="Times New Roman"/>
          <w:i/>
          <w:sz w:val="24"/>
          <w:szCs w:val="24"/>
          <w:lang w:val="en-US"/>
        </w:rPr>
      </w:pPr>
      <w:r w:rsidRPr="00804A08">
        <w:rPr>
          <w:rFonts w:ascii="Times New Roman" w:hAnsi="Times New Roman"/>
          <w:i/>
          <w:sz w:val="24"/>
          <w:szCs w:val="24"/>
          <w:lang w:val="en-US"/>
        </w:rPr>
        <w:t xml:space="preserve">4.2 </w:t>
      </w:r>
      <w:r w:rsidR="008E35F1" w:rsidRPr="00804A08">
        <w:rPr>
          <w:rFonts w:ascii="Times New Roman" w:hAnsi="Times New Roman"/>
          <w:i/>
          <w:sz w:val="24"/>
          <w:szCs w:val="24"/>
          <w:lang w:val="en-US"/>
        </w:rPr>
        <w:t xml:space="preserve">Data and </w:t>
      </w:r>
      <w:r w:rsidR="005536A4" w:rsidRPr="00804A08">
        <w:rPr>
          <w:rFonts w:ascii="Times New Roman" w:hAnsi="Times New Roman"/>
          <w:i/>
          <w:sz w:val="24"/>
          <w:szCs w:val="24"/>
          <w:lang w:val="en-US"/>
        </w:rPr>
        <w:t>s</w:t>
      </w:r>
      <w:r w:rsidRPr="00804A08">
        <w:rPr>
          <w:rFonts w:ascii="Times New Roman" w:hAnsi="Times New Roman"/>
          <w:i/>
          <w:sz w:val="24"/>
          <w:szCs w:val="24"/>
          <w:lang w:val="en-US"/>
        </w:rPr>
        <w:t>ample</w:t>
      </w:r>
    </w:p>
    <w:p w14:paraId="1C612AEE" w14:textId="1EF41995" w:rsidR="00E14091" w:rsidRPr="00F4226B" w:rsidRDefault="00A653F1" w:rsidP="00CF3168">
      <w:pPr>
        <w:spacing w:line="360" w:lineRule="auto"/>
        <w:jc w:val="both"/>
        <w:rPr>
          <w:rFonts w:ascii="Times New Roman" w:hAnsi="Times New Roman"/>
          <w:sz w:val="24"/>
          <w:szCs w:val="24"/>
          <w:lang w:val="en-US"/>
        </w:rPr>
      </w:pPr>
      <w:r>
        <w:rPr>
          <w:rFonts w:ascii="Times New Roman" w:hAnsi="Times New Roman"/>
          <w:sz w:val="24"/>
          <w:szCs w:val="24"/>
          <w:lang w:val="en-US"/>
        </w:rPr>
        <w:t>The d</w:t>
      </w:r>
      <w:r w:rsidR="00E14091" w:rsidRPr="00F4226B">
        <w:rPr>
          <w:rFonts w:ascii="Times New Roman" w:hAnsi="Times New Roman"/>
          <w:sz w:val="24"/>
          <w:szCs w:val="24"/>
          <w:lang w:val="en-US"/>
        </w:rPr>
        <w:t>ata for our study relate to firms listed on the ZSE during the 2000</w:t>
      </w:r>
      <w:r w:rsidR="00686263">
        <w:rPr>
          <w:rFonts w:ascii="Times New Roman" w:hAnsi="Times New Roman"/>
          <w:sz w:val="24"/>
          <w:szCs w:val="24"/>
          <w:lang w:val="en-US"/>
        </w:rPr>
        <w:t>–</w:t>
      </w:r>
      <w:r w:rsidR="00E14091" w:rsidRPr="00F4226B">
        <w:rPr>
          <w:rFonts w:ascii="Times New Roman" w:hAnsi="Times New Roman"/>
          <w:sz w:val="24"/>
          <w:szCs w:val="24"/>
          <w:lang w:val="en-US"/>
        </w:rPr>
        <w:t>2005</w:t>
      </w:r>
      <w:r w:rsidRPr="00A653F1">
        <w:rPr>
          <w:rFonts w:ascii="Times New Roman" w:hAnsi="Times New Roman"/>
          <w:sz w:val="24"/>
          <w:szCs w:val="24"/>
          <w:lang w:val="en-US"/>
        </w:rPr>
        <w:t xml:space="preserve"> </w:t>
      </w:r>
      <w:r w:rsidRPr="00F4226B">
        <w:rPr>
          <w:rFonts w:ascii="Times New Roman" w:hAnsi="Times New Roman"/>
          <w:sz w:val="24"/>
          <w:szCs w:val="24"/>
          <w:lang w:val="en-US"/>
        </w:rPr>
        <w:t>period</w:t>
      </w:r>
      <w:r w:rsidR="00E14091" w:rsidRPr="00F4226B">
        <w:rPr>
          <w:rFonts w:ascii="Times New Roman" w:hAnsi="Times New Roman"/>
          <w:sz w:val="24"/>
          <w:szCs w:val="24"/>
          <w:lang w:val="en-US"/>
        </w:rPr>
        <w:t xml:space="preserve">, when the </w:t>
      </w:r>
      <w:r w:rsidR="003006B7" w:rsidRPr="00F4226B">
        <w:rPr>
          <w:rFonts w:ascii="Times New Roman" w:hAnsi="Times New Roman"/>
          <w:sz w:val="24"/>
          <w:szCs w:val="24"/>
          <w:lang w:val="en-US"/>
        </w:rPr>
        <w:t xml:space="preserve">annual </w:t>
      </w:r>
      <w:r w:rsidR="00E14091" w:rsidRPr="00F4226B">
        <w:rPr>
          <w:rFonts w:ascii="Times New Roman" w:hAnsi="Times New Roman"/>
          <w:sz w:val="24"/>
          <w:szCs w:val="24"/>
          <w:lang w:val="en-US"/>
        </w:rPr>
        <w:t>inflation rate ranged between 55.9% and 431.7% (see Table 1).</w:t>
      </w:r>
      <w:r w:rsidR="009B56F0" w:rsidRPr="00F4226B">
        <w:rPr>
          <w:rStyle w:val="FootnoteReference"/>
          <w:rFonts w:ascii="Times New Roman" w:hAnsi="Times New Roman"/>
          <w:sz w:val="24"/>
          <w:szCs w:val="24"/>
          <w:lang w:val="en-US"/>
        </w:rPr>
        <w:footnoteReference w:id="10"/>
      </w:r>
      <w:r w:rsidR="00E14091" w:rsidRPr="00F4226B">
        <w:rPr>
          <w:rFonts w:ascii="Times New Roman" w:hAnsi="Times New Roman"/>
          <w:sz w:val="24"/>
          <w:szCs w:val="24"/>
          <w:lang w:val="en-US"/>
        </w:rPr>
        <w:t xml:space="preserve"> We obtained </w:t>
      </w:r>
      <w:r w:rsidR="00EA6329" w:rsidRPr="00F4226B">
        <w:rPr>
          <w:rFonts w:ascii="Times New Roman" w:hAnsi="Times New Roman"/>
          <w:sz w:val="24"/>
          <w:szCs w:val="24"/>
          <w:lang w:val="en-US"/>
        </w:rPr>
        <w:t xml:space="preserve">the </w:t>
      </w:r>
      <w:r w:rsidR="00E14091" w:rsidRPr="00F4226B">
        <w:rPr>
          <w:rFonts w:ascii="Times New Roman" w:hAnsi="Times New Roman"/>
          <w:sz w:val="24"/>
          <w:szCs w:val="24"/>
          <w:lang w:val="en-US"/>
        </w:rPr>
        <w:t xml:space="preserve">data </w:t>
      </w:r>
      <w:r w:rsidR="00E14091" w:rsidRPr="00F4226B">
        <w:rPr>
          <w:rFonts w:ascii="Times New Roman" w:hAnsi="Times New Roman"/>
          <w:sz w:val="24"/>
          <w:szCs w:val="24"/>
          <w:lang w:val="en-US"/>
        </w:rPr>
        <w:lastRenderedPageBreak/>
        <w:t>from two primary sources</w:t>
      </w:r>
      <w:r>
        <w:rPr>
          <w:rFonts w:ascii="Times New Roman" w:hAnsi="Times New Roman"/>
          <w:sz w:val="24"/>
          <w:szCs w:val="24"/>
          <w:lang w:val="en-US"/>
        </w:rPr>
        <w:t xml:space="preserve">: </w:t>
      </w:r>
      <w:r w:rsidR="00DD5ABE" w:rsidRPr="00F4226B">
        <w:rPr>
          <w:rFonts w:ascii="Times New Roman" w:hAnsi="Times New Roman"/>
          <w:sz w:val="24"/>
          <w:szCs w:val="24"/>
          <w:lang w:val="en-US"/>
        </w:rPr>
        <w:t>(a) s</w:t>
      </w:r>
      <w:r w:rsidR="00EA6329" w:rsidRPr="00F4226B">
        <w:rPr>
          <w:rFonts w:ascii="Times New Roman" w:hAnsi="Times New Roman"/>
          <w:sz w:val="24"/>
          <w:szCs w:val="24"/>
          <w:lang w:val="en-US"/>
        </w:rPr>
        <w:t>tock</w:t>
      </w:r>
      <w:r w:rsidR="00E14091" w:rsidRPr="00F4226B">
        <w:rPr>
          <w:rFonts w:ascii="Times New Roman" w:hAnsi="Times New Roman"/>
          <w:sz w:val="24"/>
          <w:szCs w:val="24"/>
          <w:lang w:val="en-US"/>
        </w:rPr>
        <w:t xml:space="preserve"> prices were extracted by hand from the Daily Price Data obtained from the ZSE</w:t>
      </w:r>
      <w:r w:rsidRPr="00F4226B">
        <w:rPr>
          <w:rFonts w:ascii="Times New Roman" w:hAnsi="Times New Roman"/>
          <w:sz w:val="24"/>
          <w:szCs w:val="24"/>
          <w:lang w:val="en-US"/>
        </w:rPr>
        <w:t xml:space="preserve"> </w:t>
      </w:r>
      <w:r w:rsidR="00DD5ABE" w:rsidRPr="00F4226B">
        <w:rPr>
          <w:rFonts w:ascii="Times New Roman" w:hAnsi="Times New Roman"/>
          <w:sz w:val="24"/>
          <w:szCs w:val="24"/>
          <w:lang w:val="en-US"/>
        </w:rPr>
        <w:t>and (b) a</w:t>
      </w:r>
      <w:r w:rsidR="00E14091" w:rsidRPr="00F4226B">
        <w:rPr>
          <w:rFonts w:ascii="Times New Roman" w:hAnsi="Times New Roman"/>
          <w:sz w:val="24"/>
          <w:szCs w:val="24"/>
          <w:lang w:val="en-US"/>
        </w:rPr>
        <w:t xml:space="preserve">ll accounting </w:t>
      </w:r>
      <w:r w:rsidR="008E35F1" w:rsidRPr="00F4226B">
        <w:rPr>
          <w:rFonts w:ascii="Times New Roman" w:hAnsi="Times New Roman"/>
          <w:sz w:val="24"/>
          <w:szCs w:val="24"/>
          <w:lang w:val="en-US"/>
        </w:rPr>
        <w:t>data</w:t>
      </w:r>
      <w:r w:rsidR="00E14091" w:rsidRPr="00F4226B">
        <w:rPr>
          <w:rFonts w:ascii="Times New Roman" w:hAnsi="Times New Roman"/>
          <w:sz w:val="24"/>
          <w:szCs w:val="24"/>
          <w:lang w:val="en-US"/>
        </w:rPr>
        <w:t xml:space="preserve"> were hand collected from annual financial statements. To ensure </w:t>
      </w:r>
      <w:r w:rsidR="0008180E" w:rsidRPr="00F4226B">
        <w:rPr>
          <w:rFonts w:ascii="Times New Roman" w:hAnsi="Times New Roman"/>
          <w:sz w:val="24"/>
          <w:szCs w:val="24"/>
          <w:lang w:val="en-US"/>
        </w:rPr>
        <w:t xml:space="preserve">data </w:t>
      </w:r>
      <w:r w:rsidR="00E14091" w:rsidRPr="00F4226B">
        <w:rPr>
          <w:rFonts w:ascii="Times New Roman" w:hAnsi="Times New Roman"/>
          <w:sz w:val="24"/>
          <w:szCs w:val="24"/>
          <w:lang w:val="en-US"/>
        </w:rPr>
        <w:t xml:space="preserve">accuracy, we engaged two research assistants to extract all </w:t>
      </w:r>
      <w:r w:rsidR="008E35F1" w:rsidRPr="00F4226B">
        <w:rPr>
          <w:rFonts w:ascii="Times New Roman" w:hAnsi="Times New Roman"/>
          <w:sz w:val="24"/>
          <w:szCs w:val="24"/>
          <w:lang w:val="en-US"/>
        </w:rPr>
        <w:t xml:space="preserve">data </w:t>
      </w:r>
      <w:r w:rsidR="00E14091" w:rsidRPr="00F4226B">
        <w:rPr>
          <w:rFonts w:ascii="Times New Roman" w:hAnsi="Times New Roman"/>
          <w:sz w:val="24"/>
          <w:szCs w:val="24"/>
          <w:lang w:val="en-US"/>
        </w:rPr>
        <w:t>independently. The two data</w:t>
      </w:r>
      <w:r w:rsidR="00F4226B">
        <w:rPr>
          <w:rFonts w:ascii="Times New Roman" w:hAnsi="Times New Roman"/>
          <w:sz w:val="24"/>
          <w:szCs w:val="24"/>
          <w:lang w:val="en-US"/>
        </w:rPr>
        <w:t>sets</w:t>
      </w:r>
      <w:r w:rsidR="00E14091" w:rsidRPr="00F4226B">
        <w:rPr>
          <w:rFonts w:ascii="Times New Roman" w:hAnsi="Times New Roman"/>
          <w:sz w:val="24"/>
          <w:szCs w:val="24"/>
          <w:lang w:val="en-US"/>
        </w:rPr>
        <w:t xml:space="preserve"> produced were then checked against </w:t>
      </w:r>
      <w:r>
        <w:rPr>
          <w:rFonts w:ascii="Times New Roman" w:hAnsi="Times New Roman"/>
          <w:sz w:val="24"/>
          <w:szCs w:val="24"/>
          <w:lang w:val="en-US"/>
        </w:rPr>
        <w:t>one an</w:t>
      </w:r>
      <w:r w:rsidR="00E14091" w:rsidRPr="00F4226B">
        <w:rPr>
          <w:rFonts w:ascii="Times New Roman" w:hAnsi="Times New Roman"/>
          <w:sz w:val="24"/>
          <w:szCs w:val="24"/>
          <w:lang w:val="en-US"/>
        </w:rPr>
        <w:t>other by one of the authors</w:t>
      </w:r>
      <w:r>
        <w:rPr>
          <w:rFonts w:ascii="Times New Roman" w:hAnsi="Times New Roman"/>
          <w:sz w:val="24"/>
          <w:szCs w:val="24"/>
          <w:lang w:val="en-US"/>
        </w:rPr>
        <w:t>,</w:t>
      </w:r>
      <w:r w:rsidR="00E14091" w:rsidRPr="00F4226B">
        <w:rPr>
          <w:rFonts w:ascii="Times New Roman" w:hAnsi="Times New Roman"/>
          <w:sz w:val="24"/>
          <w:szCs w:val="24"/>
          <w:lang w:val="en-US"/>
        </w:rPr>
        <w:t xml:space="preserve"> and any differences were </w:t>
      </w:r>
      <w:r w:rsidR="00625555" w:rsidRPr="00F4226B">
        <w:rPr>
          <w:rFonts w:ascii="Times New Roman" w:hAnsi="Times New Roman"/>
          <w:sz w:val="24"/>
          <w:szCs w:val="24"/>
          <w:lang w:val="en-US"/>
        </w:rPr>
        <w:t xml:space="preserve">investigated </w:t>
      </w:r>
      <w:r w:rsidR="00E14091" w:rsidRPr="00F4226B">
        <w:rPr>
          <w:rFonts w:ascii="Times New Roman" w:hAnsi="Times New Roman"/>
          <w:sz w:val="24"/>
          <w:szCs w:val="24"/>
          <w:lang w:val="en-US"/>
        </w:rPr>
        <w:t>and corrected.</w:t>
      </w:r>
    </w:p>
    <w:p w14:paraId="56B8AFAC" w14:textId="15863988" w:rsidR="00E14091" w:rsidRPr="00F4226B" w:rsidRDefault="00E14091"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Annual reports of listed firms were </w:t>
      </w:r>
      <w:r w:rsidR="00136DFB" w:rsidRPr="00F4226B">
        <w:rPr>
          <w:rFonts w:ascii="Times New Roman" w:hAnsi="Times New Roman"/>
          <w:sz w:val="24"/>
          <w:szCs w:val="24"/>
          <w:lang w:val="en-US"/>
        </w:rPr>
        <w:t xml:space="preserve">gathered </w:t>
      </w:r>
      <w:r w:rsidRPr="00F4226B">
        <w:rPr>
          <w:rFonts w:ascii="Times New Roman" w:hAnsi="Times New Roman"/>
          <w:sz w:val="24"/>
          <w:szCs w:val="24"/>
          <w:lang w:val="en-US"/>
        </w:rPr>
        <w:t>from a variety of sources, including the ZSE, stockbroker</w:t>
      </w:r>
      <w:r w:rsidR="007A4C49">
        <w:rPr>
          <w:rFonts w:ascii="Times New Roman" w:hAnsi="Times New Roman"/>
          <w:sz w:val="24"/>
          <w:szCs w:val="24"/>
          <w:lang w:val="en-US"/>
        </w:rPr>
        <w:t xml:space="preserve"> firm</w:t>
      </w:r>
      <w:r w:rsidRPr="00F4226B">
        <w:rPr>
          <w:rFonts w:ascii="Times New Roman" w:hAnsi="Times New Roman"/>
          <w:sz w:val="24"/>
          <w:szCs w:val="24"/>
          <w:lang w:val="en-US"/>
        </w:rPr>
        <w:t>s, transfer secretaries and head offices of listed firms. In line with prior studies (e.g.</w:t>
      </w:r>
      <w:r w:rsidR="00982DEB" w:rsidRPr="00F4226B">
        <w:rPr>
          <w:rFonts w:ascii="Times New Roman" w:hAnsi="Times New Roman"/>
          <w:sz w:val="24"/>
          <w:szCs w:val="24"/>
          <w:lang w:val="en-US"/>
        </w:rPr>
        <w:t>,</w:t>
      </w:r>
      <w:r w:rsidRPr="00F4226B">
        <w:rPr>
          <w:rFonts w:ascii="Times New Roman" w:hAnsi="Times New Roman"/>
          <w:sz w:val="24"/>
          <w:szCs w:val="24"/>
          <w:lang w:val="en-US"/>
        </w:rPr>
        <w:t xml:space="preserve"> Gordon 2001; Kirkulak and Balsari 2009)</w:t>
      </w:r>
      <w:r w:rsidR="007A4C49">
        <w:rPr>
          <w:rFonts w:ascii="Times New Roman" w:hAnsi="Times New Roman"/>
          <w:sz w:val="24"/>
          <w:szCs w:val="24"/>
          <w:lang w:val="en-US"/>
        </w:rPr>
        <w:t>,</w:t>
      </w:r>
      <w:r w:rsidRPr="00F4226B">
        <w:rPr>
          <w:rFonts w:ascii="Times New Roman" w:hAnsi="Times New Roman"/>
          <w:sz w:val="24"/>
          <w:szCs w:val="24"/>
          <w:lang w:val="en-US"/>
        </w:rPr>
        <w:t xml:space="preserve"> we exclude</w:t>
      </w:r>
      <w:r w:rsidR="007A4C49">
        <w:rPr>
          <w:rFonts w:ascii="Times New Roman" w:hAnsi="Times New Roman"/>
          <w:sz w:val="24"/>
          <w:szCs w:val="24"/>
          <w:lang w:val="en-US"/>
        </w:rPr>
        <w:t>d</w:t>
      </w:r>
      <w:r w:rsidRPr="00F4226B">
        <w:rPr>
          <w:rFonts w:ascii="Times New Roman" w:hAnsi="Times New Roman"/>
          <w:sz w:val="24"/>
          <w:szCs w:val="24"/>
          <w:lang w:val="en-US"/>
        </w:rPr>
        <w:t xml:space="preserve"> financial firms (banks, insur</w:t>
      </w:r>
      <w:r w:rsidR="00686263">
        <w:rPr>
          <w:rFonts w:ascii="Times New Roman" w:hAnsi="Times New Roman"/>
          <w:sz w:val="24"/>
          <w:szCs w:val="24"/>
          <w:lang w:val="en-US"/>
        </w:rPr>
        <w:t xml:space="preserve">ers, </w:t>
      </w:r>
      <w:r w:rsidRPr="00F4226B">
        <w:rPr>
          <w:rFonts w:ascii="Times New Roman" w:hAnsi="Times New Roman"/>
          <w:sz w:val="24"/>
          <w:szCs w:val="24"/>
          <w:lang w:val="en-US"/>
        </w:rPr>
        <w:lastRenderedPageBreak/>
        <w:t>and mutual funds). We also exclude</w:t>
      </w:r>
      <w:r w:rsidR="007A4C49">
        <w:rPr>
          <w:rFonts w:ascii="Times New Roman" w:hAnsi="Times New Roman"/>
          <w:sz w:val="24"/>
          <w:szCs w:val="24"/>
          <w:lang w:val="en-US"/>
        </w:rPr>
        <w:t>d</w:t>
      </w:r>
      <w:r w:rsidRPr="00F4226B">
        <w:rPr>
          <w:rFonts w:ascii="Times New Roman" w:hAnsi="Times New Roman"/>
          <w:sz w:val="24"/>
          <w:szCs w:val="24"/>
          <w:lang w:val="en-US"/>
        </w:rPr>
        <w:t xml:space="preserve"> firms that did not comply with IAS 29, </w:t>
      </w:r>
      <w:r w:rsidR="007A4C49">
        <w:rPr>
          <w:rFonts w:ascii="Times New Roman" w:hAnsi="Times New Roman"/>
          <w:sz w:val="24"/>
          <w:szCs w:val="24"/>
          <w:lang w:val="en-US"/>
        </w:rPr>
        <w:t>those</w:t>
      </w:r>
      <w:r w:rsidR="007A4C49" w:rsidRPr="00F4226B">
        <w:rPr>
          <w:rFonts w:ascii="Times New Roman" w:hAnsi="Times New Roman"/>
          <w:sz w:val="24"/>
          <w:szCs w:val="24"/>
          <w:lang w:val="en-US"/>
        </w:rPr>
        <w:t xml:space="preserve"> </w:t>
      </w:r>
      <w:r w:rsidRPr="00F4226B">
        <w:rPr>
          <w:rFonts w:ascii="Times New Roman" w:hAnsi="Times New Roman"/>
          <w:sz w:val="24"/>
          <w:szCs w:val="24"/>
          <w:lang w:val="en-US"/>
        </w:rPr>
        <w:t>with missing annual reports</w:t>
      </w:r>
      <w:r w:rsidR="00686263">
        <w:rPr>
          <w:rFonts w:ascii="Times New Roman" w:hAnsi="Times New Roman"/>
          <w:sz w:val="24"/>
          <w:szCs w:val="24"/>
          <w:lang w:val="en-US"/>
        </w:rPr>
        <w:t>,</w:t>
      </w:r>
      <w:r w:rsidRPr="00F4226B">
        <w:rPr>
          <w:rFonts w:ascii="Times New Roman" w:hAnsi="Times New Roman"/>
          <w:sz w:val="24"/>
          <w:szCs w:val="24"/>
          <w:lang w:val="en-US"/>
        </w:rPr>
        <w:t xml:space="preserve"> and those with missing s</w:t>
      </w:r>
      <w:r w:rsidR="0008180E" w:rsidRPr="00F4226B">
        <w:rPr>
          <w:rFonts w:ascii="Times New Roman" w:hAnsi="Times New Roman"/>
          <w:sz w:val="24"/>
          <w:szCs w:val="24"/>
          <w:lang w:val="en-US"/>
        </w:rPr>
        <w:t>tock</w:t>
      </w:r>
      <w:r w:rsidRPr="00F4226B">
        <w:rPr>
          <w:rFonts w:ascii="Times New Roman" w:hAnsi="Times New Roman"/>
          <w:sz w:val="24"/>
          <w:szCs w:val="24"/>
          <w:lang w:val="en-US"/>
        </w:rPr>
        <w:t xml:space="preserve"> prices. This sample selection procedure resulted in a final sample of 193 firm-years (see Table 3). </w:t>
      </w:r>
    </w:p>
    <w:p w14:paraId="063830B4" w14:textId="77777777" w:rsidR="00E14091" w:rsidRPr="00F4226B" w:rsidRDefault="00E14091" w:rsidP="003B13CE">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t>-----------------------------------</w:t>
      </w:r>
    </w:p>
    <w:p w14:paraId="34B12D5A" w14:textId="77777777" w:rsidR="00E14091" w:rsidRPr="00F4226B" w:rsidRDefault="00E14091" w:rsidP="003820D1">
      <w:pPr>
        <w:spacing w:line="240" w:lineRule="auto"/>
        <w:ind w:firstLine="284"/>
        <w:jc w:val="center"/>
        <w:outlineLvl w:val="0"/>
        <w:rPr>
          <w:rFonts w:ascii="Times New Roman" w:hAnsi="Times New Roman"/>
          <w:b/>
          <w:sz w:val="24"/>
          <w:szCs w:val="24"/>
          <w:lang w:val="en-US"/>
        </w:rPr>
      </w:pPr>
      <w:r w:rsidRPr="00F4226B">
        <w:rPr>
          <w:rFonts w:ascii="Times New Roman" w:hAnsi="Times New Roman"/>
          <w:b/>
          <w:sz w:val="24"/>
          <w:szCs w:val="24"/>
          <w:lang w:val="en-US"/>
        </w:rPr>
        <w:t>Insert Table 3 About Here</w:t>
      </w:r>
    </w:p>
    <w:p w14:paraId="0C25A5DF" w14:textId="77777777" w:rsidR="00B63C9D" w:rsidRPr="00F4226B" w:rsidRDefault="00BD74B9" w:rsidP="003B13CE">
      <w:pPr>
        <w:spacing w:line="240" w:lineRule="auto"/>
        <w:ind w:left="2880" w:firstLine="284"/>
        <w:jc w:val="both"/>
        <w:rPr>
          <w:rFonts w:ascii="Times New Roman" w:hAnsi="Times New Roman"/>
          <w:sz w:val="24"/>
          <w:szCs w:val="24"/>
          <w:lang w:val="en-US"/>
        </w:rPr>
      </w:pPr>
      <w:r w:rsidRPr="00F4226B">
        <w:rPr>
          <w:rFonts w:ascii="Times New Roman" w:hAnsi="Times New Roman"/>
          <w:b/>
          <w:sz w:val="24"/>
          <w:szCs w:val="24"/>
          <w:lang w:val="en-US"/>
        </w:rPr>
        <w:t xml:space="preserve">    -----------------------------------</w:t>
      </w:r>
    </w:p>
    <w:p w14:paraId="1B591D21" w14:textId="77777777" w:rsidR="00B63C9D" w:rsidRPr="00F4226B" w:rsidRDefault="00B63C9D" w:rsidP="003820D1">
      <w:pPr>
        <w:spacing w:line="360" w:lineRule="auto"/>
        <w:jc w:val="both"/>
        <w:outlineLvl w:val="0"/>
        <w:rPr>
          <w:rFonts w:ascii="Times New Roman" w:hAnsi="Times New Roman"/>
          <w:b/>
          <w:sz w:val="24"/>
          <w:szCs w:val="24"/>
          <w:lang w:val="en-US"/>
        </w:rPr>
      </w:pPr>
      <w:r w:rsidRPr="00F4226B">
        <w:rPr>
          <w:rFonts w:ascii="Times New Roman" w:hAnsi="Times New Roman"/>
          <w:b/>
          <w:sz w:val="24"/>
          <w:szCs w:val="24"/>
          <w:lang w:val="en-US"/>
        </w:rPr>
        <w:t xml:space="preserve">5. </w:t>
      </w:r>
      <w:r w:rsidR="00A25F60" w:rsidRPr="00F4226B">
        <w:rPr>
          <w:rFonts w:ascii="Times New Roman" w:hAnsi="Times New Roman"/>
          <w:b/>
          <w:sz w:val="24"/>
          <w:szCs w:val="24"/>
          <w:lang w:val="en-US"/>
        </w:rPr>
        <w:t xml:space="preserve"> </w:t>
      </w:r>
      <w:r w:rsidRPr="00F4226B">
        <w:rPr>
          <w:rFonts w:ascii="Times New Roman" w:hAnsi="Times New Roman"/>
          <w:b/>
          <w:sz w:val="24"/>
          <w:szCs w:val="24"/>
          <w:lang w:val="en-US"/>
        </w:rPr>
        <w:t xml:space="preserve">Empirical </w:t>
      </w:r>
      <w:r w:rsidR="00913CCA" w:rsidRPr="00F4226B">
        <w:rPr>
          <w:rFonts w:ascii="Times New Roman" w:hAnsi="Times New Roman"/>
          <w:b/>
          <w:sz w:val="24"/>
          <w:szCs w:val="24"/>
          <w:lang w:val="en-US"/>
        </w:rPr>
        <w:t>r</w:t>
      </w:r>
      <w:r w:rsidRPr="00F4226B">
        <w:rPr>
          <w:rFonts w:ascii="Times New Roman" w:hAnsi="Times New Roman"/>
          <w:b/>
          <w:sz w:val="24"/>
          <w:szCs w:val="24"/>
          <w:lang w:val="en-US"/>
        </w:rPr>
        <w:t>esults</w:t>
      </w:r>
    </w:p>
    <w:p w14:paraId="44BF288B" w14:textId="77777777" w:rsidR="0059694C" w:rsidRPr="00804A08" w:rsidRDefault="0059694C" w:rsidP="003820D1">
      <w:pPr>
        <w:spacing w:line="360" w:lineRule="auto"/>
        <w:jc w:val="both"/>
        <w:outlineLvl w:val="0"/>
        <w:rPr>
          <w:rFonts w:ascii="Times New Roman" w:hAnsi="Times New Roman"/>
          <w:i/>
          <w:sz w:val="24"/>
          <w:szCs w:val="24"/>
          <w:lang w:val="en-US"/>
        </w:rPr>
      </w:pPr>
      <w:r w:rsidRPr="00804A08">
        <w:rPr>
          <w:rFonts w:ascii="Times New Roman" w:hAnsi="Times New Roman"/>
          <w:i/>
          <w:sz w:val="24"/>
          <w:szCs w:val="24"/>
          <w:lang w:val="en-US"/>
        </w:rPr>
        <w:t xml:space="preserve">5.1 </w:t>
      </w:r>
      <w:r w:rsidR="003A37EB" w:rsidRPr="00804A08">
        <w:rPr>
          <w:rFonts w:ascii="Times New Roman" w:hAnsi="Times New Roman"/>
          <w:i/>
          <w:sz w:val="24"/>
          <w:szCs w:val="24"/>
          <w:lang w:val="en-US"/>
        </w:rPr>
        <w:t>D</w:t>
      </w:r>
      <w:r w:rsidRPr="00804A08">
        <w:rPr>
          <w:rFonts w:ascii="Times New Roman" w:hAnsi="Times New Roman"/>
          <w:i/>
          <w:sz w:val="24"/>
          <w:szCs w:val="24"/>
          <w:lang w:val="en-US"/>
        </w:rPr>
        <w:t xml:space="preserve">escriptive </w:t>
      </w:r>
      <w:r w:rsidR="003A37EB" w:rsidRPr="00804A08">
        <w:rPr>
          <w:rFonts w:ascii="Times New Roman" w:hAnsi="Times New Roman"/>
          <w:i/>
          <w:sz w:val="24"/>
          <w:szCs w:val="24"/>
          <w:lang w:val="en-US"/>
        </w:rPr>
        <w:t>analysis</w:t>
      </w:r>
    </w:p>
    <w:p w14:paraId="7483471E" w14:textId="62405BC8" w:rsidR="00FC7F52" w:rsidRPr="00F4226B" w:rsidRDefault="0059694C" w:rsidP="00CF3168">
      <w:pPr>
        <w:spacing w:line="360" w:lineRule="auto"/>
        <w:jc w:val="both"/>
        <w:rPr>
          <w:rFonts w:ascii="Times New Roman" w:hAnsi="Times New Roman"/>
          <w:sz w:val="24"/>
          <w:szCs w:val="24"/>
          <w:lang w:val="en-US"/>
        </w:rPr>
      </w:pPr>
      <w:r w:rsidRPr="00F4226B">
        <w:rPr>
          <w:rFonts w:ascii="Times New Roman" w:hAnsi="Times New Roman"/>
          <w:sz w:val="24"/>
          <w:szCs w:val="24"/>
          <w:lang w:val="en-US"/>
        </w:rPr>
        <w:t xml:space="preserve">Table </w:t>
      </w:r>
      <w:r w:rsidR="007422DB" w:rsidRPr="00F4226B">
        <w:rPr>
          <w:rFonts w:ascii="Times New Roman" w:hAnsi="Times New Roman"/>
          <w:sz w:val="24"/>
          <w:szCs w:val="24"/>
          <w:lang w:val="en-US"/>
        </w:rPr>
        <w:t>4</w:t>
      </w:r>
      <w:r w:rsidRPr="00F4226B">
        <w:rPr>
          <w:rFonts w:ascii="Times New Roman" w:hAnsi="Times New Roman"/>
          <w:sz w:val="24"/>
          <w:szCs w:val="24"/>
          <w:lang w:val="en-US"/>
        </w:rPr>
        <w:t xml:space="preserve"> presents </w:t>
      </w:r>
      <w:r w:rsidR="00136DFB" w:rsidRPr="00F4226B">
        <w:rPr>
          <w:rFonts w:ascii="Times New Roman" w:hAnsi="Times New Roman"/>
          <w:sz w:val="24"/>
          <w:szCs w:val="24"/>
          <w:lang w:val="en-US"/>
        </w:rPr>
        <w:t>summary</w:t>
      </w:r>
      <w:r w:rsidRPr="00F4226B">
        <w:rPr>
          <w:rFonts w:ascii="Times New Roman" w:hAnsi="Times New Roman"/>
          <w:sz w:val="24"/>
          <w:szCs w:val="24"/>
          <w:lang w:val="en-US"/>
        </w:rPr>
        <w:t xml:space="preserve"> descriptive statistics for the entire pooled sample and for the partitioned periods. </w:t>
      </w:r>
      <w:r w:rsidR="007B5485">
        <w:rPr>
          <w:rFonts w:ascii="Times New Roman" w:hAnsi="Times New Roman"/>
          <w:sz w:val="24"/>
          <w:szCs w:val="24"/>
          <w:lang w:val="en-US"/>
        </w:rPr>
        <w:t>The table includes</w:t>
      </w:r>
      <w:r w:rsidR="00AB6272" w:rsidRPr="00F4226B">
        <w:rPr>
          <w:rFonts w:ascii="Times New Roman" w:hAnsi="Times New Roman"/>
          <w:sz w:val="24"/>
          <w:szCs w:val="24"/>
          <w:lang w:val="en-US"/>
        </w:rPr>
        <w:t xml:space="preserve"> statistics </w:t>
      </w:r>
      <w:r w:rsidR="00C16926" w:rsidRPr="00F4226B">
        <w:rPr>
          <w:rFonts w:ascii="Times New Roman" w:hAnsi="Times New Roman"/>
          <w:sz w:val="24"/>
          <w:szCs w:val="24"/>
          <w:lang w:val="en-US"/>
        </w:rPr>
        <w:t xml:space="preserve">showing </w:t>
      </w:r>
      <w:r w:rsidR="00AB6272" w:rsidRPr="00F4226B">
        <w:rPr>
          <w:rFonts w:ascii="Times New Roman" w:hAnsi="Times New Roman"/>
          <w:sz w:val="24"/>
          <w:szCs w:val="24"/>
          <w:lang w:val="en-US"/>
        </w:rPr>
        <w:t>both Z</w:t>
      </w:r>
      <w:r w:rsidR="00686263">
        <w:rPr>
          <w:rFonts w:ascii="Times New Roman" w:hAnsi="Times New Roman"/>
          <w:sz w:val="24"/>
          <w:szCs w:val="24"/>
          <w:lang w:val="en-US"/>
        </w:rPr>
        <w:t xml:space="preserve">imbabwean dollar </w:t>
      </w:r>
      <w:r w:rsidR="00AB6272" w:rsidRPr="00F4226B">
        <w:rPr>
          <w:rFonts w:ascii="Times New Roman" w:hAnsi="Times New Roman"/>
          <w:sz w:val="24"/>
          <w:szCs w:val="24"/>
          <w:lang w:val="en-US"/>
        </w:rPr>
        <w:t>and US</w:t>
      </w:r>
      <w:r w:rsidR="00686263">
        <w:rPr>
          <w:rFonts w:ascii="Times New Roman" w:hAnsi="Times New Roman"/>
          <w:sz w:val="24"/>
          <w:szCs w:val="24"/>
          <w:lang w:val="en-US"/>
        </w:rPr>
        <w:t xml:space="preserve"> dollar</w:t>
      </w:r>
      <w:r w:rsidR="00AB6272" w:rsidRPr="00F4226B">
        <w:rPr>
          <w:rFonts w:ascii="Times New Roman" w:hAnsi="Times New Roman"/>
          <w:sz w:val="24"/>
          <w:szCs w:val="24"/>
          <w:lang w:val="en-US"/>
        </w:rPr>
        <w:t xml:space="preserve"> </w:t>
      </w:r>
      <w:r w:rsidR="00C16926" w:rsidRPr="00F4226B">
        <w:rPr>
          <w:rFonts w:ascii="Times New Roman" w:hAnsi="Times New Roman"/>
          <w:sz w:val="24"/>
          <w:szCs w:val="24"/>
          <w:lang w:val="en-US"/>
        </w:rPr>
        <w:t>amounts</w:t>
      </w:r>
      <w:r w:rsidR="00B11257" w:rsidRPr="00F4226B">
        <w:rPr>
          <w:rFonts w:ascii="Times New Roman" w:hAnsi="Times New Roman"/>
          <w:sz w:val="24"/>
          <w:szCs w:val="24"/>
          <w:lang w:val="en-US"/>
        </w:rPr>
        <w:t xml:space="preserve"> (US</w:t>
      </w:r>
      <w:r w:rsidR="00686263">
        <w:rPr>
          <w:rFonts w:ascii="Times New Roman" w:hAnsi="Times New Roman"/>
          <w:sz w:val="24"/>
          <w:szCs w:val="24"/>
          <w:lang w:val="en-US"/>
        </w:rPr>
        <w:t xml:space="preserve"> dollars </w:t>
      </w:r>
      <w:r w:rsidR="00B11257" w:rsidRPr="00F4226B">
        <w:rPr>
          <w:rFonts w:ascii="Times New Roman" w:hAnsi="Times New Roman"/>
          <w:sz w:val="24"/>
          <w:szCs w:val="24"/>
          <w:lang w:val="en-US"/>
        </w:rPr>
        <w:t>figures in brackets)</w:t>
      </w:r>
      <w:r w:rsidR="00AB6272" w:rsidRPr="00F4226B">
        <w:rPr>
          <w:rFonts w:ascii="Times New Roman" w:hAnsi="Times New Roman"/>
          <w:sz w:val="24"/>
          <w:szCs w:val="24"/>
          <w:lang w:val="en-US"/>
        </w:rPr>
        <w:t>. The US</w:t>
      </w:r>
      <w:r w:rsidR="00686263">
        <w:rPr>
          <w:rFonts w:ascii="Times New Roman" w:hAnsi="Times New Roman"/>
          <w:sz w:val="24"/>
          <w:szCs w:val="24"/>
          <w:lang w:val="en-US"/>
        </w:rPr>
        <w:t xml:space="preserve"> dollar</w:t>
      </w:r>
      <w:r w:rsidR="00AB6272" w:rsidRPr="00F4226B">
        <w:rPr>
          <w:rFonts w:ascii="Times New Roman" w:hAnsi="Times New Roman"/>
          <w:sz w:val="24"/>
          <w:szCs w:val="24"/>
          <w:lang w:val="en-US"/>
        </w:rPr>
        <w:t xml:space="preserve"> </w:t>
      </w:r>
      <w:r w:rsidR="00C16926" w:rsidRPr="00F4226B">
        <w:rPr>
          <w:rFonts w:ascii="Times New Roman" w:hAnsi="Times New Roman"/>
          <w:sz w:val="24"/>
          <w:szCs w:val="24"/>
          <w:lang w:val="en-US"/>
        </w:rPr>
        <w:t>amounts</w:t>
      </w:r>
      <w:r w:rsidR="00AB6272" w:rsidRPr="00F4226B">
        <w:rPr>
          <w:rFonts w:ascii="Times New Roman" w:hAnsi="Times New Roman"/>
          <w:sz w:val="24"/>
          <w:szCs w:val="24"/>
          <w:lang w:val="en-US"/>
        </w:rPr>
        <w:t xml:space="preserve"> are calculated </w:t>
      </w:r>
      <w:r w:rsidR="00FC7F52" w:rsidRPr="00F4226B">
        <w:rPr>
          <w:rFonts w:ascii="Times New Roman" w:hAnsi="Times New Roman"/>
          <w:sz w:val="24"/>
          <w:szCs w:val="24"/>
          <w:lang w:val="en-US"/>
        </w:rPr>
        <w:t>by</w:t>
      </w:r>
      <w:r w:rsidR="00AB6272" w:rsidRPr="00F4226B">
        <w:rPr>
          <w:rFonts w:ascii="Times New Roman" w:hAnsi="Times New Roman"/>
          <w:sz w:val="24"/>
          <w:szCs w:val="24"/>
          <w:lang w:val="en-US"/>
        </w:rPr>
        <w:t xml:space="preserve"> applying the </w:t>
      </w:r>
      <w:r w:rsidR="00AB6272" w:rsidRPr="00F4226B">
        <w:rPr>
          <w:rFonts w:ascii="Times New Roman" w:hAnsi="Times New Roman"/>
          <w:sz w:val="24"/>
          <w:szCs w:val="24"/>
          <w:lang w:val="en-US"/>
        </w:rPr>
        <w:lastRenderedPageBreak/>
        <w:t xml:space="preserve">annual average exchange rates to the </w:t>
      </w:r>
      <w:r w:rsidR="00686263" w:rsidRPr="00F4226B">
        <w:rPr>
          <w:rFonts w:ascii="Times New Roman" w:hAnsi="Times New Roman"/>
          <w:sz w:val="24"/>
          <w:szCs w:val="24"/>
          <w:lang w:val="en-US"/>
        </w:rPr>
        <w:t>Z</w:t>
      </w:r>
      <w:r w:rsidR="00686263">
        <w:rPr>
          <w:rFonts w:ascii="Times New Roman" w:hAnsi="Times New Roman"/>
          <w:sz w:val="24"/>
          <w:szCs w:val="24"/>
          <w:lang w:val="en-US"/>
        </w:rPr>
        <w:t>imbabwean dollar</w:t>
      </w:r>
      <w:r w:rsidR="00AB6272" w:rsidRPr="00F4226B">
        <w:rPr>
          <w:rFonts w:ascii="Times New Roman" w:hAnsi="Times New Roman"/>
          <w:sz w:val="24"/>
          <w:szCs w:val="24"/>
          <w:lang w:val="en-US"/>
        </w:rPr>
        <w:t xml:space="preserve"> </w:t>
      </w:r>
      <w:r w:rsidR="00C16926" w:rsidRPr="00F4226B">
        <w:rPr>
          <w:rFonts w:ascii="Times New Roman" w:hAnsi="Times New Roman"/>
          <w:sz w:val="24"/>
          <w:szCs w:val="24"/>
          <w:lang w:val="en-US"/>
        </w:rPr>
        <w:t>amounts</w:t>
      </w:r>
      <w:r w:rsidR="00AB6272" w:rsidRPr="00F4226B">
        <w:rPr>
          <w:rFonts w:ascii="Times New Roman" w:hAnsi="Times New Roman"/>
          <w:sz w:val="24"/>
          <w:szCs w:val="24"/>
          <w:lang w:val="en-US"/>
        </w:rPr>
        <w:t xml:space="preserve"> at the firm</w:t>
      </w:r>
      <w:r w:rsidR="007B5485">
        <w:rPr>
          <w:rFonts w:ascii="Times New Roman" w:hAnsi="Times New Roman"/>
          <w:sz w:val="24"/>
          <w:szCs w:val="24"/>
          <w:lang w:val="en-US"/>
        </w:rPr>
        <w:t xml:space="preserve"> </w:t>
      </w:r>
      <w:r w:rsidR="00AB6272" w:rsidRPr="00F4226B">
        <w:rPr>
          <w:rFonts w:ascii="Times New Roman" w:hAnsi="Times New Roman"/>
          <w:sz w:val="24"/>
          <w:szCs w:val="24"/>
          <w:lang w:val="en-US"/>
        </w:rPr>
        <w:t>level</w:t>
      </w:r>
      <w:r w:rsidR="00FC7F52" w:rsidRPr="00F4226B">
        <w:rPr>
          <w:rFonts w:ascii="Times New Roman" w:hAnsi="Times New Roman"/>
          <w:sz w:val="24"/>
          <w:szCs w:val="24"/>
          <w:lang w:val="en-US"/>
        </w:rPr>
        <w:t xml:space="preserve"> and are provided for illustrative purposes only</w:t>
      </w:r>
      <w:r w:rsidR="00AB6272" w:rsidRPr="00F4226B">
        <w:rPr>
          <w:rFonts w:ascii="Times New Roman" w:hAnsi="Times New Roman"/>
          <w:sz w:val="24"/>
          <w:szCs w:val="24"/>
          <w:lang w:val="en-US"/>
        </w:rPr>
        <w:t>.</w:t>
      </w:r>
      <w:r w:rsidR="00C16926"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In Panel A, we </w:t>
      </w:r>
      <w:r w:rsidR="005A0FE9" w:rsidRPr="00F4226B">
        <w:rPr>
          <w:rFonts w:ascii="Times New Roman" w:hAnsi="Times New Roman"/>
          <w:sz w:val="24"/>
          <w:szCs w:val="24"/>
          <w:lang w:val="en-US"/>
        </w:rPr>
        <w:t xml:space="preserve">present </w:t>
      </w:r>
      <w:r w:rsidRPr="00F4226B">
        <w:rPr>
          <w:rFonts w:ascii="Times New Roman" w:hAnsi="Times New Roman"/>
          <w:sz w:val="24"/>
          <w:szCs w:val="24"/>
          <w:lang w:val="en-US"/>
        </w:rPr>
        <w:t>the statistics for the s</w:t>
      </w:r>
      <w:r w:rsidR="00E679E1" w:rsidRPr="00F4226B">
        <w:rPr>
          <w:rFonts w:ascii="Times New Roman" w:hAnsi="Times New Roman"/>
          <w:sz w:val="24"/>
          <w:szCs w:val="24"/>
          <w:lang w:val="en-US"/>
        </w:rPr>
        <w:t>tock</w:t>
      </w:r>
      <w:r w:rsidRPr="00F4226B">
        <w:rPr>
          <w:rFonts w:ascii="Times New Roman" w:hAnsi="Times New Roman"/>
          <w:sz w:val="24"/>
          <w:szCs w:val="24"/>
          <w:lang w:val="en-US"/>
        </w:rPr>
        <w:t xml:space="preserve"> prices and returns. </w:t>
      </w:r>
      <w:r w:rsidR="007715E5" w:rsidRPr="00F4226B">
        <w:rPr>
          <w:rFonts w:ascii="Times New Roman" w:hAnsi="Times New Roman"/>
          <w:sz w:val="24"/>
          <w:szCs w:val="24"/>
          <w:lang w:val="en-US"/>
        </w:rPr>
        <w:t>For the entire sample, t</w:t>
      </w:r>
      <w:r w:rsidR="005A0FE9" w:rsidRPr="00F4226B">
        <w:rPr>
          <w:rFonts w:ascii="Times New Roman" w:hAnsi="Times New Roman"/>
          <w:sz w:val="24"/>
          <w:szCs w:val="24"/>
          <w:lang w:val="en-US"/>
        </w:rPr>
        <w:t xml:space="preserve">he </w:t>
      </w:r>
      <w:r w:rsidR="006A78CD" w:rsidRPr="00F4226B">
        <w:rPr>
          <w:rFonts w:ascii="Times New Roman" w:hAnsi="Times New Roman"/>
          <w:sz w:val="24"/>
          <w:szCs w:val="24"/>
          <w:lang w:val="en-US"/>
        </w:rPr>
        <w:t>mean</w:t>
      </w:r>
      <w:r w:rsidR="00DA14A2">
        <w:rPr>
          <w:rFonts w:ascii="Times New Roman" w:hAnsi="Times New Roman"/>
          <w:sz w:val="24"/>
          <w:szCs w:val="24"/>
          <w:lang w:val="en-US"/>
        </w:rPr>
        <w:t>s</w:t>
      </w:r>
      <w:r w:rsidR="006A78CD" w:rsidRPr="00F4226B">
        <w:rPr>
          <w:rFonts w:ascii="Times New Roman" w:hAnsi="Times New Roman"/>
          <w:sz w:val="24"/>
          <w:szCs w:val="24"/>
          <w:lang w:val="en-US"/>
        </w:rPr>
        <w:t xml:space="preserve"> for s</w:t>
      </w:r>
      <w:r w:rsidR="00E679E1" w:rsidRPr="00F4226B">
        <w:rPr>
          <w:rFonts w:ascii="Times New Roman" w:hAnsi="Times New Roman"/>
          <w:sz w:val="24"/>
          <w:szCs w:val="24"/>
          <w:lang w:val="en-US"/>
        </w:rPr>
        <w:t>tock</w:t>
      </w:r>
      <w:r w:rsidR="006A78CD" w:rsidRPr="00F4226B">
        <w:rPr>
          <w:rFonts w:ascii="Times New Roman" w:hAnsi="Times New Roman"/>
          <w:sz w:val="24"/>
          <w:szCs w:val="24"/>
          <w:lang w:val="en-US"/>
        </w:rPr>
        <w:t xml:space="preserve"> prices </w:t>
      </w:r>
      <w:r w:rsidR="005A0FE9" w:rsidRPr="00F4226B">
        <w:rPr>
          <w:rFonts w:ascii="Times New Roman" w:hAnsi="Times New Roman"/>
          <w:sz w:val="24"/>
          <w:szCs w:val="24"/>
          <w:lang w:val="en-US"/>
        </w:rPr>
        <w:t xml:space="preserve">and stock returns </w:t>
      </w:r>
      <w:r w:rsidR="00DA14A2">
        <w:rPr>
          <w:rFonts w:ascii="Times New Roman" w:hAnsi="Times New Roman"/>
          <w:sz w:val="24"/>
          <w:szCs w:val="24"/>
          <w:lang w:val="en-US"/>
        </w:rPr>
        <w:t>are</w:t>
      </w:r>
      <w:r w:rsidR="005A0FE9" w:rsidRPr="00F4226B">
        <w:rPr>
          <w:rFonts w:ascii="Times New Roman" w:hAnsi="Times New Roman"/>
          <w:sz w:val="24"/>
          <w:szCs w:val="24"/>
          <w:lang w:val="en-US"/>
        </w:rPr>
        <w:t xml:space="preserve"> </w:t>
      </w:r>
      <w:r w:rsidR="006A78CD" w:rsidRPr="00F4226B">
        <w:rPr>
          <w:rFonts w:ascii="Times New Roman" w:hAnsi="Times New Roman"/>
          <w:sz w:val="24"/>
          <w:szCs w:val="24"/>
          <w:lang w:val="en-US"/>
        </w:rPr>
        <w:t>Z$5,03</w:t>
      </w:r>
      <w:r w:rsidR="007715E5" w:rsidRPr="00F4226B">
        <w:rPr>
          <w:rFonts w:ascii="Times New Roman" w:hAnsi="Times New Roman"/>
          <w:sz w:val="24"/>
          <w:szCs w:val="24"/>
          <w:lang w:val="en-US"/>
        </w:rPr>
        <w:t>2.82</w:t>
      </w:r>
      <w:r w:rsidR="005A0FE9" w:rsidRPr="00F4226B">
        <w:rPr>
          <w:rFonts w:ascii="Times New Roman" w:hAnsi="Times New Roman"/>
          <w:sz w:val="24"/>
          <w:szCs w:val="24"/>
          <w:lang w:val="en-US"/>
        </w:rPr>
        <w:t xml:space="preserve"> (US$1.73)</w:t>
      </w:r>
      <w:r w:rsidR="00EB4A19" w:rsidRPr="00F4226B">
        <w:rPr>
          <w:rFonts w:ascii="Times New Roman" w:hAnsi="Times New Roman"/>
          <w:sz w:val="24"/>
          <w:szCs w:val="24"/>
          <w:lang w:val="en-US"/>
        </w:rPr>
        <w:t xml:space="preserve"> </w:t>
      </w:r>
      <w:r w:rsidR="006A78CD" w:rsidRPr="00F4226B">
        <w:rPr>
          <w:rFonts w:ascii="Times New Roman" w:hAnsi="Times New Roman"/>
          <w:sz w:val="24"/>
          <w:szCs w:val="24"/>
          <w:lang w:val="en-US"/>
        </w:rPr>
        <w:t>and 1,843%</w:t>
      </w:r>
      <w:r w:rsidR="00EB4A19" w:rsidRPr="00F4226B">
        <w:rPr>
          <w:rFonts w:ascii="Times New Roman" w:hAnsi="Times New Roman"/>
          <w:sz w:val="24"/>
          <w:szCs w:val="24"/>
          <w:lang w:val="en-US"/>
        </w:rPr>
        <w:t xml:space="preserve"> </w:t>
      </w:r>
      <w:r w:rsidR="005A0FE9" w:rsidRPr="00F4226B">
        <w:rPr>
          <w:rFonts w:ascii="Times New Roman" w:hAnsi="Times New Roman"/>
          <w:sz w:val="24"/>
          <w:szCs w:val="24"/>
          <w:lang w:val="en-US"/>
        </w:rPr>
        <w:t>(7.01%), respectively</w:t>
      </w:r>
      <w:r w:rsidR="006A78CD" w:rsidRPr="00F4226B">
        <w:rPr>
          <w:rFonts w:ascii="Times New Roman" w:hAnsi="Times New Roman"/>
          <w:sz w:val="24"/>
          <w:szCs w:val="24"/>
          <w:lang w:val="en-US"/>
        </w:rPr>
        <w:t xml:space="preserve">. </w:t>
      </w:r>
      <w:r w:rsidR="00481E6B" w:rsidRPr="00F4226B">
        <w:rPr>
          <w:rFonts w:ascii="Times New Roman" w:hAnsi="Times New Roman"/>
          <w:sz w:val="24"/>
          <w:szCs w:val="24"/>
          <w:lang w:val="en-US"/>
        </w:rPr>
        <w:t>In the p</w:t>
      </w:r>
      <w:r w:rsidR="00DD5ABE" w:rsidRPr="00F4226B">
        <w:rPr>
          <w:rFonts w:ascii="Times New Roman" w:hAnsi="Times New Roman"/>
          <w:sz w:val="24"/>
          <w:szCs w:val="24"/>
          <w:lang w:val="en-US"/>
        </w:rPr>
        <w:t>artitioned</w:t>
      </w:r>
      <w:r w:rsidR="00481E6B" w:rsidRPr="00F4226B">
        <w:rPr>
          <w:rFonts w:ascii="Times New Roman" w:hAnsi="Times New Roman"/>
          <w:sz w:val="24"/>
          <w:szCs w:val="24"/>
          <w:lang w:val="en-US"/>
        </w:rPr>
        <w:t xml:space="preserve"> period, the mean for stock prices is </w:t>
      </w:r>
      <w:r w:rsidR="006A78CD" w:rsidRPr="00F4226B">
        <w:rPr>
          <w:rFonts w:ascii="Times New Roman" w:hAnsi="Times New Roman"/>
          <w:sz w:val="24"/>
          <w:szCs w:val="24"/>
          <w:lang w:val="en-US"/>
        </w:rPr>
        <w:t>Z$119.68</w:t>
      </w:r>
      <w:r w:rsidR="00481E6B" w:rsidRPr="00F4226B">
        <w:rPr>
          <w:rFonts w:ascii="Times New Roman" w:hAnsi="Times New Roman"/>
          <w:sz w:val="24"/>
          <w:szCs w:val="24"/>
          <w:lang w:val="en-US"/>
        </w:rPr>
        <w:t xml:space="preserve"> (US$2.20) for the relatively low inflation period and </w:t>
      </w:r>
      <w:r w:rsidR="006A78CD" w:rsidRPr="00F4226B">
        <w:rPr>
          <w:rFonts w:ascii="Times New Roman" w:hAnsi="Times New Roman"/>
          <w:sz w:val="24"/>
          <w:szCs w:val="24"/>
          <w:lang w:val="en-US"/>
        </w:rPr>
        <w:t xml:space="preserve">Z$8,586.09 </w:t>
      </w:r>
      <w:r w:rsidR="00481E6B" w:rsidRPr="00F4226B">
        <w:rPr>
          <w:rFonts w:ascii="Times New Roman" w:hAnsi="Times New Roman"/>
          <w:sz w:val="24"/>
          <w:szCs w:val="24"/>
          <w:lang w:val="en-US"/>
        </w:rPr>
        <w:t>(US$1.39) for the relatively high inflation period. T</w:t>
      </w:r>
      <w:r w:rsidR="008C1244" w:rsidRPr="00F4226B">
        <w:rPr>
          <w:rFonts w:ascii="Times New Roman" w:hAnsi="Times New Roman"/>
          <w:sz w:val="24"/>
          <w:szCs w:val="24"/>
          <w:lang w:val="en-US"/>
        </w:rPr>
        <w:t>he</w:t>
      </w:r>
      <w:r w:rsidR="006A78CD" w:rsidRPr="00F4226B">
        <w:rPr>
          <w:rFonts w:ascii="Times New Roman" w:hAnsi="Times New Roman"/>
          <w:sz w:val="24"/>
          <w:szCs w:val="24"/>
          <w:lang w:val="en-US"/>
        </w:rPr>
        <w:t xml:space="preserve"> </w:t>
      </w:r>
      <w:r w:rsidR="008C1244" w:rsidRPr="00F4226B">
        <w:rPr>
          <w:rFonts w:ascii="Times New Roman" w:hAnsi="Times New Roman"/>
          <w:sz w:val="24"/>
          <w:szCs w:val="24"/>
          <w:lang w:val="en-US"/>
        </w:rPr>
        <w:t xml:space="preserve">mean </w:t>
      </w:r>
      <w:r w:rsidR="006A78CD" w:rsidRPr="00F4226B">
        <w:rPr>
          <w:rFonts w:ascii="Times New Roman" w:hAnsi="Times New Roman"/>
          <w:sz w:val="24"/>
          <w:szCs w:val="24"/>
          <w:lang w:val="en-US"/>
        </w:rPr>
        <w:t>s</w:t>
      </w:r>
      <w:r w:rsidR="00E679E1" w:rsidRPr="00F4226B">
        <w:rPr>
          <w:rFonts w:ascii="Times New Roman" w:hAnsi="Times New Roman"/>
          <w:sz w:val="24"/>
          <w:szCs w:val="24"/>
          <w:lang w:val="en-US"/>
        </w:rPr>
        <w:t>tock</w:t>
      </w:r>
      <w:r w:rsidR="006A78CD" w:rsidRPr="00F4226B">
        <w:rPr>
          <w:rFonts w:ascii="Times New Roman" w:hAnsi="Times New Roman"/>
          <w:sz w:val="24"/>
          <w:szCs w:val="24"/>
          <w:lang w:val="en-US"/>
        </w:rPr>
        <w:t xml:space="preserve"> returns</w:t>
      </w:r>
      <w:r w:rsidR="00481E6B" w:rsidRPr="00F4226B">
        <w:rPr>
          <w:rFonts w:ascii="Times New Roman" w:hAnsi="Times New Roman"/>
          <w:sz w:val="24"/>
          <w:szCs w:val="24"/>
          <w:lang w:val="en-US"/>
        </w:rPr>
        <w:t xml:space="preserve"> are </w:t>
      </w:r>
      <w:r w:rsidR="006A78CD" w:rsidRPr="00F4226B">
        <w:rPr>
          <w:rFonts w:ascii="Times New Roman" w:hAnsi="Times New Roman"/>
          <w:sz w:val="24"/>
          <w:szCs w:val="24"/>
          <w:lang w:val="en-US"/>
        </w:rPr>
        <w:t>8</w:t>
      </w:r>
      <w:r w:rsidR="00481E6B" w:rsidRPr="00F4226B">
        <w:rPr>
          <w:rFonts w:ascii="Times New Roman" w:hAnsi="Times New Roman"/>
          <w:sz w:val="24"/>
          <w:szCs w:val="24"/>
          <w:lang w:val="en-US"/>
        </w:rPr>
        <w:t>70</w:t>
      </w:r>
      <w:r w:rsidR="006A78CD" w:rsidRPr="00F4226B">
        <w:rPr>
          <w:rFonts w:ascii="Times New Roman" w:hAnsi="Times New Roman"/>
          <w:sz w:val="24"/>
          <w:szCs w:val="24"/>
          <w:lang w:val="en-US"/>
        </w:rPr>
        <w:t>%</w:t>
      </w:r>
      <w:r w:rsidR="00401571" w:rsidRPr="00F4226B">
        <w:rPr>
          <w:rFonts w:ascii="Times New Roman" w:hAnsi="Times New Roman"/>
          <w:sz w:val="24"/>
          <w:szCs w:val="24"/>
          <w:lang w:val="en-US"/>
        </w:rPr>
        <w:t xml:space="preserve"> </w:t>
      </w:r>
      <w:r w:rsidR="00481E6B" w:rsidRPr="00F4226B">
        <w:rPr>
          <w:rFonts w:ascii="Times New Roman" w:hAnsi="Times New Roman"/>
          <w:sz w:val="24"/>
          <w:szCs w:val="24"/>
          <w:lang w:val="en-US"/>
        </w:rPr>
        <w:t xml:space="preserve">(15.9%) and </w:t>
      </w:r>
      <w:r w:rsidR="00401571" w:rsidRPr="00F4226B">
        <w:rPr>
          <w:rFonts w:ascii="Times New Roman" w:hAnsi="Times New Roman"/>
          <w:sz w:val="24"/>
          <w:szCs w:val="24"/>
          <w:lang w:val="en-US"/>
        </w:rPr>
        <w:t>2,547</w:t>
      </w:r>
      <w:r w:rsidR="006A78CD" w:rsidRPr="00F4226B">
        <w:rPr>
          <w:rFonts w:ascii="Times New Roman" w:hAnsi="Times New Roman"/>
          <w:sz w:val="24"/>
          <w:szCs w:val="24"/>
          <w:lang w:val="en-US"/>
        </w:rPr>
        <w:t>%</w:t>
      </w:r>
      <w:r w:rsidR="00481E6B" w:rsidRPr="00F4226B">
        <w:rPr>
          <w:rFonts w:ascii="Times New Roman" w:hAnsi="Times New Roman"/>
          <w:sz w:val="24"/>
          <w:szCs w:val="24"/>
          <w:lang w:val="en-US"/>
        </w:rPr>
        <w:t xml:space="preserve"> (2.6%) for the relatively low and high inflation period</w:t>
      </w:r>
      <w:r w:rsidR="007715E5" w:rsidRPr="00F4226B">
        <w:rPr>
          <w:rFonts w:ascii="Times New Roman" w:hAnsi="Times New Roman"/>
          <w:sz w:val="24"/>
          <w:szCs w:val="24"/>
          <w:lang w:val="en-US"/>
        </w:rPr>
        <w:t>s</w:t>
      </w:r>
      <w:r w:rsidR="00481E6B" w:rsidRPr="00F4226B">
        <w:rPr>
          <w:rFonts w:ascii="Times New Roman" w:hAnsi="Times New Roman"/>
          <w:sz w:val="24"/>
          <w:szCs w:val="24"/>
          <w:lang w:val="en-US"/>
        </w:rPr>
        <w:t>, respectively</w:t>
      </w:r>
      <w:r w:rsidR="006A78CD" w:rsidRPr="00F4226B">
        <w:rPr>
          <w:rFonts w:ascii="Times New Roman" w:hAnsi="Times New Roman"/>
          <w:sz w:val="24"/>
          <w:szCs w:val="24"/>
          <w:lang w:val="en-US"/>
        </w:rPr>
        <w:t xml:space="preserve">. </w:t>
      </w:r>
      <w:r w:rsidR="00481E6B" w:rsidRPr="00F4226B">
        <w:rPr>
          <w:rFonts w:ascii="Times New Roman" w:hAnsi="Times New Roman"/>
          <w:sz w:val="24"/>
          <w:szCs w:val="24"/>
          <w:lang w:val="en-US"/>
        </w:rPr>
        <w:t>On the whole</w:t>
      </w:r>
      <w:r w:rsidR="004A5E04" w:rsidRPr="00F4226B">
        <w:rPr>
          <w:rFonts w:ascii="Times New Roman" w:hAnsi="Times New Roman"/>
          <w:sz w:val="24"/>
          <w:szCs w:val="24"/>
          <w:lang w:val="en-US"/>
        </w:rPr>
        <w:t>,</w:t>
      </w:r>
      <w:r w:rsidR="00481E6B" w:rsidRPr="00F4226B">
        <w:rPr>
          <w:rFonts w:ascii="Times New Roman" w:hAnsi="Times New Roman"/>
          <w:sz w:val="24"/>
          <w:szCs w:val="24"/>
          <w:lang w:val="en-US"/>
        </w:rPr>
        <w:t xml:space="preserve"> the stock prices and stock returns</w:t>
      </w:r>
      <w:r w:rsidR="00FC7F52" w:rsidRPr="00F4226B">
        <w:rPr>
          <w:rFonts w:ascii="Times New Roman" w:hAnsi="Times New Roman"/>
          <w:sz w:val="24"/>
          <w:szCs w:val="24"/>
          <w:lang w:val="en-US"/>
        </w:rPr>
        <w:t xml:space="preserve"> </w:t>
      </w:r>
      <w:r w:rsidR="00481E6B" w:rsidRPr="00F4226B">
        <w:rPr>
          <w:rFonts w:ascii="Times New Roman" w:hAnsi="Times New Roman"/>
          <w:sz w:val="24"/>
          <w:szCs w:val="24"/>
          <w:lang w:val="en-US"/>
        </w:rPr>
        <w:t xml:space="preserve">indicate </w:t>
      </w:r>
      <w:r w:rsidR="00FC7F52" w:rsidRPr="00F4226B">
        <w:rPr>
          <w:rFonts w:ascii="Times New Roman" w:hAnsi="Times New Roman"/>
          <w:sz w:val="24"/>
          <w:szCs w:val="24"/>
          <w:lang w:val="en-US"/>
        </w:rPr>
        <w:t>a</w:t>
      </w:r>
      <w:r w:rsidR="00481E6B" w:rsidRPr="00F4226B">
        <w:rPr>
          <w:rFonts w:ascii="Times New Roman" w:hAnsi="Times New Roman"/>
          <w:sz w:val="24"/>
          <w:szCs w:val="24"/>
          <w:lang w:val="en-US"/>
        </w:rPr>
        <w:t>n increasing (decreasing) trend for Z</w:t>
      </w:r>
      <w:r w:rsidR="00686263">
        <w:rPr>
          <w:rFonts w:ascii="Times New Roman" w:hAnsi="Times New Roman"/>
          <w:sz w:val="24"/>
          <w:szCs w:val="24"/>
          <w:lang w:val="en-US"/>
        </w:rPr>
        <w:t xml:space="preserve">imbabwean dollar </w:t>
      </w:r>
      <w:r w:rsidR="00481E6B" w:rsidRPr="00F4226B">
        <w:rPr>
          <w:rFonts w:ascii="Times New Roman" w:hAnsi="Times New Roman"/>
          <w:sz w:val="24"/>
          <w:szCs w:val="24"/>
          <w:lang w:val="en-US"/>
        </w:rPr>
        <w:t>(US</w:t>
      </w:r>
      <w:r w:rsidR="00686263">
        <w:rPr>
          <w:rFonts w:ascii="Times New Roman" w:hAnsi="Times New Roman"/>
          <w:sz w:val="24"/>
          <w:szCs w:val="24"/>
          <w:lang w:val="en-US"/>
        </w:rPr>
        <w:t xml:space="preserve"> dollar</w:t>
      </w:r>
      <w:r w:rsidR="00481E6B" w:rsidRPr="00F4226B">
        <w:rPr>
          <w:rFonts w:ascii="Times New Roman" w:hAnsi="Times New Roman"/>
          <w:sz w:val="24"/>
          <w:szCs w:val="24"/>
          <w:lang w:val="en-US"/>
        </w:rPr>
        <w:t>)</w:t>
      </w:r>
      <w:r w:rsidR="00FC7F52" w:rsidRPr="00F4226B">
        <w:rPr>
          <w:rFonts w:ascii="Times New Roman" w:hAnsi="Times New Roman"/>
          <w:sz w:val="24"/>
          <w:szCs w:val="24"/>
          <w:lang w:val="en-US"/>
        </w:rPr>
        <w:t xml:space="preserve"> numbers</w:t>
      </w:r>
      <w:r w:rsidR="00DA14A2">
        <w:rPr>
          <w:rFonts w:ascii="Times New Roman" w:hAnsi="Times New Roman"/>
          <w:sz w:val="24"/>
          <w:szCs w:val="24"/>
          <w:lang w:val="en-US"/>
        </w:rPr>
        <w:t>,</w:t>
      </w:r>
      <w:r w:rsidR="00FC7F52" w:rsidRPr="00F4226B">
        <w:rPr>
          <w:rFonts w:ascii="Times New Roman" w:hAnsi="Times New Roman"/>
          <w:sz w:val="24"/>
          <w:szCs w:val="24"/>
          <w:lang w:val="en-US"/>
        </w:rPr>
        <w:t xml:space="preserve"> </w:t>
      </w:r>
      <w:r w:rsidR="00481E6B" w:rsidRPr="00F4226B">
        <w:rPr>
          <w:rFonts w:ascii="Times New Roman" w:hAnsi="Times New Roman"/>
          <w:sz w:val="24"/>
          <w:szCs w:val="24"/>
          <w:lang w:val="en-US"/>
        </w:rPr>
        <w:t xml:space="preserve">reflecting the effects of </w:t>
      </w:r>
      <w:r w:rsidR="00706A7F" w:rsidRPr="00F4226B">
        <w:rPr>
          <w:rFonts w:ascii="Times New Roman" w:hAnsi="Times New Roman"/>
          <w:sz w:val="24"/>
          <w:szCs w:val="24"/>
          <w:lang w:val="en-US"/>
        </w:rPr>
        <w:t xml:space="preserve">both </w:t>
      </w:r>
      <w:r w:rsidR="00481E6B" w:rsidRPr="00F4226B">
        <w:rPr>
          <w:rFonts w:ascii="Times New Roman" w:hAnsi="Times New Roman"/>
          <w:sz w:val="24"/>
          <w:szCs w:val="24"/>
          <w:lang w:val="en-US"/>
        </w:rPr>
        <w:t xml:space="preserve">the weakening of the </w:t>
      </w:r>
      <w:r w:rsidR="00E66666" w:rsidRPr="00F4226B">
        <w:rPr>
          <w:rFonts w:ascii="Times New Roman" w:hAnsi="Times New Roman"/>
          <w:sz w:val="24"/>
          <w:szCs w:val="24"/>
          <w:lang w:val="en-US"/>
        </w:rPr>
        <w:t>Z</w:t>
      </w:r>
      <w:r w:rsidR="00E66666">
        <w:rPr>
          <w:rFonts w:ascii="Times New Roman" w:hAnsi="Times New Roman"/>
          <w:sz w:val="24"/>
          <w:szCs w:val="24"/>
          <w:lang w:val="en-US"/>
        </w:rPr>
        <w:t>imbabwean dollar</w:t>
      </w:r>
      <w:r w:rsidR="00481E6B" w:rsidRPr="00F4226B">
        <w:rPr>
          <w:rFonts w:ascii="Times New Roman" w:hAnsi="Times New Roman"/>
          <w:sz w:val="24"/>
          <w:szCs w:val="24"/>
          <w:lang w:val="en-US"/>
        </w:rPr>
        <w:t xml:space="preserve"> against the US</w:t>
      </w:r>
      <w:r w:rsidR="00E66666">
        <w:rPr>
          <w:rFonts w:ascii="Times New Roman" w:hAnsi="Times New Roman"/>
          <w:sz w:val="24"/>
          <w:szCs w:val="24"/>
          <w:lang w:val="en-US"/>
        </w:rPr>
        <w:t xml:space="preserve"> dollar </w:t>
      </w:r>
      <w:r w:rsidR="00D46508" w:rsidRPr="00F4226B">
        <w:rPr>
          <w:rFonts w:ascii="Times New Roman" w:hAnsi="Times New Roman"/>
          <w:sz w:val="24"/>
          <w:szCs w:val="24"/>
          <w:lang w:val="en-US"/>
        </w:rPr>
        <w:t xml:space="preserve">and </w:t>
      </w:r>
      <w:r w:rsidR="00DA14A2">
        <w:rPr>
          <w:rFonts w:ascii="Times New Roman" w:hAnsi="Times New Roman"/>
          <w:sz w:val="24"/>
          <w:szCs w:val="24"/>
          <w:lang w:val="en-US"/>
        </w:rPr>
        <w:t xml:space="preserve">the </w:t>
      </w:r>
      <w:r w:rsidR="00D46508" w:rsidRPr="00F4226B">
        <w:rPr>
          <w:rFonts w:ascii="Times New Roman" w:hAnsi="Times New Roman"/>
          <w:sz w:val="24"/>
          <w:szCs w:val="24"/>
          <w:lang w:val="en-US"/>
        </w:rPr>
        <w:t xml:space="preserve">increasing inflation </w:t>
      </w:r>
      <w:r w:rsidR="00FC7F52" w:rsidRPr="00F4226B">
        <w:rPr>
          <w:rFonts w:ascii="Times New Roman" w:hAnsi="Times New Roman"/>
          <w:sz w:val="24"/>
          <w:szCs w:val="24"/>
          <w:lang w:val="en-US"/>
        </w:rPr>
        <w:t>over the study period</w:t>
      </w:r>
      <w:r w:rsidR="00481E6B" w:rsidRPr="00F4226B">
        <w:rPr>
          <w:rFonts w:ascii="Times New Roman" w:hAnsi="Times New Roman"/>
          <w:sz w:val="24"/>
          <w:szCs w:val="24"/>
          <w:lang w:val="en-US"/>
        </w:rPr>
        <w:t xml:space="preserve">. </w:t>
      </w:r>
    </w:p>
    <w:p w14:paraId="6B4C35F1" w14:textId="61D2B3D5" w:rsidR="0059694C" w:rsidRPr="00F4226B" w:rsidRDefault="0059694C" w:rsidP="00FC7F52">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lastRenderedPageBreak/>
        <w:t xml:space="preserve">In Panels B and C, we present the summary statistics for HC and IA </w:t>
      </w:r>
      <w:r w:rsidR="00FC7F52" w:rsidRPr="00F4226B">
        <w:rPr>
          <w:rFonts w:ascii="Times New Roman" w:hAnsi="Times New Roman"/>
          <w:sz w:val="24"/>
          <w:szCs w:val="24"/>
          <w:lang w:val="en-US"/>
        </w:rPr>
        <w:t>amounts</w:t>
      </w:r>
      <w:r w:rsidRPr="00F4226B">
        <w:rPr>
          <w:rFonts w:ascii="Times New Roman" w:hAnsi="Times New Roman"/>
          <w:sz w:val="24"/>
          <w:szCs w:val="24"/>
          <w:lang w:val="en-US"/>
        </w:rPr>
        <w:t xml:space="preserve">, respectively. </w:t>
      </w:r>
      <w:r w:rsidR="00561F38" w:rsidRPr="00F4226B">
        <w:rPr>
          <w:rFonts w:ascii="Times New Roman" w:hAnsi="Times New Roman"/>
          <w:sz w:val="24"/>
          <w:szCs w:val="24"/>
          <w:lang w:val="en-US"/>
        </w:rPr>
        <w:t xml:space="preserve">We first report the descriptive statistics </w:t>
      </w:r>
      <w:r w:rsidR="006D0799" w:rsidRPr="00F4226B">
        <w:rPr>
          <w:rFonts w:ascii="Times New Roman" w:hAnsi="Times New Roman"/>
          <w:sz w:val="24"/>
          <w:szCs w:val="24"/>
          <w:lang w:val="en-US"/>
        </w:rPr>
        <w:t xml:space="preserve">for </w:t>
      </w:r>
      <w:r w:rsidR="00561F38" w:rsidRPr="00F4226B">
        <w:rPr>
          <w:rFonts w:ascii="Times New Roman" w:hAnsi="Times New Roman"/>
          <w:sz w:val="24"/>
          <w:szCs w:val="24"/>
          <w:lang w:val="en-US"/>
        </w:rPr>
        <w:t xml:space="preserve">the entire pooled sample. </w:t>
      </w:r>
      <w:r w:rsidRPr="00F4226B">
        <w:rPr>
          <w:rFonts w:ascii="Times New Roman" w:hAnsi="Times New Roman"/>
          <w:sz w:val="24"/>
          <w:szCs w:val="24"/>
          <w:lang w:val="en-US"/>
        </w:rPr>
        <w:t xml:space="preserve">As would be expected, Panels B and C indicate that the mean earnings </w:t>
      </w:r>
      <w:r w:rsidR="00D46508" w:rsidRPr="00F4226B">
        <w:rPr>
          <w:rFonts w:ascii="Times New Roman" w:hAnsi="Times New Roman"/>
          <w:sz w:val="24"/>
          <w:szCs w:val="24"/>
          <w:lang w:val="en-US"/>
        </w:rPr>
        <w:t xml:space="preserve">of </w:t>
      </w:r>
      <w:r w:rsidR="008C1244" w:rsidRPr="00F4226B">
        <w:rPr>
          <w:rFonts w:ascii="Times New Roman" w:hAnsi="Times New Roman"/>
          <w:sz w:val="24"/>
          <w:szCs w:val="24"/>
          <w:lang w:val="en-US"/>
        </w:rPr>
        <w:t>Z$</w:t>
      </w:r>
      <w:r w:rsidR="006A78CD" w:rsidRPr="00F4226B">
        <w:rPr>
          <w:rFonts w:ascii="Times New Roman" w:hAnsi="Times New Roman"/>
          <w:sz w:val="24"/>
          <w:szCs w:val="24"/>
          <w:lang w:val="en-US"/>
        </w:rPr>
        <w:t xml:space="preserve">346.43 </w:t>
      </w:r>
      <w:r w:rsidR="00062218" w:rsidRPr="00F4226B">
        <w:rPr>
          <w:rFonts w:ascii="Times New Roman" w:hAnsi="Times New Roman"/>
          <w:sz w:val="24"/>
          <w:szCs w:val="24"/>
          <w:lang w:val="en-US"/>
        </w:rPr>
        <w:t>(US$0.</w:t>
      </w:r>
      <w:r w:rsidR="00D46508" w:rsidRPr="00F4226B">
        <w:rPr>
          <w:rFonts w:ascii="Times New Roman" w:hAnsi="Times New Roman"/>
          <w:sz w:val="24"/>
          <w:szCs w:val="24"/>
          <w:lang w:val="en-US"/>
        </w:rPr>
        <w:t>125</w:t>
      </w:r>
      <w:r w:rsidR="00062218" w:rsidRPr="00F4226B">
        <w:rPr>
          <w:rFonts w:ascii="Times New Roman" w:hAnsi="Times New Roman"/>
          <w:sz w:val="24"/>
          <w:szCs w:val="24"/>
          <w:lang w:val="en-US"/>
        </w:rPr>
        <w:t xml:space="preserve">) </w:t>
      </w:r>
      <w:r w:rsidR="00D317E7" w:rsidRPr="00F4226B">
        <w:rPr>
          <w:rFonts w:ascii="Times New Roman" w:hAnsi="Times New Roman"/>
          <w:sz w:val="24"/>
          <w:szCs w:val="24"/>
          <w:lang w:val="en-US"/>
        </w:rPr>
        <w:t xml:space="preserve">per share </w:t>
      </w:r>
      <w:r w:rsidR="00DA14A2" w:rsidRPr="00F4226B">
        <w:rPr>
          <w:rFonts w:ascii="Times New Roman" w:hAnsi="Times New Roman"/>
          <w:sz w:val="24"/>
          <w:szCs w:val="24"/>
          <w:lang w:val="en-US"/>
        </w:rPr>
        <w:t xml:space="preserve">under HC accounting </w:t>
      </w:r>
      <w:r w:rsidR="00D317E7" w:rsidRPr="00F4226B">
        <w:rPr>
          <w:rFonts w:ascii="Times New Roman" w:hAnsi="Times New Roman"/>
          <w:sz w:val="24"/>
          <w:szCs w:val="24"/>
          <w:lang w:val="en-US"/>
        </w:rPr>
        <w:t>a</w:t>
      </w:r>
      <w:r w:rsidR="00D46508" w:rsidRPr="00F4226B">
        <w:rPr>
          <w:rFonts w:ascii="Times New Roman" w:hAnsi="Times New Roman"/>
          <w:sz w:val="24"/>
          <w:szCs w:val="24"/>
          <w:lang w:val="en-US"/>
        </w:rPr>
        <w:t>re</w:t>
      </w:r>
      <w:r w:rsidR="00D317E7" w:rsidRPr="00F4226B">
        <w:rPr>
          <w:rFonts w:ascii="Times New Roman" w:hAnsi="Times New Roman"/>
          <w:sz w:val="24"/>
          <w:szCs w:val="24"/>
          <w:lang w:val="en-US"/>
        </w:rPr>
        <w:t xml:space="preserve"> </w:t>
      </w:r>
      <w:r w:rsidR="006A78CD" w:rsidRPr="00F4226B">
        <w:rPr>
          <w:rFonts w:ascii="Times New Roman" w:hAnsi="Times New Roman"/>
          <w:sz w:val="24"/>
          <w:szCs w:val="24"/>
          <w:lang w:val="en-US"/>
        </w:rPr>
        <w:t xml:space="preserve">greater than </w:t>
      </w:r>
      <w:r w:rsidR="00D317E7" w:rsidRPr="00F4226B">
        <w:rPr>
          <w:rFonts w:ascii="Times New Roman" w:hAnsi="Times New Roman"/>
          <w:sz w:val="24"/>
          <w:szCs w:val="24"/>
          <w:lang w:val="en-US"/>
        </w:rPr>
        <w:t xml:space="preserve">the </w:t>
      </w:r>
      <w:r w:rsidR="00DA14A2">
        <w:rPr>
          <w:rFonts w:ascii="Times New Roman" w:hAnsi="Times New Roman"/>
          <w:sz w:val="24"/>
          <w:szCs w:val="24"/>
          <w:lang w:val="en-US"/>
        </w:rPr>
        <w:t xml:space="preserve">mean earnings of </w:t>
      </w:r>
      <w:r w:rsidR="006A78CD" w:rsidRPr="00F4226B">
        <w:rPr>
          <w:rFonts w:ascii="Times New Roman" w:hAnsi="Times New Roman"/>
          <w:sz w:val="24"/>
          <w:szCs w:val="24"/>
          <w:lang w:val="en-US"/>
        </w:rPr>
        <w:t>Z$134.14</w:t>
      </w:r>
      <w:r w:rsidR="0097136B" w:rsidRPr="00F4226B">
        <w:rPr>
          <w:rFonts w:ascii="Times New Roman" w:hAnsi="Times New Roman"/>
          <w:sz w:val="24"/>
          <w:szCs w:val="24"/>
          <w:lang w:val="en-US"/>
        </w:rPr>
        <w:t xml:space="preserve"> </w:t>
      </w:r>
      <w:r w:rsidR="00062218" w:rsidRPr="00F4226B">
        <w:rPr>
          <w:rFonts w:ascii="Times New Roman" w:hAnsi="Times New Roman"/>
          <w:sz w:val="24"/>
          <w:szCs w:val="24"/>
          <w:lang w:val="en-US"/>
        </w:rPr>
        <w:t>(US$0.</w:t>
      </w:r>
      <w:r w:rsidR="00D46508" w:rsidRPr="00F4226B">
        <w:rPr>
          <w:rFonts w:ascii="Times New Roman" w:hAnsi="Times New Roman"/>
          <w:sz w:val="24"/>
          <w:szCs w:val="24"/>
          <w:lang w:val="en-US"/>
        </w:rPr>
        <w:t>042</w:t>
      </w:r>
      <w:r w:rsidR="00062218" w:rsidRPr="00F4226B">
        <w:rPr>
          <w:rFonts w:ascii="Times New Roman" w:hAnsi="Times New Roman"/>
          <w:sz w:val="24"/>
          <w:szCs w:val="24"/>
          <w:lang w:val="en-US"/>
        </w:rPr>
        <w:t xml:space="preserve">) </w:t>
      </w:r>
      <w:r w:rsidR="00D317E7" w:rsidRPr="00F4226B">
        <w:rPr>
          <w:rFonts w:ascii="Times New Roman" w:hAnsi="Times New Roman"/>
          <w:sz w:val="24"/>
          <w:szCs w:val="24"/>
          <w:lang w:val="en-US"/>
        </w:rPr>
        <w:t xml:space="preserve">per share </w:t>
      </w:r>
      <w:r w:rsidR="006A78CD" w:rsidRPr="00F4226B">
        <w:rPr>
          <w:rFonts w:ascii="Times New Roman" w:hAnsi="Times New Roman"/>
          <w:sz w:val="24"/>
          <w:szCs w:val="24"/>
          <w:lang w:val="en-US"/>
        </w:rPr>
        <w:t>under IA accounting</w:t>
      </w:r>
      <w:r w:rsidR="00D317E7" w:rsidRPr="00F4226B">
        <w:rPr>
          <w:rFonts w:ascii="Times New Roman" w:hAnsi="Times New Roman"/>
          <w:sz w:val="24"/>
          <w:szCs w:val="24"/>
          <w:lang w:val="en-US"/>
        </w:rPr>
        <w:t xml:space="preserve">. Similarly, </w:t>
      </w:r>
      <w:r w:rsidRPr="00F4226B">
        <w:rPr>
          <w:rFonts w:ascii="Times New Roman" w:hAnsi="Times New Roman"/>
          <w:sz w:val="24"/>
          <w:szCs w:val="24"/>
          <w:lang w:val="en-US"/>
        </w:rPr>
        <w:t xml:space="preserve">the mean </w:t>
      </w:r>
      <w:r w:rsidR="008C1244" w:rsidRPr="00F4226B">
        <w:rPr>
          <w:rFonts w:ascii="Times New Roman" w:hAnsi="Times New Roman"/>
          <w:sz w:val="24"/>
          <w:szCs w:val="24"/>
          <w:lang w:val="en-US"/>
        </w:rPr>
        <w:t xml:space="preserve">HC </w:t>
      </w:r>
      <w:r w:rsidRPr="00F4226B">
        <w:rPr>
          <w:rFonts w:ascii="Times New Roman" w:hAnsi="Times New Roman"/>
          <w:sz w:val="24"/>
          <w:szCs w:val="24"/>
          <w:lang w:val="en-US"/>
        </w:rPr>
        <w:t>book value</w:t>
      </w:r>
      <w:r w:rsidR="00C846EC" w:rsidRPr="00F4226B">
        <w:rPr>
          <w:rFonts w:ascii="Times New Roman" w:hAnsi="Times New Roman"/>
          <w:sz w:val="24"/>
          <w:szCs w:val="24"/>
          <w:lang w:val="en-US"/>
        </w:rPr>
        <w:t>s</w:t>
      </w:r>
      <w:r w:rsidRPr="00F4226B">
        <w:rPr>
          <w:rFonts w:ascii="Times New Roman" w:hAnsi="Times New Roman"/>
          <w:sz w:val="24"/>
          <w:szCs w:val="24"/>
          <w:lang w:val="en-US"/>
        </w:rPr>
        <w:t xml:space="preserve"> of equity</w:t>
      </w:r>
      <w:r w:rsidR="00DA14A2">
        <w:rPr>
          <w:rFonts w:ascii="Times New Roman" w:hAnsi="Times New Roman"/>
          <w:sz w:val="24"/>
          <w:szCs w:val="24"/>
          <w:lang w:val="en-US"/>
        </w:rPr>
        <w:t>,</w:t>
      </w:r>
      <w:r w:rsidRPr="00F4226B">
        <w:rPr>
          <w:rFonts w:ascii="Times New Roman" w:hAnsi="Times New Roman"/>
          <w:sz w:val="24"/>
          <w:szCs w:val="24"/>
          <w:lang w:val="en-US"/>
        </w:rPr>
        <w:t xml:space="preserve"> </w:t>
      </w:r>
      <w:r w:rsidR="00C846EC" w:rsidRPr="00F4226B">
        <w:rPr>
          <w:rFonts w:ascii="Times New Roman" w:hAnsi="Times New Roman"/>
          <w:sz w:val="24"/>
          <w:szCs w:val="24"/>
          <w:lang w:val="en-US"/>
        </w:rPr>
        <w:t xml:space="preserve">at </w:t>
      </w:r>
      <w:r w:rsidR="00D317E7" w:rsidRPr="00F4226B">
        <w:rPr>
          <w:rFonts w:ascii="Times New Roman" w:hAnsi="Times New Roman"/>
          <w:sz w:val="24"/>
          <w:szCs w:val="24"/>
          <w:lang w:val="en-US"/>
        </w:rPr>
        <w:t>Z$900.61</w:t>
      </w:r>
      <w:r w:rsidR="0097136B" w:rsidRPr="00F4226B">
        <w:rPr>
          <w:rFonts w:ascii="Times New Roman" w:hAnsi="Times New Roman"/>
          <w:sz w:val="24"/>
          <w:szCs w:val="24"/>
          <w:lang w:val="en-US"/>
        </w:rPr>
        <w:t xml:space="preserve"> </w:t>
      </w:r>
      <w:r w:rsidR="00062218" w:rsidRPr="00F4226B">
        <w:rPr>
          <w:rFonts w:ascii="Times New Roman" w:hAnsi="Times New Roman"/>
          <w:sz w:val="24"/>
          <w:szCs w:val="24"/>
          <w:lang w:val="en-US"/>
        </w:rPr>
        <w:t xml:space="preserve">(US$0.361) </w:t>
      </w:r>
      <w:r w:rsidR="00D317E7" w:rsidRPr="00F4226B">
        <w:rPr>
          <w:rFonts w:ascii="Times New Roman" w:hAnsi="Times New Roman"/>
          <w:sz w:val="24"/>
          <w:szCs w:val="24"/>
          <w:lang w:val="en-US"/>
        </w:rPr>
        <w:t>per share</w:t>
      </w:r>
      <w:r w:rsidR="00DA14A2">
        <w:rPr>
          <w:rFonts w:ascii="Times New Roman" w:hAnsi="Times New Roman"/>
          <w:sz w:val="24"/>
          <w:szCs w:val="24"/>
          <w:lang w:val="en-US"/>
        </w:rPr>
        <w:t>,</w:t>
      </w:r>
      <w:r w:rsidR="00D317E7" w:rsidRPr="00F4226B">
        <w:rPr>
          <w:rFonts w:ascii="Times New Roman" w:hAnsi="Times New Roman"/>
          <w:sz w:val="24"/>
          <w:szCs w:val="24"/>
          <w:lang w:val="en-US"/>
        </w:rPr>
        <w:t xml:space="preserve"> </w:t>
      </w:r>
      <w:r w:rsidR="00DA14A2">
        <w:rPr>
          <w:rFonts w:ascii="Times New Roman" w:hAnsi="Times New Roman"/>
          <w:sz w:val="24"/>
          <w:szCs w:val="24"/>
          <w:lang w:val="en-US"/>
        </w:rPr>
        <w:t>are</w:t>
      </w:r>
      <w:r w:rsidR="00DA14A2" w:rsidRPr="00F4226B">
        <w:rPr>
          <w:rFonts w:ascii="Times New Roman" w:hAnsi="Times New Roman"/>
          <w:sz w:val="24"/>
          <w:szCs w:val="24"/>
          <w:lang w:val="en-US"/>
        </w:rPr>
        <w:t xml:space="preserve"> </w:t>
      </w:r>
      <w:r w:rsidR="00D317E7" w:rsidRPr="00F4226B">
        <w:rPr>
          <w:rFonts w:ascii="Times New Roman" w:hAnsi="Times New Roman"/>
          <w:sz w:val="24"/>
          <w:szCs w:val="24"/>
          <w:lang w:val="en-US"/>
        </w:rPr>
        <w:t>smaller than the Z$1,534.36</w:t>
      </w:r>
      <w:r w:rsidR="0097136B" w:rsidRPr="00F4226B">
        <w:rPr>
          <w:rFonts w:ascii="Times New Roman" w:hAnsi="Times New Roman"/>
          <w:sz w:val="24"/>
          <w:szCs w:val="24"/>
          <w:lang w:val="en-US"/>
        </w:rPr>
        <w:t xml:space="preserve"> </w:t>
      </w:r>
      <w:r w:rsidR="00062218" w:rsidRPr="00F4226B">
        <w:rPr>
          <w:rFonts w:ascii="Times New Roman" w:hAnsi="Times New Roman"/>
          <w:sz w:val="24"/>
          <w:szCs w:val="24"/>
          <w:lang w:val="en-US"/>
        </w:rPr>
        <w:t>(US$</w:t>
      </w:r>
      <w:r w:rsidR="00BC249B" w:rsidRPr="00F4226B">
        <w:rPr>
          <w:rFonts w:ascii="Times New Roman" w:hAnsi="Times New Roman"/>
          <w:sz w:val="24"/>
          <w:szCs w:val="24"/>
          <w:lang w:val="en-US"/>
        </w:rPr>
        <w:t xml:space="preserve">0.604) per share </w:t>
      </w:r>
      <w:r w:rsidRPr="00F4226B">
        <w:rPr>
          <w:rFonts w:ascii="Times New Roman" w:hAnsi="Times New Roman"/>
          <w:sz w:val="24"/>
          <w:szCs w:val="24"/>
          <w:lang w:val="en-US"/>
        </w:rPr>
        <w:t xml:space="preserve">under IA accounting. </w:t>
      </w:r>
      <w:r w:rsidR="00561F38" w:rsidRPr="00F4226B">
        <w:rPr>
          <w:rFonts w:ascii="Times New Roman" w:hAnsi="Times New Roman"/>
          <w:sz w:val="24"/>
          <w:szCs w:val="24"/>
          <w:lang w:val="en-US"/>
        </w:rPr>
        <w:t xml:space="preserve">With regards to </w:t>
      </w:r>
      <w:r w:rsidR="00B25393" w:rsidRPr="00F4226B">
        <w:rPr>
          <w:rFonts w:ascii="Times New Roman" w:hAnsi="Times New Roman"/>
          <w:sz w:val="24"/>
          <w:szCs w:val="24"/>
          <w:lang w:val="en-US"/>
        </w:rPr>
        <w:t>t</w:t>
      </w:r>
      <w:r w:rsidR="00436E2C" w:rsidRPr="00F4226B">
        <w:rPr>
          <w:rFonts w:ascii="Times New Roman" w:hAnsi="Times New Roman"/>
          <w:sz w:val="24"/>
          <w:szCs w:val="24"/>
          <w:lang w:val="en-US"/>
        </w:rPr>
        <w:t>he relatively low and high inflation</w:t>
      </w:r>
      <w:r w:rsidR="00B25393" w:rsidRPr="00F4226B">
        <w:rPr>
          <w:rFonts w:ascii="Times New Roman" w:hAnsi="Times New Roman"/>
          <w:sz w:val="24"/>
          <w:szCs w:val="24"/>
          <w:lang w:val="en-US"/>
        </w:rPr>
        <w:t xml:space="preserve"> periods, </w:t>
      </w:r>
      <w:r w:rsidR="00561F38" w:rsidRPr="00F4226B">
        <w:rPr>
          <w:rFonts w:ascii="Times New Roman" w:hAnsi="Times New Roman"/>
          <w:sz w:val="24"/>
          <w:szCs w:val="24"/>
          <w:lang w:val="en-US"/>
        </w:rPr>
        <w:t xml:space="preserve">we observe that </w:t>
      </w:r>
      <w:r w:rsidR="00436E2C" w:rsidRPr="00F4226B">
        <w:rPr>
          <w:rFonts w:ascii="Times New Roman" w:hAnsi="Times New Roman"/>
          <w:sz w:val="24"/>
          <w:szCs w:val="24"/>
          <w:lang w:val="en-US"/>
        </w:rPr>
        <w:t xml:space="preserve">the </w:t>
      </w:r>
      <w:r w:rsidR="00DA14A2">
        <w:rPr>
          <w:rFonts w:ascii="Times New Roman" w:hAnsi="Times New Roman"/>
          <w:sz w:val="24"/>
          <w:szCs w:val="24"/>
          <w:lang w:val="en-US"/>
        </w:rPr>
        <w:t>emerging story</w:t>
      </w:r>
      <w:r w:rsidR="00561F38" w:rsidRPr="00F4226B">
        <w:rPr>
          <w:rFonts w:ascii="Times New Roman" w:hAnsi="Times New Roman"/>
          <w:sz w:val="24"/>
          <w:szCs w:val="24"/>
          <w:lang w:val="en-US"/>
        </w:rPr>
        <w:t xml:space="preserve"> is </w:t>
      </w:r>
      <w:r w:rsidR="007C53AF" w:rsidRPr="00F4226B">
        <w:rPr>
          <w:rFonts w:ascii="Times New Roman" w:hAnsi="Times New Roman"/>
          <w:sz w:val="24"/>
          <w:szCs w:val="24"/>
          <w:lang w:val="en-US"/>
        </w:rPr>
        <w:t xml:space="preserve">similar </w:t>
      </w:r>
      <w:r w:rsidR="00561F38" w:rsidRPr="00F4226B">
        <w:rPr>
          <w:rFonts w:ascii="Times New Roman" w:hAnsi="Times New Roman"/>
          <w:sz w:val="24"/>
          <w:szCs w:val="24"/>
          <w:lang w:val="en-US"/>
        </w:rPr>
        <w:t xml:space="preserve">to the entire pooled sample. That is, </w:t>
      </w:r>
      <w:r w:rsidR="00DA14A2">
        <w:rPr>
          <w:rFonts w:ascii="Times New Roman" w:hAnsi="Times New Roman"/>
          <w:sz w:val="24"/>
          <w:szCs w:val="24"/>
          <w:lang w:val="en-US"/>
        </w:rPr>
        <w:t xml:space="preserve">the </w:t>
      </w:r>
      <w:r w:rsidR="00561F38" w:rsidRPr="00F4226B">
        <w:rPr>
          <w:rFonts w:ascii="Times New Roman" w:hAnsi="Times New Roman"/>
          <w:sz w:val="24"/>
          <w:szCs w:val="24"/>
          <w:lang w:val="en-US"/>
        </w:rPr>
        <w:t xml:space="preserve">earnings (book values) </w:t>
      </w:r>
      <w:r w:rsidR="00DA14A2" w:rsidRPr="00F4226B">
        <w:rPr>
          <w:rFonts w:ascii="Times New Roman" w:hAnsi="Times New Roman"/>
          <w:sz w:val="24"/>
          <w:szCs w:val="24"/>
          <w:lang w:val="en-US"/>
        </w:rPr>
        <w:t xml:space="preserve">are greater (smaller) </w:t>
      </w:r>
      <w:r w:rsidR="00436E2C" w:rsidRPr="00F4226B">
        <w:rPr>
          <w:rFonts w:ascii="Times New Roman" w:hAnsi="Times New Roman"/>
          <w:sz w:val="24"/>
          <w:szCs w:val="24"/>
          <w:lang w:val="en-US"/>
        </w:rPr>
        <w:t xml:space="preserve">under the HC accounting system than </w:t>
      </w:r>
      <w:r w:rsidR="00561F38" w:rsidRPr="00F4226B">
        <w:rPr>
          <w:rFonts w:ascii="Times New Roman" w:hAnsi="Times New Roman"/>
          <w:sz w:val="24"/>
          <w:szCs w:val="24"/>
          <w:lang w:val="en-US"/>
        </w:rPr>
        <w:t xml:space="preserve">under the </w:t>
      </w:r>
      <w:r w:rsidR="00436E2C" w:rsidRPr="00F4226B">
        <w:rPr>
          <w:rFonts w:ascii="Times New Roman" w:hAnsi="Times New Roman"/>
          <w:sz w:val="24"/>
          <w:szCs w:val="24"/>
          <w:lang w:val="en-US"/>
        </w:rPr>
        <w:t xml:space="preserve">IA accounting system. </w:t>
      </w:r>
      <w:r w:rsidR="00B25393" w:rsidRPr="00F4226B">
        <w:rPr>
          <w:rFonts w:ascii="Times New Roman" w:hAnsi="Times New Roman"/>
          <w:sz w:val="24"/>
          <w:szCs w:val="24"/>
          <w:lang w:val="en-US"/>
        </w:rPr>
        <w:t>In all cases, t</w:t>
      </w:r>
      <w:r w:rsidRPr="00F4226B">
        <w:rPr>
          <w:rFonts w:ascii="Times New Roman" w:hAnsi="Times New Roman"/>
          <w:sz w:val="24"/>
          <w:szCs w:val="24"/>
          <w:lang w:val="en-US"/>
        </w:rPr>
        <w:t xml:space="preserve">he pair-wise tests </w:t>
      </w:r>
      <w:r w:rsidR="00BC249B" w:rsidRPr="00F4226B">
        <w:rPr>
          <w:rFonts w:ascii="Times New Roman" w:hAnsi="Times New Roman"/>
          <w:sz w:val="24"/>
          <w:szCs w:val="24"/>
          <w:lang w:val="en-US"/>
        </w:rPr>
        <w:t xml:space="preserve">for </w:t>
      </w:r>
      <w:r w:rsidR="00DF2C5D" w:rsidRPr="00F4226B">
        <w:rPr>
          <w:rFonts w:ascii="Times New Roman" w:hAnsi="Times New Roman"/>
          <w:sz w:val="24"/>
          <w:szCs w:val="24"/>
          <w:lang w:val="en-US"/>
        </w:rPr>
        <w:t xml:space="preserve">both </w:t>
      </w:r>
      <w:r w:rsidR="00BC249B" w:rsidRPr="00F4226B">
        <w:rPr>
          <w:rFonts w:ascii="Times New Roman" w:hAnsi="Times New Roman"/>
          <w:sz w:val="24"/>
          <w:szCs w:val="24"/>
          <w:lang w:val="en-US"/>
        </w:rPr>
        <w:t>Z</w:t>
      </w:r>
      <w:r w:rsidR="003F73A4">
        <w:rPr>
          <w:rFonts w:ascii="Times New Roman" w:hAnsi="Times New Roman"/>
          <w:sz w:val="24"/>
          <w:szCs w:val="24"/>
          <w:lang w:val="en-US"/>
        </w:rPr>
        <w:t xml:space="preserve">imbabwean </w:t>
      </w:r>
      <w:r w:rsidR="00BC249B" w:rsidRPr="00F4226B">
        <w:rPr>
          <w:rFonts w:ascii="Times New Roman" w:hAnsi="Times New Roman"/>
          <w:sz w:val="24"/>
          <w:szCs w:val="24"/>
          <w:lang w:val="en-US"/>
        </w:rPr>
        <w:t>and US</w:t>
      </w:r>
      <w:r w:rsidR="003F73A4">
        <w:rPr>
          <w:rFonts w:ascii="Times New Roman" w:hAnsi="Times New Roman"/>
          <w:sz w:val="24"/>
          <w:szCs w:val="24"/>
          <w:lang w:val="en-US"/>
        </w:rPr>
        <w:t xml:space="preserve"> dollar </w:t>
      </w:r>
      <w:r w:rsidR="00C846EC" w:rsidRPr="00F4226B">
        <w:rPr>
          <w:rFonts w:ascii="Times New Roman" w:hAnsi="Times New Roman"/>
          <w:sz w:val="24"/>
          <w:szCs w:val="24"/>
          <w:lang w:val="en-US"/>
        </w:rPr>
        <w:t>amounts</w:t>
      </w:r>
      <w:r w:rsidR="00BC249B"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indicate that the </w:t>
      </w:r>
      <w:r w:rsidR="00B25393" w:rsidRPr="00F4226B">
        <w:rPr>
          <w:rFonts w:ascii="Times New Roman" w:hAnsi="Times New Roman"/>
          <w:sz w:val="24"/>
          <w:szCs w:val="24"/>
          <w:lang w:val="en-US"/>
        </w:rPr>
        <w:t xml:space="preserve">mean </w:t>
      </w:r>
      <w:r w:rsidRPr="00F4226B">
        <w:rPr>
          <w:rFonts w:ascii="Times New Roman" w:hAnsi="Times New Roman"/>
          <w:sz w:val="24"/>
          <w:szCs w:val="24"/>
          <w:lang w:val="en-US"/>
        </w:rPr>
        <w:t xml:space="preserve">differences between HC and IA </w:t>
      </w:r>
      <w:r w:rsidR="00CF3168" w:rsidRPr="00F4226B">
        <w:rPr>
          <w:rFonts w:ascii="Times New Roman" w:hAnsi="Times New Roman"/>
          <w:sz w:val="24"/>
          <w:szCs w:val="24"/>
          <w:lang w:val="en-US"/>
        </w:rPr>
        <w:t>a</w:t>
      </w:r>
      <w:r w:rsidR="00BC249B" w:rsidRPr="00F4226B">
        <w:rPr>
          <w:rFonts w:ascii="Times New Roman" w:hAnsi="Times New Roman"/>
          <w:sz w:val="24"/>
          <w:szCs w:val="24"/>
          <w:lang w:val="en-US"/>
        </w:rPr>
        <w:t xml:space="preserve">mounts </w:t>
      </w:r>
      <w:r w:rsidR="00B25393" w:rsidRPr="00F4226B">
        <w:rPr>
          <w:rFonts w:ascii="Times New Roman" w:hAnsi="Times New Roman"/>
          <w:sz w:val="24"/>
          <w:szCs w:val="24"/>
          <w:lang w:val="en-US"/>
        </w:rPr>
        <w:t>(Panel</w:t>
      </w:r>
      <w:r w:rsidR="00DA14A2">
        <w:rPr>
          <w:rFonts w:ascii="Times New Roman" w:hAnsi="Times New Roman"/>
          <w:sz w:val="24"/>
          <w:szCs w:val="24"/>
          <w:lang w:val="en-US"/>
        </w:rPr>
        <w:t>s</w:t>
      </w:r>
      <w:r w:rsidR="00B25393" w:rsidRPr="00F4226B">
        <w:rPr>
          <w:rFonts w:ascii="Times New Roman" w:hAnsi="Times New Roman"/>
          <w:sz w:val="24"/>
          <w:szCs w:val="24"/>
          <w:lang w:val="en-US"/>
        </w:rPr>
        <w:t xml:space="preserve"> B</w:t>
      </w:r>
      <w:r w:rsidR="00DA14A2">
        <w:rPr>
          <w:rFonts w:ascii="Times New Roman" w:hAnsi="Times New Roman"/>
          <w:sz w:val="24"/>
          <w:szCs w:val="24"/>
          <w:lang w:val="en-US"/>
        </w:rPr>
        <w:t xml:space="preserve"> and </w:t>
      </w:r>
      <w:r w:rsidR="00B25393" w:rsidRPr="00F4226B">
        <w:rPr>
          <w:rFonts w:ascii="Times New Roman" w:hAnsi="Times New Roman"/>
          <w:sz w:val="24"/>
          <w:szCs w:val="24"/>
          <w:lang w:val="en-US"/>
        </w:rPr>
        <w:t xml:space="preserve">C) </w:t>
      </w:r>
      <w:r w:rsidRPr="00F4226B">
        <w:rPr>
          <w:rFonts w:ascii="Times New Roman" w:hAnsi="Times New Roman"/>
          <w:sz w:val="24"/>
          <w:szCs w:val="24"/>
          <w:lang w:val="en-US"/>
        </w:rPr>
        <w:t>are significant at the 1% level or better.</w:t>
      </w:r>
    </w:p>
    <w:p w14:paraId="65BE5C0E" w14:textId="77777777" w:rsidR="0059694C" w:rsidRPr="00F4226B" w:rsidRDefault="0059694C" w:rsidP="003B13CE">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lastRenderedPageBreak/>
        <w:t>-----------------------------------</w:t>
      </w:r>
    </w:p>
    <w:p w14:paraId="52DE6884" w14:textId="77777777" w:rsidR="0059694C" w:rsidRPr="00F4226B" w:rsidRDefault="0059694C" w:rsidP="003820D1">
      <w:pPr>
        <w:spacing w:line="240" w:lineRule="auto"/>
        <w:ind w:firstLine="284"/>
        <w:jc w:val="center"/>
        <w:outlineLvl w:val="0"/>
        <w:rPr>
          <w:rFonts w:ascii="Times New Roman" w:hAnsi="Times New Roman"/>
          <w:b/>
          <w:sz w:val="24"/>
          <w:szCs w:val="24"/>
          <w:lang w:val="en-US"/>
        </w:rPr>
      </w:pPr>
      <w:r w:rsidRPr="00F4226B">
        <w:rPr>
          <w:rFonts w:ascii="Times New Roman" w:hAnsi="Times New Roman"/>
          <w:b/>
          <w:sz w:val="24"/>
          <w:szCs w:val="24"/>
          <w:lang w:val="en-US"/>
        </w:rPr>
        <w:t xml:space="preserve">Insert Table </w:t>
      </w:r>
      <w:r w:rsidR="007422DB" w:rsidRPr="00F4226B">
        <w:rPr>
          <w:rFonts w:ascii="Times New Roman" w:hAnsi="Times New Roman"/>
          <w:b/>
          <w:sz w:val="24"/>
          <w:szCs w:val="24"/>
          <w:lang w:val="en-US"/>
        </w:rPr>
        <w:t>4</w:t>
      </w:r>
      <w:r w:rsidRPr="00F4226B">
        <w:rPr>
          <w:rFonts w:ascii="Times New Roman" w:hAnsi="Times New Roman"/>
          <w:b/>
          <w:sz w:val="24"/>
          <w:szCs w:val="24"/>
          <w:lang w:val="en-US"/>
        </w:rPr>
        <w:t xml:space="preserve"> About Here</w:t>
      </w:r>
    </w:p>
    <w:p w14:paraId="395C6B37" w14:textId="77777777" w:rsidR="0059694C" w:rsidRPr="00F4226B" w:rsidRDefault="0059694C" w:rsidP="003B13CE">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t>-----------------------------------</w:t>
      </w:r>
    </w:p>
    <w:p w14:paraId="2989FFF6" w14:textId="77777777" w:rsidR="004B526A" w:rsidRPr="00F4226B" w:rsidRDefault="004B526A" w:rsidP="00CF3168">
      <w:pPr>
        <w:spacing w:line="360" w:lineRule="auto"/>
        <w:jc w:val="both"/>
        <w:rPr>
          <w:rFonts w:ascii="Times New Roman" w:hAnsi="Times New Roman"/>
          <w:sz w:val="24"/>
          <w:szCs w:val="24"/>
          <w:lang w:val="en-US"/>
        </w:rPr>
      </w:pPr>
    </w:p>
    <w:p w14:paraId="2E2D582F" w14:textId="77777777" w:rsidR="00C86939" w:rsidRPr="00804A08" w:rsidRDefault="00BA5001" w:rsidP="003820D1">
      <w:pPr>
        <w:spacing w:line="360" w:lineRule="auto"/>
        <w:jc w:val="both"/>
        <w:outlineLvl w:val="0"/>
        <w:rPr>
          <w:rFonts w:ascii="Times New Roman" w:hAnsi="Times New Roman"/>
          <w:i/>
          <w:sz w:val="24"/>
          <w:szCs w:val="24"/>
          <w:lang w:val="en-US"/>
        </w:rPr>
      </w:pPr>
      <w:r w:rsidRPr="00804A08">
        <w:rPr>
          <w:rFonts w:ascii="Times New Roman" w:hAnsi="Times New Roman"/>
          <w:i/>
          <w:sz w:val="24"/>
          <w:szCs w:val="24"/>
          <w:lang w:val="en-US"/>
        </w:rPr>
        <w:t>5.</w:t>
      </w:r>
      <w:r w:rsidR="00D317E7" w:rsidRPr="00804A08">
        <w:rPr>
          <w:rFonts w:ascii="Times New Roman" w:hAnsi="Times New Roman"/>
          <w:i/>
          <w:sz w:val="24"/>
          <w:szCs w:val="24"/>
          <w:lang w:val="en-US"/>
        </w:rPr>
        <w:t>2</w:t>
      </w:r>
      <w:r w:rsidR="000C2CC1" w:rsidRPr="00804A08">
        <w:rPr>
          <w:rFonts w:ascii="Times New Roman" w:hAnsi="Times New Roman"/>
          <w:i/>
          <w:sz w:val="24"/>
          <w:szCs w:val="24"/>
          <w:lang w:val="en-US"/>
        </w:rPr>
        <w:t xml:space="preserve"> </w:t>
      </w:r>
      <w:r w:rsidR="008B489B" w:rsidRPr="00804A08">
        <w:rPr>
          <w:rFonts w:ascii="Times New Roman" w:hAnsi="Times New Roman"/>
          <w:i/>
          <w:sz w:val="24"/>
          <w:szCs w:val="24"/>
          <w:lang w:val="en-US"/>
        </w:rPr>
        <w:t>The a</w:t>
      </w:r>
      <w:r w:rsidR="00502E9B" w:rsidRPr="00804A08">
        <w:rPr>
          <w:rFonts w:ascii="Times New Roman" w:hAnsi="Times New Roman"/>
          <w:i/>
          <w:sz w:val="24"/>
          <w:szCs w:val="24"/>
          <w:lang w:val="en-US"/>
        </w:rPr>
        <w:t>ssociation between earnings and stock returns</w:t>
      </w:r>
    </w:p>
    <w:p w14:paraId="1C9CD86C" w14:textId="2B36D9F2" w:rsidR="006828DB" w:rsidRPr="00F4226B" w:rsidRDefault="003C0B3B" w:rsidP="00CF3168">
      <w:pPr>
        <w:spacing w:line="360" w:lineRule="auto"/>
        <w:jc w:val="both"/>
        <w:rPr>
          <w:rFonts w:ascii="Times New Roman" w:hAnsi="Times New Roman"/>
          <w:sz w:val="24"/>
          <w:szCs w:val="24"/>
          <w:lang w:val="en-US"/>
        </w:rPr>
      </w:pPr>
      <w:r w:rsidRPr="00F4226B">
        <w:rPr>
          <w:rFonts w:ascii="Times New Roman" w:hAnsi="Times New Roman"/>
          <w:sz w:val="24"/>
          <w:szCs w:val="24"/>
          <w:lang w:val="en-US"/>
        </w:rPr>
        <w:t xml:space="preserve">In Table </w:t>
      </w:r>
      <w:r w:rsidR="007422DB" w:rsidRPr="00F4226B">
        <w:rPr>
          <w:rFonts w:ascii="Times New Roman" w:hAnsi="Times New Roman"/>
          <w:sz w:val="24"/>
          <w:szCs w:val="24"/>
          <w:lang w:val="en-US"/>
        </w:rPr>
        <w:t>5</w:t>
      </w:r>
      <w:r w:rsidRPr="00F4226B">
        <w:rPr>
          <w:rFonts w:ascii="Times New Roman" w:hAnsi="Times New Roman"/>
          <w:sz w:val="24"/>
          <w:szCs w:val="24"/>
          <w:lang w:val="en-US"/>
        </w:rPr>
        <w:t xml:space="preserve">, </w:t>
      </w:r>
      <w:r w:rsidR="00D15309" w:rsidRPr="00F4226B">
        <w:rPr>
          <w:rFonts w:ascii="Times New Roman" w:hAnsi="Times New Roman"/>
          <w:sz w:val="24"/>
          <w:szCs w:val="24"/>
          <w:lang w:val="en-US"/>
        </w:rPr>
        <w:t>Panels A</w:t>
      </w:r>
      <w:r w:rsidR="00BA1F15" w:rsidRPr="00F4226B">
        <w:rPr>
          <w:rFonts w:ascii="Times New Roman" w:hAnsi="Times New Roman"/>
          <w:sz w:val="24"/>
          <w:szCs w:val="24"/>
          <w:lang w:val="en-US"/>
        </w:rPr>
        <w:t xml:space="preserve"> to </w:t>
      </w:r>
      <w:r w:rsidR="00D15309" w:rsidRPr="00F4226B">
        <w:rPr>
          <w:rFonts w:ascii="Times New Roman" w:hAnsi="Times New Roman"/>
          <w:sz w:val="24"/>
          <w:szCs w:val="24"/>
          <w:lang w:val="en-US"/>
        </w:rPr>
        <w:t xml:space="preserve">C, </w:t>
      </w:r>
      <w:r w:rsidRPr="00F4226B">
        <w:rPr>
          <w:rFonts w:ascii="Times New Roman" w:hAnsi="Times New Roman"/>
          <w:sz w:val="24"/>
          <w:szCs w:val="24"/>
          <w:lang w:val="en-US"/>
        </w:rPr>
        <w:t xml:space="preserve">we present </w:t>
      </w:r>
      <w:r w:rsidR="00DA14A2">
        <w:rPr>
          <w:rFonts w:ascii="Times New Roman" w:hAnsi="Times New Roman"/>
          <w:sz w:val="24"/>
          <w:szCs w:val="24"/>
          <w:lang w:val="en-US"/>
        </w:rPr>
        <w:t xml:space="preserve">the </w:t>
      </w:r>
      <w:r w:rsidR="004E0A51" w:rsidRPr="00F4226B">
        <w:rPr>
          <w:rFonts w:ascii="Times New Roman" w:hAnsi="Times New Roman"/>
          <w:sz w:val="24"/>
          <w:szCs w:val="24"/>
          <w:lang w:val="en-US"/>
        </w:rPr>
        <w:t>results</w:t>
      </w:r>
      <w:r w:rsidR="001B23AE" w:rsidRPr="00F4226B">
        <w:rPr>
          <w:rFonts w:ascii="Times New Roman" w:hAnsi="Times New Roman"/>
          <w:sz w:val="24"/>
          <w:szCs w:val="24"/>
          <w:lang w:val="en-US"/>
        </w:rPr>
        <w:t xml:space="preserve"> of</w:t>
      </w:r>
      <w:r w:rsidR="004E0A51" w:rsidRPr="00F4226B">
        <w:rPr>
          <w:rFonts w:ascii="Times New Roman" w:hAnsi="Times New Roman"/>
          <w:sz w:val="24"/>
          <w:szCs w:val="24"/>
          <w:lang w:val="en-US"/>
        </w:rPr>
        <w:t xml:space="preserve"> </w:t>
      </w:r>
      <w:r w:rsidR="00BA1F15" w:rsidRPr="00F4226B">
        <w:rPr>
          <w:rFonts w:ascii="Times New Roman" w:hAnsi="Times New Roman"/>
          <w:sz w:val="24"/>
          <w:szCs w:val="24"/>
          <w:lang w:val="en-US"/>
        </w:rPr>
        <w:t xml:space="preserve">the returns model </w:t>
      </w:r>
      <w:r w:rsidR="005F6A3C" w:rsidRPr="00F4226B">
        <w:rPr>
          <w:rFonts w:ascii="Times New Roman" w:hAnsi="Times New Roman"/>
          <w:sz w:val="24"/>
          <w:szCs w:val="24"/>
          <w:lang w:val="en-US"/>
        </w:rPr>
        <w:t>test</w:t>
      </w:r>
      <w:r w:rsidR="00232DD3" w:rsidRPr="00F4226B">
        <w:rPr>
          <w:rFonts w:ascii="Times New Roman" w:hAnsi="Times New Roman"/>
          <w:sz w:val="24"/>
          <w:szCs w:val="24"/>
          <w:lang w:val="en-US"/>
        </w:rPr>
        <w:t>s</w:t>
      </w:r>
      <w:r w:rsidR="00C92825" w:rsidRPr="00F4226B">
        <w:rPr>
          <w:rFonts w:ascii="Times New Roman" w:hAnsi="Times New Roman"/>
          <w:sz w:val="24"/>
          <w:szCs w:val="24"/>
          <w:lang w:val="en-US"/>
        </w:rPr>
        <w:t xml:space="preserve">. </w:t>
      </w:r>
      <w:r w:rsidR="00E653B4" w:rsidRPr="00F4226B">
        <w:rPr>
          <w:rFonts w:ascii="Times New Roman" w:hAnsi="Times New Roman"/>
          <w:sz w:val="24"/>
          <w:szCs w:val="24"/>
          <w:lang w:val="en-US"/>
        </w:rPr>
        <w:t xml:space="preserve">These tests are run </w:t>
      </w:r>
      <w:r w:rsidR="005F6A3C" w:rsidRPr="00F4226B">
        <w:rPr>
          <w:rFonts w:ascii="Times New Roman" w:hAnsi="Times New Roman"/>
          <w:sz w:val="24"/>
          <w:szCs w:val="24"/>
          <w:lang w:val="en-US"/>
        </w:rPr>
        <w:t xml:space="preserve">using </w:t>
      </w:r>
      <w:r w:rsidR="00BA1F15" w:rsidRPr="00F4226B">
        <w:rPr>
          <w:rFonts w:ascii="Times New Roman" w:hAnsi="Times New Roman"/>
          <w:sz w:val="24"/>
          <w:szCs w:val="24"/>
          <w:lang w:val="en-US"/>
        </w:rPr>
        <w:t xml:space="preserve">pooled </w:t>
      </w:r>
      <w:r w:rsidR="00D42A77" w:rsidRPr="00F4226B">
        <w:rPr>
          <w:rFonts w:ascii="Times New Roman" w:hAnsi="Times New Roman"/>
          <w:sz w:val="24"/>
          <w:szCs w:val="24"/>
          <w:lang w:val="en-US"/>
        </w:rPr>
        <w:t>panel</w:t>
      </w:r>
      <w:r w:rsidR="00BA1F15" w:rsidRPr="00F4226B">
        <w:rPr>
          <w:rFonts w:ascii="Times New Roman" w:hAnsi="Times New Roman"/>
          <w:sz w:val="24"/>
          <w:szCs w:val="24"/>
          <w:lang w:val="en-US"/>
        </w:rPr>
        <w:t xml:space="preserve"> regressions </w:t>
      </w:r>
      <w:r w:rsidR="00D15309" w:rsidRPr="00F4226B">
        <w:rPr>
          <w:rFonts w:ascii="Times New Roman" w:hAnsi="Times New Roman"/>
          <w:sz w:val="24"/>
          <w:szCs w:val="24"/>
          <w:lang w:val="en-US"/>
        </w:rPr>
        <w:t>with fixed time effects (year dummies). Panel A reports the result</w:t>
      </w:r>
      <w:r w:rsidR="00204AFD" w:rsidRPr="00F4226B">
        <w:rPr>
          <w:rFonts w:ascii="Times New Roman" w:hAnsi="Times New Roman"/>
          <w:sz w:val="24"/>
          <w:szCs w:val="24"/>
          <w:lang w:val="en-US"/>
        </w:rPr>
        <w:t>s</w:t>
      </w:r>
      <w:r w:rsidR="00D15309" w:rsidRPr="00F4226B">
        <w:rPr>
          <w:rFonts w:ascii="Times New Roman" w:hAnsi="Times New Roman"/>
          <w:sz w:val="24"/>
          <w:szCs w:val="24"/>
          <w:lang w:val="en-US"/>
        </w:rPr>
        <w:t xml:space="preserve"> of the entire </w:t>
      </w:r>
      <w:r w:rsidR="007F1C49" w:rsidRPr="00F4226B">
        <w:rPr>
          <w:rFonts w:ascii="Times New Roman" w:hAnsi="Times New Roman"/>
          <w:sz w:val="24"/>
          <w:szCs w:val="24"/>
          <w:lang w:val="en-US"/>
        </w:rPr>
        <w:t>period</w:t>
      </w:r>
      <w:r w:rsidR="00D15309" w:rsidRPr="00F4226B">
        <w:rPr>
          <w:rFonts w:ascii="Times New Roman" w:hAnsi="Times New Roman"/>
          <w:sz w:val="24"/>
          <w:szCs w:val="24"/>
          <w:lang w:val="en-US"/>
        </w:rPr>
        <w:t xml:space="preserve"> (</w:t>
      </w:r>
      <w:r w:rsidR="00876C6E" w:rsidRPr="00F4226B">
        <w:rPr>
          <w:rFonts w:ascii="Times New Roman" w:hAnsi="Times New Roman"/>
          <w:sz w:val="24"/>
          <w:szCs w:val="24"/>
          <w:lang w:val="en-US"/>
        </w:rPr>
        <w:t>2000</w:t>
      </w:r>
      <w:r w:rsidR="003F73A4">
        <w:rPr>
          <w:rFonts w:ascii="Times New Roman" w:hAnsi="Times New Roman"/>
          <w:sz w:val="24"/>
          <w:szCs w:val="24"/>
          <w:lang w:val="en-US"/>
        </w:rPr>
        <w:t>–</w:t>
      </w:r>
      <w:r w:rsidR="00876C6E" w:rsidRPr="00F4226B">
        <w:rPr>
          <w:rFonts w:ascii="Times New Roman" w:hAnsi="Times New Roman"/>
          <w:sz w:val="24"/>
          <w:szCs w:val="24"/>
          <w:lang w:val="en-US"/>
        </w:rPr>
        <w:t>2005</w:t>
      </w:r>
      <w:r w:rsidR="00D15309" w:rsidRPr="00F4226B">
        <w:rPr>
          <w:rFonts w:ascii="Times New Roman" w:hAnsi="Times New Roman"/>
          <w:sz w:val="24"/>
          <w:szCs w:val="24"/>
          <w:lang w:val="en-US"/>
        </w:rPr>
        <w:t xml:space="preserve">), Panel B the </w:t>
      </w:r>
      <w:r w:rsidR="00D42A77" w:rsidRPr="00F4226B">
        <w:rPr>
          <w:rFonts w:ascii="Times New Roman" w:hAnsi="Times New Roman"/>
          <w:sz w:val="24"/>
          <w:szCs w:val="24"/>
          <w:lang w:val="en-US"/>
        </w:rPr>
        <w:t xml:space="preserve">relatively </w:t>
      </w:r>
      <w:r w:rsidR="00D15309" w:rsidRPr="00F4226B">
        <w:rPr>
          <w:rFonts w:ascii="Times New Roman" w:hAnsi="Times New Roman"/>
          <w:sz w:val="24"/>
          <w:szCs w:val="24"/>
          <w:lang w:val="en-US"/>
        </w:rPr>
        <w:t>low inflation period (2000</w:t>
      </w:r>
      <w:r w:rsidR="003F73A4">
        <w:rPr>
          <w:rFonts w:ascii="Times New Roman" w:hAnsi="Times New Roman"/>
          <w:sz w:val="24"/>
          <w:szCs w:val="24"/>
          <w:lang w:val="en-US"/>
        </w:rPr>
        <w:t>–</w:t>
      </w:r>
      <w:r w:rsidR="00D15309" w:rsidRPr="00F4226B">
        <w:rPr>
          <w:rFonts w:ascii="Times New Roman" w:hAnsi="Times New Roman"/>
          <w:sz w:val="24"/>
          <w:szCs w:val="24"/>
          <w:lang w:val="en-US"/>
        </w:rPr>
        <w:t>2002)</w:t>
      </w:r>
      <w:r w:rsidR="00DA14A2">
        <w:rPr>
          <w:rFonts w:ascii="Times New Roman" w:hAnsi="Times New Roman"/>
          <w:sz w:val="24"/>
          <w:szCs w:val="24"/>
          <w:lang w:val="en-US"/>
        </w:rPr>
        <w:t>,</w:t>
      </w:r>
      <w:r w:rsidR="00D15309" w:rsidRPr="00F4226B">
        <w:rPr>
          <w:rFonts w:ascii="Times New Roman" w:hAnsi="Times New Roman"/>
          <w:sz w:val="24"/>
          <w:szCs w:val="24"/>
          <w:lang w:val="en-US"/>
        </w:rPr>
        <w:t xml:space="preserve"> and Panel C the </w:t>
      </w:r>
      <w:r w:rsidR="00D46537" w:rsidRPr="00F4226B">
        <w:rPr>
          <w:rFonts w:ascii="Times New Roman" w:hAnsi="Times New Roman"/>
          <w:sz w:val="24"/>
          <w:szCs w:val="24"/>
          <w:lang w:val="en-US"/>
        </w:rPr>
        <w:t xml:space="preserve">relatively </w:t>
      </w:r>
      <w:r w:rsidR="00D15309" w:rsidRPr="00F4226B">
        <w:rPr>
          <w:rFonts w:ascii="Times New Roman" w:hAnsi="Times New Roman"/>
          <w:sz w:val="24"/>
          <w:szCs w:val="24"/>
          <w:lang w:val="en-US"/>
        </w:rPr>
        <w:t>high inflation</w:t>
      </w:r>
      <w:r w:rsidR="00CD4AAB" w:rsidRPr="00F4226B">
        <w:rPr>
          <w:rFonts w:ascii="Times New Roman" w:hAnsi="Times New Roman"/>
          <w:sz w:val="24"/>
          <w:szCs w:val="24"/>
          <w:lang w:val="en-US"/>
        </w:rPr>
        <w:t xml:space="preserve"> period</w:t>
      </w:r>
      <w:r w:rsidR="00D15309" w:rsidRPr="00F4226B">
        <w:rPr>
          <w:rFonts w:ascii="Times New Roman" w:hAnsi="Times New Roman"/>
          <w:sz w:val="24"/>
          <w:szCs w:val="24"/>
          <w:lang w:val="en-US"/>
        </w:rPr>
        <w:t xml:space="preserve"> (2003</w:t>
      </w:r>
      <w:r w:rsidR="003F73A4">
        <w:rPr>
          <w:rFonts w:ascii="Times New Roman" w:hAnsi="Times New Roman"/>
          <w:sz w:val="24"/>
          <w:szCs w:val="24"/>
          <w:lang w:val="en-US"/>
        </w:rPr>
        <w:t>–</w:t>
      </w:r>
      <w:r w:rsidR="00D15309" w:rsidRPr="00F4226B">
        <w:rPr>
          <w:rFonts w:ascii="Times New Roman" w:hAnsi="Times New Roman"/>
          <w:sz w:val="24"/>
          <w:szCs w:val="24"/>
          <w:lang w:val="en-US"/>
        </w:rPr>
        <w:t xml:space="preserve">2005). </w:t>
      </w:r>
      <w:r w:rsidR="005E49ED" w:rsidRPr="00F4226B">
        <w:rPr>
          <w:rFonts w:ascii="Times New Roman" w:hAnsi="Times New Roman"/>
          <w:sz w:val="24"/>
          <w:szCs w:val="24"/>
          <w:lang w:val="en-US"/>
        </w:rPr>
        <w:t xml:space="preserve">The first two columns of Table </w:t>
      </w:r>
      <w:r w:rsidR="007422DB" w:rsidRPr="00F4226B">
        <w:rPr>
          <w:rFonts w:ascii="Times New Roman" w:hAnsi="Times New Roman"/>
          <w:sz w:val="24"/>
          <w:szCs w:val="24"/>
          <w:lang w:val="en-US"/>
        </w:rPr>
        <w:t>5</w:t>
      </w:r>
      <w:r w:rsidR="00E653B4" w:rsidRPr="00F4226B">
        <w:rPr>
          <w:rFonts w:ascii="Times New Roman" w:hAnsi="Times New Roman"/>
          <w:sz w:val="24"/>
          <w:szCs w:val="24"/>
          <w:lang w:val="en-US"/>
        </w:rPr>
        <w:t xml:space="preserve"> (Models 1 and 2) provide the results </w:t>
      </w:r>
      <w:r w:rsidR="005E49ED" w:rsidRPr="00F4226B">
        <w:rPr>
          <w:rFonts w:ascii="Times New Roman" w:hAnsi="Times New Roman"/>
          <w:sz w:val="24"/>
          <w:szCs w:val="24"/>
          <w:lang w:val="en-US"/>
        </w:rPr>
        <w:t>based on Equation 1</w:t>
      </w:r>
      <w:r w:rsidR="00DA14A2">
        <w:rPr>
          <w:rFonts w:ascii="Times New Roman" w:hAnsi="Times New Roman"/>
          <w:sz w:val="24"/>
          <w:szCs w:val="24"/>
          <w:lang w:val="en-US"/>
        </w:rPr>
        <w:t>,</w:t>
      </w:r>
      <w:r w:rsidR="005E49ED" w:rsidRPr="00F4226B">
        <w:rPr>
          <w:rFonts w:ascii="Times New Roman" w:hAnsi="Times New Roman"/>
          <w:sz w:val="24"/>
          <w:szCs w:val="24"/>
          <w:lang w:val="en-US"/>
        </w:rPr>
        <w:t xml:space="preserve"> wh</w:t>
      </w:r>
      <w:r w:rsidR="00E653B4" w:rsidRPr="00F4226B">
        <w:rPr>
          <w:rFonts w:ascii="Times New Roman" w:hAnsi="Times New Roman"/>
          <w:sz w:val="24"/>
          <w:szCs w:val="24"/>
          <w:lang w:val="en-US"/>
        </w:rPr>
        <w:t xml:space="preserve">ose objective is to examine the relative </w:t>
      </w:r>
      <w:r w:rsidR="005E49ED" w:rsidRPr="00F4226B">
        <w:rPr>
          <w:rFonts w:ascii="Times New Roman" w:hAnsi="Times New Roman"/>
          <w:sz w:val="24"/>
          <w:szCs w:val="24"/>
          <w:lang w:val="en-US"/>
        </w:rPr>
        <w:t xml:space="preserve">value relevance of HC and IA </w:t>
      </w:r>
      <w:r w:rsidR="00D46537" w:rsidRPr="00F4226B">
        <w:rPr>
          <w:rFonts w:ascii="Times New Roman" w:hAnsi="Times New Roman"/>
          <w:sz w:val="24"/>
          <w:szCs w:val="24"/>
          <w:lang w:val="en-US"/>
        </w:rPr>
        <w:t>amounts</w:t>
      </w:r>
      <w:r w:rsidR="005E49ED" w:rsidRPr="00F4226B">
        <w:rPr>
          <w:rFonts w:ascii="Times New Roman" w:hAnsi="Times New Roman"/>
          <w:sz w:val="24"/>
          <w:szCs w:val="24"/>
          <w:lang w:val="en-US"/>
        </w:rPr>
        <w:t xml:space="preserve">. </w:t>
      </w:r>
      <w:r w:rsidR="00E653B4" w:rsidRPr="00F4226B">
        <w:rPr>
          <w:rFonts w:ascii="Times New Roman" w:hAnsi="Times New Roman"/>
          <w:sz w:val="24"/>
          <w:szCs w:val="24"/>
          <w:lang w:val="en-US"/>
        </w:rPr>
        <w:t>The results in column</w:t>
      </w:r>
      <w:r w:rsidR="001558B4" w:rsidRPr="00F4226B">
        <w:rPr>
          <w:rFonts w:ascii="Times New Roman" w:hAnsi="Times New Roman"/>
          <w:sz w:val="24"/>
          <w:szCs w:val="24"/>
          <w:lang w:val="en-US"/>
        </w:rPr>
        <w:t xml:space="preserve"> 3</w:t>
      </w:r>
      <w:r w:rsidR="00E653B4" w:rsidRPr="00F4226B">
        <w:rPr>
          <w:rFonts w:ascii="Times New Roman" w:hAnsi="Times New Roman"/>
          <w:sz w:val="24"/>
          <w:szCs w:val="24"/>
          <w:lang w:val="en-US"/>
        </w:rPr>
        <w:t xml:space="preserve"> (Model 3) are based </w:t>
      </w:r>
      <w:r w:rsidR="00E653B4" w:rsidRPr="00F4226B">
        <w:rPr>
          <w:rFonts w:ascii="Times New Roman" w:hAnsi="Times New Roman"/>
          <w:sz w:val="24"/>
          <w:szCs w:val="24"/>
          <w:lang w:val="en-US"/>
        </w:rPr>
        <w:lastRenderedPageBreak/>
        <w:t>on Equation 2</w:t>
      </w:r>
      <w:r w:rsidR="00DA14A2">
        <w:rPr>
          <w:rFonts w:ascii="Times New Roman" w:hAnsi="Times New Roman"/>
          <w:sz w:val="24"/>
          <w:szCs w:val="24"/>
          <w:lang w:val="en-US"/>
        </w:rPr>
        <w:t>,</w:t>
      </w:r>
      <w:r w:rsidR="00E653B4" w:rsidRPr="00F4226B">
        <w:rPr>
          <w:rFonts w:ascii="Times New Roman" w:hAnsi="Times New Roman"/>
          <w:sz w:val="24"/>
          <w:szCs w:val="24"/>
          <w:lang w:val="en-US"/>
        </w:rPr>
        <w:t xml:space="preserve"> which tests for the incremental information content of </w:t>
      </w:r>
      <w:r w:rsidR="001558B4" w:rsidRPr="00F4226B">
        <w:rPr>
          <w:rFonts w:ascii="Times New Roman" w:hAnsi="Times New Roman"/>
          <w:sz w:val="24"/>
          <w:szCs w:val="24"/>
          <w:lang w:val="en-US"/>
        </w:rPr>
        <w:t>inflation gains and losses</w:t>
      </w:r>
      <w:r w:rsidR="00E653B4" w:rsidRPr="00F4226B">
        <w:rPr>
          <w:rFonts w:ascii="Times New Roman" w:hAnsi="Times New Roman"/>
          <w:sz w:val="24"/>
          <w:szCs w:val="24"/>
          <w:lang w:val="en-US"/>
        </w:rPr>
        <w:t xml:space="preserve">. </w:t>
      </w:r>
      <w:r w:rsidR="00067EE6" w:rsidRPr="00F4226B">
        <w:rPr>
          <w:rFonts w:ascii="Times New Roman" w:hAnsi="Times New Roman"/>
          <w:sz w:val="24"/>
          <w:szCs w:val="24"/>
          <w:lang w:val="en-US"/>
        </w:rPr>
        <w:t xml:space="preserve">In interpreting the results in Table 5, we first consider models testing for the relative value relevance of HC and IA </w:t>
      </w:r>
      <w:r w:rsidR="00D46537" w:rsidRPr="00F4226B">
        <w:rPr>
          <w:rFonts w:ascii="Times New Roman" w:hAnsi="Times New Roman"/>
          <w:sz w:val="24"/>
          <w:szCs w:val="24"/>
          <w:lang w:val="en-US"/>
        </w:rPr>
        <w:t>amounts</w:t>
      </w:r>
      <w:r w:rsidR="00067EE6" w:rsidRPr="00F4226B">
        <w:rPr>
          <w:rFonts w:ascii="Times New Roman" w:hAnsi="Times New Roman"/>
          <w:sz w:val="24"/>
          <w:szCs w:val="24"/>
          <w:lang w:val="en-US"/>
        </w:rPr>
        <w:t>.</w:t>
      </w:r>
    </w:p>
    <w:p w14:paraId="48275670" w14:textId="77777777" w:rsidR="00811C11" w:rsidRPr="00F4226B" w:rsidRDefault="00811C11" w:rsidP="003B13CE">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t>-----------------------------------</w:t>
      </w:r>
    </w:p>
    <w:p w14:paraId="282BF12A" w14:textId="77777777" w:rsidR="00811C11" w:rsidRPr="00F4226B" w:rsidRDefault="00811C11" w:rsidP="003820D1">
      <w:pPr>
        <w:spacing w:line="240" w:lineRule="auto"/>
        <w:ind w:firstLine="284"/>
        <w:jc w:val="center"/>
        <w:outlineLvl w:val="0"/>
        <w:rPr>
          <w:rFonts w:ascii="Times New Roman" w:hAnsi="Times New Roman"/>
          <w:b/>
          <w:sz w:val="24"/>
          <w:szCs w:val="24"/>
          <w:lang w:val="en-US"/>
        </w:rPr>
      </w:pPr>
      <w:r w:rsidRPr="00F4226B">
        <w:rPr>
          <w:rFonts w:ascii="Times New Roman" w:hAnsi="Times New Roman"/>
          <w:b/>
          <w:sz w:val="24"/>
          <w:szCs w:val="24"/>
          <w:lang w:val="en-US"/>
        </w:rPr>
        <w:t xml:space="preserve">Insert Table </w:t>
      </w:r>
      <w:r w:rsidR="007422DB" w:rsidRPr="00F4226B">
        <w:rPr>
          <w:rFonts w:ascii="Times New Roman" w:hAnsi="Times New Roman"/>
          <w:b/>
          <w:sz w:val="24"/>
          <w:szCs w:val="24"/>
          <w:lang w:val="en-US"/>
        </w:rPr>
        <w:t>5</w:t>
      </w:r>
      <w:r w:rsidRPr="00F4226B">
        <w:rPr>
          <w:rFonts w:ascii="Times New Roman" w:hAnsi="Times New Roman"/>
          <w:b/>
          <w:sz w:val="24"/>
          <w:szCs w:val="24"/>
          <w:lang w:val="en-US"/>
        </w:rPr>
        <w:t xml:space="preserve"> About Here</w:t>
      </w:r>
    </w:p>
    <w:p w14:paraId="38CF9001" w14:textId="77777777" w:rsidR="00811C11" w:rsidRPr="00F4226B" w:rsidRDefault="00811C11" w:rsidP="003B13CE">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t>-----------------------------------</w:t>
      </w:r>
    </w:p>
    <w:p w14:paraId="0DD4559A" w14:textId="5CA8DB1D" w:rsidR="00E76FBF" w:rsidRPr="00F4226B" w:rsidRDefault="00067EE6" w:rsidP="00CF3168">
      <w:pPr>
        <w:spacing w:line="360" w:lineRule="auto"/>
        <w:jc w:val="both"/>
        <w:rPr>
          <w:rFonts w:ascii="Times New Roman" w:hAnsi="Times New Roman"/>
          <w:sz w:val="24"/>
          <w:szCs w:val="24"/>
          <w:lang w:val="en-US"/>
        </w:rPr>
      </w:pPr>
      <w:r w:rsidRPr="00F4226B">
        <w:rPr>
          <w:rFonts w:ascii="Times New Roman" w:hAnsi="Times New Roman"/>
          <w:sz w:val="24"/>
          <w:szCs w:val="24"/>
          <w:lang w:val="en-US"/>
        </w:rPr>
        <w:t xml:space="preserve">With regard to the entire </w:t>
      </w:r>
      <w:r w:rsidR="00D46537" w:rsidRPr="00F4226B">
        <w:rPr>
          <w:rFonts w:ascii="Times New Roman" w:hAnsi="Times New Roman"/>
          <w:sz w:val="24"/>
          <w:szCs w:val="24"/>
          <w:lang w:val="en-US"/>
        </w:rPr>
        <w:t xml:space="preserve">pooled </w:t>
      </w:r>
      <w:r w:rsidRPr="00F4226B">
        <w:rPr>
          <w:rFonts w:ascii="Times New Roman" w:hAnsi="Times New Roman"/>
          <w:sz w:val="24"/>
          <w:szCs w:val="24"/>
          <w:lang w:val="en-US"/>
        </w:rPr>
        <w:t>period (2000</w:t>
      </w:r>
      <w:r w:rsidR="003F73A4">
        <w:rPr>
          <w:rFonts w:ascii="Times New Roman" w:hAnsi="Times New Roman"/>
          <w:sz w:val="24"/>
          <w:szCs w:val="24"/>
          <w:lang w:val="en-US"/>
        </w:rPr>
        <w:t>–</w:t>
      </w:r>
      <w:r w:rsidRPr="00F4226B">
        <w:rPr>
          <w:rFonts w:ascii="Times New Roman" w:hAnsi="Times New Roman"/>
          <w:sz w:val="24"/>
          <w:szCs w:val="24"/>
          <w:lang w:val="en-US"/>
        </w:rPr>
        <w:t xml:space="preserve">2005), </w:t>
      </w:r>
      <w:r w:rsidR="005B3547" w:rsidRPr="00F4226B">
        <w:rPr>
          <w:rFonts w:ascii="Times New Roman" w:hAnsi="Times New Roman"/>
          <w:sz w:val="24"/>
          <w:szCs w:val="24"/>
          <w:lang w:val="en-US"/>
        </w:rPr>
        <w:t>t</w:t>
      </w:r>
      <w:r w:rsidR="009E72C2" w:rsidRPr="00F4226B">
        <w:rPr>
          <w:rFonts w:ascii="Times New Roman" w:hAnsi="Times New Roman"/>
          <w:sz w:val="24"/>
          <w:szCs w:val="24"/>
          <w:lang w:val="en-US"/>
        </w:rPr>
        <w:t>he</w:t>
      </w:r>
      <w:r w:rsidR="00BA5001" w:rsidRPr="00F4226B">
        <w:rPr>
          <w:rFonts w:ascii="Times New Roman" w:hAnsi="Times New Roman"/>
          <w:sz w:val="24"/>
          <w:szCs w:val="24"/>
          <w:lang w:val="en-US"/>
        </w:rPr>
        <w:t xml:space="preserve"> </w:t>
      </w:r>
      <w:r w:rsidR="00261D1F" w:rsidRPr="00F4226B">
        <w:rPr>
          <w:rFonts w:ascii="Times New Roman" w:hAnsi="Times New Roman"/>
          <w:sz w:val="24"/>
          <w:szCs w:val="24"/>
          <w:lang w:val="en-US"/>
        </w:rPr>
        <w:t>a</w:t>
      </w:r>
      <w:r w:rsidR="00872A7A" w:rsidRPr="00F4226B">
        <w:rPr>
          <w:rFonts w:ascii="Times New Roman" w:hAnsi="Times New Roman"/>
          <w:sz w:val="24"/>
          <w:szCs w:val="24"/>
          <w:lang w:val="en-US"/>
        </w:rPr>
        <w:t>djusted</w:t>
      </w:r>
      <w:r w:rsidR="00F4226B">
        <w:rPr>
          <w:rFonts w:ascii="Times New Roman" w:hAnsi="Times New Roman"/>
          <w:sz w:val="24"/>
          <w:szCs w:val="24"/>
          <w:lang w:val="en-US"/>
        </w:rPr>
        <w:t xml:space="preserve"> </w:t>
      </w:r>
      <w:r w:rsidR="00872A7A" w:rsidRPr="00F4226B">
        <w:rPr>
          <w:rFonts w:ascii="Times New Roman" w:hAnsi="Times New Roman"/>
          <w:sz w:val="24"/>
          <w:szCs w:val="24"/>
          <w:lang w:val="en-US"/>
        </w:rPr>
        <w:t>R²</w:t>
      </w:r>
      <w:r w:rsidR="005B3547" w:rsidRPr="00F4226B">
        <w:rPr>
          <w:rFonts w:ascii="Times New Roman" w:hAnsi="Times New Roman"/>
          <w:sz w:val="24"/>
          <w:szCs w:val="24"/>
          <w:lang w:val="en-US"/>
        </w:rPr>
        <w:t>s</w:t>
      </w:r>
      <w:r w:rsidR="00872A7A" w:rsidRPr="00F4226B">
        <w:rPr>
          <w:rFonts w:ascii="Times New Roman" w:hAnsi="Times New Roman"/>
          <w:sz w:val="24"/>
          <w:szCs w:val="24"/>
          <w:lang w:val="en-US"/>
        </w:rPr>
        <w:t xml:space="preserve"> for </w:t>
      </w:r>
      <w:r w:rsidR="00222702" w:rsidRPr="00F4226B">
        <w:rPr>
          <w:rFonts w:ascii="Times New Roman" w:hAnsi="Times New Roman"/>
          <w:sz w:val="24"/>
          <w:szCs w:val="24"/>
          <w:lang w:val="en-US"/>
        </w:rPr>
        <w:t>HC</w:t>
      </w:r>
      <w:r w:rsidR="00872A7A" w:rsidRPr="00F4226B">
        <w:rPr>
          <w:rFonts w:ascii="Times New Roman" w:hAnsi="Times New Roman"/>
          <w:sz w:val="24"/>
          <w:szCs w:val="24"/>
          <w:lang w:val="en-US"/>
        </w:rPr>
        <w:t xml:space="preserve"> and </w:t>
      </w:r>
      <w:r w:rsidR="00222702" w:rsidRPr="00F4226B">
        <w:rPr>
          <w:rFonts w:ascii="Times New Roman" w:hAnsi="Times New Roman"/>
          <w:sz w:val="24"/>
          <w:szCs w:val="24"/>
          <w:lang w:val="en-US"/>
        </w:rPr>
        <w:t>IA</w:t>
      </w:r>
      <w:r w:rsidR="00872A7A" w:rsidRPr="00F4226B">
        <w:rPr>
          <w:rFonts w:ascii="Times New Roman" w:hAnsi="Times New Roman"/>
          <w:sz w:val="24"/>
          <w:szCs w:val="24"/>
          <w:lang w:val="en-US"/>
        </w:rPr>
        <w:t xml:space="preserve"> </w:t>
      </w:r>
      <w:r w:rsidR="00D46537" w:rsidRPr="00F4226B">
        <w:rPr>
          <w:rFonts w:ascii="Times New Roman" w:hAnsi="Times New Roman"/>
          <w:sz w:val="24"/>
          <w:szCs w:val="24"/>
          <w:lang w:val="en-US"/>
        </w:rPr>
        <w:t xml:space="preserve">amounts </w:t>
      </w:r>
      <w:r w:rsidR="00872A7A" w:rsidRPr="00F4226B">
        <w:rPr>
          <w:rFonts w:ascii="Times New Roman" w:hAnsi="Times New Roman"/>
          <w:sz w:val="24"/>
          <w:szCs w:val="24"/>
          <w:lang w:val="en-US"/>
        </w:rPr>
        <w:t xml:space="preserve">demonstrate that </w:t>
      </w:r>
      <w:r w:rsidR="005B3547" w:rsidRPr="00F4226B">
        <w:rPr>
          <w:rFonts w:ascii="Times New Roman" w:hAnsi="Times New Roman"/>
          <w:sz w:val="24"/>
          <w:szCs w:val="24"/>
          <w:lang w:val="en-US"/>
        </w:rPr>
        <w:t xml:space="preserve">both </w:t>
      </w:r>
      <w:r w:rsidR="00BA5001" w:rsidRPr="00F4226B">
        <w:rPr>
          <w:rFonts w:ascii="Times New Roman" w:hAnsi="Times New Roman"/>
          <w:sz w:val="24"/>
          <w:szCs w:val="24"/>
          <w:lang w:val="en-US"/>
        </w:rPr>
        <w:t>regression</w:t>
      </w:r>
      <w:r w:rsidR="00D46537" w:rsidRPr="00F4226B">
        <w:rPr>
          <w:rFonts w:ascii="Times New Roman" w:hAnsi="Times New Roman"/>
          <w:sz w:val="24"/>
          <w:szCs w:val="24"/>
          <w:lang w:val="en-US"/>
        </w:rPr>
        <w:t xml:space="preserve"> model</w:t>
      </w:r>
      <w:r w:rsidR="00222702" w:rsidRPr="00F4226B">
        <w:rPr>
          <w:rFonts w:ascii="Times New Roman" w:hAnsi="Times New Roman"/>
          <w:sz w:val="24"/>
          <w:szCs w:val="24"/>
          <w:lang w:val="en-US"/>
        </w:rPr>
        <w:t>s</w:t>
      </w:r>
      <w:r w:rsidR="00BA5001" w:rsidRPr="00F4226B">
        <w:rPr>
          <w:rFonts w:ascii="Times New Roman" w:hAnsi="Times New Roman"/>
          <w:sz w:val="24"/>
          <w:szCs w:val="24"/>
          <w:lang w:val="en-US"/>
        </w:rPr>
        <w:t xml:space="preserve"> have significant explanatory power</w:t>
      </w:r>
      <w:r w:rsidR="00872A7A" w:rsidRPr="00F4226B">
        <w:rPr>
          <w:rFonts w:ascii="Times New Roman" w:hAnsi="Times New Roman"/>
          <w:sz w:val="24"/>
          <w:szCs w:val="24"/>
          <w:lang w:val="en-US"/>
        </w:rPr>
        <w:t xml:space="preserve">. </w:t>
      </w:r>
      <w:r w:rsidR="00997AA4" w:rsidRPr="00F4226B">
        <w:rPr>
          <w:rFonts w:ascii="Times New Roman" w:hAnsi="Times New Roman"/>
          <w:sz w:val="24"/>
          <w:szCs w:val="24"/>
          <w:lang w:val="en-US"/>
        </w:rPr>
        <w:t>However, w</w:t>
      </w:r>
      <w:r w:rsidR="005B3547" w:rsidRPr="00F4226B">
        <w:rPr>
          <w:rFonts w:ascii="Times New Roman" w:hAnsi="Times New Roman"/>
          <w:sz w:val="24"/>
          <w:szCs w:val="24"/>
          <w:lang w:val="en-US"/>
        </w:rPr>
        <w:t xml:space="preserve">e observe that </w:t>
      </w:r>
      <w:r w:rsidR="00D46537" w:rsidRPr="00F4226B">
        <w:rPr>
          <w:rFonts w:ascii="Times New Roman" w:hAnsi="Times New Roman"/>
          <w:sz w:val="24"/>
          <w:szCs w:val="24"/>
          <w:lang w:val="en-US"/>
        </w:rPr>
        <w:t>t</w:t>
      </w:r>
      <w:r w:rsidR="00261D1F" w:rsidRPr="00F4226B">
        <w:rPr>
          <w:rFonts w:ascii="Times New Roman" w:hAnsi="Times New Roman"/>
          <w:sz w:val="24"/>
          <w:szCs w:val="24"/>
          <w:lang w:val="en-US"/>
        </w:rPr>
        <w:t>he adjusted</w:t>
      </w:r>
      <w:r w:rsidR="00F4226B">
        <w:rPr>
          <w:rFonts w:ascii="Times New Roman" w:hAnsi="Times New Roman"/>
          <w:sz w:val="24"/>
          <w:szCs w:val="24"/>
          <w:lang w:val="en-US"/>
        </w:rPr>
        <w:t xml:space="preserve"> </w:t>
      </w:r>
      <w:r w:rsidR="00261D1F" w:rsidRPr="00F4226B">
        <w:rPr>
          <w:rFonts w:ascii="Times New Roman" w:hAnsi="Times New Roman"/>
          <w:sz w:val="24"/>
          <w:szCs w:val="24"/>
          <w:lang w:val="en-US"/>
        </w:rPr>
        <w:t>R² for the HC model</w:t>
      </w:r>
      <w:r w:rsidR="00DC4F6D">
        <w:rPr>
          <w:rFonts w:ascii="Times New Roman" w:hAnsi="Times New Roman"/>
          <w:sz w:val="24"/>
          <w:szCs w:val="24"/>
          <w:lang w:val="en-US"/>
        </w:rPr>
        <w:t xml:space="preserve"> (</w:t>
      </w:r>
      <w:r w:rsidR="00261D1F" w:rsidRPr="00F4226B">
        <w:rPr>
          <w:rFonts w:ascii="Times New Roman" w:hAnsi="Times New Roman"/>
          <w:sz w:val="24"/>
          <w:szCs w:val="24"/>
          <w:lang w:val="en-US"/>
        </w:rPr>
        <w:t>62.</w:t>
      </w:r>
      <w:r w:rsidR="005B3547" w:rsidRPr="00F4226B">
        <w:rPr>
          <w:rFonts w:ascii="Times New Roman" w:hAnsi="Times New Roman"/>
          <w:sz w:val="24"/>
          <w:szCs w:val="24"/>
          <w:lang w:val="en-US"/>
        </w:rPr>
        <w:t>4</w:t>
      </w:r>
      <w:r w:rsidR="00261D1F" w:rsidRPr="00F4226B">
        <w:rPr>
          <w:rFonts w:ascii="Times New Roman" w:hAnsi="Times New Roman"/>
          <w:sz w:val="24"/>
          <w:szCs w:val="24"/>
          <w:lang w:val="en-US"/>
        </w:rPr>
        <w:t>%</w:t>
      </w:r>
      <w:r w:rsidR="00DC4F6D">
        <w:rPr>
          <w:rFonts w:ascii="Times New Roman" w:hAnsi="Times New Roman"/>
          <w:sz w:val="24"/>
          <w:szCs w:val="24"/>
          <w:lang w:val="en-US"/>
        </w:rPr>
        <w:t>) is greater than that for</w:t>
      </w:r>
      <w:r w:rsidR="00261D1F" w:rsidRPr="00F4226B">
        <w:rPr>
          <w:rFonts w:ascii="Times New Roman" w:hAnsi="Times New Roman"/>
          <w:sz w:val="24"/>
          <w:szCs w:val="24"/>
          <w:lang w:val="en-US"/>
        </w:rPr>
        <w:t xml:space="preserve"> </w:t>
      </w:r>
      <w:r w:rsidR="005B3547" w:rsidRPr="00F4226B">
        <w:rPr>
          <w:rFonts w:ascii="Times New Roman" w:hAnsi="Times New Roman"/>
          <w:sz w:val="24"/>
          <w:szCs w:val="24"/>
          <w:lang w:val="en-US"/>
        </w:rPr>
        <w:t>the</w:t>
      </w:r>
      <w:r w:rsidR="00DC4F6D">
        <w:rPr>
          <w:rFonts w:ascii="Times New Roman" w:hAnsi="Times New Roman"/>
          <w:sz w:val="24"/>
          <w:szCs w:val="24"/>
          <w:lang w:val="en-US"/>
        </w:rPr>
        <w:t xml:space="preserve"> IA model (</w:t>
      </w:r>
      <w:r w:rsidR="005B3547" w:rsidRPr="00F4226B">
        <w:rPr>
          <w:rFonts w:ascii="Times New Roman" w:hAnsi="Times New Roman"/>
          <w:sz w:val="24"/>
          <w:szCs w:val="24"/>
          <w:lang w:val="en-US"/>
        </w:rPr>
        <w:t>44.</w:t>
      </w:r>
      <w:r w:rsidR="002803CD" w:rsidRPr="00F4226B">
        <w:rPr>
          <w:rFonts w:ascii="Times New Roman" w:hAnsi="Times New Roman"/>
          <w:sz w:val="24"/>
          <w:szCs w:val="24"/>
          <w:lang w:val="en-US"/>
        </w:rPr>
        <w:t>1</w:t>
      </w:r>
      <w:r w:rsidR="005B3547" w:rsidRPr="00F4226B">
        <w:rPr>
          <w:rFonts w:ascii="Times New Roman" w:hAnsi="Times New Roman"/>
          <w:sz w:val="24"/>
          <w:szCs w:val="24"/>
          <w:lang w:val="en-US"/>
        </w:rPr>
        <w:t>%</w:t>
      </w:r>
      <w:r w:rsidR="00DC4F6D">
        <w:rPr>
          <w:rFonts w:ascii="Times New Roman" w:hAnsi="Times New Roman"/>
          <w:sz w:val="24"/>
          <w:szCs w:val="24"/>
          <w:lang w:val="en-US"/>
        </w:rPr>
        <w:t>)</w:t>
      </w:r>
      <w:r w:rsidR="00D46508" w:rsidRPr="00F4226B">
        <w:rPr>
          <w:rFonts w:ascii="Times New Roman" w:hAnsi="Times New Roman"/>
          <w:sz w:val="24"/>
          <w:szCs w:val="24"/>
          <w:lang w:val="en-US"/>
        </w:rPr>
        <w:t xml:space="preserve">. </w:t>
      </w:r>
      <w:r w:rsidR="00AC3EEC" w:rsidRPr="00F4226B">
        <w:rPr>
          <w:rFonts w:ascii="Times New Roman" w:hAnsi="Times New Roman"/>
          <w:sz w:val="24"/>
          <w:szCs w:val="24"/>
          <w:lang w:val="en-US"/>
        </w:rPr>
        <w:t xml:space="preserve">The </w:t>
      </w:r>
      <w:r w:rsidR="005D1565" w:rsidRPr="00F4226B">
        <w:rPr>
          <w:rFonts w:ascii="Times New Roman" w:hAnsi="Times New Roman"/>
          <w:sz w:val="24"/>
          <w:szCs w:val="24"/>
          <w:lang w:val="en-US"/>
        </w:rPr>
        <w:t>Vuong Z-statistic</w:t>
      </w:r>
      <w:r w:rsidR="00AC3EEC" w:rsidRPr="00F4226B">
        <w:rPr>
          <w:rFonts w:ascii="Times New Roman" w:hAnsi="Times New Roman"/>
          <w:sz w:val="24"/>
          <w:szCs w:val="24"/>
          <w:lang w:val="en-US"/>
        </w:rPr>
        <w:t xml:space="preserve"> </w:t>
      </w:r>
      <w:r w:rsidR="00F43C1A" w:rsidRPr="00F4226B">
        <w:rPr>
          <w:rFonts w:ascii="Times New Roman" w:hAnsi="Times New Roman"/>
          <w:sz w:val="24"/>
          <w:szCs w:val="24"/>
          <w:lang w:val="en-US"/>
        </w:rPr>
        <w:t>of 2.</w:t>
      </w:r>
      <w:r w:rsidR="007F1C49" w:rsidRPr="00F4226B">
        <w:rPr>
          <w:rFonts w:ascii="Times New Roman" w:hAnsi="Times New Roman"/>
          <w:sz w:val="24"/>
          <w:szCs w:val="24"/>
          <w:lang w:val="en-US"/>
        </w:rPr>
        <w:t>349</w:t>
      </w:r>
      <w:r w:rsidR="00F43C1A" w:rsidRPr="00F4226B">
        <w:rPr>
          <w:rFonts w:ascii="Times New Roman" w:hAnsi="Times New Roman"/>
          <w:sz w:val="24"/>
          <w:szCs w:val="24"/>
          <w:lang w:val="en-US"/>
        </w:rPr>
        <w:t xml:space="preserve"> </w:t>
      </w:r>
      <w:r w:rsidR="00AC3EEC" w:rsidRPr="00F4226B">
        <w:rPr>
          <w:rFonts w:ascii="Times New Roman" w:hAnsi="Times New Roman"/>
          <w:sz w:val="24"/>
          <w:szCs w:val="24"/>
          <w:lang w:val="en-US"/>
        </w:rPr>
        <w:t>i</w:t>
      </w:r>
      <w:r w:rsidR="00CE3234" w:rsidRPr="00F4226B">
        <w:rPr>
          <w:rFonts w:ascii="Times New Roman" w:hAnsi="Times New Roman"/>
          <w:sz w:val="24"/>
          <w:szCs w:val="24"/>
          <w:lang w:val="en-US"/>
        </w:rPr>
        <w:t>s</w:t>
      </w:r>
      <w:r w:rsidR="005D1565" w:rsidRPr="00F4226B">
        <w:rPr>
          <w:rFonts w:ascii="Times New Roman" w:hAnsi="Times New Roman"/>
          <w:sz w:val="24"/>
          <w:szCs w:val="24"/>
          <w:lang w:val="en-US"/>
        </w:rPr>
        <w:t xml:space="preserve"> positive</w:t>
      </w:r>
      <w:r w:rsidR="00F43C1A" w:rsidRPr="00F4226B">
        <w:rPr>
          <w:rFonts w:ascii="Times New Roman" w:hAnsi="Times New Roman"/>
          <w:sz w:val="24"/>
          <w:szCs w:val="24"/>
          <w:lang w:val="en-US"/>
        </w:rPr>
        <w:t xml:space="preserve"> </w:t>
      </w:r>
      <w:r w:rsidR="00AC3EEC" w:rsidRPr="00F4226B">
        <w:rPr>
          <w:rFonts w:ascii="Times New Roman" w:hAnsi="Times New Roman"/>
          <w:sz w:val="24"/>
          <w:szCs w:val="24"/>
          <w:lang w:val="en-US"/>
        </w:rPr>
        <w:t xml:space="preserve">and significant at 5%, </w:t>
      </w:r>
      <w:r w:rsidR="007F3F9D">
        <w:rPr>
          <w:rFonts w:ascii="Times New Roman" w:hAnsi="Times New Roman"/>
          <w:sz w:val="24"/>
          <w:szCs w:val="24"/>
          <w:lang w:val="en-US"/>
        </w:rPr>
        <w:t>thereby</w:t>
      </w:r>
      <w:r w:rsidR="007F3F9D" w:rsidRPr="00F4226B">
        <w:rPr>
          <w:rFonts w:ascii="Times New Roman" w:hAnsi="Times New Roman"/>
          <w:sz w:val="24"/>
          <w:szCs w:val="24"/>
          <w:lang w:val="en-US"/>
        </w:rPr>
        <w:t xml:space="preserve"> </w:t>
      </w:r>
      <w:r w:rsidR="00AC3EEC" w:rsidRPr="00F4226B">
        <w:rPr>
          <w:rFonts w:ascii="Times New Roman" w:hAnsi="Times New Roman"/>
          <w:sz w:val="24"/>
          <w:szCs w:val="24"/>
          <w:lang w:val="en-US"/>
        </w:rPr>
        <w:t xml:space="preserve">rejecting </w:t>
      </w:r>
      <w:r w:rsidR="00CE3234" w:rsidRPr="00F4226B">
        <w:rPr>
          <w:rFonts w:ascii="Times New Roman" w:hAnsi="Times New Roman"/>
          <w:sz w:val="24"/>
          <w:szCs w:val="24"/>
          <w:lang w:val="en-US"/>
        </w:rPr>
        <w:t>IA a</w:t>
      </w:r>
      <w:r w:rsidR="00DD5ABE" w:rsidRPr="00F4226B">
        <w:rPr>
          <w:rFonts w:ascii="Times New Roman" w:hAnsi="Times New Roman"/>
          <w:sz w:val="24"/>
          <w:szCs w:val="24"/>
          <w:lang w:val="en-US"/>
        </w:rPr>
        <w:t>m</w:t>
      </w:r>
      <w:r w:rsidR="00CE3234" w:rsidRPr="00F4226B">
        <w:rPr>
          <w:rFonts w:ascii="Times New Roman" w:hAnsi="Times New Roman"/>
          <w:sz w:val="24"/>
          <w:szCs w:val="24"/>
          <w:lang w:val="en-US"/>
        </w:rPr>
        <w:t>ounts in support of HC a</w:t>
      </w:r>
      <w:r w:rsidR="00DD5ABE" w:rsidRPr="00F4226B">
        <w:rPr>
          <w:rFonts w:ascii="Times New Roman" w:hAnsi="Times New Roman"/>
          <w:sz w:val="24"/>
          <w:szCs w:val="24"/>
          <w:lang w:val="en-US"/>
        </w:rPr>
        <w:t>m</w:t>
      </w:r>
      <w:r w:rsidR="00CE3234" w:rsidRPr="00F4226B">
        <w:rPr>
          <w:rFonts w:ascii="Times New Roman" w:hAnsi="Times New Roman"/>
          <w:sz w:val="24"/>
          <w:szCs w:val="24"/>
          <w:lang w:val="en-US"/>
        </w:rPr>
        <w:t xml:space="preserve">ounts. </w:t>
      </w:r>
      <w:r w:rsidR="00E76FBF" w:rsidRPr="00F4226B">
        <w:rPr>
          <w:rFonts w:ascii="Times New Roman" w:hAnsi="Times New Roman"/>
          <w:sz w:val="24"/>
          <w:szCs w:val="24"/>
          <w:lang w:val="en-US"/>
        </w:rPr>
        <w:t xml:space="preserve">These results are consistent with those reported by Kirkulak </w:t>
      </w:r>
      <w:r w:rsidR="00E76FBF" w:rsidRPr="00F4226B">
        <w:rPr>
          <w:rFonts w:ascii="Times New Roman" w:hAnsi="Times New Roman"/>
          <w:sz w:val="24"/>
          <w:szCs w:val="24"/>
          <w:lang w:val="en-US"/>
        </w:rPr>
        <w:lastRenderedPageBreak/>
        <w:t xml:space="preserve">and Balsari (2009) and Filip and Raffournier (2010) in the context of Turkey and Romania, </w:t>
      </w:r>
      <w:r w:rsidR="00D42A77" w:rsidRPr="00F4226B">
        <w:rPr>
          <w:rFonts w:ascii="Times New Roman" w:hAnsi="Times New Roman"/>
          <w:sz w:val="24"/>
          <w:szCs w:val="24"/>
          <w:lang w:val="en-US"/>
        </w:rPr>
        <w:t xml:space="preserve">respectively, </w:t>
      </w:r>
      <w:r w:rsidR="00E76FBF" w:rsidRPr="00F4226B">
        <w:rPr>
          <w:rFonts w:ascii="Times New Roman" w:hAnsi="Times New Roman"/>
          <w:sz w:val="24"/>
          <w:szCs w:val="24"/>
          <w:lang w:val="en-US"/>
        </w:rPr>
        <w:t xml:space="preserve">but </w:t>
      </w:r>
      <w:r w:rsidR="00A739F1" w:rsidRPr="00F4226B">
        <w:rPr>
          <w:rFonts w:ascii="Times New Roman" w:hAnsi="Times New Roman"/>
          <w:sz w:val="24"/>
          <w:szCs w:val="24"/>
          <w:lang w:val="en-US"/>
        </w:rPr>
        <w:t xml:space="preserve">not with </w:t>
      </w:r>
      <w:r w:rsidR="007F3F9D">
        <w:rPr>
          <w:rFonts w:ascii="Times New Roman" w:hAnsi="Times New Roman"/>
          <w:sz w:val="24"/>
          <w:szCs w:val="24"/>
          <w:lang w:val="en-US"/>
        </w:rPr>
        <w:t xml:space="preserve">those of </w:t>
      </w:r>
      <w:r w:rsidR="00E76FBF" w:rsidRPr="00F4226B">
        <w:rPr>
          <w:rFonts w:ascii="Times New Roman" w:hAnsi="Times New Roman"/>
          <w:sz w:val="24"/>
          <w:szCs w:val="24"/>
          <w:lang w:val="en-US"/>
        </w:rPr>
        <w:t xml:space="preserve">Rivera (1987) </w:t>
      </w:r>
      <w:r w:rsidR="007F3F9D">
        <w:rPr>
          <w:rFonts w:ascii="Times New Roman" w:hAnsi="Times New Roman"/>
          <w:sz w:val="24"/>
          <w:szCs w:val="24"/>
          <w:lang w:val="en-US"/>
        </w:rPr>
        <w:t>or</w:t>
      </w:r>
      <w:r w:rsidR="00E76FBF" w:rsidRPr="00F4226B">
        <w:rPr>
          <w:rFonts w:ascii="Times New Roman" w:hAnsi="Times New Roman"/>
          <w:sz w:val="24"/>
          <w:szCs w:val="24"/>
          <w:lang w:val="en-US"/>
        </w:rPr>
        <w:t xml:space="preserve"> Barniv (1999)</w:t>
      </w:r>
      <w:r w:rsidR="007F3F9D">
        <w:rPr>
          <w:rFonts w:ascii="Times New Roman" w:hAnsi="Times New Roman"/>
          <w:sz w:val="24"/>
          <w:szCs w:val="24"/>
          <w:lang w:val="en-US"/>
        </w:rPr>
        <w:t>,</w:t>
      </w:r>
      <w:r w:rsidR="00E76FBF" w:rsidRPr="00F4226B">
        <w:rPr>
          <w:rFonts w:ascii="Times New Roman" w:hAnsi="Times New Roman"/>
          <w:sz w:val="24"/>
          <w:szCs w:val="24"/>
          <w:lang w:val="en-US"/>
        </w:rPr>
        <w:t xml:space="preserve"> who find </w:t>
      </w:r>
      <w:r w:rsidR="00B86859" w:rsidRPr="00F4226B">
        <w:rPr>
          <w:rFonts w:ascii="Times New Roman" w:hAnsi="Times New Roman"/>
          <w:sz w:val="24"/>
          <w:szCs w:val="24"/>
          <w:lang w:val="en-US"/>
        </w:rPr>
        <w:t xml:space="preserve">that </w:t>
      </w:r>
      <w:r w:rsidR="00E76FBF" w:rsidRPr="00F4226B">
        <w:rPr>
          <w:rFonts w:ascii="Times New Roman" w:hAnsi="Times New Roman"/>
          <w:sz w:val="24"/>
          <w:szCs w:val="24"/>
          <w:lang w:val="en-US"/>
        </w:rPr>
        <w:t>IA a</w:t>
      </w:r>
      <w:r w:rsidR="00B86859" w:rsidRPr="00F4226B">
        <w:rPr>
          <w:rFonts w:ascii="Times New Roman" w:hAnsi="Times New Roman"/>
          <w:sz w:val="24"/>
          <w:szCs w:val="24"/>
          <w:lang w:val="en-US"/>
        </w:rPr>
        <w:t xml:space="preserve">mounts </w:t>
      </w:r>
      <w:r w:rsidR="00CD4AAB" w:rsidRPr="00F4226B">
        <w:rPr>
          <w:rFonts w:ascii="Times New Roman" w:hAnsi="Times New Roman"/>
          <w:sz w:val="24"/>
          <w:szCs w:val="24"/>
          <w:lang w:val="en-US"/>
        </w:rPr>
        <w:t xml:space="preserve">are </w:t>
      </w:r>
      <w:r w:rsidR="00E76FBF" w:rsidRPr="00F4226B">
        <w:rPr>
          <w:rFonts w:ascii="Times New Roman" w:hAnsi="Times New Roman"/>
          <w:sz w:val="24"/>
          <w:szCs w:val="24"/>
          <w:lang w:val="en-US"/>
        </w:rPr>
        <w:t xml:space="preserve">more value relevant in Mexico and Israel, respectively. </w:t>
      </w:r>
      <w:r w:rsidR="007F1C49" w:rsidRPr="00F4226B">
        <w:rPr>
          <w:rFonts w:ascii="Times New Roman" w:hAnsi="Times New Roman"/>
          <w:sz w:val="24"/>
          <w:szCs w:val="24"/>
          <w:lang w:val="en-US"/>
        </w:rPr>
        <w:t xml:space="preserve">We attribute </w:t>
      </w:r>
      <w:r w:rsidR="00E76FBF" w:rsidRPr="00F4226B">
        <w:rPr>
          <w:rFonts w:ascii="Times New Roman" w:hAnsi="Times New Roman"/>
          <w:sz w:val="24"/>
          <w:szCs w:val="24"/>
          <w:lang w:val="en-US"/>
        </w:rPr>
        <w:t>the difference</w:t>
      </w:r>
      <w:r w:rsidR="00B86859" w:rsidRPr="00F4226B">
        <w:rPr>
          <w:rFonts w:ascii="Times New Roman" w:hAnsi="Times New Roman"/>
          <w:sz w:val="24"/>
          <w:szCs w:val="24"/>
          <w:lang w:val="en-US"/>
        </w:rPr>
        <w:t>s</w:t>
      </w:r>
      <w:r w:rsidR="00E76FBF" w:rsidRPr="00F4226B">
        <w:rPr>
          <w:rFonts w:ascii="Times New Roman" w:hAnsi="Times New Roman"/>
          <w:sz w:val="24"/>
          <w:szCs w:val="24"/>
          <w:lang w:val="en-US"/>
        </w:rPr>
        <w:t xml:space="preserve"> </w:t>
      </w:r>
      <w:r w:rsidR="007F1C49" w:rsidRPr="00F4226B">
        <w:rPr>
          <w:rFonts w:ascii="Times New Roman" w:hAnsi="Times New Roman"/>
          <w:sz w:val="24"/>
          <w:szCs w:val="24"/>
          <w:lang w:val="en-US"/>
        </w:rPr>
        <w:t xml:space="preserve">to the </w:t>
      </w:r>
      <w:r w:rsidR="00E76FBF" w:rsidRPr="00F4226B">
        <w:rPr>
          <w:rFonts w:ascii="Times New Roman" w:hAnsi="Times New Roman"/>
          <w:sz w:val="24"/>
          <w:szCs w:val="24"/>
          <w:lang w:val="en-US"/>
        </w:rPr>
        <w:t xml:space="preserve">fact </w:t>
      </w:r>
      <w:r w:rsidR="00D42A77" w:rsidRPr="00F4226B">
        <w:rPr>
          <w:rFonts w:ascii="Times New Roman" w:hAnsi="Times New Roman"/>
          <w:sz w:val="24"/>
          <w:szCs w:val="24"/>
          <w:lang w:val="en-US"/>
        </w:rPr>
        <w:t>that</w:t>
      </w:r>
      <w:r w:rsidR="003F73A4">
        <w:rPr>
          <w:rFonts w:ascii="Times New Roman" w:hAnsi="Times New Roman"/>
          <w:sz w:val="24"/>
          <w:szCs w:val="24"/>
          <w:lang w:val="en-US"/>
        </w:rPr>
        <w:t>,</w:t>
      </w:r>
      <w:r w:rsidR="00D42A77" w:rsidRPr="00F4226B">
        <w:rPr>
          <w:rFonts w:ascii="Times New Roman" w:hAnsi="Times New Roman"/>
          <w:sz w:val="24"/>
          <w:szCs w:val="24"/>
          <w:lang w:val="en-US"/>
        </w:rPr>
        <w:t xml:space="preserve"> </w:t>
      </w:r>
      <w:r w:rsidR="00E76FBF" w:rsidRPr="00F4226B">
        <w:rPr>
          <w:rFonts w:ascii="Times New Roman" w:hAnsi="Times New Roman"/>
          <w:sz w:val="24"/>
          <w:szCs w:val="24"/>
          <w:lang w:val="en-US"/>
        </w:rPr>
        <w:t xml:space="preserve">in </w:t>
      </w:r>
      <w:r w:rsidR="00A739F1" w:rsidRPr="00F4226B">
        <w:rPr>
          <w:rFonts w:ascii="Times New Roman" w:hAnsi="Times New Roman"/>
          <w:sz w:val="24"/>
          <w:szCs w:val="24"/>
          <w:lang w:val="en-US"/>
        </w:rPr>
        <w:t xml:space="preserve">Barniv (1999), </w:t>
      </w:r>
      <w:r w:rsidR="00E76FBF" w:rsidRPr="00F4226B">
        <w:rPr>
          <w:rFonts w:ascii="Times New Roman" w:hAnsi="Times New Roman"/>
          <w:sz w:val="24"/>
          <w:szCs w:val="24"/>
          <w:lang w:val="en-US"/>
        </w:rPr>
        <w:t xml:space="preserve">IA </w:t>
      </w:r>
      <w:r w:rsidR="00B86859" w:rsidRPr="00F4226B">
        <w:rPr>
          <w:rFonts w:ascii="Times New Roman" w:hAnsi="Times New Roman"/>
          <w:sz w:val="24"/>
          <w:szCs w:val="24"/>
          <w:lang w:val="en-US"/>
        </w:rPr>
        <w:t xml:space="preserve">amounts </w:t>
      </w:r>
      <w:r w:rsidR="00E76FBF" w:rsidRPr="00F4226B">
        <w:rPr>
          <w:rFonts w:ascii="Times New Roman" w:hAnsi="Times New Roman"/>
          <w:sz w:val="24"/>
          <w:szCs w:val="24"/>
          <w:lang w:val="en-US"/>
        </w:rPr>
        <w:t xml:space="preserve">were provided as the primary statements, </w:t>
      </w:r>
      <w:r w:rsidR="00F4226B">
        <w:rPr>
          <w:rFonts w:ascii="Times New Roman" w:hAnsi="Times New Roman"/>
          <w:sz w:val="24"/>
          <w:szCs w:val="24"/>
          <w:lang w:val="en-US"/>
        </w:rPr>
        <w:t>while</w:t>
      </w:r>
      <w:r w:rsidR="00E76FBF" w:rsidRPr="00F4226B">
        <w:rPr>
          <w:rFonts w:ascii="Times New Roman" w:hAnsi="Times New Roman"/>
          <w:sz w:val="24"/>
          <w:szCs w:val="24"/>
          <w:lang w:val="en-US"/>
        </w:rPr>
        <w:t xml:space="preserve"> HC </w:t>
      </w:r>
      <w:r w:rsidR="007F3F9D">
        <w:rPr>
          <w:rFonts w:ascii="Times New Roman" w:hAnsi="Times New Roman"/>
          <w:sz w:val="24"/>
          <w:szCs w:val="24"/>
          <w:lang w:val="en-US"/>
        </w:rPr>
        <w:t xml:space="preserve">amounts </w:t>
      </w:r>
      <w:r w:rsidR="00E76FBF" w:rsidRPr="00F4226B">
        <w:rPr>
          <w:rFonts w:ascii="Times New Roman" w:hAnsi="Times New Roman"/>
          <w:sz w:val="24"/>
          <w:szCs w:val="24"/>
          <w:lang w:val="en-US"/>
        </w:rPr>
        <w:t xml:space="preserve">were </w:t>
      </w:r>
      <w:r w:rsidR="007906BA" w:rsidRPr="00F4226B">
        <w:rPr>
          <w:rFonts w:ascii="Times New Roman" w:hAnsi="Times New Roman"/>
          <w:sz w:val="24"/>
          <w:szCs w:val="24"/>
          <w:lang w:val="en-US"/>
        </w:rPr>
        <w:t xml:space="preserve">provided </w:t>
      </w:r>
      <w:r w:rsidR="00E76FBF" w:rsidRPr="00F4226B">
        <w:rPr>
          <w:rFonts w:ascii="Times New Roman" w:hAnsi="Times New Roman"/>
          <w:sz w:val="24"/>
          <w:szCs w:val="24"/>
          <w:lang w:val="en-US"/>
        </w:rPr>
        <w:t>in notes</w:t>
      </w:r>
      <w:r w:rsidR="00A739F1" w:rsidRPr="00F4226B">
        <w:rPr>
          <w:rFonts w:ascii="Times New Roman" w:hAnsi="Times New Roman"/>
          <w:sz w:val="24"/>
          <w:szCs w:val="24"/>
          <w:lang w:val="en-US"/>
        </w:rPr>
        <w:t xml:space="preserve"> to the </w:t>
      </w:r>
      <w:r w:rsidR="00B12843">
        <w:rPr>
          <w:rFonts w:ascii="Times New Roman" w:hAnsi="Times New Roman"/>
          <w:sz w:val="24"/>
          <w:szCs w:val="24"/>
          <w:lang w:val="en-US"/>
        </w:rPr>
        <w:t>financial statements</w:t>
      </w:r>
      <w:r w:rsidR="00E76FBF" w:rsidRPr="00F4226B">
        <w:rPr>
          <w:rFonts w:ascii="Times New Roman" w:hAnsi="Times New Roman"/>
          <w:sz w:val="24"/>
          <w:szCs w:val="24"/>
          <w:lang w:val="en-US"/>
        </w:rPr>
        <w:t xml:space="preserve">. </w:t>
      </w:r>
      <w:r w:rsidR="00B86859" w:rsidRPr="00F4226B">
        <w:rPr>
          <w:rFonts w:ascii="Times New Roman" w:hAnsi="Times New Roman"/>
          <w:sz w:val="24"/>
          <w:szCs w:val="24"/>
          <w:lang w:val="en-US"/>
        </w:rPr>
        <w:t xml:space="preserve">This, as </w:t>
      </w:r>
      <w:r w:rsidR="007F3F9D">
        <w:rPr>
          <w:rFonts w:ascii="Times New Roman" w:hAnsi="Times New Roman"/>
          <w:sz w:val="24"/>
          <w:szCs w:val="24"/>
          <w:lang w:val="en-US"/>
        </w:rPr>
        <w:t xml:space="preserve">noted by </w:t>
      </w:r>
      <w:r w:rsidR="00D42A77" w:rsidRPr="00F4226B">
        <w:rPr>
          <w:rFonts w:ascii="Times New Roman" w:hAnsi="Times New Roman"/>
          <w:sz w:val="24"/>
          <w:szCs w:val="24"/>
          <w:lang w:val="en-US"/>
        </w:rPr>
        <w:t xml:space="preserve">Murdoch (1986) </w:t>
      </w:r>
      <w:r w:rsidR="00267DE3" w:rsidRPr="00F4226B">
        <w:rPr>
          <w:rFonts w:ascii="Times New Roman" w:hAnsi="Times New Roman"/>
          <w:sz w:val="24"/>
          <w:szCs w:val="24"/>
          <w:lang w:val="en-US"/>
        </w:rPr>
        <w:t xml:space="preserve">and Biddle et al. (1995), </w:t>
      </w:r>
      <w:r w:rsidR="00B86859" w:rsidRPr="00F4226B">
        <w:rPr>
          <w:rFonts w:ascii="Times New Roman" w:hAnsi="Times New Roman"/>
          <w:sz w:val="24"/>
          <w:szCs w:val="24"/>
          <w:lang w:val="en-US"/>
        </w:rPr>
        <w:t>makes their conclusions questionable</w:t>
      </w:r>
      <w:r w:rsidR="007F3F9D">
        <w:rPr>
          <w:rFonts w:ascii="Times New Roman" w:hAnsi="Times New Roman"/>
          <w:sz w:val="24"/>
          <w:szCs w:val="24"/>
          <w:lang w:val="en-US"/>
        </w:rPr>
        <w:t>,</w:t>
      </w:r>
      <w:r w:rsidR="00B86859" w:rsidRPr="00F4226B">
        <w:rPr>
          <w:rFonts w:ascii="Times New Roman" w:hAnsi="Times New Roman"/>
          <w:sz w:val="24"/>
          <w:szCs w:val="24"/>
          <w:lang w:val="en-US"/>
        </w:rPr>
        <w:t xml:space="preserve"> as </w:t>
      </w:r>
      <w:r w:rsidR="00D42A77" w:rsidRPr="00F4226B">
        <w:rPr>
          <w:rFonts w:ascii="Times New Roman" w:hAnsi="Times New Roman"/>
          <w:sz w:val="24"/>
          <w:szCs w:val="24"/>
          <w:lang w:val="en-US"/>
        </w:rPr>
        <w:t xml:space="preserve">unreported data or data in notes cannot be expected to be more relevant than fully reported data. </w:t>
      </w:r>
      <w:r w:rsidR="003F73A4">
        <w:rPr>
          <w:rFonts w:ascii="Times New Roman" w:hAnsi="Times New Roman"/>
          <w:sz w:val="24"/>
          <w:szCs w:val="24"/>
          <w:lang w:val="en-US"/>
        </w:rPr>
        <w:t>S</w:t>
      </w:r>
      <w:r w:rsidR="007F3F9D">
        <w:rPr>
          <w:rFonts w:ascii="Times New Roman" w:hAnsi="Times New Roman"/>
          <w:sz w:val="24"/>
          <w:szCs w:val="24"/>
          <w:lang w:val="en-US"/>
        </w:rPr>
        <w:t>tudies also</w:t>
      </w:r>
      <w:r w:rsidR="00200C51" w:rsidRPr="00F4226B">
        <w:rPr>
          <w:rFonts w:ascii="Times New Roman" w:hAnsi="Times New Roman"/>
          <w:sz w:val="24"/>
          <w:szCs w:val="24"/>
          <w:lang w:val="en-US"/>
        </w:rPr>
        <w:t xml:space="preserve"> suggest that investors fail to fully impound unreported data in their decision-making (Basu et al. 2010; Konchitchki 2011).</w:t>
      </w:r>
      <w:r w:rsidR="007906BA" w:rsidRPr="00F4226B">
        <w:rPr>
          <w:rFonts w:ascii="Times New Roman" w:hAnsi="Times New Roman"/>
          <w:sz w:val="24"/>
          <w:szCs w:val="24"/>
          <w:lang w:val="en-US"/>
        </w:rPr>
        <w:t xml:space="preserve"> As for Rivera (1987), the</w:t>
      </w:r>
      <w:r w:rsidR="007F3F9D">
        <w:rPr>
          <w:rFonts w:ascii="Times New Roman" w:hAnsi="Times New Roman"/>
          <w:sz w:val="24"/>
          <w:szCs w:val="24"/>
          <w:lang w:val="en-US"/>
        </w:rPr>
        <w:t xml:space="preserve"> reason for the</w:t>
      </w:r>
      <w:r w:rsidR="007906BA" w:rsidRPr="00F4226B">
        <w:rPr>
          <w:rFonts w:ascii="Times New Roman" w:hAnsi="Times New Roman"/>
          <w:sz w:val="24"/>
          <w:szCs w:val="24"/>
          <w:lang w:val="en-US"/>
        </w:rPr>
        <w:t xml:space="preserve"> difference in </w:t>
      </w:r>
      <w:r w:rsidR="007F3F9D">
        <w:rPr>
          <w:rFonts w:ascii="Times New Roman" w:hAnsi="Times New Roman"/>
          <w:sz w:val="24"/>
          <w:szCs w:val="24"/>
          <w:lang w:val="en-US"/>
        </w:rPr>
        <w:t xml:space="preserve">the </w:t>
      </w:r>
      <w:r w:rsidR="007906BA" w:rsidRPr="00F4226B">
        <w:rPr>
          <w:rFonts w:ascii="Times New Roman" w:hAnsi="Times New Roman"/>
          <w:sz w:val="24"/>
          <w:szCs w:val="24"/>
          <w:lang w:val="en-US"/>
        </w:rPr>
        <w:t>results</w:t>
      </w:r>
      <w:r w:rsidR="007F3F9D">
        <w:rPr>
          <w:rFonts w:ascii="Times New Roman" w:hAnsi="Times New Roman"/>
          <w:sz w:val="24"/>
          <w:szCs w:val="24"/>
          <w:lang w:val="en-US"/>
        </w:rPr>
        <w:t xml:space="preserve"> between that study</w:t>
      </w:r>
      <w:r w:rsidR="007906BA" w:rsidRPr="00F4226B">
        <w:rPr>
          <w:rFonts w:ascii="Times New Roman" w:hAnsi="Times New Roman"/>
          <w:sz w:val="24"/>
          <w:szCs w:val="24"/>
          <w:lang w:val="en-US"/>
        </w:rPr>
        <w:t xml:space="preserve"> </w:t>
      </w:r>
      <w:r w:rsidR="007F3F9D">
        <w:rPr>
          <w:rFonts w:ascii="Times New Roman" w:hAnsi="Times New Roman"/>
          <w:sz w:val="24"/>
          <w:szCs w:val="24"/>
          <w:lang w:val="en-US"/>
        </w:rPr>
        <w:t>and ours</w:t>
      </w:r>
      <w:r w:rsidR="007906BA" w:rsidRPr="00F4226B">
        <w:rPr>
          <w:rFonts w:ascii="Times New Roman" w:hAnsi="Times New Roman"/>
          <w:sz w:val="24"/>
          <w:szCs w:val="24"/>
          <w:lang w:val="en-US"/>
        </w:rPr>
        <w:t xml:space="preserve"> could be </w:t>
      </w:r>
      <w:r w:rsidR="007F3F9D">
        <w:rPr>
          <w:rFonts w:ascii="Times New Roman" w:hAnsi="Times New Roman"/>
          <w:sz w:val="24"/>
          <w:szCs w:val="24"/>
          <w:lang w:val="en-US"/>
        </w:rPr>
        <w:t>that</w:t>
      </w:r>
      <w:r w:rsidR="007F3F9D" w:rsidRPr="00F4226B">
        <w:rPr>
          <w:rFonts w:ascii="Times New Roman" w:hAnsi="Times New Roman"/>
          <w:sz w:val="24"/>
          <w:szCs w:val="24"/>
          <w:lang w:val="en-US"/>
        </w:rPr>
        <w:t xml:space="preserve"> </w:t>
      </w:r>
      <w:r w:rsidR="007906BA" w:rsidRPr="00F4226B">
        <w:rPr>
          <w:rFonts w:ascii="Times New Roman" w:hAnsi="Times New Roman"/>
          <w:sz w:val="24"/>
          <w:szCs w:val="24"/>
          <w:lang w:val="en-US"/>
        </w:rPr>
        <w:t>the Mexican accounting standard on inflation (unlike IAS 29) allowed</w:t>
      </w:r>
      <w:r w:rsidR="00E56DF5" w:rsidRPr="00F4226B">
        <w:rPr>
          <w:rFonts w:ascii="Times New Roman" w:hAnsi="Times New Roman"/>
          <w:sz w:val="24"/>
          <w:szCs w:val="24"/>
          <w:lang w:val="en-US"/>
        </w:rPr>
        <w:t xml:space="preserve"> firms the option </w:t>
      </w:r>
      <w:r w:rsidR="00DE5FF9" w:rsidRPr="00F4226B">
        <w:rPr>
          <w:rFonts w:ascii="Times New Roman" w:hAnsi="Times New Roman"/>
          <w:sz w:val="24"/>
          <w:szCs w:val="24"/>
          <w:lang w:val="en-US"/>
        </w:rPr>
        <w:t>to</w:t>
      </w:r>
      <w:r w:rsidR="00E56DF5" w:rsidRPr="00F4226B">
        <w:rPr>
          <w:rFonts w:ascii="Times New Roman" w:hAnsi="Times New Roman"/>
          <w:sz w:val="24"/>
          <w:szCs w:val="24"/>
          <w:lang w:val="en-US"/>
        </w:rPr>
        <w:t xml:space="preserve"> us</w:t>
      </w:r>
      <w:r w:rsidR="00DE5FF9" w:rsidRPr="00F4226B">
        <w:rPr>
          <w:rFonts w:ascii="Times New Roman" w:hAnsi="Times New Roman"/>
          <w:sz w:val="24"/>
          <w:szCs w:val="24"/>
          <w:lang w:val="en-US"/>
        </w:rPr>
        <w:t>e</w:t>
      </w:r>
      <w:r w:rsidR="00E56DF5" w:rsidRPr="00F4226B">
        <w:rPr>
          <w:rFonts w:ascii="Times New Roman" w:hAnsi="Times New Roman"/>
          <w:sz w:val="24"/>
          <w:szCs w:val="24"/>
          <w:lang w:val="en-US"/>
        </w:rPr>
        <w:t xml:space="preserve"> either the replacement cost method or the price-level method. </w:t>
      </w:r>
      <w:r w:rsidR="00E56DF5" w:rsidRPr="00F4226B">
        <w:rPr>
          <w:rFonts w:ascii="Times New Roman" w:hAnsi="Times New Roman"/>
          <w:sz w:val="24"/>
          <w:szCs w:val="24"/>
          <w:lang w:val="en-US"/>
        </w:rPr>
        <w:lastRenderedPageBreak/>
        <w:t>Th</w:t>
      </w:r>
      <w:r w:rsidR="007C53AF" w:rsidRPr="00F4226B">
        <w:rPr>
          <w:rFonts w:ascii="Times New Roman" w:hAnsi="Times New Roman"/>
          <w:sz w:val="24"/>
          <w:szCs w:val="24"/>
          <w:lang w:val="en-US"/>
        </w:rPr>
        <w:t>is means that Rivera’s (1987) results may be affected by mixing amounts from different</w:t>
      </w:r>
      <w:r w:rsidR="007D0834" w:rsidRPr="00F4226B">
        <w:rPr>
          <w:rFonts w:ascii="Times New Roman" w:hAnsi="Times New Roman"/>
          <w:sz w:val="24"/>
          <w:szCs w:val="24"/>
          <w:lang w:val="en-US"/>
        </w:rPr>
        <w:t xml:space="preserve"> measurement</w:t>
      </w:r>
      <w:r w:rsidR="007C53AF" w:rsidRPr="00F4226B">
        <w:rPr>
          <w:rFonts w:ascii="Times New Roman" w:hAnsi="Times New Roman"/>
          <w:sz w:val="24"/>
          <w:szCs w:val="24"/>
          <w:lang w:val="en-US"/>
        </w:rPr>
        <w:t xml:space="preserve"> systems. </w:t>
      </w:r>
    </w:p>
    <w:p w14:paraId="25E4A341" w14:textId="442C19E3" w:rsidR="00A8114F" w:rsidRPr="00F4226B" w:rsidRDefault="001A2182"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In </w:t>
      </w:r>
      <w:r w:rsidR="00AC3EEC" w:rsidRPr="00F4226B">
        <w:rPr>
          <w:rFonts w:ascii="Times New Roman" w:hAnsi="Times New Roman"/>
          <w:sz w:val="24"/>
          <w:szCs w:val="24"/>
          <w:lang w:val="en-US"/>
        </w:rPr>
        <w:t xml:space="preserve">terms of the </w:t>
      </w:r>
      <w:r w:rsidR="003B49D3" w:rsidRPr="00F4226B">
        <w:rPr>
          <w:rFonts w:ascii="Times New Roman" w:hAnsi="Times New Roman"/>
          <w:sz w:val="24"/>
          <w:szCs w:val="24"/>
          <w:lang w:val="en-US"/>
        </w:rPr>
        <w:t xml:space="preserve">incremental </w:t>
      </w:r>
      <w:r w:rsidR="00CE34C9" w:rsidRPr="00F4226B">
        <w:rPr>
          <w:rFonts w:ascii="Times New Roman" w:hAnsi="Times New Roman"/>
          <w:sz w:val="24"/>
          <w:szCs w:val="24"/>
          <w:lang w:val="en-US"/>
        </w:rPr>
        <w:t xml:space="preserve">content model </w:t>
      </w:r>
      <w:r w:rsidRPr="00F4226B">
        <w:rPr>
          <w:rFonts w:ascii="Times New Roman" w:hAnsi="Times New Roman"/>
          <w:sz w:val="24"/>
          <w:szCs w:val="24"/>
          <w:lang w:val="en-US"/>
        </w:rPr>
        <w:t>(</w:t>
      </w:r>
      <w:r w:rsidR="00432EF6" w:rsidRPr="00F4226B">
        <w:rPr>
          <w:rFonts w:ascii="Times New Roman" w:hAnsi="Times New Roman"/>
          <w:sz w:val="24"/>
          <w:szCs w:val="24"/>
          <w:lang w:val="en-US"/>
        </w:rPr>
        <w:t>M</w:t>
      </w:r>
      <w:r w:rsidRPr="00F4226B">
        <w:rPr>
          <w:rFonts w:ascii="Times New Roman" w:hAnsi="Times New Roman"/>
          <w:sz w:val="24"/>
          <w:szCs w:val="24"/>
          <w:lang w:val="en-US"/>
        </w:rPr>
        <w:t xml:space="preserve">odel </w:t>
      </w:r>
      <w:r w:rsidR="00AC3EEC" w:rsidRPr="00F4226B">
        <w:rPr>
          <w:rFonts w:ascii="Times New Roman" w:hAnsi="Times New Roman"/>
          <w:sz w:val="24"/>
          <w:szCs w:val="24"/>
          <w:lang w:val="en-US"/>
        </w:rPr>
        <w:t>3</w:t>
      </w:r>
      <w:r w:rsidRPr="00F4226B">
        <w:rPr>
          <w:rFonts w:ascii="Times New Roman" w:hAnsi="Times New Roman"/>
          <w:sz w:val="24"/>
          <w:szCs w:val="24"/>
          <w:lang w:val="en-US"/>
        </w:rPr>
        <w:t xml:space="preserve">), </w:t>
      </w:r>
      <w:r w:rsidR="008107A8" w:rsidRPr="00F4226B">
        <w:rPr>
          <w:rFonts w:ascii="Times New Roman" w:hAnsi="Times New Roman"/>
          <w:sz w:val="24"/>
          <w:szCs w:val="24"/>
          <w:lang w:val="en-US"/>
        </w:rPr>
        <w:t xml:space="preserve">we observe that the coefficient of </w:t>
      </w:r>
      <w:r w:rsidR="00E76FBF" w:rsidRPr="00F4226B">
        <w:rPr>
          <w:rFonts w:ascii="Times New Roman" w:hAnsi="Times New Roman"/>
          <w:sz w:val="24"/>
          <w:szCs w:val="24"/>
          <w:lang w:val="en-US"/>
        </w:rPr>
        <w:t>inflation gains and losses (</w:t>
      </w:r>
      <w:r w:rsidR="008107A8" w:rsidRPr="00F4226B">
        <w:rPr>
          <w:rFonts w:ascii="Times New Roman" w:hAnsi="Times New Roman"/>
          <w:sz w:val="24"/>
          <w:szCs w:val="24"/>
          <w:lang w:val="en-US"/>
        </w:rPr>
        <w:t>E</w:t>
      </w:r>
      <w:r w:rsidR="00B1148A" w:rsidRPr="00F4226B">
        <w:rPr>
          <w:rFonts w:ascii="Times New Roman" w:hAnsi="Times New Roman"/>
          <w:sz w:val="24"/>
          <w:szCs w:val="24"/>
          <w:lang w:val="en-US"/>
        </w:rPr>
        <w:t>I</w:t>
      </w:r>
      <w:r w:rsidR="008107A8" w:rsidRPr="00F4226B">
        <w:rPr>
          <w:rFonts w:ascii="Times New Roman" w:hAnsi="Times New Roman"/>
          <w:sz w:val="24"/>
          <w:szCs w:val="24"/>
          <w:lang w:val="en-US"/>
        </w:rPr>
        <w:t>GLS</w:t>
      </w:r>
      <w:r w:rsidR="00E76FBF" w:rsidRPr="00F4226B">
        <w:rPr>
          <w:rFonts w:ascii="Times New Roman" w:hAnsi="Times New Roman"/>
          <w:sz w:val="24"/>
          <w:szCs w:val="24"/>
          <w:lang w:val="en-US"/>
        </w:rPr>
        <w:t>)</w:t>
      </w:r>
      <w:r w:rsidR="008107A8" w:rsidRPr="00F4226B">
        <w:rPr>
          <w:rFonts w:ascii="Times New Roman" w:hAnsi="Times New Roman"/>
          <w:sz w:val="24"/>
          <w:szCs w:val="24"/>
          <w:lang w:val="en-US"/>
        </w:rPr>
        <w:t xml:space="preserve"> </w:t>
      </w:r>
      <w:r w:rsidR="00E76FBF" w:rsidRPr="00F4226B">
        <w:rPr>
          <w:rFonts w:ascii="Times New Roman" w:hAnsi="Times New Roman"/>
          <w:sz w:val="24"/>
          <w:szCs w:val="24"/>
          <w:lang w:val="en-US"/>
        </w:rPr>
        <w:t xml:space="preserve">is </w:t>
      </w:r>
      <w:r w:rsidR="0096116A" w:rsidRPr="00F4226B">
        <w:rPr>
          <w:rFonts w:ascii="Times New Roman" w:hAnsi="Times New Roman"/>
          <w:sz w:val="24"/>
          <w:szCs w:val="24"/>
          <w:lang w:val="en-US"/>
        </w:rPr>
        <w:t>-2.285 with a t-statistic of 2.87 (</w:t>
      </w:r>
      <w:r w:rsidR="008107A8" w:rsidRPr="00F4226B">
        <w:rPr>
          <w:rFonts w:ascii="Times New Roman" w:hAnsi="Times New Roman"/>
          <w:sz w:val="24"/>
          <w:szCs w:val="24"/>
          <w:lang w:val="en-US"/>
        </w:rPr>
        <w:t>significant</w:t>
      </w:r>
      <w:r w:rsidR="0096116A" w:rsidRPr="00F4226B">
        <w:rPr>
          <w:rFonts w:ascii="Times New Roman" w:hAnsi="Times New Roman"/>
          <w:sz w:val="24"/>
          <w:szCs w:val="24"/>
          <w:lang w:val="en-US"/>
        </w:rPr>
        <w:t xml:space="preserve"> at the 1% level). This </w:t>
      </w:r>
      <w:r w:rsidR="00E76FBF" w:rsidRPr="00F4226B">
        <w:rPr>
          <w:rFonts w:ascii="Times New Roman" w:hAnsi="Times New Roman"/>
          <w:sz w:val="24"/>
          <w:szCs w:val="24"/>
          <w:lang w:val="en-US"/>
        </w:rPr>
        <w:t>suggest</w:t>
      </w:r>
      <w:r w:rsidR="0096116A" w:rsidRPr="00F4226B">
        <w:rPr>
          <w:rFonts w:ascii="Times New Roman" w:hAnsi="Times New Roman"/>
          <w:sz w:val="24"/>
          <w:szCs w:val="24"/>
          <w:lang w:val="en-US"/>
        </w:rPr>
        <w:t>s</w:t>
      </w:r>
      <w:r w:rsidR="00E76FBF" w:rsidRPr="00F4226B">
        <w:rPr>
          <w:rFonts w:ascii="Times New Roman" w:hAnsi="Times New Roman"/>
          <w:sz w:val="24"/>
          <w:szCs w:val="24"/>
          <w:lang w:val="en-US"/>
        </w:rPr>
        <w:t xml:space="preserve"> </w:t>
      </w:r>
      <w:r w:rsidR="00BA6A08" w:rsidRPr="00F4226B">
        <w:rPr>
          <w:rFonts w:ascii="Times New Roman" w:hAnsi="Times New Roman"/>
          <w:sz w:val="24"/>
          <w:szCs w:val="24"/>
          <w:lang w:val="en-US"/>
        </w:rPr>
        <w:t xml:space="preserve">that </w:t>
      </w:r>
      <w:r w:rsidR="00997AA4" w:rsidRPr="00F4226B">
        <w:rPr>
          <w:rFonts w:ascii="Times New Roman" w:hAnsi="Times New Roman"/>
          <w:sz w:val="24"/>
          <w:szCs w:val="24"/>
          <w:lang w:val="en-US"/>
        </w:rPr>
        <w:t xml:space="preserve">inflation gains and losses have information content for stock valuations. </w:t>
      </w:r>
      <w:r w:rsidR="00005023" w:rsidRPr="00F4226B">
        <w:rPr>
          <w:rFonts w:ascii="Times New Roman" w:hAnsi="Times New Roman"/>
          <w:sz w:val="24"/>
          <w:szCs w:val="24"/>
          <w:lang w:val="en-US"/>
        </w:rPr>
        <w:t xml:space="preserve">These results are consistent with </w:t>
      </w:r>
      <w:r w:rsidR="003F73A4">
        <w:rPr>
          <w:rFonts w:ascii="Times New Roman" w:hAnsi="Times New Roman"/>
          <w:sz w:val="24"/>
          <w:szCs w:val="24"/>
          <w:lang w:val="en-US"/>
        </w:rPr>
        <w:t xml:space="preserve">those of </w:t>
      </w:r>
      <w:r w:rsidR="00005023" w:rsidRPr="00F4226B">
        <w:rPr>
          <w:rFonts w:ascii="Times New Roman" w:hAnsi="Times New Roman"/>
          <w:sz w:val="24"/>
          <w:szCs w:val="24"/>
          <w:lang w:val="en-US"/>
        </w:rPr>
        <w:t xml:space="preserve">Konchitchki (2011). </w:t>
      </w:r>
      <w:r w:rsidR="00267DE3" w:rsidRPr="00F4226B">
        <w:rPr>
          <w:rFonts w:ascii="Times New Roman" w:hAnsi="Times New Roman"/>
          <w:sz w:val="24"/>
          <w:szCs w:val="24"/>
          <w:lang w:val="en-US"/>
        </w:rPr>
        <w:t>Further</w:t>
      </w:r>
      <w:r w:rsidR="00B1148A" w:rsidRPr="00F4226B">
        <w:rPr>
          <w:rFonts w:ascii="Times New Roman" w:hAnsi="Times New Roman"/>
          <w:sz w:val="24"/>
          <w:szCs w:val="24"/>
          <w:lang w:val="en-US"/>
        </w:rPr>
        <w:t xml:space="preserve">, </w:t>
      </w:r>
      <w:r w:rsidR="00997AA4" w:rsidRPr="00F4226B">
        <w:rPr>
          <w:rFonts w:ascii="Times New Roman" w:hAnsi="Times New Roman"/>
          <w:sz w:val="24"/>
          <w:szCs w:val="24"/>
          <w:lang w:val="en-US"/>
        </w:rPr>
        <w:t xml:space="preserve">the </w:t>
      </w:r>
      <w:r w:rsidR="00B1148A" w:rsidRPr="00F4226B">
        <w:rPr>
          <w:rFonts w:ascii="Times New Roman" w:hAnsi="Times New Roman"/>
          <w:sz w:val="24"/>
          <w:szCs w:val="24"/>
          <w:lang w:val="en-US"/>
        </w:rPr>
        <w:t>adjusted</w:t>
      </w:r>
      <w:r w:rsidR="00F4226B">
        <w:rPr>
          <w:rFonts w:ascii="Times New Roman" w:hAnsi="Times New Roman"/>
          <w:sz w:val="24"/>
          <w:szCs w:val="24"/>
          <w:lang w:val="en-US"/>
        </w:rPr>
        <w:t xml:space="preserve"> </w:t>
      </w:r>
      <w:r w:rsidR="00B1148A" w:rsidRPr="00F4226B">
        <w:rPr>
          <w:rFonts w:ascii="Times New Roman" w:hAnsi="Times New Roman"/>
          <w:sz w:val="24"/>
          <w:szCs w:val="24"/>
          <w:lang w:val="en-US"/>
        </w:rPr>
        <w:t xml:space="preserve">R² </w:t>
      </w:r>
      <w:r w:rsidR="00997AA4" w:rsidRPr="00F4226B">
        <w:rPr>
          <w:rFonts w:ascii="Times New Roman" w:hAnsi="Times New Roman"/>
          <w:sz w:val="24"/>
          <w:szCs w:val="24"/>
          <w:lang w:val="en-US"/>
        </w:rPr>
        <w:t xml:space="preserve">of </w:t>
      </w:r>
      <w:r w:rsidR="00CE34C9" w:rsidRPr="00F4226B">
        <w:rPr>
          <w:rFonts w:ascii="Times New Roman" w:hAnsi="Times New Roman"/>
          <w:sz w:val="24"/>
          <w:szCs w:val="24"/>
          <w:lang w:val="en-US"/>
        </w:rPr>
        <w:t xml:space="preserve">the incremental </w:t>
      </w:r>
      <w:r w:rsidR="00267DE3" w:rsidRPr="00F4226B">
        <w:rPr>
          <w:rFonts w:ascii="Times New Roman" w:hAnsi="Times New Roman"/>
          <w:sz w:val="24"/>
          <w:szCs w:val="24"/>
          <w:lang w:val="en-US"/>
        </w:rPr>
        <w:t xml:space="preserve">content </w:t>
      </w:r>
      <w:r w:rsidR="00CE34C9" w:rsidRPr="00F4226B">
        <w:rPr>
          <w:rFonts w:ascii="Times New Roman" w:hAnsi="Times New Roman"/>
          <w:sz w:val="24"/>
          <w:szCs w:val="24"/>
          <w:lang w:val="en-US"/>
        </w:rPr>
        <w:t>model</w:t>
      </w:r>
      <w:r w:rsidR="007F3F9D">
        <w:rPr>
          <w:rFonts w:ascii="Times New Roman" w:hAnsi="Times New Roman"/>
          <w:sz w:val="24"/>
          <w:szCs w:val="24"/>
          <w:lang w:val="en-US"/>
        </w:rPr>
        <w:t>,</w:t>
      </w:r>
      <w:r w:rsidR="00005023" w:rsidRPr="00F4226B">
        <w:rPr>
          <w:rFonts w:ascii="Times New Roman" w:hAnsi="Times New Roman"/>
          <w:sz w:val="24"/>
          <w:szCs w:val="24"/>
          <w:lang w:val="en-US"/>
        </w:rPr>
        <w:t xml:space="preserve"> </w:t>
      </w:r>
      <w:r w:rsidR="00834679" w:rsidRPr="00F4226B">
        <w:rPr>
          <w:rFonts w:ascii="Times New Roman" w:hAnsi="Times New Roman"/>
          <w:sz w:val="24"/>
          <w:szCs w:val="24"/>
          <w:lang w:val="en-US"/>
        </w:rPr>
        <w:t>at 63.8%</w:t>
      </w:r>
      <w:r w:rsidR="007F3F9D">
        <w:rPr>
          <w:rFonts w:ascii="Times New Roman" w:hAnsi="Times New Roman"/>
          <w:sz w:val="24"/>
          <w:szCs w:val="24"/>
          <w:lang w:val="en-US"/>
        </w:rPr>
        <w:t>,</w:t>
      </w:r>
      <w:r w:rsidR="00834679" w:rsidRPr="00F4226B">
        <w:rPr>
          <w:rFonts w:ascii="Times New Roman" w:hAnsi="Times New Roman"/>
          <w:sz w:val="24"/>
          <w:szCs w:val="24"/>
          <w:lang w:val="en-US"/>
        </w:rPr>
        <w:t xml:space="preserve"> </w:t>
      </w:r>
      <w:r w:rsidR="00997AA4" w:rsidRPr="00F4226B">
        <w:rPr>
          <w:rFonts w:ascii="Times New Roman" w:hAnsi="Times New Roman"/>
          <w:sz w:val="24"/>
          <w:szCs w:val="24"/>
          <w:lang w:val="en-US"/>
        </w:rPr>
        <w:t>is greater than th</w:t>
      </w:r>
      <w:r w:rsidR="00B1148A" w:rsidRPr="00F4226B">
        <w:rPr>
          <w:rFonts w:ascii="Times New Roman" w:hAnsi="Times New Roman"/>
          <w:sz w:val="24"/>
          <w:szCs w:val="24"/>
          <w:lang w:val="en-US"/>
        </w:rPr>
        <w:t xml:space="preserve">ose </w:t>
      </w:r>
      <w:r w:rsidR="00CE34C9" w:rsidRPr="00F4226B">
        <w:rPr>
          <w:rFonts w:ascii="Times New Roman" w:hAnsi="Times New Roman"/>
          <w:sz w:val="24"/>
          <w:szCs w:val="24"/>
          <w:lang w:val="en-US"/>
        </w:rPr>
        <w:t>for the HC model (</w:t>
      </w:r>
      <w:r w:rsidR="00B1148A" w:rsidRPr="00F4226B">
        <w:rPr>
          <w:rFonts w:ascii="Times New Roman" w:hAnsi="Times New Roman"/>
          <w:sz w:val="24"/>
          <w:szCs w:val="24"/>
          <w:lang w:val="en-US"/>
        </w:rPr>
        <w:t>M</w:t>
      </w:r>
      <w:r w:rsidR="00997AA4" w:rsidRPr="00F4226B">
        <w:rPr>
          <w:rFonts w:ascii="Times New Roman" w:hAnsi="Times New Roman"/>
          <w:sz w:val="24"/>
          <w:szCs w:val="24"/>
          <w:lang w:val="en-US"/>
        </w:rPr>
        <w:t>odel</w:t>
      </w:r>
      <w:r w:rsidR="00834679" w:rsidRPr="00F4226B">
        <w:rPr>
          <w:rFonts w:ascii="Times New Roman" w:hAnsi="Times New Roman"/>
          <w:sz w:val="24"/>
          <w:szCs w:val="24"/>
          <w:lang w:val="en-US"/>
        </w:rPr>
        <w:t xml:space="preserve"> </w:t>
      </w:r>
      <w:r w:rsidR="00005023" w:rsidRPr="00F4226B">
        <w:rPr>
          <w:rFonts w:ascii="Times New Roman" w:hAnsi="Times New Roman"/>
          <w:sz w:val="24"/>
          <w:szCs w:val="24"/>
          <w:lang w:val="en-US"/>
        </w:rPr>
        <w:t>1</w:t>
      </w:r>
      <w:r w:rsidR="00CE34C9" w:rsidRPr="00F4226B">
        <w:rPr>
          <w:rFonts w:ascii="Times New Roman" w:hAnsi="Times New Roman"/>
          <w:sz w:val="24"/>
          <w:szCs w:val="24"/>
          <w:lang w:val="en-US"/>
        </w:rPr>
        <w:t>)</w:t>
      </w:r>
      <w:r w:rsidR="00005023" w:rsidRPr="00F4226B">
        <w:rPr>
          <w:rFonts w:ascii="Times New Roman" w:hAnsi="Times New Roman"/>
          <w:sz w:val="24"/>
          <w:szCs w:val="24"/>
          <w:lang w:val="en-US"/>
        </w:rPr>
        <w:t xml:space="preserve"> and </w:t>
      </w:r>
      <w:r w:rsidR="00CE34C9" w:rsidRPr="00F4226B">
        <w:rPr>
          <w:rFonts w:ascii="Times New Roman" w:hAnsi="Times New Roman"/>
          <w:sz w:val="24"/>
          <w:szCs w:val="24"/>
          <w:lang w:val="en-US"/>
        </w:rPr>
        <w:t xml:space="preserve">IA model (Model </w:t>
      </w:r>
      <w:r w:rsidR="00005023" w:rsidRPr="00F4226B">
        <w:rPr>
          <w:rFonts w:ascii="Times New Roman" w:hAnsi="Times New Roman"/>
          <w:sz w:val="24"/>
          <w:szCs w:val="24"/>
          <w:lang w:val="en-US"/>
        </w:rPr>
        <w:t>2</w:t>
      </w:r>
      <w:r w:rsidR="00CE34C9" w:rsidRPr="00F4226B">
        <w:rPr>
          <w:rFonts w:ascii="Times New Roman" w:hAnsi="Times New Roman"/>
          <w:sz w:val="24"/>
          <w:szCs w:val="24"/>
          <w:lang w:val="en-US"/>
        </w:rPr>
        <w:t>)</w:t>
      </w:r>
      <w:r w:rsidR="007F3F9D">
        <w:rPr>
          <w:rFonts w:ascii="Times New Roman" w:hAnsi="Times New Roman"/>
          <w:sz w:val="24"/>
          <w:szCs w:val="24"/>
          <w:lang w:val="en-US"/>
        </w:rPr>
        <w:t>,</w:t>
      </w:r>
      <w:r w:rsidR="00005023" w:rsidRPr="00F4226B">
        <w:rPr>
          <w:rFonts w:ascii="Times New Roman" w:hAnsi="Times New Roman"/>
          <w:sz w:val="24"/>
          <w:szCs w:val="24"/>
          <w:lang w:val="en-US"/>
        </w:rPr>
        <w:t xml:space="preserve"> at </w:t>
      </w:r>
      <w:r w:rsidR="00834679" w:rsidRPr="00F4226B">
        <w:rPr>
          <w:rFonts w:ascii="Times New Roman" w:hAnsi="Times New Roman"/>
          <w:sz w:val="24"/>
          <w:szCs w:val="24"/>
          <w:lang w:val="en-US"/>
        </w:rPr>
        <w:t>62.4%</w:t>
      </w:r>
      <w:r w:rsidR="00005023" w:rsidRPr="00F4226B">
        <w:rPr>
          <w:rFonts w:ascii="Times New Roman" w:hAnsi="Times New Roman"/>
          <w:sz w:val="24"/>
          <w:szCs w:val="24"/>
          <w:lang w:val="en-US"/>
        </w:rPr>
        <w:t xml:space="preserve"> and </w:t>
      </w:r>
      <w:r w:rsidR="00834679" w:rsidRPr="00F4226B">
        <w:rPr>
          <w:rFonts w:ascii="Times New Roman" w:hAnsi="Times New Roman"/>
          <w:sz w:val="24"/>
          <w:szCs w:val="24"/>
          <w:lang w:val="en-US"/>
        </w:rPr>
        <w:t>44.1%</w:t>
      </w:r>
      <w:r w:rsidR="00005023" w:rsidRPr="00F4226B">
        <w:rPr>
          <w:rFonts w:ascii="Times New Roman" w:hAnsi="Times New Roman"/>
          <w:sz w:val="24"/>
          <w:szCs w:val="24"/>
          <w:lang w:val="en-US"/>
        </w:rPr>
        <w:t>, respectively</w:t>
      </w:r>
      <w:r w:rsidR="00960E2A" w:rsidRPr="00F4226B">
        <w:rPr>
          <w:rFonts w:ascii="Times New Roman" w:hAnsi="Times New Roman"/>
          <w:sz w:val="24"/>
          <w:szCs w:val="24"/>
          <w:lang w:val="en-US"/>
        </w:rPr>
        <w:t xml:space="preserve">. </w:t>
      </w:r>
      <w:r w:rsidR="00CE34C9" w:rsidRPr="00F4226B">
        <w:rPr>
          <w:rFonts w:ascii="Times New Roman" w:hAnsi="Times New Roman"/>
          <w:sz w:val="24"/>
          <w:szCs w:val="24"/>
          <w:lang w:val="en-US"/>
        </w:rPr>
        <w:t>T</w:t>
      </w:r>
      <w:r w:rsidR="00005023" w:rsidRPr="00F4226B">
        <w:rPr>
          <w:rFonts w:ascii="Times New Roman" w:hAnsi="Times New Roman"/>
          <w:sz w:val="24"/>
          <w:szCs w:val="24"/>
          <w:lang w:val="en-US"/>
        </w:rPr>
        <w:t xml:space="preserve">he Vuong </w:t>
      </w:r>
      <w:r w:rsidR="00267DE3" w:rsidRPr="00F4226B">
        <w:rPr>
          <w:rFonts w:ascii="Times New Roman" w:hAnsi="Times New Roman"/>
          <w:sz w:val="24"/>
          <w:szCs w:val="24"/>
          <w:lang w:val="en-US"/>
        </w:rPr>
        <w:t xml:space="preserve">Z-statistics derived from comparing </w:t>
      </w:r>
      <w:r w:rsidR="00CE34C9" w:rsidRPr="00F4226B">
        <w:rPr>
          <w:rFonts w:ascii="Times New Roman" w:hAnsi="Times New Roman"/>
          <w:sz w:val="24"/>
          <w:szCs w:val="24"/>
          <w:lang w:val="en-US"/>
        </w:rPr>
        <w:t xml:space="preserve">the </w:t>
      </w:r>
      <w:r w:rsidR="00005023" w:rsidRPr="00F4226B">
        <w:rPr>
          <w:rFonts w:ascii="Times New Roman" w:hAnsi="Times New Roman"/>
          <w:sz w:val="24"/>
          <w:szCs w:val="24"/>
          <w:lang w:val="en-US"/>
        </w:rPr>
        <w:t>adjusted</w:t>
      </w:r>
      <w:r w:rsidR="00F4226B">
        <w:rPr>
          <w:rFonts w:ascii="Times New Roman" w:hAnsi="Times New Roman"/>
          <w:sz w:val="24"/>
          <w:szCs w:val="24"/>
          <w:lang w:val="en-US"/>
        </w:rPr>
        <w:t xml:space="preserve"> </w:t>
      </w:r>
      <w:r w:rsidR="00005023" w:rsidRPr="00F4226B">
        <w:rPr>
          <w:rFonts w:ascii="Times New Roman" w:hAnsi="Times New Roman"/>
          <w:sz w:val="24"/>
          <w:szCs w:val="24"/>
          <w:lang w:val="en-US"/>
        </w:rPr>
        <w:t xml:space="preserve">R² </w:t>
      </w:r>
      <w:r w:rsidR="00CE34C9" w:rsidRPr="00F4226B">
        <w:rPr>
          <w:rFonts w:ascii="Times New Roman" w:hAnsi="Times New Roman"/>
          <w:sz w:val="24"/>
          <w:szCs w:val="24"/>
          <w:lang w:val="en-US"/>
        </w:rPr>
        <w:t xml:space="preserve">for the incremental content model </w:t>
      </w:r>
      <w:r w:rsidR="00267DE3" w:rsidRPr="00F4226B">
        <w:rPr>
          <w:rFonts w:ascii="Times New Roman" w:hAnsi="Times New Roman"/>
          <w:sz w:val="24"/>
          <w:szCs w:val="24"/>
          <w:lang w:val="en-US"/>
        </w:rPr>
        <w:t xml:space="preserve">and those of </w:t>
      </w:r>
      <w:r w:rsidR="007F3F9D">
        <w:rPr>
          <w:rFonts w:ascii="Times New Roman" w:hAnsi="Times New Roman"/>
          <w:sz w:val="24"/>
          <w:szCs w:val="24"/>
          <w:lang w:val="en-US"/>
        </w:rPr>
        <w:t xml:space="preserve">the </w:t>
      </w:r>
      <w:r w:rsidR="00267DE3" w:rsidRPr="00F4226B">
        <w:rPr>
          <w:rFonts w:ascii="Times New Roman" w:hAnsi="Times New Roman"/>
          <w:sz w:val="24"/>
          <w:szCs w:val="24"/>
          <w:lang w:val="en-US"/>
        </w:rPr>
        <w:t xml:space="preserve">HC and IA models show that the model is superior to </w:t>
      </w:r>
      <w:r w:rsidR="00CE34C9" w:rsidRPr="00F4226B">
        <w:rPr>
          <w:rFonts w:ascii="Times New Roman" w:hAnsi="Times New Roman"/>
          <w:sz w:val="24"/>
          <w:szCs w:val="24"/>
          <w:lang w:val="en-US"/>
        </w:rPr>
        <w:t xml:space="preserve">the IA model (Z-statistic </w:t>
      </w:r>
      <w:r w:rsidR="001F4DF5" w:rsidRPr="00F4226B">
        <w:rPr>
          <w:rFonts w:ascii="Times New Roman" w:hAnsi="Times New Roman"/>
          <w:sz w:val="24"/>
          <w:szCs w:val="24"/>
          <w:lang w:val="en-US"/>
        </w:rPr>
        <w:t xml:space="preserve">of </w:t>
      </w:r>
      <w:r w:rsidR="00CE34C9" w:rsidRPr="00F4226B">
        <w:rPr>
          <w:rFonts w:ascii="Times New Roman" w:hAnsi="Times New Roman"/>
          <w:sz w:val="24"/>
          <w:szCs w:val="24"/>
          <w:lang w:val="en-US"/>
        </w:rPr>
        <w:t>2.426</w:t>
      </w:r>
      <w:r w:rsidR="007F3F9D">
        <w:rPr>
          <w:rFonts w:ascii="Times New Roman" w:hAnsi="Times New Roman"/>
          <w:sz w:val="24"/>
          <w:szCs w:val="24"/>
          <w:lang w:val="en-US"/>
        </w:rPr>
        <w:t xml:space="preserve">, </w:t>
      </w:r>
      <w:r w:rsidR="00CE34C9" w:rsidRPr="00F4226B">
        <w:rPr>
          <w:rFonts w:ascii="Times New Roman" w:hAnsi="Times New Roman"/>
          <w:sz w:val="24"/>
          <w:szCs w:val="24"/>
          <w:lang w:val="en-US"/>
        </w:rPr>
        <w:t>significant at 5% level)</w:t>
      </w:r>
      <w:r w:rsidR="00005023" w:rsidRPr="00F4226B">
        <w:rPr>
          <w:rFonts w:ascii="Times New Roman" w:hAnsi="Times New Roman"/>
          <w:sz w:val="24"/>
          <w:szCs w:val="24"/>
          <w:lang w:val="en-US"/>
        </w:rPr>
        <w:t xml:space="preserve"> </w:t>
      </w:r>
      <w:r w:rsidR="0078565F" w:rsidRPr="00F4226B">
        <w:rPr>
          <w:rFonts w:ascii="Times New Roman" w:hAnsi="Times New Roman"/>
          <w:sz w:val="24"/>
          <w:szCs w:val="24"/>
          <w:lang w:val="en-US"/>
        </w:rPr>
        <w:t xml:space="preserve">but </w:t>
      </w:r>
      <w:r w:rsidR="00267DE3" w:rsidRPr="00F4226B">
        <w:rPr>
          <w:rFonts w:ascii="Times New Roman" w:hAnsi="Times New Roman"/>
          <w:sz w:val="24"/>
          <w:szCs w:val="24"/>
          <w:lang w:val="en-US"/>
        </w:rPr>
        <w:t xml:space="preserve">does not differ </w:t>
      </w:r>
      <w:r w:rsidR="000A7AAC" w:rsidRPr="00F4226B">
        <w:rPr>
          <w:rFonts w:ascii="Times New Roman" w:hAnsi="Times New Roman"/>
          <w:sz w:val="24"/>
          <w:szCs w:val="24"/>
          <w:lang w:val="en-US"/>
        </w:rPr>
        <w:t xml:space="preserve">significantly </w:t>
      </w:r>
      <w:r w:rsidR="0078565F" w:rsidRPr="00F4226B">
        <w:rPr>
          <w:rFonts w:ascii="Times New Roman" w:hAnsi="Times New Roman"/>
          <w:sz w:val="24"/>
          <w:szCs w:val="24"/>
          <w:lang w:val="en-US"/>
        </w:rPr>
        <w:t xml:space="preserve">from </w:t>
      </w:r>
      <w:r w:rsidR="00CE34C9" w:rsidRPr="00F4226B">
        <w:rPr>
          <w:rFonts w:ascii="Times New Roman" w:hAnsi="Times New Roman"/>
          <w:sz w:val="24"/>
          <w:szCs w:val="24"/>
          <w:lang w:val="en-US"/>
        </w:rPr>
        <w:t>the HC m</w:t>
      </w:r>
      <w:r w:rsidR="00CD0ED9" w:rsidRPr="00F4226B">
        <w:rPr>
          <w:rFonts w:ascii="Times New Roman" w:hAnsi="Times New Roman"/>
          <w:sz w:val="24"/>
          <w:szCs w:val="24"/>
          <w:lang w:val="en-US"/>
        </w:rPr>
        <w:t xml:space="preserve">odel. </w:t>
      </w:r>
      <w:r w:rsidR="0078565F" w:rsidRPr="00F4226B">
        <w:rPr>
          <w:rFonts w:ascii="Times New Roman" w:hAnsi="Times New Roman"/>
          <w:sz w:val="24"/>
          <w:szCs w:val="24"/>
          <w:lang w:val="en-US"/>
        </w:rPr>
        <w:t>The</w:t>
      </w:r>
      <w:r w:rsidR="00FB31F0" w:rsidRPr="00F4226B">
        <w:rPr>
          <w:rFonts w:ascii="Times New Roman" w:hAnsi="Times New Roman"/>
          <w:sz w:val="24"/>
          <w:szCs w:val="24"/>
          <w:lang w:val="en-US"/>
        </w:rPr>
        <w:t xml:space="preserve">re are two key points to note from these </w:t>
      </w:r>
      <w:r w:rsidR="00FB31F0" w:rsidRPr="00F4226B">
        <w:rPr>
          <w:rFonts w:ascii="Times New Roman" w:hAnsi="Times New Roman"/>
          <w:sz w:val="24"/>
          <w:szCs w:val="24"/>
          <w:lang w:val="en-US"/>
        </w:rPr>
        <w:lastRenderedPageBreak/>
        <w:t>re</w:t>
      </w:r>
      <w:r w:rsidR="0078565F" w:rsidRPr="00F4226B">
        <w:rPr>
          <w:rFonts w:ascii="Times New Roman" w:hAnsi="Times New Roman"/>
          <w:sz w:val="24"/>
          <w:szCs w:val="24"/>
          <w:lang w:val="en-US"/>
        </w:rPr>
        <w:t>sults</w:t>
      </w:r>
      <w:r w:rsidR="00FB31F0" w:rsidRPr="00F4226B">
        <w:rPr>
          <w:rFonts w:ascii="Times New Roman" w:hAnsi="Times New Roman"/>
          <w:sz w:val="24"/>
          <w:szCs w:val="24"/>
          <w:lang w:val="en-US"/>
        </w:rPr>
        <w:t xml:space="preserve">. First, the results </w:t>
      </w:r>
      <w:r w:rsidR="0078565F" w:rsidRPr="00F4226B">
        <w:rPr>
          <w:rFonts w:ascii="Times New Roman" w:hAnsi="Times New Roman"/>
          <w:sz w:val="24"/>
          <w:szCs w:val="24"/>
          <w:lang w:val="en-US"/>
        </w:rPr>
        <w:t xml:space="preserve">imply </w:t>
      </w:r>
      <w:r w:rsidR="00E76FBF" w:rsidRPr="00F4226B">
        <w:rPr>
          <w:rFonts w:ascii="Times New Roman" w:hAnsi="Times New Roman"/>
          <w:sz w:val="24"/>
          <w:szCs w:val="24"/>
          <w:lang w:val="en-US"/>
        </w:rPr>
        <w:t>that</w:t>
      </w:r>
      <w:r w:rsidR="003F73A4">
        <w:rPr>
          <w:rFonts w:ascii="Times New Roman" w:hAnsi="Times New Roman"/>
          <w:sz w:val="24"/>
          <w:szCs w:val="24"/>
          <w:lang w:val="en-US"/>
        </w:rPr>
        <w:t>,</w:t>
      </w:r>
      <w:r w:rsidR="00E76FBF" w:rsidRPr="00F4226B">
        <w:rPr>
          <w:rFonts w:ascii="Times New Roman" w:hAnsi="Times New Roman"/>
          <w:sz w:val="24"/>
          <w:szCs w:val="24"/>
          <w:lang w:val="en-US"/>
        </w:rPr>
        <w:t xml:space="preserve"> </w:t>
      </w:r>
      <w:r w:rsidR="0078565F" w:rsidRPr="00F4226B">
        <w:rPr>
          <w:rFonts w:ascii="Times New Roman" w:hAnsi="Times New Roman"/>
          <w:sz w:val="24"/>
          <w:szCs w:val="24"/>
          <w:lang w:val="en-US"/>
        </w:rPr>
        <w:t xml:space="preserve">whereas </w:t>
      </w:r>
      <w:r w:rsidR="00681E99" w:rsidRPr="00F4226B">
        <w:rPr>
          <w:rFonts w:ascii="Times New Roman" w:hAnsi="Times New Roman"/>
          <w:sz w:val="24"/>
          <w:szCs w:val="24"/>
          <w:lang w:val="en-US"/>
        </w:rPr>
        <w:t xml:space="preserve">investors will not be deprived of relevant information by the </w:t>
      </w:r>
      <w:r w:rsidR="006029BF" w:rsidRPr="00F4226B">
        <w:rPr>
          <w:rFonts w:ascii="Times New Roman" w:hAnsi="Times New Roman"/>
          <w:sz w:val="24"/>
          <w:szCs w:val="24"/>
          <w:lang w:val="en-US"/>
        </w:rPr>
        <w:t>publi</w:t>
      </w:r>
      <w:r w:rsidR="00681E99" w:rsidRPr="00F4226B">
        <w:rPr>
          <w:rFonts w:ascii="Times New Roman" w:hAnsi="Times New Roman"/>
          <w:sz w:val="24"/>
          <w:szCs w:val="24"/>
          <w:lang w:val="en-US"/>
        </w:rPr>
        <w:t xml:space="preserve">cation of </w:t>
      </w:r>
      <w:r w:rsidR="0078565F" w:rsidRPr="00F4226B">
        <w:rPr>
          <w:rFonts w:ascii="Times New Roman" w:hAnsi="Times New Roman"/>
          <w:sz w:val="24"/>
          <w:szCs w:val="24"/>
          <w:lang w:val="en-US"/>
        </w:rPr>
        <w:t xml:space="preserve">HC </w:t>
      </w:r>
      <w:r w:rsidR="00CE34C9" w:rsidRPr="00F4226B">
        <w:rPr>
          <w:rFonts w:ascii="Times New Roman" w:hAnsi="Times New Roman"/>
          <w:sz w:val="24"/>
          <w:szCs w:val="24"/>
          <w:lang w:val="en-US"/>
        </w:rPr>
        <w:t>amounts</w:t>
      </w:r>
      <w:r w:rsidR="00681E99" w:rsidRPr="00F4226B">
        <w:rPr>
          <w:rFonts w:ascii="Times New Roman" w:hAnsi="Times New Roman"/>
          <w:sz w:val="24"/>
          <w:szCs w:val="24"/>
          <w:lang w:val="en-US"/>
        </w:rPr>
        <w:t xml:space="preserve"> alone in periods of inflation</w:t>
      </w:r>
      <w:r w:rsidR="0078565F" w:rsidRPr="00F4226B">
        <w:rPr>
          <w:rFonts w:ascii="Times New Roman" w:hAnsi="Times New Roman"/>
          <w:sz w:val="24"/>
          <w:szCs w:val="24"/>
          <w:lang w:val="en-US"/>
        </w:rPr>
        <w:t>, the provision of IA a</w:t>
      </w:r>
      <w:r w:rsidR="00CE34C9" w:rsidRPr="00F4226B">
        <w:rPr>
          <w:rFonts w:ascii="Times New Roman" w:hAnsi="Times New Roman"/>
          <w:sz w:val="24"/>
          <w:szCs w:val="24"/>
          <w:lang w:val="en-US"/>
        </w:rPr>
        <w:t>mounts</w:t>
      </w:r>
      <w:r w:rsidR="0078565F" w:rsidRPr="00F4226B">
        <w:rPr>
          <w:rFonts w:ascii="Times New Roman" w:hAnsi="Times New Roman"/>
          <w:sz w:val="24"/>
          <w:szCs w:val="24"/>
          <w:lang w:val="en-US"/>
        </w:rPr>
        <w:t xml:space="preserve"> </w:t>
      </w:r>
      <w:r w:rsidR="00681E99" w:rsidRPr="00F4226B">
        <w:rPr>
          <w:rFonts w:ascii="Times New Roman" w:hAnsi="Times New Roman"/>
          <w:sz w:val="24"/>
          <w:szCs w:val="24"/>
          <w:lang w:val="en-US"/>
        </w:rPr>
        <w:t xml:space="preserve">without HC amounts </w:t>
      </w:r>
      <w:r w:rsidR="0078565F" w:rsidRPr="00F4226B">
        <w:rPr>
          <w:rFonts w:ascii="Times New Roman" w:hAnsi="Times New Roman"/>
          <w:sz w:val="24"/>
          <w:szCs w:val="24"/>
          <w:lang w:val="en-US"/>
        </w:rPr>
        <w:t xml:space="preserve">would lead to substantial loss of information for </w:t>
      </w:r>
      <w:r w:rsidR="00E76FBF" w:rsidRPr="00F4226B">
        <w:rPr>
          <w:rFonts w:ascii="Times New Roman" w:hAnsi="Times New Roman"/>
          <w:sz w:val="24"/>
          <w:szCs w:val="24"/>
          <w:lang w:val="en-US"/>
        </w:rPr>
        <w:t xml:space="preserve">stock valuations. </w:t>
      </w:r>
      <w:r w:rsidR="00FB31F0" w:rsidRPr="00F4226B">
        <w:rPr>
          <w:rFonts w:ascii="Times New Roman" w:hAnsi="Times New Roman"/>
          <w:sz w:val="24"/>
          <w:szCs w:val="24"/>
          <w:lang w:val="en-US"/>
        </w:rPr>
        <w:t xml:space="preserve">Second, they indicate that decomposing IA amounts into their HC amounts </w:t>
      </w:r>
      <w:r w:rsidR="00EF7250">
        <w:rPr>
          <w:rFonts w:ascii="Times New Roman" w:hAnsi="Times New Roman"/>
          <w:sz w:val="24"/>
          <w:szCs w:val="24"/>
          <w:lang w:val="en-US"/>
        </w:rPr>
        <w:t>as well as</w:t>
      </w:r>
      <w:r w:rsidR="00EF7250" w:rsidRPr="00F4226B">
        <w:rPr>
          <w:rFonts w:ascii="Times New Roman" w:hAnsi="Times New Roman"/>
          <w:sz w:val="24"/>
          <w:szCs w:val="24"/>
          <w:lang w:val="en-US"/>
        </w:rPr>
        <w:t xml:space="preserve"> </w:t>
      </w:r>
      <w:r w:rsidR="00FB31F0" w:rsidRPr="00F4226B">
        <w:rPr>
          <w:rFonts w:ascii="Times New Roman" w:hAnsi="Times New Roman"/>
          <w:sz w:val="24"/>
          <w:szCs w:val="24"/>
          <w:lang w:val="en-US"/>
        </w:rPr>
        <w:t xml:space="preserve">inflation gains and losses has substantial economic consequences. </w:t>
      </w:r>
      <w:r w:rsidR="00FD2714" w:rsidRPr="00F4226B">
        <w:rPr>
          <w:rFonts w:ascii="Times New Roman" w:hAnsi="Times New Roman"/>
          <w:sz w:val="24"/>
          <w:szCs w:val="24"/>
          <w:lang w:val="en-US"/>
        </w:rPr>
        <w:t xml:space="preserve">These results are consistent with prior studies, </w:t>
      </w:r>
      <w:r w:rsidR="007F3F9D">
        <w:rPr>
          <w:rFonts w:ascii="Times New Roman" w:hAnsi="Times New Roman"/>
          <w:sz w:val="24"/>
          <w:szCs w:val="24"/>
          <w:lang w:val="en-US"/>
        </w:rPr>
        <w:t>such as</w:t>
      </w:r>
      <w:r w:rsidR="00FD2714" w:rsidRPr="00F4226B">
        <w:rPr>
          <w:rFonts w:ascii="Times New Roman" w:hAnsi="Times New Roman"/>
          <w:sz w:val="24"/>
          <w:szCs w:val="24"/>
          <w:lang w:val="en-US"/>
        </w:rPr>
        <w:t xml:space="preserve"> </w:t>
      </w:r>
      <w:r w:rsidR="003F73A4">
        <w:rPr>
          <w:rFonts w:ascii="Times New Roman" w:hAnsi="Times New Roman"/>
          <w:sz w:val="24"/>
          <w:szCs w:val="24"/>
          <w:lang w:val="en-US"/>
        </w:rPr>
        <w:t xml:space="preserve">those by </w:t>
      </w:r>
      <w:r w:rsidR="00FD2714" w:rsidRPr="00F4226B">
        <w:rPr>
          <w:rFonts w:ascii="Times New Roman" w:hAnsi="Times New Roman"/>
          <w:sz w:val="24"/>
          <w:szCs w:val="24"/>
          <w:lang w:val="en-US"/>
        </w:rPr>
        <w:t>Sloan (1996), Barth et al. (2001</w:t>
      </w:r>
      <w:r w:rsidR="00812848" w:rsidRPr="00F4226B">
        <w:rPr>
          <w:rFonts w:ascii="Times New Roman" w:hAnsi="Times New Roman"/>
          <w:sz w:val="24"/>
          <w:szCs w:val="24"/>
          <w:lang w:val="en-US"/>
        </w:rPr>
        <w:t>a</w:t>
      </w:r>
      <w:r w:rsidR="00FD2714" w:rsidRPr="00F4226B">
        <w:rPr>
          <w:rFonts w:ascii="Times New Roman" w:hAnsi="Times New Roman"/>
          <w:sz w:val="24"/>
          <w:szCs w:val="24"/>
          <w:lang w:val="en-US"/>
        </w:rPr>
        <w:t xml:space="preserve">) and Bartov et al. (2001), </w:t>
      </w:r>
      <w:r w:rsidR="007F3F9D">
        <w:rPr>
          <w:rFonts w:ascii="Times New Roman" w:hAnsi="Times New Roman"/>
          <w:sz w:val="24"/>
          <w:szCs w:val="24"/>
          <w:lang w:val="en-US"/>
        </w:rPr>
        <w:t>that show</w:t>
      </w:r>
      <w:r w:rsidR="00FD2714" w:rsidRPr="00F4226B">
        <w:rPr>
          <w:rFonts w:ascii="Times New Roman" w:hAnsi="Times New Roman"/>
          <w:sz w:val="24"/>
          <w:szCs w:val="24"/>
          <w:lang w:val="en-US"/>
        </w:rPr>
        <w:t xml:space="preserve"> that decomposing </w:t>
      </w:r>
      <w:r w:rsidR="004B278C" w:rsidRPr="00F4226B">
        <w:rPr>
          <w:rFonts w:ascii="Times New Roman" w:hAnsi="Times New Roman"/>
          <w:sz w:val="24"/>
          <w:szCs w:val="24"/>
          <w:lang w:val="en-US"/>
        </w:rPr>
        <w:t xml:space="preserve">aggregate </w:t>
      </w:r>
      <w:r w:rsidR="00FD2714" w:rsidRPr="00F4226B">
        <w:rPr>
          <w:rFonts w:ascii="Times New Roman" w:hAnsi="Times New Roman"/>
          <w:sz w:val="24"/>
          <w:szCs w:val="24"/>
          <w:lang w:val="en-US"/>
        </w:rPr>
        <w:t>earnings into their components provide</w:t>
      </w:r>
      <w:r w:rsidR="007F3F9D">
        <w:rPr>
          <w:rFonts w:ascii="Times New Roman" w:hAnsi="Times New Roman"/>
          <w:sz w:val="24"/>
          <w:szCs w:val="24"/>
          <w:lang w:val="en-US"/>
        </w:rPr>
        <w:t>s</w:t>
      </w:r>
      <w:r w:rsidR="00FD2714" w:rsidRPr="00F4226B">
        <w:rPr>
          <w:rFonts w:ascii="Times New Roman" w:hAnsi="Times New Roman"/>
          <w:sz w:val="24"/>
          <w:szCs w:val="24"/>
          <w:lang w:val="en-US"/>
        </w:rPr>
        <w:t xml:space="preserve"> incremental information for investors. </w:t>
      </w:r>
      <w:r w:rsidR="00706A7F" w:rsidRPr="00F4226B">
        <w:rPr>
          <w:rFonts w:ascii="Times New Roman" w:hAnsi="Times New Roman"/>
          <w:sz w:val="24"/>
          <w:szCs w:val="24"/>
          <w:lang w:val="en-US"/>
        </w:rPr>
        <w:t>Overall</w:t>
      </w:r>
      <w:r w:rsidR="00FB31F0" w:rsidRPr="00F4226B">
        <w:rPr>
          <w:rFonts w:ascii="Times New Roman" w:hAnsi="Times New Roman"/>
          <w:sz w:val="24"/>
          <w:szCs w:val="24"/>
          <w:lang w:val="en-US"/>
        </w:rPr>
        <w:t xml:space="preserve">, </w:t>
      </w:r>
      <w:r w:rsidR="00A15EAF" w:rsidRPr="00F4226B">
        <w:rPr>
          <w:rFonts w:ascii="Times New Roman" w:hAnsi="Times New Roman"/>
          <w:sz w:val="24"/>
          <w:szCs w:val="24"/>
          <w:lang w:val="en-US"/>
        </w:rPr>
        <w:t xml:space="preserve">these </w:t>
      </w:r>
      <w:r w:rsidR="00A739F1" w:rsidRPr="00F4226B">
        <w:rPr>
          <w:rFonts w:ascii="Times New Roman" w:hAnsi="Times New Roman"/>
          <w:sz w:val="24"/>
          <w:szCs w:val="24"/>
          <w:lang w:val="en-US"/>
        </w:rPr>
        <w:t xml:space="preserve">results do not support IASB’s contention that HC </w:t>
      </w:r>
      <w:r w:rsidR="00681E99" w:rsidRPr="00F4226B">
        <w:rPr>
          <w:rFonts w:ascii="Times New Roman" w:hAnsi="Times New Roman"/>
          <w:sz w:val="24"/>
          <w:szCs w:val="24"/>
          <w:lang w:val="en-US"/>
        </w:rPr>
        <w:t xml:space="preserve">amounts </w:t>
      </w:r>
      <w:r w:rsidR="004A752C" w:rsidRPr="00F4226B">
        <w:rPr>
          <w:rFonts w:ascii="Times New Roman" w:hAnsi="Times New Roman"/>
          <w:sz w:val="24"/>
          <w:szCs w:val="24"/>
          <w:lang w:val="en-US"/>
        </w:rPr>
        <w:t>are</w:t>
      </w:r>
      <w:r w:rsidR="00A739F1" w:rsidRPr="00F4226B">
        <w:rPr>
          <w:rFonts w:ascii="Times New Roman" w:hAnsi="Times New Roman"/>
          <w:sz w:val="24"/>
          <w:szCs w:val="24"/>
          <w:lang w:val="en-US"/>
        </w:rPr>
        <w:t xml:space="preserve"> not useful</w:t>
      </w:r>
      <w:r w:rsidR="008B489B" w:rsidRPr="00F4226B">
        <w:rPr>
          <w:rFonts w:ascii="Times New Roman" w:hAnsi="Times New Roman"/>
          <w:sz w:val="24"/>
          <w:szCs w:val="24"/>
          <w:lang w:val="en-US"/>
        </w:rPr>
        <w:t xml:space="preserve"> and </w:t>
      </w:r>
      <w:r w:rsidR="00681E99" w:rsidRPr="00F4226B">
        <w:rPr>
          <w:rFonts w:ascii="Times New Roman" w:hAnsi="Times New Roman"/>
          <w:sz w:val="24"/>
          <w:szCs w:val="24"/>
          <w:lang w:val="en-US"/>
        </w:rPr>
        <w:t xml:space="preserve">should </w:t>
      </w:r>
      <w:r w:rsidR="004A752C" w:rsidRPr="00F4226B">
        <w:rPr>
          <w:rFonts w:ascii="Times New Roman" w:hAnsi="Times New Roman"/>
          <w:sz w:val="24"/>
          <w:szCs w:val="24"/>
          <w:lang w:val="en-US"/>
        </w:rPr>
        <w:t xml:space="preserve">be </w:t>
      </w:r>
      <w:r w:rsidR="00681E99" w:rsidRPr="00F4226B">
        <w:rPr>
          <w:rFonts w:ascii="Times New Roman" w:hAnsi="Times New Roman"/>
          <w:sz w:val="24"/>
          <w:szCs w:val="24"/>
          <w:lang w:val="en-US"/>
        </w:rPr>
        <w:t>supplanted with IA amounts</w:t>
      </w:r>
      <w:r w:rsidR="00A739F1" w:rsidRPr="00F4226B">
        <w:rPr>
          <w:rFonts w:ascii="Times New Roman" w:hAnsi="Times New Roman"/>
          <w:sz w:val="24"/>
          <w:szCs w:val="24"/>
          <w:lang w:val="en-US"/>
        </w:rPr>
        <w:t>.</w:t>
      </w:r>
    </w:p>
    <w:p w14:paraId="4F57B1D4" w14:textId="4E400798" w:rsidR="00200C51" w:rsidRPr="00F4226B" w:rsidRDefault="00C846EC"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lastRenderedPageBreak/>
        <w:t xml:space="preserve">Next, we </w:t>
      </w:r>
      <w:r w:rsidR="00B03F0F">
        <w:rPr>
          <w:rFonts w:ascii="Times New Roman" w:hAnsi="Times New Roman"/>
          <w:sz w:val="24"/>
          <w:szCs w:val="24"/>
          <w:lang w:val="en-US"/>
        </w:rPr>
        <w:t>e</w:t>
      </w:r>
      <w:r w:rsidRPr="00F4226B">
        <w:rPr>
          <w:rFonts w:ascii="Times New Roman" w:hAnsi="Times New Roman"/>
          <w:sz w:val="24"/>
          <w:szCs w:val="24"/>
          <w:lang w:val="en-US"/>
        </w:rPr>
        <w:t xml:space="preserve">xamine </w:t>
      </w:r>
      <w:r w:rsidR="00681E99" w:rsidRPr="00F4226B">
        <w:rPr>
          <w:rFonts w:ascii="Times New Roman" w:hAnsi="Times New Roman"/>
          <w:sz w:val="24"/>
          <w:szCs w:val="24"/>
          <w:lang w:val="en-US"/>
        </w:rPr>
        <w:t xml:space="preserve">whether </w:t>
      </w:r>
      <w:r w:rsidR="00816668" w:rsidRPr="00F4226B">
        <w:rPr>
          <w:rFonts w:ascii="Times New Roman" w:hAnsi="Times New Roman"/>
          <w:sz w:val="24"/>
          <w:szCs w:val="24"/>
          <w:lang w:val="en-US"/>
        </w:rPr>
        <w:t>the relative and incremental value relevance of HC and IA a</w:t>
      </w:r>
      <w:r w:rsidR="00C651E6">
        <w:rPr>
          <w:rFonts w:ascii="Times New Roman" w:hAnsi="Times New Roman"/>
          <w:sz w:val="24"/>
          <w:szCs w:val="24"/>
          <w:lang w:val="en-US"/>
        </w:rPr>
        <w:t>mounts</w:t>
      </w:r>
      <w:r w:rsidR="00816668" w:rsidRPr="00F4226B">
        <w:rPr>
          <w:rFonts w:ascii="Times New Roman" w:hAnsi="Times New Roman"/>
          <w:sz w:val="24"/>
          <w:szCs w:val="24"/>
          <w:lang w:val="en-US"/>
        </w:rPr>
        <w:t xml:space="preserve"> change with </w:t>
      </w:r>
      <w:r w:rsidRPr="00F4226B">
        <w:rPr>
          <w:rFonts w:ascii="Times New Roman" w:hAnsi="Times New Roman"/>
          <w:sz w:val="24"/>
          <w:szCs w:val="24"/>
          <w:lang w:val="en-US"/>
        </w:rPr>
        <w:t xml:space="preserve">the level of </w:t>
      </w:r>
      <w:r w:rsidR="00816668" w:rsidRPr="00F4226B">
        <w:rPr>
          <w:rFonts w:ascii="Times New Roman" w:hAnsi="Times New Roman"/>
          <w:sz w:val="24"/>
          <w:szCs w:val="24"/>
          <w:lang w:val="en-US"/>
        </w:rPr>
        <w:t>inflation</w:t>
      </w:r>
      <w:r w:rsidR="00825C37" w:rsidRPr="00F4226B">
        <w:rPr>
          <w:rFonts w:ascii="Times New Roman" w:hAnsi="Times New Roman"/>
          <w:sz w:val="24"/>
          <w:szCs w:val="24"/>
          <w:lang w:val="en-US"/>
        </w:rPr>
        <w:t>. To do this</w:t>
      </w:r>
      <w:r w:rsidR="00816668" w:rsidRPr="00F4226B">
        <w:rPr>
          <w:rFonts w:ascii="Times New Roman" w:hAnsi="Times New Roman"/>
          <w:sz w:val="24"/>
          <w:szCs w:val="24"/>
          <w:lang w:val="en-US"/>
        </w:rPr>
        <w:t xml:space="preserve">, we </w:t>
      </w:r>
      <w:r w:rsidRPr="00F4226B">
        <w:rPr>
          <w:rFonts w:ascii="Times New Roman" w:hAnsi="Times New Roman"/>
          <w:sz w:val="24"/>
          <w:szCs w:val="24"/>
          <w:lang w:val="en-US"/>
        </w:rPr>
        <w:t xml:space="preserve">first </w:t>
      </w:r>
      <w:r w:rsidR="00816668" w:rsidRPr="00F4226B">
        <w:rPr>
          <w:rFonts w:ascii="Times New Roman" w:hAnsi="Times New Roman"/>
          <w:sz w:val="24"/>
          <w:szCs w:val="24"/>
          <w:lang w:val="en-US"/>
        </w:rPr>
        <w:t xml:space="preserve">partition </w:t>
      </w:r>
      <w:r w:rsidR="007B0D2E" w:rsidRPr="00F4226B">
        <w:rPr>
          <w:rFonts w:ascii="Times New Roman" w:hAnsi="Times New Roman"/>
          <w:sz w:val="24"/>
          <w:szCs w:val="24"/>
          <w:lang w:val="en-US"/>
        </w:rPr>
        <w:t>our study period</w:t>
      </w:r>
      <w:r w:rsidR="00816668" w:rsidRPr="00F4226B">
        <w:rPr>
          <w:rFonts w:ascii="Times New Roman" w:hAnsi="Times New Roman"/>
          <w:sz w:val="24"/>
          <w:szCs w:val="24"/>
          <w:lang w:val="en-US"/>
        </w:rPr>
        <w:t xml:space="preserve"> into </w:t>
      </w:r>
      <w:r w:rsidR="007B0D2E" w:rsidRPr="00F4226B">
        <w:rPr>
          <w:rFonts w:ascii="Times New Roman" w:hAnsi="Times New Roman"/>
          <w:sz w:val="24"/>
          <w:szCs w:val="24"/>
          <w:lang w:val="en-US"/>
        </w:rPr>
        <w:t xml:space="preserve">two </w:t>
      </w:r>
      <w:r w:rsidR="00816668" w:rsidRPr="00F4226B">
        <w:rPr>
          <w:rFonts w:ascii="Times New Roman" w:hAnsi="Times New Roman"/>
          <w:sz w:val="24"/>
          <w:szCs w:val="24"/>
          <w:lang w:val="en-US"/>
        </w:rPr>
        <w:t xml:space="preserve">observable </w:t>
      </w:r>
      <w:r w:rsidR="007B0D2E" w:rsidRPr="00F4226B">
        <w:rPr>
          <w:rFonts w:ascii="Times New Roman" w:hAnsi="Times New Roman"/>
          <w:sz w:val="24"/>
          <w:szCs w:val="24"/>
          <w:lang w:val="en-US"/>
        </w:rPr>
        <w:t>distinct periods of inflationary conditions</w:t>
      </w:r>
      <w:r w:rsidR="00825C37" w:rsidRPr="00F4226B">
        <w:rPr>
          <w:rFonts w:ascii="Times New Roman" w:hAnsi="Times New Roman"/>
          <w:sz w:val="24"/>
          <w:szCs w:val="24"/>
          <w:lang w:val="en-US"/>
        </w:rPr>
        <w:t>: 2000</w:t>
      </w:r>
      <w:r w:rsidR="003F73A4">
        <w:rPr>
          <w:rFonts w:ascii="Times New Roman" w:hAnsi="Times New Roman"/>
          <w:sz w:val="24"/>
          <w:szCs w:val="24"/>
          <w:lang w:val="en-US"/>
        </w:rPr>
        <w:t>–</w:t>
      </w:r>
      <w:r w:rsidR="00825C37" w:rsidRPr="00F4226B">
        <w:rPr>
          <w:rFonts w:ascii="Times New Roman" w:hAnsi="Times New Roman"/>
          <w:sz w:val="24"/>
          <w:szCs w:val="24"/>
          <w:lang w:val="en-US"/>
        </w:rPr>
        <w:t xml:space="preserve">2002, a relatively low inflation period (average of </w:t>
      </w:r>
      <w:r w:rsidR="001F4DF5" w:rsidRPr="00F4226B">
        <w:rPr>
          <w:rFonts w:ascii="Times New Roman" w:hAnsi="Times New Roman"/>
          <w:sz w:val="24"/>
          <w:szCs w:val="24"/>
          <w:lang w:val="en-US"/>
        </w:rPr>
        <w:t>90.9</w:t>
      </w:r>
      <w:r w:rsidR="00825C37" w:rsidRPr="00F4226B">
        <w:rPr>
          <w:rFonts w:ascii="Times New Roman" w:hAnsi="Times New Roman"/>
          <w:sz w:val="24"/>
          <w:szCs w:val="24"/>
          <w:lang w:val="en-US"/>
        </w:rPr>
        <w:t>%)</w:t>
      </w:r>
      <w:r w:rsidR="00B03F0F">
        <w:rPr>
          <w:rFonts w:ascii="Times New Roman" w:hAnsi="Times New Roman"/>
          <w:sz w:val="24"/>
          <w:szCs w:val="24"/>
          <w:lang w:val="en-US"/>
        </w:rPr>
        <w:t>,</w:t>
      </w:r>
      <w:r w:rsidR="00825C37" w:rsidRPr="00F4226B">
        <w:rPr>
          <w:rFonts w:ascii="Times New Roman" w:hAnsi="Times New Roman"/>
          <w:sz w:val="24"/>
          <w:szCs w:val="24"/>
          <w:lang w:val="en-US"/>
        </w:rPr>
        <w:t xml:space="preserve"> and 2003</w:t>
      </w:r>
      <w:r w:rsidR="003F73A4">
        <w:rPr>
          <w:rFonts w:ascii="Times New Roman" w:hAnsi="Times New Roman"/>
          <w:sz w:val="24"/>
          <w:szCs w:val="24"/>
          <w:lang w:val="en-US"/>
        </w:rPr>
        <w:t>–</w:t>
      </w:r>
      <w:r w:rsidR="00825C37" w:rsidRPr="00F4226B">
        <w:rPr>
          <w:rFonts w:ascii="Times New Roman" w:hAnsi="Times New Roman"/>
          <w:sz w:val="24"/>
          <w:szCs w:val="24"/>
          <w:lang w:val="en-US"/>
        </w:rPr>
        <w:t>2005, a relatively high inflation period (average of 3</w:t>
      </w:r>
      <w:r w:rsidR="001F4DF5" w:rsidRPr="00F4226B">
        <w:rPr>
          <w:rFonts w:ascii="Times New Roman" w:hAnsi="Times New Roman"/>
          <w:sz w:val="24"/>
          <w:szCs w:val="24"/>
          <w:lang w:val="en-US"/>
        </w:rPr>
        <w:t>6</w:t>
      </w:r>
      <w:r w:rsidRPr="00F4226B">
        <w:rPr>
          <w:rFonts w:ascii="Times New Roman" w:hAnsi="Times New Roman"/>
          <w:sz w:val="24"/>
          <w:szCs w:val="24"/>
          <w:lang w:val="en-US"/>
        </w:rPr>
        <w:t>1.</w:t>
      </w:r>
      <w:r w:rsidR="00825C37" w:rsidRPr="00F4226B">
        <w:rPr>
          <w:rFonts w:ascii="Times New Roman" w:hAnsi="Times New Roman"/>
          <w:sz w:val="24"/>
          <w:szCs w:val="24"/>
          <w:lang w:val="en-US"/>
        </w:rPr>
        <w:t>3%</w:t>
      </w:r>
      <w:r w:rsidR="003F73A4">
        <w:rPr>
          <w:rFonts w:ascii="Times New Roman" w:hAnsi="Times New Roman"/>
          <w:sz w:val="24"/>
          <w:szCs w:val="24"/>
          <w:lang w:val="en-US"/>
        </w:rPr>
        <w:t xml:space="preserve">; </w:t>
      </w:r>
      <w:r w:rsidR="007D0834" w:rsidRPr="00F4226B">
        <w:rPr>
          <w:rFonts w:ascii="Times New Roman" w:hAnsi="Times New Roman"/>
          <w:sz w:val="24"/>
          <w:szCs w:val="24"/>
          <w:lang w:val="en-US"/>
        </w:rPr>
        <w:t>see</w:t>
      </w:r>
      <w:r w:rsidR="00D46508" w:rsidRPr="00F4226B">
        <w:rPr>
          <w:rFonts w:ascii="Times New Roman" w:hAnsi="Times New Roman"/>
          <w:sz w:val="24"/>
          <w:szCs w:val="24"/>
          <w:lang w:val="en-US"/>
        </w:rPr>
        <w:t xml:space="preserve"> Table 1</w:t>
      </w:r>
      <w:r w:rsidR="003F73A4">
        <w:rPr>
          <w:rFonts w:ascii="Times New Roman" w:hAnsi="Times New Roman"/>
          <w:sz w:val="24"/>
          <w:szCs w:val="24"/>
          <w:lang w:val="en-US"/>
        </w:rPr>
        <w:t>)</w:t>
      </w:r>
      <w:r w:rsidR="00500C68" w:rsidRPr="00F4226B">
        <w:rPr>
          <w:rFonts w:ascii="Times New Roman" w:hAnsi="Times New Roman"/>
          <w:sz w:val="24"/>
          <w:szCs w:val="24"/>
          <w:lang w:val="en-US"/>
        </w:rPr>
        <w:t xml:space="preserve">. </w:t>
      </w:r>
      <w:r w:rsidR="00D60FE6" w:rsidRPr="00F4226B">
        <w:rPr>
          <w:rFonts w:ascii="Times New Roman" w:hAnsi="Times New Roman"/>
          <w:sz w:val="24"/>
          <w:szCs w:val="24"/>
          <w:lang w:val="en-US"/>
        </w:rPr>
        <w:t xml:space="preserve">To the extent that HC </w:t>
      </w:r>
      <w:r w:rsidR="008B489B" w:rsidRPr="00F4226B">
        <w:rPr>
          <w:rFonts w:ascii="Times New Roman" w:hAnsi="Times New Roman"/>
          <w:sz w:val="24"/>
          <w:szCs w:val="24"/>
          <w:lang w:val="en-US"/>
        </w:rPr>
        <w:t xml:space="preserve">amounts </w:t>
      </w:r>
      <w:r w:rsidR="00D60FE6" w:rsidRPr="00F4226B">
        <w:rPr>
          <w:rFonts w:ascii="Times New Roman" w:hAnsi="Times New Roman"/>
          <w:sz w:val="24"/>
          <w:szCs w:val="24"/>
          <w:lang w:val="en-US"/>
        </w:rPr>
        <w:t>are not useful in periods of h</w:t>
      </w:r>
      <w:r w:rsidR="00200C51" w:rsidRPr="00F4226B">
        <w:rPr>
          <w:rFonts w:ascii="Times New Roman" w:hAnsi="Times New Roman"/>
          <w:sz w:val="24"/>
          <w:szCs w:val="24"/>
          <w:lang w:val="en-US"/>
        </w:rPr>
        <w:t xml:space="preserve">igh </w:t>
      </w:r>
      <w:r w:rsidR="00D60FE6" w:rsidRPr="00F4226B">
        <w:rPr>
          <w:rFonts w:ascii="Times New Roman" w:hAnsi="Times New Roman"/>
          <w:sz w:val="24"/>
          <w:szCs w:val="24"/>
          <w:lang w:val="en-US"/>
        </w:rPr>
        <w:t>inflation</w:t>
      </w:r>
      <w:r w:rsidR="00B03F0F">
        <w:rPr>
          <w:rFonts w:ascii="Times New Roman" w:hAnsi="Times New Roman"/>
          <w:sz w:val="24"/>
          <w:szCs w:val="24"/>
          <w:lang w:val="en-US"/>
        </w:rPr>
        <w:t>,</w:t>
      </w:r>
      <w:r w:rsidR="00D60FE6" w:rsidRPr="00F4226B">
        <w:rPr>
          <w:rFonts w:ascii="Times New Roman" w:hAnsi="Times New Roman"/>
          <w:sz w:val="24"/>
          <w:szCs w:val="24"/>
          <w:lang w:val="en-US"/>
        </w:rPr>
        <w:t xml:space="preserve"> as suggested by IAS 29</w:t>
      </w:r>
      <w:r w:rsidR="0090605B" w:rsidRPr="00F4226B">
        <w:rPr>
          <w:rFonts w:ascii="Times New Roman" w:hAnsi="Times New Roman"/>
          <w:sz w:val="24"/>
          <w:szCs w:val="24"/>
          <w:lang w:val="en-US"/>
        </w:rPr>
        <w:t xml:space="preserve"> and prior literature</w:t>
      </w:r>
      <w:r w:rsidR="00200C51" w:rsidRPr="00F4226B">
        <w:rPr>
          <w:rFonts w:ascii="Times New Roman" w:hAnsi="Times New Roman"/>
          <w:sz w:val="24"/>
          <w:szCs w:val="24"/>
          <w:lang w:val="en-US"/>
        </w:rPr>
        <w:t xml:space="preserve"> (e.g., Konchitchki 2011)</w:t>
      </w:r>
      <w:r w:rsidR="00D60FE6" w:rsidRPr="00F4226B">
        <w:rPr>
          <w:rFonts w:ascii="Times New Roman" w:hAnsi="Times New Roman"/>
          <w:sz w:val="24"/>
          <w:szCs w:val="24"/>
          <w:lang w:val="en-US"/>
        </w:rPr>
        <w:t xml:space="preserve">, </w:t>
      </w:r>
      <w:r w:rsidR="00C737BA" w:rsidRPr="00F4226B">
        <w:rPr>
          <w:rFonts w:ascii="Times New Roman" w:hAnsi="Times New Roman"/>
          <w:sz w:val="24"/>
          <w:szCs w:val="24"/>
          <w:lang w:val="en-US"/>
        </w:rPr>
        <w:t xml:space="preserve">we expect </w:t>
      </w:r>
      <w:r w:rsidR="00C737BA">
        <w:rPr>
          <w:rFonts w:ascii="Times New Roman" w:hAnsi="Times New Roman"/>
          <w:sz w:val="24"/>
          <w:szCs w:val="24"/>
          <w:lang w:val="en-US"/>
        </w:rPr>
        <w:t xml:space="preserve">that the superior explanatory power of the </w:t>
      </w:r>
      <w:r w:rsidR="00C737BA" w:rsidRPr="00F4226B">
        <w:rPr>
          <w:rFonts w:ascii="Times New Roman" w:hAnsi="Times New Roman"/>
          <w:sz w:val="24"/>
          <w:szCs w:val="24"/>
          <w:lang w:val="en-US"/>
        </w:rPr>
        <w:t>IA</w:t>
      </w:r>
      <w:r w:rsidR="00C737BA">
        <w:rPr>
          <w:rFonts w:ascii="Times New Roman" w:hAnsi="Times New Roman"/>
          <w:sz w:val="24"/>
          <w:szCs w:val="24"/>
          <w:lang w:val="en-US"/>
        </w:rPr>
        <w:t xml:space="preserve"> models over that of the HC models </w:t>
      </w:r>
      <w:r w:rsidR="003F73A4">
        <w:rPr>
          <w:rFonts w:ascii="Times New Roman" w:hAnsi="Times New Roman"/>
          <w:sz w:val="24"/>
          <w:szCs w:val="24"/>
          <w:lang w:val="en-US"/>
        </w:rPr>
        <w:t xml:space="preserve">to be </w:t>
      </w:r>
      <w:r w:rsidR="00C737BA">
        <w:rPr>
          <w:rFonts w:ascii="Times New Roman" w:hAnsi="Times New Roman"/>
          <w:sz w:val="24"/>
          <w:szCs w:val="24"/>
          <w:lang w:val="en-US"/>
        </w:rPr>
        <w:t xml:space="preserve">more pronounced </w:t>
      </w:r>
      <w:r w:rsidR="00C737BA" w:rsidRPr="00F4226B">
        <w:rPr>
          <w:rFonts w:ascii="Times New Roman" w:hAnsi="Times New Roman"/>
          <w:sz w:val="24"/>
          <w:szCs w:val="24"/>
          <w:lang w:val="en-US" w:eastAsia="en-GB"/>
        </w:rPr>
        <w:t>in the 2003</w:t>
      </w:r>
      <w:r w:rsidR="003F73A4">
        <w:rPr>
          <w:rFonts w:ascii="Times New Roman" w:hAnsi="Times New Roman"/>
          <w:sz w:val="24"/>
          <w:szCs w:val="24"/>
          <w:lang w:val="en-US" w:eastAsia="en-GB"/>
        </w:rPr>
        <w:t>–</w:t>
      </w:r>
      <w:r w:rsidR="00C737BA" w:rsidRPr="00F4226B">
        <w:rPr>
          <w:rFonts w:ascii="Times New Roman" w:hAnsi="Times New Roman"/>
          <w:sz w:val="24"/>
          <w:szCs w:val="24"/>
          <w:lang w:val="en-US" w:eastAsia="en-GB"/>
        </w:rPr>
        <w:t xml:space="preserve">2005 period </w:t>
      </w:r>
      <w:r w:rsidR="00C737BA">
        <w:rPr>
          <w:rFonts w:ascii="Times New Roman" w:hAnsi="Times New Roman"/>
          <w:sz w:val="24"/>
          <w:szCs w:val="24"/>
          <w:lang w:val="en-US" w:eastAsia="en-GB"/>
        </w:rPr>
        <w:t>than in</w:t>
      </w:r>
      <w:r w:rsidR="00C737BA" w:rsidRPr="00F4226B">
        <w:rPr>
          <w:rFonts w:ascii="Times New Roman" w:hAnsi="Times New Roman"/>
          <w:sz w:val="24"/>
          <w:szCs w:val="24"/>
          <w:lang w:val="en-US" w:eastAsia="en-GB"/>
        </w:rPr>
        <w:t xml:space="preserve"> the 2000</w:t>
      </w:r>
      <w:r w:rsidR="003F73A4">
        <w:rPr>
          <w:rFonts w:ascii="Times New Roman" w:hAnsi="Times New Roman"/>
          <w:sz w:val="24"/>
          <w:szCs w:val="24"/>
          <w:lang w:val="en-US" w:eastAsia="en-GB"/>
        </w:rPr>
        <w:t>–</w:t>
      </w:r>
      <w:r w:rsidR="00C737BA" w:rsidRPr="00F4226B">
        <w:rPr>
          <w:rFonts w:ascii="Times New Roman" w:hAnsi="Times New Roman"/>
          <w:sz w:val="24"/>
          <w:szCs w:val="24"/>
          <w:lang w:val="en-US" w:eastAsia="en-GB"/>
        </w:rPr>
        <w:t>2002 period</w:t>
      </w:r>
      <w:r w:rsidR="00D60FE6" w:rsidRPr="00F4226B">
        <w:rPr>
          <w:rFonts w:ascii="Times New Roman" w:hAnsi="Times New Roman"/>
          <w:sz w:val="24"/>
          <w:szCs w:val="24"/>
          <w:lang w:val="en-US" w:eastAsia="en-GB"/>
        </w:rPr>
        <w:t xml:space="preserve">. </w:t>
      </w:r>
      <w:r w:rsidR="004A752C" w:rsidRPr="00F4226B">
        <w:rPr>
          <w:rFonts w:ascii="Times New Roman" w:hAnsi="Times New Roman"/>
          <w:sz w:val="24"/>
          <w:szCs w:val="24"/>
          <w:lang w:val="en-US" w:eastAsia="en-GB"/>
        </w:rPr>
        <w:t>Furthermore</w:t>
      </w:r>
      <w:r w:rsidR="00D46508" w:rsidRPr="00F4226B">
        <w:rPr>
          <w:rFonts w:ascii="Times New Roman" w:hAnsi="Times New Roman"/>
          <w:sz w:val="24"/>
          <w:szCs w:val="24"/>
          <w:lang w:val="en-US" w:eastAsia="en-GB"/>
        </w:rPr>
        <w:t xml:space="preserve">, we expect the value relevance of IA amounts to be greater </w:t>
      </w:r>
      <w:r w:rsidR="00C23563" w:rsidRPr="00F4226B">
        <w:rPr>
          <w:rFonts w:ascii="Times New Roman" w:hAnsi="Times New Roman"/>
          <w:sz w:val="24"/>
          <w:szCs w:val="24"/>
          <w:lang w:val="en-US" w:eastAsia="en-GB"/>
        </w:rPr>
        <w:t xml:space="preserve">than </w:t>
      </w:r>
      <w:r w:rsidR="00B03F0F">
        <w:rPr>
          <w:rFonts w:ascii="Times New Roman" w:hAnsi="Times New Roman"/>
          <w:sz w:val="24"/>
          <w:szCs w:val="24"/>
          <w:lang w:val="en-US" w:eastAsia="en-GB"/>
        </w:rPr>
        <w:t>it is</w:t>
      </w:r>
      <w:r w:rsidR="00C23563" w:rsidRPr="00F4226B">
        <w:rPr>
          <w:rFonts w:ascii="Times New Roman" w:hAnsi="Times New Roman"/>
          <w:sz w:val="24"/>
          <w:szCs w:val="24"/>
          <w:lang w:val="en-US" w:eastAsia="en-GB"/>
        </w:rPr>
        <w:t xml:space="preserve"> in the relatively low inflation period. Thus w</w:t>
      </w:r>
      <w:r w:rsidR="00B63870" w:rsidRPr="00F4226B">
        <w:rPr>
          <w:rFonts w:ascii="Times New Roman" w:hAnsi="Times New Roman"/>
          <w:sz w:val="24"/>
          <w:szCs w:val="24"/>
          <w:lang w:val="en-US"/>
        </w:rPr>
        <w:t xml:space="preserve">e run </w:t>
      </w:r>
      <w:r w:rsidR="00943DAD" w:rsidRPr="00F4226B">
        <w:rPr>
          <w:rFonts w:ascii="Times New Roman" w:hAnsi="Times New Roman"/>
          <w:sz w:val="24"/>
          <w:szCs w:val="24"/>
          <w:lang w:val="en-US"/>
        </w:rPr>
        <w:t xml:space="preserve">the </w:t>
      </w:r>
      <w:r w:rsidR="00B63870" w:rsidRPr="00F4226B">
        <w:rPr>
          <w:rFonts w:ascii="Times New Roman" w:hAnsi="Times New Roman"/>
          <w:sz w:val="24"/>
          <w:szCs w:val="24"/>
          <w:lang w:val="en-US"/>
        </w:rPr>
        <w:t xml:space="preserve">regressions for </w:t>
      </w:r>
      <w:r w:rsidR="00C85886" w:rsidRPr="00F4226B">
        <w:rPr>
          <w:rFonts w:ascii="Times New Roman" w:hAnsi="Times New Roman"/>
          <w:sz w:val="24"/>
          <w:szCs w:val="24"/>
          <w:lang w:val="en-US"/>
        </w:rPr>
        <w:t xml:space="preserve">each of </w:t>
      </w:r>
      <w:r w:rsidR="00B63870" w:rsidRPr="00F4226B">
        <w:rPr>
          <w:rFonts w:ascii="Times New Roman" w:hAnsi="Times New Roman"/>
          <w:sz w:val="24"/>
          <w:szCs w:val="24"/>
          <w:lang w:val="en-US"/>
        </w:rPr>
        <w:t xml:space="preserve">the two </w:t>
      </w:r>
      <w:r w:rsidR="00943DAD" w:rsidRPr="00F4226B">
        <w:rPr>
          <w:rFonts w:ascii="Times New Roman" w:hAnsi="Times New Roman"/>
          <w:sz w:val="24"/>
          <w:szCs w:val="24"/>
          <w:lang w:val="en-US"/>
        </w:rPr>
        <w:t>sub</w:t>
      </w:r>
      <w:r w:rsidR="00B63870" w:rsidRPr="00F4226B">
        <w:rPr>
          <w:rFonts w:ascii="Times New Roman" w:hAnsi="Times New Roman"/>
          <w:sz w:val="24"/>
          <w:szCs w:val="24"/>
          <w:lang w:val="en-US"/>
        </w:rPr>
        <w:t>periods</w:t>
      </w:r>
      <w:r w:rsidR="00B03F0F">
        <w:rPr>
          <w:rFonts w:ascii="Times New Roman" w:hAnsi="Times New Roman"/>
          <w:sz w:val="24"/>
          <w:szCs w:val="24"/>
          <w:lang w:val="en-US"/>
        </w:rPr>
        <w:t>;</w:t>
      </w:r>
      <w:r w:rsidR="00943DAD" w:rsidRPr="00F4226B">
        <w:rPr>
          <w:rFonts w:ascii="Times New Roman" w:hAnsi="Times New Roman"/>
          <w:sz w:val="24"/>
          <w:szCs w:val="24"/>
          <w:lang w:val="en-US"/>
        </w:rPr>
        <w:t xml:space="preserve"> the </w:t>
      </w:r>
      <w:r w:rsidR="00B63870" w:rsidRPr="00F4226B">
        <w:rPr>
          <w:rFonts w:ascii="Times New Roman" w:hAnsi="Times New Roman"/>
          <w:sz w:val="24"/>
          <w:szCs w:val="24"/>
          <w:lang w:val="en-US"/>
        </w:rPr>
        <w:t>results are</w:t>
      </w:r>
      <w:r w:rsidR="00B03F0F">
        <w:rPr>
          <w:rFonts w:ascii="Times New Roman" w:hAnsi="Times New Roman"/>
          <w:sz w:val="24"/>
          <w:szCs w:val="24"/>
          <w:lang w:val="en-US"/>
        </w:rPr>
        <w:t xml:space="preserve"> shown</w:t>
      </w:r>
      <w:r w:rsidR="00B63870" w:rsidRPr="00F4226B">
        <w:rPr>
          <w:rFonts w:ascii="Times New Roman" w:hAnsi="Times New Roman"/>
          <w:sz w:val="24"/>
          <w:szCs w:val="24"/>
          <w:lang w:val="en-US"/>
        </w:rPr>
        <w:t xml:space="preserve"> in </w:t>
      </w:r>
      <w:r w:rsidR="00FA5BD5" w:rsidRPr="00F4226B">
        <w:rPr>
          <w:rFonts w:ascii="Times New Roman" w:hAnsi="Times New Roman"/>
          <w:sz w:val="24"/>
          <w:szCs w:val="24"/>
          <w:lang w:val="en-US"/>
        </w:rPr>
        <w:t xml:space="preserve">Panels B and C of </w:t>
      </w:r>
      <w:r w:rsidR="00B63870" w:rsidRPr="00F4226B">
        <w:rPr>
          <w:rFonts w:ascii="Times New Roman" w:hAnsi="Times New Roman"/>
          <w:sz w:val="24"/>
          <w:szCs w:val="24"/>
          <w:lang w:val="en-US"/>
        </w:rPr>
        <w:t xml:space="preserve">Table </w:t>
      </w:r>
      <w:r w:rsidR="00FA5BD5" w:rsidRPr="00F4226B">
        <w:rPr>
          <w:rFonts w:ascii="Times New Roman" w:hAnsi="Times New Roman"/>
          <w:sz w:val="24"/>
          <w:szCs w:val="24"/>
          <w:lang w:val="en-US"/>
        </w:rPr>
        <w:t>5</w:t>
      </w:r>
      <w:r w:rsidR="00B63870" w:rsidRPr="00F4226B">
        <w:rPr>
          <w:rFonts w:ascii="Times New Roman" w:hAnsi="Times New Roman"/>
          <w:sz w:val="24"/>
          <w:szCs w:val="24"/>
          <w:lang w:val="en-US"/>
        </w:rPr>
        <w:t>.</w:t>
      </w:r>
      <w:r w:rsidR="000C7958" w:rsidRPr="00F4226B">
        <w:rPr>
          <w:rFonts w:ascii="Times New Roman" w:hAnsi="Times New Roman"/>
          <w:sz w:val="24"/>
          <w:szCs w:val="24"/>
          <w:lang w:val="en-US"/>
        </w:rPr>
        <w:t xml:space="preserve"> </w:t>
      </w:r>
    </w:p>
    <w:p w14:paraId="724DFB36" w14:textId="0315EF05" w:rsidR="00B75E79" w:rsidRPr="00F4226B" w:rsidRDefault="00200C51"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lastRenderedPageBreak/>
        <w:t xml:space="preserve">In </w:t>
      </w:r>
      <w:r w:rsidR="00F03A7F" w:rsidRPr="00F4226B">
        <w:rPr>
          <w:rFonts w:ascii="Times New Roman" w:hAnsi="Times New Roman"/>
          <w:sz w:val="24"/>
          <w:szCs w:val="24"/>
          <w:lang w:val="en-US"/>
        </w:rPr>
        <w:t xml:space="preserve">Panel </w:t>
      </w:r>
      <w:r w:rsidR="00F2425D" w:rsidRPr="00F4226B">
        <w:rPr>
          <w:rFonts w:ascii="Times New Roman" w:hAnsi="Times New Roman"/>
          <w:sz w:val="24"/>
          <w:szCs w:val="24"/>
          <w:lang w:val="en-US"/>
        </w:rPr>
        <w:t>B</w:t>
      </w:r>
      <w:r w:rsidR="000534BE" w:rsidRPr="00F4226B">
        <w:rPr>
          <w:rFonts w:ascii="Times New Roman" w:hAnsi="Times New Roman"/>
          <w:sz w:val="24"/>
          <w:szCs w:val="24"/>
          <w:lang w:val="en-US"/>
        </w:rPr>
        <w:t xml:space="preserve"> of Table 5</w:t>
      </w:r>
      <w:r w:rsidRPr="00F4226B">
        <w:rPr>
          <w:rFonts w:ascii="Times New Roman" w:hAnsi="Times New Roman"/>
          <w:sz w:val="24"/>
          <w:szCs w:val="24"/>
          <w:lang w:val="en-US"/>
        </w:rPr>
        <w:t>, we</w:t>
      </w:r>
      <w:r w:rsidR="0090605B" w:rsidRPr="00F4226B">
        <w:rPr>
          <w:rFonts w:ascii="Times New Roman" w:hAnsi="Times New Roman"/>
          <w:sz w:val="24"/>
          <w:szCs w:val="24"/>
          <w:lang w:val="en-US"/>
        </w:rPr>
        <w:t xml:space="preserve"> </w:t>
      </w:r>
      <w:r w:rsidR="00F03A7F" w:rsidRPr="00F4226B">
        <w:rPr>
          <w:rFonts w:ascii="Times New Roman" w:hAnsi="Times New Roman"/>
          <w:sz w:val="24"/>
          <w:szCs w:val="24"/>
          <w:lang w:val="en-US"/>
        </w:rPr>
        <w:t xml:space="preserve">present the results for the </w:t>
      </w:r>
      <w:r w:rsidR="00F57A8D" w:rsidRPr="00F4226B">
        <w:rPr>
          <w:rFonts w:ascii="Times New Roman" w:hAnsi="Times New Roman"/>
          <w:sz w:val="24"/>
          <w:szCs w:val="24"/>
          <w:lang w:val="en-US"/>
        </w:rPr>
        <w:t xml:space="preserve">relatively </w:t>
      </w:r>
      <w:r w:rsidR="00F03A7F" w:rsidRPr="00F4226B">
        <w:rPr>
          <w:rFonts w:ascii="Times New Roman" w:hAnsi="Times New Roman"/>
          <w:sz w:val="24"/>
          <w:szCs w:val="24"/>
          <w:lang w:val="en-US"/>
        </w:rPr>
        <w:t>low inflation period (2000</w:t>
      </w:r>
      <w:r w:rsidR="003F73A4">
        <w:rPr>
          <w:rFonts w:ascii="Times New Roman" w:hAnsi="Times New Roman"/>
          <w:sz w:val="24"/>
          <w:szCs w:val="24"/>
          <w:lang w:val="en-US"/>
        </w:rPr>
        <w:t>–</w:t>
      </w:r>
      <w:r w:rsidR="00F03A7F" w:rsidRPr="00F4226B">
        <w:rPr>
          <w:rFonts w:ascii="Times New Roman" w:hAnsi="Times New Roman"/>
          <w:sz w:val="24"/>
          <w:szCs w:val="24"/>
          <w:lang w:val="en-US"/>
        </w:rPr>
        <w:t>2002)</w:t>
      </w:r>
      <w:r w:rsidR="00C0390A">
        <w:rPr>
          <w:rFonts w:ascii="Times New Roman" w:hAnsi="Times New Roman"/>
          <w:sz w:val="24"/>
          <w:szCs w:val="24"/>
          <w:lang w:val="en-US"/>
        </w:rPr>
        <w:t>,</w:t>
      </w:r>
      <w:r w:rsidR="00F03A7F" w:rsidRPr="00F4226B">
        <w:rPr>
          <w:rFonts w:ascii="Times New Roman" w:hAnsi="Times New Roman"/>
          <w:sz w:val="24"/>
          <w:szCs w:val="24"/>
          <w:lang w:val="en-US"/>
        </w:rPr>
        <w:t xml:space="preserve"> and Panel </w:t>
      </w:r>
      <w:r w:rsidR="00FA5BD5" w:rsidRPr="00F4226B">
        <w:rPr>
          <w:rFonts w:ascii="Times New Roman" w:hAnsi="Times New Roman"/>
          <w:sz w:val="24"/>
          <w:szCs w:val="24"/>
          <w:lang w:val="en-US"/>
        </w:rPr>
        <w:t>C</w:t>
      </w:r>
      <w:r w:rsidR="00F03A7F" w:rsidRPr="00F4226B">
        <w:rPr>
          <w:rFonts w:ascii="Times New Roman" w:hAnsi="Times New Roman"/>
          <w:sz w:val="24"/>
          <w:szCs w:val="24"/>
          <w:lang w:val="en-US"/>
        </w:rPr>
        <w:t xml:space="preserve"> </w:t>
      </w:r>
      <w:r w:rsidR="0090605B" w:rsidRPr="00F4226B">
        <w:rPr>
          <w:rFonts w:ascii="Times New Roman" w:hAnsi="Times New Roman"/>
          <w:sz w:val="24"/>
          <w:szCs w:val="24"/>
          <w:lang w:val="en-US"/>
        </w:rPr>
        <w:t xml:space="preserve">reports </w:t>
      </w:r>
      <w:r w:rsidR="00F03A7F" w:rsidRPr="00F4226B">
        <w:rPr>
          <w:rFonts w:ascii="Times New Roman" w:hAnsi="Times New Roman"/>
          <w:sz w:val="24"/>
          <w:szCs w:val="24"/>
          <w:lang w:val="en-US"/>
        </w:rPr>
        <w:t>the results for the high inflation period (2003</w:t>
      </w:r>
      <w:r w:rsidR="003F73A4">
        <w:rPr>
          <w:rFonts w:ascii="Times New Roman" w:hAnsi="Times New Roman"/>
          <w:sz w:val="24"/>
          <w:szCs w:val="24"/>
          <w:lang w:val="en-US"/>
        </w:rPr>
        <w:t>–</w:t>
      </w:r>
      <w:r w:rsidR="00F03A7F" w:rsidRPr="00F4226B">
        <w:rPr>
          <w:rFonts w:ascii="Times New Roman" w:hAnsi="Times New Roman"/>
          <w:sz w:val="24"/>
          <w:szCs w:val="24"/>
          <w:lang w:val="en-US"/>
        </w:rPr>
        <w:t xml:space="preserve">2005). </w:t>
      </w:r>
      <w:r w:rsidR="0090605B" w:rsidRPr="00F4226B">
        <w:rPr>
          <w:rFonts w:ascii="Times New Roman" w:hAnsi="Times New Roman"/>
          <w:sz w:val="24"/>
          <w:szCs w:val="24"/>
          <w:lang w:val="en-US"/>
        </w:rPr>
        <w:t>We note that f</w:t>
      </w:r>
      <w:r w:rsidR="00F14901" w:rsidRPr="00F4226B">
        <w:rPr>
          <w:rFonts w:ascii="Times New Roman" w:hAnsi="Times New Roman"/>
          <w:sz w:val="24"/>
          <w:szCs w:val="24"/>
          <w:lang w:val="en-US"/>
        </w:rPr>
        <w:t xml:space="preserve">or the </w:t>
      </w:r>
      <w:r w:rsidR="0070522D" w:rsidRPr="00F4226B">
        <w:rPr>
          <w:rFonts w:ascii="Times New Roman" w:hAnsi="Times New Roman"/>
          <w:sz w:val="24"/>
          <w:szCs w:val="24"/>
          <w:lang w:val="en-US"/>
        </w:rPr>
        <w:t>low inflation period</w:t>
      </w:r>
      <w:r w:rsidR="00F43C1A" w:rsidRPr="00F4226B">
        <w:rPr>
          <w:rFonts w:ascii="Times New Roman" w:hAnsi="Times New Roman"/>
          <w:sz w:val="24"/>
          <w:szCs w:val="24"/>
          <w:lang w:val="en-US"/>
        </w:rPr>
        <w:t xml:space="preserve"> (Panel </w:t>
      </w:r>
      <w:r w:rsidR="00C243C6" w:rsidRPr="00F4226B">
        <w:rPr>
          <w:rFonts w:ascii="Times New Roman" w:hAnsi="Times New Roman"/>
          <w:sz w:val="24"/>
          <w:szCs w:val="24"/>
          <w:lang w:val="en-US"/>
        </w:rPr>
        <w:t>B</w:t>
      </w:r>
      <w:r w:rsidR="00F43C1A" w:rsidRPr="00F4226B">
        <w:rPr>
          <w:rFonts w:ascii="Times New Roman" w:hAnsi="Times New Roman"/>
          <w:sz w:val="24"/>
          <w:szCs w:val="24"/>
          <w:lang w:val="en-US"/>
        </w:rPr>
        <w:t>)</w:t>
      </w:r>
      <w:r w:rsidR="00F14901" w:rsidRPr="00F4226B">
        <w:rPr>
          <w:rFonts w:ascii="Times New Roman" w:hAnsi="Times New Roman"/>
          <w:sz w:val="24"/>
          <w:szCs w:val="24"/>
          <w:lang w:val="en-US"/>
        </w:rPr>
        <w:t xml:space="preserve">, </w:t>
      </w:r>
      <w:r w:rsidR="00F43C1A" w:rsidRPr="00F4226B">
        <w:rPr>
          <w:rFonts w:ascii="Times New Roman" w:hAnsi="Times New Roman"/>
          <w:sz w:val="24"/>
          <w:szCs w:val="24"/>
          <w:lang w:val="en-US"/>
        </w:rPr>
        <w:t>t</w:t>
      </w:r>
      <w:r w:rsidR="00D07D95" w:rsidRPr="00F4226B">
        <w:rPr>
          <w:rFonts w:ascii="Times New Roman" w:hAnsi="Times New Roman"/>
          <w:sz w:val="24"/>
          <w:szCs w:val="24"/>
          <w:lang w:val="en-US"/>
        </w:rPr>
        <w:t>he</w:t>
      </w:r>
      <w:r w:rsidR="00F14901" w:rsidRPr="00F4226B">
        <w:rPr>
          <w:rFonts w:ascii="Times New Roman" w:hAnsi="Times New Roman"/>
          <w:sz w:val="24"/>
          <w:szCs w:val="24"/>
          <w:lang w:val="en-US"/>
        </w:rPr>
        <w:t xml:space="preserve"> adjusted</w:t>
      </w:r>
      <w:r w:rsidR="00F4226B">
        <w:rPr>
          <w:rFonts w:ascii="Times New Roman" w:hAnsi="Times New Roman"/>
          <w:sz w:val="24"/>
          <w:szCs w:val="24"/>
          <w:lang w:val="en-US"/>
        </w:rPr>
        <w:t xml:space="preserve"> </w:t>
      </w:r>
      <w:r w:rsidR="00F14901" w:rsidRPr="00F4226B">
        <w:rPr>
          <w:rFonts w:ascii="Times New Roman" w:hAnsi="Times New Roman"/>
          <w:sz w:val="24"/>
          <w:szCs w:val="24"/>
          <w:lang w:val="en-US"/>
        </w:rPr>
        <w:t xml:space="preserve">R²s are </w:t>
      </w:r>
      <w:r w:rsidR="00D07D95" w:rsidRPr="00F4226B">
        <w:rPr>
          <w:rFonts w:ascii="Times New Roman" w:hAnsi="Times New Roman"/>
          <w:sz w:val="24"/>
          <w:szCs w:val="24"/>
          <w:lang w:val="en-US"/>
        </w:rPr>
        <w:t>3</w:t>
      </w:r>
      <w:r w:rsidR="00F43C1A" w:rsidRPr="00F4226B">
        <w:rPr>
          <w:rFonts w:ascii="Times New Roman" w:hAnsi="Times New Roman"/>
          <w:sz w:val="24"/>
          <w:szCs w:val="24"/>
          <w:lang w:val="en-US"/>
        </w:rPr>
        <w:t>0.7</w:t>
      </w:r>
      <w:r w:rsidR="00D07D95" w:rsidRPr="00F4226B">
        <w:rPr>
          <w:rFonts w:ascii="Times New Roman" w:hAnsi="Times New Roman"/>
          <w:sz w:val="24"/>
          <w:szCs w:val="24"/>
          <w:lang w:val="en-US"/>
        </w:rPr>
        <w:t>% for the HC model (</w:t>
      </w:r>
      <w:r w:rsidR="00F43C1A" w:rsidRPr="00F4226B">
        <w:rPr>
          <w:rFonts w:ascii="Times New Roman" w:hAnsi="Times New Roman"/>
          <w:sz w:val="24"/>
          <w:szCs w:val="24"/>
          <w:lang w:val="en-US"/>
        </w:rPr>
        <w:t xml:space="preserve">Model </w:t>
      </w:r>
      <w:r w:rsidR="00C243C6" w:rsidRPr="00F4226B">
        <w:rPr>
          <w:rFonts w:ascii="Times New Roman" w:hAnsi="Times New Roman"/>
          <w:sz w:val="24"/>
          <w:szCs w:val="24"/>
          <w:lang w:val="en-US"/>
        </w:rPr>
        <w:t>1</w:t>
      </w:r>
      <w:r w:rsidR="00D07D95" w:rsidRPr="00F4226B">
        <w:rPr>
          <w:rFonts w:ascii="Times New Roman" w:hAnsi="Times New Roman"/>
          <w:sz w:val="24"/>
          <w:szCs w:val="24"/>
          <w:lang w:val="en-US"/>
        </w:rPr>
        <w:t xml:space="preserve">) and </w:t>
      </w:r>
      <w:r w:rsidR="00F43C1A" w:rsidRPr="00F4226B">
        <w:rPr>
          <w:rFonts w:ascii="Times New Roman" w:hAnsi="Times New Roman"/>
          <w:sz w:val="24"/>
          <w:szCs w:val="24"/>
          <w:lang w:val="en-US"/>
        </w:rPr>
        <w:t>8.4</w:t>
      </w:r>
      <w:r w:rsidR="00D07D95" w:rsidRPr="00F4226B">
        <w:rPr>
          <w:rFonts w:ascii="Times New Roman" w:hAnsi="Times New Roman"/>
          <w:sz w:val="24"/>
          <w:szCs w:val="24"/>
          <w:lang w:val="en-US"/>
        </w:rPr>
        <w:t>% for the IA model (</w:t>
      </w:r>
      <w:r w:rsidR="00F43C1A" w:rsidRPr="00F4226B">
        <w:rPr>
          <w:rFonts w:ascii="Times New Roman" w:hAnsi="Times New Roman"/>
          <w:sz w:val="24"/>
          <w:szCs w:val="24"/>
          <w:lang w:val="en-US"/>
        </w:rPr>
        <w:t xml:space="preserve">Model </w:t>
      </w:r>
      <w:r w:rsidR="00C243C6" w:rsidRPr="00F4226B">
        <w:rPr>
          <w:rFonts w:ascii="Times New Roman" w:hAnsi="Times New Roman"/>
          <w:sz w:val="24"/>
          <w:szCs w:val="24"/>
          <w:lang w:val="en-US"/>
        </w:rPr>
        <w:t>2</w:t>
      </w:r>
      <w:r w:rsidR="00D07D95" w:rsidRPr="00F4226B">
        <w:rPr>
          <w:rFonts w:ascii="Times New Roman" w:hAnsi="Times New Roman"/>
          <w:sz w:val="24"/>
          <w:szCs w:val="24"/>
          <w:lang w:val="en-US"/>
        </w:rPr>
        <w:t>)</w:t>
      </w:r>
      <w:r w:rsidR="00F43C1A" w:rsidRPr="00F4226B">
        <w:rPr>
          <w:rFonts w:ascii="Times New Roman" w:hAnsi="Times New Roman"/>
          <w:sz w:val="24"/>
          <w:szCs w:val="24"/>
          <w:lang w:val="en-US"/>
        </w:rPr>
        <w:t xml:space="preserve">. The Vuong Z-statistic of </w:t>
      </w:r>
      <w:r w:rsidR="00B97F0E" w:rsidRPr="00F4226B">
        <w:rPr>
          <w:rFonts w:ascii="Times New Roman" w:hAnsi="Times New Roman"/>
          <w:sz w:val="24"/>
          <w:szCs w:val="24"/>
          <w:lang w:val="en-US"/>
        </w:rPr>
        <w:t>4.229</w:t>
      </w:r>
      <w:r w:rsidR="00F43C1A" w:rsidRPr="00F4226B">
        <w:rPr>
          <w:rFonts w:ascii="Times New Roman" w:hAnsi="Times New Roman"/>
          <w:sz w:val="24"/>
          <w:szCs w:val="24"/>
          <w:lang w:val="en-US"/>
        </w:rPr>
        <w:t xml:space="preserve"> is positive and significant at the </w:t>
      </w:r>
      <w:r w:rsidR="00C91938" w:rsidRPr="00F4226B">
        <w:rPr>
          <w:rFonts w:ascii="Times New Roman" w:hAnsi="Times New Roman"/>
          <w:sz w:val="24"/>
          <w:szCs w:val="24"/>
          <w:lang w:val="en-US"/>
        </w:rPr>
        <w:t>1</w:t>
      </w:r>
      <w:r w:rsidR="00F43C1A" w:rsidRPr="00F4226B">
        <w:rPr>
          <w:rFonts w:ascii="Times New Roman" w:hAnsi="Times New Roman"/>
          <w:sz w:val="24"/>
          <w:szCs w:val="24"/>
          <w:lang w:val="en-US"/>
        </w:rPr>
        <w:t>% level, indicating that HC a</w:t>
      </w:r>
      <w:r w:rsidR="00264BF5" w:rsidRPr="00F4226B">
        <w:rPr>
          <w:rFonts w:ascii="Times New Roman" w:hAnsi="Times New Roman"/>
          <w:sz w:val="24"/>
          <w:szCs w:val="24"/>
          <w:lang w:val="en-US"/>
        </w:rPr>
        <w:t>mounts</w:t>
      </w:r>
      <w:r w:rsidR="00F43C1A" w:rsidRPr="00F4226B">
        <w:rPr>
          <w:rFonts w:ascii="Times New Roman" w:hAnsi="Times New Roman"/>
          <w:sz w:val="24"/>
          <w:szCs w:val="24"/>
          <w:lang w:val="en-US"/>
        </w:rPr>
        <w:t xml:space="preserve"> are more </w:t>
      </w:r>
      <w:r w:rsidR="00F832CF" w:rsidRPr="00F4226B">
        <w:rPr>
          <w:rFonts w:ascii="Times New Roman" w:hAnsi="Times New Roman"/>
          <w:sz w:val="24"/>
          <w:szCs w:val="24"/>
          <w:lang w:val="en-US"/>
        </w:rPr>
        <w:t>value</w:t>
      </w:r>
      <w:r w:rsidR="00F4226B">
        <w:rPr>
          <w:rFonts w:ascii="Times New Roman" w:hAnsi="Times New Roman"/>
          <w:sz w:val="24"/>
          <w:szCs w:val="24"/>
          <w:lang w:val="en-US"/>
        </w:rPr>
        <w:t xml:space="preserve"> relevant</w:t>
      </w:r>
      <w:r w:rsidR="00F832CF" w:rsidRPr="00F4226B">
        <w:rPr>
          <w:rFonts w:ascii="Times New Roman" w:hAnsi="Times New Roman"/>
          <w:sz w:val="24"/>
          <w:szCs w:val="24"/>
          <w:lang w:val="en-US"/>
        </w:rPr>
        <w:t xml:space="preserve"> than IA </w:t>
      </w:r>
      <w:r w:rsidR="00D42A77" w:rsidRPr="00F4226B">
        <w:rPr>
          <w:rFonts w:ascii="Times New Roman" w:hAnsi="Times New Roman"/>
          <w:sz w:val="24"/>
          <w:szCs w:val="24"/>
          <w:lang w:val="en-US"/>
        </w:rPr>
        <w:t>a</w:t>
      </w:r>
      <w:r w:rsidR="00E67B75">
        <w:rPr>
          <w:rFonts w:ascii="Times New Roman" w:hAnsi="Times New Roman"/>
          <w:sz w:val="24"/>
          <w:szCs w:val="24"/>
          <w:lang w:val="en-US"/>
        </w:rPr>
        <w:t>mounts</w:t>
      </w:r>
      <w:r w:rsidR="00A6100F" w:rsidRPr="00F4226B">
        <w:rPr>
          <w:rFonts w:ascii="Times New Roman" w:hAnsi="Times New Roman"/>
          <w:sz w:val="24"/>
          <w:szCs w:val="24"/>
          <w:lang w:val="en-US"/>
        </w:rPr>
        <w:t xml:space="preserve">. </w:t>
      </w:r>
      <w:r w:rsidR="00C23563" w:rsidRPr="00F4226B">
        <w:rPr>
          <w:rFonts w:ascii="Times New Roman" w:hAnsi="Times New Roman"/>
          <w:sz w:val="24"/>
          <w:szCs w:val="24"/>
          <w:lang w:val="en-US"/>
        </w:rPr>
        <w:t>Further, w</w:t>
      </w:r>
      <w:r w:rsidR="00B97F0E" w:rsidRPr="00F4226B">
        <w:rPr>
          <w:rFonts w:ascii="Times New Roman" w:hAnsi="Times New Roman"/>
          <w:sz w:val="24"/>
          <w:szCs w:val="24"/>
          <w:lang w:val="en-US"/>
        </w:rPr>
        <w:t xml:space="preserve">e </w:t>
      </w:r>
      <w:r w:rsidR="00C23563" w:rsidRPr="00F4226B">
        <w:rPr>
          <w:rFonts w:ascii="Times New Roman" w:hAnsi="Times New Roman"/>
          <w:sz w:val="24"/>
          <w:szCs w:val="24"/>
          <w:lang w:val="en-US"/>
        </w:rPr>
        <w:t>find</w:t>
      </w:r>
      <w:r w:rsidR="00B97F0E" w:rsidRPr="00F4226B">
        <w:rPr>
          <w:rFonts w:ascii="Times New Roman" w:hAnsi="Times New Roman"/>
          <w:sz w:val="24"/>
          <w:szCs w:val="24"/>
          <w:lang w:val="en-US"/>
        </w:rPr>
        <w:t xml:space="preserve"> that the coefficient of earnings under the IA model is</w:t>
      </w:r>
      <w:r w:rsidR="0096116A" w:rsidRPr="00F4226B">
        <w:rPr>
          <w:rFonts w:ascii="Times New Roman" w:hAnsi="Times New Roman"/>
          <w:sz w:val="24"/>
          <w:szCs w:val="24"/>
          <w:lang w:val="en-US"/>
        </w:rPr>
        <w:t xml:space="preserve"> +0.892</w:t>
      </w:r>
      <w:r w:rsidR="00B97F0E" w:rsidRPr="00F4226B">
        <w:rPr>
          <w:rFonts w:ascii="Times New Roman" w:hAnsi="Times New Roman"/>
          <w:sz w:val="24"/>
          <w:szCs w:val="24"/>
          <w:lang w:val="en-US"/>
        </w:rPr>
        <w:t xml:space="preserve"> </w:t>
      </w:r>
      <w:r w:rsidR="0096116A" w:rsidRPr="00F4226B">
        <w:rPr>
          <w:rFonts w:ascii="Times New Roman" w:hAnsi="Times New Roman"/>
          <w:sz w:val="24"/>
          <w:szCs w:val="24"/>
          <w:lang w:val="en-US"/>
        </w:rPr>
        <w:t xml:space="preserve">with </w:t>
      </w:r>
      <w:r w:rsidR="00C0390A">
        <w:rPr>
          <w:rFonts w:ascii="Times New Roman" w:hAnsi="Times New Roman"/>
          <w:sz w:val="24"/>
          <w:szCs w:val="24"/>
          <w:lang w:val="en-US"/>
        </w:rPr>
        <w:t xml:space="preserve">a </w:t>
      </w:r>
      <w:r w:rsidR="0096116A" w:rsidRPr="00F4226B">
        <w:rPr>
          <w:rFonts w:ascii="Times New Roman" w:hAnsi="Times New Roman"/>
          <w:sz w:val="24"/>
          <w:szCs w:val="24"/>
          <w:lang w:val="en-US"/>
        </w:rPr>
        <w:t xml:space="preserve">t-statistic of 1.26 and </w:t>
      </w:r>
      <w:r w:rsidR="00C0390A">
        <w:rPr>
          <w:rFonts w:ascii="Times New Roman" w:hAnsi="Times New Roman"/>
          <w:sz w:val="24"/>
          <w:szCs w:val="24"/>
          <w:lang w:val="en-US"/>
        </w:rPr>
        <w:t xml:space="preserve">is </w:t>
      </w:r>
      <w:r w:rsidR="0096116A" w:rsidRPr="00F4226B">
        <w:rPr>
          <w:rFonts w:ascii="Times New Roman" w:hAnsi="Times New Roman"/>
          <w:sz w:val="24"/>
          <w:szCs w:val="24"/>
          <w:lang w:val="en-US"/>
        </w:rPr>
        <w:t>not significant</w:t>
      </w:r>
      <w:r w:rsidR="00C0390A">
        <w:rPr>
          <w:rFonts w:ascii="Times New Roman" w:hAnsi="Times New Roman"/>
          <w:sz w:val="24"/>
          <w:szCs w:val="24"/>
          <w:lang w:val="en-US"/>
        </w:rPr>
        <w:t>,</w:t>
      </w:r>
      <w:r w:rsidR="00B97F0E" w:rsidRPr="00F4226B">
        <w:rPr>
          <w:rFonts w:ascii="Times New Roman" w:hAnsi="Times New Roman"/>
          <w:sz w:val="24"/>
          <w:szCs w:val="24"/>
          <w:lang w:val="en-US"/>
        </w:rPr>
        <w:t xml:space="preserve"> suggesting that IA earnings are of </w:t>
      </w:r>
      <w:r w:rsidR="0090605B" w:rsidRPr="00F4226B">
        <w:rPr>
          <w:rFonts w:ascii="Times New Roman" w:hAnsi="Times New Roman"/>
          <w:sz w:val="24"/>
          <w:szCs w:val="24"/>
          <w:lang w:val="en-US"/>
        </w:rPr>
        <w:t xml:space="preserve">little or </w:t>
      </w:r>
      <w:r w:rsidR="00B97F0E" w:rsidRPr="00F4226B">
        <w:rPr>
          <w:rFonts w:ascii="Times New Roman" w:hAnsi="Times New Roman"/>
          <w:sz w:val="24"/>
          <w:szCs w:val="24"/>
          <w:lang w:val="en-US"/>
        </w:rPr>
        <w:t xml:space="preserve">no value </w:t>
      </w:r>
      <w:r w:rsidR="0090605B" w:rsidRPr="00F4226B">
        <w:rPr>
          <w:rFonts w:ascii="Times New Roman" w:hAnsi="Times New Roman"/>
          <w:sz w:val="24"/>
          <w:szCs w:val="24"/>
          <w:lang w:val="en-US"/>
        </w:rPr>
        <w:t xml:space="preserve">in </w:t>
      </w:r>
      <w:r w:rsidR="005B4A4A" w:rsidRPr="00F4226B">
        <w:rPr>
          <w:rFonts w:ascii="Times New Roman" w:hAnsi="Times New Roman"/>
          <w:sz w:val="24"/>
          <w:szCs w:val="24"/>
          <w:lang w:val="en-US"/>
        </w:rPr>
        <w:t xml:space="preserve">the </w:t>
      </w:r>
      <w:r w:rsidR="001F4DF5" w:rsidRPr="00F4226B">
        <w:rPr>
          <w:rFonts w:ascii="Times New Roman" w:hAnsi="Times New Roman"/>
          <w:sz w:val="24"/>
          <w:szCs w:val="24"/>
          <w:lang w:val="en-US"/>
        </w:rPr>
        <w:t xml:space="preserve">relatively </w:t>
      </w:r>
      <w:r w:rsidR="005B4A4A" w:rsidRPr="00F4226B">
        <w:rPr>
          <w:rFonts w:ascii="Times New Roman" w:hAnsi="Times New Roman"/>
          <w:sz w:val="24"/>
          <w:szCs w:val="24"/>
          <w:lang w:val="en-US"/>
        </w:rPr>
        <w:t>l</w:t>
      </w:r>
      <w:r w:rsidR="0090605B" w:rsidRPr="00F4226B">
        <w:rPr>
          <w:rFonts w:ascii="Times New Roman" w:hAnsi="Times New Roman"/>
          <w:sz w:val="24"/>
          <w:szCs w:val="24"/>
          <w:lang w:val="en-US"/>
        </w:rPr>
        <w:t>ow inflation period</w:t>
      </w:r>
      <w:r w:rsidR="00B97F0E" w:rsidRPr="00F4226B">
        <w:rPr>
          <w:rFonts w:ascii="Times New Roman" w:hAnsi="Times New Roman"/>
          <w:sz w:val="24"/>
          <w:szCs w:val="24"/>
          <w:lang w:val="en-US"/>
        </w:rPr>
        <w:t xml:space="preserve">. </w:t>
      </w:r>
      <w:r w:rsidR="00404858" w:rsidRPr="00F4226B">
        <w:rPr>
          <w:rFonts w:ascii="Times New Roman" w:hAnsi="Times New Roman"/>
          <w:sz w:val="24"/>
          <w:szCs w:val="24"/>
          <w:lang w:val="en-US"/>
        </w:rPr>
        <w:t xml:space="preserve">In contrast, </w:t>
      </w:r>
      <w:r w:rsidR="00B97F0E" w:rsidRPr="00F4226B">
        <w:rPr>
          <w:rFonts w:ascii="Times New Roman" w:hAnsi="Times New Roman"/>
          <w:sz w:val="24"/>
          <w:szCs w:val="24"/>
          <w:lang w:val="en-US"/>
        </w:rPr>
        <w:t xml:space="preserve">in the incremental </w:t>
      </w:r>
      <w:r w:rsidR="00701527" w:rsidRPr="00F4226B">
        <w:rPr>
          <w:rFonts w:ascii="Times New Roman" w:hAnsi="Times New Roman"/>
          <w:sz w:val="24"/>
          <w:szCs w:val="24"/>
          <w:lang w:val="en-US"/>
        </w:rPr>
        <w:t>content</w:t>
      </w:r>
      <w:r w:rsidR="00B97F0E" w:rsidRPr="00F4226B">
        <w:rPr>
          <w:rFonts w:ascii="Times New Roman" w:hAnsi="Times New Roman"/>
          <w:sz w:val="24"/>
          <w:szCs w:val="24"/>
          <w:lang w:val="en-US"/>
        </w:rPr>
        <w:t xml:space="preserve"> model (Panel B, Model 3), </w:t>
      </w:r>
      <w:r w:rsidR="00404858" w:rsidRPr="00F4226B">
        <w:rPr>
          <w:rFonts w:ascii="Times New Roman" w:hAnsi="Times New Roman"/>
          <w:sz w:val="24"/>
          <w:szCs w:val="24"/>
          <w:lang w:val="en-US"/>
        </w:rPr>
        <w:t xml:space="preserve">both </w:t>
      </w:r>
      <w:r w:rsidR="00B97F0E" w:rsidRPr="00F4226B">
        <w:rPr>
          <w:rFonts w:ascii="Times New Roman" w:hAnsi="Times New Roman"/>
          <w:sz w:val="24"/>
          <w:szCs w:val="24"/>
          <w:lang w:val="en-US"/>
        </w:rPr>
        <w:t xml:space="preserve">earnings </w:t>
      </w:r>
      <w:r w:rsidR="00404858" w:rsidRPr="00F4226B">
        <w:rPr>
          <w:rFonts w:ascii="Times New Roman" w:hAnsi="Times New Roman"/>
          <w:sz w:val="24"/>
          <w:szCs w:val="24"/>
          <w:lang w:val="en-US"/>
        </w:rPr>
        <w:t xml:space="preserve">and </w:t>
      </w:r>
      <w:r w:rsidR="00B97F0E" w:rsidRPr="00F4226B">
        <w:rPr>
          <w:rFonts w:ascii="Times New Roman" w:hAnsi="Times New Roman"/>
          <w:sz w:val="24"/>
          <w:szCs w:val="24"/>
          <w:lang w:val="en-US"/>
        </w:rPr>
        <w:t xml:space="preserve">inflation gains and losses (EIGLS) </w:t>
      </w:r>
      <w:r w:rsidR="00404858" w:rsidRPr="00F4226B">
        <w:rPr>
          <w:rFonts w:ascii="Times New Roman" w:hAnsi="Times New Roman"/>
          <w:sz w:val="24"/>
          <w:szCs w:val="24"/>
          <w:lang w:val="en-US"/>
        </w:rPr>
        <w:t xml:space="preserve">are </w:t>
      </w:r>
      <w:r w:rsidR="00B97F0E" w:rsidRPr="00F4226B">
        <w:rPr>
          <w:rFonts w:ascii="Times New Roman" w:hAnsi="Times New Roman"/>
          <w:sz w:val="24"/>
          <w:szCs w:val="24"/>
          <w:lang w:val="en-US"/>
        </w:rPr>
        <w:t>significant</w:t>
      </w:r>
      <w:r w:rsidR="00FF3DBE" w:rsidRPr="00F4226B">
        <w:rPr>
          <w:rFonts w:ascii="Times New Roman" w:hAnsi="Times New Roman"/>
          <w:sz w:val="24"/>
          <w:szCs w:val="24"/>
          <w:lang w:val="en-US"/>
        </w:rPr>
        <w:t>ly</w:t>
      </w:r>
      <w:r w:rsidR="00B97F0E" w:rsidRPr="00F4226B">
        <w:rPr>
          <w:rFonts w:ascii="Times New Roman" w:hAnsi="Times New Roman"/>
          <w:sz w:val="24"/>
          <w:szCs w:val="24"/>
          <w:lang w:val="en-US"/>
        </w:rPr>
        <w:t xml:space="preserve"> a</w:t>
      </w:r>
      <w:r w:rsidR="00FF3DBE" w:rsidRPr="00F4226B">
        <w:rPr>
          <w:rFonts w:ascii="Times New Roman" w:hAnsi="Times New Roman"/>
          <w:sz w:val="24"/>
          <w:szCs w:val="24"/>
          <w:lang w:val="en-US"/>
        </w:rPr>
        <w:t>ssociated with stock returns. The coefficient</w:t>
      </w:r>
      <w:r w:rsidR="00DA5358" w:rsidRPr="00F4226B">
        <w:rPr>
          <w:rFonts w:ascii="Times New Roman" w:hAnsi="Times New Roman"/>
          <w:sz w:val="24"/>
          <w:szCs w:val="24"/>
          <w:lang w:val="en-US"/>
        </w:rPr>
        <w:t xml:space="preserve"> of earnings is </w:t>
      </w:r>
      <w:r w:rsidR="00FF3DBE" w:rsidRPr="00F4226B">
        <w:rPr>
          <w:rFonts w:ascii="Times New Roman" w:hAnsi="Times New Roman"/>
          <w:sz w:val="24"/>
          <w:szCs w:val="24"/>
          <w:lang w:val="en-US"/>
        </w:rPr>
        <w:t>+</w:t>
      </w:r>
      <w:r w:rsidR="00A01BF1" w:rsidRPr="00F4226B">
        <w:rPr>
          <w:rFonts w:ascii="Times New Roman" w:hAnsi="Times New Roman"/>
          <w:sz w:val="24"/>
          <w:szCs w:val="24"/>
          <w:lang w:val="en-US"/>
        </w:rPr>
        <w:t>6</w:t>
      </w:r>
      <w:r w:rsidR="00FF3DBE" w:rsidRPr="00F4226B">
        <w:rPr>
          <w:rFonts w:ascii="Times New Roman" w:hAnsi="Times New Roman"/>
          <w:sz w:val="24"/>
          <w:szCs w:val="24"/>
          <w:lang w:val="en-US"/>
        </w:rPr>
        <w:t xml:space="preserve">.507 with a </w:t>
      </w:r>
      <w:r w:rsidR="00B97F0E" w:rsidRPr="00F4226B">
        <w:rPr>
          <w:rFonts w:ascii="Times New Roman" w:hAnsi="Times New Roman"/>
          <w:sz w:val="24"/>
          <w:szCs w:val="24"/>
          <w:lang w:val="en-US"/>
        </w:rPr>
        <w:t>t</w:t>
      </w:r>
      <w:r w:rsidR="00FF3DBE" w:rsidRPr="00F4226B">
        <w:rPr>
          <w:rFonts w:ascii="Times New Roman" w:hAnsi="Times New Roman"/>
          <w:sz w:val="24"/>
          <w:szCs w:val="24"/>
          <w:lang w:val="en-US"/>
        </w:rPr>
        <w:t xml:space="preserve">-statistic of </w:t>
      </w:r>
      <w:r w:rsidR="00A01BF1" w:rsidRPr="00F4226B">
        <w:rPr>
          <w:rFonts w:ascii="Times New Roman" w:hAnsi="Times New Roman"/>
          <w:sz w:val="24"/>
          <w:szCs w:val="24"/>
          <w:lang w:val="en-US"/>
        </w:rPr>
        <w:t>4</w:t>
      </w:r>
      <w:r w:rsidR="00FF3DBE" w:rsidRPr="00F4226B">
        <w:rPr>
          <w:rFonts w:ascii="Times New Roman" w:hAnsi="Times New Roman"/>
          <w:sz w:val="24"/>
          <w:szCs w:val="24"/>
          <w:lang w:val="en-US"/>
        </w:rPr>
        <w:t>.04</w:t>
      </w:r>
      <w:r w:rsidR="00DA5358" w:rsidRPr="00F4226B">
        <w:rPr>
          <w:rFonts w:ascii="Times New Roman" w:hAnsi="Times New Roman"/>
          <w:sz w:val="24"/>
          <w:szCs w:val="24"/>
          <w:lang w:val="en-US"/>
        </w:rPr>
        <w:t xml:space="preserve"> (significant </w:t>
      </w:r>
      <w:r w:rsidR="00CF6988" w:rsidRPr="00F4226B">
        <w:rPr>
          <w:rFonts w:ascii="Times New Roman" w:hAnsi="Times New Roman"/>
          <w:sz w:val="24"/>
          <w:szCs w:val="24"/>
          <w:lang w:val="en-US"/>
        </w:rPr>
        <w:t xml:space="preserve">at </w:t>
      </w:r>
      <w:r w:rsidR="00B97F0E" w:rsidRPr="00F4226B">
        <w:rPr>
          <w:rFonts w:ascii="Times New Roman" w:hAnsi="Times New Roman"/>
          <w:sz w:val="24"/>
          <w:szCs w:val="24"/>
          <w:lang w:val="en-US"/>
        </w:rPr>
        <w:t>the 1% level</w:t>
      </w:r>
      <w:r w:rsidR="00DA5358" w:rsidRPr="00F4226B">
        <w:rPr>
          <w:rFonts w:ascii="Times New Roman" w:hAnsi="Times New Roman"/>
          <w:sz w:val="24"/>
          <w:szCs w:val="24"/>
          <w:lang w:val="en-US"/>
        </w:rPr>
        <w:t>)</w:t>
      </w:r>
      <w:r w:rsidR="00C0390A">
        <w:rPr>
          <w:rFonts w:ascii="Times New Roman" w:hAnsi="Times New Roman"/>
          <w:sz w:val="24"/>
          <w:szCs w:val="24"/>
          <w:lang w:val="en-US"/>
        </w:rPr>
        <w:t>,</w:t>
      </w:r>
      <w:r w:rsidR="00DA5358" w:rsidRPr="00F4226B">
        <w:rPr>
          <w:rFonts w:ascii="Times New Roman" w:hAnsi="Times New Roman"/>
          <w:sz w:val="24"/>
          <w:szCs w:val="24"/>
          <w:lang w:val="en-US"/>
        </w:rPr>
        <w:t xml:space="preserve"> and that of EIG</w:t>
      </w:r>
      <w:r w:rsidR="00CF6988" w:rsidRPr="00F4226B">
        <w:rPr>
          <w:rFonts w:ascii="Times New Roman" w:hAnsi="Times New Roman"/>
          <w:sz w:val="24"/>
          <w:szCs w:val="24"/>
          <w:lang w:val="en-US"/>
        </w:rPr>
        <w:t>L</w:t>
      </w:r>
      <w:r w:rsidR="00DA5358" w:rsidRPr="00F4226B">
        <w:rPr>
          <w:rFonts w:ascii="Times New Roman" w:hAnsi="Times New Roman"/>
          <w:sz w:val="24"/>
          <w:szCs w:val="24"/>
          <w:lang w:val="en-US"/>
        </w:rPr>
        <w:t>S is -2.211 with a t-value of 2.33 (significant at the 5% level)</w:t>
      </w:r>
      <w:r w:rsidR="00404858" w:rsidRPr="00F4226B">
        <w:rPr>
          <w:rFonts w:ascii="Times New Roman" w:hAnsi="Times New Roman"/>
          <w:sz w:val="24"/>
          <w:szCs w:val="24"/>
          <w:lang w:val="en-US"/>
        </w:rPr>
        <w:t xml:space="preserve">. Similar to the entire pooled </w:t>
      </w:r>
      <w:r w:rsidR="00404858" w:rsidRPr="00F4226B">
        <w:rPr>
          <w:rFonts w:ascii="Times New Roman" w:hAnsi="Times New Roman"/>
          <w:sz w:val="24"/>
          <w:szCs w:val="24"/>
          <w:lang w:val="en-US"/>
        </w:rPr>
        <w:lastRenderedPageBreak/>
        <w:t>sample, t</w:t>
      </w:r>
      <w:r w:rsidR="00701527" w:rsidRPr="00F4226B">
        <w:rPr>
          <w:rFonts w:ascii="Times New Roman" w:hAnsi="Times New Roman"/>
          <w:sz w:val="24"/>
          <w:szCs w:val="24"/>
          <w:lang w:val="en-US"/>
        </w:rPr>
        <w:t xml:space="preserve">he Vuong Z-statistic </w:t>
      </w:r>
      <w:r w:rsidR="00DA5358" w:rsidRPr="00F4226B">
        <w:rPr>
          <w:rFonts w:ascii="Times New Roman" w:hAnsi="Times New Roman"/>
          <w:sz w:val="24"/>
          <w:szCs w:val="24"/>
          <w:lang w:val="en-US"/>
        </w:rPr>
        <w:t xml:space="preserve">of </w:t>
      </w:r>
      <w:r w:rsidR="00701527" w:rsidRPr="00F4226B">
        <w:rPr>
          <w:rFonts w:ascii="Times New Roman" w:hAnsi="Times New Roman"/>
          <w:sz w:val="24"/>
          <w:szCs w:val="24"/>
          <w:lang w:val="en-US"/>
        </w:rPr>
        <w:t>3.636</w:t>
      </w:r>
      <w:r w:rsidR="00DA5358" w:rsidRPr="00F4226B">
        <w:rPr>
          <w:rFonts w:ascii="Times New Roman" w:hAnsi="Times New Roman"/>
          <w:sz w:val="24"/>
          <w:szCs w:val="24"/>
          <w:lang w:val="en-US"/>
        </w:rPr>
        <w:t xml:space="preserve"> (significant at the 1% level)</w:t>
      </w:r>
      <w:r w:rsidR="00701527" w:rsidRPr="00F4226B">
        <w:rPr>
          <w:rFonts w:ascii="Times New Roman" w:hAnsi="Times New Roman"/>
          <w:sz w:val="24"/>
          <w:szCs w:val="24"/>
          <w:lang w:val="en-US"/>
        </w:rPr>
        <w:t xml:space="preserve"> </w:t>
      </w:r>
      <w:r w:rsidR="00FA3DF6" w:rsidRPr="00F4226B">
        <w:rPr>
          <w:rFonts w:ascii="Times New Roman" w:hAnsi="Times New Roman"/>
          <w:sz w:val="24"/>
          <w:szCs w:val="24"/>
          <w:lang w:val="en-US"/>
        </w:rPr>
        <w:t xml:space="preserve">shows that the incremental </w:t>
      </w:r>
      <w:r w:rsidR="005B4A4A" w:rsidRPr="00F4226B">
        <w:rPr>
          <w:rFonts w:ascii="Times New Roman" w:hAnsi="Times New Roman"/>
          <w:sz w:val="24"/>
          <w:szCs w:val="24"/>
          <w:lang w:val="en-US"/>
        </w:rPr>
        <w:t xml:space="preserve">content </w:t>
      </w:r>
      <w:r w:rsidR="00FA3DF6" w:rsidRPr="00F4226B">
        <w:rPr>
          <w:rFonts w:ascii="Times New Roman" w:hAnsi="Times New Roman"/>
          <w:sz w:val="24"/>
          <w:szCs w:val="24"/>
          <w:lang w:val="en-US"/>
        </w:rPr>
        <w:t>model dominates the IA model</w:t>
      </w:r>
      <w:r w:rsidR="00F4226B">
        <w:rPr>
          <w:rFonts w:ascii="Times New Roman" w:hAnsi="Times New Roman"/>
          <w:sz w:val="24"/>
          <w:szCs w:val="24"/>
          <w:lang w:val="en-US"/>
        </w:rPr>
        <w:t xml:space="preserve"> but is </w:t>
      </w:r>
      <w:r w:rsidR="00C23563" w:rsidRPr="00F4226B">
        <w:rPr>
          <w:rFonts w:ascii="Times New Roman" w:hAnsi="Times New Roman"/>
          <w:sz w:val="24"/>
          <w:szCs w:val="24"/>
          <w:lang w:val="en-US"/>
        </w:rPr>
        <w:t>equivalent to the HC model</w:t>
      </w:r>
      <w:r w:rsidR="00701527" w:rsidRPr="00F4226B">
        <w:rPr>
          <w:rFonts w:ascii="Times New Roman" w:hAnsi="Times New Roman"/>
          <w:sz w:val="24"/>
          <w:szCs w:val="24"/>
          <w:lang w:val="en-US"/>
        </w:rPr>
        <w:t xml:space="preserve">. </w:t>
      </w:r>
      <w:r w:rsidR="00CD22DF" w:rsidRPr="00F4226B">
        <w:rPr>
          <w:rFonts w:ascii="Times New Roman" w:hAnsi="Times New Roman"/>
          <w:sz w:val="24"/>
          <w:szCs w:val="24"/>
          <w:lang w:val="en-US"/>
        </w:rPr>
        <w:t xml:space="preserve">These results </w:t>
      </w:r>
      <w:r w:rsidR="00E76B61" w:rsidRPr="00F4226B">
        <w:rPr>
          <w:rFonts w:ascii="Times New Roman" w:hAnsi="Times New Roman"/>
          <w:sz w:val="24"/>
          <w:szCs w:val="24"/>
          <w:lang w:val="en-US"/>
        </w:rPr>
        <w:t>show</w:t>
      </w:r>
      <w:r w:rsidR="00803EBA" w:rsidRPr="00F4226B">
        <w:rPr>
          <w:rFonts w:ascii="Times New Roman" w:hAnsi="Times New Roman"/>
          <w:sz w:val="24"/>
          <w:szCs w:val="24"/>
          <w:lang w:val="en-US"/>
        </w:rPr>
        <w:t>,</w:t>
      </w:r>
      <w:r w:rsidR="00CD22DF" w:rsidRPr="00F4226B">
        <w:rPr>
          <w:rFonts w:ascii="Times New Roman" w:hAnsi="Times New Roman"/>
          <w:sz w:val="24"/>
          <w:szCs w:val="24"/>
          <w:lang w:val="en-US"/>
        </w:rPr>
        <w:t xml:space="preserve"> </w:t>
      </w:r>
      <w:r w:rsidR="00E76B61" w:rsidRPr="00F4226B">
        <w:rPr>
          <w:rFonts w:ascii="Times New Roman" w:hAnsi="Times New Roman"/>
          <w:sz w:val="24"/>
          <w:szCs w:val="24"/>
          <w:lang w:val="en-US"/>
        </w:rPr>
        <w:t xml:space="preserve">consistent with Konchitchki (2011), </w:t>
      </w:r>
      <w:r w:rsidR="00CD22DF" w:rsidRPr="00F4226B">
        <w:rPr>
          <w:rFonts w:ascii="Times New Roman" w:hAnsi="Times New Roman"/>
          <w:sz w:val="24"/>
          <w:szCs w:val="24"/>
          <w:lang w:val="en-US"/>
        </w:rPr>
        <w:t>that IA amounts have benefits</w:t>
      </w:r>
      <w:r w:rsidR="00C0390A" w:rsidRPr="00C0390A">
        <w:rPr>
          <w:rFonts w:ascii="Times New Roman" w:hAnsi="Times New Roman"/>
          <w:sz w:val="24"/>
          <w:szCs w:val="24"/>
          <w:lang w:val="en-US"/>
        </w:rPr>
        <w:t xml:space="preserve"> </w:t>
      </w:r>
      <w:r w:rsidR="00C0390A" w:rsidRPr="00F4226B">
        <w:rPr>
          <w:rFonts w:ascii="Times New Roman" w:hAnsi="Times New Roman"/>
          <w:sz w:val="24"/>
          <w:szCs w:val="24"/>
          <w:lang w:val="en-US"/>
        </w:rPr>
        <w:t>even in periods of low inflation</w:t>
      </w:r>
      <w:r w:rsidR="00CD22DF" w:rsidRPr="00F4226B">
        <w:rPr>
          <w:rFonts w:ascii="Times New Roman" w:hAnsi="Times New Roman"/>
          <w:sz w:val="24"/>
          <w:szCs w:val="24"/>
          <w:lang w:val="en-US"/>
        </w:rPr>
        <w:t>, particular</w:t>
      </w:r>
      <w:r w:rsidR="00E76B61" w:rsidRPr="00F4226B">
        <w:rPr>
          <w:rFonts w:ascii="Times New Roman" w:hAnsi="Times New Roman"/>
          <w:sz w:val="24"/>
          <w:szCs w:val="24"/>
          <w:lang w:val="en-US"/>
        </w:rPr>
        <w:t>ly</w:t>
      </w:r>
      <w:r w:rsidR="00CD22DF" w:rsidRPr="00F4226B">
        <w:rPr>
          <w:rFonts w:ascii="Times New Roman" w:hAnsi="Times New Roman"/>
          <w:sz w:val="24"/>
          <w:szCs w:val="24"/>
          <w:lang w:val="en-US"/>
        </w:rPr>
        <w:t xml:space="preserve"> when </w:t>
      </w:r>
      <w:r w:rsidR="00C0390A">
        <w:rPr>
          <w:rFonts w:ascii="Times New Roman" w:hAnsi="Times New Roman"/>
          <w:sz w:val="24"/>
          <w:szCs w:val="24"/>
          <w:lang w:val="en-US"/>
        </w:rPr>
        <w:t xml:space="preserve">they are </w:t>
      </w:r>
      <w:r w:rsidR="00CD22DF" w:rsidRPr="00F4226B">
        <w:rPr>
          <w:rFonts w:ascii="Times New Roman" w:hAnsi="Times New Roman"/>
          <w:sz w:val="24"/>
          <w:szCs w:val="24"/>
          <w:lang w:val="en-US"/>
        </w:rPr>
        <w:t xml:space="preserve">decomposed into HC amounts </w:t>
      </w:r>
      <w:r w:rsidR="00EF7250">
        <w:rPr>
          <w:rFonts w:ascii="Times New Roman" w:hAnsi="Times New Roman"/>
          <w:sz w:val="24"/>
          <w:szCs w:val="24"/>
          <w:lang w:val="en-US"/>
        </w:rPr>
        <w:t>as well as</w:t>
      </w:r>
      <w:r w:rsidR="00EF7250" w:rsidRPr="00F4226B">
        <w:rPr>
          <w:rFonts w:ascii="Times New Roman" w:hAnsi="Times New Roman"/>
          <w:sz w:val="24"/>
          <w:szCs w:val="24"/>
          <w:lang w:val="en-US"/>
        </w:rPr>
        <w:t xml:space="preserve"> </w:t>
      </w:r>
      <w:r w:rsidR="00CD22DF" w:rsidRPr="00F4226B">
        <w:rPr>
          <w:rFonts w:ascii="Times New Roman" w:hAnsi="Times New Roman"/>
          <w:sz w:val="24"/>
          <w:szCs w:val="24"/>
          <w:lang w:val="en-US"/>
        </w:rPr>
        <w:t>inflation gains and losses.</w:t>
      </w:r>
    </w:p>
    <w:p w14:paraId="34AB47B8" w14:textId="1000E56C" w:rsidR="002A7E68" w:rsidRPr="00F4226B" w:rsidRDefault="009403B3"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Turning to </w:t>
      </w:r>
      <w:r w:rsidR="00F43C1A" w:rsidRPr="00F4226B">
        <w:rPr>
          <w:rFonts w:ascii="Times New Roman" w:hAnsi="Times New Roman"/>
          <w:sz w:val="24"/>
          <w:szCs w:val="24"/>
          <w:lang w:val="en-US"/>
        </w:rPr>
        <w:t xml:space="preserve">the </w:t>
      </w:r>
      <w:r w:rsidR="00F57A8D" w:rsidRPr="00F4226B">
        <w:rPr>
          <w:rFonts w:ascii="Times New Roman" w:hAnsi="Times New Roman"/>
          <w:sz w:val="24"/>
          <w:szCs w:val="24"/>
          <w:lang w:val="en-US"/>
        </w:rPr>
        <w:t xml:space="preserve">relatively </w:t>
      </w:r>
      <w:r w:rsidR="0070522D" w:rsidRPr="00F4226B">
        <w:rPr>
          <w:rFonts w:ascii="Times New Roman" w:hAnsi="Times New Roman"/>
          <w:sz w:val="24"/>
          <w:szCs w:val="24"/>
          <w:lang w:val="en-US"/>
        </w:rPr>
        <w:t xml:space="preserve">high inflation </w:t>
      </w:r>
      <w:r w:rsidR="00F43C1A" w:rsidRPr="00F4226B">
        <w:rPr>
          <w:rFonts w:ascii="Times New Roman" w:hAnsi="Times New Roman"/>
          <w:sz w:val="24"/>
          <w:szCs w:val="24"/>
          <w:lang w:val="en-US"/>
        </w:rPr>
        <w:t xml:space="preserve">period </w:t>
      </w:r>
      <w:r w:rsidR="0070522D" w:rsidRPr="00F4226B">
        <w:rPr>
          <w:rFonts w:ascii="Times New Roman" w:hAnsi="Times New Roman"/>
          <w:sz w:val="24"/>
          <w:szCs w:val="24"/>
          <w:lang w:val="en-US"/>
        </w:rPr>
        <w:t>(</w:t>
      </w:r>
      <w:r w:rsidR="009B328C" w:rsidRPr="00F4226B">
        <w:rPr>
          <w:rFonts w:ascii="Times New Roman" w:hAnsi="Times New Roman"/>
          <w:sz w:val="24"/>
          <w:szCs w:val="24"/>
          <w:lang w:val="en-US"/>
        </w:rPr>
        <w:t xml:space="preserve">Panel </w:t>
      </w:r>
      <w:r w:rsidR="00C243C6" w:rsidRPr="00F4226B">
        <w:rPr>
          <w:rFonts w:ascii="Times New Roman" w:hAnsi="Times New Roman"/>
          <w:sz w:val="24"/>
          <w:szCs w:val="24"/>
          <w:lang w:val="en-US"/>
        </w:rPr>
        <w:t>C</w:t>
      </w:r>
      <w:r w:rsidR="00DE5FF9" w:rsidRPr="00F4226B">
        <w:rPr>
          <w:rFonts w:ascii="Times New Roman" w:hAnsi="Times New Roman"/>
          <w:sz w:val="24"/>
          <w:szCs w:val="24"/>
          <w:lang w:val="en-US"/>
        </w:rPr>
        <w:t xml:space="preserve"> </w:t>
      </w:r>
      <w:r w:rsidR="00F549A3" w:rsidRPr="00F4226B">
        <w:rPr>
          <w:rFonts w:ascii="Times New Roman" w:hAnsi="Times New Roman"/>
          <w:sz w:val="24"/>
          <w:szCs w:val="24"/>
          <w:lang w:val="en-US"/>
        </w:rPr>
        <w:t>of Table 5</w:t>
      </w:r>
      <w:r w:rsidR="009B328C" w:rsidRPr="00F4226B">
        <w:rPr>
          <w:rFonts w:ascii="Times New Roman" w:hAnsi="Times New Roman"/>
          <w:sz w:val="24"/>
          <w:szCs w:val="24"/>
          <w:lang w:val="en-US"/>
        </w:rPr>
        <w:t>)</w:t>
      </w:r>
      <w:r w:rsidR="00F43C1A" w:rsidRPr="00F4226B">
        <w:rPr>
          <w:rFonts w:ascii="Times New Roman" w:hAnsi="Times New Roman"/>
          <w:sz w:val="24"/>
          <w:szCs w:val="24"/>
          <w:lang w:val="en-US"/>
        </w:rPr>
        <w:t xml:space="preserve">, we observe that </w:t>
      </w:r>
      <w:r w:rsidR="009B328C" w:rsidRPr="00F4226B">
        <w:rPr>
          <w:rFonts w:ascii="Times New Roman" w:hAnsi="Times New Roman"/>
          <w:sz w:val="24"/>
          <w:szCs w:val="24"/>
          <w:lang w:val="en-US"/>
        </w:rPr>
        <w:t xml:space="preserve">the HC model’s </w:t>
      </w:r>
      <w:r w:rsidR="00CD169E" w:rsidRPr="00F4226B">
        <w:rPr>
          <w:rFonts w:ascii="Times New Roman" w:hAnsi="Times New Roman"/>
          <w:sz w:val="24"/>
          <w:szCs w:val="24"/>
          <w:lang w:val="en-US"/>
        </w:rPr>
        <w:t xml:space="preserve">explanatory </w:t>
      </w:r>
      <w:r w:rsidR="009B328C" w:rsidRPr="00F4226B">
        <w:rPr>
          <w:rFonts w:ascii="Times New Roman" w:hAnsi="Times New Roman"/>
          <w:sz w:val="24"/>
          <w:szCs w:val="24"/>
          <w:lang w:val="en-US"/>
        </w:rPr>
        <w:t>power</w:t>
      </w:r>
      <w:r w:rsidR="00C0390A">
        <w:rPr>
          <w:rFonts w:ascii="Times New Roman" w:hAnsi="Times New Roman"/>
          <w:sz w:val="24"/>
          <w:szCs w:val="24"/>
          <w:lang w:val="en-US"/>
        </w:rPr>
        <w:t xml:space="preserve"> (</w:t>
      </w:r>
      <w:r w:rsidR="009B328C" w:rsidRPr="00F4226B">
        <w:rPr>
          <w:rFonts w:ascii="Times New Roman" w:hAnsi="Times New Roman"/>
          <w:sz w:val="24"/>
          <w:szCs w:val="24"/>
          <w:lang w:val="en-US"/>
        </w:rPr>
        <w:t>63.1%</w:t>
      </w:r>
      <w:r w:rsidR="00C0390A">
        <w:rPr>
          <w:rFonts w:ascii="Times New Roman" w:hAnsi="Times New Roman"/>
          <w:sz w:val="24"/>
          <w:szCs w:val="24"/>
          <w:lang w:val="en-US"/>
        </w:rPr>
        <w:t>)</w:t>
      </w:r>
      <w:r w:rsidR="009B328C" w:rsidRPr="00F4226B">
        <w:rPr>
          <w:rFonts w:ascii="Times New Roman" w:hAnsi="Times New Roman"/>
          <w:sz w:val="24"/>
          <w:szCs w:val="24"/>
          <w:lang w:val="en-US"/>
        </w:rPr>
        <w:t xml:space="preserve"> is greater than </w:t>
      </w:r>
      <w:r w:rsidR="00C0390A">
        <w:rPr>
          <w:rFonts w:ascii="Times New Roman" w:hAnsi="Times New Roman"/>
          <w:sz w:val="24"/>
          <w:szCs w:val="24"/>
          <w:lang w:val="en-US"/>
        </w:rPr>
        <w:t>that of the IA model (</w:t>
      </w:r>
      <w:r w:rsidR="009B328C" w:rsidRPr="00F4226B">
        <w:rPr>
          <w:rFonts w:ascii="Times New Roman" w:hAnsi="Times New Roman"/>
          <w:sz w:val="24"/>
          <w:szCs w:val="24"/>
          <w:lang w:val="en-US"/>
        </w:rPr>
        <w:t>50.5%</w:t>
      </w:r>
      <w:r w:rsidR="00C0390A">
        <w:rPr>
          <w:rFonts w:ascii="Times New Roman" w:hAnsi="Times New Roman"/>
          <w:sz w:val="24"/>
          <w:szCs w:val="24"/>
          <w:lang w:val="en-US"/>
        </w:rPr>
        <w:t>)</w:t>
      </w:r>
      <w:r w:rsidR="00CD169E" w:rsidRPr="00F4226B">
        <w:rPr>
          <w:rFonts w:ascii="Times New Roman" w:hAnsi="Times New Roman"/>
          <w:sz w:val="24"/>
          <w:szCs w:val="24"/>
          <w:lang w:val="en-US"/>
        </w:rPr>
        <w:t xml:space="preserve">. </w:t>
      </w:r>
      <w:r w:rsidR="00C0390A">
        <w:rPr>
          <w:rFonts w:ascii="Times New Roman" w:hAnsi="Times New Roman"/>
          <w:sz w:val="24"/>
          <w:szCs w:val="24"/>
          <w:lang w:val="en-US"/>
        </w:rPr>
        <w:t>Despite</w:t>
      </w:r>
      <w:r w:rsidR="00CD169E" w:rsidRPr="00F4226B">
        <w:rPr>
          <w:rFonts w:ascii="Times New Roman" w:hAnsi="Times New Roman"/>
          <w:sz w:val="24"/>
          <w:szCs w:val="24"/>
          <w:lang w:val="en-US"/>
        </w:rPr>
        <w:t xml:space="preserve"> the seemingly sizable difference in the adjusted</w:t>
      </w:r>
      <w:r w:rsidR="00F4226B">
        <w:rPr>
          <w:rFonts w:ascii="Times New Roman" w:hAnsi="Times New Roman"/>
          <w:sz w:val="24"/>
          <w:szCs w:val="24"/>
          <w:lang w:val="en-US"/>
        </w:rPr>
        <w:t xml:space="preserve"> </w:t>
      </w:r>
      <w:r w:rsidR="00CD169E" w:rsidRPr="00F4226B">
        <w:rPr>
          <w:rFonts w:ascii="Times New Roman" w:hAnsi="Times New Roman"/>
          <w:sz w:val="24"/>
          <w:szCs w:val="24"/>
          <w:lang w:val="en-US"/>
        </w:rPr>
        <w:t>R²s</w:t>
      </w:r>
      <w:r w:rsidR="009B328C" w:rsidRPr="00F4226B">
        <w:rPr>
          <w:rFonts w:ascii="Times New Roman" w:hAnsi="Times New Roman"/>
          <w:sz w:val="24"/>
          <w:szCs w:val="24"/>
          <w:lang w:val="en-US"/>
        </w:rPr>
        <w:t xml:space="preserve">, </w:t>
      </w:r>
      <w:r w:rsidR="00CD22DF" w:rsidRPr="00F4226B">
        <w:rPr>
          <w:rFonts w:ascii="Times New Roman" w:hAnsi="Times New Roman"/>
          <w:sz w:val="24"/>
          <w:szCs w:val="24"/>
          <w:lang w:val="en-US"/>
        </w:rPr>
        <w:t>t</w:t>
      </w:r>
      <w:r w:rsidR="00F066CF" w:rsidRPr="00F4226B">
        <w:rPr>
          <w:rFonts w:ascii="Times New Roman" w:hAnsi="Times New Roman"/>
          <w:sz w:val="24"/>
          <w:szCs w:val="24"/>
          <w:lang w:val="en-US"/>
        </w:rPr>
        <w:t xml:space="preserve">he </w:t>
      </w:r>
      <w:r w:rsidR="009B328C" w:rsidRPr="00F4226B">
        <w:rPr>
          <w:rFonts w:ascii="Times New Roman" w:hAnsi="Times New Roman"/>
          <w:sz w:val="24"/>
          <w:szCs w:val="24"/>
          <w:lang w:val="en-US"/>
        </w:rPr>
        <w:t>Vuong Z-statistic of 1.</w:t>
      </w:r>
      <w:r w:rsidR="007B5E97" w:rsidRPr="00F4226B">
        <w:rPr>
          <w:rFonts w:ascii="Times New Roman" w:hAnsi="Times New Roman"/>
          <w:sz w:val="24"/>
          <w:szCs w:val="24"/>
          <w:lang w:val="en-US"/>
        </w:rPr>
        <w:t>458</w:t>
      </w:r>
      <w:r w:rsidR="009B328C" w:rsidRPr="00F4226B">
        <w:rPr>
          <w:rFonts w:ascii="Times New Roman" w:hAnsi="Times New Roman"/>
          <w:sz w:val="24"/>
          <w:szCs w:val="24"/>
          <w:lang w:val="en-US"/>
        </w:rPr>
        <w:t xml:space="preserve"> is not significant</w:t>
      </w:r>
      <w:r w:rsidR="00C0390A">
        <w:rPr>
          <w:rFonts w:ascii="Times New Roman" w:hAnsi="Times New Roman"/>
          <w:sz w:val="24"/>
          <w:szCs w:val="24"/>
          <w:lang w:val="en-US"/>
        </w:rPr>
        <w:t>;</w:t>
      </w:r>
      <w:r w:rsidR="00C0390A" w:rsidRPr="00F4226B">
        <w:rPr>
          <w:rFonts w:ascii="Times New Roman" w:hAnsi="Times New Roman"/>
          <w:sz w:val="24"/>
          <w:szCs w:val="24"/>
          <w:lang w:val="en-US"/>
        </w:rPr>
        <w:t xml:space="preserve"> </w:t>
      </w:r>
      <w:r w:rsidR="00C23563" w:rsidRPr="00F4226B">
        <w:rPr>
          <w:rFonts w:ascii="Times New Roman" w:hAnsi="Times New Roman"/>
          <w:sz w:val="24"/>
          <w:szCs w:val="24"/>
          <w:lang w:val="en-US"/>
        </w:rPr>
        <w:t xml:space="preserve">thus the null hypothesis </w:t>
      </w:r>
      <w:r w:rsidR="00803EBA" w:rsidRPr="00F4226B">
        <w:rPr>
          <w:rFonts w:ascii="Times New Roman" w:hAnsi="Times New Roman"/>
          <w:sz w:val="24"/>
          <w:szCs w:val="24"/>
          <w:lang w:val="en-US"/>
        </w:rPr>
        <w:t>that the two models are equal</w:t>
      </w:r>
      <w:r w:rsidR="001F4DF5" w:rsidRPr="00F4226B">
        <w:rPr>
          <w:rFonts w:ascii="Times New Roman" w:hAnsi="Times New Roman"/>
          <w:sz w:val="24"/>
          <w:szCs w:val="24"/>
          <w:lang w:val="en-US"/>
        </w:rPr>
        <w:t xml:space="preserve"> is accepted</w:t>
      </w:r>
      <w:r w:rsidR="009B328C" w:rsidRPr="00F4226B">
        <w:rPr>
          <w:rFonts w:ascii="Times New Roman" w:hAnsi="Times New Roman"/>
          <w:sz w:val="24"/>
          <w:szCs w:val="24"/>
          <w:lang w:val="en-US"/>
        </w:rPr>
        <w:t xml:space="preserve">. </w:t>
      </w:r>
      <w:r w:rsidR="00C23563" w:rsidRPr="00F4226B">
        <w:rPr>
          <w:rFonts w:ascii="Times New Roman" w:hAnsi="Times New Roman"/>
          <w:sz w:val="24"/>
          <w:szCs w:val="24"/>
          <w:lang w:val="en-US"/>
        </w:rPr>
        <w:t>In addition</w:t>
      </w:r>
      <w:r w:rsidR="00BF3706" w:rsidRPr="00F4226B">
        <w:rPr>
          <w:rFonts w:ascii="Times New Roman" w:hAnsi="Times New Roman"/>
          <w:sz w:val="24"/>
          <w:szCs w:val="24"/>
          <w:lang w:val="en-US"/>
        </w:rPr>
        <w:t>, s</w:t>
      </w:r>
      <w:r w:rsidR="00AC05C6" w:rsidRPr="00F4226B">
        <w:rPr>
          <w:rFonts w:ascii="Times New Roman" w:hAnsi="Times New Roman"/>
          <w:sz w:val="24"/>
          <w:szCs w:val="24"/>
          <w:lang w:val="en-US"/>
        </w:rPr>
        <w:t xml:space="preserve">imilar to Panels A and B, </w:t>
      </w:r>
      <w:r w:rsidR="00BF3706" w:rsidRPr="00F4226B">
        <w:rPr>
          <w:rFonts w:ascii="Times New Roman" w:hAnsi="Times New Roman"/>
          <w:sz w:val="24"/>
          <w:szCs w:val="24"/>
          <w:lang w:val="en-US"/>
        </w:rPr>
        <w:t xml:space="preserve">we find that </w:t>
      </w:r>
      <w:r w:rsidR="00AC05C6" w:rsidRPr="00F4226B">
        <w:rPr>
          <w:rFonts w:ascii="Times New Roman" w:hAnsi="Times New Roman"/>
          <w:sz w:val="24"/>
          <w:szCs w:val="24"/>
          <w:lang w:val="en-US"/>
        </w:rPr>
        <w:t>in the incremental content model (Panel C, Model 3), the coefficient of E</w:t>
      </w:r>
      <w:r w:rsidR="00803EBA" w:rsidRPr="00F4226B">
        <w:rPr>
          <w:rFonts w:ascii="Times New Roman" w:hAnsi="Times New Roman"/>
          <w:sz w:val="24"/>
          <w:szCs w:val="24"/>
          <w:lang w:val="en-US"/>
        </w:rPr>
        <w:t>I</w:t>
      </w:r>
      <w:r w:rsidR="00AC05C6" w:rsidRPr="00F4226B">
        <w:rPr>
          <w:rFonts w:ascii="Times New Roman" w:hAnsi="Times New Roman"/>
          <w:sz w:val="24"/>
          <w:szCs w:val="24"/>
          <w:lang w:val="en-US"/>
        </w:rPr>
        <w:t xml:space="preserve">GLS is </w:t>
      </w:r>
      <w:r w:rsidR="00DA5358" w:rsidRPr="00F4226B">
        <w:rPr>
          <w:rFonts w:ascii="Times New Roman" w:hAnsi="Times New Roman"/>
          <w:sz w:val="24"/>
          <w:szCs w:val="24"/>
          <w:lang w:val="en-US"/>
        </w:rPr>
        <w:t>-3.347 with a t-statistic of 2.75 (</w:t>
      </w:r>
      <w:r w:rsidR="00AC05C6" w:rsidRPr="00F4226B">
        <w:rPr>
          <w:rFonts w:ascii="Times New Roman" w:hAnsi="Times New Roman"/>
          <w:sz w:val="24"/>
          <w:szCs w:val="24"/>
          <w:lang w:val="en-US"/>
        </w:rPr>
        <w:t xml:space="preserve">significant </w:t>
      </w:r>
      <w:r w:rsidR="00DA5358" w:rsidRPr="00F4226B">
        <w:rPr>
          <w:rFonts w:ascii="Times New Roman" w:hAnsi="Times New Roman"/>
          <w:sz w:val="24"/>
          <w:szCs w:val="24"/>
          <w:lang w:val="en-US"/>
        </w:rPr>
        <w:t>at the 1% level)</w:t>
      </w:r>
      <w:r w:rsidR="00C0390A">
        <w:rPr>
          <w:rFonts w:ascii="Times New Roman" w:hAnsi="Times New Roman"/>
          <w:sz w:val="24"/>
          <w:szCs w:val="24"/>
          <w:lang w:val="en-US"/>
        </w:rPr>
        <w:t>,</w:t>
      </w:r>
      <w:r w:rsidR="00DA5358" w:rsidRPr="00F4226B">
        <w:rPr>
          <w:rFonts w:ascii="Times New Roman" w:hAnsi="Times New Roman"/>
          <w:sz w:val="24"/>
          <w:szCs w:val="24"/>
          <w:lang w:val="en-US"/>
        </w:rPr>
        <w:t xml:space="preserve"> </w:t>
      </w:r>
      <w:r w:rsidR="00AC05C6" w:rsidRPr="00F4226B">
        <w:rPr>
          <w:rFonts w:ascii="Times New Roman" w:hAnsi="Times New Roman"/>
          <w:sz w:val="24"/>
          <w:szCs w:val="24"/>
          <w:lang w:val="en-US"/>
        </w:rPr>
        <w:t xml:space="preserve">and the model’s </w:t>
      </w:r>
      <w:r w:rsidR="00AC05C6" w:rsidRPr="00F4226B">
        <w:rPr>
          <w:rFonts w:ascii="Times New Roman" w:hAnsi="Times New Roman"/>
          <w:sz w:val="24"/>
          <w:szCs w:val="24"/>
          <w:lang w:val="en-US"/>
        </w:rPr>
        <w:lastRenderedPageBreak/>
        <w:t>power</w:t>
      </w:r>
      <w:r w:rsidR="00C0390A">
        <w:rPr>
          <w:rFonts w:ascii="Times New Roman" w:hAnsi="Times New Roman"/>
          <w:sz w:val="24"/>
          <w:szCs w:val="24"/>
          <w:lang w:val="en-US"/>
        </w:rPr>
        <w:t>,</w:t>
      </w:r>
      <w:r w:rsidR="00AC05C6" w:rsidRPr="00F4226B">
        <w:rPr>
          <w:rFonts w:ascii="Times New Roman" w:hAnsi="Times New Roman"/>
          <w:sz w:val="24"/>
          <w:szCs w:val="24"/>
          <w:lang w:val="en-US"/>
        </w:rPr>
        <w:t xml:space="preserve"> 65.2%</w:t>
      </w:r>
      <w:r w:rsidR="00C0390A">
        <w:rPr>
          <w:rFonts w:ascii="Times New Roman" w:hAnsi="Times New Roman"/>
          <w:sz w:val="24"/>
          <w:szCs w:val="24"/>
          <w:lang w:val="en-US"/>
        </w:rPr>
        <w:t>,</w:t>
      </w:r>
      <w:r w:rsidR="00AC05C6" w:rsidRPr="00F4226B">
        <w:rPr>
          <w:rFonts w:ascii="Times New Roman" w:hAnsi="Times New Roman"/>
          <w:sz w:val="24"/>
          <w:szCs w:val="24"/>
          <w:lang w:val="en-US"/>
        </w:rPr>
        <w:t xml:space="preserve"> is greater than </w:t>
      </w:r>
      <w:r w:rsidR="00C0390A">
        <w:rPr>
          <w:rFonts w:ascii="Times New Roman" w:hAnsi="Times New Roman"/>
          <w:sz w:val="24"/>
          <w:szCs w:val="24"/>
          <w:lang w:val="en-US"/>
        </w:rPr>
        <w:t xml:space="preserve">that of </w:t>
      </w:r>
      <w:r w:rsidR="00AC05C6" w:rsidRPr="00F4226B">
        <w:rPr>
          <w:rFonts w:ascii="Times New Roman" w:hAnsi="Times New Roman"/>
          <w:sz w:val="24"/>
          <w:szCs w:val="24"/>
          <w:lang w:val="en-US"/>
        </w:rPr>
        <w:t>both the HC and IA models</w:t>
      </w:r>
      <w:r w:rsidR="00E76B61" w:rsidRPr="00F4226B">
        <w:rPr>
          <w:rFonts w:ascii="Times New Roman" w:hAnsi="Times New Roman"/>
          <w:sz w:val="24"/>
          <w:szCs w:val="24"/>
          <w:lang w:val="en-US"/>
        </w:rPr>
        <w:t xml:space="preserve">. The </w:t>
      </w:r>
      <w:r w:rsidR="00AC05C6" w:rsidRPr="00F4226B">
        <w:rPr>
          <w:rFonts w:ascii="Times New Roman" w:hAnsi="Times New Roman"/>
          <w:sz w:val="24"/>
          <w:szCs w:val="24"/>
          <w:lang w:val="en-US"/>
        </w:rPr>
        <w:t xml:space="preserve">Vuong </w:t>
      </w:r>
      <w:r w:rsidR="00B75E79" w:rsidRPr="00F4226B">
        <w:rPr>
          <w:rFonts w:ascii="Times New Roman" w:hAnsi="Times New Roman"/>
          <w:sz w:val="24"/>
          <w:szCs w:val="24"/>
          <w:lang w:val="en-US"/>
        </w:rPr>
        <w:t>Z-statistic</w:t>
      </w:r>
      <w:r w:rsidR="00AC05C6" w:rsidRPr="00F4226B">
        <w:rPr>
          <w:rFonts w:ascii="Times New Roman" w:hAnsi="Times New Roman"/>
          <w:sz w:val="24"/>
          <w:szCs w:val="24"/>
          <w:lang w:val="en-US"/>
        </w:rPr>
        <w:t xml:space="preserve"> </w:t>
      </w:r>
      <w:r w:rsidR="00DA5358" w:rsidRPr="00F4226B">
        <w:rPr>
          <w:rFonts w:ascii="Times New Roman" w:hAnsi="Times New Roman"/>
          <w:sz w:val="24"/>
          <w:szCs w:val="24"/>
          <w:lang w:val="en-US"/>
        </w:rPr>
        <w:t xml:space="preserve">of 1.707 </w:t>
      </w:r>
      <w:r w:rsidR="00E76B61" w:rsidRPr="00F4226B">
        <w:rPr>
          <w:rFonts w:ascii="Times New Roman" w:hAnsi="Times New Roman"/>
          <w:sz w:val="24"/>
          <w:szCs w:val="24"/>
          <w:lang w:val="en-US"/>
        </w:rPr>
        <w:t>between the incremental content</w:t>
      </w:r>
      <w:r w:rsidR="003955F5" w:rsidRPr="00F4226B">
        <w:rPr>
          <w:rFonts w:ascii="Times New Roman" w:hAnsi="Times New Roman"/>
          <w:sz w:val="24"/>
          <w:szCs w:val="24"/>
          <w:lang w:val="en-US"/>
        </w:rPr>
        <w:t xml:space="preserve"> model and </w:t>
      </w:r>
      <w:r w:rsidR="00C0390A">
        <w:rPr>
          <w:rFonts w:ascii="Times New Roman" w:hAnsi="Times New Roman"/>
          <w:sz w:val="24"/>
          <w:szCs w:val="24"/>
          <w:lang w:val="en-US"/>
        </w:rPr>
        <w:t xml:space="preserve">the </w:t>
      </w:r>
      <w:r w:rsidR="003955F5" w:rsidRPr="00F4226B">
        <w:rPr>
          <w:rFonts w:ascii="Times New Roman" w:hAnsi="Times New Roman"/>
          <w:sz w:val="24"/>
          <w:szCs w:val="24"/>
          <w:lang w:val="en-US"/>
        </w:rPr>
        <w:t>IA model is significant</w:t>
      </w:r>
      <w:r w:rsidR="00E76B61" w:rsidRPr="00F4226B">
        <w:rPr>
          <w:rFonts w:ascii="Times New Roman" w:hAnsi="Times New Roman"/>
          <w:sz w:val="24"/>
          <w:szCs w:val="24"/>
          <w:lang w:val="en-US"/>
        </w:rPr>
        <w:t xml:space="preserve"> </w:t>
      </w:r>
      <w:r w:rsidR="00C0390A" w:rsidRPr="00F4226B">
        <w:rPr>
          <w:rFonts w:ascii="Times New Roman" w:hAnsi="Times New Roman"/>
          <w:sz w:val="24"/>
          <w:szCs w:val="24"/>
          <w:lang w:val="en-US"/>
        </w:rPr>
        <w:t xml:space="preserve">only </w:t>
      </w:r>
      <w:r w:rsidR="003955F5" w:rsidRPr="00F4226B">
        <w:rPr>
          <w:rFonts w:ascii="Times New Roman" w:hAnsi="Times New Roman"/>
          <w:sz w:val="24"/>
          <w:szCs w:val="24"/>
          <w:lang w:val="en-US"/>
        </w:rPr>
        <w:t xml:space="preserve">at the 10% level, </w:t>
      </w:r>
      <w:r w:rsidR="007E08AE" w:rsidRPr="00F4226B">
        <w:rPr>
          <w:rFonts w:ascii="Times New Roman" w:hAnsi="Times New Roman"/>
          <w:sz w:val="24"/>
          <w:szCs w:val="24"/>
          <w:lang w:val="en-US"/>
        </w:rPr>
        <w:t xml:space="preserve">while it </w:t>
      </w:r>
      <w:r w:rsidR="00E76B61" w:rsidRPr="00F4226B">
        <w:rPr>
          <w:rFonts w:ascii="Times New Roman" w:hAnsi="Times New Roman"/>
          <w:sz w:val="24"/>
          <w:szCs w:val="24"/>
          <w:lang w:val="en-US"/>
        </w:rPr>
        <w:t xml:space="preserve">is </w:t>
      </w:r>
      <w:r w:rsidR="00803EBA" w:rsidRPr="00F4226B">
        <w:rPr>
          <w:rFonts w:ascii="Times New Roman" w:hAnsi="Times New Roman"/>
          <w:sz w:val="24"/>
          <w:szCs w:val="24"/>
          <w:lang w:val="en-US"/>
        </w:rPr>
        <w:t xml:space="preserve">not </w:t>
      </w:r>
      <w:r w:rsidR="00E76B61" w:rsidRPr="00F4226B">
        <w:rPr>
          <w:rFonts w:ascii="Times New Roman" w:hAnsi="Times New Roman"/>
          <w:sz w:val="24"/>
          <w:szCs w:val="24"/>
          <w:lang w:val="en-US"/>
        </w:rPr>
        <w:t>significant</w:t>
      </w:r>
      <w:r w:rsidR="007E08AE" w:rsidRPr="00F4226B">
        <w:rPr>
          <w:rFonts w:ascii="Times New Roman" w:hAnsi="Times New Roman"/>
          <w:sz w:val="24"/>
          <w:szCs w:val="24"/>
          <w:lang w:val="en-US"/>
        </w:rPr>
        <w:t xml:space="preserve"> for the HC model</w:t>
      </w:r>
      <w:r w:rsidR="00AC05C6" w:rsidRPr="00F4226B">
        <w:rPr>
          <w:rFonts w:ascii="Times New Roman" w:hAnsi="Times New Roman"/>
          <w:sz w:val="24"/>
          <w:szCs w:val="24"/>
          <w:lang w:val="en-US"/>
        </w:rPr>
        <w:t xml:space="preserve">. </w:t>
      </w:r>
      <w:r w:rsidR="00C23563" w:rsidRPr="00F4226B">
        <w:rPr>
          <w:rFonts w:ascii="Times New Roman" w:hAnsi="Times New Roman"/>
          <w:sz w:val="24"/>
          <w:szCs w:val="24"/>
          <w:lang w:val="en-US"/>
        </w:rPr>
        <w:t>T</w:t>
      </w:r>
      <w:r w:rsidR="00BF3706" w:rsidRPr="00F4226B">
        <w:rPr>
          <w:rFonts w:ascii="Times New Roman" w:hAnsi="Times New Roman"/>
          <w:sz w:val="24"/>
          <w:szCs w:val="24"/>
          <w:lang w:val="en-US"/>
        </w:rPr>
        <w:t>hese findings suggest that investors fail to discriminate between the two sets of amounts</w:t>
      </w:r>
      <w:r w:rsidR="00C23563" w:rsidRPr="00F4226B">
        <w:rPr>
          <w:rFonts w:ascii="Times New Roman" w:hAnsi="Times New Roman"/>
          <w:sz w:val="24"/>
          <w:szCs w:val="24"/>
          <w:lang w:val="en-US"/>
        </w:rPr>
        <w:t xml:space="preserve"> in periods of relatively high inflation</w:t>
      </w:r>
      <w:r w:rsidR="00BF3706" w:rsidRPr="00F4226B">
        <w:rPr>
          <w:rFonts w:ascii="Times New Roman" w:hAnsi="Times New Roman"/>
          <w:sz w:val="24"/>
          <w:szCs w:val="24"/>
          <w:lang w:val="en-US"/>
        </w:rPr>
        <w:t xml:space="preserve">. </w:t>
      </w:r>
      <w:r w:rsidR="002A7E68" w:rsidRPr="00F4226B">
        <w:rPr>
          <w:rFonts w:ascii="Times New Roman" w:hAnsi="Times New Roman"/>
          <w:sz w:val="24"/>
          <w:szCs w:val="24"/>
          <w:lang w:val="en-US"/>
        </w:rPr>
        <w:t>One explanation for these findings is that over time, the learning effect might have been partially reali</w:t>
      </w:r>
      <w:r w:rsidR="003F73A4">
        <w:rPr>
          <w:rFonts w:ascii="Times New Roman" w:hAnsi="Times New Roman"/>
          <w:sz w:val="24"/>
          <w:szCs w:val="24"/>
          <w:lang w:val="en-US"/>
        </w:rPr>
        <w:t>z</w:t>
      </w:r>
      <w:r w:rsidR="002A7E68" w:rsidRPr="00F4226B">
        <w:rPr>
          <w:rFonts w:ascii="Times New Roman" w:hAnsi="Times New Roman"/>
          <w:sz w:val="24"/>
          <w:szCs w:val="24"/>
          <w:lang w:val="en-US"/>
        </w:rPr>
        <w:t>ed (Konchitchki 2011)—that is, in the early period (2000</w:t>
      </w:r>
      <w:r w:rsidR="003F73A4">
        <w:rPr>
          <w:rFonts w:ascii="Times New Roman" w:hAnsi="Times New Roman"/>
          <w:sz w:val="24"/>
          <w:szCs w:val="24"/>
          <w:lang w:val="en-US"/>
        </w:rPr>
        <w:t>–</w:t>
      </w:r>
      <w:r w:rsidR="002A7E68" w:rsidRPr="00F4226B">
        <w:rPr>
          <w:rFonts w:ascii="Times New Roman" w:hAnsi="Times New Roman"/>
          <w:sz w:val="24"/>
          <w:szCs w:val="24"/>
          <w:lang w:val="en-US"/>
        </w:rPr>
        <w:t>2002), investors had not learn</w:t>
      </w:r>
      <w:r w:rsidR="00D90226">
        <w:rPr>
          <w:rFonts w:ascii="Times New Roman" w:hAnsi="Times New Roman"/>
          <w:sz w:val="24"/>
          <w:szCs w:val="24"/>
          <w:lang w:val="en-US"/>
        </w:rPr>
        <w:t>ed</w:t>
      </w:r>
      <w:r w:rsidR="002A7E68" w:rsidRPr="00F4226B">
        <w:rPr>
          <w:rFonts w:ascii="Times New Roman" w:hAnsi="Times New Roman"/>
          <w:sz w:val="24"/>
          <w:szCs w:val="24"/>
          <w:lang w:val="en-US"/>
        </w:rPr>
        <w:t xml:space="preserve"> how to </w:t>
      </w:r>
      <w:r w:rsidR="00F4226B">
        <w:rPr>
          <w:rFonts w:ascii="Times New Roman" w:hAnsi="Times New Roman"/>
          <w:sz w:val="24"/>
          <w:szCs w:val="24"/>
          <w:lang w:val="en-US"/>
        </w:rPr>
        <w:t xml:space="preserve">analyze </w:t>
      </w:r>
      <w:r w:rsidR="002A7E68" w:rsidRPr="00F4226B">
        <w:rPr>
          <w:rFonts w:ascii="Times New Roman" w:hAnsi="Times New Roman"/>
          <w:sz w:val="24"/>
          <w:szCs w:val="24"/>
          <w:lang w:val="en-US"/>
        </w:rPr>
        <w:t xml:space="preserve">and process IA amounts, but over time, </w:t>
      </w:r>
      <w:r w:rsidR="00D90226">
        <w:rPr>
          <w:rFonts w:ascii="Times New Roman" w:hAnsi="Times New Roman"/>
          <w:sz w:val="24"/>
          <w:szCs w:val="24"/>
          <w:lang w:val="en-US"/>
        </w:rPr>
        <w:t xml:space="preserve">they </w:t>
      </w:r>
      <w:r w:rsidR="002A7E68" w:rsidRPr="00F4226B">
        <w:rPr>
          <w:rFonts w:ascii="Times New Roman" w:hAnsi="Times New Roman"/>
          <w:sz w:val="24"/>
          <w:szCs w:val="24"/>
          <w:lang w:val="en-US"/>
        </w:rPr>
        <w:t>m</w:t>
      </w:r>
      <w:r w:rsidR="00C23563" w:rsidRPr="00F4226B">
        <w:rPr>
          <w:rFonts w:ascii="Times New Roman" w:hAnsi="Times New Roman"/>
          <w:sz w:val="24"/>
          <w:szCs w:val="24"/>
          <w:lang w:val="en-US"/>
        </w:rPr>
        <w:t>ay</w:t>
      </w:r>
      <w:r w:rsidR="002A7E68" w:rsidRPr="00F4226B">
        <w:rPr>
          <w:rFonts w:ascii="Times New Roman" w:hAnsi="Times New Roman"/>
          <w:sz w:val="24"/>
          <w:szCs w:val="24"/>
          <w:lang w:val="en-US"/>
        </w:rPr>
        <w:t xml:space="preserve"> have </w:t>
      </w:r>
      <w:r w:rsidR="00D90226" w:rsidRPr="00F4226B">
        <w:rPr>
          <w:rFonts w:ascii="Times New Roman" w:hAnsi="Times New Roman"/>
          <w:sz w:val="24"/>
          <w:szCs w:val="24"/>
          <w:lang w:val="en-US"/>
        </w:rPr>
        <w:t>learn</w:t>
      </w:r>
      <w:r w:rsidR="00D90226">
        <w:rPr>
          <w:rFonts w:ascii="Times New Roman" w:hAnsi="Times New Roman"/>
          <w:sz w:val="24"/>
          <w:szCs w:val="24"/>
          <w:lang w:val="en-US"/>
        </w:rPr>
        <w:t>ed</w:t>
      </w:r>
      <w:r w:rsidR="00D90226" w:rsidRPr="00F4226B">
        <w:rPr>
          <w:rFonts w:ascii="Times New Roman" w:hAnsi="Times New Roman"/>
          <w:sz w:val="24"/>
          <w:szCs w:val="24"/>
          <w:lang w:val="en-US"/>
        </w:rPr>
        <w:t xml:space="preserve"> </w:t>
      </w:r>
      <w:r w:rsidR="002A7E68" w:rsidRPr="00F4226B">
        <w:rPr>
          <w:rFonts w:ascii="Times New Roman" w:hAnsi="Times New Roman"/>
          <w:sz w:val="24"/>
          <w:szCs w:val="24"/>
          <w:lang w:val="en-US"/>
        </w:rPr>
        <w:t xml:space="preserve">the stock valuation </w:t>
      </w:r>
      <w:r w:rsidR="00C23563" w:rsidRPr="00F4226B">
        <w:rPr>
          <w:rFonts w:ascii="Times New Roman" w:hAnsi="Times New Roman"/>
          <w:sz w:val="24"/>
          <w:szCs w:val="24"/>
          <w:lang w:val="en-US"/>
        </w:rPr>
        <w:t>implication</w:t>
      </w:r>
      <w:r w:rsidR="002A7E68" w:rsidRPr="00F4226B">
        <w:rPr>
          <w:rFonts w:ascii="Times New Roman" w:hAnsi="Times New Roman"/>
          <w:sz w:val="24"/>
          <w:szCs w:val="24"/>
          <w:lang w:val="en-US"/>
        </w:rPr>
        <w:t xml:space="preserve">s of IA amounts. </w:t>
      </w:r>
      <w:r w:rsidR="00C23563" w:rsidRPr="00F4226B">
        <w:rPr>
          <w:rFonts w:ascii="Times New Roman" w:hAnsi="Times New Roman"/>
          <w:sz w:val="24"/>
          <w:szCs w:val="24"/>
          <w:lang w:val="en-US"/>
        </w:rPr>
        <w:t xml:space="preserve">However, </w:t>
      </w:r>
      <w:r w:rsidR="002A7E68" w:rsidRPr="00F4226B">
        <w:rPr>
          <w:rFonts w:ascii="Times New Roman" w:hAnsi="Times New Roman"/>
          <w:sz w:val="24"/>
          <w:szCs w:val="24"/>
          <w:lang w:val="en-US"/>
        </w:rPr>
        <w:t xml:space="preserve">the fact that the </w:t>
      </w:r>
      <w:r w:rsidR="003955F5" w:rsidRPr="00F4226B">
        <w:rPr>
          <w:rFonts w:ascii="Times New Roman" w:hAnsi="Times New Roman"/>
          <w:sz w:val="24"/>
          <w:szCs w:val="24"/>
          <w:lang w:val="en-US"/>
        </w:rPr>
        <w:t xml:space="preserve">explanatory </w:t>
      </w:r>
      <w:r w:rsidR="002A7E68" w:rsidRPr="00F4226B">
        <w:rPr>
          <w:rFonts w:ascii="Times New Roman" w:hAnsi="Times New Roman"/>
          <w:sz w:val="24"/>
          <w:szCs w:val="24"/>
          <w:lang w:val="en-US"/>
        </w:rPr>
        <w:t>power</w:t>
      </w:r>
      <w:r w:rsidR="00237042" w:rsidRPr="00F4226B">
        <w:rPr>
          <w:rFonts w:ascii="Times New Roman" w:hAnsi="Times New Roman"/>
          <w:sz w:val="24"/>
          <w:szCs w:val="24"/>
          <w:lang w:val="en-US"/>
        </w:rPr>
        <w:t>s</w:t>
      </w:r>
      <w:r w:rsidR="002A7E68" w:rsidRPr="00F4226B">
        <w:rPr>
          <w:rFonts w:ascii="Times New Roman" w:hAnsi="Times New Roman"/>
          <w:sz w:val="24"/>
          <w:szCs w:val="24"/>
          <w:lang w:val="en-US"/>
        </w:rPr>
        <w:t xml:space="preserve"> of </w:t>
      </w:r>
      <w:r w:rsidR="00237042" w:rsidRPr="00F4226B">
        <w:rPr>
          <w:rFonts w:ascii="Times New Roman" w:hAnsi="Times New Roman"/>
          <w:sz w:val="24"/>
          <w:szCs w:val="24"/>
          <w:lang w:val="en-US"/>
        </w:rPr>
        <w:t xml:space="preserve">HC and </w:t>
      </w:r>
      <w:r w:rsidR="002A7E68" w:rsidRPr="00F4226B">
        <w:rPr>
          <w:rFonts w:ascii="Times New Roman" w:hAnsi="Times New Roman"/>
          <w:sz w:val="24"/>
          <w:szCs w:val="24"/>
          <w:lang w:val="en-US"/>
        </w:rPr>
        <w:t>IA model</w:t>
      </w:r>
      <w:r w:rsidR="00334724" w:rsidRPr="00F4226B">
        <w:rPr>
          <w:rFonts w:ascii="Times New Roman" w:hAnsi="Times New Roman"/>
          <w:sz w:val="24"/>
          <w:szCs w:val="24"/>
          <w:lang w:val="en-US"/>
        </w:rPr>
        <w:t>s</w:t>
      </w:r>
      <w:r w:rsidR="002A7E68" w:rsidRPr="00F4226B">
        <w:rPr>
          <w:rFonts w:ascii="Times New Roman" w:hAnsi="Times New Roman"/>
          <w:sz w:val="24"/>
          <w:szCs w:val="24"/>
          <w:lang w:val="en-US"/>
        </w:rPr>
        <w:t xml:space="preserve"> </w:t>
      </w:r>
      <w:r w:rsidR="00237042" w:rsidRPr="00F4226B">
        <w:rPr>
          <w:rFonts w:ascii="Times New Roman" w:hAnsi="Times New Roman"/>
          <w:sz w:val="24"/>
          <w:szCs w:val="24"/>
          <w:lang w:val="en-US"/>
        </w:rPr>
        <w:t xml:space="preserve">are </w:t>
      </w:r>
      <w:r w:rsidR="002A7E68" w:rsidRPr="00F4226B">
        <w:rPr>
          <w:rFonts w:ascii="Times New Roman" w:hAnsi="Times New Roman"/>
          <w:sz w:val="24"/>
          <w:szCs w:val="24"/>
          <w:lang w:val="en-US"/>
        </w:rPr>
        <w:t xml:space="preserve">indistinguishable </w:t>
      </w:r>
      <w:r w:rsidR="00D90226" w:rsidRPr="00F4226B">
        <w:rPr>
          <w:rFonts w:ascii="Times New Roman" w:hAnsi="Times New Roman"/>
          <w:sz w:val="24"/>
          <w:szCs w:val="24"/>
          <w:lang w:val="en-US"/>
        </w:rPr>
        <w:t>impl</w:t>
      </w:r>
      <w:r w:rsidR="00D90226">
        <w:rPr>
          <w:rFonts w:ascii="Times New Roman" w:hAnsi="Times New Roman"/>
          <w:sz w:val="24"/>
          <w:szCs w:val="24"/>
          <w:lang w:val="en-US"/>
        </w:rPr>
        <w:t>ies</w:t>
      </w:r>
      <w:r w:rsidR="00D90226" w:rsidRPr="00F4226B">
        <w:rPr>
          <w:rFonts w:ascii="Times New Roman" w:hAnsi="Times New Roman"/>
          <w:sz w:val="24"/>
          <w:szCs w:val="24"/>
          <w:lang w:val="en-US"/>
        </w:rPr>
        <w:t xml:space="preserve"> </w:t>
      </w:r>
      <w:r w:rsidR="002A7E68" w:rsidRPr="00F4226B">
        <w:rPr>
          <w:rFonts w:ascii="Times New Roman" w:hAnsi="Times New Roman"/>
          <w:sz w:val="24"/>
          <w:szCs w:val="24"/>
          <w:lang w:val="en-US"/>
        </w:rPr>
        <w:t xml:space="preserve">that investors </w:t>
      </w:r>
      <w:r w:rsidR="00237042" w:rsidRPr="00F4226B">
        <w:rPr>
          <w:rFonts w:ascii="Times New Roman" w:hAnsi="Times New Roman"/>
          <w:sz w:val="24"/>
          <w:szCs w:val="24"/>
          <w:lang w:val="en-US"/>
        </w:rPr>
        <w:t xml:space="preserve">may be </w:t>
      </w:r>
      <w:r w:rsidR="002A7E68" w:rsidRPr="00F4226B">
        <w:rPr>
          <w:rFonts w:ascii="Times New Roman" w:hAnsi="Times New Roman"/>
          <w:sz w:val="24"/>
          <w:szCs w:val="24"/>
          <w:lang w:val="en-US"/>
        </w:rPr>
        <w:t>uncertain on how to fully</w:t>
      </w:r>
      <w:r w:rsidR="00BF6975">
        <w:rPr>
          <w:rFonts w:ascii="Times New Roman" w:hAnsi="Times New Roman"/>
          <w:sz w:val="24"/>
          <w:szCs w:val="24"/>
          <w:lang w:val="en-US"/>
        </w:rPr>
        <w:t xml:space="preserve"> </w:t>
      </w:r>
      <w:r w:rsidR="00BF6975" w:rsidRPr="00B74FE0">
        <w:rPr>
          <w:rFonts w:ascii="Times New Roman" w:hAnsi="Times New Roman"/>
          <w:sz w:val="24"/>
          <w:szCs w:val="24"/>
          <w:lang w:val="en-US"/>
        </w:rPr>
        <w:t>incorporate</w:t>
      </w:r>
      <w:r w:rsidR="00093504" w:rsidRPr="00F4226B">
        <w:rPr>
          <w:rFonts w:ascii="Times New Roman" w:hAnsi="Times New Roman"/>
          <w:sz w:val="24"/>
          <w:szCs w:val="24"/>
          <w:lang w:val="en-US"/>
        </w:rPr>
        <w:t xml:space="preserve"> </w:t>
      </w:r>
      <w:r w:rsidR="00237042" w:rsidRPr="00F4226B">
        <w:rPr>
          <w:rFonts w:ascii="Times New Roman" w:hAnsi="Times New Roman"/>
          <w:sz w:val="24"/>
          <w:szCs w:val="24"/>
          <w:lang w:val="en-US"/>
        </w:rPr>
        <w:t xml:space="preserve">IA </w:t>
      </w:r>
      <w:r w:rsidR="00334724" w:rsidRPr="00F4226B">
        <w:rPr>
          <w:rFonts w:ascii="Times New Roman" w:hAnsi="Times New Roman"/>
          <w:sz w:val="24"/>
          <w:szCs w:val="24"/>
          <w:lang w:val="en-US"/>
        </w:rPr>
        <w:t>data</w:t>
      </w:r>
      <w:r w:rsidR="002A7E68" w:rsidRPr="00F4226B">
        <w:rPr>
          <w:rFonts w:ascii="Times New Roman" w:hAnsi="Times New Roman"/>
          <w:sz w:val="24"/>
          <w:szCs w:val="24"/>
          <w:lang w:val="en-US"/>
        </w:rPr>
        <w:t xml:space="preserve"> into </w:t>
      </w:r>
      <w:r w:rsidR="00237042" w:rsidRPr="00F4226B">
        <w:rPr>
          <w:rFonts w:ascii="Times New Roman" w:hAnsi="Times New Roman"/>
          <w:sz w:val="24"/>
          <w:szCs w:val="24"/>
          <w:lang w:val="en-US"/>
        </w:rPr>
        <w:t>stock valuation</w:t>
      </w:r>
      <w:r w:rsidR="002A7E68" w:rsidRPr="00F4226B">
        <w:rPr>
          <w:rFonts w:ascii="Times New Roman" w:hAnsi="Times New Roman"/>
          <w:sz w:val="24"/>
          <w:szCs w:val="24"/>
          <w:lang w:val="en-US"/>
        </w:rPr>
        <w:t xml:space="preserve"> (e.g., Basu et al. 2010; </w:t>
      </w:r>
      <w:r w:rsidR="00C52C97" w:rsidRPr="00F4226B">
        <w:rPr>
          <w:rFonts w:ascii="Times New Roman" w:hAnsi="Times New Roman"/>
          <w:sz w:val="24"/>
          <w:szCs w:val="24"/>
          <w:lang w:val="en-US"/>
        </w:rPr>
        <w:t>Konchitchki</w:t>
      </w:r>
      <w:r w:rsidR="002A7E68" w:rsidRPr="00F4226B">
        <w:rPr>
          <w:rFonts w:ascii="Times New Roman" w:hAnsi="Times New Roman"/>
          <w:sz w:val="24"/>
          <w:szCs w:val="24"/>
          <w:lang w:val="en-US"/>
        </w:rPr>
        <w:t xml:space="preserve"> 2011)</w:t>
      </w:r>
      <w:r w:rsidR="00D90226">
        <w:rPr>
          <w:rFonts w:ascii="Times New Roman" w:hAnsi="Times New Roman"/>
          <w:sz w:val="24"/>
          <w:szCs w:val="24"/>
          <w:lang w:val="en-US"/>
        </w:rPr>
        <w:t>;</w:t>
      </w:r>
      <w:r w:rsidR="00C23563" w:rsidRPr="00F4226B">
        <w:rPr>
          <w:rFonts w:ascii="Times New Roman" w:hAnsi="Times New Roman"/>
          <w:sz w:val="24"/>
          <w:szCs w:val="24"/>
          <w:lang w:val="en-US"/>
        </w:rPr>
        <w:t xml:space="preserve"> otherwise</w:t>
      </w:r>
      <w:r w:rsidR="00D90226">
        <w:rPr>
          <w:rFonts w:ascii="Times New Roman" w:hAnsi="Times New Roman"/>
          <w:sz w:val="24"/>
          <w:szCs w:val="24"/>
          <w:lang w:val="en-US"/>
        </w:rPr>
        <w:t>,</w:t>
      </w:r>
      <w:r w:rsidR="00C23563" w:rsidRPr="00F4226B">
        <w:rPr>
          <w:rFonts w:ascii="Times New Roman" w:hAnsi="Times New Roman"/>
          <w:sz w:val="24"/>
          <w:szCs w:val="24"/>
          <w:lang w:val="en-US"/>
        </w:rPr>
        <w:t xml:space="preserve"> IA amounts would be more value relevant than HC amounts</w:t>
      </w:r>
      <w:r w:rsidR="002A7E68" w:rsidRPr="00F4226B">
        <w:rPr>
          <w:rFonts w:ascii="Times New Roman" w:hAnsi="Times New Roman"/>
          <w:sz w:val="24"/>
          <w:szCs w:val="24"/>
          <w:lang w:val="en-US"/>
        </w:rPr>
        <w:t xml:space="preserve">. </w:t>
      </w:r>
    </w:p>
    <w:p w14:paraId="29EB367C" w14:textId="0D6E08B3" w:rsidR="00CC19DE" w:rsidRPr="00F4226B" w:rsidRDefault="00AC05C6"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lastRenderedPageBreak/>
        <w:t>A</w:t>
      </w:r>
      <w:r w:rsidR="00D90226">
        <w:rPr>
          <w:rFonts w:ascii="Times New Roman" w:hAnsi="Times New Roman"/>
          <w:sz w:val="24"/>
          <w:szCs w:val="24"/>
          <w:lang w:val="en-US"/>
        </w:rPr>
        <w:t>nother</w:t>
      </w:r>
      <w:r w:rsidR="00237042" w:rsidRPr="00F4226B">
        <w:rPr>
          <w:rFonts w:ascii="Times New Roman" w:hAnsi="Times New Roman"/>
          <w:sz w:val="24"/>
          <w:szCs w:val="24"/>
          <w:lang w:val="en-US"/>
        </w:rPr>
        <w:t xml:space="preserve"> aspect of </w:t>
      </w:r>
      <w:r w:rsidR="004A1CFA" w:rsidRPr="00F4226B">
        <w:rPr>
          <w:rFonts w:ascii="Times New Roman" w:hAnsi="Times New Roman"/>
          <w:sz w:val="24"/>
          <w:szCs w:val="24"/>
          <w:lang w:val="en-US"/>
        </w:rPr>
        <w:t xml:space="preserve">our </w:t>
      </w:r>
      <w:r w:rsidR="00237042" w:rsidRPr="00F4226B">
        <w:rPr>
          <w:rFonts w:ascii="Times New Roman" w:hAnsi="Times New Roman"/>
          <w:sz w:val="24"/>
          <w:szCs w:val="24"/>
          <w:lang w:val="en-US"/>
        </w:rPr>
        <w:t xml:space="preserve">findings </w:t>
      </w:r>
      <w:r w:rsidR="00B75E79" w:rsidRPr="00F4226B">
        <w:rPr>
          <w:rFonts w:ascii="Times New Roman" w:hAnsi="Times New Roman"/>
          <w:sz w:val="24"/>
          <w:szCs w:val="24"/>
          <w:lang w:val="en-US"/>
        </w:rPr>
        <w:t xml:space="preserve">is that </w:t>
      </w:r>
      <w:r w:rsidRPr="00F4226B">
        <w:rPr>
          <w:rFonts w:ascii="Times New Roman" w:hAnsi="Times New Roman"/>
          <w:sz w:val="24"/>
          <w:szCs w:val="24"/>
          <w:lang w:val="en-US"/>
        </w:rPr>
        <w:t xml:space="preserve">in the high inflation period, </w:t>
      </w:r>
      <w:r w:rsidR="0064208C" w:rsidRPr="00F4226B">
        <w:rPr>
          <w:rFonts w:ascii="Times New Roman" w:hAnsi="Times New Roman"/>
          <w:sz w:val="24"/>
          <w:szCs w:val="24"/>
          <w:lang w:val="en-US"/>
        </w:rPr>
        <w:t>the valuation weights of both the HC and IA amounts appear to have increased</w:t>
      </w:r>
      <w:r w:rsidR="003F73A4">
        <w:rPr>
          <w:rFonts w:ascii="Times New Roman" w:hAnsi="Times New Roman"/>
          <w:sz w:val="24"/>
          <w:szCs w:val="24"/>
          <w:lang w:val="en-US"/>
        </w:rPr>
        <w:t>,</w:t>
      </w:r>
      <w:r w:rsidR="0064208C" w:rsidRPr="00F4226B">
        <w:rPr>
          <w:rFonts w:ascii="Times New Roman" w:hAnsi="Times New Roman"/>
          <w:sz w:val="24"/>
          <w:szCs w:val="24"/>
          <w:lang w:val="en-US"/>
        </w:rPr>
        <w:t xml:space="preserve"> relative to the low inflation period. In this case, </w:t>
      </w:r>
      <w:r w:rsidR="004A1CFA" w:rsidRPr="00F4226B">
        <w:rPr>
          <w:rFonts w:ascii="Times New Roman" w:hAnsi="Times New Roman"/>
          <w:sz w:val="24"/>
          <w:szCs w:val="24"/>
          <w:lang w:val="en-US"/>
        </w:rPr>
        <w:t xml:space="preserve">we note that </w:t>
      </w:r>
      <w:r w:rsidR="0064208C" w:rsidRPr="00F4226B">
        <w:rPr>
          <w:rFonts w:ascii="Times New Roman" w:hAnsi="Times New Roman"/>
          <w:sz w:val="24"/>
          <w:szCs w:val="24"/>
          <w:lang w:val="en-US"/>
        </w:rPr>
        <w:t>t</w:t>
      </w:r>
      <w:r w:rsidR="00074D91" w:rsidRPr="00F4226B">
        <w:rPr>
          <w:rFonts w:ascii="Times New Roman" w:hAnsi="Times New Roman"/>
          <w:sz w:val="24"/>
          <w:szCs w:val="24"/>
          <w:lang w:val="en-US"/>
        </w:rPr>
        <w:t>he adjusted</w:t>
      </w:r>
      <w:r w:rsidR="00F4226B">
        <w:rPr>
          <w:rFonts w:ascii="Times New Roman" w:hAnsi="Times New Roman"/>
          <w:sz w:val="24"/>
          <w:szCs w:val="24"/>
          <w:lang w:val="en-US"/>
        </w:rPr>
        <w:t xml:space="preserve"> </w:t>
      </w:r>
      <w:r w:rsidR="00074D91" w:rsidRPr="00F4226B">
        <w:rPr>
          <w:rFonts w:ascii="Times New Roman" w:hAnsi="Times New Roman"/>
          <w:sz w:val="24"/>
          <w:szCs w:val="24"/>
          <w:lang w:val="en-US"/>
        </w:rPr>
        <w:t xml:space="preserve">R²s </w:t>
      </w:r>
      <w:r w:rsidR="0013170B" w:rsidRPr="00F4226B">
        <w:rPr>
          <w:rFonts w:ascii="Times New Roman" w:hAnsi="Times New Roman"/>
          <w:sz w:val="24"/>
          <w:szCs w:val="24"/>
          <w:lang w:val="en-US"/>
        </w:rPr>
        <w:t xml:space="preserve">for both the HC and IA models have increased </w:t>
      </w:r>
      <w:r w:rsidR="00B75E79" w:rsidRPr="00F4226B">
        <w:rPr>
          <w:rFonts w:ascii="Times New Roman" w:hAnsi="Times New Roman"/>
          <w:sz w:val="24"/>
          <w:szCs w:val="24"/>
          <w:lang w:val="en-US"/>
        </w:rPr>
        <w:t>substantial</w:t>
      </w:r>
      <w:r w:rsidR="00C23563" w:rsidRPr="00F4226B">
        <w:rPr>
          <w:rFonts w:ascii="Times New Roman" w:hAnsi="Times New Roman"/>
          <w:sz w:val="24"/>
          <w:szCs w:val="24"/>
          <w:lang w:val="en-US"/>
        </w:rPr>
        <w:t>ly</w:t>
      </w:r>
      <w:r w:rsidR="00D90226">
        <w:rPr>
          <w:rFonts w:ascii="Times New Roman" w:hAnsi="Times New Roman"/>
          <w:sz w:val="24"/>
          <w:szCs w:val="24"/>
          <w:lang w:val="en-US"/>
        </w:rPr>
        <w:t>,</w:t>
      </w:r>
      <w:r w:rsidR="00B75E79" w:rsidRPr="00F4226B">
        <w:rPr>
          <w:rFonts w:ascii="Times New Roman" w:hAnsi="Times New Roman"/>
          <w:sz w:val="24"/>
          <w:szCs w:val="24"/>
          <w:lang w:val="en-US"/>
        </w:rPr>
        <w:t xml:space="preserve"> </w:t>
      </w:r>
      <w:r w:rsidR="0013170B" w:rsidRPr="00F4226B">
        <w:rPr>
          <w:rFonts w:ascii="Times New Roman" w:hAnsi="Times New Roman"/>
          <w:sz w:val="24"/>
          <w:szCs w:val="24"/>
          <w:lang w:val="en-US"/>
        </w:rPr>
        <w:t xml:space="preserve">by </w:t>
      </w:r>
      <w:r w:rsidR="00DB4480" w:rsidRPr="00F4226B">
        <w:rPr>
          <w:rFonts w:ascii="Times New Roman" w:hAnsi="Times New Roman"/>
          <w:sz w:val="24"/>
          <w:szCs w:val="24"/>
          <w:lang w:val="en-US"/>
        </w:rPr>
        <w:t>105.5</w:t>
      </w:r>
      <w:r w:rsidR="0013170B" w:rsidRPr="00F4226B">
        <w:rPr>
          <w:rFonts w:ascii="Times New Roman" w:hAnsi="Times New Roman"/>
          <w:sz w:val="24"/>
          <w:szCs w:val="24"/>
          <w:lang w:val="en-US"/>
        </w:rPr>
        <w:t xml:space="preserve">% and </w:t>
      </w:r>
      <w:r w:rsidR="00DB4480" w:rsidRPr="00F4226B">
        <w:rPr>
          <w:rFonts w:ascii="Times New Roman" w:hAnsi="Times New Roman"/>
          <w:sz w:val="24"/>
          <w:szCs w:val="24"/>
          <w:lang w:val="en-US"/>
        </w:rPr>
        <w:t>501.2</w:t>
      </w:r>
      <w:r w:rsidR="0013170B" w:rsidRPr="00F4226B">
        <w:rPr>
          <w:rFonts w:ascii="Times New Roman" w:hAnsi="Times New Roman"/>
          <w:sz w:val="24"/>
          <w:szCs w:val="24"/>
          <w:lang w:val="en-US"/>
        </w:rPr>
        <w:t>%, respectively.</w:t>
      </w:r>
      <w:r w:rsidR="00A76F30" w:rsidRPr="00F4226B">
        <w:rPr>
          <w:rStyle w:val="FootnoteReference"/>
          <w:rFonts w:ascii="Times New Roman" w:hAnsi="Times New Roman"/>
          <w:sz w:val="24"/>
          <w:szCs w:val="24"/>
          <w:lang w:val="en-US"/>
        </w:rPr>
        <w:footnoteReference w:id="11"/>
      </w:r>
      <w:r w:rsidR="0013170B" w:rsidRPr="00F4226B">
        <w:rPr>
          <w:rFonts w:ascii="Times New Roman" w:hAnsi="Times New Roman"/>
          <w:sz w:val="24"/>
          <w:szCs w:val="24"/>
          <w:lang w:val="en-US"/>
        </w:rPr>
        <w:t xml:space="preserve"> </w:t>
      </w:r>
      <w:r w:rsidR="002349CA" w:rsidRPr="00F4226B">
        <w:rPr>
          <w:rFonts w:ascii="Times New Roman" w:hAnsi="Times New Roman"/>
          <w:sz w:val="24"/>
          <w:szCs w:val="24"/>
          <w:lang w:val="en-US"/>
        </w:rPr>
        <w:t xml:space="preserve">The incremental content model power </w:t>
      </w:r>
      <w:r w:rsidR="004A1CFA" w:rsidRPr="00F4226B">
        <w:rPr>
          <w:rFonts w:ascii="Times New Roman" w:hAnsi="Times New Roman"/>
          <w:sz w:val="24"/>
          <w:szCs w:val="24"/>
          <w:lang w:val="en-US"/>
        </w:rPr>
        <w:t xml:space="preserve">also </w:t>
      </w:r>
      <w:r w:rsidR="002349CA" w:rsidRPr="00F4226B">
        <w:rPr>
          <w:rFonts w:ascii="Times New Roman" w:hAnsi="Times New Roman"/>
          <w:sz w:val="24"/>
          <w:szCs w:val="24"/>
          <w:lang w:val="en-US"/>
        </w:rPr>
        <w:t xml:space="preserve">improves by </w:t>
      </w:r>
      <w:r w:rsidR="00471792" w:rsidRPr="00F4226B">
        <w:rPr>
          <w:rFonts w:ascii="Times New Roman" w:hAnsi="Times New Roman"/>
          <w:sz w:val="24"/>
          <w:szCs w:val="24"/>
          <w:lang w:val="en-US"/>
        </w:rPr>
        <w:t>11</w:t>
      </w:r>
      <w:r w:rsidR="007D0834" w:rsidRPr="00F4226B">
        <w:rPr>
          <w:rFonts w:ascii="Times New Roman" w:hAnsi="Times New Roman"/>
          <w:sz w:val="24"/>
          <w:szCs w:val="24"/>
          <w:lang w:val="en-US"/>
        </w:rPr>
        <w:t>8.</w:t>
      </w:r>
      <w:r w:rsidR="00471792" w:rsidRPr="00F4226B">
        <w:rPr>
          <w:rFonts w:ascii="Times New Roman" w:hAnsi="Times New Roman"/>
          <w:sz w:val="24"/>
          <w:szCs w:val="24"/>
          <w:lang w:val="en-US"/>
        </w:rPr>
        <w:t>1</w:t>
      </w:r>
      <w:r w:rsidR="002349CA" w:rsidRPr="00F4226B">
        <w:rPr>
          <w:rFonts w:ascii="Times New Roman" w:hAnsi="Times New Roman"/>
          <w:sz w:val="24"/>
          <w:szCs w:val="24"/>
          <w:lang w:val="en-US"/>
        </w:rPr>
        <w:t>%</w:t>
      </w:r>
      <w:r w:rsidR="00D90226">
        <w:rPr>
          <w:rFonts w:ascii="Times New Roman" w:hAnsi="Times New Roman"/>
          <w:sz w:val="24"/>
          <w:szCs w:val="24"/>
          <w:lang w:val="en-US"/>
        </w:rPr>
        <w:t>,</w:t>
      </w:r>
      <w:r w:rsidR="002349CA" w:rsidRPr="00F4226B">
        <w:rPr>
          <w:rFonts w:ascii="Times New Roman" w:hAnsi="Times New Roman"/>
          <w:sz w:val="24"/>
          <w:szCs w:val="24"/>
          <w:lang w:val="en-US"/>
        </w:rPr>
        <w:t xml:space="preserve"> from 0.</w:t>
      </w:r>
      <w:r w:rsidR="007D0834" w:rsidRPr="00F4226B">
        <w:rPr>
          <w:rFonts w:ascii="Times New Roman" w:hAnsi="Times New Roman"/>
          <w:sz w:val="24"/>
          <w:szCs w:val="24"/>
          <w:lang w:val="en-US"/>
        </w:rPr>
        <w:t>299</w:t>
      </w:r>
      <w:r w:rsidR="002349CA" w:rsidRPr="00F4226B">
        <w:rPr>
          <w:rFonts w:ascii="Times New Roman" w:hAnsi="Times New Roman"/>
          <w:sz w:val="24"/>
          <w:szCs w:val="24"/>
          <w:lang w:val="en-US"/>
        </w:rPr>
        <w:t xml:space="preserve"> in the relatively low inflation period to 0.652 in the relatively high inflation period. These observations are also evident in the yearly pooled regressions reported in Table 8, Panel A</w:t>
      </w:r>
      <w:r w:rsidR="003129E2" w:rsidRPr="00F4226B">
        <w:rPr>
          <w:rFonts w:ascii="Times New Roman" w:hAnsi="Times New Roman"/>
          <w:sz w:val="24"/>
          <w:szCs w:val="24"/>
          <w:lang w:val="en-US"/>
        </w:rPr>
        <w:t xml:space="preserve"> (see </w:t>
      </w:r>
      <w:r w:rsidR="00AC349E" w:rsidRPr="00F4226B">
        <w:rPr>
          <w:rFonts w:ascii="Times New Roman" w:hAnsi="Times New Roman"/>
          <w:sz w:val="24"/>
          <w:szCs w:val="24"/>
          <w:lang w:val="en-US"/>
        </w:rPr>
        <w:t>Section 5.5</w:t>
      </w:r>
      <w:r w:rsidR="003129E2" w:rsidRPr="00F4226B">
        <w:rPr>
          <w:rFonts w:ascii="Times New Roman" w:hAnsi="Times New Roman"/>
          <w:sz w:val="24"/>
          <w:szCs w:val="24"/>
          <w:lang w:val="en-US"/>
        </w:rPr>
        <w:t>)</w:t>
      </w:r>
      <w:r w:rsidR="002349CA" w:rsidRPr="00F4226B">
        <w:rPr>
          <w:rFonts w:ascii="Times New Roman" w:hAnsi="Times New Roman"/>
          <w:sz w:val="24"/>
          <w:szCs w:val="24"/>
          <w:lang w:val="en-US"/>
        </w:rPr>
        <w:t xml:space="preserve">. </w:t>
      </w:r>
      <w:r w:rsidR="004A1CFA" w:rsidRPr="00F4226B">
        <w:rPr>
          <w:rFonts w:ascii="Times New Roman" w:hAnsi="Times New Roman"/>
          <w:sz w:val="24"/>
          <w:szCs w:val="24"/>
          <w:lang w:val="en-US"/>
        </w:rPr>
        <w:t xml:space="preserve">Further, we note that the coefficient of earnings </w:t>
      </w:r>
      <w:r w:rsidR="001D6353" w:rsidRPr="00F4226B">
        <w:rPr>
          <w:rFonts w:ascii="Times New Roman" w:hAnsi="Times New Roman"/>
          <w:sz w:val="24"/>
          <w:szCs w:val="24"/>
          <w:lang w:val="en-US"/>
        </w:rPr>
        <w:t xml:space="preserve">of +9.018 (t-statistic of 8.47) </w:t>
      </w:r>
      <w:r w:rsidR="004A1CFA" w:rsidRPr="00F4226B">
        <w:rPr>
          <w:rFonts w:ascii="Times New Roman" w:hAnsi="Times New Roman"/>
          <w:sz w:val="24"/>
          <w:szCs w:val="24"/>
          <w:lang w:val="en-US"/>
        </w:rPr>
        <w:t xml:space="preserve">in the IA </w:t>
      </w:r>
      <w:r w:rsidR="001D6353" w:rsidRPr="00F4226B">
        <w:rPr>
          <w:rFonts w:ascii="Times New Roman" w:hAnsi="Times New Roman"/>
          <w:sz w:val="24"/>
          <w:szCs w:val="24"/>
          <w:lang w:val="en-US"/>
        </w:rPr>
        <w:t>model</w:t>
      </w:r>
      <w:r w:rsidR="004A1CFA" w:rsidRPr="00F4226B">
        <w:rPr>
          <w:rFonts w:ascii="Times New Roman" w:hAnsi="Times New Roman"/>
          <w:sz w:val="24"/>
          <w:szCs w:val="24"/>
          <w:lang w:val="en-US"/>
        </w:rPr>
        <w:t xml:space="preserve"> becomes significant at the 1% level in the high inflation </w:t>
      </w:r>
      <w:r w:rsidR="00693491" w:rsidRPr="00F4226B">
        <w:rPr>
          <w:rFonts w:ascii="Times New Roman" w:hAnsi="Times New Roman"/>
          <w:sz w:val="24"/>
          <w:szCs w:val="24"/>
          <w:lang w:val="en-US"/>
        </w:rPr>
        <w:t>period</w:t>
      </w:r>
      <w:r w:rsidR="00693491">
        <w:rPr>
          <w:rFonts w:ascii="Times New Roman" w:hAnsi="Times New Roman"/>
          <w:sz w:val="24"/>
          <w:szCs w:val="24"/>
          <w:lang w:val="en-US"/>
        </w:rPr>
        <w:t xml:space="preserve">, in contrast </w:t>
      </w:r>
      <w:r w:rsidR="00693491" w:rsidRPr="00F4226B">
        <w:rPr>
          <w:rFonts w:ascii="Times New Roman" w:hAnsi="Times New Roman"/>
          <w:sz w:val="24"/>
          <w:szCs w:val="24"/>
          <w:lang w:val="en-US"/>
        </w:rPr>
        <w:t>to the low inflation period</w:t>
      </w:r>
      <w:r w:rsidR="004A1CFA" w:rsidRPr="00F4226B">
        <w:rPr>
          <w:rFonts w:ascii="Times New Roman" w:hAnsi="Times New Roman"/>
          <w:sz w:val="24"/>
          <w:szCs w:val="24"/>
          <w:lang w:val="en-US"/>
        </w:rPr>
        <w:t xml:space="preserve">. </w:t>
      </w:r>
      <w:r w:rsidR="00E975E8" w:rsidRPr="00F4226B">
        <w:rPr>
          <w:rFonts w:ascii="Times New Roman" w:hAnsi="Times New Roman"/>
          <w:sz w:val="24"/>
          <w:szCs w:val="24"/>
          <w:lang w:val="en-US"/>
        </w:rPr>
        <w:t xml:space="preserve">The fact that the value relevance of </w:t>
      </w:r>
      <w:r w:rsidR="00E975E8" w:rsidRPr="00F4226B">
        <w:rPr>
          <w:rFonts w:ascii="Times New Roman" w:hAnsi="Times New Roman"/>
          <w:sz w:val="24"/>
          <w:szCs w:val="24"/>
          <w:lang w:val="en-US"/>
        </w:rPr>
        <w:lastRenderedPageBreak/>
        <w:t xml:space="preserve">earnings </w:t>
      </w:r>
      <w:r w:rsidR="001D6353" w:rsidRPr="00F4226B">
        <w:rPr>
          <w:rFonts w:ascii="Times New Roman" w:hAnsi="Times New Roman"/>
          <w:sz w:val="24"/>
          <w:szCs w:val="24"/>
          <w:lang w:val="en-US"/>
        </w:rPr>
        <w:t xml:space="preserve">(both HC and IA) </w:t>
      </w:r>
      <w:r w:rsidR="00E975E8" w:rsidRPr="00F4226B">
        <w:rPr>
          <w:rFonts w:ascii="Times New Roman" w:hAnsi="Times New Roman"/>
          <w:sz w:val="24"/>
          <w:szCs w:val="24"/>
          <w:lang w:val="en-US"/>
        </w:rPr>
        <w:t xml:space="preserve">increases over time contradicts prior value relevance studies (e.g., Collins et al. 1997; Francis and Schipper 1999). This </w:t>
      </w:r>
      <w:r w:rsidR="00054816" w:rsidRPr="00F4226B">
        <w:rPr>
          <w:rFonts w:ascii="Times New Roman" w:hAnsi="Times New Roman"/>
          <w:sz w:val="24"/>
          <w:szCs w:val="24"/>
          <w:lang w:val="en-US"/>
        </w:rPr>
        <w:t>may be because the Zimbabwe economy (a) is different and (b) was going through a significant contraction during the sample period employed in this paper</w:t>
      </w:r>
      <w:r w:rsidR="00D90226">
        <w:rPr>
          <w:rFonts w:ascii="Times New Roman" w:hAnsi="Times New Roman"/>
          <w:sz w:val="24"/>
          <w:szCs w:val="24"/>
          <w:lang w:val="en-US"/>
        </w:rPr>
        <w:t xml:space="preserve">; this </w:t>
      </w:r>
      <w:r w:rsidR="00054816" w:rsidRPr="00F4226B">
        <w:rPr>
          <w:rFonts w:ascii="Times New Roman" w:hAnsi="Times New Roman"/>
          <w:sz w:val="24"/>
          <w:szCs w:val="24"/>
          <w:lang w:val="en-US"/>
        </w:rPr>
        <w:t xml:space="preserve">could have </w:t>
      </w:r>
      <w:r w:rsidR="00D90226">
        <w:rPr>
          <w:rFonts w:ascii="Times New Roman" w:hAnsi="Times New Roman"/>
          <w:sz w:val="24"/>
          <w:szCs w:val="24"/>
          <w:lang w:val="en-US"/>
        </w:rPr>
        <w:t>cause</w:t>
      </w:r>
      <w:r w:rsidR="00D90226" w:rsidRPr="00F4226B">
        <w:rPr>
          <w:rFonts w:ascii="Times New Roman" w:hAnsi="Times New Roman"/>
          <w:sz w:val="24"/>
          <w:szCs w:val="24"/>
          <w:lang w:val="en-US"/>
        </w:rPr>
        <w:t xml:space="preserve">d </w:t>
      </w:r>
      <w:r w:rsidR="00054816" w:rsidRPr="00F4226B">
        <w:rPr>
          <w:rFonts w:ascii="Times New Roman" w:hAnsi="Times New Roman"/>
          <w:sz w:val="24"/>
          <w:szCs w:val="24"/>
          <w:lang w:val="en-US"/>
        </w:rPr>
        <w:t xml:space="preserve">several financial intermediaries to shut up shop. This might have led investors to start relying more on financial statements. </w:t>
      </w:r>
      <w:r w:rsidR="00E975E8" w:rsidRPr="00F4226B">
        <w:rPr>
          <w:rFonts w:ascii="Times New Roman" w:hAnsi="Times New Roman"/>
          <w:sz w:val="24"/>
          <w:szCs w:val="24"/>
          <w:lang w:val="en-US"/>
        </w:rPr>
        <w:t>Nevertheless, f</w:t>
      </w:r>
      <w:r w:rsidR="00B75E79" w:rsidRPr="00F4226B">
        <w:rPr>
          <w:rFonts w:ascii="Times New Roman" w:hAnsi="Times New Roman"/>
          <w:sz w:val="24"/>
          <w:szCs w:val="24"/>
          <w:lang w:val="en-US"/>
        </w:rPr>
        <w:t>rom th</w:t>
      </w:r>
      <w:r w:rsidR="004A1CFA" w:rsidRPr="00F4226B">
        <w:rPr>
          <w:rFonts w:ascii="Times New Roman" w:hAnsi="Times New Roman"/>
          <w:sz w:val="24"/>
          <w:szCs w:val="24"/>
          <w:lang w:val="en-US"/>
        </w:rPr>
        <w:t>ese observations</w:t>
      </w:r>
      <w:r w:rsidR="00B75E79" w:rsidRPr="00F4226B">
        <w:rPr>
          <w:rFonts w:ascii="Times New Roman" w:hAnsi="Times New Roman"/>
          <w:sz w:val="24"/>
          <w:szCs w:val="24"/>
          <w:lang w:val="en-US"/>
        </w:rPr>
        <w:t xml:space="preserve">, we </w:t>
      </w:r>
      <w:r w:rsidR="00237042" w:rsidRPr="00F4226B">
        <w:rPr>
          <w:rFonts w:ascii="Times New Roman" w:hAnsi="Times New Roman"/>
          <w:sz w:val="24"/>
          <w:szCs w:val="24"/>
          <w:lang w:val="en-US"/>
        </w:rPr>
        <w:t xml:space="preserve">can </w:t>
      </w:r>
      <w:r w:rsidR="00B75E79" w:rsidRPr="00F4226B">
        <w:rPr>
          <w:rFonts w:ascii="Times New Roman" w:hAnsi="Times New Roman"/>
          <w:sz w:val="24"/>
          <w:szCs w:val="24"/>
          <w:lang w:val="en-US"/>
        </w:rPr>
        <w:t xml:space="preserve">infer that </w:t>
      </w:r>
      <w:r w:rsidR="00B65AA0" w:rsidRPr="00F4226B">
        <w:rPr>
          <w:rFonts w:ascii="Times New Roman" w:hAnsi="Times New Roman"/>
          <w:sz w:val="24"/>
          <w:szCs w:val="24"/>
          <w:lang w:val="en-US"/>
        </w:rPr>
        <w:t xml:space="preserve">the value relevance of </w:t>
      </w:r>
      <w:r w:rsidR="00F066CF" w:rsidRPr="00F4226B">
        <w:rPr>
          <w:rFonts w:ascii="Times New Roman" w:hAnsi="Times New Roman"/>
          <w:sz w:val="24"/>
          <w:szCs w:val="24"/>
          <w:lang w:val="en-US"/>
        </w:rPr>
        <w:t xml:space="preserve">both </w:t>
      </w:r>
      <w:r w:rsidR="00B65AA0" w:rsidRPr="00F4226B">
        <w:rPr>
          <w:rFonts w:ascii="Times New Roman" w:hAnsi="Times New Roman"/>
          <w:sz w:val="24"/>
          <w:szCs w:val="24"/>
          <w:lang w:val="en-US"/>
        </w:rPr>
        <w:t>HC and IA a</w:t>
      </w:r>
      <w:r w:rsidR="009403B3" w:rsidRPr="00F4226B">
        <w:rPr>
          <w:rFonts w:ascii="Times New Roman" w:hAnsi="Times New Roman"/>
          <w:sz w:val="24"/>
          <w:szCs w:val="24"/>
          <w:lang w:val="en-US"/>
        </w:rPr>
        <w:t>mounts</w:t>
      </w:r>
      <w:r w:rsidR="00B65AA0" w:rsidRPr="00F4226B">
        <w:rPr>
          <w:rFonts w:ascii="Times New Roman" w:hAnsi="Times New Roman"/>
          <w:sz w:val="24"/>
          <w:szCs w:val="24"/>
          <w:lang w:val="en-US"/>
        </w:rPr>
        <w:t xml:space="preserve"> </w:t>
      </w:r>
      <w:r w:rsidR="0078147E" w:rsidRPr="00F4226B">
        <w:rPr>
          <w:rFonts w:ascii="Times New Roman" w:hAnsi="Times New Roman"/>
          <w:sz w:val="24"/>
          <w:szCs w:val="24"/>
          <w:lang w:val="en-US"/>
        </w:rPr>
        <w:t>increase</w:t>
      </w:r>
      <w:r w:rsidR="00D90226">
        <w:rPr>
          <w:rFonts w:ascii="Times New Roman" w:hAnsi="Times New Roman"/>
          <w:sz w:val="24"/>
          <w:szCs w:val="24"/>
          <w:lang w:val="en-US"/>
        </w:rPr>
        <w:t>s</w:t>
      </w:r>
      <w:r w:rsidR="00B65AA0" w:rsidRPr="00F4226B">
        <w:rPr>
          <w:rFonts w:ascii="Times New Roman" w:hAnsi="Times New Roman"/>
          <w:sz w:val="24"/>
          <w:szCs w:val="24"/>
          <w:lang w:val="en-US"/>
        </w:rPr>
        <w:t xml:space="preserve"> with </w:t>
      </w:r>
      <w:r w:rsidR="009403B3" w:rsidRPr="00F4226B">
        <w:rPr>
          <w:rFonts w:ascii="Times New Roman" w:hAnsi="Times New Roman"/>
          <w:sz w:val="24"/>
          <w:szCs w:val="24"/>
          <w:lang w:val="en-US"/>
        </w:rPr>
        <w:t>the level of i</w:t>
      </w:r>
      <w:r w:rsidR="00B65AA0" w:rsidRPr="00F4226B">
        <w:rPr>
          <w:rFonts w:ascii="Times New Roman" w:hAnsi="Times New Roman"/>
          <w:sz w:val="24"/>
          <w:szCs w:val="24"/>
          <w:lang w:val="en-US"/>
        </w:rPr>
        <w:t>nflation</w:t>
      </w:r>
      <w:r w:rsidR="00F066CF" w:rsidRPr="00F4226B">
        <w:rPr>
          <w:rFonts w:ascii="Times New Roman" w:hAnsi="Times New Roman"/>
          <w:sz w:val="24"/>
          <w:szCs w:val="24"/>
          <w:lang w:val="en-US"/>
        </w:rPr>
        <w:t xml:space="preserve"> but the </w:t>
      </w:r>
      <w:r w:rsidR="0078147E" w:rsidRPr="00F4226B">
        <w:rPr>
          <w:rFonts w:ascii="Times New Roman" w:hAnsi="Times New Roman"/>
          <w:sz w:val="24"/>
          <w:szCs w:val="24"/>
          <w:lang w:val="en-US"/>
        </w:rPr>
        <w:t xml:space="preserve">increase </w:t>
      </w:r>
      <w:r w:rsidR="00CA0B8A" w:rsidRPr="00F4226B">
        <w:rPr>
          <w:rFonts w:ascii="Times New Roman" w:hAnsi="Times New Roman"/>
          <w:sz w:val="24"/>
          <w:szCs w:val="24"/>
          <w:lang w:val="en-US"/>
        </w:rPr>
        <w:t>is</w:t>
      </w:r>
      <w:r w:rsidRPr="00F4226B">
        <w:rPr>
          <w:rFonts w:ascii="Times New Roman" w:hAnsi="Times New Roman"/>
          <w:sz w:val="24"/>
          <w:szCs w:val="24"/>
          <w:lang w:val="en-US"/>
        </w:rPr>
        <w:t xml:space="preserve"> </w:t>
      </w:r>
      <w:r w:rsidR="00F066CF" w:rsidRPr="00F4226B">
        <w:rPr>
          <w:rFonts w:ascii="Times New Roman" w:hAnsi="Times New Roman"/>
          <w:sz w:val="24"/>
          <w:szCs w:val="24"/>
          <w:lang w:val="en-US"/>
        </w:rPr>
        <w:t>greater for IA a</w:t>
      </w:r>
      <w:r w:rsidR="009403B3" w:rsidRPr="00F4226B">
        <w:rPr>
          <w:rFonts w:ascii="Times New Roman" w:hAnsi="Times New Roman"/>
          <w:sz w:val="24"/>
          <w:szCs w:val="24"/>
          <w:lang w:val="en-US"/>
        </w:rPr>
        <w:t>mounts</w:t>
      </w:r>
      <w:r w:rsidR="00B65AA0" w:rsidRPr="00F4226B">
        <w:rPr>
          <w:rFonts w:ascii="Times New Roman" w:hAnsi="Times New Roman"/>
          <w:sz w:val="24"/>
          <w:szCs w:val="24"/>
          <w:lang w:val="en-US"/>
        </w:rPr>
        <w:t>.</w:t>
      </w:r>
      <w:r w:rsidR="00806456" w:rsidRPr="00F4226B">
        <w:rPr>
          <w:rFonts w:ascii="Times New Roman" w:hAnsi="Times New Roman"/>
          <w:sz w:val="24"/>
          <w:szCs w:val="24"/>
          <w:lang w:val="en-US"/>
        </w:rPr>
        <w:t xml:space="preserve"> </w:t>
      </w:r>
      <w:r w:rsidR="00E975E8" w:rsidRPr="00F4226B">
        <w:rPr>
          <w:rFonts w:ascii="Times New Roman" w:hAnsi="Times New Roman"/>
          <w:sz w:val="24"/>
          <w:szCs w:val="24"/>
          <w:lang w:val="en-US"/>
        </w:rPr>
        <w:t xml:space="preserve">In this context, our </w:t>
      </w:r>
      <w:r w:rsidR="00764F31" w:rsidRPr="00F4226B">
        <w:rPr>
          <w:rFonts w:ascii="Times New Roman" w:hAnsi="Times New Roman"/>
          <w:sz w:val="24"/>
          <w:szCs w:val="24"/>
          <w:lang w:val="en-US"/>
        </w:rPr>
        <w:t xml:space="preserve">results </w:t>
      </w:r>
      <w:r w:rsidR="0064208C" w:rsidRPr="00F4226B">
        <w:rPr>
          <w:rFonts w:ascii="Times New Roman" w:hAnsi="Times New Roman"/>
          <w:sz w:val="24"/>
          <w:szCs w:val="24"/>
          <w:lang w:val="en-US"/>
        </w:rPr>
        <w:t xml:space="preserve">seem to </w:t>
      </w:r>
      <w:r w:rsidR="00764F31" w:rsidRPr="00F4226B">
        <w:rPr>
          <w:rFonts w:ascii="Times New Roman" w:hAnsi="Times New Roman"/>
          <w:sz w:val="24"/>
          <w:szCs w:val="24"/>
          <w:lang w:val="en-US"/>
        </w:rPr>
        <w:t xml:space="preserve">lend credence to the theory that </w:t>
      </w:r>
      <w:r w:rsidR="002A7E68" w:rsidRPr="00F4226B">
        <w:rPr>
          <w:rFonts w:ascii="Times New Roman" w:hAnsi="Times New Roman"/>
          <w:sz w:val="24"/>
          <w:szCs w:val="24"/>
          <w:lang w:val="en-US"/>
        </w:rPr>
        <w:t>the value relevance of IA data increases with inflation</w:t>
      </w:r>
      <w:r w:rsidR="00334724" w:rsidRPr="00F4226B">
        <w:rPr>
          <w:rFonts w:ascii="Times New Roman" w:hAnsi="Times New Roman"/>
          <w:sz w:val="24"/>
          <w:szCs w:val="24"/>
          <w:lang w:val="en-US"/>
        </w:rPr>
        <w:t xml:space="preserve"> </w:t>
      </w:r>
      <w:r w:rsidR="002A7E68" w:rsidRPr="00F4226B">
        <w:rPr>
          <w:rFonts w:ascii="Times New Roman" w:hAnsi="Times New Roman"/>
          <w:sz w:val="24"/>
          <w:szCs w:val="24"/>
          <w:lang w:val="en-US"/>
        </w:rPr>
        <w:t>(Ashton et al. 2011). Overall, these findings suggest that publi</w:t>
      </w:r>
      <w:r w:rsidR="00C1247A" w:rsidRPr="00F4226B">
        <w:rPr>
          <w:rFonts w:ascii="Times New Roman" w:hAnsi="Times New Roman"/>
          <w:sz w:val="24"/>
          <w:szCs w:val="24"/>
          <w:lang w:val="en-US"/>
        </w:rPr>
        <w:t>shing</w:t>
      </w:r>
      <w:r w:rsidR="002A7E68" w:rsidRPr="00F4226B">
        <w:rPr>
          <w:rFonts w:ascii="Times New Roman" w:hAnsi="Times New Roman"/>
          <w:sz w:val="24"/>
          <w:szCs w:val="24"/>
          <w:lang w:val="en-US"/>
        </w:rPr>
        <w:t xml:space="preserve"> IA amounts alone, as contended by the IASB, m</w:t>
      </w:r>
      <w:r w:rsidR="0064208C" w:rsidRPr="00F4226B">
        <w:rPr>
          <w:rFonts w:ascii="Times New Roman" w:hAnsi="Times New Roman"/>
          <w:sz w:val="24"/>
          <w:szCs w:val="24"/>
          <w:lang w:val="en-US"/>
        </w:rPr>
        <w:t xml:space="preserve">ay </w:t>
      </w:r>
      <w:r w:rsidR="002A7E68" w:rsidRPr="00F4226B">
        <w:rPr>
          <w:rFonts w:ascii="Times New Roman" w:hAnsi="Times New Roman"/>
          <w:sz w:val="24"/>
          <w:szCs w:val="24"/>
          <w:lang w:val="en-US"/>
        </w:rPr>
        <w:t xml:space="preserve">deprive investors of </w:t>
      </w:r>
      <w:r w:rsidR="00C1247A" w:rsidRPr="00F4226B">
        <w:rPr>
          <w:rFonts w:ascii="Times New Roman" w:hAnsi="Times New Roman"/>
          <w:sz w:val="24"/>
          <w:szCs w:val="24"/>
          <w:lang w:val="en-US"/>
        </w:rPr>
        <w:t>value-</w:t>
      </w:r>
      <w:r w:rsidR="002A7E68" w:rsidRPr="00F4226B">
        <w:rPr>
          <w:rFonts w:ascii="Times New Roman" w:hAnsi="Times New Roman"/>
          <w:sz w:val="24"/>
          <w:szCs w:val="24"/>
          <w:lang w:val="en-US"/>
        </w:rPr>
        <w:t xml:space="preserve">relevant information. </w:t>
      </w:r>
    </w:p>
    <w:p w14:paraId="3F960851" w14:textId="77777777" w:rsidR="00621FBA" w:rsidRPr="00F4226B" w:rsidRDefault="00621FBA" w:rsidP="003B13CE">
      <w:pPr>
        <w:spacing w:line="360" w:lineRule="auto"/>
        <w:ind w:firstLine="284"/>
        <w:jc w:val="both"/>
        <w:rPr>
          <w:rFonts w:ascii="Times New Roman" w:hAnsi="Times New Roman"/>
          <w:sz w:val="24"/>
          <w:szCs w:val="24"/>
          <w:lang w:val="en-US"/>
        </w:rPr>
      </w:pPr>
    </w:p>
    <w:p w14:paraId="79C9DA06" w14:textId="77777777" w:rsidR="00621FBA" w:rsidRPr="00804A08" w:rsidRDefault="00621FBA" w:rsidP="003820D1">
      <w:pPr>
        <w:spacing w:line="360" w:lineRule="auto"/>
        <w:jc w:val="both"/>
        <w:outlineLvl w:val="0"/>
        <w:rPr>
          <w:rFonts w:ascii="Times New Roman" w:hAnsi="Times New Roman"/>
          <w:i/>
          <w:sz w:val="24"/>
          <w:szCs w:val="24"/>
          <w:lang w:val="en-US"/>
        </w:rPr>
      </w:pPr>
      <w:r w:rsidRPr="00804A08">
        <w:rPr>
          <w:rFonts w:ascii="Times New Roman" w:hAnsi="Times New Roman"/>
          <w:i/>
          <w:sz w:val="24"/>
          <w:szCs w:val="24"/>
          <w:lang w:val="en-US"/>
        </w:rPr>
        <w:lastRenderedPageBreak/>
        <w:t>5.</w:t>
      </w:r>
      <w:r w:rsidR="003D6CFD" w:rsidRPr="00804A08">
        <w:rPr>
          <w:rFonts w:ascii="Times New Roman" w:hAnsi="Times New Roman"/>
          <w:i/>
          <w:sz w:val="24"/>
          <w:szCs w:val="24"/>
          <w:lang w:val="en-US"/>
        </w:rPr>
        <w:t>3</w:t>
      </w:r>
      <w:r w:rsidRPr="00804A08">
        <w:rPr>
          <w:rFonts w:ascii="Times New Roman" w:hAnsi="Times New Roman"/>
          <w:i/>
          <w:sz w:val="24"/>
          <w:szCs w:val="24"/>
          <w:lang w:val="en-US"/>
        </w:rPr>
        <w:t xml:space="preserve"> </w:t>
      </w:r>
      <w:r w:rsidR="008B489B" w:rsidRPr="00804A08">
        <w:rPr>
          <w:rFonts w:ascii="Times New Roman" w:hAnsi="Times New Roman"/>
          <w:i/>
          <w:sz w:val="24"/>
          <w:szCs w:val="24"/>
          <w:lang w:val="en-US"/>
        </w:rPr>
        <w:t>The a</w:t>
      </w:r>
      <w:r w:rsidR="00502E9B" w:rsidRPr="00804A08">
        <w:rPr>
          <w:rFonts w:ascii="Times New Roman" w:hAnsi="Times New Roman"/>
          <w:i/>
          <w:sz w:val="24"/>
          <w:szCs w:val="24"/>
          <w:lang w:val="en-US"/>
        </w:rPr>
        <w:t xml:space="preserve">ssociation </w:t>
      </w:r>
      <w:r w:rsidR="008B489B" w:rsidRPr="00804A08">
        <w:rPr>
          <w:rFonts w:ascii="Times New Roman" w:hAnsi="Times New Roman"/>
          <w:i/>
          <w:sz w:val="24"/>
          <w:szCs w:val="24"/>
          <w:lang w:val="en-US"/>
        </w:rPr>
        <w:t xml:space="preserve">of </w:t>
      </w:r>
      <w:r w:rsidR="005536A4" w:rsidRPr="00804A08">
        <w:rPr>
          <w:rFonts w:ascii="Times New Roman" w:hAnsi="Times New Roman"/>
          <w:i/>
          <w:sz w:val="24"/>
          <w:szCs w:val="24"/>
          <w:lang w:val="en-US"/>
        </w:rPr>
        <w:t>e</w:t>
      </w:r>
      <w:r w:rsidR="00502E9B" w:rsidRPr="00804A08">
        <w:rPr>
          <w:rFonts w:ascii="Times New Roman" w:hAnsi="Times New Roman"/>
          <w:i/>
          <w:sz w:val="24"/>
          <w:szCs w:val="24"/>
          <w:lang w:val="en-US"/>
        </w:rPr>
        <w:t xml:space="preserve">arnings and </w:t>
      </w:r>
      <w:r w:rsidR="000534BE" w:rsidRPr="00804A08">
        <w:rPr>
          <w:rFonts w:ascii="Times New Roman" w:hAnsi="Times New Roman"/>
          <w:i/>
          <w:sz w:val="24"/>
          <w:szCs w:val="24"/>
          <w:lang w:val="en-US"/>
        </w:rPr>
        <w:t xml:space="preserve">equity </w:t>
      </w:r>
      <w:r w:rsidR="005536A4" w:rsidRPr="00804A08">
        <w:rPr>
          <w:rFonts w:ascii="Times New Roman" w:hAnsi="Times New Roman"/>
          <w:i/>
          <w:sz w:val="24"/>
          <w:szCs w:val="24"/>
          <w:lang w:val="en-US"/>
        </w:rPr>
        <w:t>b</w:t>
      </w:r>
      <w:r w:rsidR="00502E9B" w:rsidRPr="00804A08">
        <w:rPr>
          <w:rFonts w:ascii="Times New Roman" w:hAnsi="Times New Roman"/>
          <w:i/>
          <w:sz w:val="24"/>
          <w:szCs w:val="24"/>
          <w:lang w:val="en-US"/>
        </w:rPr>
        <w:t xml:space="preserve">ook </w:t>
      </w:r>
      <w:r w:rsidR="005536A4" w:rsidRPr="00804A08">
        <w:rPr>
          <w:rFonts w:ascii="Times New Roman" w:hAnsi="Times New Roman"/>
          <w:i/>
          <w:sz w:val="24"/>
          <w:szCs w:val="24"/>
          <w:lang w:val="en-US"/>
        </w:rPr>
        <w:t>v</w:t>
      </w:r>
      <w:r w:rsidR="00502E9B" w:rsidRPr="00804A08">
        <w:rPr>
          <w:rFonts w:ascii="Times New Roman" w:hAnsi="Times New Roman"/>
          <w:i/>
          <w:sz w:val="24"/>
          <w:szCs w:val="24"/>
          <w:lang w:val="en-US"/>
        </w:rPr>
        <w:t>alues</w:t>
      </w:r>
      <w:r w:rsidR="008B489B" w:rsidRPr="00804A08">
        <w:rPr>
          <w:rFonts w:ascii="Times New Roman" w:hAnsi="Times New Roman"/>
          <w:i/>
          <w:sz w:val="24"/>
          <w:szCs w:val="24"/>
          <w:lang w:val="en-US"/>
        </w:rPr>
        <w:t xml:space="preserve"> with stock</w:t>
      </w:r>
      <w:r w:rsidR="00502E9B" w:rsidRPr="00804A08">
        <w:rPr>
          <w:rFonts w:ascii="Times New Roman" w:hAnsi="Times New Roman"/>
          <w:i/>
          <w:sz w:val="24"/>
          <w:szCs w:val="24"/>
          <w:lang w:val="en-US"/>
        </w:rPr>
        <w:t xml:space="preserve"> </w:t>
      </w:r>
      <w:r w:rsidR="005536A4" w:rsidRPr="00804A08">
        <w:rPr>
          <w:rFonts w:ascii="Times New Roman" w:hAnsi="Times New Roman"/>
          <w:i/>
          <w:sz w:val="24"/>
          <w:szCs w:val="24"/>
          <w:lang w:val="en-US"/>
        </w:rPr>
        <w:t>p</w:t>
      </w:r>
      <w:r w:rsidR="003D6CFD" w:rsidRPr="00804A08">
        <w:rPr>
          <w:rFonts w:ascii="Times New Roman" w:hAnsi="Times New Roman"/>
          <w:i/>
          <w:sz w:val="24"/>
          <w:szCs w:val="24"/>
          <w:lang w:val="en-US"/>
        </w:rPr>
        <w:t>rice</w:t>
      </w:r>
      <w:r w:rsidR="00502E9B" w:rsidRPr="00804A08">
        <w:rPr>
          <w:rFonts w:ascii="Times New Roman" w:hAnsi="Times New Roman"/>
          <w:i/>
          <w:sz w:val="24"/>
          <w:szCs w:val="24"/>
          <w:lang w:val="en-US"/>
        </w:rPr>
        <w:t>s</w:t>
      </w:r>
    </w:p>
    <w:p w14:paraId="4FBE06C6" w14:textId="4303F32F" w:rsidR="005B4A4A" w:rsidRPr="00F4226B" w:rsidRDefault="00907F15" w:rsidP="005B4A4A">
      <w:pPr>
        <w:spacing w:line="360" w:lineRule="auto"/>
        <w:jc w:val="both"/>
        <w:rPr>
          <w:rFonts w:ascii="Times New Roman" w:hAnsi="Times New Roman"/>
          <w:sz w:val="24"/>
          <w:szCs w:val="24"/>
          <w:lang w:val="en-US"/>
        </w:rPr>
      </w:pPr>
      <w:r w:rsidRPr="00F4226B">
        <w:rPr>
          <w:rFonts w:ascii="Times New Roman" w:hAnsi="Times New Roman"/>
          <w:sz w:val="24"/>
          <w:szCs w:val="24"/>
          <w:lang w:val="en-US"/>
        </w:rPr>
        <w:t xml:space="preserve">In this section, we focus on analyses </w:t>
      </w:r>
      <w:r w:rsidR="00D90226">
        <w:rPr>
          <w:rFonts w:ascii="Times New Roman" w:hAnsi="Times New Roman"/>
          <w:sz w:val="24"/>
          <w:szCs w:val="24"/>
          <w:lang w:val="en-US"/>
        </w:rPr>
        <w:t>of</w:t>
      </w:r>
      <w:r w:rsidRPr="00F4226B">
        <w:rPr>
          <w:rFonts w:ascii="Times New Roman" w:hAnsi="Times New Roman"/>
          <w:sz w:val="24"/>
          <w:szCs w:val="24"/>
          <w:lang w:val="en-US"/>
        </w:rPr>
        <w:t xml:space="preserve"> the relation between </w:t>
      </w:r>
      <w:r w:rsidR="00EF0538" w:rsidRPr="00F4226B">
        <w:rPr>
          <w:rFonts w:ascii="Times New Roman" w:hAnsi="Times New Roman"/>
          <w:sz w:val="24"/>
          <w:szCs w:val="24"/>
          <w:lang w:val="en-US"/>
        </w:rPr>
        <w:t xml:space="preserve">HC and IA </w:t>
      </w:r>
      <w:r w:rsidR="008B489B" w:rsidRPr="00F4226B">
        <w:rPr>
          <w:rFonts w:ascii="Times New Roman" w:hAnsi="Times New Roman"/>
          <w:sz w:val="24"/>
          <w:szCs w:val="24"/>
          <w:lang w:val="en-US"/>
        </w:rPr>
        <w:t xml:space="preserve">amounts </w:t>
      </w:r>
      <w:r w:rsidRPr="00F4226B">
        <w:rPr>
          <w:rFonts w:ascii="Times New Roman" w:hAnsi="Times New Roman"/>
          <w:sz w:val="24"/>
          <w:szCs w:val="24"/>
          <w:lang w:val="en-US"/>
        </w:rPr>
        <w:t xml:space="preserve">and </w:t>
      </w:r>
      <w:r w:rsidR="008613EE" w:rsidRPr="00F4226B">
        <w:rPr>
          <w:rFonts w:ascii="Times New Roman" w:hAnsi="Times New Roman"/>
          <w:sz w:val="24"/>
          <w:szCs w:val="24"/>
          <w:lang w:val="en-US"/>
        </w:rPr>
        <w:t>stock prices</w:t>
      </w:r>
      <w:r w:rsidRPr="00F4226B">
        <w:rPr>
          <w:rFonts w:ascii="Times New Roman" w:hAnsi="Times New Roman"/>
          <w:sz w:val="24"/>
          <w:szCs w:val="24"/>
          <w:lang w:val="en-US"/>
        </w:rPr>
        <w:t xml:space="preserve">. </w:t>
      </w:r>
      <w:r w:rsidR="005B4A4A" w:rsidRPr="00F4226B">
        <w:rPr>
          <w:rFonts w:ascii="Times New Roman" w:hAnsi="Times New Roman"/>
          <w:sz w:val="24"/>
          <w:szCs w:val="24"/>
          <w:lang w:val="en-US"/>
        </w:rPr>
        <w:t xml:space="preserve">The results </w:t>
      </w:r>
      <w:r w:rsidR="00D90226">
        <w:rPr>
          <w:rFonts w:ascii="Times New Roman" w:hAnsi="Times New Roman"/>
          <w:sz w:val="24"/>
          <w:szCs w:val="24"/>
          <w:lang w:val="en-US"/>
        </w:rPr>
        <w:t>are</w:t>
      </w:r>
      <w:r w:rsidR="00D90226" w:rsidRPr="00F4226B">
        <w:rPr>
          <w:rFonts w:ascii="Times New Roman" w:hAnsi="Times New Roman"/>
          <w:sz w:val="24"/>
          <w:szCs w:val="24"/>
          <w:lang w:val="en-US"/>
        </w:rPr>
        <w:t xml:space="preserve"> </w:t>
      </w:r>
      <w:r w:rsidR="005B4A4A" w:rsidRPr="00F4226B">
        <w:rPr>
          <w:rFonts w:ascii="Times New Roman" w:hAnsi="Times New Roman"/>
          <w:sz w:val="24"/>
          <w:szCs w:val="24"/>
          <w:lang w:val="en-US"/>
        </w:rPr>
        <w:t>reported in Table 6 (Panels A to C).</w:t>
      </w:r>
    </w:p>
    <w:p w14:paraId="4816B7AA" w14:textId="77777777" w:rsidR="0053782C" w:rsidRPr="00F4226B" w:rsidRDefault="005B4A4A" w:rsidP="005B4A4A">
      <w:pPr>
        <w:spacing w:line="360" w:lineRule="auto"/>
        <w:ind w:left="2880"/>
        <w:jc w:val="both"/>
        <w:rPr>
          <w:rFonts w:ascii="Times New Roman" w:hAnsi="Times New Roman"/>
          <w:b/>
          <w:sz w:val="24"/>
          <w:szCs w:val="24"/>
          <w:lang w:val="en-US"/>
        </w:rPr>
      </w:pPr>
      <w:r w:rsidRPr="00F4226B">
        <w:rPr>
          <w:rFonts w:ascii="Times New Roman" w:hAnsi="Times New Roman"/>
          <w:sz w:val="24"/>
          <w:szCs w:val="24"/>
          <w:lang w:val="en-US"/>
        </w:rPr>
        <w:t xml:space="preserve">    </w:t>
      </w:r>
      <w:r w:rsidR="0053782C" w:rsidRPr="00F4226B">
        <w:rPr>
          <w:rFonts w:ascii="Times New Roman" w:hAnsi="Times New Roman"/>
          <w:b/>
          <w:sz w:val="24"/>
          <w:szCs w:val="24"/>
          <w:lang w:val="en-US"/>
        </w:rPr>
        <w:t>-----------------------------------</w:t>
      </w:r>
    </w:p>
    <w:p w14:paraId="2A90D784" w14:textId="77777777" w:rsidR="0053782C" w:rsidRPr="00F4226B" w:rsidRDefault="0053782C" w:rsidP="003820D1">
      <w:pPr>
        <w:spacing w:line="240" w:lineRule="auto"/>
        <w:ind w:firstLine="284"/>
        <w:jc w:val="center"/>
        <w:outlineLvl w:val="0"/>
        <w:rPr>
          <w:rFonts w:ascii="Times New Roman" w:hAnsi="Times New Roman"/>
          <w:b/>
          <w:sz w:val="24"/>
          <w:szCs w:val="24"/>
          <w:lang w:val="en-US"/>
        </w:rPr>
      </w:pPr>
      <w:r w:rsidRPr="00F4226B">
        <w:rPr>
          <w:rFonts w:ascii="Times New Roman" w:hAnsi="Times New Roman"/>
          <w:b/>
          <w:sz w:val="24"/>
          <w:szCs w:val="24"/>
          <w:lang w:val="en-US"/>
        </w:rPr>
        <w:t>Insert Table 6 About Here</w:t>
      </w:r>
    </w:p>
    <w:p w14:paraId="11A8A5DE" w14:textId="77777777" w:rsidR="0053782C" w:rsidRPr="00F4226B" w:rsidRDefault="0053782C" w:rsidP="003B13CE">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t>-----------------------------------</w:t>
      </w:r>
    </w:p>
    <w:p w14:paraId="0DEFF0FF" w14:textId="6C97D8F7" w:rsidR="00621FBA" w:rsidRPr="00F4226B" w:rsidRDefault="00131A0F" w:rsidP="00A74DBA">
      <w:pPr>
        <w:spacing w:line="360" w:lineRule="auto"/>
        <w:jc w:val="both"/>
        <w:rPr>
          <w:rFonts w:ascii="Times New Roman" w:hAnsi="Times New Roman"/>
          <w:sz w:val="24"/>
          <w:szCs w:val="24"/>
          <w:lang w:val="en-US"/>
        </w:rPr>
      </w:pPr>
      <w:r w:rsidRPr="00F4226B">
        <w:rPr>
          <w:rFonts w:ascii="Times New Roman" w:hAnsi="Times New Roman"/>
          <w:sz w:val="24"/>
          <w:szCs w:val="24"/>
          <w:lang w:val="en-US"/>
        </w:rPr>
        <w:t xml:space="preserve">We note that </w:t>
      </w:r>
      <w:r w:rsidR="00907F15" w:rsidRPr="00F4226B">
        <w:rPr>
          <w:rFonts w:ascii="Times New Roman" w:hAnsi="Times New Roman"/>
          <w:sz w:val="24"/>
          <w:szCs w:val="24"/>
          <w:lang w:val="en-US"/>
        </w:rPr>
        <w:t>HC a</w:t>
      </w:r>
      <w:r w:rsidR="008B489B" w:rsidRPr="00F4226B">
        <w:rPr>
          <w:rFonts w:ascii="Times New Roman" w:hAnsi="Times New Roman"/>
          <w:sz w:val="24"/>
          <w:szCs w:val="24"/>
          <w:lang w:val="en-US"/>
        </w:rPr>
        <w:t>mounts</w:t>
      </w:r>
      <w:r w:rsidR="00907F15" w:rsidRPr="00F4226B">
        <w:rPr>
          <w:rFonts w:ascii="Times New Roman" w:hAnsi="Times New Roman"/>
          <w:sz w:val="24"/>
          <w:szCs w:val="24"/>
          <w:lang w:val="en-US"/>
        </w:rPr>
        <w:t xml:space="preserve"> </w:t>
      </w:r>
      <w:r w:rsidR="001C19BF" w:rsidRPr="00F4226B">
        <w:rPr>
          <w:rFonts w:ascii="Times New Roman" w:hAnsi="Times New Roman"/>
          <w:sz w:val="24"/>
          <w:szCs w:val="24"/>
          <w:lang w:val="en-US"/>
        </w:rPr>
        <w:t>exhibit higher adjusted</w:t>
      </w:r>
      <w:r w:rsidR="00F4226B">
        <w:rPr>
          <w:rFonts w:ascii="Times New Roman" w:hAnsi="Times New Roman"/>
          <w:sz w:val="24"/>
          <w:szCs w:val="24"/>
          <w:lang w:val="en-US"/>
        </w:rPr>
        <w:t xml:space="preserve"> </w:t>
      </w:r>
      <w:r w:rsidR="001C19BF" w:rsidRPr="00F4226B">
        <w:rPr>
          <w:rFonts w:ascii="Times New Roman" w:hAnsi="Times New Roman"/>
          <w:sz w:val="24"/>
          <w:szCs w:val="24"/>
          <w:lang w:val="en-US"/>
        </w:rPr>
        <w:t xml:space="preserve">R²s </w:t>
      </w:r>
      <w:r w:rsidR="00D90226">
        <w:rPr>
          <w:rFonts w:ascii="Times New Roman" w:hAnsi="Times New Roman"/>
          <w:sz w:val="24"/>
          <w:szCs w:val="24"/>
          <w:lang w:val="en-US"/>
        </w:rPr>
        <w:t>than</w:t>
      </w:r>
      <w:r w:rsidR="00AB4A37" w:rsidRPr="00F4226B">
        <w:rPr>
          <w:rFonts w:ascii="Times New Roman" w:hAnsi="Times New Roman"/>
          <w:sz w:val="24"/>
          <w:szCs w:val="24"/>
          <w:lang w:val="en-US"/>
        </w:rPr>
        <w:t xml:space="preserve"> I</w:t>
      </w:r>
      <w:r w:rsidR="00907F15" w:rsidRPr="00F4226B">
        <w:rPr>
          <w:rFonts w:ascii="Times New Roman" w:hAnsi="Times New Roman"/>
          <w:sz w:val="24"/>
          <w:szCs w:val="24"/>
          <w:lang w:val="en-US"/>
        </w:rPr>
        <w:t>A a</w:t>
      </w:r>
      <w:r w:rsidR="00EF3E29">
        <w:rPr>
          <w:rFonts w:ascii="Times New Roman" w:hAnsi="Times New Roman"/>
          <w:sz w:val="24"/>
          <w:szCs w:val="24"/>
          <w:lang w:val="en-US"/>
        </w:rPr>
        <w:t>mounts</w:t>
      </w:r>
      <w:r w:rsidR="001C19BF" w:rsidRPr="00F4226B">
        <w:rPr>
          <w:rFonts w:ascii="Times New Roman" w:hAnsi="Times New Roman"/>
          <w:sz w:val="24"/>
          <w:szCs w:val="24"/>
          <w:lang w:val="en-US"/>
        </w:rPr>
        <w:t xml:space="preserve"> </w:t>
      </w:r>
      <w:r w:rsidR="001F075E" w:rsidRPr="00F4226B">
        <w:rPr>
          <w:rFonts w:ascii="Times New Roman" w:hAnsi="Times New Roman"/>
          <w:sz w:val="24"/>
          <w:szCs w:val="24"/>
          <w:lang w:val="en-US"/>
        </w:rPr>
        <w:t xml:space="preserve">in all panels (Panels A to C, Model 1 versus </w:t>
      </w:r>
      <w:r w:rsidR="00D90226">
        <w:rPr>
          <w:rFonts w:ascii="Times New Roman" w:hAnsi="Times New Roman"/>
          <w:sz w:val="24"/>
          <w:szCs w:val="24"/>
          <w:lang w:val="en-US"/>
        </w:rPr>
        <w:t xml:space="preserve">Model </w:t>
      </w:r>
      <w:r w:rsidR="001F075E" w:rsidRPr="00F4226B">
        <w:rPr>
          <w:rFonts w:ascii="Times New Roman" w:hAnsi="Times New Roman"/>
          <w:sz w:val="24"/>
          <w:szCs w:val="24"/>
          <w:lang w:val="en-US"/>
        </w:rPr>
        <w:t>2) (that is</w:t>
      </w:r>
      <w:r w:rsidR="00093504">
        <w:rPr>
          <w:rFonts w:ascii="Times New Roman" w:hAnsi="Times New Roman"/>
          <w:sz w:val="24"/>
          <w:szCs w:val="24"/>
          <w:lang w:val="en-US"/>
        </w:rPr>
        <w:t>,</w:t>
      </w:r>
      <w:r w:rsidR="001F075E" w:rsidRPr="00F4226B">
        <w:rPr>
          <w:rFonts w:ascii="Times New Roman" w:hAnsi="Times New Roman"/>
          <w:sz w:val="24"/>
          <w:szCs w:val="24"/>
          <w:lang w:val="en-US"/>
        </w:rPr>
        <w:t xml:space="preserve"> </w:t>
      </w:r>
      <w:r w:rsidR="001C19BF" w:rsidRPr="00F4226B">
        <w:rPr>
          <w:rFonts w:ascii="Times New Roman" w:hAnsi="Times New Roman"/>
          <w:sz w:val="24"/>
          <w:szCs w:val="24"/>
          <w:lang w:val="en-US"/>
        </w:rPr>
        <w:t>for the entire period</w:t>
      </w:r>
      <w:r w:rsidR="001F075E" w:rsidRPr="00F4226B">
        <w:rPr>
          <w:rFonts w:ascii="Times New Roman" w:hAnsi="Times New Roman"/>
          <w:sz w:val="24"/>
          <w:szCs w:val="24"/>
          <w:lang w:val="en-US"/>
        </w:rPr>
        <w:t xml:space="preserve">, relatively low inflation and high inflation </w:t>
      </w:r>
      <w:r w:rsidR="001C19BF" w:rsidRPr="00F4226B">
        <w:rPr>
          <w:rFonts w:ascii="Times New Roman" w:hAnsi="Times New Roman"/>
          <w:sz w:val="24"/>
          <w:szCs w:val="24"/>
          <w:lang w:val="en-US"/>
        </w:rPr>
        <w:t>periods</w:t>
      </w:r>
      <w:r w:rsidR="001F075E" w:rsidRPr="00F4226B">
        <w:rPr>
          <w:rFonts w:ascii="Times New Roman" w:hAnsi="Times New Roman"/>
          <w:sz w:val="24"/>
          <w:szCs w:val="24"/>
          <w:lang w:val="en-US"/>
        </w:rPr>
        <w:t>)</w:t>
      </w:r>
      <w:r w:rsidR="00F50E15" w:rsidRPr="00F4226B">
        <w:rPr>
          <w:rFonts w:ascii="Times New Roman" w:hAnsi="Times New Roman"/>
          <w:sz w:val="24"/>
          <w:szCs w:val="24"/>
          <w:lang w:val="en-US"/>
        </w:rPr>
        <w:t xml:space="preserve">. Similarly, the </w:t>
      </w:r>
      <w:r w:rsidR="00D90226" w:rsidRPr="00F4226B">
        <w:rPr>
          <w:rFonts w:ascii="Times New Roman" w:hAnsi="Times New Roman"/>
          <w:sz w:val="24"/>
          <w:szCs w:val="24"/>
          <w:lang w:val="en-US"/>
        </w:rPr>
        <w:t>power</w:t>
      </w:r>
      <w:r w:rsidR="00D90226">
        <w:rPr>
          <w:rFonts w:ascii="Times New Roman" w:hAnsi="Times New Roman"/>
          <w:sz w:val="24"/>
          <w:szCs w:val="24"/>
          <w:lang w:val="en-US"/>
        </w:rPr>
        <w:t xml:space="preserve"> of the</w:t>
      </w:r>
      <w:r w:rsidR="00D90226" w:rsidRPr="00F4226B">
        <w:rPr>
          <w:rFonts w:ascii="Times New Roman" w:hAnsi="Times New Roman"/>
          <w:sz w:val="24"/>
          <w:szCs w:val="24"/>
          <w:lang w:val="en-US"/>
        </w:rPr>
        <w:t xml:space="preserve"> </w:t>
      </w:r>
      <w:r w:rsidR="00F50E15" w:rsidRPr="00F4226B">
        <w:rPr>
          <w:rFonts w:ascii="Times New Roman" w:hAnsi="Times New Roman"/>
          <w:sz w:val="24"/>
          <w:szCs w:val="24"/>
          <w:lang w:val="en-US"/>
        </w:rPr>
        <w:t xml:space="preserve">incremental content model </w:t>
      </w:r>
      <w:r w:rsidR="00E975E8" w:rsidRPr="00F4226B">
        <w:rPr>
          <w:rFonts w:ascii="Times New Roman" w:hAnsi="Times New Roman"/>
          <w:sz w:val="24"/>
          <w:szCs w:val="24"/>
          <w:lang w:val="en-US"/>
        </w:rPr>
        <w:t xml:space="preserve">appears superior to </w:t>
      </w:r>
      <w:r w:rsidR="00D90226">
        <w:rPr>
          <w:rFonts w:ascii="Times New Roman" w:hAnsi="Times New Roman"/>
          <w:sz w:val="24"/>
          <w:szCs w:val="24"/>
          <w:lang w:val="en-US"/>
        </w:rPr>
        <w:t xml:space="preserve">that of </w:t>
      </w:r>
      <w:r w:rsidR="00F50E15" w:rsidRPr="00F4226B">
        <w:rPr>
          <w:rFonts w:ascii="Times New Roman" w:hAnsi="Times New Roman"/>
          <w:sz w:val="24"/>
          <w:szCs w:val="24"/>
          <w:lang w:val="en-US"/>
        </w:rPr>
        <w:t>both the HC and IA model</w:t>
      </w:r>
      <w:r w:rsidR="003E7F6F" w:rsidRPr="00F4226B">
        <w:rPr>
          <w:rFonts w:ascii="Times New Roman" w:hAnsi="Times New Roman"/>
          <w:sz w:val="24"/>
          <w:szCs w:val="24"/>
          <w:lang w:val="en-US"/>
        </w:rPr>
        <w:t>s</w:t>
      </w:r>
      <w:r w:rsidR="00D90226">
        <w:rPr>
          <w:rFonts w:ascii="Times New Roman" w:hAnsi="Times New Roman"/>
          <w:sz w:val="24"/>
          <w:szCs w:val="24"/>
          <w:lang w:val="en-US"/>
        </w:rPr>
        <w:t xml:space="preserve"> in all</w:t>
      </w:r>
      <w:r w:rsidR="001F075E" w:rsidRPr="00F4226B">
        <w:rPr>
          <w:rFonts w:ascii="Times New Roman" w:hAnsi="Times New Roman"/>
          <w:sz w:val="24"/>
          <w:szCs w:val="24"/>
          <w:lang w:val="en-US"/>
        </w:rPr>
        <w:t xml:space="preserve"> panels</w:t>
      </w:r>
      <w:r w:rsidR="00F50E15" w:rsidRPr="00F4226B">
        <w:rPr>
          <w:rFonts w:ascii="Times New Roman" w:hAnsi="Times New Roman"/>
          <w:sz w:val="24"/>
          <w:szCs w:val="24"/>
          <w:lang w:val="en-US"/>
        </w:rPr>
        <w:t>. However</w:t>
      </w:r>
      <w:r w:rsidRPr="00F4226B">
        <w:rPr>
          <w:rFonts w:ascii="Times New Roman" w:hAnsi="Times New Roman"/>
          <w:sz w:val="24"/>
          <w:szCs w:val="24"/>
          <w:lang w:val="en-US"/>
        </w:rPr>
        <w:t xml:space="preserve">, </w:t>
      </w:r>
      <w:r w:rsidR="001F075E" w:rsidRPr="00F4226B">
        <w:rPr>
          <w:rFonts w:ascii="Times New Roman" w:hAnsi="Times New Roman"/>
          <w:sz w:val="24"/>
          <w:szCs w:val="24"/>
          <w:lang w:val="en-US"/>
        </w:rPr>
        <w:t xml:space="preserve">in all cases, </w:t>
      </w:r>
      <w:r w:rsidRPr="00F4226B">
        <w:rPr>
          <w:rFonts w:ascii="Times New Roman" w:hAnsi="Times New Roman"/>
          <w:sz w:val="24"/>
          <w:szCs w:val="24"/>
          <w:lang w:val="en-US"/>
        </w:rPr>
        <w:t>t</w:t>
      </w:r>
      <w:r w:rsidR="009F3016" w:rsidRPr="00F4226B">
        <w:rPr>
          <w:rFonts w:ascii="Times New Roman" w:hAnsi="Times New Roman"/>
          <w:sz w:val="24"/>
          <w:szCs w:val="24"/>
          <w:lang w:val="en-US"/>
        </w:rPr>
        <w:t xml:space="preserve">he </w:t>
      </w:r>
      <w:r w:rsidR="001C19BF" w:rsidRPr="00F4226B">
        <w:rPr>
          <w:rFonts w:ascii="Times New Roman" w:hAnsi="Times New Roman"/>
          <w:sz w:val="24"/>
          <w:szCs w:val="24"/>
          <w:lang w:val="en-US"/>
        </w:rPr>
        <w:t xml:space="preserve">Vuong </w:t>
      </w:r>
      <w:r w:rsidR="00CF5B72" w:rsidRPr="00F4226B">
        <w:rPr>
          <w:rFonts w:ascii="Times New Roman" w:hAnsi="Times New Roman"/>
          <w:sz w:val="24"/>
          <w:szCs w:val="24"/>
          <w:lang w:val="en-US"/>
        </w:rPr>
        <w:t>Z-statistic</w:t>
      </w:r>
      <w:r w:rsidR="001C19BF" w:rsidRPr="00F4226B">
        <w:rPr>
          <w:rFonts w:ascii="Times New Roman" w:hAnsi="Times New Roman"/>
          <w:sz w:val="24"/>
          <w:szCs w:val="24"/>
          <w:lang w:val="en-US"/>
        </w:rPr>
        <w:t>s</w:t>
      </w:r>
      <w:r w:rsidR="009F3016" w:rsidRPr="00F4226B">
        <w:rPr>
          <w:rFonts w:ascii="Times New Roman" w:hAnsi="Times New Roman"/>
          <w:sz w:val="24"/>
          <w:szCs w:val="24"/>
          <w:lang w:val="en-US"/>
        </w:rPr>
        <w:t xml:space="preserve"> </w:t>
      </w:r>
      <w:r w:rsidR="001C19BF" w:rsidRPr="00F4226B">
        <w:rPr>
          <w:rFonts w:ascii="Times New Roman" w:hAnsi="Times New Roman"/>
          <w:sz w:val="24"/>
          <w:szCs w:val="24"/>
          <w:lang w:val="en-US"/>
        </w:rPr>
        <w:t xml:space="preserve">are not significant </w:t>
      </w:r>
      <w:r w:rsidR="009F3016" w:rsidRPr="00F4226B">
        <w:rPr>
          <w:rFonts w:ascii="Times New Roman" w:hAnsi="Times New Roman"/>
          <w:sz w:val="24"/>
          <w:szCs w:val="24"/>
          <w:lang w:val="en-US"/>
        </w:rPr>
        <w:t xml:space="preserve">across </w:t>
      </w:r>
      <w:r w:rsidR="001C19BF" w:rsidRPr="00F4226B">
        <w:rPr>
          <w:rFonts w:ascii="Times New Roman" w:hAnsi="Times New Roman"/>
          <w:sz w:val="24"/>
          <w:szCs w:val="24"/>
          <w:lang w:val="en-US"/>
        </w:rPr>
        <w:t>all models</w:t>
      </w:r>
      <w:r w:rsidRPr="00F4226B">
        <w:rPr>
          <w:rFonts w:ascii="Times New Roman" w:hAnsi="Times New Roman"/>
          <w:sz w:val="24"/>
          <w:szCs w:val="24"/>
          <w:lang w:val="en-US"/>
        </w:rPr>
        <w:t xml:space="preserve">. </w:t>
      </w:r>
      <w:r w:rsidR="00F50E15" w:rsidRPr="00F4226B">
        <w:rPr>
          <w:rFonts w:ascii="Times New Roman" w:hAnsi="Times New Roman"/>
          <w:sz w:val="24"/>
          <w:szCs w:val="24"/>
          <w:lang w:val="en-US"/>
        </w:rPr>
        <w:t>The null hypothesis is therefore accepted—that is</w:t>
      </w:r>
      <w:r w:rsidR="00076571" w:rsidRPr="00F4226B">
        <w:rPr>
          <w:rFonts w:ascii="Times New Roman" w:hAnsi="Times New Roman"/>
          <w:sz w:val="24"/>
          <w:szCs w:val="24"/>
          <w:lang w:val="en-US"/>
        </w:rPr>
        <w:t>,</w:t>
      </w:r>
      <w:r w:rsidR="00F50E15" w:rsidRPr="00F4226B">
        <w:rPr>
          <w:rFonts w:ascii="Times New Roman" w:hAnsi="Times New Roman"/>
          <w:sz w:val="24"/>
          <w:szCs w:val="24"/>
          <w:lang w:val="en-US"/>
        </w:rPr>
        <w:t xml:space="preserve"> the </w:t>
      </w:r>
      <w:r w:rsidR="00F50E15" w:rsidRPr="00F4226B">
        <w:rPr>
          <w:rFonts w:ascii="Times New Roman" w:hAnsi="Times New Roman"/>
          <w:sz w:val="24"/>
          <w:szCs w:val="24"/>
          <w:lang w:val="en-US"/>
        </w:rPr>
        <w:lastRenderedPageBreak/>
        <w:t>value relevance of the two sets of amounts</w:t>
      </w:r>
      <w:r w:rsidR="003128C3" w:rsidRPr="00F4226B">
        <w:rPr>
          <w:rFonts w:ascii="Times New Roman" w:hAnsi="Times New Roman"/>
          <w:sz w:val="24"/>
          <w:szCs w:val="24"/>
          <w:lang w:val="en-US"/>
        </w:rPr>
        <w:t xml:space="preserve"> </w:t>
      </w:r>
      <w:r w:rsidR="00076571" w:rsidRPr="00F4226B">
        <w:rPr>
          <w:rFonts w:ascii="Times New Roman" w:hAnsi="Times New Roman"/>
          <w:sz w:val="24"/>
          <w:szCs w:val="24"/>
          <w:lang w:val="en-US"/>
        </w:rPr>
        <w:t>is equal</w:t>
      </w:r>
      <w:r w:rsidR="00F50E15" w:rsidRPr="00F4226B">
        <w:rPr>
          <w:rFonts w:ascii="Times New Roman" w:hAnsi="Times New Roman"/>
          <w:sz w:val="24"/>
          <w:szCs w:val="24"/>
          <w:lang w:val="en-US"/>
        </w:rPr>
        <w:t xml:space="preserve">. </w:t>
      </w:r>
      <w:r w:rsidR="003128C3" w:rsidRPr="00F4226B">
        <w:rPr>
          <w:rFonts w:ascii="Times New Roman" w:hAnsi="Times New Roman"/>
          <w:sz w:val="24"/>
          <w:szCs w:val="24"/>
          <w:lang w:val="en-US"/>
        </w:rPr>
        <w:t xml:space="preserve">With regards to the </w:t>
      </w:r>
      <w:r w:rsidR="001F075E" w:rsidRPr="00F4226B">
        <w:rPr>
          <w:rFonts w:ascii="Times New Roman" w:hAnsi="Times New Roman"/>
          <w:sz w:val="24"/>
          <w:szCs w:val="24"/>
          <w:lang w:val="en-US"/>
        </w:rPr>
        <w:t xml:space="preserve">individual </w:t>
      </w:r>
      <w:r w:rsidR="001D6353" w:rsidRPr="00F4226B">
        <w:rPr>
          <w:rFonts w:ascii="Times New Roman" w:hAnsi="Times New Roman"/>
          <w:sz w:val="24"/>
          <w:szCs w:val="24"/>
          <w:lang w:val="en-US"/>
        </w:rPr>
        <w:t>variables</w:t>
      </w:r>
      <w:r w:rsidR="003128C3" w:rsidRPr="00F4226B">
        <w:rPr>
          <w:rFonts w:ascii="Times New Roman" w:hAnsi="Times New Roman"/>
          <w:sz w:val="24"/>
          <w:szCs w:val="24"/>
          <w:lang w:val="en-US"/>
        </w:rPr>
        <w:t xml:space="preserve">, </w:t>
      </w:r>
      <w:r w:rsidRPr="00F4226B">
        <w:rPr>
          <w:rFonts w:ascii="Times New Roman" w:hAnsi="Times New Roman"/>
          <w:sz w:val="24"/>
          <w:szCs w:val="24"/>
          <w:lang w:val="en-US"/>
        </w:rPr>
        <w:t>w</w:t>
      </w:r>
      <w:r w:rsidR="009B2A85" w:rsidRPr="00F4226B">
        <w:rPr>
          <w:rFonts w:ascii="Times New Roman" w:hAnsi="Times New Roman"/>
          <w:sz w:val="24"/>
          <w:szCs w:val="24"/>
          <w:lang w:val="en-US"/>
        </w:rPr>
        <w:t>e also observe that</w:t>
      </w:r>
      <w:r w:rsidR="003F73A4">
        <w:rPr>
          <w:rFonts w:ascii="Times New Roman" w:hAnsi="Times New Roman"/>
          <w:sz w:val="24"/>
          <w:szCs w:val="24"/>
          <w:lang w:val="en-US"/>
        </w:rPr>
        <w:t>,</w:t>
      </w:r>
      <w:r w:rsidR="009B2A85" w:rsidRPr="00F4226B">
        <w:rPr>
          <w:rFonts w:ascii="Times New Roman" w:hAnsi="Times New Roman"/>
          <w:sz w:val="24"/>
          <w:szCs w:val="24"/>
          <w:lang w:val="en-US"/>
        </w:rPr>
        <w:t xml:space="preserve"> whereas </w:t>
      </w:r>
      <w:r w:rsidR="005A2D7C" w:rsidRPr="00F4226B">
        <w:rPr>
          <w:rFonts w:ascii="Times New Roman" w:hAnsi="Times New Roman"/>
          <w:sz w:val="24"/>
          <w:szCs w:val="24"/>
          <w:lang w:val="en-US"/>
        </w:rPr>
        <w:t xml:space="preserve">the </w:t>
      </w:r>
      <w:r w:rsidR="00621FBA" w:rsidRPr="00F4226B">
        <w:rPr>
          <w:rFonts w:ascii="Times New Roman" w:hAnsi="Times New Roman"/>
          <w:sz w:val="24"/>
          <w:szCs w:val="24"/>
          <w:lang w:val="en-US"/>
        </w:rPr>
        <w:t>valuation coefficient</w:t>
      </w:r>
      <w:r w:rsidRPr="00F4226B">
        <w:rPr>
          <w:rFonts w:ascii="Times New Roman" w:hAnsi="Times New Roman"/>
          <w:sz w:val="24"/>
          <w:szCs w:val="24"/>
          <w:lang w:val="en-US"/>
        </w:rPr>
        <w:t>s</w:t>
      </w:r>
      <w:r w:rsidR="00621FBA" w:rsidRPr="00F4226B">
        <w:rPr>
          <w:rFonts w:ascii="Times New Roman" w:hAnsi="Times New Roman"/>
          <w:sz w:val="24"/>
          <w:szCs w:val="24"/>
          <w:lang w:val="en-US"/>
        </w:rPr>
        <w:t xml:space="preserve"> on </w:t>
      </w:r>
      <w:r w:rsidR="005A2D7C" w:rsidRPr="00F4226B">
        <w:rPr>
          <w:rFonts w:ascii="Times New Roman" w:hAnsi="Times New Roman"/>
          <w:i/>
          <w:sz w:val="24"/>
          <w:szCs w:val="24"/>
          <w:lang w:val="en-US"/>
        </w:rPr>
        <w:t>E</w:t>
      </w:r>
      <w:r w:rsidR="009B2A85" w:rsidRPr="00F4226B">
        <w:rPr>
          <w:rFonts w:ascii="Times New Roman" w:hAnsi="Times New Roman"/>
          <w:i/>
          <w:sz w:val="24"/>
          <w:szCs w:val="24"/>
          <w:lang w:val="en-US"/>
        </w:rPr>
        <w:t>ARNING</w:t>
      </w:r>
      <w:r w:rsidR="005A2D7C" w:rsidRPr="00F4226B">
        <w:rPr>
          <w:rFonts w:ascii="Times New Roman" w:hAnsi="Times New Roman"/>
          <w:i/>
          <w:sz w:val="24"/>
          <w:szCs w:val="24"/>
          <w:lang w:val="en-US"/>
        </w:rPr>
        <w:t>S</w:t>
      </w:r>
      <w:r w:rsidR="005A2D7C"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are </w:t>
      </w:r>
      <w:r w:rsidR="005A2D7C" w:rsidRPr="00F4226B">
        <w:rPr>
          <w:rFonts w:ascii="Times New Roman" w:hAnsi="Times New Roman"/>
          <w:sz w:val="24"/>
          <w:szCs w:val="24"/>
          <w:lang w:val="en-US"/>
        </w:rPr>
        <w:t xml:space="preserve">significant in both </w:t>
      </w:r>
      <w:r w:rsidR="009B2A85" w:rsidRPr="00F4226B">
        <w:rPr>
          <w:rFonts w:ascii="Times New Roman" w:hAnsi="Times New Roman"/>
          <w:sz w:val="24"/>
          <w:szCs w:val="24"/>
          <w:lang w:val="en-US"/>
        </w:rPr>
        <w:t xml:space="preserve">the </w:t>
      </w:r>
      <w:r w:rsidR="005A2D7C" w:rsidRPr="00F4226B">
        <w:rPr>
          <w:rFonts w:ascii="Times New Roman" w:hAnsi="Times New Roman"/>
          <w:sz w:val="24"/>
          <w:szCs w:val="24"/>
          <w:lang w:val="en-US"/>
        </w:rPr>
        <w:t>HC and IA</w:t>
      </w:r>
      <w:r w:rsidR="00A50683" w:rsidRPr="00F4226B">
        <w:rPr>
          <w:rFonts w:ascii="Times New Roman" w:hAnsi="Times New Roman"/>
          <w:sz w:val="24"/>
          <w:szCs w:val="24"/>
          <w:lang w:val="en-US"/>
        </w:rPr>
        <w:t xml:space="preserve"> </w:t>
      </w:r>
      <w:r w:rsidR="005A2D7C" w:rsidRPr="00F4226B">
        <w:rPr>
          <w:rFonts w:ascii="Times New Roman" w:hAnsi="Times New Roman"/>
          <w:sz w:val="24"/>
          <w:szCs w:val="24"/>
          <w:lang w:val="en-US"/>
        </w:rPr>
        <w:t>models, the coefficient</w:t>
      </w:r>
      <w:r w:rsidR="009F3016" w:rsidRPr="00F4226B">
        <w:rPr>
          <w:rFonts w:ascii="Times New Roman" w:hAnsi="Times New Roman"/>
          <w:sz w:val="24"/>
          <w:szCs w:val="24"/>
          <w:lang w:val="en-US"/>
        </w:rPr>
        <w:t>s</w:t>
      </w:r>
      <w:r w:rsidR="005A2D7C" w:rsidRPr="00F4226B">
        <w:rPr>
          <w:rFonts w:ascii="Times New Roman" w:hAnsi="Times New Roman"/>
          <w:sz w:val="24"/>
          <w:szCs w:val="24"/>
          <w:lang w:val="en-US"/>
        </w:rPr>
        <w:t xml:space="preserve"> on </w:t>
      </w:r>
      <w:r w:rsidR="00621FBA" w:rsidRPr="00F4226B">
        <w:rPr>
          <w:rFonts w:ascii="Times New Roman" w:hAnsi="Times New Roman"/>
          <w:i/>
          <w:sz w:val="24"/>
          <w:szCs w:val="24"/>
          <w:lang w:val="en-US"/>
        </w:rPr>
        <w:t>B</w:t>
      </w:r>
      <w:r w:rsidR="009B2A85" w:rsidRPr="00F4226B">
        <w:rPr>
          <w:rFonts w:ascii="Times New Roman" w:hAnsi="Times New Roman"/>
          <w:i/>
          <w:sz w:val="24"/>
          <w:szCs w:val="24"/>
          <w:lang w:val="en-US"/>
        </w:rPr>
        <w:t xml:space="preserve">OOK </w:t>
      </w:r>
      <w:r w:rsidR="00621FBA" w:rsidRPr="00F4226B">
        <w:rPr>
          <w:rFonts w:ascii="Times New Roman" w:hAnsi="Times New Roman"/>
          <w:i/>
          <w:sz w:val="24"/>
          <w:szCs w:val="24"/>
          <w:lang w:val="en-US"/>
        </w:rPr>
        <w:t>V</w:t>
      </w:r>
      <w:r w:rsidR="009B2A85" w:rsidRPr="00F4226B">
        <w:rPr>
          <w:rFonts w:ascii="Times New Roman" w:hAnsi="Times New Roman"/>
          <w:i/>
          <w:sz w:val="24"/>
          <w:szCs w:val="24"/>
          <w:lang w:val="en-US"/>
        </w:rPr>
        <w:t>ALUE</w:t>
      </w:r>
      <w:r w:rsidR="00621FBA" w:rsidRPr="00F4226B">
        <w:rPr>
          <w:rFonts w:ascii="Times New Roman" w:hAnsi="Times New Roman"/>
          <w:i/>
          <w:sz w:val="24"/>
          <w:szCs w:val="24"/>
          <w:lang w:val="en-US"/>
        </w:rPr>
        <w:t xml:space="preserve">S </w:t>
      </w:r>
      <w:r w:rsidR="009F3016" w:rsidRPr="00F4226B">
        <w:rPr>
          <w:rFonts w:ascii="Times New Roman" w:hAnsi="Times New Roman"/>
          <w:sz w:val="24"/>
          <w:szCs w:val="24"/>
          <w:lang w:val="en-US"/>
        </w:rPr>
        <w:t xml:space="preserve">are </w:t>
      </w:r>
      <w:r w:rsidR="00621FBA" w:rsidRPr="00F4226B">
        <w:rPr>
          <w:rFonts w:ascii="Times New Roman" w:hAnsi="Times New Roman"/>
          <w:sz w:val="24"/>
          <w:szCs w:val="24"/>
          <w:lang w:val="en-US"/>
        </w:rPr>
        <w:t xml:space="preserve">not significant in </w:t>
      </w:r>
      <w:r w:rsidR="00362A4E" w:rsidRPr="00F4226B">
        <w:rPr>
          <w:rFonts w:ascii="Times New Roman" w:hAnsi="Times New Roman"/>
          <w:sz w:val="24"/>
          <w:szCs w:val="24"/>
          <w:lang w:val="en-US"/>
        </w:rPr>
        <w:t xml:space="preserve">all </w:t>
      </w:r>
      <w:r w:rsidR="00621FBA" w:rsidRPr="00F4226B">
        <w:rPr>
          <w:rFonts w:ascii="Times New Roman" w:hAnsi="Times New Roman"/>
          <w:sz w:val="24"/>
          <w:szCs w:val="24"/>
          <w:lang w:val="en-US"/>
        </w:rPr>
        <w:t>HC models</w:t>
      </w:r>
      <w:r w:rsidR="00E810C4" w:rsidRPr="00F4226B">
        <w:rPr>
          <w:rFonts w:ascii="Times New Roman" w:hAnsi="Times New Roman"/>
          <w:sz w:val="24"/>
          <w:szCs w:val="24"/>
          <w:lang w:val="en-US"/>
        </w:rPr>
        <w:t xml:space="preserve"> (in all panels)</w:t>
      </w:r>
      <w:r w:rsidR="00F4226B">
        <w:rPr>
          <w:rFonts w:ascii="Times New Roman" w:hAnsi="Times New Roman"/>
          <w:sz w:val="24"/>
          <w:szCs w:val="24"/>
          <w:lang w:val="en-US"/>
        </w:rPr>
        <w:t xml:space="preserve">. </w:t>
      </w:r>
      <w:r w:rsidR="00BB3774" w:rsidRPr="00F4226B">
        <w:rPr>
          <w:rFonts w:ascii="Times New Roman" w:hAnsi="Times New Roman"/>
          <w:sz w:val="24"/>
          <w:szCs w:val="24"/>
          <w:lang w:val="en-US"/>
        </w:rPr>
        <w:t>In contrast</w:t>
      </w:r>
      <w:r w:rsidR="00362A4E" w:rsidRPr="00F4226B">
        <w:rPr>
          <w:rFonts w:ascii="Times New Roman" w:hAnsi="Times New Roman"/>
          <w:sz w:val="24"/>
          <w:szCs w:val="24"/>
          <w:lang w:val="en-US"/>
        </w:rPr>
        <w:t xml:space="preserve">, </w:t>
      </w:r>
      <w:r w:rsidR="00DE4FD5" w:rsidRPr="00F4226B">
        <w:rPr>
          <w:rFonts w:ascii="Times New Roman" w:hAnsi="Times New Roman"/>
          <w:sz w:val="24"/>
          <w:szCs w:val="24"/>
          <w:lang w:val="en-US"/>
        </w:rPr>
        <w:t>we find that</w:t>
      </w:r>
      <w:r w:rsidR="003F73A4">
        <w:rPr>
          <w:rFonts w:ascii="Times New Roman" w:hAnsi="Times New Roman"/>
          <w:sz w:val="24"/>
          <w:szCs w:val="24"/>
          <w:lang w:val="en-US"/>
        </w:rPr>
        <w:t>,</w:t>
      </w:r>
      <w:r w:rsidR="00DE4FD5" w:rsidRPr="00F4226B">
        <w:rPr>
          <w:rFonts w:ascii="Times New Roman" w:hAnsi="Times New Roman"/>
          <w:sz w:val="24"/>
          <w:szCs w:val="24"/>
          <w:lang w:val="en-US"/>
        </w:rPr>
        <w:t xml:space="preserve"> in all IA models (Panels A to C), </w:t>
      </w:r>
      <w:r w:rsidR="00362A4E" w:rsidRPr="00F4226B">
        <w:rPr>
          <w:rFonts w:ascii="Times New Roman" w:hAnsi="Times New Roman"/>
          <w:sz w:val="24"/>
          <w:szCs w:val="24"/>
          <w:lang w:val="en-US"/>
        </w:rPr>
        <w:t>the coefficient</w:t>
      </w:r>
      <w:r w:rsidR="009F3016" w:rsidRPr="00F4226B">
        <w:rPr>
          <w:rFonts w:ascii="Times New Roman" w:hAnsi="Times New Roman"/>
          <w:sz w:val="24"/>
          <w:szCs w:val="24"/>
          <w:lang w:val="en-US"/>
        </w:rPr>
        <w:t>s</w:t>
      </w:r>
      <w:r w:rsidR="00362A4E" w:rsidRPr="00F4226B">
        <w:rPr>
          <w:rFonts w:ascii="Times New Roman" w:hAnsi="Times New Roman"/>
          <w:sz w:val="24"/>
          <w:szCs w:val="24"/>
          <w:lang w:val="en-US"/>
        </w:rPr>
        <w:t xml:space="preserve"> </w:t>
      </w:r>
      <w:r w:rsidR="005A2D7C" w:rsidRPr="00F4226B">
        <w:rPr>
          <w:rFonts w:ascii="Times New Roman" w:hAnsi="Times New Roman"/>
          <w:sz w:val="24"/>
          <w:szCs w:val="24"/>
          <w:lang w:val="en-US"/>
        </w:rPr>
        <w:t xml:space="preserve">of </w:t>
      </w:r>
      <w:r w:rsidR="005A2D7C" w:rsidRPr="00F4226B">
        <w:rPr>
          <w:rFonts w:ascii="Times New Roman" w:hAnsi="Times New Roman"/>
          <w:i/>
          <w:sz w:val="24"/>
          <w:szCs w:val="24"/>
          <w:lang w:val="en-US"/>
        </w:rPr>
        <w:t>B</w:t>
      </w:r>
      <w:r w:rsidR="00E25FAB" w:rsidRPr="00F4226B">
        <w:rPr>
          <w:rFonts w:ascii="Times New Roman" w:hAnsi="Times New Roman"/>
          <w:i/>
          <w:sz w:val="24"/>
          <w:szCs w:val="24"/>
          <w:lang w:val="en-US"/>
        </w:rPr>
        <w:t xml:space="preserve">OOK </w:t>
      </w:r>
      <w:r w:rsidR="005A2D7C" w:rsidRPr="00F4226B">
        <w:rPr>
          <w:rFonts w:ascii="Times New Roman" w:hAnsi="Times New Roman"/>
          <w:i/>
          <w:sz w:val="24"/>
          <w:szCs w:val="24"/>
          <w:lang w:val="en-US"/>
        </w:rPr>
        <w:t>V</w:t>
      </w:r>
      <w:r w:rsidR="00E25FAB" w:rsidRPr="00F4226B">
        <w:rPr>
          <w:rFonts w:ascii="Times New Roman" w:hAnsi="Times New Roman"/>
          <w:i/>
          <w:sz w:val="24"/>
          <w:szCs w:val="24"/>
          <w:lang w:val="en-US"/>
        </w:rPr>
        <w:t>ALUE</w:t>
      </w:r>
      <w:r w:rsidR="005A2D7C" w:rsidRPr="00F4226B">
        <w:rPr>
          <w:rFonts w:ascii="Times New Roman" w:hAnsi="Times New Roman"/>
          <w:i/>
          <w:sz w:val="24"/>
          <w:szCs w:val="24"/>
          <w:lang w:val="en-US"/>
        </w:rPr>
        <w:t>S</w:t>
      </w:r>
      <w:r w:rsidR="005A2D7C" w:rsidRPr="00F4226B">
        <w:rPr>
          <w:rFonts w:ascii="Times New Roman" w:hAnsi="Times New Roman"/>
          <w:sz w:val="24"/>
          <w:szCs w:val="24"/>
          <w:lang w:val="en-US"/>
        </w:rPr>
        <w:t xml:space="preserve"> </w:t>
      </w:r>
      <w:r w:rsidR="009F3016" w:rsidRPr="00F4226B">
        <w:rPr>
          <w:rFonts w:ascii="Times New Roman" w:hAnsi="Times New Roman"/>
          <w:sz w:val="24"/>
          <w:szCs w:val="24"/>
          <w:lang w:val="en-US"/>
        </w:rPr>
        <w:t xml:space="preserve">are </w:t>
      </w:r>
      <w:r w:rsidR="00362A4E" w:rsidRPr="00F4226B">
        <w:rPr>
          <w:rFonts w:ascii="Times New Roman" w:hAnsi="Times New Roman"/>
          <w:sz w:val="24"/>
          <w:szCs w:val="24"/>
          <w:lang w:val="en-US"/>
        </w:rPr>
        <w:t>significant</w:t>
      </w:r>
      <w:r w:rsidR="005A2D7C" w:rsidRPr="00F4226B">
        <w:rPr>
          <w:rFonts w:ascii="Times New Roman" w:hAnsi="Times New Roman"/>
          <w:sz w:val="24"/>
          <w:szCs w:val="24"/>
          <w:lang w:val="en-US"/>
        </w:rPr>
        <w:t xml:space="preserve"> at the 1% level</w:t>
      </w:r>
      <w:r w:rsidR="00DE4FD5" w:rsidRPr="00F4226B">
        <w:rPr>
          <w:rFonts w:ascii="Times New Roman" w:hAnsi="Times New Roman"/>
          <w:sz w:val="24"/>
          <w:szCs w:val="24"/>
          <w:lang w:val="en-US"/>
        </w:rPr>
        <w:t>. We further show that</w:t>
      </w:r>
      <w:r w:rsidR="003F73A4">
        <w:rPr>
          <w:rFonts w:ascii="Times New Roman" w:hAnsi="Times New Roman"/>
          <w:sz w:val="24"/>
          <w:szCs w:val="24"/>
          <w:lang w:val="en-US"/>
        </w:rPr>
        <w:t>,</w:t>
      </w:r>
      <w:r w:rsidR="00DE4FD5" w:rsidRPr="00F4226B">
        <w:rPr>
          <w:rFonts w:ascii="Times New Roman" w:hAnsi="Times New Roman"/>
          <w:sz w:val="24"/>
          <w:szCs w:val="24"/>
          <w:lang w:val="en-US"/>
        </w:rPr>
        <w:t xml:space="preserve"> </w:t>
      </w:r>
      <w:r w:rsidR="009F3016" w:rsidRPr="00F4226B">
        <w:rPr>
          <w:rFonts w:ascii="Times New Roman" w:hAnsi="Times New Roman"/>
          <w:sz w:val="24"/>
          <w:szCs w:val="24"/>
          <w:lang w:val="en-US"/>
        </w:rPr>
        <w:t>in the incremental content model</w:t>
      </w:r>
      <w:r w:rsidRPr="00F4226B">
        <w:rPr>
          <w:rFonts w:ascii="Times New Roman" w:hAnsi="Times New Roman"/>
          <w:sz w:val="24"/>
          <w:szCs w:val="24"/>
          <w:lang w:val="en-US"/>
        </w:rPr>
        <w:t xml:space="preserve"> (Model 3)</w:t>
      </w:r>
      <w:r w:rsidR="009F3016" w:rsidRPr="00F4226B">
        <w:rPr>
          <w:rFonts w:ascii="Times New Roman" w:hAnsi="Times New Roman"/>
          <w:sz w:val="24"/>
          <w:szCs w:val="24"/>
          <w:lang w:val="en-US"/>
        </w:rPr>
        <w:t xml:space="preserve">, the coefficients of </w:t>
      </w:r>
      <w:r w:rsidR="005D4AA3" w:rsidRPr="00F4226B">
        <w:rPr>
          <w:rFonts w:ascii="Times New Roman" w:hAnsi="Times New Roman"/>
          <w:sz w:val="24"/>
          <w:szCs w:val="24"/>
          <w:lang w:val="en-US"/>
        </w:rPr>
        <w:t xml:space="preserve">the </w:t>
      </w:r>
      <w:r w:rsidR="00F4226B" w:rsidRPr="00F4226B">
        <w:rPr>
          <w:rFonts w:ascii="Times New Roman" w:hAnsi="Times New Roman"/>
          <w:sz w:val="24"/>
          <w:szCs w:val="24"/>
          <w:lang w:val="en-US"/>
        </w:rPr>
        <w:t>recognized</w:t>
      </w:r>
      <w:r w:rsidR="005D4AA3" w:rsidRPr="00F4226B">
        <w:rPr>
          <w:rFonts w:ascii="Times New Roman" w:hAnsi="Times New Roman"/>
          <w:sz w:val="24"/>
          <w:szCs w:val="24"/>
          <w:lang w:val="en-US"/>
        </w:rPr>
        <w:t xml:space="preserve"> </w:t>
      </w:r>
      <w:r w:rsidR="009F3016" w:rsidRPr="00F4226B">
        <w:rPr>
          <w:rFonts w:ascii="Times New Roman" w:hAnsi="Times New Roman"/>
          <w:sz w:val="24"/>
          <w:szCs w:val="24"/>
          <w:lang w:val="en-US"/>
        </w:rPr>
        <w:t xml:space="preserve">inflation gains and losses </w:t>
      </w:r>
      <w:r w:rsidR="005D4AA3" w:rsidRPr="00F4226B">
        <w:rPr>
          <w:rFonts w:ascii="Times New Roman" w:hAnsi="Times New Roman"/>
          <w:sz w:val="24"/>
          <w:szCs w:val="24"/>
          <w:lang w:val="en-US"/>
        </w:rPr>
        <w:t>in earnings (</w:t>
      </w:r>
      <w:r w:rsidR="005D4AA3" w:rsidRPr="00F4226B">
        <w:rPr>
          <w:rFonts w:ascii="Times New Roman" w:hAnsi="Times New Roman"/>
          <w:i/>
          <w:sz w:val="24"/>
          <w:szCs w:val="24"/>
          <w:lang w:val="en-US"/>
        </w:rPr>
        <w:t xml:space="preserve">EIGLS) </w:t>
      </w:r>
      <w:r w:rsidR="005D4AA3" w:rsidRPr="00F4226B">
        <w:rPr>
          <w:rFonts w:ascii="Times New Roman" w:hAnsi="Times New Roman"/>
          <w:sz w:val="24"/>
          <w:szCs w:val="24"/>
          <w:lang w:val="en-US"/>
        </w:rPr>
        <w:t xml:space="preserve">are not statistically significant, while those </w:t>
      </w:r>
      <w:r w:rsidR="009F3016" w:rsidRPr="00F4226B">
        <w:rPr>
          <w:rFonts w:ascii="Times New Roman" w:hAnsi="Times New Roman"/>
          <w:sz w:val="24"/>
          <w:szCs w:val="24"/>
          <w:lang w:val="en-US"/>
        </w:rPr>
        <w:t xml:space="preserve">in book values of </w:t>
      </w:r>
      <w:r w:rsidR="00856817">
        <w:rPr>
          <w:rFonts w:ascii="Times New Roman" w:hAnsi="Times New Roman"/>
          <w:sz w:val="24"/>
          <w:szCs w:val="24"/>
          <w:lang w:val="en-US"/>
        </w:rPr>
        <w:t>equity</w:t>
      </w:r>
      <w:r w:rsidR="009F3016" w:rsidRPr="00F4226B">
        <w:rPr>
          <w:rFonts w:ascii="Times New Roman" w:hAnsi="Times New Roman"/>
          <w:sz w:val="24"/>
          <w:szCs w:val="24"/>
          <w:lang w:val="en-US"/>
        </w:rPr>
        <w:t xml:space="preserve"> (</w:t>
      </w:r>
      <w:r w:rsidR="009F3016" w:rsidRPr="00F4226B">
        <w:rPr>
          <w:rFonts w:ascii="Times New Roman" w:hAnsi="Times New Roman"/>
          <w:i/>
          <w:sz w:val="24"/>
          <w:szCs w:val="24"/>
          <w:lang w:val="en-US"/>
        </w:rPr>
        <w:t>BV</w:t>
      </w:r>
      <w:r w:rsidR="009C05CE" w:rsidRPr="00F4226B">
        <w:rPr>
          <w:rFonts w:ascii="Times New Roman" w:hAnsi="Times New Roman"/>
          <w:i/>
          <w:sz w:val="24"/>
          <w:szCs w:val="24"/>
          <w:lang w:val="en-US"/>
        </w:rPr>
        <w:t>I</w:t>
      </w:r>
      <w:r w:rsidR="009F3016" w:rsidRPr="00F4226B">
        <w:rPr>
          <w:rFonts w:ascii="Times New Roman" w:hAnsi="Times New Roman"/>
          <w:i/>
          <w:sz w:val="24"/>
          <w:szCs w:val="24"/>
          <w:lang w:val="en-US"/>
        </w:rPr>
        <w:t xml:space="preserve">GLS) </w:t>
      </w:r>
      <w:r w:rsidR="009F3016" w:rsidRPr="00F4226B">
        <w:rPr>
          <w:rFonts w:ascii="Times New Roman" w:hAnsi="Times New Roman"/>
          <w:sz w:val="24"/>
          <w:szCs w:val="24"/>
          <w:lang w:val="en-US"/>
        </w:rPr>
        <w:t xml:space="preserve">are all significant at the </w:t>
      </w:r>
      <w:r w:rsidR="00076571" w:rsidRPr="00F4226B">
        <w:rPr>
          <w:rFonts w:ascii="Times New Roman" w:hAnsi="Times New Roman"/>
          <w:sz w:val="24"/>
          <w:szCs w:val="24"/>
          <w:lang w:val="en-US"/>
        </w:rPr>
        <w:t>1</w:t>
      </w:r>
      <w:r w:rsidR="009F3016" w:rsidRPr="00F4226B">
        <w:rPr>
          <w:rFonts w:ascii="Times New Roman" w:hAnsi="Times New Roman"/>
          <w:sz w:val="24"/>
          <w:szCs w:val="24"/>
          <w:lang w:val="en-US"/>
        </w:rPr>
        <w:t xml:space="preserve">% level. </w:t>
      </w:r>
      <w:r w:rsidR="004B278C" w:rsidRPr="00F4226B">
        <w:rPr>
          <w:rFonts w:ascii="Times New Roman" w:hAnsi="Times New Roman"/>
          <w:sz w:val="24"/>
          <w:szCs w:val="24"/>
          <w:lang w:val="en-US"/>
        </w:rPr>
        <w:t xml:space="preserve">These </w:t>
      </w:r>
      <w:r w:rsidR="00DE4FD5" w:rsidRPr="00F4226B">
        <w:rPr>
          <w:rFonts w:ascii="Times New Roman" w:hAnsi="Times New Roman"/>
          <w:sz w:val="24"/>
          <w:szCs w:val="24"/>
          <w:lang w:val="en-US"/>
        </w:rPr>
        <w:t xml:space="preserve">results support the work of </w:t>
      </w:r>
      <w:r w:rsidR="00E975E8" w:rsidRPr="00F4226B">
        <w:rPr>
          <w:rFonts w:ascii="Times New Roman" w:hAnsi="Times New Roman"/>
          <w:sz w:val="24"/>
          <w:szCs w:val="24"/>
          <w:lang w:val="en-US"/>
        </w:rPr>
        <w:t xml:space="preserve">Hughes et al. (2004) and </w:t>
      </w:r>
      <w:r w:rsidR="005A2D7C" w:rsidRPr="00F4226B">
        <w:rPr>
          <w:rFonts w:ascii="Times New Roman" w:hAnsi="Times New Roman"/>
          <w:sz w:val="24"/>
          <w:szCs w:val="24"/>
          <w:lang w:val="en-US"/>
        </w:rPr>
        <w:t>Ashton et al. (2011)</w:t>
      </w:r>
      <w:r w:rsidR="00D90226">
        <w:rPr>
          <w:rFonts w:ascii="Times New Roman" w:hAnsi="Times New Roman"/>
          <w:sz w:val="24"/>
          <w:szCs w:val="24"/>
          <w:lang w:val="en-US"/>
        </w:rPr>
        <w:t>, who demonstrate</w:t>
      </w:r>
      <w:r w:rsidR="00677C45" w:rsidRPr="00F4226B">
        <w:rPr>
          <w:rFonts w:ascii="Times New Roman" w:hAnsi="Times New Roman"/>
          <w:sz w:val="24"/>
          <w:szCs w:val="24"/>
          <w:lang w:val="en-US"/>
        </w:rPr>
        <w:t xml:space="preserve"> </w:t>
      </w:r>
      <w:r w:rsidR="005A2D7C" w:rsidRPr="00F4226B">
        <w:rPr>
          <w:rFonts w:ascii="Times New Roman" w:hAnsi="Times New Roman"/>
          <w:sz w:val="24"/>
          <w:szCs w:val="24"/>
          <w:lang w:val="en-US"/>
        </w:rPr>
        <w:t xml:space="preserve">that </w:t>
      </w:r>
      <w:r w:rsidR="00B506F5" w:rsidRPr="00F4226B">
        <w:rPr>
          <w:rFonts w:ascii="Times New Roman" w:hAnsi="Times New Roman"/>
          <w:sz w:val="24"/>
          <w:szCs w:val="24"/>
          <w:lang w:val="en-US"/>
        </w:rPr>
        <w:t xml:space="preserve">the valuation weights of </w:t>
      </w:r>
      <w:r w:rsidR="000534BE" w:rsidRPr="00F4226B">
        <w:rPr>
          <w:rFonts w:ascii="Times New Roman" w:hAnsi="Times New Roman"/>
          <w:sz w:val="24"/>
          <w:szCs w:val="24"/>
          <w:lang w:val="en-US"/>
        </w:rPr>
        <w:t xml:space="preserve">equity </w:t>
      </w:r>
      <w:r w:rsidR="00B506F5" w:rsidRPr="00F4226B">
        <w:rPr>
          <w:rFonts w:ascii="Times New Roman" w:hAnsi="Times New Roman"/>
          <w:sz w:val="24"/>
          <w:szCs w:val="24"/>
          <w:lang w:val="en-US"/>
        </w:rPr>
        <w:t xml:space="preserve">book values adjusted for inflation </w:t>
      </w:r>
      <w:r w:rsidR="00E74DC2" w:rsidRPr="00F4226B">
        <w:rPr>
          <w:rFonts w:ascii="Times New Roman" w:hAnsi="Times New Roman"/>
          <w:sz w:val="24"/>
          <w:szCs w:val="24"/>
          <w:lang w:val="en-US"/>
        </w:rPr>
        <w:t xml:space="preserve">are </w:t>
      </w:r>
      <w:r w:rsidR="00057336" w:rsidRPr="00F4226B">
        <w:rPr>
          <w:rFonts w:ascii="Times New Roman" w:hAnsi="Times New Roman"/>
          <w:sz w:val="24"/>
          <w:szCs w:val="24"/>
          <w:lang w:val="en-US"/>
        </w:rPr>
        <w:t xml:space="preserve">greater </w:t>
      </w:r>
      <w:r w:rsidR="00E74DC2" w:rsidRPr="00F4226B">
        <w:rPr>
          <w:rFonts w:ascii="Times New Roman" w:hAnsi="Times New Roman"/>
          <w:sz w:val="24"/>
          <w:szCs w:val="24"/>
          <w:lang w:val="en-US"/>
        </w:rPr>
        <w:t xml:space="preserve">than </w:t>
      </w:r>
      <w:r w:rsidR="00677C45" w:rsidRPr="00F4226B">
        <w:rPr>
          <w:rFonts w:ascii="Times New Roman" w:hAnsi="Times New Roman"/>
          <w:sz w:val="24"/>
          <w:szCs w:val="24"/>
          <w:lang w:val="en-US"/>
        </w:rPr>
        <w:t xml:space="preserve">those of </w:t>
      </w:r>
      <w:r w:rsidR="00E74DC2" w:rsidRPr="00F4226B">
        <w:rPr>
          <w:rFonts w:ascii="Times New Roman" w:hAnsi="Times New Roman"/>
          <w:sz w:val="24"/>
          <w:szCs w:val="24"/>
          <w:lang w:val="en-US"/>
        </w:rPr>
        <w:t>the HC</w:t>
      </w:r>
      <w:r w:rsidR="00F4226B">
        <w:rPr>
          <w:rFonts w:ascii="Times New Roman" w:hAnsi="Times New Roman"/>
          <w:sz w:val="24"/>
          <w:szCs w:val="24"/>
          <w:lang w:val="en-US"/>
        </w:rPr>
        <w:t>-</w:t>
      </w:r>
      <w:r w:rsidR="00E74DC2" w:rsidRPr="00F4226B">
        <w:rPr>
          <w:rFonts w:ascii="Times New Roman" w:hAnsi="Times New Roman"/>
          <w:sz w:val="24"/>
          <w:szCs w:val="24"/>
          <w:lang w:val="en-US"/>
        </w:rPr>
        <w:t>based book values. The</w:t>
      </w:r>
      <w:r w:rsidR="00677C45" w:rsidRPr="00F4226B">
        <w:rPr>
          <w:rFonts w:ascii="Times New Roman" w:hAnsi="Times New Roman"/>
          <w:sz w:val="24"/>
          <w:szCs w:val="24"/>
          <w:lang w:val="en-US"/>
        </w:rPr>
        <w:t xml:space="preserve"> authors a</w:t>
      </w:r>
      <w:r w:rsidR="00E74DC2" w:rsidRPr="00F4226B">
        <w:rPr>
          <w:rFonts w:ascii="Times New Roman" w:hAnsi="Times New Roman"/>
          <w:sz w:val="24"/>
          <w:szCs w:val="24"/>
          <w:lang w:val="en-US"/>
        </w:rPr>
        <w:t>ttribute this to the fact that IA a</w:t>
      </w:r>
      <w:r w:rsidR="00677C45" w:rsidRPr="00F4226B">
        <w:rPr>
          <w:rFonts w:ascii="Times New Roman" w:hAnsi="Times New Roman"/>
          <w:sz w:val="24"/>
          <w:szCs w:val="24"/>
          <w:lang w:val="en-US"/>
        </w:rPr>
        <w:t xml:space="preserve">mounts </w:t>
      </w:r>
      <w:r w:rsidR="00E74DC2" w:rsidRPr="00F4226B">
        <w:rPr>
          <w:rFonts w:ascii="Times New Roman" w:hAnsi="Times New Roman"/>
          <w:sz w:val="24"/>
          <w:szCs w:val="24"/>
          <w:lang w:val="en-US"/>
        </w:rPr>
        <w:t xml:space="preserve">reduce the loss of information </w:t>
      </w:r>
      <w:r w:rsidR="00057336" w:rsidRPr="00F4226B">
        <w:rPr>
          <w:rFonts w:ascii="Times New Roman" w:hAnsi="Times New Roman"/>
          <w:sz w:val="24"/>
          <w:szCs w:val="24"/>
          <w:lang w:val="en-US"/>
        </w:rPr>
        <w:t>associated with HC</w:t>
      </w:r>
      <w:r w:rsidR="00F4226B">
        <w:rPr>
          <w:rFonts w:ascii="Times New Roman" w:hAnsi="Times New Roman"/>
          <w:sz w:val="24"/>
          <w:szCs w:val="24"/>
          <w:lang w:val="en-US"/>
        </w:rPr>
        <w:t>-</w:t>
      </w:r>
      <w:r w:rsidR="00057336" w:rsidRPr="00F4226B">
        <w:rPr>
          <w:rFonts w:ascii="Times New Roman" w:hAnsi="Times New Roman"/>
          <w:sz w:val="24"/>
          <w:szCs w:val="24"/>
          <w:lang w:val="en-US"/>
        </w:rPr>
        <w:t xml:space="preserve">based </w:t>
      </w:r>
      <w:r w:rsidR="005A6CE4">
        <w:rPr>
          <w:rFonts w:ascii="Times New Roman" w:hAnsi="Times New Roman"/>
          <w:sz w:val="24"/>
          <w:szCs w:val="24"/>
          <w:lang w:val="en-US"/>
        </w:rPr>
        <w:t xml:space="preserve">equity </w:t>
      </w:r>
      <w:r w:rsidR="00E74DC2" w:rsidRPr="00F4226B">
        <w:rPr>
          <w:rFonts w:ascii="Times New Roman" w:hAnsi="Times New Roman"/>
          <w:sz w:val="24"/>
          <w:szCs w:val="24"/>
          <w:lang w:val="en-US"/>
        </w:rPr>
        <w:t>book values</w:t>
      </w:r>
      <w:r w:rsidR="00D90226">
        <w:rPr>
          <w:rFonts w:ascii="Times New Roman" w:hAnsi="Times New Roman"/>
          <w:sz w:val="24"/>
          <w:szCs w:val="24"/>
          <w:lang w:val="en-US"/>
        </w:rPr>
        <w:t>,</w:t>
      </w:r>
      <w:r w:rsidR="00E74DC2" w:rsidRPr="00F4226B">
        <w:rPr>
          <w:rFonts w:ascii="Times New Roman" w:hAnsi="Times New Roman"/>
          <w:sz w:val="24"/>
          <w:szCs w:val="24"/>
          <w:lang w:val="en-US"/>
        </w:rPr>
        <w:t xml:space="preserve"> leading </w:t>
      </w:r>
      <w:r w:rsidR="00E74DC2" w:rsidRPr="00F4226B">
        <w:rPr>
          <w:rFonts w:ascii="Times New Roman" w:hAnsi="Times New Roman"/>
          <w:sz w:val="24"/>
          <w:szCs w:val="24"/>
          <w:lang w:val="en-US"/>
        </w:rPr>
        <w:lastRenderedPageBreak/>
        <w:t>to better mapping of book values into equity values.</w:t>
      </w:r>
      <w:r w:rsidR="00B506F5" w:rsidRPr="00F4226B">
        <w:rPr>
          <w:rFonts w:ascii="Times New Roman" w:hAnsi="Times New Roman"/>
          <w:sz w:val="24"/>
          <w:szCs w:val="24"/>
          <w:lang w:val="en-US"/>
        </w:rPr>
        <w:t xml:space="preserve"> </w:t>
      </w:r>
      <w:r w:rsidR="00677C45" w:rsidRPr="00F4226B">
        <w:rPr>
          <w:rFonts w:ascii="Times New Roman" w:hAnsi="Times New Roman"/>
          <w:sz w:val="24"/>
          <w:szCs w:val="24"/>
          <w:lang w:val="en-US"/>
        </w:rPr>
        <w:t xml:space="preserve">The results are also in line with </w:t>
      </w:r>
      <w:r w:rsidR="00B8397D">
        <w:rPr>
          <w:rFonts w:ascii="Times New Roman" w:hAnsi="Times New Roman"/>
          <w:sz w:val="24"/>
          <w:szCs w:val="24"/>
          <w:lang w:val="en-US"/>
        </w:rPr>
        <w:t xml:space="preserve">those of </w:t>
      </w:r>
      <w:r w:rsidR="00E74DC2" w:rsidRPr="00F4226B">
        <w:rPr>
          <w:rFonts w:ascii="Times New Roman" w:hAnsi="Times New Roman"/>
          <w:sz w:val="24"/>
          <w:szCs w:val="24"/>
          <w:lang w:val="en-US"/>
        </w:rPr>
        <w:t>Konchitchki (2011</w:t>
      </w:r>
      <w:r w:rsidR="005A6CE4">
        <w:rPr>
          <w:rFonts w:ascii="Times New Roman" w:hAnsi="Times New Roman"/>
          <w:sz w:val="24"/>
          <w:szCs w:val="24"/>
          <w:lang w:val="en-US"/>
        </w:rPr>
        <w:t>;</w:t>
      </w:r>
      <w:r w:rsidR="00E74DC2" w:rsidRPr="00F4226B">
        <w:rPr>
          <w:rFonts w:ascii="Times New Roman" w:hAnsi="Times New Roman"/>
          <w:sz w:val="24"/>
          <w:szCs w:val="24"/>
          <w:lang w:val="en-US"/>
        </w:rPr>
        <w:t xml:space="preserve"> 2013)</w:t>
      </w:r>
      <w:r w:rsidR="00D90226">
        <w:rPr>
          <w:rFonts w:ascii="Times New Roman" w:hAnsi="Times New Roman"/>
          <w:sz w:val="24"/>
          <w:szCs w:val="24"/>
          <w:lang w:val="en-US"/>
        </w:rPr>
        <w:t>,</w:t>
      </w:r>
      <w:r w:rsidR="00E74DC2" w:rsidRPr="00F4226B">
        <w:rPr>
          <w:rFonts w:ascii="Times New Roman" w:hAnsi="Times New Roman"/>
          <w:sz w:val="24"/>
          <w:szCs w:val="24"/>
          <w:lang w:val="en-US"/>
        </w:rPr>
        <w:t xml:space="preserve"> </w:t>
      </w:r>
      <w:r w:rsidR="00677C45" w:rsidRPr="00F4226B">
        <w:rPr>
          <w:rFonts w:ascii="Times New Roman" w:hAnsi="Times New Roman"/>
          <w:sz w:val="24"/>
          <w:szCs w:val="24"/>
          <w:lang w:val="en-US"/>
        </w:rPr>
        <w:t xml:space="preserve">who </w:t>
      </w:r>
      <w:r w:rsidR="00E74DC2" w:rsidRPr="00F4226B">
        <w:rPr>
          <w:rFonts w:ascii="Times New Roman" w:hAnsi="Times New Roman"/>
          <w:sz w:val="24"/>
          <w:szCs w:val="24"/>
          <w:lang w:val="en-US"/>
        </w:rPr>
        <w:t>show</w:t>
      </w:r>
      <w:r w:rsidR="003F73A4">
        <w:rPr>
          <w:rFonts w:ascii="Times New Roman" w:hAnsi="Times New Roman"/>
          <w:sz w:val="24"/>
          <w:szCs w:val="24"/>
          <w:lang w:val="en-US"/>
        </w:rPr>
        <w:t>s</w:t>
      </w:r>
      <w:r w:rsidR="00E74DC2" w:rsidRPr="00F4226B">
        <w:rPr>
          <w:rFonts w:ascii="Times New Roman" w:hAnsi="Times New Roman"/>
          <w:sz w:val="24"/>
          <w:szCs w:val="24"/>
          <w:lang w:val="en-US"/>
        </w:rPr>
        <w:t xml:space="preserve"> that the inflation gains and losses from holding nonmonetary assets are </w:t>
      </w:r>
      <w:r w:rsidR="00677C45" w:rsidRPr="00F4226B">
        <w:rPr>
          <w:rFonts w:ascii="Times New Roman" w:hAnsi="Times New Roman"/>
          <w:sz w:val="24"/>
          <w:szCs w:val="24"/>
          <w:lang w:val="en-US"/>
        </w:rPr>
        <w:t>value relevant and suggest</w:t>
      </w:r>
      <w:r w:rsidR="003F73A4">
        <w:rPr>
          <w:rFonts w:ascii="Times New Roman" w:hAnsi="Times New Roman"/>
          <w:sz w:val="24"/>
          <w:szCs w:val="24"/>
          <w:lang w:val="en-US"/>
        </w:rPr>
        <w:t>s</w:t>
      </w:r>
      <w:r w:rsidR="00677C45" w:rsidRPr="00F4226B">
        <w:rPr>
          <w:rFonts w:ascii="Times New Roman" w:hAnsi="Times New Roman"/>
          <w:sz w:val="24"/>
          <w:szCs w:val="24"/>
          <w:lang w:val="en-US"/>
        </w:rPr>
        <w:t xml:space="preserve"> that </w:t>
      </w:r>
      <w:r w:rsidR="00E25FAB" w:rsidRPr="00F4226B">
        <w:rPr>
          <w:rFonts w:ascii="Times New Roman" w:hAnsi="Times New Roman"/>
          <w:sz w:val="24"/>
          <w:szCs w:val="24"/>
          <w:lang w:val="en-US"/>
        </w:rPr>
        <w:t xml:space="preserve">this stems from the fact that inflation gains and losses in </w:t>
      </w:r>
      <w:r w:rsidR="00D90226">
        <w:rPr>
          <w:rFonts w:ascii="Times New Roman" w:hAnsi="Times New Roman"/>
          <w:sz w:val="24"/>
          <w:szCs w:val="24"/>
          <w:lang w:val="en-US"/>
        </w:rPr>
        <w:t xml:space="preserve">the </w:t>
      </w:r>
      <w:r w:rsidR="00E25FAB" w:rsidRPr="00F4226B">
        <w:rPr>
          <w:rFonts w:ascii="Times New Roman" w:hAnsi="Times New Roman"/>
          <w:sz w:val="24"/>
          <w:szCs w:val="24"/>
          <w:lang w:val="en-US"/>
        </w:rPr>
        <w:t>book value of assets can t</w:t>
      </w:r>
      <w:r w:rsidR="004B278C" w:rsidRPr="00F4226B">
        <w:rPr>
          <w:rFonts w:ascii="Times New Roman" w:hAnsi="Times New Roman"/>
          <w:sz w:val="24"/>
          <w:szCs w:val="24"/>
          <w:lang w:val="en-US"/>
        </w:rPr>
        <w:t xml:space="preserve">ranslate </w:t>
      </w:r>
      <w:r w:rsidR="00E25FAB" w:rsidRPr="00F4226B">
        <w:rPr>
          <w:rFonts w:ascii="Times New Roman" w:hAnsi="Times New Roman"/>
          <w:sz w:val="24"/>
          <w:szCs w:val="24"/>
          <w:lang w:val="en-US"/>
        </w:rPr>
        <w:t xml:space="preserve">into future cash flows over time. </w:t>
      </w:r>
      <w:r w:rsidR="00265788" w:rsidRPr="00F4226B">
        <w:rPr>
          <w:rFonts w:ascii="Times New Roman" w:hAnsi="Times New Roman"/>
          <w:sz w:val="24"/>
          <w:szCs w:val="24"/>
          <w:lang w:val="en-US"/>
        </w:rPr>
        <w:t xml:space="preserve">We contend that </w:t>
      </w:r>
      <w:r w:rsidR="00184B60" w:rsidRPr="00F4226B">
        <w:rPr>
          <w:rFonts w:ascii="Times New Roman" w:hAnsi="Times New Roman"/>
          <w:sz w:val="24"/>
          <w:szCs w:val="24"/>
          <w:lang w:val="en-US"/>
        </w:rPr>
        <w:t>under the HC accounting system, i</w:t>
      </w:r>
      <w:r w:rsidR="00D2648B" w:rsidRPr="00F4226B">
        <w:rPr>
          <w:rFonts w:ascii="Times New Roman" w:hAnsi="Times New Roman"/>
          <w:sz w:val="24"/>
          <w:szCs w:val="24"/>
          <w:lang w:val="en-US"/>
        </w:rPr>
        <w:t xml:space="preserve">nvestors </w:t>
      </w:r>
      <w:r w:rsidR="00CC003C" w:rsidRPr="00F4226B">
        <w:rPr>
          <w:rFonts w:ascii="Times New Roman" w:hAnsi="Times New Roman"/>
          <w:sz w:val="24"/>
          <w:szCs w:val="24"/>
          <w:lang w:val="en-US"/>
        </w:rPr>
        <w:t xml:space="preserve">appear to </w:t>
      </w:r>
      <w:r w:rsidR="00621FBA" w:rsidRPr="00F4226B">
        <w:rPr>
          <w:rFonts w:ascii="Times New Roman" w:hAnsi="Times New Roman"/>
          <w:sz w:val="24"/>
          <w:szCs w:val="24"/>
          <w:lang w:val="en-US"/>
        </w:rPr>
        <w:t>fixate on earnings (Sloan 1996)</w:t>
      </w:r>
      <w:r w:rsidR="003059B8" w:rsidRPr="00F4226B">
        <w:rPr>
          <w:rFonts w:ascii="Times New Roman" w:hAnsi="Times New Roman"/>
          <w:sz w:val="24"/>
          <w:szCs w:val="24"/>
          <w:lang w:val="en-US"/>
        </w:rPr>
        <w:t xml:space="preserve"> but find both earnings and </w:t>
      </w:r>
      <w:r w:rsidR="005A6CE4">
        <w:rPr>
          <w:rFonts w:ascii="Times New Roman" w:hAnsi="Times New Roman"/>
          <w:sz w:val="24"/>
          <w:szCs w:val="24"/>
          <w:lang w:val="en-US"/>
        </w:rPr>
        <w:t xml:space="preserve">equity </w:t>
      </w:r>
      <w:r w:rsidR="003059B8" w:rsidRPr="00F4226B">
        <w:rPr>
          <w:rFonts w:ascii="Times New Roman" w:hAnsi="Times New Roman"/>
          <w:sz w:val="24"/>
          <w:szCs w:val="24"/>
          <w:lang w:val="en-US"/>
        </w:rPr>
        <w:t xml:space="preserve">book values </w:t>
      </w:r>
      <w:r w:rsidR="00265788" w:rsidRPr="00F4226B">
        <w:rPr>
          <w:rFonts w:ascii="Times New Roman" w:hAnsi="Times New Roman"/>
          <w:sz w:val="24"/>
          <w:szCs w:val="24"/>
          <w:lang w:val="en-US"/>
        </w:rPr>
        <w:t>informative under the IA accounting system</w:t>
      </w:r>
      <w:r w:rsidR="00621FBA" w:rsidRPr="00F4226B">
        <w:rPr>
          <w:rFonts w:ascii="Times New Roman" w:hAnsi="Times New Roman"/>
          <w:sz w:val="24"/>
          <w:szCs w:val="24"/>
          <w:lang w:val="en-US"/>
        </w:rPr>
        <w:t xml:space="preserve">. </w:t>
      </w:r>
      <w:r w:rsidR="00287A99" w:rsidRPr="00F4226B">
        <w:rPr>
          <w:rFonts w:ascii="Times New Roman" w:hAnsi="Times New Roman"/>
          <w:sz w:val="24"/>
          <w:szCs w:val="24"/>
          <w:lang w:val="en-US"/>
        </w:rPr>
        <w:t xml:space="preserve">Overall, similar to the returns model, these findings show that both HC and IA amounts are value relevant and </w:t>
      </w:r>
      <w:r w:rsidR="00D90226">
        <w:rPr>
          <w:rFonts w:ascii="Times New Roman" w:hAnsi="Times New Roman"/>
          <w:sz w:val="24"/>
          <w:szCs w:val="24"/>
          <w:lang w:val="en-US"/>
        </w:rPr>
        <w:t xml:space="preserve">that </w:t>
      </w:r>
      <w:r w:rsidR="00287A99" w:rsidRPr="00F4226B">
        <w:rPr>
          <w:rFonts w:ascii="Times New Roman" w:hAnsi="Times New Roman"/>
          <w:sz w:val="24"/>
          <w:szCs w:val="24"/>
          <w:lang w:val="en-US"/>
        </w:rPr>
        <w:t xml:space="preserve">their value relevance increases with increasing inflation rates. </w:t>
      </w:r>
      <w:r w:rsidR="009F60C6" w:rsidRPr="00F4226B">
        <w:rPr>
          <w:rFonts w:ascii="Times New Roman" w:hAnsi="Times New Roman"/>
          <w:sz w:val="24"/>
          <w:szCs w:val="24"/>
          <w:lang w:val="en-US"/>
        </w:rPr>
        <w:t xml:space="preserve">Thus </w:t>
      </w:r>
      <w:r w:rsidR="00287A99" w:rsidRPr="00F4226B">
        <w:rPr>
          <w:rFonts w:ascii="Times New Roman" w:hAnsi="Times New Roman"/>
          <w:sz w:val="24"/>
          <w:szCs w:val="24"/>
          <w:lang w:val="en-US"/>
        </w:rPr>
        <w:t>both HC and IA are informative about stock market prices.</w:t>
      </w:r>
    </w:p>
    <w:p w14:paraId="48FD14B8" w14:textId="77777777" w:rsidR="004B278C" w:rsidRPr="00F4226B" w:rsidRDefault="004B278C" w:rsidP="00CF3168">
      <w:pPr>
        <w:spacing w:line="360" w:lineRule="auto"/>
        <w:jc w:val="both"/>
        <w:rPr>
          <w:rFonts w:ascii="Times New Roman" w:hAnsi="Times New Roman"/>
          <w:sz w:val="24"/>
          <w:szCs w:val="24"/>
          <w:lang w:val="en-US"/>
        </w:rPr>
      </w:pPr>
    </w:p>
    <w:p w14:paraId="3010A585" w14:textId="77777777" w:rsidR="00D33DF0" w:rsidRPr="00804A08" w:rsidRDefault="002776D0" w:rsidP="003820D1">
      <w:pPr>
        <w:spacing w:line="360" w:lineRule="auto"/>
        <w:jc w:val="both"/>
        <w:outlineLvl w:val="0"/>
        <w:rPr>
          <w:rFonts w:ascii="Times New Roman" w:hAnsi="Times New Roman"/>
          <w:i/>
          <w:sz w:val="24"/>
          <w:szCs w:val="24"/>
          <w:lang w:val="en-US"/>
        </w:rPr>
      </w:pPr>
      <w:r w:rsidRPr="00804A08">
        <w:rPr>
          <w:rFonts w:ascii="Times New Roman" w:hAnsi="Times New Roman"/>
          <w:i/>
          <w:sz w:val="24"/>
          <w:szCs w:val="24"/>
          <w:lang w:val="en-US"/>
        </w:rPr>
        <w:t>5.</w:t>
      </w:r>
      <w:r w:rsidR="00C307E1" w:rsidRPr="00804A08">
        <w:rPr>
          <w:rFonts w:ascii="Times New Roman" w:hAnsi="Times New Roman"/>
          <w:i/>
          <w:sz w:val="24"/>
          <w:szCs w:val="24"/>
          <w:lang w:val="en-US"/>
        </w:rPr>
        <w:t>4</w:t>
      </w:r>
      <w:r w:rsidRPr="00804A08">
        <w:rPr>
          <w:rFonts w:ascii="Times New Roman" w:hAnsi="Times New Roman"/>
          <w:i/>
          <w:sz w:val="24"/>
          <w:szCs w:val="24"/>
          <w:lang w:val="en-US"/>
        </w:rPr>
        <w:t xml:space="preserve"> </w:t>
      </w:r>
      <w:r w:rsidR="00DA5903" w:rsidRPr="00804A08">
        <w:rPr>
          <w:rFonts w:ascii="Times New Roman" w:hAnsi="Times New Roman"/>
          <w:i/>
          <w:sz w:val="24"/>
          <w:szCs w:val="24"/>
          <w:lang w:val="en-US"/>
        </w:rPr>
        <w:t xml:space="preserve">Relative ability of HC and IA amounts </w:t>
      </w:r>
      <w:r w:rsidR="000534BE" w:rsidRPr="00804A08">
        <w:rPr>
          <w:rFonts w:ascii="Times New Roman" w:hAnsi="Times New Roman"/>
          <w:i/>
          <w:sz w:val="24"/>
          <w:szCs w:val="24"/>
          <w:lang w:val="en-US"/>
        </w:rPr>
        <w:t>to predict</w:t>
      </w:r>
      <w:r w:rsidR="005536A4" w:rsidRPr="00804A08">
        <w:rPr>
          <w:rFonts w:ascii="Times New Roman" w:hAnsi="Times New Roman"/>
          <w:i/>
          <w:sz w:val="24"/>
          <w:szCs w:val="24"/>
          <w:lang w:val="en-US"/>
        </w:rPr>
        <w:t xml:space="preserve"> </w:t>
      </w:r>
      <w:r w:rsidRPr="00804A08">
        <w:rPr>
          <w:rFonts w:ascii="Times New Roman" w:hAnsi="Times New Roman"/>
          <w:i/>
          <w:sz w:val="24"/>
          <w:szCs w:val="24"/>
          <w:lang w:val="en-US"/>
        </w:rPr>
        <w:t xml:space="preserve">future cash flows </w:t>
      </w:r>
    </w:p>
    <w:p w14:paraId="09AAAE85" w14:textId="2BF9EADD" w:rsidR="00ED5050" w:rsidRPr="00F4226B" w:rsidRDefault="0001340B" w:rsidP="00CF3168">
      <w:pPr>
        <w:spacing w:line="360" w:lineRule="auto"/>
        <w:jc w:val="both"/>
        <w:rPr>
          <w:rFonts w:ascii="Times New Roman" w:hAnsi="Times New Roman"/>
          <w:sz w:val="24"/>
          <w:szCs w:val="24"/>
          <w:lang w:val="en-US"/>
        </w:rPr>
      </w:pPr>
      <w:r w:rsidRPr="00F4226B">
        <w:rPr>
          <w:rFonts w:ascii="Times New Roman" w:hAnsi="Times New Roman"/>
          <w:sz w:val="24"/>
          <w:szCs w:val="24"/>
          <w:lang w:val="en-US"/>
        </w:rPr>
        <w:lastRenderedPageBreak/>
        <w:t xml:space="preserve">In the </w:t>
      </w:r>
      <w:r w:rsidR="00DE607E" w:rsidRPr="00F4226B">
        <w:rPr>
          <w:rFonts w:ascii="Times New Roman" w:hAnsi="Times New Roman"/>
          <w:sz w:val="24"/>
          <w:szCs w:val="24"/>
          <w:lang w:val="en-US"/>
        </w:rPr>
        <w:t xml:space="preserve">preceding </w:t>
      </w:r>
      <w:r w:rsidRPr="00F4226B">
        <w:rPr>
          <w:rFonts w:ascii="Times New Roman" w:hAnsi="Times New Roman"/>
          <w:sz w:val="24"/>
          <w:szCs w:val="24"/>
          <w:lang w:val="en-US"/>
        </w:rPr>
        <w:t xml:space="preserve">sections, the results </w:t>
      </w:r>
      <w:r w:rsidR="006910A9" w:rsidRPr="00F4226B">
        <w:rPr>
          <w:rFonts w:ascii="Times New Roman" w:hAnsi="Times New Roman"/>
          <w:sz w:val="24"/>
          <w:szCs w:val="24"/>
          <w:lang w:val="en-US"/>
        </w:rPr>
        <w:t>s</w:t>
      </w:r>
      <w:r w:rsidR="00B35891" w:rsidRPr="00F4226B">
        <w:rPr>
          <w:rFonts w:ascii="Times New Roman" w:hAnsi="Times New Roman"/>
          <w:sz w:val="24"/>
          <w:szCs w:val="24"/>
          <w:lang w:val="en-US"/>
        </w:rPr>
        <w:t>uggest t</w:t>
      </w:r>
      <w:r w:rsidR="002776D0" w:rsidRPr="00F4226B">
        <w:rPr>
          <w:rFonts w:ascii="Times New Roman" w:hAnsi="Times New Roman"/>
          <w:sz w:val="24"/>
          <w:szCs w:val="24"/>
          <w:lang w:val="en-US"/>
        </w:rPr>
        <w:t>hat</w:t>
      </w:r>
      <w:r w:rsidR="003F73A4">
        <w:rPr>
          <w:rFonts w:ascii="Times New Roman" w:hAnsi="Times New Roman"/>
          <w:sz w:val="24"/>
          <w:szCs w:val="24"/>
          <w:lang w:val="en-US"/>
        </w:rPr>
        <w:t>,</w:t>
      </w:r>
      <w:r w:rsidR="002776D0" w:rsidRPr="00F4226B">
        <w:rPr>
          <w:rFonts w:ascii="Times New Roman" w:hAnsi="Times New Roman"/>
          <w:sz w:val="24"/>
          <w:szCs w:val="24"/>
          <w:lang w:val="en-US"/>
        </w:rPr>
        <w:t xml:space="preserve"> </w:t>
      </w:r>
      <w:r w:rsidR="003A1F7A" w:rsidRPr="00F4226B">
        <w:rPr>
          <w:rFonts w:ascii="Times New Roman" w:hAnsi="Times New Roman"/>
          <w:sz w:val="24"/>
          <w:szCs w:val="24"/>
          <w:lang w:val="en-US"/>
        </w:rPr>
        <w:t xml:space="preserve">although both </w:t>
      </w:r>
      <w:r w:rsidR="002776D0" w:rsidRPr="00F4226B">
        <w:rPr>
          <w:rFonts w:ascii="Times New Roman" w:hAnsi="Times New Roman"/>
          <w:sz w:val="24"/>
          <w:szCs w:val="24"/>
          <w:lang w:val="en-US"/>
        </w:rPr>
        <w:t xml:space="preserve">HC </w:t>
      </w:r>
      <w:r w:rsidR="003A1F7A" w:rsidRPr="00F4226B">
        <w:rPr>
          <w:rFonts w:ascii="Times New Roman" w:hAnsi="Times New Roman"/>
          <w:sz w:val="24"/>
          <w:szCs w:val="24"/>
          <w:lang w:val="en-US"/>
        </w:rPr>
        <w:t xml:space="preserve">and IA amounts are value relevant, HC amounts exhibit </w:t>
      </w:r>
      <w:r w:rsidR="009C1B8B" w:rsidRPr="00F4226B">
        <w:rPr>
          <w:rFonts w:ascii="Times New Roman" w:hAnsi="Times New Roman"/>
          <w:sz w:val="24"/>
          <w:szCs w:val="24"/>
          <w:lang w:val="en-US"/>
        </w:rPr>
        <w:t xml:space="preserve">greater </w:t>
      </w:r>
      <w:r w:rsidR="002776D0" w:rsidRPr="00F4226B">
        <w:rPr>
          <w:rFonts w:ascii="Times New Roman" w:hAnsi="Times New Roman"/>
          <w:sz w:val="24"/>
          <w:szCs w:val="24"/>
          <w:lang w:val="en-US"/>
        </w:rPr>
        <w:t xml:space="preserve">value </w:t>
      </w:r>
      <w:r w:rsidR="00B8397D" w:rsidRPr="00F4226B">
        <w:rPr>
          <w:rFonts w:ascii="Times New Roman" w:hAnsi="Times New Roman"/>
          <w:sz w:val="24"/>
          <w:szCs w:val="24"/>
          <w:lang w:val="en-US"/>
        </w:rPr>
        <w:t>relevan</w:t>
      </w:r>
      <w:r w:rsidR="00B8397D">
        <w:rPr>
          <w:rFonts w:ascii="Times New Roman" w:hAnsi="Times New Roman"/>
          <w:sz w:val="24"/>
          <w:szCs w:val="24"/>
          <w:lang w:val="en-US"/>
        </w:rPr>
        <w:t>ce</w:t>
      </w:r>
      <w:r w:rsidR="00B8397D" w:rsidRPr="00F4226B">
        <w:rPr>
          <w:rFonts w:ascii="Times New Roman" w:hAnsi="Times New Roman"/>
          <w:sz w:val="24"/>
          <w:szCs w:val="24"/>
          <w:lang w:val="en-US"/>
        </w:rPr>
        <w:t xml:space="preserve"> </w:t>
      </w:r>
      <w:r w:rsidR="002776D0" w:rsidRPr="00F4226B">
        <w:rPr>
          <w:rFonts w:ascii="Times New Roman" w:hAnsi="Times New Roman"/>
          <w:sz w:val="24"/>
          <w:szCs w:val="24"/>
          <w:lang w:val="en-US"/>
        </w:rPr>
        <w:t xml:space="preserve">than IA </w:t>
      </w:r>
      <w:r w:rsidR="003A1F7A" w:rsidRPr="00F4226B">
        <w:rPr>
          <w:rFonts w:ascii="Times New Roman" w:hAnsi="Times New Roman"/>
          <w:sz w:val="24"/>
          <w:szCs w:val="24"/>
          <w:lang w:val="en-US"/>
        </w:rPr>
        <w:t>amounts</w:t>
      </w:r>
      <w:r w:rsidR="002776D0" w:rsidRPr="00F4226B">
        <w:rPr>
          <w:rFonts w:ascii="Times New Roman" w:hAnsi="Times New Roman"/>
          <w:sz w:val="24"/>
          <w:szCs w:val="24"/>
          <w:lang w:val="en-US"/>
        </w:rPr>
        <w:t xml:space="preserve">. </w:t>
      </w:r>
      <w:r w:rsidR="00DE607E" w:rsidRPr="00F4226B">
        <w:rPr>
          <w:rFonts w:ascii="Times New Roman" w:hAnsi="Times New Roman"/>
          <w:sz w:val="24"/>
          <w:szCs w:val="24"/>
          <w:lang w:val="en-US"/>
        </w:rPr>
        <w:t xml:space="preserve">These results are </w:t>
      </w:r>
      <w:r w:rsidRPr="00F4226B">
        <w:rPr>
          <w:rFonts w:ascii="Times New Roman" w:hAnsi="Times New Roman"/>
          <w:sz w:val="24"/>
          <w:szCs w:val="24"/>
          <w:lang w:val="en-US"/>
        </w:rPr>
        <w:t>inc</w:t>
      </w:r>
      <w:r w:rsidR="00DE607E" w:rsidRPr="00F4226B">
        <w:rPr>
          <w:rFonts w:ascii="Times New Roman" w:hAnsi="Times New Roman"/>
          <w:sz w:val="24"/>
          <w:szCs w:val="24"/>
          <w:lang w:val="en-US"/>
        </w:rPr>
        <w:t>onsistent with normative theory</w:t>
      </w:r>
      <w:r w:rsidR="00AE1ED5" w:rsidRPr="00F4226B">
        <w:rPr>
          <w:rFonts w:ascii="Times New Roman" w:hAnsi="Times New Roman"/>
          <w:sz w:val="24"/>
          <w:szCs w:val="24"/>
          <w:lang w:val="en-US"/>
        </w:rPr>
        <w:t xml:space="preserve"> (Thies and Sturrock 1987; Bartley and Boardman 1990; IASB 2011</w:t>
      </w:r>
      <w:r w:rsidRPr="00F4226B">
        <w:rPr>
          <w:rFonts w:ascii="Times New Roman" w:hAnsi="Times New Roman"/>
          <w:sz w:val="24"/>
          <w:szCs w:val="24"/>
          <w:lang w:val="en-US"/>
        </w:rPr>
        <w:t>; Konchitchki 2011</w:t>
      </w:r>
      <w:r w:rsidR="00AE1ED5" w:rsidRPr="00F4226B">
        <w:rPr>
          <w:rFonts w:ascii="Times New Roman" w:hAnsi="Times New Roman"/>
          <w:sz w:val="24"/>
          <w:szCs w:val="24"/>
          <w:lang w:val="en-US"/>
        </w:rPr>
        <w:t>)</w:t>
      </w:r>
      <w:r w:rsidR="003A1F7A" w:rsidRPr="00F4226B">
        <w:rPr>
          <w:rFonts w:ascii="Times New Roman" w:hAnsi="Times New Roman"/>
          <w:sz w:val="24"/>
          <w:szCs w:val="24"/>
          <w:lang w:val="en-US"/>
        </w:rPr>
        <w:t>, and t</w:t>
      </w:r>
      <w:r w:rsidR="00DE607E" w:rsidRPr="00F4226B">
        <w:rPr>
          <w:rFonts w:ascii="Times New Roman" w:hAnsi="Times New Roman"/>
          <w:sz w:val="24"/>
          <w:szCs w:val="24"/>
          <w:lang w:val="en-US"/>
        </w:rPr>
        <w:t>herefore a</w:t>
      </w:r>
      <w:r w:rsidR="002776D0" w:rsidRPr="00F4226B">
        <w:rPr>
          <w:rFonts w:ascii="Times New Roman" w:hAnsi="Times New Roman"/>
          <w:sz w:val="24"/>
          <w:szCs w:val="24"/>
          <w:lang w:val="en-US"/>
        </w:rPr>
        <w:t xml:space="preserve"> natural question </w:t>
      </w:r>
      <w:r w:rsidR="005C2AA8" w:rsidRPr="00F4226B">
        <w:rPr>
          <w:rFonts w:ascii="Times New Roman" w:hAnsi="Times New Roman"/>
          <w:sz w:val="24"/>
          <w:szCs w:val="24"/>
          <w:lang w:val="en-US"/>
        </w:rPr>
        <w:t>arise</w:t>
      </w:r>
      <w:r w:rsidR="002776D0" w:rsidRPr="00F4226B">
        <w:rPr>
          <w:rFonts w:ascii="Times New Roman" w:hAnsi="Times New Roman"/>
          <w:sz w:val="24"/>
          <w:szCs w:val="24"/>
          <w:lang w:val="en-US"/>
        </w:rPr>
        <w:t xml:space="preserve">s: what do investors see in HC </w:t>
      </w:r>
      <w:r w:rsidR="003A1F7A" w:rsidRPr="00F4226B">
        <w:rPr>
          <w:rFonts w:ascii="Times New Roman" w:hAnsi="Times New Roman"/>
          <w:sz w:val="24"/>
          <w:szCs w:val="24"/>
          <w:lang w:val="en-US"/>
        </w:rPr>
        <w:t xml:space="preserve">amounts </w:t>
      </w:r>
      <w:r w:rsidR="002776D0" w:rsidRPr="00F4226B">
        <w:rPr>
          <w:rFonts w:ascii="Times New Roman" w:hAnsi="Times New Roman"/>
          <w:sz w:val="24"/>
          <w:szCs w:val="24"/>
          <w:lang w:val="en-US"/>
        </w:rPr>
        <w:t xml:space="preserve">that leads them to price the information differently from IA </w:t>
      </w:r>
      <w:r w:rsidR="003A1F7A" w:rsidRPr="00F4226B">
        <w:rPr>
          <w:rFonts w:ascii="Times New Roman" w:hAnsi="Times New Roman"/>
          <w:sz w:val="24"/>
          <w:szCs w:val="24"/>
          <w:lang w:val="en-US"/>
        </w:rPr>
        <w:t>amounts</w:t>
      </w:r>
      <w:r w:rsidR="002776D0" w:rsidRPr="00F4226B">
        <w:rPr>
          <w:rFonts w:ascii="Times New Roman" w:hAnsi="Times New Roman"/>
          <w:sz w:val="24"/>
          <w:szCs w:val="24"/>
          <w:lang w:val="en-US"/>
        </w:rPr>
        <w:t>?</w:t>
      </w:r>
      <w:r w:rsidR="000534F1" w:rsidRPr="00F4226B">
        <w:rPr>
          <w:rFonts w:ascii="Times New Roman" w:hAnsi="Times New Roman"/>
          <w:sz w:val="24"/>
          <w:szCs w:val="24"/>
          <w:lang w:val="en-US"/>
        </w:rPr>
        <w:t xml:space="preserve"> </w:t>
      </w:r>
      <w:r w:rsidR="00AD1228" w:rsidRPr="00F4226B">
        <w:rPr>
          <w:rFonts w:ascii="Times New Roman" w:hAnsi="Times New Roman"/>
          <w:sz w:val="24"/>
          <w:szCs w:val="24"/>
          <w:lang w:val="en-US"/>
        </w:rPr>
        <w:t>As we note</w:t>
      </w:r>
      <w:r w:rsidR="00B8397D">
        <w:rPr>
          <w:rFonts w:ascii="Times New Roman" w:hAnsi="Times New Roman"/>
          <w:sz w:val="24"/>
          <w:szCs w:val="24"/>
          <w:lang w:val="en-US"/>
        </w:rPr>
        <w:t>d</w:t>
      </w:r>
      <w:r w:rsidR="00AD1228" w:rsidRPr="00F4226B">
        <w:rPr>
          <w:rFonts w:ascii="Times New Roman" w:hAnsi="Times New Roman"/>
          <w:sz w:val="24"/>
          <w:szCs w:val="24"/>
          <w:lang w:val="en-US"/>
        </w:rPr>
        <w:t xml:space="preserve"> </w:t>
      </w:r>
      <w:r w:rsidR="00BF10AC" w:rsidRPr="00F4226B">
        <w:rPr>
          <w:rFonts w:ascii="Times New Roman" w:hAnsi="Times New Roman"/>
          <w:sz w:val="24"/>
          <w:szCs w:val="24"/>
          <w:lang w:val="en-US"/>
        </w:rPr>
        <w:t>earlier</w:t>
      </w:r>
      <w:r w:rsidR="00AD1228" w:rsidRPr="00F4226B">
        <w:rPr>
          <w:rFonts w:ascii="Times New Roman" w:hAnsi="Times New Roman"/>
          <w:sz w:val="24"/>
          <w:szCs w:val="24"/>
          <w:lang w:val="en-US"/>
        </w:rPr>
        <w:t>, p</w:t>
      </w:r>
      <w:r w:rsidR="00254D0B" w:rsidRPr="00F4226B">
        <w:rPr>
          <w:rFonts w:ascii="Times New Roman" w:hAnsi="Times New Roman"/>
          <w:sz w:val="24"/>
          <w:szCs w:val="24"/>
          <w:lang w:val="en-US"/>
        </w:rPr>
        <w:t>r</w:t>
      </w:r>
      <w:r w:rsidR="00BC1046" w:rsidRPr="00F4226B">
        <w:rPr>
          <w:rFonts w:ascii="Times New Roman" w:hAnsi="Times New Roman"/>
          <w:sz w:val="24"/>
          <w:szCs w:val="24"/>
          <w:lang w:val="en-US"/>
        </w:rPr>
        <w:t>ior</w:t>
      </w:r>
      <w:r w:rsidR="00254D0B" w:rsidRPr="00F4226B">
        <w:rPr>
          <w:rFonts w:ascii="Times New Roman" w:hAnsi="Times New Roman"/>
          <w:sz w:val="24"/>
          <w:szCs w:val="24"/>
          <w:lang w:val="en-US"/>
        </w:rPr>
        <w:t xml:space="preserve"> research (</w:t>
      </w:r>
      <w:r w:rsidR="005F7516" w:rsidRPr="00F4226B">
        <w:rPr>
          <w:rFonts w:ascii="Times New Roman" w:hAnsi="Times New Roman"/>
          <w:sz w:val="24"/>
          <w:szCs w:val="24"/>
          <w:lang w:val="en-US"/>
        </w:rPr>
        <w:t xml:space="preserve">Finger 1994; </w:t>
      </w:r>
      <w:r w:rsidR="000534F1" w:rsidRPr="00F4226B">
        <w:rPr>
          <w:rFonts w:ascii="Times New Roman" w:hAnsi="Times New Roman"/>
          <w:sz w:val="24"/>
          <w:szCs w:val="24"/>
          <w:lang w:val="en-US"/>
        </w:rPr>
        <w:t>Sloan</w:t>
      </w:r>
      <w:r w:rsidR="00254D0B" w:rsidRPr="00F4226B">
        <w:rPr>
          <w:rFonts w:ascii="Times New Roman" w:hAnsi="Times New Roman"/>
          <w:sz w:val="24"/>
          <w:szCs w:val="24"/>
          <w:lang w:val="en-US"/>
        </w:rPr>
        <w:t xml:space="preserve"> </w:t>
      </w:r>
      <w:r w:rsidR="000534F1" w:rsidRPr="00F4226B">
        <w:rPr>
          <w:rFonts w:ascii="Times New Roman" w:hAnsi="Times New Roman"/>
          <w:sz w:val="24"/>
          <w:szCs w:val="24"/>
          <w:lang w:val="en-US"/>
        </w:rPr>
        <w:t>1996</w:t>
      </w:r>
      <w:r w:rsidR="00254D0B" w:rsidRPr="00F4226B">
        <w:rPr>
          <w:rFonts w:ascii="Times New Roman" w:hAnsi="Times New Roman"/>
          <w:sz w:val="24"/>
          <w:szCs w:val="24"/>
          <w:lang w:val="en-US"/>
        </w:rPr>
        <w:t xml:space="preserve">; </w:t>
      </w:r>
      <w:r w:rsidR="00A50B1F" w:rsidRPr="00F4226B">
        <w:rPr>
          <w:rFonts w:ascii="Times New Roman" w:hAnsi="Times New Roman"/>
          <w:sz w:val="24"/>
          <w:szCs w:val="24"/>
          <w:lang w:val="en-US"/>
        </w:rPr>
        <w:t xml:space="preserve">Dechow et al. 1998; </w:t>
      </w:r>
      <w:r w:rsidR="000534F1" w:rsidRPr="00F4226B">
        <w:rPr>
          <w:rFonts w:ascii="Times New Roman" w:hAnsi="Times New Roman"/>
          <w:sz w:val="24"/>
          <w:szCs w:val="24"/>
          <w:lang w:val="en-US"/>
        </w:rPr>
        <w:t>Barth et al</w:t>
      </w:r>
      <w:r w:rsidR="00254D0B" w:rsidRPr="00F4226B">
        <w:rPr>
          <w:rFonts w:ascii="Times New Roman" w:hAnsi="Times New Roman"/>
          <w:sz w:val="24"/>
          <w:szCs w:val="24"/>
          <w:lang w:val="en-US"/>
        </w:rPr>
        <w:t xml:space="preserve">. </w:t>
      </w:r>
      <w:r w:rsidR="000534F1" w:rsidRPr="00F4226B">
        <w:rPr>
          <w:rFonts w:ascii="Times New Roman" w:hAnsi="Times New Roman"/>
          <w:sz w:val="24"/>
          <w:szCs w:val="24"/>
          <w:lang w:val="en-US"/>
        </w:rPr>
        <w:t>2001</w:t>
      </w:r>
      <w:r w:rsidR="00812848" w:rsidRPr="00F4226B">
        <w:rPr>
          <w:rFonts w:ascii="Times New Roman" w:hAnsi="Times New Roman"/>
          <w:sz w:val="24"/>
          <w:szCs w:val="24"/>
          <w:lang w:val="en-US"/>
        </w:rPr>
        <w:t>a</w:t>
      </w:r>
      <w:r w:rsidR="00254D0B" w:rsidRPr="00F4226B">
        <w:rPr>
          <w:rFonts w:ascii="Times New Roman" w:hAnsi="Times New Roman"/>
          <w:sz w:val="24"/>
          <w:szCs w:val="24"/>
          <w:lang w:val="en-US"/>
        </w:rPr>
        <w:t xml:space="preserve">; Bartov et al. 2001) </w:t>
      </w:r>
      <w:r w:rsidR="002F6864" w:rsidRPr="00F4226B">
        <w:rPr>
          <w:rFonts w:ascii="Times New Roman" w:hAnsi="Times New Roman"/>
          <w:sz w:val="24"/>
          <w:szCs w:val="24"/>
          <w:lang w:val="en-US"/>
        </w:rPr>
        <w:t xml:space="preserve">suggests </w:t>
      </w:r>
      <w:r w:rsidR="000534F1" w:rsidRPr="00F4226B">
        <w:rPr>
          <w:rFonts w:ascii="Times New Roman" w:hAnsi="Times New Roman"/>
          <w:sz w:val="24"/>
          <w:szCs w:val="24"/>
          <w:lang w:val="en-US"/>
        </w:rPr>
        <w:t xml:space="preserve">that </w:t>
      </w:r>
      <w:r w:rsidR="002F6864" w:rsidRPr="00F4226B">
        <w:rPr>
          <w:rFonts w:ascii="Times New Roman" w:hAnsi="Times New Roman"/>
          <w:sz w:val="24"/>
          <w:szCs w:val="24"/>
          <w:lang w:val="en-US"/>
        </w:rPr>
        <w:t xml:space="preserve">the </w:t>
      </w:r>
      <w:r w:rsidR="003A1F7A" w:rsidRPr="00F4226B">
        <w:rPr>
          <w:rFonts w:ascii="Times New Roman" w:hAnsi="Times New Roman"/>
          <w:sz w:val="24"/>
          <w:szCs w:val="24"/>
          <w:lang w:val="en-US"/>
        </w:rPr>
        <w:t xml:space="preserve">answer lies </w:t>
      </w:r>
      <w:r w:rsidR="00BF10AC" w:rsidRPr="00F4226B">
        <w:rPr>
          <w:rFonts w:ascii="Times New Roman" w:hAnsi="Times New Roman"/>
          <w:sz w:val="24"/>
          <w:szCs w:val="24"/>
          <w:lang w:val="en-US"/>
        </w:rPr>
        <w:t xml:space="preserve">in </w:t>
      </w:r>
      <w:r w:rsidR="002F6864" w:rsidRPr="00F4226B">
        <w:rPr>
          <w:rFonts w:ascii="Times New Roman" w:hAnsi="Times New Roman"/>
          <w:sz w:val="24"/>
          <w:szCs w:val="24"/>
          <w:lang w:val="en-US"/>
        </w:rPr>
        <w:t xml:space="preserve">the ability of the two measures to </w:t>
      </w:r>
      <w:r w:rsidR="000534F1" w:rsidRPr="00F4226B">
        <w:rPr>
          <w:rFonts w:ascii="Times New Roman" w:hAnsi="Times New Roman"/>
          <w:sz w:val="24"/>
          <w:szCs w:val="24"/>
          <w:lang w:val="en-US"/>
        </w:rPr>
        <w:t xml:space="preserve">predict future cash </w:t>
      </w:r>
      <w:r w:rsidR="00F607E5" w:rsidRPr="00F4226B">
        <w:rPr>
          <w:rFonts w:ascii="Times New Roman" w:hAnsi="Times New Roman"/>
          <w:sz w:val="24"/>
          <w:szCs w:val="24"/>
          <w:lang w:val="en-US"/>
        </w:rPr>
        <w:t>flows</w:t>
      </w:r>
      <w:r w:rsidR="002F6864" w:rsidRPr="00F4226B">
        <w:rPr>
          <w:rFonts w:ascii="Times New Roman" w:hAnsi="Times New Roman"/>
          <w:sz w:val="24"/>
          <w:szCs w:val="24"/>
          <w:lang w:val="en-US"/>
        </w:rPr>
        <w:t xml:space="preserve"> from operations. </w:t>
      </w:r>
      <w:r w:rsidR="00833A6C" w:rsidRPr="00F4226B">
        <w:rPr>
          <w:rFonts w:ascii="Times New Roman" w:hAnsi="Times New Roman"/>
          <w:sz w:val="24"/>
          <w:szCs w:val="24"/>
          <w:lang w:val="en-US"/>
        </w:rPr>
        <w:t>We follow th</w:t>
      </w:r>
      <w:r w:rsidR="00CD169E" w:rsidRPr="00F4226B">
        <w:rPr>
          <w:rFonts w:ascii="Times New Roman" w:hAnsi="Times New Roman"/>
          <w:sz w:val="24"/>
          <w:szCs w:val="24"/>
          <w:lang w:val="en-US"/>
        </w:rPr>
        <w:t>ese</w:t>
      </w:r>
      <w:r w:rsidR="00833A6C" w:rsidRPr="00F4226B">
        <w:rPr>
          <w:rFonts w:ascii="Times New Roman" w:hAnsi="Times New Roman"/>
          <w:sz w:val="24"/>
          <w:szCs w:val="24"/>
          <w:lang w:val="en-US"/>
        </w:rPr>
        <w:t xml:space="preserve"> </w:t>
      </w:r>
      <w:r w:rsidR="00CD169E" w:rsidRPr="00F4226B">
        <w:rPr>
          <w:rFonts w:ascii="Times New Roman" w:hAnsi="Times New Roman"/>
          <w:sz w:val="24"/>
          <w:szCs w:val="24"/>
          <w:lang w:val="en-US"/>
        </w:rPr>
        <w:t>studies</w:t>
      </w:r>
      <w:r w:rsidR="00833A6C" w:rsidRPr="00F4226B">
        <w:rPr>
          <w:rFonts w:ascii="Times New Roman" w:hAnsi="Times New Roman"/>
          <w:sz w:val="24"/>
          <w:szCs w:val="24"/>
          <w:lang w:val="en-US"/>
        </w:rPr>
        <w:t xml:space="preserve"> and </w:t>
      </w:r>
      <w:r w:rsidR="00BC1046" w:rsidRPr="00F4226B">
        <w:rPr>
          <w:rFonts w:ascii="Times New Roman" w:hAnsi="Times New Roman"/>
          <w:sz w:val="24"/>
          <w:szCs w:val="24"/>
          <w:lang w:val="en-US"/>
        </w:rPr>
        <w:t xml:space="preserve">make </w:t>
      </w:r>
      <w:r w:rsidR="00C656A2" w:rsidRPr="00F4226B">
        <w:rPr>
          <w:rFonts w:ascii="Times New Roman" w:hAnsi="Times New Roman"/>
          <w:sz w:val="24"/>
          <w:szCs w:val="24"/>
          <w:lang w:val="en-US"/>
        </w:rPr>
        <w:t xml:space="preserve">the </w:t>
      </w:r>
      <w:r w:rsidR="002F6864" w:rsidRPr="00F4226B">
        <w:rPr>
          <w:rFonts w:ascii="Times New Roman" w:hAnsi="Times New Roman"/>
          <w:sz w:val="24"/>
          <w:szCs w:val="24"/>
          <w:lang w:val="en-US"/>
        </w:rPr>
        <w:t xml:space="preserve">first </w:t>
      </w:r>
      <w:r w:rsidR="00BC1046" w:rsidRPr="00F4226B">
        <w:rPr>
          <w:rFonts w:ascii="Times New Roman" w:hAnsi="Times New Roman"/>
          <w:sz w:val="24"/>
          <w:szCs w:val="24"/>
          <w:lang w:val="en-US"/>
        </w:rPr>
        <w:t>attempt to address th</w:t>
      </w:r>
      <w:r w:rsidR="00833A6C" w:rsidRPr="00F4226B">
        <w:rPr>
          <w:rFonts w:ascii="Times New Roman" w:hAnsi="Times New Roman"/>
          <w:sz w:val="24"/>
          <w:szCs w:val="24"/>
          <w:lang w:val="en-US"/>
        </w:rPr>
        <w:t>e above</w:t>
      </w:r>
      <w:r w:rsidR="00BC1046" w:rsidRPr="00F4226B">
        <w:rPr>
          <w:rFonts w:ascii="Times New Roman" w:hAnsi="Times New Roman"/>
          <w:sz w:val="24"/>
          <w:szCs w:val="24"/>
          <w:lang w:val="en-US"/>
        </w:rPr>
        <w:t xml:space="preserve"> question by testing the relative ability of </w:t>
      </w:r>
      <w:r w:rsidR="0027655D" w:rsidRPr="00F4226B">
        <w:rPr>
          <w:rFonts w:ascii="Times New Roman" w:hAnsi="Times New Roman"/>
          <w:sz w:val="24"/>
          <w:szCs w:val="24"/>
          <w:lang w:val="en-US"/>
        </w:rPr>
        <w:t xml:space="preserve">current </w:t>
      </w:r>
      <w:r w:rsidR="00BC1046" w:rsidRPr="00F4226B">
        <w:rPr>
          <w:rFonts w:ascii="Times New Roman" w:hAnsi="Times New Roman"/>
          <w:sz w:val="24"/>
          <w:szCs w:val="24"/>
          <w:lang w:val="en-US"/>
        </w:rPr>
        <w:t xml:space="preserve">HC and IA </w:t>
      </w:r>
      <w:r w:rsidR="005F7516" w:rsidRPr="00F4226B">
        <w:rPr>
          <w:rFonts w:ascii="Times New Roman" w:hAnsi="Times New Roman"/>
          <w:sz w:val="24"/>
          <w:szCs w:val="24"/>
          <w:lang w:val="en-US"/>
        </w:rPr>
        <w:t>amounts</w:t>
      </w:r>
      <w:r w:rsidR="00BC1046" w:rsidRPr="00F4226B">
        <w:rPr>
          <w:rFonts w:ascii="Times New Roman" w:hAnsi="Times New Roman"/>
          <w:sz w:val="24"/>
          <w:szCs w:val="24"/>
          <w:lang w:val="en-US"/>
        </w:rPr>
        <w:t xml:space="preserve"> to predict future cash flows</w:t>
      </w:r>
      <w:r w:rsidR="00CD169E" w:rsidRPr="00F4226B">
        <w:rPr>
          <w:rFonts w:ascii="Times New Roman" w:hAnsi="Times New Roman"/>
          <w:sz w:val="24"/>
          <w:szCs w:val="24"/>
          <w:lang w:val="en-US"/>
        </w:rPr>
        <w:t xml:space="preserve">. However, </w:t>
      </w:r>
      <w:r w:rsidR="00B8397D">
        <w:rPr>
          <w:rFonts w:ascii="Times New Roman" w:hAnsi="Times New Roman"/>
          <w:sz w:val="24"/>
          <w:szCs w:val="24"/>
          <w:lang w:val="en-US"/>
        </w:rPr>
        <w:t>in contrast to</w:t>
      </w:r>
      <w:r w:rsidR="00B8397D" w:rsidRPr="00F4226B">
        <w:rPr>
          <w:rFonts w:ascii="Times New Roman" w:hAnsi="Times New Roman"/>
          <w:sz w:val="24"/>
          <w:szCs w:val="24"/>
          <w:lang w:val="en-US"/>
        </w:rPr>
        <w:t xml:space="preserve"> </w:t>
      </w:r>
      <w:r w:rsidR="00CD169E" w:rsidRPr="00F4226B">
        <w:rPr>
          <w:rFonts w:ascii="Times New Roman" w:hAnsi="Times New Roman"/>
          <w:sz w:val="24"/>
          <w:szCs w:val="24"/>
          <w:lang w:val="en-US"/>
        </w:rPr>
        <w:t xml:space="preserve">these studies, our primary </w:t>
      </w:r>
      <w:r w:rsidR="00A50B1F" w:rsidRPr="00F4226B">
        <w:rPr>
          <w:rFonts w:ascii="Times New Roman" w:hAnsi="Times New Roman"/>
          <w:sz w:val="24"/>
          <w:szCs w:val="24"/>
          <w:lang w:val="en-US"/>
        </w:rPr>
        <w:t>focus</w:t>
      </w:r>
      <w:r w:rsidR="00CD169E" w:rsidRPr="00F4226B">
        <w:rPr>
          <w:rFonts w:ascii="Times New Roman" w:hAnsi="Times New Roman"/>
          <w:sz w:val="24"/>
          <w:szCs w:val="24"/>
          <w:lang w:val="en-US"/>
        </w:rPr>
        <w:t xml:space="preserve"> in these analyses is not </w:t>
      </w:r>
      <w:r w:rsidR="00B8397D">
        <w:rPr>
          <w:rFonts w:ascii="Times New Roman" w:hAnsi="Times New Roman"/>
          <w:sz w:val="24"/>
          <w:szCs w:val="24"/>
          <w:lang w:val="en-US"/>
        </w:rPr>
        <w:t xml:space="preserve">to determine </w:t>
      </w:r>
      <w:r w:rsidR="00CD169E" w:rsidRPr="00F4226B">
        <w:rPr>
          <w:rFonts w:ascii="Times New Roman" w:hAnsi="Times New Roman"/>
          <w:bCs/>
          <w:sz w:val="24"/>
          <w:szCs w:val="24"/>
          <w:lang w:val="en-US"/>
        </w:rPr>
        <w:t>whether current earnings or cash flows better predict</w:t>
      </w:r>
      <w:r w:rsidR="00A82995">
        <w:rPr>
          <w:rFonts w:ascii="Times New Roman" w:hAnsi="Times New Roman"/>
          <w:bCs/>
          <w:sz w:val="24"/>
          <w:szCs w:val="24"/>
          <w:lang w:val="en-US"/>
        </w:rPr>
        <w:t xml:space="preserve"> </w:t>
      </w:r>
      <w:r w:rsidR="00CD169E" w:rsidRPr="00F4226B">
        <w:rPr>
          <w:rFonts w:ascii="Times New Roman" w:hAnsi="Times New Roman"/>
          <w:bCs/>
          <w:sz w:val="24"/>
          <w:szCs w:val="24"/>
          <w:lang w:val="en-US"/>
        </w:rPr>
        <w:t xml:space="preserve">future cash flows but to examine the </w:t>
      </w:r>
      <w:r w:rsidR="00CD169E" w:rsidRPr="00F4226B">
        <w:rPr>
          <w:rFonts w:ascii="Times New Roman" w:hAnsi="Times New Roman"/>
          <w:bCs/>
          <w:sz w:val="24"/>
          <w:szCs w:val="24"/>
          <w:lang w:val="en-US"/>
        </w:rPr>
        <w:lastRenderedPageBreak/>
        <w:t>relative predictive powers of HC and IA amounts on future cash flows from operations.</w:t>
      </w:r>
      <w:r w:rsidR="00AD1228" w:rsidRPr="00F4226B">
        <w:rPr>
          <w:rFonts w:ascii="Times New Roman" w:hAnsi="Times New Roman"/>
          <w:sz w:val="24"/>
          <w:szCs w:val="24"/>
          <w:lang w:val="en-US"/>
        </w:rPr>
        <w:t xml:space="preserve"> </w:t>
      </w:r>
      <w:r w:rsidR="00A50B1F" w:rsidRPr="00F4226B">
        <w:rPr>
          <w:rFonts w:ascii="Times New Roman" w:hAnsi="Times New Roman"/>
          <w:sz w:val="24"/>
          <w:szCs w:val="24"/>
          <w:lang w:val="en-US"/>
        </w:rPr>
        <w:t>We specify t</w:t>
      </w:r>
      <w:r w:rsidR="00ED5050" w:rsidRPr="00F4226B">
        <w:rPr>
          <w:rFonts w:ascii="Times New Roman" w:hAnsi="Times New Roman"/>
          <w:sz w:val="24"/>
          <w:szCs w:val="24"/>
          <w:lang w:val="en-US"/>
        </w:rPr>
        <w:t xml:space="preserve">he following </w:t>
      </w:r>
      <w:r w:rsidR="00A258A0" w:rsidRPr="00F4226B">
        <w:rPr>
          <w:rFonts w:ascii="Times New Roman" w:hAnsi="Times New Roman"/>
          <w:sz w:val="24"/>
          <w:szCs w:val="24"/>
          <w:lang w:val="en-US"/>
        </w:rPr>
        <w:t>equation</w:t>
      </w:r>
      <w:r w:rsidR="00BD6171" w:rsidRPr="00F4226B">
        <w:rPr>
          <w:rFonts w:ascii="Times New Roman" w:hAnsi="Times New Roman"/>
          <w:sz w:val="24"/>
          <w:szCs w:val="24"/>
          <w:lang w:val="en-US"/>
        </w:rPr>
        <w:t>s</w:t>
      </w:r>
      <w:r w:rsidR="00ED5050" w:rsidRPr="00F4226B">
        <w:rPr>
          <w:rFonts w:ascii="Times New Roman" w:hAnsi="Times New Roman"/>
          <w:sz w:val="24"/>
          <w:szCs w:val="24"/>
          <w:lang w:val="en-US"/>
        </w:rPr>
        <w:t>:</w:t>
      </w:r>
    </w:p>
    <w:p w14:paraId="73F5D791" w14:textId="2DB3DDF4" w:rsidR="00ED5050" w:rsidRPr="00F4226B" w:rsidRDefault="00ED5050" w:rsidP="00AD1228">
      <w:pPr>
        <w:spacing w:line="240" w:lineRule="auto"/>
        <w:ind w:firstLine="720"/>
        <w:jc w:val="both"/>
        <w:rPr>
          <w:rFonts w:ascii="Times New Roman" w:hAnsi="Times New Roman"/>
          <w:bCs/>
          <w:i/>
          <w:sz w:val="24"/>
          <w:szCs w:val="24"/>
          <w:lang w:val="en-US"/>
        </w:rPr>
      </w:pPr>
      <w:r w:rsidRPr="00F4226B">
        <w:rPr>
          <w:rFonts w:ascii="Times New Roman" w:hAnsi="Times New Roman"/>
          <w:i/>
          <w:sz w:val="24"/>
          <w:szCs w:val="24"/>
          <w:lang w:val="en-US"/>
        </w:rPr>
        <w:t>CASHFOW</w:t>
      </w:r>
      <w:r w:rsidRPr="00F4226B">
        <w:rPr>
          <w:rFonts w:ascii="Times New Roman" w:hAnsi="Times New Roman"/>
          <w:i/>
          <w:sz w:val="24"/>
          <w:szCs w:val="24"/>
          <w:vertAlign w:val="subscript"/>
          <w:lang w:val="en-US"/>
        </w:rPr>
        <w:t>it+1</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0</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1</w:t>
      </w:r>
      <w:r w:rsidRPr="00F4226B">
        <w:rPr>
          <w:rFonts w:ascii="Times New Roman" w:hAnsi="Times New Roman"/>
          <w:i/>
          <w:sz w:val="24"/>
          <w:szCs w:val="24"/>
          <w:lang w:val="en-US"/>
        </w:rPr>
        <w:t>E</w:t>
      </w:r>
      <w:r w:rsidR="00A258A0" w:rsidRPr="00F4226B">
        <w:rPr>
          <w:rFonts w:ascii="Times New Roman" w:hAnsi="Times New Roman"/>
          <w:i/>
          <w:sz w:val="24"/>
          <w:szCs w:val="24"/>
          <w:lang w:val="en-US"/>
        </w:rPr>
        <w:t>ARNINGS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w:t>
      </w:r>
      <w:r w:rsidR="00A258A0" w:rsidRPr="00F4226B">
        <w:rPr>
          <w:rFonts w:ascii="Times New Roman" w:hAnsi="Times New Roman"/>
          <w:i/>
          <w:sz w:val="24"/>
          <w:szCs w:val="24"/>
          <w:lang w:val="en-US"/>
        </w:rPr>
        <w:t xml:space="preserve"> </w:t>
      </w:r>
      <w:r w:rsidRPr="00F4226B">
        <w:rPr>
          <w:rFonts w:ascii="Times New Roman" w:hAnsi="Times New Roman"/>
          <w:i/>
          <w:sz w:val="24"/>
          <w:szCs w:val="24"/>
          <w:lang w:val="en-US"/>
        </w:rPr>
        <w:t>α</w:t>
      </w:r>
      <w:r w:rsidR="00A258A0" w:rsidRPr="00F4226B">
        <w:rPr>
          <w:rFonts w:ascii="Times New Roman" w:hAnsi="Times New Roman"/>
          <w:i/>
          <w:sz w:val="24"/>
          <w:szCs w:val="24"/>
          <w:vertAlign w:val="subscript"/>
          <w:lang w:val="en-US"/>
        </w:rPr>
        <w:t>2</w:t>
      </w:r>
      <w:r w:rsidRPr="00F4226B">
        <w:rPr>
          <w:rFonts w:ascii="Times New Roman" w:hAnsi="Times New Roman"/>
          <w:i/>
          <w:sz w:val="24"/>
          <w:szCs w:val="24"/>
          <w:lang w:val="en-US"/>
        </w:rPr>
        <w:t>YearDummies + ε</w:t>
      </w:r>
      <w:r w:rsidRPr="00F4226B">
        <w:rPr>
          <w:rFonts w:ascii="Times New Roman" w:hAnsi="Times New Roman"/>
          <w:i/>
          <w:sz w:val="24"/>
          <w:szCs w:val="24"/>
          <w:vertAlign w:val="subscript"/>
          <w:lang w:val="en-US"/>
        </w:rPr>
        <w:t>it</w:t>
      </w:r>
      <w:r w:rsidR="00A82995">
        <w:rPr>
          <w:rFonts w:ascii="Times New Roman" w:hAnsi="Times New Roman"/>
          <w:i/>
          <w:sz w:val="24"/>
          <w:szCs w:val="24"/>
          <w:lang w:val="en-US"/>
        </w:rPr>
        <w:t>,</w:t>
      </w:r>
      <w:r w:rsidR="00A82995">
        <w:rPr>
          <w:rFonts w:ascii="Times New Roman" w:hAnsi="Times New Roman"/>
          <w:i/>
          <w:sz w:val="24"/>
          <w:szCs w:val="24"/>
          <w:lang w:val="en-US"/>
        </w:rPr>
        <w:tab/>
      </w:r>
      <w:r w:rsidR="002F6864" w:rsidRPr="00F4226B">
        <w:rPr>
          <w:rFonts w:ascii="Times New Roman" w:hAnsi="Times New Roman"/>
          <w:i/>
          <w:sz w:val="24"/>
          <w:szCs w:val="24"/>
          <w:lang w:val="en-US"/>
        </w:rPr>
        <w:tab/>
      </w:r>
      <w:r w:rsidRPr="00F4226B">
        <w:rPr>
          <w:rFonts w:ascii="Times New Roman" w:hAnsi="Times New Roman"/>
          <w:bCs/>
          <w:i/>
          <w:sz w:val="24"/>
          <w:szCs w:val="24"/>
          <w:lang w:val="en-US"/>
        </w:rPr>
        <w:t>(5)</w:t>
      </w:r>
    </w:p>
    <w:p w14:paraId="395BB8CF" w14:textId="68569FEC" w:rsidR="00BD6171" w:rsidRPr="00F4226B" w:rsidRDefault="00BD6171" w:rsidP="00AD1228">
      <w:pPr>
        <w:spacing w:line="240" w:lineRule="auto"/>
        <w:ind w:firstLine="720"/>
        <w:jc w:val="both"/>
        <w:rPr>
          <w:rFonts w:ascii="Times New Roman" w:hAnsi="Times New Roman"/>
          <w:bCs/>
          <w:i/>
          <w:sz w:val="24"/>
          <w:szCs w:val="24"/>
          <w:lang w:val="en-US"/>
        </w:rPr>
      </w:pPr>
      <w:r w:rsidRPr="00F4226B">
        <w:rPr>
          <w:rFonts w:ascii="Times New Roman" w:hAnsi="Times New Roman"/>
          <w:i/>
          <w:sz w:val="24"/>
          <w:szCs w:val="24"/>
          <w:lang w:val="en-US"/>
        </w:rPr>
        <w:t>CASHFOW</w:t>
      </w:r>
      <w:r w:rsidRPr="00F4226B">
        <w:rPr>
          <w:rFonts w:ascii="Times New Roman" w:hAnsi="Times New Roman"/>
          <w:i/>
          <w:sz w:val="24"/>
          <w:szCs w:val="24"/>
          <w:vertAlign w:val="subscript"/>
          <w:lang w:val="en-US"/>
        </w:rPr>
        <w:t>it+1</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0</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1</w:t>
      </w:r>
      <w:r w:rsidRPr="00F4226B">
        <w:rPr>
          <w:rFonts w:ascii="Times New Roman" w:hAnsi="Times New Roman"/>
          <w:i/>
          <w:sz w:val="24"/>
          <w:szCs w:val="24"/>
          <w:lang w:val="en-US"/>
        </w:rPr>
        <w:t>CASHFLOW</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2</w:t>
      </w:r>
      <w:r w:rsidRPr="00F4226B">
        <w:rPr>
          <w:rFonts w:ascii="Times New Roman" w:hAnsi="Times New Roman"/>
          <w:i/>
          <w:sz w:val="24"/>
          <w:szCs w:val="24"/>
          <w:lang w:val="en-US"/>
        </w:rPr>
        <w:t>YearDummies + ε</w:t>
      </w:r>
      <w:r w:rsidRPr="00F4226B">
        <w:rPr>
          <w:rFonts w:ascii="Times New Roman" w:hAnsi="Times New Roman"/>
          <w:i/>
          <w:sz w:val="24"/>
          <w:szCs w:val="24"/>
          <w:vertAlign w:val="subscript"/>
          <w:lang w:val="en-US"/>
        </w:rPr>
        <w:t>it</w:t>
      </w:r>
      <w:r w:rsidR="00A82995">
        <w:rPr>
          <w:rFonts w:ascii="Times New Roman" w:hAnsi="Times New Roman"/>
          <w:i/>
          <w:sz w:val="24"/>
          <w:szCs w:val="24"/>
          <w:lang w:val="en-US"/>
        </w:rPr>
        <w:t>.</w:t>
      </w:r>
      <w:r w:rsidR="00A82995">
        <w:rPr>
          <w:rFonts w:ascii="Times New Roman" w:hAnsi="Times New Roman"/>
          <w:i/>
          <w:sz w:val="24"/>
          <w:szCs w:val="24"/>
          <w:lang w:val="en-US"/>
        </w:rPr>
        <w:tab/>
      </w:r>
      <w:r w:rsidR="00CF3168" w:rsidRPr="00F4226B">
        <w:rPr>
          <w:rFonts w:ascii="Times New Roman" w:hAnsi="Times New Roman"/>
          <w:i/>
          <w:sz w:val="24"/>
          <w:szCs w:val="24"/>
          <w:lang w:val="en-US"/>
        </w:rPr>
        <w:tab/>
      </w:r>
      <w:r w:rsidRPr="00F4226B">
        <w:rPr>
          <w:rFonts w:ascii="Times New Roman" w:hAnsi="Times New Roman"/>
          <w:bCs/>
          <w:i/>
          <w:sz w:val="24"/>
          <w:szCs w:val="24"/>
          <w:lang w:val="en-US"/>
        </w:rPr>
        <w:t>(6)</w:t>
      </w:r>
    </w:p>
    <w:p w14:paraId="0ECD9CAB" w14:textId="77777777" w:rsidR="00997D6C" w:rsidRPr="00F4226B" w:rsidRDefault="00997D6C" w:rsidP="008613EE">
      <w:pPr>
        <w:spacing w:line="360" w:lineRule="auto"/>
        <w:jc w:val="both"/>
        <w:rPr>
          <w:rFonts w:ascii="Times New Roman" w:hAnsi="Times New Roman"/>
          <w:sz w:val="24"/>
          <w:szCs w:val="24"/>
          <w:lang w:val="en-US"/>
        </w:rPr>
      </w:pPr>
    </w:p>
    <w:p w14:paraId="00FFF9D5" w14:textId="5E42091C" w:rsidR="00BB4EF7" w:rsidRPr="00F4226B" w:rsidRDefault="00833A6C" w:rsidP="008613EE">
      <w:pPr>
        <w:spacing w:line="360" w:lineRule="auto"/>
        <w:jc w:val="both"/>
        <w:rPr>
          <w:rFonts w:ascii="Times New Roman" w:hAnsi="Times New Roman"/>
          <w:bCs/>
          <w:sz w:val="24"/>
          <w:szCs w:val="24"/>
          <w:lang w:val="en-US"/>
        </w:rPr>
      </w:pPr>
      <w:r w:rsidRPr="00F4226B">
        <w:rPr>
          <w:rFonts w:ascii="Times New Roman" w:hAnsi="Times New Roman"/>
          <w:sz w:val="24"/>
          <w:szCs w:val="24"/>
          <w:lang w:val="en-US"/>
        </w:rPr>
        <w:t xml:space="preserve">In </w:t>
      </w:r>
      <w:r w:rsidR="00C656A2" w:rsidRPr="00F4226B">
        <w:rPr>
          <w:rFonts w:ascii="Times New Roman" w:hAnsi="Times New Roman"/>
          <w:sz w:val="24"/>
          <w:szCs w:val="24"/>
          <w:lang w:val="en-US"/>
        </w:rPr>
        <w:t xml:space="preserve">addition, </w:t>
      </w:r>
      <w:r w:rsidR="00A50B1F" w:rsidRPr="00F4226B">
        <w:rPr>
          <w:rFonts w:ascii="Times New Roman" w:hAnsi="Times New Roman"/>
          <w:sz w:val="24"/>
          <w:szCs w:val="24"/>
          <w:lang w:val="en-US"/>
        </w:rPr>
        <w:t xml:space="preserve">following </w:t>
      </w:r>
      <w:r w:rsidR="00FF2A58" w:rsidRPr="00F4226B">
        <w:rPr>
          <w:rFonts w:ascii="Times New Roman" w:hAnsi="Times New Roman"/>
          <w:sz w:val="24"/>
          <w:szCs w:val="24"/>
          <w:lang w:val="en-US"/>
        </w:rPr>
        <w:t>Konchitchki</w:t>
      </w:r>
      <w:r w:rsidR="00317CE9" w:rsidRPr="00F4226B">
        <w:rPr>
          <w:rFonts w:ascii="Times New Roman" w:hAnsi="Times New Roman"/>
          <w:sz w:val="24"/>
          <w:szCs w:val="24"/>
          <w:lang w:val="en-US"/>
        </w:rPr>
        <w:t xml:space="preserve"> </w:t>
      </w:r>
      <w:r w:rsidR="00FF2A58" w:rsidRPr="00F4226B">
        <w:rPr>
          <w:rFonts w:ascii="Times New Roman" w:hAnsi="Times New Roman"/>
          <w:sz w:val="24"/>
          <w:szCs w:val="24"/>
          <w:lang w:val="en-US"/>
        </w:rPr>
        <w:t>(2011)</w:t>
      </w:r>
      <w:r w:rsidRPr="00F4226B">
        <w:rPr>
          <w:rFonts w:ascii="Times New Roman" w:hAnsi="Times New Roman"/>
          <w:sz w:val="24"/>
          <w:szCs w:val="24"/>
          <w:lang w:val="en-US"/>
        </w:rPr>
        <w:t xml:space="preserve">, we </w:t>
      </w:r>
      <w:r w:rsidR="00A50B1F" w:rsidRPr="00F4226B">
        <w:rPr>
          <w:rFonts w:ascii="Times New Roman" w:hAnsi="Times New Roman"/>
          <w:sz w:val="24"/>
          <w:szCs w:val="24"/>
          <w:lang w:val="en-US"/>
        </w:rPr>
        <w:t xml:space="preserve">extend </w:t>
      </w:r>
      <w:r w:rsidR="00D653D2">
        <w:rPr>
          <w:rFonts w:ascii="Times New Roman" w:hAnsi="Times New Roman"/>
          <w:sz w:val="24"/>
          <w:szCs w:val="24"/>
          <w:lang w:val="en-US"/>
        </w:rPr>
        <w:t>E</w:t>
      </w:r>
      <w:r w:rsidR="00A50B1F" w:rsidRPr="00F4226B">
        <w:rPr>
          <w:rFonts w:ascii="Times New Roman" w:hAnsi="Times New Roman"/>
          <w:sz w:val="24"/>
          <w:szCs w:val="24"/>
          <w:lang w:val="en-US"/>
        </w:rPr>
        <w:t xml:space="preserve">quations 5 and 6 by introducing </w:t>
      </w:r>
      <w:r w:rsidR="00F4226B" w:rsidRPr="00F4226B">
        <w:rPr>
          <w:rFonts w:ascii="Times New Roman" w:hAnsi="Times New Roman"/>
          <w:sz w:val="24"/>
          <w:szCs w:val="24"/>
          <w:lang w:val="en-US"/>
        </w:rPr>
        <w:t>recognized</w:t>
      </w:r>
      <w:r w:rsidR="002F6864"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inflation </w:t>
      </w:r>
      <w:r w:rsidR="00FF2A58" w:rsidRPr="00F4226B">
        <w:rPr>
          <w:rFonts w:ascii="Times New Roman" w:hAnsi="Times New Roman"/>
          <w:sz w:val="24"/>
          <w:szCs w:val="24"/>
          <w:lang w:val="en-US"/>
        </w:rPr>
        <w:t xml:space="preserve">gains and losses </w:t>
      </w:r>
      <w:r w:rsidR="00A50B1F" w:rsidRPr="00F4226B">
        <w:rPr>
          <w:rFonts w:ascii="Times New Roman" w:hAnsi="Times New Roman"/>
          <w:sz w:val="24"/>
          <w:szCs w:val="24"/>
          <w:lang w:val="en-US"/>
        </w:rPr>
        <w:t xml:space="preserve">to examine whether they </w:t>
      </w:r>
      <w:r w:rsidR="00FF2A58" w:rsidRPr="00F4226B">
        <w:rPr>
          <w:rFonts w:ascii="Times New Roman" w:hAnsi="Times New Roman"/>
          <w:sz w:val="24"/>
          <w:szCs w:val="24"/>
          <w:lang w:val="en-US"/>
        </w:rPr>
        <w:t xml:space="preserve">provide </w:t>
      </w:r>
      <w:r w:rsidR="008613EE" w:rsidRPr="00F4226B">
        <w:rPr>
          <w:rFonts w:ascii="Times New Roman" w:hAnsi="Times New Roman"/>
          <w:sz w:val="24"/>
          <w:szCs w:val="24"/>
          <w:lang w:val="en-US"/>
        </w:rPr>
        <w:t xml:space="preserve">incremental </w:t>
      </w:r>
      <w:r w:rsidR="00FF2A58" w:rsidRPr="00F4226B">
        <w:rPr>
          <w:rFonts w:ascii="Times New Roman" w:hAnsi="Times New Roman"/>
          <w:sz w:val="24"/>
          <w:szCs w:val="24"/>
          <w:lang w:val="en-US"/>
        </w:rPr>
        <w:t>information</w:t>
      </w:r>
      <w:r w:rsidR="00A50B1F" w:rsidRPr="00F4226B">
        <w:rPr>
          <w:rFonts w:ascii="Times New Roman" w:hAnsi="Times New Roman"/>
          <w:sz w:val="24"/>
          <w:szCs w:val="24"/>
          <w:lang w:val="en-US"/>
        </w:rPr>
        <w:t xml:space="preserve">. Thus we </w:t>
      </w:r>
      <w:r w:rsidR="001759A6" w:rsidRPr="00F4226B">
        <w:rPr>
          <w:rFonts w:ascii="Times New Roman" w:hAnsi="Times New Roman"/>
          <w:sz w:val="24"/>
          <w:szCs w:val="24"/>
          <w:lang w:val="en-US"/>
        </w:rPr>
        <w:t>estimat</w:t>
      </w:r>
      <w:r w:rsidR="00A50B1F" w:rsidRPr="00F4226B">
        <w:rPr>
          <w:rFonts w:ascii="Times New Roman" w:hAnsi="Times New Roman"/>
          <w:sz w:val="24"/>
          <w:szCs w:val="24"/>
          <w:lang w:val="en-US"/>
        </w:rPr>
        <w:t>e</w:t>
      </w:r>
      <w:r w:rsidR="001759A6" w:rsidRPr="00F4226B">
        <w:rPr>
          <w:rFonts w:ascii="Times New Roman" w:hAnsi="Times New Roman"/>
          <w:sz w:val="24"/>
          <w:szCs w:val="24"/>
          <w:lang w:val="en-US"/>
        </w:rPr>
        <w:t xml:space="preserve"> </w:t>
      </w:r>
      <w:r w:rsidR="00BD6171" w:rsidRPr="00F4226B">
        <w:rPr>
          <w:rFonts w:ascii="Times New Roman" w:hAnsi="Times New Roman"/>
          <w:sz w:val="24"/>
          <w:szCs w:val="24"/>
          <w:lang w:val="en-US"/>
        </w:rPr>
        <w:t>the following:</w:t>
      </w:r>
      <w:r w:rsidR="001759A6" w:rsidRPr="00F4226B">
        <w:rPr>
          <w:rFonts w:ascii="Times New Roman" w:hAnsi="Times New Roman"/>
          <w:sz w:val="24"/>
          <w:szCs w:val="24"/>
          <w:lang w:val="en-US"/>
        </w:rPr>
        <w:t xml:space="preserve"> </w:t>
      </w:r>
      <w:r w:rsidR="00FF2A58" w:rsidRPr="00F4226B">
        <w:rPr>
          <w:rFonts w:ascii="Times New Roman" w:hAnsi="Times New Roman"/>
          <w:sz w:val="24"/>
          <w:szCs w:val="24"/>
          <w:lang w:val="en-US"/>
        </w:rPr>
        <w:t xml:space="preserve"> </w:t>
      </w:r>
    </w:p>
    <w:p w14:paraId="77200C35" w14:textId="266451FD" w:rsidR="006D5E69" w:rsidRPr="00F4226B" w:rsidRDefault="006D5E69" w:rsidP="00AD1228">
      <w:pPr>
        <w:spacing w:line="240" w:lineRule="auto"/>
        <w:ind w:firstLine="720"/>
        <w:jc w:val="both"/>
        <w:rPr>
          <w:rFonts w:ascii="Times New Roman" w:hAnsi="Times New Roman"/>
          <w:bCs/>
          <w:i/>
          <w:sz w:val="24"/>
          <w:szCs w:val="24"/>
          <w:lang w:val="en-US"/>
        </w:rPr>
      </w:pPr>
      <w:r w:rsidRPr="00F4226B">
        <w:rPr>
          <w:rFonts w:ascii="Times New Roman" w:hAnsi="Times New Roman"/>
          <w:i/>
          <w:sz w:val="24"/>
          <w:szCs w:val="24"/>
          <w:lang w:val="en-US"/>
        </w:rPr>
        <w:t>C</w:t>
      </w:r>
      <w:r w:rsidR="001759A6" w:rsidRPr="00F4226B">
        <w:rPr>
          <w:rFonts w:ascii="Times New Roman" w:hAnsi="Times New Roman"/>
          <w:i/>
          <w:sz w:val="24"/>
          <w:szCs w:val="24"/>
          <w:lang w:val="en-US"/>
        </w:rPr>
        <w:t>ASH</w:t>
      </w:r>
      <w:r w:rsidRPr="00F4226B">
        <w:rPr>
          <w:rFonts w:ascii="Times New Roman" w:hAnsi="Times New Roman"/>
          <w:i/>
          <w:sz w:val="24"/>
          <w:szCs w:val="24"/>
          <w:lang w:val="en-US"/>
        </w:rPr>
        <w:t>F</w:t>
      </w:r>
      <w:r w:rsidR="001759A6" w:rsidRPr="00F4226B">
        <w:rPr>
          <w:rFonts w:ascii="Times New Roman" w:hAnsi="Times New Roman"/>
          <w:i/>
          <w:sz w:val="24"/>
          <w:szCs w:val="24"/>
          <w:lang w:val="en-US"/>
        </w:rPr>
        <w:t>LOW</w:t>
      </w:r>
      <w:r w:rsidRPr="00F4226B">
        <w:rPr>
          <w:rFonts w:ascii="Times New Roman" w:hAnsi="Times New Roman"/>
          <w:i/>
          <w:sz w:val="24"/>
          <w:szCs w:val="24"/>
          <w:vertAlign w:val="subscript"/>
          <w:lang w:val="en-US"/>
        </w:rPr>
        <w:t>it+1</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0</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 xml:space="preserve">1 </w:t>
      </w:r>
      <w:r w:rsidR="001759A6" w:rsidRPr="00F4226B">
        <w:rPr>
          <w:rFonts w:ascii="Times New Roman" w:hAnsi="Times New Roman"/>
          <w:i/>
          <w:sz w:val="24"/>
          <w:szCs w:val="24"/>
          <w:lang w:val="en-US"/>
        </w:rPr>
        <w:t>EARNINGS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2</w:t>
      </w:r>
      <w:r w:rsidR="00904606" w:rsidRPr="00F4226B">
        <w:rPr>
          <w:rFonts w:ascii="Times New Roman" w:hAnsi="Times New Roman"/>
          <w:i/>
          <w:sz w:val="24"/>
          <w:szCs w:val="24"/>
          <w:lang w:val="en-US"/>
        </w:rPr>
        <w:t>EI</w:t>
      </w:r>
      <w:r w:rsidR="001759A6" w:rsidRPr="00F4226B">
        <w:rPr>
          <w:rFonts w:ascii="Times New Roman" w:hAnsi="Times New Roman"/>
          <w:i/>
          <w:sz w:val="24"/>
          <w:szCs w:val="24"/>
          <w:lang w:val="en-US"/>
        </w:rPr>
        <w:t>GLS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3</w:t>
      </w:r>
      <w:r w:rsidRPr="00F4226B">
        <w:rPr>
          <w:rFonts w:ascii="Times New Roman" w:hAnsi="Times New Roman"/>
          <w:i/>
          <w:sz w:val="24"/>
          <w:szCs w:val="24"/>
          <w:lang w:val="en-US"/>
        </w:rPr>
        <w:t>YearDummies + ε</w:t>
      </w:r>
      <w:r w:rsidRPr="00F4226B">
        <w:rPr>
          <w:rFonts w:ascii="Times New Roman" w:hAnsi="Times New Roman"/>
          <w:i/>
          <w:sz w:val="24"/>
          <w:szCs w:val="24"/>
          <w:vertAlign w:val="subscript"/>
          <w:lang w:val="en-US"/>
        </w:rPr>
        <w:t>it</w:t>
      </w:r>
      <w:r w:rsidR="00A82995">
        <w:rPr>
          <w:rFonts w:ascii="Times New Roman" w:hAnsi="Times New Roman"/>
          <w:i/>
          <w:sz w:val="24"/>
          <w:szCs w:val="24"/>
          <w:lang w:val="en-US"/>
        </w:rPr>
        <w:t>,</w:t>
      </w:r>
      <w:r w:rsidR="00DE607E" w:rsidRPr="00F4226B">
        <w:rPr>
          <w:rFonts w:ascii="Times New Roman" w:hAnsi="Times New Roman"/>
          <w:i/>
          <w:sz w:val="24"/>
          <w:szCs w:val="24"/>
          <w:lang w:val="en-US"/>
        </w:rPr>
        <w:t xml:space="preserve">  </w:t>
      </w:r>
      <w:r w:rsidRPr="00F4226B">
        <w:rPr>
          <w:rFonts w:ascii="Times New Roman" w:hAnsi="Times New Roman"/>
          <w:i/>
          <w:sz w:val="24"/>
          <w:szCs w:val="24"/>
          <w:lang w:val="en-US"/>
        </w:rPr>
        <w:t xml:space="preserve"> </w:t>
      </w:r>
      <w:r w:rsidRPr="00F4226B">
        <w:rPr>
          <w:rFonts w:ascii="Times New Roman" w:hAnsi="Times New Roman"/>
          <w:bCs/>
          <w:i/>
          <w:sz w:val="24"/>
          <w:szCs w:val="24"/>
          <w:lang w:val="en-US"/>
        </w:rPr>
        <w:t>(</w:t>
      </w:r>
      <w:r w:rsidR="00BD6171" w:rsidRPr="00F4226B">
        <w:rPr>
          <w:rFonts w:ascii="Times New Roman" w:hAnsi="Times New Roman"/>
          <w:bCs/>
          <w:i/>
          <w:sz w:val="24"/>
          <w:szCs w:val="24"/>
          <w:lang w:val="en-US"/>
        </w:rPr>
        <w:t>7</w:t>
      </w:r>
      <w:r w:rsidRPr="00F4226B">
        <w:rPr>
          <w:rFonts w:ascii="Times New Roman" w:hAnsi="Times New Roman"/>
          <w:bCs/>
          <w:i/>
          <w:sz w:val="24"/>
          <w:szCs w:val="24"/>
          <w:lang w:val="en-US"/>
        </w:rPr>
        <w:t>)</w:t>
      </w:r>
    </w:p>
    <w:p w14:paraId="2381576D" w14:textId="77777777" w:rsidR="00AD1228" w:rsidRPr="00F4226B" w:rsidRDefault="00BD6171" w:rsidP="00AD1228">
      <w:pPr>
        <w:spacing w:line="240" w:lineRule="auto"/>
        <w:ind w:firstLine="720"/>
        <w:jc w:val="both"/>
        <w:rPr>
          <w:rFonts w:ascii="Times New Roman" w:hAnsi="Times New Roman"/>
          <w:i/>
          <w:sz w:val="24"/>
          <w:szCs w:val="24"/>
          <w:lang w:val="en-US"/>
        </w:rPr>
      </w:pPr>
      <w:r w:rsidRPr="00F4226B">
        <w:rPr>
          <w:rFonts w:ascii="Times New Roman" w:hAnsi="Times New Roman"/>
          <w:i/>
          <w:sz w:val="24"/>
          <w:szCs w:val="24"/>
          <w:lang w:val="en-US"/>
        </w:rPr>
        <w:t>CASHFLOW</w:t>
      </w:r>
      <w:r w:rsidRPr="00F4226B">
        <w:rPr>
          <w:rFonts w:ascii="Times New Roman" w:hAnsi="Times New Roman"/>
          <w:i/>
          <w:sz w:val="24"/>
          <w:szCs w:val="24"/>
          <w:vertAlign w:val="subscript"/>
          <w:lang w:val="en-US"/>
        </w:rPr>
        <w:t>it+1</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0</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 xml:space="preserve">1 </w:t>
      </w:r>
      <w:r w:rsidRPr="00F4226B">
        <w:rPr>
          <w:rFonts w:ascii="Times New Roman" w:hAnsi="Times New Roman"/>
          <w:i/>
          <w:sz w:val="24"/>
          <w:szCs w:val="24"/>
          <w:lang w:val="en-US"/>
        </w:rPr>
        <w:t>CASHFLOW</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 α</w:t>
      </w:r>
      <w:r w:rsidRPr="00F4226B">
        <w:rPr>
          <w:rFonts w:ascii="Times New Roman" w:hAnsi="Times New Roman"/>
          <w:i/>
          <w:sz w:val="24"/>
          <w:szCs w:val="24"/>
          <w:vertAlign w:val="subscript"/>
          <w:lang w:val="en-US"/>
        </w:rPr>
        <w:t>2</w:t>
      </w:r>
      <w:r w:rsidRPr="00F4226B">
        <w:rPr>
          <w:rFonts w:ascii="Times New Roman" w:hAnsi="Times New Roman"/>
          <w:i/>
          <w:sz w:val="24"/>
          <w:szCs w:val="24"/>
          <w:lang w:val="en-US"/>
        </w:rPr>
        <w:t>CASHIGLS</w:t>
      </w:r>
      <w:r w:rsidRPr="00F4226B">
        <w:rPr>
          <w:rFonts w:ascii="Times New Roman" w:hAnsi="Times New Roman"/>
          <w:i/>
          <w:sz w:val="24"/>
          <w:szCs w:val="24"/>
          <w:vertAlign w:val="subscript"/>
          <w:lang w:val="en-US"/>
        </w:rPr>
        <w:t>it</w:t>
      </w:r>
      <w:r w:rsidRPr="00F4226B">
        <w:rPr>
          <w:rFonts w:ascii="Times New Roman" w:hAnsi="Times New Roman"/>
          <w:i/>
          <w:sz w:val="24"/>
          <w:szCs w:val="24"/>
          <w:lang w:val="en-US"/>
        </w:rPr>
        <w:t xml:space="preserve"> </w:t>
      </w:r>
    </w:p>
    <w:p w14:paraId="6CA78503" w14:textId="16CA6A39" w:rsidR="00DE607E" w:rsidRPr="00F4226B" w:rsidRDefault="00BD6171" w:rsidP="008613EE">
      <w:pPr>
        <w:spacing w:line="360" w:lineRule="auto"/>
        <w:jc w:val="both"/>
        <w:rPr>
          <w:rFonts w:ascii="Times New Roman" w:hAnsi="Times New Roman"/>
          <w:bCs/>
          <w:sz w:val="24"/>
          <w:szCs w:val="24"/>
          <w:lang w:val="en-US"/>
        </w:rPr>
      </w:pPr>
      <w:r w:rsidRPr="00F4226B">
        <w:rPr>
          <w:rFonts w:ascii="Times New Roman" w:hAnsi="Times New Roman"/>
          <w:i/>
          <w:sz w:val="24"/>
          <w:szCs w:val="24"/>
          <w:lang w:val="en-US"/>
        </w:rPr>
        <w:lastRenderedPageBreak/>
        <w:t>+ α</w:t>
      </w:r>
      <w:r w:rsidRPr="00F4226B">
        <w:rPr>
          <w:rFonts w:ascii="Times New Roman" w:hAnsi="Times New Roman"/>
          <w:i/>
          <w:sz w:val="24"/>
          <w:szCs w:val="24"/>
          <w:vertAlign w:val="subscript"/>
          <w:lang w:val="en-US"/>
        </w:rPr>
        <w:t>3</w:t>
      </w:r>
      <w:r w:rsidRPr="00F4226B">
        <w:rPr>
          <w:rFonts w:ascii="Times New Roman" w:hAnsi="Times New Roman"/>
          <w:i/>
          <w:sz w:val="24"/>
          <w:szCs w:val="24"/>
          <w:lang w:val="en-US"/>
        </w:rPr>
        <w:t>YearDummies + ε</w:t>
      </w:r>
      <w:r w:rsidRPr="00F4226B">
        <w:rPr>
          <w:rFonts w:ascii="Times New Roman" w:hAnsi="Times New Roman"/>
          <w:i/>
          <w:sz w:val="24"/>
          <w:szCs w:val="24"/>
          <w:vertAlign w:val="subscript"/>
          <w:lang w:val="en-US"/>
        </w:rPr>
        <w:t>it</w:t>
      </w:r>
      <w:r w:rsidR="00A82995">
        <w:rPr>
          <w:rFonts w:ascii="Times New Roman" w:hAnsi="Times New Roman"/>
          <w:i/>
          <w:sz w:val="24"/>
          <w:szCs w:val="24"/>
          <w:lang w:val="en-US"/>
        </w:rPr>
        <w:t>,</w:t>
      </w:r>
      <w:r w:rsidR="00DE607E" w:rsidRPr="00F4226B">
        <w:rPr>
          <w:rFonts w:ascii="Times New Roman" w:hAnsi="Times New Roman"/>
          <w:i/>
          <w:sz w:val="24"/>
          <w:szCs w:val="24"/>
          <w:lang w:val="en-US"/>
        </w:rPr>
        <w:t xml:space="preserve">   </w:t>
      </w:r>
      <w:r w:rsidR="00AD1228" w:rsidRPr="00F4226B">
        <w:rPr>
          <w:rFonts w:ascii="Times New Roman" w:hAnsi="Times New Roman"/>
          <w:i/>
          <w:sz w:val="24"/>
          <w:szCs w:val="24"/>
          <w:lang w:val="en-US"/>
        </w:rPr>
        <w:tab/>
      </w:r>
      <w:r w:rsidR="00AD1228" w:rsidRPr="00F4226B">
        <w:rPr>
          <w:rFonts w:ascii="Times New Roman" w:hAnsi="Times New Roman"/>
          <w:i/>
          <w:sz w:val="24"/>
          <w:szCs w:val="24"/>
          <w:lang w:val="en-US"/>
        </w:rPr>
        <w:tab/>
      </w:r>
      <w:r w:rsidR="00AD1228" w:rsidRPr="00F4226B">
        <w:rPr>
          <w:rFonts w:ascii="Times New Roman" w:hAnsi="Times New Roman"/>
          <w:i/>
          <w:sz w:val="24"/>
          <w:szCs w:val="24"/>
          <w:lang w:val="en-US"/>
        </w:rPr>
        <w:tab/>
      </w:r>
      <w:r w:rsidR="00AD1228" w:rsidRPr="00F4226B">
        <w:rPr>
          <w:rFonts w:ascii="Times New Roman" w:hAnsi="Times New Roman"/>
          <w:i/>
          <w:sz w:val="24"/>
          <w:szCs w:val="24"/>
          <w:lang w:val="en-US"/>
        </w:rPr>
        <w:tab/>
        <w:t xml:space="preserve">      </w:t>
      </w:r>
      <w:r w:rsidRPr="00F4226B">
        <w:rPr>
          <w:rFonts w:ascii="Times New Roman" w:hAnsi="Times New Roman"/>
          <w:bCs/>
          <w:i/>
          <w:sz w:val="24"/>
          <w:szCs w:val="24"/>
          <w:lang w:val="en-US"/>
        </w:rPr>
        <w:t>(8)</w:t>
      </w:r>
      <w:r w:rsidR="00F4226B">
        <w:rPr>
          <w:rFonts w:ascii="Times New Roman" w:hAnsi="Times New Roman"/>
          <w:sz w:val="24"/>
          <w:szCs w:val="24"/>
          <w:lang w:val="en-US"/>
        </w:rPr>
        <w:cr/>
        <w:t xml:space="preserve">where </w:t>
      </w:r>
      <w:r w:rsidR="00B35891" w:rsidRPr="00F4226B">
        <w:rPr>
          <w:rFonts w:ascii="Times New Roman" w:hAnsi="Times New Roman"/>
          <w:i/>
          <w:sz w:val="24"/>
          <w:szCs w:val="24"/>
          <w:lang w:val="en-US"/>
        </w:rPr>
        <w:t>CASHFOW</w:t>
      </w:r>
      <w:r w:rsidR="00B35891" w:rsidRPr="00F4226B">
        <w:rPr>
          <w:rFonts w:ascii="Times New Roman" w:hAnsi="Times New Roman"/>
          <w:i/>
          <w:sz w:val="24"/>
          <w:szCs w:val="24"/>
          <w:vertAlign w:val="subscript"/>
          <w:lang w:val="en-US"/>
        </w:rPr>
        <w:t>it+1</w:t>
      </w:r>
      <w:r w:rsidR="00B35891" w:rsidRPr="00F4226B">
        <w:rPr>
          <w:rFonts w:ascii="Times New Roman" w:hAnsi="Times New Roman"/>
          <w:bCs/>
          <w:sz w:val="24"/>
          <w:szCs w:val="24"/>
          <w:lang w:val="en-US"/>
        </w:rPr>
        <w:t xml:space="preserve"> is </w:t>
      </w:r>
      <w:r w:rsidR="00503149" w:rsidRPr="00F4226B">
        <w:rPr>
          <w:rFonts w:ascii="Times New Roman" w:hAnsi="Times New Roman"/>
          <w:bCs/>
          <w:sz w:val="24"/>
          <w:szCs w:val="24"/>
          <w:lang w:val="en-US"/>
        </w:rPr>
        <w:t>future cash flows from operations</w:t>
      </w:r>
      <w:r w:rsidR="00A50B1F" w:rsidRPr="00F4226B">
        <w:rPr>
          <w:rFonts w:ascii="Times New Roman" w:hAnsi="Times New Roman"/>
          <w:bCs/>
          <w:sz w:val="24"/>
          <w:szCs w:val="24"/>
          <w:lang w:val="en-US"/>
        </w:rPr>
        <w:t xml:space="preserve"> per share for firm </w:t>
      </w:r>
      <w:r w:rsidR="00A50B1F" w:rsidRPr="00F4226B">
        <w:rPr>
          <w:rFonts w:ascii="Times New Roman" w:hAnsi="Times New Roman"/>
          <w:bCs/>
          <w:i/>
          <w:sz w:val="24"/>
          <w:szCs w:val="24"/>
          <w:lang w:val="en-US"/>
        </w:rPr>
        <w:t>i</w:t>
      </w:r>
      <w:r w:rsidR="00A50B1F" w:rsidRPr="00F4226B">
        <w:rPr>
          <w:rFonts w:ascii="Times New Roman" w:hAnsi="Times New Roman"/>
          <w:bCs/>
          <w:sz w:val="24"/>
          <w:szCs w:val="24"/>
          <w:lang w:val="en-US"/>
        </w:rPr>
        <w:t>, measured as the earnings adjusted for extraordinary items, depreciation</w:t>
      </w:r>
      <w:r w:rsidR="00A82995">
        <w:rPr>
          <w:rFonts w:ascii="Times New Roman" w:hAnsi="Times New Roman"/>
          <w:bCs/>
          <w:sz w:val="24"/>
          <w:szCs w:val="24"/>
          <w:lang w:val="en-US"/>
        </w:rPr>
        <w:t>,</w:t>
      </w:r>
      <w:r w:rsidR="00A50B1F" w:rsidRPr="00F4226B">
        <w:rPr>
          <w:rFonts w:ascii="Times New Roman" w:hAnsi="Times New Roman"/>
          <w:bCs/>
          <w:sz w:val="24"/>
          <w:szCs w:val="24"/>
          <w:lang w:val="en-US"/>
        </w:rPr>
        <w:t xml:space="preserve"> and amorti</w:t>
      </w:r>
      <w:r w:rsidR="004704B3">
        <w:rPr>
          <w:rFonts w:ascii="Times New Roman" w:hAnsi="Times New Roman"/>
          <w:bCs/>
          <w:sz w:val="24"/>
          <w:szCs w:val="24"/>
          <w:lang w:val="en-US"/>
        </w:rPr>
        <w:t>z</w:t>
      </w:r>
      <w:r w:rsidR="00A50B1F" w:rsidRPr="00F4226B">
        <w:rPr>
          <w:rFonts w:ascii="Times New Roman" w:hAnsi="Times New Roman"/>
          <w:bCs/>
          <w:sz w:val="24"/>
          <w:szCs w:val="24"/>
          <w:lang w:val="en-US"/>
        </w:rPr>
        <w:t xml:space="preserve">ation scaled by the number of ordinary shares outstanding at the fiscal year-end </w:t>
      </w:r>
      <w:r w:rsidR="00A50B1F" w:rsidRPr="00F4226B">
        <w:rPr>
          <w:rFonts w:ascii="Times New Roman" w:hAnsi="Times New Roman"/>
          <w:bCs/>
          <w:i/>
          <w:sz w:val="24"/>
          <w:szCs w:val="24"/>
          <w:lang w:val="en-US"/>
        </w:rPr>
        <w:t>t+1</w:t>
      </w:r>
      <w:r w:rsidR="00503149" w:rsidRPr="00F4226B">
        <w:rPr>
          <w:rFonts w:ascii="Times New Roman" w:hAnsi="Times New Roman"/>
          <w:bCs/>
          <w:sz w:val="24"/>
          <w:szCs w:val="24"/>
          <w:lang w:val="en-US"/>
        </w:rPr>
        <w:t xml:space="preserve">; </w:t>
      </w:r>
      <w:r w:rsidR="00503149" w:rsidRPr="00F4226B">
        <w:rPr>
          <w:rFonts w:ascii="Times New Roman" w:hAnsi="Times New Roman"/>
          <w:i/>
          <w:sz w:val="24"/>
          <w:szCs w:val="24"/>
          <w:lang w:val="en-US"/>
        </w:rPr>
        <w:t>EARNINGS</w:t>
      </w:r>
      <w:r w:rsidR="00503149" w:rsidRPr="00F4226B">
        <w:rPr>
          <w:rFonts w:ascii="Times New Roman" w:hAnsi="Times New Roman"/>
          <w:i/>
          <w:sz w:val="24"/>
          <w:szCs w:val="24"/>
          <w:vertAlign w:val="subscript"/>
          <w:lang w:val="en-US"/>
        </w:rPr>
        <w:t>it</w:t>
      </w:r>
      <w:r w:rsidR="00503149" w:rsidRPr="00F4226B">
        <w:rPr>
          <w:rFonts w:ascii="Times New Roman" w:hAnsi="Times New Roman"/>
          <w:bCs/>
          <w:i/>
          <w:sz w:val="24"/>
          <w:szCs w:val="24"/>
          <w:lang w:val="en-US"/>
        </w:rPr>
        <w:t xml:space="preserve"> and </w:t>
      </w:r>
      <w:r w:rsidR="00503149" w:rsidRPr="00F4226B">
        <w:rPr>
          <w:rFonts w:ascii="Times New Roman" w:hAnsi="Times New Roman"/>
          <w:i/>
          <w:sz w:val="24"/>
          <w:szCs w:val="24"/>
          <w:lang w:val="en-US"/>
        </w:rPr>
        <w:t>EIGLS</w:t>
      </w:r>
      <w:r w:rsidR="00503149" w:rsidRPr="00F4226B">
        <w:rPr>
          <w:rFonts w:ascii="Times New Roman" w:hAnsi="Times New Roman"/>
          <w:i/>
          <w:sz w:val="24"/>
          <w:szCs w:val="24"/>
          <w:vertAlign w:val="subscript"/>
          <w:lang w:val="en-US"/>
        </w:rPr>
        <w:t>it</w:t>
      </w:r>
      <w:r w:rsidR="00503149" w:rsidRPr="00F4226B">
        <w:rPr>
          <w:rFonts w:ascii="Times New Roman" w:hAnsi="Times New Roman"/>
          <w:i/>
          <w:sz w:val="24"/>
          <w:szCs w:val="24"/>
          <w:lang w:val="en-US"/>
        </w:rPr>
        <w:t xml:space="preserve"> </w:t>
      </w:r>
      <w:r w:rsidR="00BD74B9" w:rsidRPr="00F4226B">
        <w:rPr>
          <w:rFonts w:ascii="Times New Roman" w:hAnsi="Times New Roman"/>
          <w:bCs/>
          <w:sz w:val="24"/>
          <w:szCs w:val="24"/>
          <w:lang w:val="en-US"/>
        </w:rPr>
        <w:t>a</w:t>
      </w:r>
      <w:r w:rsidR="00503149" w:rsidRPr="00F4226B">
        <w:rPr>
          <w:rFonts w:ascii="Times New Roman" w:hAnsi="Times New Roman"/>
          <w:bCs/>
          <w:sz w:val="24"/>
          <w:szCs w:val="24"/>
          <w:lang w:val="en-US"/>
        </w:rPr>
        <w:t xml:space="preserve">re as defined in </w:t>
      </w:r>
      <w:r w:rsidR="00AD1228" w:rsidRPr="00F4226B">
        <w:rPr>
          <w:rFonts w:ascii="Times New Roman" w:hAnsi="Times New Roman"/>
          <w:bCs/>
          <w:sz w:val="24"/>
          <w:szCs w:val="24"/>
          <w:lang w:val="en-US"/>
        </w:rPr>
        <w:t>E</w:t>
      </w:r>
      <w:r w:rsidR="00503149" w:rsidRPr="00F4226B">
        <w:rPr>
          <w:rFonts w:ascii="Times New Roman" w:hAnsi="Times New Roman"/>
          <w:bCs/>
          <w:sz w:val="24"/>
          <w:szCs w:val="24"/>
          <w:lang w:val="en-US"/>
        </w:rPr>
        <w:t>quations 1 and 2;</w:t>
      </w:r>
      <w:r w:rsidR="00503149" w:rsidRPr="00F4226B">
        <w:rPr>
          <w:rFonts w:ascii="Times New Roman" w:hAnsi="Times New Roman"/>
          <w:i/>
          <w:sz w:val="24"/>
          <w:szCs w:val="24"/>
          <w:lang w:val="en-US"/>
        </w:rPr>
        <w:t xml:space="preserve"> CASHFOW</w:t>
      </w:r>
      <w:r w:rsidR="00503149" w:rsidRPr="00F4226B">
        <w:rPr>
          <w:rFonts w:ascii="Times New Roman" w:hAnsi="Times New Roman"/>
          <w:i/>
          <w:sz w:val="24"/>
          <w:szCs w:val="24"/>
          <w:vertAlign w:val="subscript"/>
          <w:lang w:val="en-US"/>
        </w:rPr>
        <w:t>it</w:t>
      </w:r>
      <w:r w:rsidR="00503149" w:rsidRPr="00F4226B">
        <w:rPr>
          <w:rFonts w:ascii="Times New Roman" w:hAnsi="Times New Roman"/>
          <w:bCs/>
          <w:sz w:val="24"/>
          <w:szCs w:val="24"/>
          <w:lang w:val="en-US"/>
        </w:rPr>
        <w:t xml:space="preserve"> is the current cash flows</w:t>
      </w:r>
      <w:r w:rsidR="00AD1228" w:rsidRPr="00F4226B">
        <w:rPr>
          <w:rFonts w:ascii="Times New Roman" w:hAnsi="Times New Roman"/>
          <w:bCs/>
          <w:sz w:val="24"/>
          <w:szCs w:val="24"/>
          <w:lang w:val="en-US"/>
        </w:rPr>
        <w:t xml:space="preserve"> from operations</w:t>
      </w:r>
      <w:r w:rsidR="00A50B1F" w:rsidRPr="00F4226B">
        <w:rPr>
          <w:rFonts w:ascii="Times New Roman" w:hAnsi="Times New Roman"/>
          <w:bCs/>
          <w:sz w:val="24"/>
          <w:szCs w:val="24"/>
          <w:lang w:val="en-US"/>
        </w:rPr>
        <w:t xml:space="preserve"> per share for firm </w:t>
      </w:r>
      <w:r w:rsidR="003E7F6F" w:rsidRPr="00F4226B">
        <w:rPr>
          <w:rFonts w:ascii="Times New Roman" w:hAnsi="Times New Roman"/>
          <w:bCs/>
          <w:i/>
          <w:sz w:val="24"/>
          <w:szCs w:val="24"/>
          <w:lang w:val="en-US"/>
        </w:rPr>
        <w:t>i</w:t>
      </w:r>
      <w:r w:rsidR="00A50B1F" w:rsidRPr="00F4226B">
        <w:rPr>
          <w:rFonts w:ascii="Times New Roman" w:hAnsi="Times New Roman"/>
          <w:bCs/>
          <w:sz w:val="24"/>
          <w:szCs w:val="24"/>
          <w:lang w:val="en-US"/>
        </w:rPr>
        <w:t xml:space="preserve"> at the end of fiscal year </w:t>
      </w:r>
      <w:r w:rsidR="00A50B1F" w:rsidRPr="00F4226B">
        <w:rPr>
          <w:rFonts w:ascii="Times New Roman" w:hAnsi="Times New Roman"/>
          <w:bCs/>
          <w:i/>
          <w:sz w:val="24"/>
          <w:szCs w:val="24"/>
          <w:lang w:val="en-US"/>
        </w:rPr>
        <w:t>t</w:t>
      </w:r>
      <w:r w:rsidR="00503149" w:rsidRPr="00F4226B">
        <w:rPr>
          <w:rFonts w:ascii="Times New Roman" w:hAnsi="Times New Roman"/>
          <w:bCs/>
          <w:sz w:val="24"/>
          <w:szCs w:val="24"/>
          <w:lang w:val="en-US"/>
        </w:rPr>
        <w:t xml:space="preserve">; and </w:t>
      </w:r>
      <w:r w:rsidR="00503149" w:rsidRPr="00F4226B">
        <w:rPr>
          <w:rFonts w:ascii="Times New Roman" w:hAnsi="Times New Roman"/>
          <w:i/>
          <w:sz w:val="24"/>
          <w:szCs w:val="24"/>
          <w:lang w:val="en-US"/>
        </w:rPr>
        <w:t>CASHIGLS</w:t>
      </w:r>
      <w:r w:rsidR="00503149" w:rsidRPr="00F4226B">
        <w:rPr>
          <w:rFonts w:ascii="Times New Roman" w:hAnsi="Times New Roman"/>
          <w:i/>
          <w:sz w:val="24"/>
          <w:szCs w:val="24"/>
          <w:vertAlign w:val="subscript"/>
          <w:lang w:val="en-US"/>
        </w:rPr>
        <w:t>it</w:t>
      </w:r>
      <w:r w:rsidR="00503149" w:rsidRPr="00F4226B">
        <w:rPr>
          <w:rFonts w:ascii="Times New Roman" w:hAnsi="Times New Roman"/>
          <w:bCs/>
          <w:sz w:val="24"/>
          <w:szCs w:val="24"/>
          <w:lang w:val="en-US"/>
        </w:rPr>
        <w:t xml:space="preserve"> is the difference between current HC and IA cash flows</w:t>
      </w:r>
      <w:r w:rsidR="00AD1228" w:rsidRPr="00F4226B">
        <w:rPr>
          <w:rFonts w:ascii="Times New Roman" w:hAnsi="Times New Roman"/>
          <w:bCs/>
          <w:sz w:val="24"/>
          <w:szCs w:val="24"/>
          <w:lang w:val="en-US"/>
        </w:rPr>
        <w:t xml:space="preserve"> from operations</w:t>
      </w:r>
      <w:r w:rsidR="00503149" w:rsidRPr="00F4226B">
        <w:rPr>
          <w:rFonts w:ascii="Times New Roman" w:hAnsi="Times New Roman"/>
          <w:bCs/>
          <w:sz w:val="24"/>
          <w:szCs w:val="24"/>
          <w:lang w:val="en-US"/>
        </w:rPr>
        <w:t xml:space="preserve">. </w:t>
      </w:r>
      <w:r w:rsidR="006D228A" w:rsidRPr="006D228A">
        <w:rPr>
          <w:rFonts w:ascii="Times New Roman" w:hAnsi="Times New Roman"/>
          <w:bCs/>
          <w:sz w:val="24"/>
          <w:szCs w:val="24"/>
          <w:lang w:val="en-US"/>
        </w:rPr>
        <w:t xml:space="preserve">Both </w:t>
      </w:r>
      <w:r w:rsidR="006D228A" w:rsidRPr="006D228A">
        <w:rPr>
          <w:rFonts w:ascii="Times New Roman" w:hAnsi="Times New Roman"/>
          <w:bCs/>
          <w:i/>
          <w:iCs/>
          <w:sz w:val="24"/>
          <w:szCs w:val="24"/>
          <w:lang w:val="en-US"/>
        </w:rPr>
        <w:t>CASHFOW</w:t>
      </w:r>
      <w:r w:rsidR="006D228A" w:rsidRPr="006D228A">
        <w:rPr>
          <w:rFonts w:ascii="Times New Roman" w:hAnsi="Times New Roman"/>
          <w:bCs/>
          <w:i/>
          <w:iCs/>
          <w:sz w:val="24"/>
          <w:szCs w:val="24"/>
          <w:vertAlign w:val="subscript"/>
          <w:lang w:val="en-US"/>
        </w:rPr>
        <w:t>it</w:t>
      </w:r>
      <w:r w:rsidR="006D228A" w:rsidRPr="006D228A">
        <w:rPr>
          <w:rFonts w:ascii="Times New Roman" w:hAnsi="Times New Roman"/>
          <w:bCs/>
          <w:sz w:val="24"/>
          <w:szCs w:val="24"/>
          <w:lang w:val="en-US"/>
        </w:rPr>
        <w:t xml:space="preserve"> and </w:t>
      </w:r>
      <w:r w:rsidR="006D228A" w:rsidRPr="006D228A">
        <w:rPr>
          <w:rFonts w:ascii="Times New Roman" w:hAnsi="Times New Roman"/>
          <w:bCs/>
          <w:i/>
          <w:iCs/>
          <w:sz w:val="24"/>
          <w:szCs w:val="24"/>
          <w:lang w:val="en-US"/>
        </w:rPr>
        <w:t>CASHIGLS</w:t>
      </w:r>
      <w:r w:rsidR="006D228A" w:rsidRPr="006D228A">
        <w:rPr>
          <w:rFonts w:ascii="Times New Roman" w:hAnsi="Times New Roman"/>
          <w:bCs/>
          <w:i/>
          <w:iCs/>
          <w:sz w:val="24"/>
          <w:szCs w:val="24"/>
          <w:vertAlign w:val="subscript"/>
          <w:lang w:val="en-US"/>
        </w:rPr>
        <w:t>it</w:t>
      </w:r>
      <w:r w:rsidR="006D228A" w:rsidRPr="006D228A">
        <w:rPr>
          <w:rFonts w:ascii="Times New Roman" w:hAnsi="Times New Roman"/>
          <w:bCs/>
          <w:sz w:val="24"/>
          <w:szCs w:val="24"/>
          <w:lang w:val="en-US"/>
        </w:rPr>
        <w:t xml:space="preserve"> are scaled by the number of ordinary shares outstanding at the fiscal year-end </w:t>
      </w:r>
      <w:r w:rsidR="006D228A" w:rsidRPr="006D228A">
        <w:rPr>
          <w:rFonts w:ascii="Times New Roman" w:hAnsi="Times New Roman"/>
          <w:bCs/>
          <w:i/>
          <w:iCs/>
          <w:sz w:val="24"/>
          <w:szCs w:val="24"/>
          <w:lang w:val="en-US"/>
        </w:rPr>
        <w:t>t.</w:t>
      </w:r>
      <w:r w:rsidR="006D228A">
        <w:rPr>
          <w:rFonts w:ascii="Times New Roman" w:hAnsi="Times New Roman"/>
          <w:bCs/>
          <w:i/>
          <w:iCs/>
          <w:sz w:val="24"/>
          <w:szCs w:val="24"/>
          <w:lang w:val="en-US"/>
        </w:rPr>
        <w:t xml:space="preserve"> </w:t>
      </w:r>
      <w:r w:rsidR="00503149" w:rsidRPr="00F4226B">
        <w:rPr>
          <w:rFonts w:ascii="Times New Roman" w:hAnsi="Times New Roman"/>
          <w:bCs/>
          <w:sz w:val="24"/>
          <w:szCs w:val="24"/>
          <w:lang w:val="en-US"/>
        </w:rPr>
        <w:t xml:space="preserve">Table </w:t>
      </w:r>
      <w:r w:rsidR="00C307E1" w:rsidRPr="00F4226B">
        <w:rPr>
          <w:rFonts w:ascii="Times New Roman" w:hAnsi="Times New Roman"/>
          <w:bCs/>
          <w:sz w:val="24"/>
          <w:szCs w:val="24"/>
          <w:lang w:val="en-US"/>
        </w:rPr>
        <w:t>7</w:t>
      </w:r>
      <w:r w:rsidR="00BD74B9" w:rsidRPr="00F4226B">
        <w:rPr>
          <w:rFonts w:ascii="Times New Roman" w:hAnsi="Times New Roman"/>
          <w:bCs/>
          <w:sz w:val="24"/>
          <w:szCs w:val="24"/>
          <w:lang w:val="en-US"/>
        </w:rPr>
        <w:t xml:space="preserve"> </w:t>
      </w:r>
      <w:r w:rsidR="008613EE" w:rsidRPr="00F4226B">
        <w:rPr>
          <w:rFonts w:ascii="Times New Roman" w:hAnsi="Times New Roman"/>
          <w:bCs/>
          <w:sz w:val="24"/>
          <w:szCs w:val="24"/>
          <w:lang w:val="en-US"/>
        </w:rPr>
        <w:t xml:space="preserve">presents </w:t>
      </w:r>
      <w:r w:rsidR="00BD74B9" w:rsidRPr="00F4226B">
        <w:rPr>
          <w:rFonts w:ascii="Times New Roman" w:hAnsi="Times New Roman"/>
          <w:bCs/>
          <w:sz w:val="24"/>
          <w:szCs w:val="24"/>
          <w:lang w:val="en-US"/>
        </w:rPr>
        <w:t xml:space="preserve">the </w:t>
      </w:r>
      <w:r w:rsidR="008613EE" w:rsidRPr="00F4226B">
        <w:rPr>
          <w:rFonts w:ascii="Times New Roman" w:hAnsi="Times New Roman"/>
          <w:bCs/>
          <w:sz w:val="24"/>
          <w:szCs w:val="24"/>
          <w:lang w:val="en-US"/>
        </w:rPr>
        <w:t xml:space="preserve">estimation </w:t>
      </w:r>
      <w:r w:rsidR="00BD74B9" w:rsidRPr="00F4226B">
        <w:rPr>
          <w:rFonts w:ascii="Times New Roman" w:hAnsi="Times New Roman"/>
          <w:bCs/>
          <w:sz w:val="24"/>
          <w:szCs w:val="24"/>
          <w:lang w:val="en-US"/>
        </w:rPr>
        <w:t>results</w:t>
      </w:r>
      <w:r w:rsidR="003C41A5" w:rsidRPr="00F4226B">
        <w:rPr>
          <w:rFonts w:ascii="Times New Roman" w:hAnsi="Times New Roman"/>
          <w:bCs/>
          <w:sz w:val="24"/>
          <w:szCs w:val="24"/>
          <w:lang w:val="en-US"/>
        </w:rPr>
        <w:t>.</w:t>
      </w:r>
    </w:p>
    <w:p w14:paraId="71A6C184" w14:textId="77777777" w:rsidR="00997D6C" w:rsidRPr="00F4226B" w:rsidRDefault="00997D6C" w:rsidP="009F60C6">
      <w:pPr>
        <w:spacing w:line="360" w:lineRule="auto"/>
        <w:jc w:val="both"/>
        <w:rPr>
          <w:rFonts w:ascii="Times New Roman" w:hAnsi="Times New Roman"/>
          <w:bCs/>
          <w:sz w:val="24"/>
          <w:szCs w:val="24"/>
          <w:lang w:val="en-US"/>
        </w:rPr>
      </w:pPr>
    </w:p>
    <w:p w14:paraId="255AE7DB" w14:textId="77777777" w:rsidR="005A2D7C" w:rsidRPr="00F4226B" w:rsidRDefault="003C41A5" w:rsidP="00AD1228">
      <w:pPr>
        <w:spacing w:line="360" w:lineRule="auto"/>
        <w:ind w:firstLine="284"/>
        <w:jc w:val="both"/>
        <w:rPr>
          <w:rFonts w:ascii="Times New Roman" w:hAnsi="Times New Roman"/>
          <w:b/>
          <w:sz w:val="24"/>
          <w:szCs w:val="24"/>
          <w:lang w:val="en-US"/>
        </w:rPr>
      </w:pPr>
      <w:r w:rsidRPr="00F4226B">
        <w:rPr>
          <w:rFonts w:ascii="Times New Roman" w:hAnsi="Times New Roman"/>
          <w:bCs/>
          <w:sz w:val="24"/>
          <w:szCs w:val="24"/>
          <w:lang w:val="en-US"/>
        </w:rPr>
        <w:t xml:space="preserve"> </w:t>
      </w:r>
      <w:r w:rsidR="0027655D" w:rsidRPr="00F4226B">
        <w:rPr>
          <w:rFonts w:ascii="Times New Roman" w:hAnsi="Times New Roman"/>
          <w:bCs/>
          <w:sz w:val="24"/>
          <w:szCs w:val="24"/>
          <w:lang w:val="en-US"/>
        </w:rPr>
        <w:t xml:space="preserve">  </w:t>
      </w:r>
      <w:r w:rsidR="00AD1228" w:rsidRPr="00F4226B">
        <w:rPr>
          <w:rFonts w:ascii="Times New Roman" w:hAnsi="Times New Roman"/>
          <w:b/>
          <w:sz w:val="24"/>
          <w:szCs w:val="24"/>
          <w:lang w:val="en-US"/>
        </w:rPr>
        <w:tab/>
      </w:r>
      <w:r w:rsidR="00AD1228" w:rsidRPr="00F4226B">
        <w:rPr>
          <w:rFonts w:ascii="Times New Roman" w:hAnsi="Times New Roman"/>
          <w:b/>
          <w:sz w:val="24"/>
          <w:szCs w:val="24"/>
          <w:lang w:val="en-US"/>
        </w:rPr>
        <w:tab/>
      </w:r>
      <w:r w:rsidR="00AD1228" w:rsidRPr="00F4226B">
        <w:rPr>
          <w:rFonts w:ascii="Times New Roman" w:hAnsi="Times New Roman"/>
          <w:b/>
          <w:sz w:val="24"/>
          <w:szCs w:val="24"/>
          <w:lang w:val="en-US"/>
        </w:rPr>
        <w:tab/>
      </w:r>
      <w:r w:rsidR="00AD1228" w:rsidRPr="00F4226B">
        <w:rPr>
          <w:rFonts w:ascii="Times New Roman" w:hAnsi="Times New Roman"/>
          <w:b/>
          <w:sz w:val="24"/>
          <w:szCs w:val="24"/>
          <w:lang w:val="en-US"/>
        </w:rPr>
        <w:tab/>
      </w:r>
      <w:r w:rsidR="005A2D7C" w:rsidRPr="00F4226B">
        <w:rPr>
          <w:rFonts w:ascii="Times New Roman" w:hAnsi="Times New Roman"/>
          <w:b/>
          <w:sz w:val="24"/>
          <w:szCs w:val="24"/>
          <w:lang w:val="en-US"/>
        </w:rPr>
        <w:t>-----------------------------------</w:t>
      </w:r>
    </w:p>
    <w:p w14:paraId="2B7D7CA0" w14:textId="77777777" w:rsidR="005A2D7C" w:rsidRPr="00F4226B" w:rsidRDefault="005A2D7C" w:rsidP="003820D1">
      <w:pPr>
        <w:spacing w:line="240" w:lineRule="auto"/>
        <w:ind w:left="2160" w:firstLine="720"/>
        <w:outlineLvl w:val="0"/>
        <w:rPr>
          <w:rFonts w:ascii="Times New Roman" w:hAnsi="Times New Roman"/>
          <w:b/>
          <w:sz w:val="24"/>
          <w:szCs w:val="24"/>
          <w:lang w:val="en-US"/>
        </w:rPr>
      </w:pPr>
      <w:r w:rsidRPr="00F4226B">
        <w:rPr>
          <w:rFonts w:ascii="Times New Roman" w:hAnsi="Times New Roman"/>
          <w:b/>
          <w:sz w:val="24"/>
          <w:szCs w:val="24"/>
          <w:lang w:val="en-US"/>
        </w:rPr>
        <w:lastRenderedPageBreak/>
        <w:t xml:space="preserve">Insert Table </w:t>
      </w:r>
      <w:r w:rsidR="00C307E1" w:rsidRPr="00F4226B">
        <w:rPr>
          <w:rFonts w:ascii="Times New Roman" w:hAnsi="Times New Roman"/>
          <w:b/>
          <w:sz w:val="24"/>
          <w:szCs w:val="24"/>
          <w:lang w:val="en-US"/>
        </w:rPr>
        <w:t>7</w:t>
      </w:r>
      <w:r w:rsidRPr="00F4226B">
        <w:rPr>
          <w:rFonts w:ascii="Times New Roman" w:hAnsi="Times New Roman"/>
          <w:b/>
          <w:sz w:val="24"/>
          <w:szCs w:val="24"/>
          <w:lang w:val="en-US"/>
        </w:rPr>
        <w:t xml:space="preserve"> About Here</w:t>
      </w:r>
    </w:p>
    <w:p w14:paraId="0822C538" w14:textId="77777777" w:rsidR="00DE607E" w:rsidRPr="00F4226B" w:rsidRDefault="00DE607E" w:rsidP="00AD1228">
      <w:pPr>
        <w:spacing w:line="240" w:lineRule="auto"/>
        <w:ind w:left="2160" w:firstLine="720"/>
        <w:rPr>
          <w:rFonts w:ascii="Times New Roman" w:hAnsi="Times New Roman"/>
          <w:b/>
          <w:sz w:val="24"/>
          <w:szCs w:val="24"/>
          <w:lang w:val="en-US"/>
        </w:rPr>
      </w:pPr>
      <w:r w:rsidRPr="00F4226B">
        <w:rPr>
          <w:rFonts w:ascii="Times New Roman" w:hAnsi="Times New Roman"/>
          <w:b/>
          <w:sz w:val="24"/>
          <w:szCs w:val="24"/>
          <w:lang w:val="en-US"/>
        </w:rPr>
        <w:t>-----------------------------------</w:t>
      </w:r>
    </w:p>
    <w:p w14:paraId="38F4A693" w14:textId="2437BFCF" w:rsidR="00823D18" w:rsidRPr="00F4226B" w:rsidRDefault="003C41A5" w:rsidP="008613EE">
      <w:pPr>
        <w:spacing w:line="360" w:lineRule="auto"/>
        <w:jc w:val="both"/>
        <w:rPr>
          <w:rFonts w:ascii="Times New Roman" w:hAnsi="Times New Roman"/>
          <w:sz w:val="24"/>
          <w:szCs w:val="24"/>
          <w:lang w:val="en-US"/>
        </w:rPr>
      </w:pPr>
      <w:r w:rsidRPr="00F4226B">
        <w:rPr>
          <w:rFonts w:ascii="Times New Roman" w:hAnsi="Times New Roman"/>
          <w:sz w:val="24"/>
          <w:szCs w:val="24"/>
          <w:lang w:val="en-US"/>
        </w:rPr>
        <w:t xml:space="preserve">In </w:t>
      </w:r>
      <w:r w:rsidR="001640CF" w:rsidRPr="00F4226B">
        <w:rPr>
          <w:rFonts w:ascii="Times New Roman" w:hAnsi="Times New Roman"/>
          <w:sz w:val="24"/>
          <w:szCs w:val="24"/>
          <w:lang w:val="en-US"/>
        </w:rPr>
        <w:t>M</w:t>
      </w:r>
      <w:r w:rsidRPr="00F4226B">
        <w:rPr>
          <w:rFonts w:ascii="Times New Roman" w:hAnsi="Times New Roman"/>
          <w:sz w:val="24"/>
          <w:szCs w:val="24"/>
          <w:lang w:val="en-US"/>
        </w:rPr>
        <w:t xml:space="preserve">odels 1 </w:t>
      </w:r>
      <w:r w:rsidR="00503149" w:rsidRPr="00F4226B">
        <w:rPr>
          <w:rFonts w:ascii="Times New Roman" w:hAnsi="Times New Roman"/>
          <w:sz w:val="24"/>
          <w:szCs w:val="24"/>
          <w:lang w:val="en-US"/>
        </w:rPr>
        <w:t>to 3</w:t>
      </w:r>
      <w:r w:rsidRPr="00F4226B">
        <w:rPr>
          <w:rFonts w:ascii="Times New Roman" w:hAnsi="Times New Roman"/>
          <w:sz w:val="24"/>
          <w:szCs w:val="24"/>
          <w:lang w:val="en-US"/>
        </w:rPr>
        <w:t xml:space="preserve">, we present the results of estimating </w:t>
      </w:r>
      <w:r w:rsidR="00AD1228" w:rsidRPr="00F4226B">
        <w:rPr>
          <w:rFonts w:ascii="Times New Roman" w:hAnsi="Times New Roman"/>
          <w:sz w:val="24"/>
          <w:szCs w:val="24"/>
          <w:lang w:val="en-US"/>
        </w:rPr>
        <w:t>E</w:t>
      </w:r>
      <w:r w:rsidRPr="00F4226B">
        <w:rPr>
          <w:rFonts w:ascii="Times New Roman" w:hAnsi="Times New Roman"/>
          <w:sz w:val="24"/>
          <w:szCs w:val="24"/>
          <w:lang w:val="en-US"/>
        </w:rPr>
        <w:t>quation</w:t>
      </w:r>
      <w:r w:rsidR="00503149" w:rsidRPr="00F4226B">
        <w:rPr>
          <w:rFonts w:ascii="Times New Roman" w:hAnsi="Times New Roman"/>
          <w:sz w:val="24"/>
          <w:szCs w:val="24"/>
          <w:lang w:val="en-US"/>
        </w:rPr>
        <w:t>s</w:t>
      </w:r>
      <w:r w:rsidRPr="00F4226B">
        <w:rPr>
          <w:rFonts w:ascii="Times New Roman" w:hAnsi="Times New Roman"/>
          <w:sz w:val="24"/>
          <w:szCs w:val="24"/>
          <w:lang w:val="en-US"/>
        </w:rPr>
        <w:t xml:space="preserve"> 5 </w:t>
      </w:r>
      <w:r w:rsidR="00503149" w:rsidRPr="00F4226B">
        <w:rPr>
          <w:rFonts w:ascii="Times New Roman" w:hAnsi="Times New Roman"/>
          <w:sz w:val="24"/>
          <w:szCs w:val="24"/>
          <w:lang w:val="en-US"/>
        </w:rPr>
        <w:t xml:space="preserve">and 7 </w:t>
      </w:r>
      <w:r w:rsidRPr="00F4226B">
        <w:rPr>
          <w:rFonts w:ascii="Times New Roman" w:hAnsi="Times New Roman"/>
          <w:sz w:val="24"/>
          <w:szCs w:val="24"/>
          <w:lang w:val="en-US"/>
        </w:rPr>
        <w:t xml:space="preserve">with </w:t>
      </w:r>
      <w:r w:rsidR="00D37FDD" w:rsidRPr="00F4226B">
        <w:rPr>
          <w:rFonts w:ascii="Times New Roman" w:hAnsi="Times New Roman"/>
          <w:sz w:val="24"/>
          <w:szCs w:val="24"/>
          <w:lang w:val="en-US"/>
        </w:rPr>
        <w:t xml:space="preserve">current </w:t>
      </w:r>
      <w:r w:rsidRPr="00F4226B">
        <w:rPr>
          <w:rFonts w:ascii="Times New Roman" w:hAnsi="Times New Roman"/>
          <w:sz w:val="24"/>
          <w:szCs w:val="24"/>
          <w:lang w:val="en-US"/>
        </w:rPr>
        <w:t>earnings as the explanatory variable, whil</w:t>
      </w:r>
      <w:r w:rsidR="00311759" w:rsidRPr="00F4226B">
        <w:rPr>
          <w:rFonts w:ascii="Times New Roman" w:hAnsi="Times New Roman"/>
          <w:sz w:val="24"/>
          <w:szCs w:val="24"/>
          <w:lang w:val="en-US"/>
        </w:rPr>
        <w:t>e</w:t>
      </w:r>
      <w:r w:rsidRPr="00F4226B">
        <w:rPr>
          <w:rFonts w:ascii="Times New Roman" w:hAnsi="Times New Roman"/>
          <w:sz w:val="24"/>
          <w:szCs w:val="24"/>
          <w:lang w:val="en-US"/>
        </w:rPr>
        <w:t xml:space="preserve"> in Model</w:t>
      </w:r>
      <w:r w:rsidR="00503149" w:rsidRPr="00F4226B">
        <w:rPr>
          <w:rFonts w:ascii="Times New Roman" w:hAnsi="Times New Roman"/>
          <w:sz w:val="24"/>
          <w:szCs w:val="24"/>
          <w:lang w:val="en-US"/>
        </w:rPr>
        <w:t>s</w:t>
      </w:r>
      <w:r w:rsidRPr="00F4226B">
        <w:rPr>
          <w:rFonts w:ascii="Times New Roman" w:hAnsi="Times New Roman"/>
          <w:sz w:val="24"/>
          <w:szCs w:val="24"/>
          <w:lang w:val="en-US"/>
        </w:rPr>
        <w:t xml:space="preserve"> </w:t>
      </w:r>
      <w:r w:rsidR="00503149" w:rsidRPr="00F4226B">
        <w:rPr>
          <w:rFonts w:ascii="Times New Roman" w:hAnsi="Times New Roman"/>
          <w:sz w:val="24"/>
          <w:szCs w:val="24"/>
          <w:lang w:val="en-US"/>
        </w:rPr>
        <w:t>4 to 6</w:t>
      </w:r>
      <w:r w:rsidRPr="00F4226B">
        <w:rPr>
          <w:rFonts w:ascii="Times New Roman" w:hAnsi="Times New Roman"/>
          <w:sz w:val="24"/>
          <w:szCs w:val="24"/>
          <w:lang w:val="en-US"/>
        </w:rPr>
        <w:t>, the explanatory variable</w:t>
      </w:r>
      <w:r w:rsidR="00D37FDD" w:rsidRPr="00F4226B">
        <w:rPr>
          <w:rFonts w:ascii="Times New Roman" w:hAnsi="Times New Roman"/>
          <w:sz w:val="24"/>
          <w:szCs w:val="24"/>
          <w:lang w:val="en-US"/>
        </w:rPr>
        <w:t xml:space="preserve"> is the current cash flows</w:t>
      </w:r>
      <w:r w:rsidRPr="00F4226B">
        <w:rPr>
          <w:rFonts w:ascii="Times New Roman" w:hAnsi="Times New Roman"/>
          <w:sz w:val="24"/>
          <w:szCs w:val="24"/>
          <w:lang w:val="en-US"/>
        </w:rPr>
        <w:t xml:space="preserve">. </w:t>
      </w:r>
      <w:r w:rsidR="000A58C4" w:rsidRPr="00F4226B">
        <w:rPr>
          <w:rFonts w:ascii="Times New Roman" w:hAnsi="Times New Roman"/>
          <w:sz w:val="24"/>
          <w:szCs w:val="24"/>
          <w:lang w:val="en-US"/>
        </w:rPr>
        <w:t xml:space="preserve">In both </w:t>
      </w:r>
      <w:r w:rsidR="00195471" w:rsidRPr="00F4226B">
        <w:rPr>
          <w:rFonts w:ascii="Times New Roman" w:hAnsi="Times New Roman"/>
          <w:sz w:val="24"/>
          <w:szCs w:val="24"/>
          <w:lang w:val="en-US"/>
        </w:rPr>
        <w:t xml:space="preserve">the current earnings and cash flow </w:t>
      </w:r>
      <w:r w:rsidR="000A58C4" w:rsidRPr="00F4226B">
        <w:rPr>
          <w:rFonts w:ascii="Times New Roman" w:hAnsi="Times New Roman"/>
          <w:sz w:val="24"/>
          <w:szCs w:val="24"/>
          <w:lang w:val="en-US"/>
        </w:rPr>
        <w:t xml:space="preserve">models, </w:t>
      </w:r>
      <w:r w:rsidR="006320F1" w:rsidRPr="00F4226B">
        <w:rPr>
          <w:rFonts w:ascii="Times New Roman" w:hAnsi="Times New Roman"/>
          <w:sz w:val="24"/>
          <w:szCs w:val="24"/>
          <w:lang w:val="en-US"/>
        </w:rPr>
        <w:t>we find that t</w:t>
      </w:r>
      <w:r w:rsidR="000A58C4" w:rsidRPr="00F4226B">
        <w:rPr>
          <w:rFonts w:ascii="Times New Roman" w:hAnsi="Times New Roman"/>
          <w:sz w:val="24"/>
          <w:szCs w:val="24"/>
          <w:lang w:val="en-US"/>
        </w:rPr>
        <w:t xml:space="preserve">he adjusted R²s are </w:t>
      </w:r>
      <w:r w:rsidR="00B844D8" w:rsidRPr="00F4226B">
        <w:rPr>
          <w:rFonts w:ascii="Times New Roman" w:hAnsi="Times New Roman"/>
          <w:sz w:val="24"/>
          <w:szCs w:val="24"/>
          <w:lang w:val="en-US"/>
        </w:rPr>
        <w:t>all</w:t>
      </w:r>
      <w:r w:rsidR="000A58C4" w:rsidRPr="00F4226B">
        <w:rPr>
          <w:rFonts w:ascii="Times New Roman" w:hAnsi="Times New Roman"/>
          <w:sz w:val="24"/>
          <w:szCs w:val="24"/>
          <w:lang w:val="en-US"/>
        </w:rPr>
        <w:t xml:space="preserve"> higher for HC </w:t>
      </w:r>
      <w:r w:rsidR="00AE1ED5" w:rsidRPr="00F4226B">
        <w:rPr>
          <w:rFonts w:ascii="Times New Roman" w:hAnsi="Times New Roman"/>
          <w:sz w:val="24"/>
          <w:szCs w:val="24"/>
          <w:lang w:val="en-US"/>
        </w:rPr>
        <w:t>amounts</w:t>
      </w:r>
      <w:r w:rsidR="006320F1" w:rsidRPr="00F4226B">
        <w:rPr>
          <w:rFonts w:ascii="Times New Roman" w:hAnsi="Times New Roman"/>
          <w:sz w:val="24"/>
          <w:szCs w:val="24"/>
          <w:lang w:val="en-US"/>
        </w:rPr>
        <w:t xml:space="preserve"> </w:t>
      </w:r>
      <w:r w:rsidR="004704B3">
        <w:rPr>
          <w:rFonts w:ascii="Times New Roman" w:hAnsi="Times New Roman"/>
          <w:sz w:val="24"/>
          <w:szCs w:val="24"/>
          <w:lang w:val="en-US"/>
        </w:rPr>
        <w:t>than for</w:t>
      </w:r>
      <w:r w:rsidR="006320F1" w:rsidRPr="00F4226B">
        <w:rPr>
          <w:rFonts w:ascii="Times New Roman" w:hAnsi="Times New Roman"/>
          <w:sz w:val="24"/>
          <w:szCs w:val="24"/>
          <w:lang w:val="en-US"/>
        </w:rPr>
        <w:t xml:space="preserve"> IA </w:t>
      </w:r>
      <w:r w:rsidR="00AE1ED5" w:rsidRPr="00F4226B">
        <w:rPr>
          <w:rFonts w:ascii="Times New Roman" w:hAnsi="Times New Roman"/>
          <w:sz w:val="24"/>
          <w:szCs w:val="24"/>
          <w:lang w:val="en-US"/>
        </w:rPr>
        <w:t>amounts</w:t>
      </w:r>
      <w:r w:rsidR="006320F1" w:rsidRPr="00F4226B">
        <w:rPr>
          <w:rFonts w:ascii="Times New Roman" w:hAnsi="Times New Roman"/>
          <w:sz w:val="24"/>
          <w:szCs w:val="24"/>
          <w:lang w:val="en-US"/>
        </w:rPr>
        <w:t>. With the exception of the relatively high inflation period (2003</w:t>
      </w:r>
      <w:r w:rsidR="00A82995">
        <w:rPr>
          <w:rFonts w:ascii="Times New Roman" w:hAnsi="Times New Roman"/>
          <w:sz w:val="24"/>
          <w:szCs w:val="24"/>
          <w:lang w:val="en-US"/>
        </w:rPr>
        <w:t>–</w:t>
      </w:r>
      <w:r w:rsidR="006320F1" w:rsidRPr="00F4226B">
        <w:rPr>
          <w:rFonts w:ascii="Times New Roman" w:hAnsi="Times New Roman"/>
          <w:sz w:val="24"/>
          <w:szCs w:val="24"/>
          <w:lang w:val="en-US"/>
        </w:rPr>
        <w:t>2005), t</w:t>
      </w:r>
      <w:r w:rsidR="009D21ED" w:rsidRPr="00F4226B">
        <w:rPr>
          <w:rFonts w:ascii="Times New Roman" w:hAnsi="Times New Roman"/>
          <w:sz w:val="24"/>
          <w:szCs w:val="24"/>
          <w:lang w:val="en-US"/>
        </w:rPr>
        <w:t>he V</w:t>
      </w:r>
      <w:r w:rsidR="006320F1" w:rsidRPr="00F4226B">
        <w:rPr>
          <w:rFonts w:ascii="Times New Roman" w:hAnsi="Times New Roman"/>
          <w:sz w:val="24"/>
          <w:szCs w:val="24"/>
          <w:lang w:val="en-US"/>
        </w:rPr>
        <w:t>u</w:t>
      </w:r>
      <w:r w:rsidR="009D21ED" w:rsidRPr="00F4226B">
        <w:rPr>
          <w:rFonts w:ascii="Times New Roman" w:hAnsi="Times New Roman"/>
          <w:sz w:val="24"/>
          <w:szCs w:val="24"/>
          <w:lang w:val="en-US"/>
        </w:rPr>
        <w:t xml:space="preserve">ong Z-statistics are </w:t>
      </w:r>
      <w:r w:rsidR="006320F1" w:rsidRPr="00F4226B">
        <w:rPr>
          <w:rFonts w:ascii="Times New Roman" w:hAnsi="Times New Roman"/>
          <w:sz w:val="24"/>
          <w:szCs w:val="24"/>
          <w:lang w:val="en-US"/>
        </w:rPr>
        <w:t>all positive and significant</w:t>
      </w:r>
      <w:r w:rsidR="00DF2EF0" w:rsidRPr="00F4226B">
        <w:rPr>
          <w:rFonts w:ascii="Times New Roman" w:hAnsi="Times New Roman"/>
          <w:sz w:val="24"/>
          <w:szCs w:val="24"/>
          <w:lang w:val="en-US"/>
        </w:rPr>
        <w:t xml:space="preserve"> at 5% or better</w:t>
      </w:r>
      <w:r w:rsidR="006320F1" w:rsidRPr="00F4226B">
        <w:rPr>
          <w:rFonts w:ascii="Times New Roman" w:hAnsi="Times New Roman"/>
          <w:sz w:val="24"/>
          <w:szCs w:val="24"/>
          <w:lang w:val="en-US"/>
        </w:rPr>
        <w:t xml:space="preserve">, supporting the notion that HC </w:t>
      </w:r>
      <w:r w:rsidR="00AE1ED5" w:rsidRPr="00F4226B">
        <w:rPr>
          <w:rFonts w:ascii="Times New Roman" w:hAnsi="Times New Roman"/>
          <w:sz w:val="24"/>
          <w:szCs w:val="24"/>
          <w:lang w:val="en-US"/>
        </w:rPr>
        <w:t>amounts</w:t>
      </w:r>
      <w:r w:rsidR="006320F1" w:rsidRPr="00F4226B">
        <w:rPr>
          <w:rFonts w:ascii="Times New Roman" w:hAnsi="Times New Roman"/>
          <w:sz w:val="24"/>
          <w:szCs w:val="24"/>
          <w:lang w:val="en-US"/>
        </w:rPr>
        <w:t xml:space="preserve"> ha</w:t>
      </w:r>
      <w:r w:rsidR="00AE1ED5" w:rsidRPr="00F4226B">
        <w:rPr>
          <w:rFonts w:ascii="Times New Roman" w:hAnsi="Times New Roman"/>
          <w:sz w:val="24"/>
          <w:szCs w:val="24"/>
          <w:lang w:val="en-US"/>
        </w:rPr>
        <w:t>ve</w:t>
      </w:r>
      <w:r w:rsidR="006320F1" w:rsidRPr="00F4226B">
        <w:rPr>
          <w:rFonts w:ascii="Times New Roman" w:hAnsi="Times New Roman"/>
          <w:sz w:val="24"/>
          <w:szCs w:val="24"/>
          <w:lang w:val="en-US"/>
        </w:rPr>
        <w:t xml:space="preserve"> </w:t>
      </w:r>
      <w:r w:rsidR="004704B3">
        <w:rPr>
          <w:rFonts w:ascii="Times New Roman" w:hAnsi="Times New Roman"/>
          <w:sz w:val="24"/>
          <w:szCs w:val="24"/>
          <w:lang w:val="en-US"/>
        </w:rPr>
        <w:t xml:space="preserve">a </w:t>
      </w:r>
      <w:r w:rsidR="006320F1" w:rsidRPr="00F4226B">
        <w:rPr>
          <w:rFonts w:ascii="Times New Roman" w:hAnsi="Times New Roman"/>
          <w:sz w:val="24"/>
          <w:szCs w:val="24"/>
          <w:lang w:val="en-US"/>
        </w:rPr>
        <w:t xml:space="preserve">greater </w:t>
      </w:r>
      <w:r w:rsidR="00AE1ED5" w:rsidRPr="00F4226B">
        <w:rPr>
          <w:rFonts w:ascii="Times New Roman" w:hAnsi="Times New Roman"/>
          <w:sz w:val="24"/>
          <w:szCs w:val="24"/>
          <w:lang w:val="en-US"/>
        </w:rPr>
        <w:t xml:space="preserve">ability to predict </w:t>
      </w:r>
      <w:r w:rsidR="006320F1" w:rsidRPr="00F4226B">
        <w:rPr>
          <w:rFonts w:ascii="Times New Roman" w:hAnsi="Times New Roman"/>
          <w:sz w:val="24"/>
          <w:szCs w:val="24"/>
          <w:lang w:val="en-US"/>
        </w:rPr>
        <w:t>future cash flow</w:t>
      </w:r>
      <w:r w:rsidR="00AE1ED5" w:rsidRPr="00F4226B">
        <w:rPr>
          <w:rFonts w:ascii="Times New Roman" w:hAnsi="Times New Roman"/>
          <w:sz w:val="24"/>
          <w:szCs w:val="24"/>
          <w:lang w:val="en-US"/>
        </w:rPr>
        <w:t>s from operations</w:t>
      </w:r>
      <w:r w:rsidR="003E7F6F" w:rsidRPr="00F4226B">
        <w:rPr>
          <w:rFonts w:ascii="Times New Roman" w:hAnsi="Times New Roman"/>
          <w:sz w:val="24"/>
          <w:szCs w:val="24"/>
          <w:lang w:val="en-US"/>
        </w:rPr>
        <w:t xml:space="preserve"> than IA amounts</w:t>
      </w:r>
      <w:r w:rsidR="006320F1" w:rsidRPr="00F4226B">
        <w:rPr>
          <w:rFonts w:ascii="Times New Roman" w:hAnsi="Times New Roman"/>
          <w:sz w:val="24"/>
          <w:szCs w:val="24"/>
          <w:lang w:val="en-US"/>
        </w:rPr>
        <w:t xml:space="preserve">. </w:t>
      </w:r>
      <w:r w:rsidR="00DF2EF0" w:rsidRPr="00F4226B">
        <w:rPr>
          <w:rFonts w:ascii="Times New Roman" w:hAnsi="Times New Roman"/>
          <w:sz w:val="24"/>
          <w:szCs w:val="24"/>
          <w:lang w:val="en-US"/>
        </w:rPr>
        <w:t>In the relatively high inflation period, the</w:t>
      </w:r>
      <w:r w:rsidR="001C2034" w:rsidRPr="00F4226B">
        <w:rPr>
          <w:rFonts w:ascii="Times New Roman" w:hAnsi="Times New Roman"/>
          <w:sz w:val="24"/>
          <w:szCs w:val="24"/>
          <w:lang w:val="en-US"/>
        </w:rPr>
        <w:t xml:space="preserve"> Vuong Z-statistics </w:t>
      </w:r>
      <w:r w:rsidR="004704B3">
        <w:rPr>
          <w:rFonts w:ascii="Times New Roman" w:hAnsi="Times New Roman"/>
          <w:sz w:val="24"/>
          <w:szCs w:val="24"/>
          <w:lang w:val="en-US"/>
        </w:rPr>
        <w:t>are</w:t>
      </w:r>
      <w:r w:rsidR="004704B3" w:rsidRPr="00F4226B">
        <w:rPr>
          <w:rFonts w:ascii="Times New Roman" w:hAnsi="Times New Roman"/>
          <w:sz w:val="24"/>
          <w:szCs w:val="24"/>
          <w:lang w:val="en-US"/>
        </w:rPr>
        <w:t xml:space="preserve"> </w:t>
      </w:r>
      <w:r w:rsidR="00DF2EF0" w:rsidRPr="00F4226B">
        <w:rPr>
          <w:rFonts w:ascii="Times New Roman" w:hAnsi="Times New Roman"/>
          <w:sz w:val="24"/>
          <w:szCs w:val="24"/>
          <w:lang w:val="en-US"/>
        </w:rPr>
        <w:t xml:space="preserve">only significant at 10%, </w:t>
      </w:r>
      <w:r w:rsidR="001C2034" w:rsidRPr="00F4226B">
        <w:rPr>
          <w:rFonts w:ascii="Times New Roman" w:hAnsi="Times New Roman"/>
          <w:sz w:val="24"/>
          <w:szCs w:val="24"/>
          <w:lang w:val="en-US"/>
        </w:rPr>
        <w:t>indicat</w:t>
      </w:r>
      <w:r w:rsidR="00DF2EF0" w:rsidRPr="00F4226B">
        <w:rPr>
          <w:rFonts w:ascii="Times New Roman" w:hAnsi="Times New Roman"/>
          <w:sz w:val="24"/>
          <w:szCs w:val="24"/>
          <w:lang w:val="en-US"/>
        </w:rPr>
        <w:t>ing</w:t>
      </w:r>
      <w:r w:rsidR="001C2034" w:rsidRPr="00F4226B">
        <w:rPr>
          <w:rFonts w:ascii="Times New Roman" w:hAnsi="Times New Roman"/>
          <w:sz w:val="24"/>
          <w:szCs w:val="24"/>
          <w:lang w:val="en-US"/>
        </w:rPr>
        <w:t xml:space="preserve"> that the </w:t>
      </w:r>
      <w:r w:rsidR="00F16FB0" w:rsidRPr="00F4226B">
        <w:rPr>
          <w:rFonts w:ascii="Times New Roman" w:hAnsi="Times New Roman"/>
          <w:sz w:val="24"/>
          <w:szCs w:val="24"/>
          <w:lang w:val="en-US"/>
        </w:rPr>
        <w:t xml:space="preserve">difference in the </w:t>
      </w:r>
      <w:r w:rsidR="001C2034" w:rsidRPr="00F4226B">
        <w:rPr>
          <w:rFonts w:ascii="Times New Roman" w:hAnsi="Times New Roman"/>
          <w:sz w:val="24"/>
          <w:szCs w:val="24"/>
          <w:lang w:val="en-US"/>
        </w:rPr>
        <w:t xml:space="preserve">power of </w:t>
      </w:r>
      <w:r w:rsidR="00F16FB0" w:rsidRPr="00F4226B">
        <w:rPr>
          <w:rFonts w:ascii="Times New Roman" w:hAnsi="Times New Roman"/>
          <w:sz w:val="24"/>
          <w:szCs w:val="24"/>
          <w:lang w:val="en-US"/>
        </w:rPr>
        <w:t xml:space="preserve">the two </w:t>
      </w:r>
      <w:r w:rsidR="001C2034" w:rsidRPr="00F4226B">
        <w:rPr>
          <w:rFonts w:ascii="Times New Roman" w:hAnsi="Times New Roman"/>
          <w:sz w:val="24"/>
          <w:szCs w:val="24"/>
          <w:lang w:val="en-US"/>
        </w:rPr>
        <w:t xml:space="preserve">amounts </w:t>
      </w:r>
      <w:r w:rsidR="00F16FB0" w:rsidRPr="00F4226B">
        <w:rPr>
          <w:rFonts w:ascii="Times New Roman" w:hAnsi="Times New Roman"/>
          <w:sz w:val="24"/>
          <w:szCs w:val="24"/>
          <w:lang w:val="en-US"/>
        </w:rPr>
        <w:t xml:space="preserve">is </w:t>
      </w:r>
      <w:r w:rsidR="00DF2EF0" w:rsidRPr="00F4226B">
        <w:rPr>
          <w:rFonts w:ascii="Times New Roman" w:hAnsi="Times New Roman"/>
          <w:sz w:val="24"/>
          <w:szCs w:val="24"/>
          <w:lang w:val="en-US"/>
        </w:rPr>
        <w:t>m</w:t>
      </w:r>
      <w:r w:rsidR="002558D7" w:rsidRPr="00F4226B">
        <w:rPr>
          <w:rFonts w:ascii="Times New Roman" w:hAnsi="Times New Roman"/>
          <w:sz w:val="24"/>
          <w:szCs w:val="24"/>
          <w:lang w:val="en-US"/>
        </w:rPr>
        <w:t>arginal</w:t>
      </w:r>
      <w:r w:rsidR="001C2034" w:rsidRPr="00F4226B">
        <w:rPr>
          <w:rFonts w:ascii="Times New Roman" w:hAnsi="Times New Roman"/>
          <w:sz w:val="24"/>
          <w:szCs w:val="24"/>
          <w:lang w:val="en-US"/>
        </w:rPr>
        <w:t xml:space="preserve">.  </w:t>
      </w:r>
    </w:p>
    <w:p w14:paraId="1CA715D8" w14:textId="70816258" w:rsidR="004D408A" w:rsidRPr="00F4226B" w:rsidRDefault="008B1447" w:rsidP="00334724">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lastRenderedPageBreak/>
        <w:t>I</w:t>
      </w:r>
      <w:r w:rsidR="006320F1" w:rsidRPr="00F4226B">
        <w:rPr>
          <w:rFonts w:ascii="Times New Roman" w:hAnsi="Times New Roman"/>
          <w:sz w:val="24"/>
          <w:szCs w:val="24"/>
          <w:lang w:val="en-US"/>
        </w:rPr>
        <w:t xml:space="preserve">n the </w:t>
      </w:r>
      <w:r w:rsidR="001640CF" w:rsidRPr="00F4226B">
        <w:rPr>
          <w:rFonts w:ascii="Times New Roman" w:hAnsi="Times New Roman"/>
          <w:sz w:val="24"/>
          <w:szCs w:val="24"/>
          <w:lang w:val="en-US"/>
        </w:rPr>
        <w:t xml:space="preserve">incremental </w:t>
      </w:r>
      <w:r w:rsidR="00AE1ED5" w:rsidRPr="00F4226B">
        <w:rPr>
          <w:rFonts w:ascii="Times New Roman" w:hAnsi="Times New Roman"/>
          <w:sz w:val="24"/>
          <w:szCs w:val="24"/>
          <w:lang w:val="en-US"/>
        </w:rPr>
        <w:t>content</w:t>
      </w:r>
      <w:r w:rsidR="001640CF" w:rsidRPr="00F4226B">
        <w:rPr>
          <w:rFonts w:ascii="Times New Roman" w:hAnsi="Times New Roman"/>
          <w:sz w:val="24"/>
          <w:szCs w:val="24"/>
          <w:lang w:val="en-US"/>
        </w:rPr>
        <w:t xml:space="preserve"> model</w:t>
      </w:r>
      <w:r w:rsidR="00AE1ED5" w:rsidRPr="00F4226B">
        <w:rPr>
          <w:rFonts w:ascii="Times New Roman" w:hAnsi="Times New Roman"/>
          <w:sz w:val="24"/>
          <w:szCs w:val="24"/>
          <w:lang w:val="en-US"/>
        </w:rPr>
        <w:t>s</w:t>
      </w:r>
      <w:r w:rsidR="001640CF" w:rsidRPr="00F4226B">
        <w:rPr>
          <w:rFonts w:ascii="Times New Roman" w:hAnsi="Times New Roman"/>
          <w:sz w:val="24"/>
          <w:szCs w:val="24"/>
          <w:lang w:val="en-US"/>
        </w:rPr>
        <w:t xml:space="preserve"> (</w:t>
      </w:r>
      <w:r w:rsidR="006320F1" w:rsidRPr="00F4226B">
        <w:rPr>
          <w:rFonts w:ascii="Times New Roman" w:hAnsi="Times New Roman"/>
          <w:sz w:val="24"/>
          <w:szCs w:val="24"/>
          <w:lang w:val="en-US"/>
        </w:rPr>
        <w:t xml:space="preserve">Models </w:t>
      </w:r>
      <w:r w:rsidR="001640CF" w:rsidRPr="00F4226B">
        <w:rPr>
          <w:rFonts w:ascii="Times New Roman" w:hAnsi="Times New Roman"/>
          <w:sz w:val="24"/>
          <w:szCs w:val="24"/>
          <w:lang w:val="en-US"/>
        </w:rPr>
        <w:t>3</w:t>
      </w:r>
      <w:r w:rsidR="006320F1" w:rsidRPr="00F4226B">
        <w:rPr>
          <w:rFonts w:ascii="Times New Roman" w:hAnsi="Times New Roman"/>
          <w:sz w:val="24"/>
          <w:szCs w:val="24"/>
          <w:lang w:val="en-US"/>
        </w:rPr>
        <w:t xml:space="preserve"> and 6</w:t>
      </w:r>
      <w:r w:rsidR="001640CF" w:rsidRPr="00F4226B">
        <w:rPr>
          <w:rFonts w:ascii="Times New Roman" w:hAnsi="Times New Roman"/>
          <w:sz w:val="24"/>
          <w:szCs w:val="24"/>
          <w:lang w:val="en-US"/>
        </w:rPr>
        <w:t>)</w:t>
      </w:r>
      <w:r w:rsidR="006320F1" w:rsidRPr="00F4226B">
        <w:rPr>
          <w:rFonts w:ascii="Times New Roman" w:hAnsi="Times New Roman"/>
          <w:sz w:val="24"/>
          <w:szCs w:val="24"/>
          <w:lang w:val="en-US"/>
        </w:rPr>
        <w:t xml:space="preserve">, the adjusted Rs² </w:t>
      </w:r>
      <w:r w:rsidR="00823D18" w:rsidRPr="00F4226B">
        <w:rPr>
          <w:rFonts w:ascii="Times New Roman" w:hAnsi="Times New Roman"/>
          <w:sz w:val="24"/>
          <w:szCs w:val="24"/>
          <w:lang w:val="en-US"/>
        </w:rPr>
        <w:t xml:space="preserve">in the entire pooled and partitioned periods </w:t>
      </w:r>
      <w:r w:rsidR="006320F1" w:rsidRPr="00F4226B">
        <w:rPr>
          <w:rFonts w:ascii="Times New Roman" w:hAnsi="Times New Roman"/>
          <w:sz w:val="24"/>
          <w:szCs w:val="24"/>
          <w:lang w:val="en-US"/>
        </w:rPr>
        <w:t xml:space="preserve">are </w:t>
      </w:r>
      <w:r w:rsidR="000A1009" w:rsidRPr="00F4226B">
        <w:rPr>
          <w:rFonts w:ascii="Times New Roman" w:hAnsi="Times New Roman"/>
          <w:sz w:val="24"/>
          <w:szCs w:val="24"/>
          <w:lang w:val="en-US"/>
        </w:rPr>
        <w:t xml:space="preserve">generally </w:t>
      </w:r>
      <w:r w:rsidR="006320F1" w:rsidRPr="00F4226B">
        <w:rPr>
          <w:rFonts w:ascii="Times New Roman" w:hAnsi="Times New Roman"/>
          <w:sz w:val="24"/>
          <w:szCs w:val="24"/>
          <w:lang w:val="en-US"/>
        </w:rPr>
        <w:t xml:space="preserve">higher than those </w:t>
      </w:r>
      <w:r w:rsidR="00823D18" w:rsidRPr="00F4226B">
        <w:rPr>
          <w:rFonts w:ascii="Times New Roman" w:hAnsi="Times New Roman"/>
          <w:sz w:val="24"/>
          <w:szCs w:val="24"/>
          <w:lang w:val="en-US"/>
        </w:rPr>
        <w:t xml:space="preserve">in the </w:t>
      </w:r>
      <w:r w:rsidR="006320F1" w:rsidRPr="00F4226B">
        <w:rPr>
          <w:rFonts w:ascii="Times New Roman" w:hAnsi="Times New Roman"/>
          <w:sz w:val="24"/>
          <w:szCs w:val="24"/>
          <w:lang w:val="en-US"/>
        </w:rPr>
        <w:t xml:space="preserve">HC </w:t>
      </w:r>
      <w:r w:rsidR="00823D18" w:rsidRPr="00F4226B">
        <w:rPr>
          <w:rFonts w:ascii="Times New Roman" w:hAnsi="Times New Roman"/>
          <w:sz w:val="24"/>
          <w:szCs w:val="24"/>
          <w:lang w:val="en-US"/>
        </w:rPr>
        <w:t xml:space="preserve">models </w:t>
      </w:r>
      <w:r w:rsidR="00A25B44" w:rsidRPr="00F4226B">
        <w:rPr>
          <w:rFonts w:ascii="Times New Roman" w:hAnsi="Times New Roman"/>
          <w:sz w:val="24"/>
          <w:szCs w:val="24"/>
          <w:lang w:val="en-US"/>
        </w:rPr>
        <w:t xml:space="preserve">(only slightly) </w:t>
      </w:r>
      <w:r w:rsidR="006320F1" w:rsidRPr="00F4226B">
        <w:rPr>
          <w:rFonts w:ascii="Times New Roman" w:hAnsi="Times New Roman"/>
          <w:sz w:val="24"/>
          <w:szCs w:val="24"/>
          <w:lang w:val="en-US"/>
        </w:rPr>
        <w:t xml:space="preserve">and IA </w:t>
      </w:r>
      <w:r w:rsidR="00823D18" w:rsidRPr="00F4226B">
        <w:rPr>
          <w:rFonts w:ascii="Times New Roman" w:hAnsi="Times New Roman"/>
          <w:sz w:val="24"/>
          <w:szCs w:val="24"/>
          <w:lang w:val="en-US"/>
        </w:rPr>
        <w:t>model</w:t>
      </w:r>
      <w:r w:rsidR="00AE1ED5" w:rsidRPr="00F4226B">
        <w:rPr>
          <w:rFonts w:ascii="Times New Roman" w:hAnsi="Times New Roman"/>
          <w:sz w:val="24"/>
          <w:szCs w:val="24"/>
          <w:lang w:val="en-US"/>
        </w:rPr>
        <w:t>s</w:t>
      </w:r>
      <w:r w:rsidR="00C944A9" w:rsidRPr="00F4226B">
        <w:rPr>
          <w:rFonts w:ascii="Times New Roman" w:hAnsi="Times New Roman"/>
          <w:sz w:val="24"/>
          <w:szCs w:val="24"/>
          <w:lang w:val="en-US"/>
        </w:rPr>
        <w:t>. The</w:t>
      </w:r>
      <w:r w:rsidR="00823D18" w:rsidRPr="00F4226B">
        <w:rPr>
          <w:rFonts w:ascii="Times New Roman" w:hAnsi="Times New Roman"/>
          <w:sz w:val="24"/>
          <w:szCs w:val="24"/>
          <w:lang w:val="en-US"/>
        </w:rPr>
        <w:t xml:space="preserve"> </w:t>
      </w:r>
      <w:r w:rsidR="00A25B44" w:rsidRPr="00F4226B">
        <w:rPr>
          <w:rFonts w:ascii="Times New Roman" w:hAnsi="Times New Roman"/>
          <w:sz w:val="24"/>
          <w:szCs w:val="24"/>
          <w:lang w:val="en-US"/>
        </w:rPr>
        <w:t>V</w:t>
      </w:r>
      <w:r w:rsidR="008B1ABA" w:rsidRPr="00F4226B">
        <w:rPr>
          <w:rFonts w:ascii="Times New Roman" w:hAnsi="Times New Roman"/>
          <w:sz w:val="24"/>
          <w:szCs w:val="24"/>
          <w:lang w:val="en-US"/>
        </w:rPr>
        <w:t>u</w:t>
      </w:r>
      <w:r w:rsidR="00A25B44" w:rsidRPr="00F4226B">
        <w:rPr>
          <w:rFonts w:ascii="Times New Roman" w:hAnsi="Times New Roman"/>
          <w:sz w:val="24"/>
          <w:szCs w:val="24"/>
          <w:lang w:val="en-US"/>
        </w:rPr>
        <w:t xml:space="preserve">ong </w:t>
      </w:r>
      <w:r w:rsidR="00E708D1" w:rsidRPr="00F4226B">
        <w:rPr>
          <w:rFonts w:ascii="Times New Roman" w:hAnsi="Times New Roman"/>
          <w:sz w:val="24"/>
          <w:szCs w:val="24"/>
          <w:lang w:val="en-US"/>
        </w:rPr>
        <w:t>Z-statistic</w:t>
      </w:r>
      <w:r w:rsidR="00A25B44" w:rsidRPr="00F4226B">
        <w:rPr>
          <w:rFonts w:ascii="Times New Roman" w:hAnsi="Times New Roman"/>
          <w:sz w:val="24"/>
          <w:szCs w:val="24"/>
          <w:lang w:val="en-US"/>
        </w:rPr>
        <w:t xml:space="preserve">s </w:t>
      </w:r>
      <w:r w:rsidR="00823D18" w:rsidRPr="00F4226B">
        <w:rPr>
          <w:rFonts w:ascii="Times New Roman" w:hAnsi="Times New Roman"/>
          <w:sz w:val="24"/>
          <w:szCs w:val="24"/>
          <w:lang w:val="en-US"/>
        </w:rPr>
        <w:t>confirm these observations</w:t>
      </w:r>
      <w:r w:rsidR="00BC69C8">
        <w:rPr>
          <w:rFonts w:ascii="Times New Roman" w:hAnsi="Times New Roman"/>
          <w:sz w:val="24"/>
          <w:szCs w:val="24"/>
          <w:lang w:val="en-US"/>
        </w:rPr>
        <w:t>,</w:t>
      </w:r>
      <w:r w:rsidR="00823D18" w:rsidRPr="00F4226B">
        <w:rPr>
          <w:rFonts w:ascii="Times New Roman" w:hAnsi="Times New Roman"/>
          <w:sz w:val="24"/>
          <w:szCs w:val="24"/>
          <w:lang w:val="en-US"/>
        </w:rPr>
        <w:t xml:space="preserve"> indicating </w:t>
      </w:r>
      <w:r w:rsidR="00A25B44" w:rsidRPr="00F4226B">
        <w:rPr>
          <w:rFonts w:ascii="Times New Roman" w:hAnsi="Times New Roman"/>
          <w:sz w:val="24"/>
          <w:szCs w:val="24"/>
          <w:lang w:val="en-US"/>
        </w:rPr>
        <w:t xml:space="preserve">that </w:t>
      </w:r>
      <w:r w:rsidR="00C944A9" w:rsidRPr="00F4226B">
        <w:rPr>
          <w:rFonts w:ascii="Times New Roman" w:hAnsi="Times New Roman"/>
          <w:sz w:val="24"/>
          <w:szCs w:val="24"/>
          <w:lang w:val="en-US"/>
        </w:rPr>
        <w:t xml:space="preserve">the </w:t>
      </w:r>
      <w:r w:rsidR="00A25B44" w:rsidRPr="00F4226B">
        <w:rPr>
          <w:rFonts w:ascii="Times New Roman" w:hAnsi="Times New Roman"/>
          <w:sz w:val="24"/>
          <w:szCs w:val="24"/>
          <w:lang w:val="en-US"/>
        </w:rPr>
        <w:t xml:space="preserve">power of </w:t>
      </w:r>
      <w:r w:rsidR="00BC69C8">
        <w:rPr>
          <w:rFonts w:ascii="Times New Roman" w:hAnsi="Times New Roman"/>
          <w:sz w:val="24"/>
          <w:szCs w:val="24"/>
          <w:lang w:val="en-US"/>
        </w:rPr>
        <w:t xml:space="preserve">the </w:t>
      </w:r>
      <w:r w:rsidR="00C944A9" w:rsidRPr="00F4226B">
        <w:rPr>
          <w:rFonts w:ascii="Times New Roman" w:hAnsi="Times New Roman"/>
          <w:sz w:val="24"/>
          <w:szCs w:val="24"/>
          <w:lang w:val="en-US"/>
        </w:rPr>
        <w:t xml:space="preserve">incremental model </w:t>
      </w:r>
      <w:r w:rsidR="005E6834" w:rsidRPr="00F4226B">
        <w:rPr>
          <w:rFonts w:ascii="Times New Roman" w:hAnsi="Times New Roman"/>
          <w:sz w:val="24"/>
          <w:szCs w:val="24"/>
          <w:lang w:val="en-US"/>
        </w:rPr>
        <w:t xml:space="preserve">does not differ significantly from </w:t>
      </w:r>
      <w:r w:rsidR="00C944A9" w:rsidRPr="00F4226B">
        <w:rPr>
          <w:rFonts w:ascii="Times New Roman" w:hAnsi="Times New Roman"/>
          <w:sz w:val="24"/>
          <w:szCs w:val="24"/>
          <w:lang w:val="en-US"/>
        </w:rPr>
        <w:t>the HC model</w:t>
      </w:r>
      <w:r w:rsidR="00F4226B">
        <w:rPr>
          <w:rFonts w:ascii="Times New Roman" w:hAnsi="Times New Roman"/>
          <w:sz w:val="24"/>
          <w:szCs w:val="24"/>
          <w:lang w:val="en-US"/>
        </w:rPr>
        <w:t xml:space="preserve"> but is </w:t>
      </w:r>
      <w:r w:rsidR="00C944A9" w:rsidRPr="00F4226B">
        <w:rPr>
          <w:rFonts w:ascii="Times New Roman" w:hAnsi="Times New Roman"/>
          <w:sz w:val="24"/>
          <w:szCs w:val="24"/>
          <w:lang w:val="en-US"/>
        </w:rPr>
        <w:t xml:space="preserve">superior to the IA model in predicting future cash flows. </w:t>
      </w:r>
      <w:r w:rsidR="00823D18" w:rsidRPr="00F4226B">
        <w:rPr>
          <w:rFonts w:ascii="Times New Roman" w:hAnsi="Times New Roman"/>
          <w:sz w:val="24"/>
          <w:szCs w:val="24"/>
          <w:lang w:val="en-US"/>
        </w:rPr>
        <w:t xml:space="preserve">These results </w:t>
      </w:r>
      <w:r w:rsidR="00AC1F64" w:rsidRPr="00F4226B">
        <w:rPr>
          <w:rFonts w:ascii="Times New Roman" w:hAnsi="Times New Roman"/>
          <w:sz w:val="24"/>
          <w:szCs w:val="24"/>
          <w:lang w:val="en-US"/>
        </w:rPr>
        <w:t xml:space="preserve">are similar to </w:t>
      </w:r>
      <w:r w:rsidR="00823D18" w:rsidRPr="00F4226B">
        <w:rPr>
          <w:rFonts w:ascii="Times New Roman" w:hAnsi="Times New Roman"/>
          <w:sz w:val="24"/>
          <w:szCs w:val="24"/>
          <w:lang w:val="en-US"/>
        </w:rPr>
        <w:t xml:space="preserve">those reported in Tables 5 and 6. </w:t>
      </w:r>
      <w:r w:rsidR="00AC1F64" w:rsidRPr="00F4226B">
        <w:rPr>
          <w:rFonts w:ascii="Times New Roman" w:hAnsi="Times New Roman"/>
          <w:sz w:val="24"/>
          <w:szCs w:val="24"/>
          <w:lang w:val="en-US"/>
        </w:rPr>
        <w:t>T</w:t>
      </w:r>
      <w:r w:rsidR="001640CF" w:rsidRPr="00F4226B">
        <w:rPr>
          <w:rFonts w:ascii="Times New Roman" w:hAnsi="Times New Roman"/>
          <w:sz w:val="24"/>
          <w:szCs w:val="24"/>
          <w:lang w:val="en-US"/>
        </w:rPr>
        <w:t xml:space="preserve">he coefficient of </w:t>
      </w:r>
      <w:r w:rsidR="001640CF" w:rsidRPr="00F4226B">
        <w:rPr>
          <w:rFonts w:ascii="Times New Roman" w:hAnsi="Times New Roman"/>
          <w:i/>
          <w:sz w:val="24"/>
          <w:szCs w:val="24"/>
          <w:lang w:val="en-US"/>
        </w:rPr>
        <w:t>EIGLS</w:t>
      </w:r>
      <w:r w:rsidR="001640CF" w:rsidRPr="00F4226B">
        <w:rPr>
          <w:rFonts w:ascii="Times New Roman" w:hAnsi="Times New Roman"/>
          <w:sz w:val="24"/>
          <w:szCs w:val="24"/>
          <w:lang w:val="en-US"/>
        </w:rPr>
        <w:t xml:space="preserve"> is significant </w:t>
      </w:r>
      <w:r w:rsidR="00AC1F64" w:rsidRPr="00F4226B">
        <w:rPr>
          <w:rFonts w:ascii="Times New Roman" w:hAnsi="Times New Roman"/>
          <w:sz w:val="24"/>
          <w:szCs w:val="24"/>
          <w:lang w:val="en-US"/>
        </w:rPr>
        <w:t xml:space="preserve">at </w:t>
      </w:r>
      <w:r w:rsidR="00BC69C8">
        <w:rPr>
          <w:rFonts w:ascii="Times New Roman" w:hAnsi="Times New Roman"/>
          <w:sz w:val="24"/>
          <w:szCs w:val="24"/>
          <w:lang w:val="en-US"/>
        </w:rPr>
        <w:t xml:space="preserve">the </w:t>
      </w:r>
      <w:r w:rsidR="00AC1F64" w:rsidRPr="00F4226B">
        <w:rPr>
          <w:rFonts w:ascii="Times New Roman" w:hAnsi="Times New Roman"/>
          <w:sz w:val="24"/>
          <w:szCs w:val="24"/>
          <w:lang w:val="en-US"/>
        </w:rPr>
        <w:t xml:space="preserve">5% level </w:t>
      </w:r>
      <w:r w:rsidR="001640CF" w:rsidRPr="00F4226B">
        <w:rPr>
          <w:rFonts w:ascii="Times New Roman" w:hAnsi="Times New Roman"/>
          <w:sz w:val="24"/>
          <w:szCs w:val="24"/>
          <w:lang w:val="en-US"/>
        </w:rPr>
        <w:t>for the entire period and the 2003</w:t>
      </w:r>
      <w:r w:rsidR="00A82995">
        <w:rPr>
          <w:rFonts w:ascii="Times New Roman" w:hAnsi="Times New Roman"/>
          <w:sz w:val="24"/>
          <w:szCs w:val="24"/>
          <w:lang w:val="en-US"/>
        </w:rPr>
        <w:t>–</w:t>
      </w:r>
      <w:r w:rsidR="001640CF" w:rsidRPr="00F4226B">
        <w:rPr>
          <w:rFonts w:ascii="Times New Roman" w:hAnsi="Times New Roman"/>
          <w:sz w:val="24"/>
          <w:szCs w:val="24"/>
          <w:lang w:val="en-US"/>
        </w:rPr>
        <w:t>2005</w:t>
      </w:r>
      <w:r w:rsidR="001E78F5" w:rsidRPr="00F4226B">
        <w:rPr>
          <w:rFonts w:ascii="Times New Roman" w:hAnsi="Times New Roman"/>
          <w:sz w:val="24"/>
          <w:szCs w:val="24"/>
          <w:lang w:val="en-US"/>
        </w:rPr>
        <w:t xml:space="preserve"> period</w:t>
      </w:r>
      <w:r w:rsidR="005E6834" w:rsidRPr="00F4226B">
        <w:rPr>
          <w:rFonts w:ascii="Times New Roman" w:hAnsi="Times New Roman"/>
          <w:sz w:val="24"/>
          <w:szCs w:val="24"/>
          <w:lang w:val="en-US"/>
        </w:rPr>
        <w:t xml:space="preserve"> and </w:t>
      </w:r>
      <w:r w:rsidR="00AC1F64" w:rsidRPr="00F4226B">
        <w:rPr>
          <w:rFonts w:ascii="Times New Roman" w:hAnsi="Times New Roman"/>
          <w:sz w:val="24"/>
          <w:szCs w:val="24"/>
          <w:lang w:val="en-US"/>
        </w:rPr>
        <w:t xml:space="preserve">at </w:t>
      </w:r>
      <w:r w:rsidR="00BC69C8" w:rsidRPr="00F4226B">
        <w:rPr>
          <w:rFonts w:ascii="Times New Roman" w:hAnsi="Times New Roman"/>
          <w:sz w:val="24"/>
          <w:szCs w:val="24"/>
          <w:lang w:val="en-US"/>
        </w:rPr>
        <w:t xml:space="preserve">only </w:t>
      </w:r>
      <w:r w:rsidR="00AC1F64" w:rsidRPr="00F4226B">
        <w:rPr>
          <w:rFonts w:ascii="Times New Roman" w:hAnsi="Times New Roman"/>
          <w:sz w:val="24"/>
          <w:szCs w:val="24"/>
          <w:lang w:val="en-US"/>
        </w:rPr>
        <w:t>the 1</w:t>
      </w:r>
      <w:r w:rsidR="005E6834" w:rsidRPr="00F4226B">
        <w:rPr>
          <w:rFonts w:ascii="Times New Roman" w:hAnsi="Times New Roman"/>
          <w:sz w:val="24"/>
          <w:szCs w:val="24"/>
          <w:lang w:val="en-US"/>
        </w:rPr>
        <w:t>0% level for the 2000</w:t>
      </w:r>
      <w:r w:rsidR="00A82995">
        <w:rPr>
          <w:rFonts w:ascii="Times New Roman" w:hAnsi="Times New Roman"/>
          <w:sz w:val="24"/>
          <w:szCs w:val="24"/>
          <w:lang w:val="en-US"/>
        </w:rPr>
        <w:t>–</w:t>
      </w:r>
      <w:r w:rsidR="005E6834" w:rsidRPr="00F4226B">
        <w:rPr>
          <w:rFonts w:ascii="Times New Roman" w:hAnsi="Times New Roman"/>
          <w:sz w:val="24"/>
          <w:szCs w:val="24"/>
          <w:lang w:val="en-US"/>
        </w:rPr>
        <w:t xml:space="preserve">2002 period. </w:t>
      </w:r>
      <w:r w:rsidR="00823D18" w:rsidRPr="00F4226B">
        <w:rPr>
          <w:rFonts w:ascii="Times New Roman" w:hAnsi="Times New Roman"/>
          <w:sz w:val="24"/>
          <w:szCs w:val="24"/>
          <w:lang w:val="en-US"/>
        </w:rPr>
        <w:t>O</w:t>
      </w:r>
      <w:r w:rsidR="00AC1F64" w:rsidRPr="00F4226B">
        <w:rPr>
          <w:rFonts w:ascii="Times New Roman" w:hAnsi="Times New Roman"/>
          <w:sz w:val="24"/>
          <w:szCs w:val="24"/>
          <w:lang w:val="en-US"/>
        </w:rPr>
        <w:t>verall, o</w:t>
      </w:r>
      <w:r w:rsidR="00823D18" w:rsidRPr="00F4226B">
        <w:rPr>
          <w:rFonts w:ascii="Times New Roman" w:hAnsi="Times New Roman"/>
          <w:sz w:val="24"/>
          <w:szCs w:val="24"/>
          <w:lang w:val="en-US"/>
        </w:rPr>
        <w:t xml:space="preserve">ur </w:t>
      </w:r>
      <w:r w:rsidR="005E6834" w:rsidRPr="00F4226B">
        <w:rPr>
          <w:rFonts w:ascii="Times New Roman" w:hAnsi="Times New Roman"/>
          <w:sz w:val="24"/>
          <w:szCs w:val="24"/>
          <w:lang w:val="en-US"/>
        </w:rPr>
        <w:t xml:space="preserve">results suggest, </w:t>
      </w:r>
      <w:r w:rsidR="00F3354A" w:rsidRPr="00F4226B">
        <w:rPr>
          <w:rFonts w:ascii="Times New Roman" w:hAnsi="Times New Roman"/>
          <w:sz w:val="24"/>
          <w:szCs w:val="24"/>
          <w:lang w:val="en-US"/>
        </w:rPr>
        <w:t xml:space="preserve">consistent with </w:t>
      </w:r>
      <w:r w:rsidR="00A82995">
        <w:rPr>
          <w:rFonts w:ascii="Times New Roman" w:hAnsi="Times New Roman"/>
          <w:sz w:val="24"/>
          <w:szCs w:val="24"/>
          <w:lang w:val="en-US"/>
        </w:rPr>
        <w:t xml:space="preserve">those of </w:t>
      </w:r>
      <w:r w:rsidR="00F3354A" w:rsidRPr="00F4226B">
        <w:rPr>
          <w:rFonts w:ascii="Times New Roman" w:hAnsi="Times New Roman"/>
          <w:sz w:val="24"/>
          <w:szCs w:val="24"/>
          <w:lang w:val="en-US"/>
        </w:rPr>
        <w:t>Konchitchki (2011)</w:t>
      </w:r>
      <w:r w:rsidR="005E6834" w:rsidRPr="00F4226B">
        <w:rPr>
          <w:rFonts w:ascii="Times New Roman" w:hAnsi="Times New Roman"/>
          <w:sz w:val="24"/>
          <w:szCs w:val="24"/>
          <w:lang w:val="en-US"/>
        </w:rPr>
        <w:t xml:space="preserve">, that the information in inflation gains and losses embedded in earnings has predictive ability in terms </w:t>
      </w:r>
      <w:r w:rsidR="00FE15D0" w:rsidRPr="00F4226B">
        <w:rPr>
          <w:rFonts w:ascii="Times New Roman" w:hAnsi="Times New Roman"/>
          <w:sz w:val="24"/>
          <w:szCs w:val="24"/>
          <w:lang w:val="en-US"/>
        </w:rPr>
        <w:t xml:space="preserve">of </w:t>
      </w:r>
      <w:r w:rsidR="005E6834" w:rsidRPr="00F4226B">
        <w:rPr>
          <w:rFonts w:ascii="Times New Roman" w:hAnsi="Times New Roman"/>
          <w:sz w:val="24"/>
          <w:szCs w:val="24"/>
          <w:lang w:val="en-US"/>
        </w:rPr>
        <w:t>future cash flows</w:t>
      </w:r>
      <w:r w:rsidR="001640CF" w:rsidRPr="00F4226B">
        <w:rPr>
          <w:rFonts w:ascii="Times New Roman" w:hAnsi="Times New Roman"/>
          <w:sz w:val="24"/>
          <w:szCs w:val="24"/>
          <w:lang w:val="en-US"/>
        </w:rPr>
        <w:t xml:space="preserve">. </w:t>
      </w:r>
      <w:r w:rsidR="000E30A7" w:rsidRPr="00F4226B">
        <w:rPr>
          <w:rFonts w:ascii="Times New Roman" w:hAnsi="Times New Roman"/>
          <w:sz w:val="24"/>
          <w:szCs w:val="24"/>
          <w:lang w:val="en-US"/>
        </w:rPr>
        <w:t>However, r</w:t>
      </w:r>
      <w:r w:rsidR="00AC1F64" w:rsidRPr="00F4226B">
        <w:rPr>
          <w:rFonts w:ascii="Times New Roman" w:hAnsi="Times New Roman"/>
          <w:sz w:val="24"/>
          <w:szCs w:val="24"/>
          <w:lang w:val="en-US"/>
        </w:rPr>
        <w:t xml:space="preserve">egarding the </w:t>
      </w:r>
      <w:r w:rsidR="005E6834" w:rsidRPr="00F4226B">
        <w:rPr>
          <w:rFonts w:ascii="Times New Roman" w:hAnsi="Times New Roman"/>
          <w:sz w:val="24"/>
          <w:szCs w:val="24"/>
          <w:lang w:val="en-US"/>
        </w:rPr>
        <w:t xml:space="preserve">incremental content </w:t>
      </w:r>
      <w:r w:rsidRPr="00F4226B">
        <w:rPr>
          <w:rFonts w:ascii="Times New Roman" w:hAnsi="Times New Roman"/>
          <w:sz w:val="24"/>
          <w:szCs w:val="24"/>
          <w:lang w:val="en-US"/>
        </w:rPr>
        <w:t xml:space="preserve">model </w:t>
      </w:r>
      <w:r w:rsidR="00AC1F64" w:rsidRPr="00F4226B">
        <w:rPr>
          <w:rFonts w:ascii="Times New Roman" w:hAnsi="Times New Roman"/>
          <w:sz w:val="24"/>
          <w:szCs w:val="24"/>
          <w:lang w:val="en-US"/>
        </w:rPr>
        <w:t xml:space="preserve">in which the explanatory variable is </w:t>
      </w:r>
      <w:r w:rsidRPr="00F4226B">
        <w:rPr>
          <w:rFonts w:ascii="Times New Roman" w:hAnsi="Times New Roman"/>
          <w:sz w:val="24"/>
          <w:szCs w:val="24"/>
          <w:lang w:val="en-US"/>
        </w:rPr>
        <w:t xml:space="preserve">current cash flows (Model 6), none of the coefficients of </w:t>
      </w:r>
      <w:r w:rsidRPr="00F4226B">
        <w:rPr>
          <w:rFonts w:ascii="Times New Roman" w:hAnsi="Times New Roman"/>
          <w:i/>
          <w:sz w:val="24"/>
          <w:szCs w:val="24"/>
          <w:lang w:val="en-US"/>
        </w:rPr>
        <w:t>CASHIGLS</w:t>
      </w:r>
      <w:r w:rsidRPr="00F4226B">
        <w:rPr>
          <w:rFonts w:ascii="Times New Roman" w:hAnsi="Times New Roman"/>
          <w:sz w:val="24"/>
          <w:szCs w:val="24"/>
          <w:lang w:val="en-US"/>
        </w:rPr>
        <w:t xml:space="preserve"> </w:t>
      </w:r>
      <w:r w:rsidR="00AC1F64" w:rsidRPr="00F4226B">
        <w:rPr>
          <w:rFonts w:ascii="Times New Roman" w:hAnsi="Times New Roman"/>
          <w:sz w:val="24"/>
          <w:szCs w:val="24"/>
          <w:lang w:val="en-US"/>
        </w:rPr>
        <w:t xml:space="preserve">is </w:t>
      </w:r>
      <w:r w:rsidRPr="00F4226B">
        <w:rPr>
          <w:rFonts w:ascii="Times New Roman" w:hAnsi="Times New Roman"/>
          <w:sz w:val="24"/>
          <w:szCs w:val="24"/>
          <w:lang w:val="en-US"/>
        </w:rPr>
        <w:t xml:space="preserve">significant, suggesting </w:t>
      </w:r>
      <w:r w:rsidR="00334724" w:rsidRPr="00F4226B">
        <w:rPr>
          <w:rFonts w:ascii="Times New Roman" w:hAnsi="Times New Roman"/>
          <w:sz w:val="24"/>
          <w:szCs w:val="24"/>
          <w:lang w:val="en-US"/>
        </w:rPr>
        <w:t xml:space="preserve">that </w:t>
      </w:r>
      <w:r w:rsidRPr="00F4226B">
        <w:rPr>
          <w:rFonts w:ascii="Times New Roman" w:hAnsi="Times New Roman"/>
          <w:sz w:val="24"/>
          <w:szCs w:val="24"/>
          <w:lang w:val="en-US"/>
        </w:rPr>
        <w:t xml:space="preserve">cash flow gains and </w:t>
      </w:r>
      <w:r w:rsidRPr="00F4226B">
        <w:rPr>
          <w:rFonts w:ascii="Times New Roman" w:hAnsi="Times New Roman"/>
          <w:sz w:val="24"/>
          <w:szCs w:val="24"/>
          <w:lang w:val="en-US"/>
        </w:rPr>
        <w:lastRenderedPageBreak/>
        <w:t xml:space="preserve">losses provide </w:t>
      </w:r>
      <w:r w:rsidR="00AC1F64" w:rsidRPr="00F4226B">
        <w:rPr>
          <w:rFonts w:ascii="Times New Roman" w:hAnsi="Times New Roman"/>
          <w:sz w:val="24"/>
          <w:szCs w:val="24"/>
          <w:lang w:val="en-US"/>
        </w:rPr>
        <w:t xml:space="preserve">no </w:t>
      </w:r>
      <w:r w:rsidRPr="00F4226B">
        <w:rPr>
          <w:rFonts w:ascii="Times New Roman" w:hAnsi="Times New Roman"/>
          <w:sz w:val="24"/>
          <w:szCs w:val="24"/>
          <w:lang w:val="en-US"/>
        </w:rPr>
        <w:t>incremental value.</w:t>
      </w:r>
      <w:r w:rsidR="000E30A7" w:rsidRPr="00F4226B">
        <w:rPr>
          <w:rFonts w:ascii="Times New Roman" w:hAnsi="Times New Roman"/>
          <w:sz w:val="24"/>
          <w:szCs w:val="24"/>
          <w:lang w:val="en-US"/>
        </w:rPr>
        <w:t xml:space="preserve"> These results are in line with </w:t>
      </w:r>
      <w:r w:rsidR="00BC69C8">
        <w:rPr>
          <w:rFonts w:ascii="Times New Roman" w:hAnsi="Times New Roman"/>
          <w:sz w:val="24"/>
          <w:szCs w:val="24"/>
          <w:lang w:val="en-US"/>
        </w:rPr>
        <w:t xml:space="preserve">those of </w:t>
      </w:r>
      <w:r w:rsidR="000E30A7" w:rsidRPr="00F4226B">
        <w:rPr>
          <w:rFonts w:ascii="Times New Roman" w:hAnsi="Times New Roman"/>
          <w:sz w:val="24"/>
          <w:szCs w:val="24"/>
          <w:lang w:val="en-US"/>
        </w:rPr>
        <w:t>Finger (1994) and Dechow et al. (1998)</w:t>
      </w:r>
      <w:r w:rsidR="00BC69C8">
        <w:rPr>
          <w:rFonts w:ascii="Times New Roman" w:hAnsi="Times New Roman"/>
          <w:sz w:val="24"/>
          <w:szCs w:val="24"/>
          <w:lang w:val="en-US"/>
        </w:rPr>
        <w:t>,</w:t>
      </w:r>
      <w:r w:rsidR="000E30A7" w:rsidRPr="00F4226B">
        <w:rPr>
          <w:rFonts w:ascii="Times New Roman" w:hAnsi="Times New Roman"/>
          <w:sz w:val="24"/>
          <w:szCs w:val="24"/>
          <w:lang w:val="en-US"/>
        </w:rPr>
        <w:t xml:space="preserve"> who also show that current earnings are better predictors of future cash flows than current cash flows. </w:t>
      </w:r>
      <w:r w:rsidRPr="00F4226B">
        <w:rPr>
          <w:rFonts w:ascii="Times New Roman" w:hAnsi="Times New Roman"/>
          <w:sz w:val="24"/>
          <w:szCs w:val="24"/>
          <w:lang w:val="en-US"/>
        </w:rPr>
        <w:t xml:space="preserve">Taken together, the </w:t>
      </w:r>
      <w:r w:rsidR="00F3354A" w:rsidRPr="00F4226B">
        <w:rPr>
          <w:rFonts w:ascii="Times New Roman" w:hAnsi="Times New Roman"/>
          <w:sz w:val="24"/>
          <w:szCs w:val="24"/>
          <w:lang w:val="en-US"/>
        </w:rPr>
        <w:t xml:space="preserve">results </w:t>
      </w:r>
      <w:r w:rsidR="00AC1F64" w:rsidRPr="00F4226B">
        <w:rPr>
          <w:rFonts w:ascii="Times New Roman" w:hAnsi="Times New Roman"/>
          <w:sz w:val="24"/>
          <w:szCs w:val="24"/>
          <w:lang w:val="en-US"/>
        </w:rPr>
        <w:t>appear to indicate</w:t>
      </w:r>
      <w:r w:rsidR="007E4973" w:rsidRPr="00F4226B">
        <w:rPr>
          <w:rFonts w:ascii="Times New Roman" w:hAnsi="Times New Roman"/>
          <w:sz w:val="24"/>
          <w:szCs w:val="24"/>
          <w:lang w:val="en-US"/>
        </w:rPr>
        <w:t xml:space="preserve"> that investors seem to find HC </w:t>
      </w:r>
      <w:r w:rsidR="00AC1F64" w:rsidRPr="00F4226B">
        <w:rPr>
          <w:rFonts w:ascii="Times New Roman" w:hAnsi="Times New Roman"/>
          <w:sz w:val="24"/>
          <w:szCs w:val="24"/>
          <w:lang w:val="en-US"/>
        </w:rPr>
        <w:t xml:space="preserve">amounts </w:t>
      </w:r>
      <w:r w:rsidR="00BC69C8">
        <w:rPr>
          <w:rFonts w:ascii="Times New Roman" w:hAnsi="Times New Roman"/>
          <w:sz w:val="24"/>
          <w:szCs w:val="24"/>
          <w:lang w:val="en-US"/>
        </w:rPr>
        <w:t>to be</w:t>
      </w:r>
      <w:r w:rsidR="00BC69C8" w:rsidRPr="00F4226B">
        <w:rPr>
          <w:rFonts w:ascii="Times New Roman" w:hAnsi="Times New Roman"/>
          <w:sz w:val="24"/>
          <w:szCs w:val="24"/>
          <w:lang w:val="en-US"/>
        </w:rPr>
        <w:t xml:space="preserve"> </w:t>
      </w:r>
      <w:r w:rsidR="007E4973" w:rsidRPr="00F4226B">
        <w:rPr>
          <w:rFonts w:ascii="Times New Roman" w:hAnsi="Times New Roman"/>
          <w:sz w:val="24"/>
          <w:szCs w:val="24"/>
          <w:lang w:val="en-US"/>
        </w:rPr>
        <w:t>better predictors of future cash flows than IA a</w:t>
      </w:r>
      <w:r w:rsidR="00AC1F64" w:rsidRPr="00F4226B">
        <w:rPr>
          <w:rFonts w:ascii="Times New Roman" w:hAnsi="Times New Roman"/>
          <w:sz w:val="24"/>
          <w:szCs w:val="24"/>
          <w:lang w:val="en-US"/>
        </w:rPr>
        <w:t xml:space="preserve">mounts. Thus the difference in </w:t>
      </w:r>
      <w:r w:rsidR="00BC69C8">
        <w:rPr>
          <w:rFonts w:ascii="Times New Roman" w:hAnsi="Times New Roman"/>
          <w:sz w:val="24"/>
          <w:szCs w:val="24"/>
          <w:lang w:val="en-US"/>
        </w:rPr>
        <w:t xml:space="preserve">the </w:t>
      </w:r>
      <w:r w:rsidR="00AC1F64" w:rsidRPr="00F4226B">
        <w:rPr>
          <w:rFonts w:ascii="Times New Roman" w:hAnsi="Times New Roman"/>
          <w:sz w:val="24"/>
          <w:szCs w:val="24"/>
          <w:lang w:val="en-US"/>
        </w:rPr>
        <w:t xml:space="preserve">value relevance of HC and IA amounts </w:t>
      </w:r>
      <w:r w:rsidR="003E7F6F" w:rsidRPr="00F4226B">
        <w:rPr>
          <w:rFonts w:ascii="Times New Roman" w:hAnsi="Times New Roman"/>
          <w:sz w:val="24"/>
          <w:szCs w:val="24"/>
          <w:lang w:val="en-US"/>
        </w:rPr>
        <w:t xml:space="preserve">appears to </w:t>
      </w:r>
      <w:r w:rsidR="00AC1F64" w:rsidRPr="00F4226B">
        <w:rPr>
          <w:rFonts w:ascii="Times New Roman" w:hAnsi="Times New Roman"/>
          <w:sz w:val="24"/>
          <w:szCs w:val="24"/>
          <w:lang w:val="en-US"/>
        </w:rPr>
        <w:t>stem from the</w:t>
      </w:r>
      <w:r w:rsidR="009F60C6" w:rsidRPr="00F4226B">
        <w:rPr>
          <w:rFonts w:ascii="Times New Roman" w:hAnsi="Times New Roman"/>
          <w:sz w:val="24"/>
          <w:szCs w:val="24"/>
          <w:lang w:val="en-US"/>
        </w:rPr>
        <w:t>ir</w:t>
      </w:r>
      <w:r w:rsidR="00AC1F64" w:rsidRPr="00F4226B">
        <w:rPr>
          <w:rFonts w:ascii="Times New Roman" w:hAnsi="Times New Roman"/>
          <w:sz w:val="24"/>
          <w:szCs w:val="24"/>
          <w:lang w:val="en-US"/>
        </w:rPr>
        <w:t xml:space="preserve"> </w:t>
      </w:r>
      <w:r w:rsidR="00BC5649" w:rsidRPr="00F4226B">
        <w:rPr>
          <w:rFonts w:ascii="Times New Roman" w:hAnsi="Times New Roman"/>
          <w:sz w:val="24"/>
          <w:szCs w:val="24"/>
          <w:lang w:val="en-US"/>
        </w:rPr>
        <w:t xml:space="preserve">ability to predict </w:t>
      </w:r>
      <w:r w:rsidR="00AC1F64" w:rsidRPr="00F4226B">
        <w:rPr>
          <w:rFonts w:ascii="Times New Roman" w:hAnsi="Times New Roman"/>
          <w:sz w:val="24"/>
          <w:szCs w:val="24"/>
          <w:lang w:val="en-US"/>
        </w:rPr>
        <w:t>future cash flow</w:t>
      </w:r>
      <w:r w:rsidR="00BC5649" w:rsidRPr="00F4226B">
        <w:rPr>
          <w:rFonts w:ascii="Times New Roman" w:hAnsi="Times New Roman"/>
          <w:sz w:val="24"/>
          <w:szCs w:val="24"/>
          <w:lang w:val="en-US"/>
        </w:rPr>
        <w:t>s</w:t>
      </w:r>
      <w:r w:rsidR="004D408A" w:rsidRPr="00F4226B">
        <w:rPr>
          <w:rFonts w:ascii="Times New Roman" w:hAnsi="Times New Roman"/>
          <w:sz w:val="24"/>
          <w:szCs w:val="24"/>
          <w:lang w:val="en-US"/>
        </w:rPr>
        <w:t xml:space="preserve">. </w:t>
      </w:r>
    </w:p>
    <w:p w14:paraId="50FDBB09" w14:textId="77777777" w:rsidR="00997D6C" w:rsidRPr="00F4226B" w:rsidRDefault="00997D6C" w:rsidP="008613EE">
      <w:pPr>
        <w:spacing w:line="360" w:lineRule="auto"/>
        <w:jc w:val="both"/>
        <w:rPr>
          <w:rFonts w:ascii="Times New Roman" w:hAnsi="Times New Roman"/>
          <w:sz w:val="24"/>
          <w:szCs w:val="24"/>
          <w:lang w:val="en-US"/>
        </w:rPr>
      </w:pPr>
    </w:p>
    <w:p w14:paraId="30FD319F" w14:textId="77777777" w:rsidR="00C307E1" w:rsidRPr="00804A08" w:rsidRDefault="00C307E1" w:rsidP="003820D1">
      <w:pPr>
        <w:spacing w:line="360" w:lineRule="auto"/>
        <w:jc w:val="both"/>
        <w:outlineLvl w:val="0"/>
        <w:rPr>
          <w:rFonts w:ascii="Times New Roman" w:hAnsi="Times New Roman"/>
          <w:i/>
          <w:sz w:val="24"/>
          <w:szCs w:val="24"/>
          <w:lang w:val="en-US"/>
        </w:rPr>
      </w:pPr>
      <w:r w:rsidRPr="00804A08">
        <w:rPr>
          <w:rFonts w:ascii="Times New Roman" w:hAnsi="Times New Roman"/>
          <w:i/>
          <w:sz w:val="24"/>
          <w:szCs w:val="24"/>
          <w:lang w:val="en-US"/>
        </w:rPr>
        <w:t>5.5 Robustness tests</w:t>
      </w:r>
    </w:p>
    <w:p w14:paraId="7C656312" w14:textId="7D00C72E" w:rsidR="00573585" w:rsidRPr="00F4226B" w:rsidRDefault="00C307E1" w:rsidP="008613EE">
      <w:pPr>
        <w:spacing w:line="360" w:lineRule="auto"/>
        <w:jc w:val="both"/>
        <w:rPr>
          <w:rFonts w:ascii="Times New Roman" w:hAnsi="Times New Roman"/>
          <w:sz w:val="24"/>
          <w:szCs w:val="24"/>
          <w:lang w:val="en-US"/>
        </w:rPr>
      </w:pPr>
      <w:r w:rsidRPr="00F4226B">
        <w:rPr>
          <w:rFonts w:ascii="Times New Roman" w:hAnsi="Times New Roman"/>
          <w:sz w:val="24"/>
          <w:szCs w:val="24"/>
          <w:lang w:val="en-US"/>
        </w:rPr>
        <w:lastRenderedPageBreak/>
        <w:t>We carry out additional analyses to test the robustness of our results. First, we run yearly returns regressions for the years 2001 to 2005.</w:t>
      </w:r>
      <w:r w:rsidRPr="00F4226B">
        <w:rPr>
          <w:rStyle w:val="FootnoteReference"/>
          <w:rFonts w:ascii="Times New Roman" w:hAnsi="Times New Roman"/>
          <w:sz w:val="24"/>
          <w:szCs w:val="24"/>
          <w:lang w:val="en-US"/>
        </w:rPr>
        <w:footnoteReference w:id="12"/>
      </w:r>
      <w:r w:rsidRPr="00F4226B">
        <w:rPr>
          <w:rFonts w:ascii="Times New Roman" w:hAnsi="Times New Roman"/>
          <w:sz w:val="24"/>
          <w:szCs w:val="24"/>
          <w:lang w:val="en-US"/>
        </w:rPr>
        <w:t xml:space="preserve"> </w:t>
      </w:r>
      <w:r w:rsidR="00573585" w:rsidRPr="00F4226B">
        <w:rPr>
          <w:rFonts w:ascii="Times New Roman" w:hAnsi="Times New Roman"/>
          <w:sz w:val="24"/>
          <w:szCs w:val="24"/>
          <w:lang w:val="en-US"/>
        </w:rPr>
        <w:t>The results are reported in Table 8, Panel A</w:t>
      </w:r>
      <w:r w:rsidR="00724191">
        <w:rPr>
          <w:rFonts w:ascii="Times New Roman" w:hAnsi="Times New Roman"/>
          <w:sz w:val="24"/>
          <w:szCs w:val="24"/>
          <w:lang w:val="en-US"/>
        </w:rPr>
        <w:t>.</w:t>
      </w:r>
      <w:r w:rsidR="00573585" w:rsidRPr="00F4226B">
        <w:rPr>
          <w:rFonts w:ascii="Times New Roman" w:hAnsi="Times New Roman"/>
          <w:sz w:val="24"/>
          <w:szCs w:val="24"/>
          <w:lang w:val="en-US"/>
        </w:rPr>
        <w:t xml:space="preserve"> (</w:t>
      </w:r>
      <w:r w:rsidR="00724191">
        <w:rPr>
          <w:rFonts w:ascii="Times New Roman" w:hAnsi="Times New Roman"/>
          <w:sz w:val="24"/>
          <w:szCs w:val="24"/>
          <w:lang w:val="en-US"/>
        </w:rPr>
        <w:t>W</w:t>
      </w:r>
      <w:r w:rsidR="00724191" w:rsidRPr="00F4226B">
        <w:rPr>
          <w:rFonts w:ascii="Times New Roman" w:hAnsi="Times New Roman"/>
          <w:sz w:val="24"/>
          <w:szCs w:val="24"/>
          <w:lang w:val="en-US"/>
        </w:rPr>
        <w:t xml:space="preserve">e </w:t>
      </w:r>
      <w:r w:rsidR="00573585" w:rsidRPr="00F4226B">
        <w:rPr>
          <w:rFonts w:ascii="Times New Roman" w:hAnsi="Times New Roman"/>
          <w:sz w:val="24"/>
          <w:szCs w:val="24"/>
          <w:lang w:val="en-US"/>
        </w:rPr>
        <w:t xml:space="preserve">only provide the adjusted Rs² and the related Vuong </w:t>
      </w:r>
      <w:r w:rsidR="00051941" w:rsidRPr="00F4226B">
        <w:rPr>
          <w:rFonts w:ascii="Times New Roman" w:hAnsi="Times New Roman"/>
          <w:sz w:val="24"/>
          <w:szCs w:val="24"/>
          <w:lang w:val="en-US"/>
        </w:rPr>
        <w:t>Z-statistics</w:t>
      </w:r>
      <w:r w:rsidR="00724191">
        <w:rPr>
          <w:rFonts w:ascii="Times New Roman" w:hAnsi="Times New Roman"/>
          <w:sz w:val="24"/>
          <w:szCs w:val="24"/>
          <w:lang w:val="en-US"/>
        </w:rPr>
        <w:t>.</w:t>
      </w:r>
      <w:r w:rsidR="00573585" w:rsidRPr="00F4226B">
        <w:rPr>
          <w:rFonts w:ascii="Times New Roman" w:hAnsi="Times New Roman"/>
          <w:sz w:val="24"/>
          <w:szCs w:val="24"/>
          <w:lang w:val="en-US"/>
        </w:rPr>
        <w:t xml:space="preserve">) </w:t>
      </w:r>
    </w:p>
    <w:p w14:paraId="5896A039" w14:textId="77777777" w:rsidR="00573585" w:rsidRPr="00F4226B" w:rsidRDefault="00573585" w:rsidP="003B13CE">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t>-----------------------------------</w:t>
      </w:r>
    </w:p>
    <w:p w14:paraId="258DA01F" w14:textId="77777777" w:rsidR="00573585" w:rsidRPr="00F4226B" w:rsidRDefault="00573585" w:rsidP="003820D1">
      <w:pPr>
        <w:spacing w:line="240" w:lineRule="auto"/>
        <w:ind w:firstLine="284"/>
        <w:jc w:val="center"/>
        <w:outlineLvl w:val="0"/>
        <w:rPr>
          <w:rFonts w:ascii="Times New Roman" w:hAnsi="Times New Roman"/>
          <w:b/>
          <w:sz w:val="24"/>
          <w:szCs w:val="24"/>
          <w:lang w:val="en-US"/>
        </w:rPr>
      </w:pPr>
      <w:r w:rsidRPr="00F4226B">
        <w:rPr>
          <w:rFonts w:ascii="Times New Roman" w:hAnsi="Times New Roman"/>
          <w:b/>
          <w:sz w:val="24"/>
          <w:szCs w:val="24"/>
          <w:lang w:val="en-US"/>
        </w:rPr>
        <w:t>Insert Table 8 About Here</w:t>
      </w:r>
    </w:p>
    <w:p w14:paraId="454490F0" w14:textId="77777777" w:rsidR="00573585" w:rsidRPr="00F4226B" w:rsidRDefault="00573585" w:rsidP="003B13CE">
      <w:pPr>
        <w:spacing w:line="240" w:lineRule="auto"/>
        <w:ind w:firstLine="284"/>
        <w:jc w:val="center"/>
        <w:rPr>
          <w:rFonts w:ascii="Times New Roman" w:hAnsi="Times New Roman"/>
          <w:b/>
          <w:sz w:val="24"/>
          <w:szCs w:val="24"/>
          <w:lang w:val="en-US"/>
        </w:rPr>
      </w:pPr>
      <w:r w:rsidRPr="00F4226B">
        <w:rPr>
          <w:rFonts w:ascii="Times New Roman" w:hAnsi="Times New Roman"/>
          <w:b/>
          <w:sz w:val="24"/>
          <w:szCs w:val="24"/>
          <w:lang w:val="en-US"/>
        </w:rPr>
        <w:t>-----------------------------------</w:t>
      </w:r>
    </w:p>
    <w:p w14:paraId="7279328F" w14:textId="4EB83664" w:rsidR="00726C06" w:rsidRPr="00F4226B" w:rsidRDefault="00C307E1" w:rsidP="008613EE">
      <w:pPr>
        <w:spacing w:line="360" w:lineRule="auto"/>
        <w:jc w:val="both"/>
        <w:rPr>
          <w:rFonts w:ascii="Times New Roman" w:hAnsi="Times New Roman"/>
          <w:sz w:val="24"/>
          <w:szCs w:val="24"/>
          <w:lang w:val="en-US"/>
        </w:rPr>
      </w:pPr>
      <w:r w:rsidRPr="00F4226B">
        <w:rPr>
          <w:rFonts w:ascii="Times New Roman" w:hAnsi="Times New Roman"/>
          <w:sz w:val="24"/>
          <w:szCs w:val="24"/>
          <w:lang w:val="en-US"/>
        </w:rPr>
        <w:t>We find</w:t>
      </w:r>
      <w:r w:rsidR="00051941" w:rsidRPr="00F4226B">
        <w:rPr>
          <w:rFonts w:ascii="Times New Roman" w:hAnsi="Times New Roman"/>
          <w:sz w:val="24"/>
          <w:szCs w:val="24"/>
          <w:lang w:val="en-US"/>
        </w:rPr>
        <w:t xml:space="preserve"> that</w:t>
      </w:r>
      <w:r w:rsidRPr="00F4226B">
        <w:rPr>
          <w:rFonts w:ascii="Times New Roman" w:hAnsi="Times New Roman"/>
          <w:sz w:val="24"/>
          <w:szCs w:val="24"/>
          <w:lang w:val="en-US"/>
        </w:rPr>
        <w:t xml:space="preserve"> with the exception of</w:t>
      </w:r>
      <w:r w:rsidR="00311243">
        <w:rPr>
          <w:rFonts w:ascii="Times New Roman" w:hAnsi="Times New Roman"/>
          <w:sz w:val="24"/>
          <w:szCs w:val="24"/>
          <w:lang w:val="en-US"/>
        </w:rPr>
        <w:t xml:space="preserve"> </w:t>
      </w:r>
      <w:r w:rsidRPr="00F4226B">
        <w:rPr>
          <w:rFonts w:ascii="Times New Roman" w:hAnsi="Times New Roman"/>
          <w:sz w:val="24"/>
          <w:szCs w:val="24"/>
          <w:lang w:val="en-US"/>
        </w:rPr>
        <w:t xml:space="preserve">2003, the adjusted R²s for HC </w:t>
      </w:r>
      <w:r w:rsidR="00CD26ED" w:rsidRPr="00F4226B">
        <w:rPr>
          <w:rFonts w:ascii="Times New Roman" w:hAnsi="Times New Roman"/>
          <w:sz w:val="24"/>
          <w:szCs w:val="24"/>
          <w:lang w:val="en-US"/>
        </w:rPr>
        <w:t>amounts</w:t>
      </w:r>
      <w:r w:rsidRPr="00F4226B">
        <w:rPr>
          <w:rFonts w:ascii="Times New Roman" w:hAnsi="Times New Roman"/>
          <w:sz w:val="24"/>
          <w:szCs w:val="24"/>
          <w:lang w:val="en-US"/>
        </w:rPr>
        <w:t xml:space="preserve"> remain greater than those of IA </w:t>
      </w:r>
      <w:r w:rsidR="00CD26ED" w:rsidRPr="00F4226B">
        <w:rPr>
          <w:rFonts w:ascii="Times New Roman" w:hAnsi="Times New Roman"/>
          <w:sz w:val="24"/>
          <w:szCs w:val="24"/>
          <w:lang w:val="en-US"/>
        </w:rPr>
        <w:t>amounts</w:t>
      </w:r>
      <w:r w:rsidRPr="00F4226B">
        <w:rPr>
          <w:rFonts w:ascii="Times New Roman" w:hAnsi="Times New Roman"/>
          <w:sz w:val="24"/>
          <w:szCs w:val="24"/>
          <w:lang w:val="en-US"/>
        </w:rPr>
        <w:t xml:space="preserve"> in all years. In 2003 (the year with the highest inflation</w:t>
      </w:r>
      <w:r w:rsidR="00311243">
        <w:rPr>
          <w:rFonts w:ascii="Times New Roman" w:hAnsi="Times New Roman"/>
          <w:sz w:val="24"/>
          <w:szCs w:val="24"/>
          <w:lang w:val="en-US"/>
        </w:rPr>
        <w:t>,</w:t>
      </w:r>
      <w:r w:rsidRPr="00F4226B">
        <w:rPr>
          <w:rFonts w:ascii="Times New Roman" w:hAnsi="Times New Roman"/>
          <w:sz w:val="24"/>
          <w:szCs w:val="24"/>
          <w:lang w:val="en-US"/>
        </w:rPr>
        <w:t xml:space="preserve"> 431.7%), the adjusted R²s are the lowest for both the HC and IA model</w:t>
      </w:r>
      <w:r w:rsidR="00311243">
        <w:rPr>
          <w:rFonts w:ascii="Times New Roman" w:hAnsi="Times New Roman"/>
          <w:sz w:val="24"/>
          <w:szCs w:val="24"/>
          <w:lang w:val="en-US"/>
        </w:rPr>
        <w:t>s</w:t>
      </w:r>
      <w:r w:rsidR="00407AEA">
        <w:rPr>
          <w:rFonts w:ascii="Times New Roman" w:hAnsi="Times New Roman"/>
          <w:sz w:val="24"/>
          <w:szCs w:val="24"/>
          <w:lang w:val="en-US"/>
        </w:rPr>
        <w:t>,</w:t>
      </w:r>
      <w:r w:rsidRPr="00F4226B">
        <w:rPr>
          <w:rFonts w:ascii="Times New Roman" w:hAnsi="Times New Roman"/>
          <w:sz w:val="24"/>
          <w:szCs w:val="24"/>
          <w:lang w:val="en-US"/>
        </w:rPr>
        <w:t xml:space="preserve"> at </w:t>
      </w:r>
      <w:r w:rsidR="00573585" w:rsidRPr="00F4226B">
        <w:rPr>
          <w:rFonts w:ascii="Times New Roman" w:hAnsi="Times New Roman"/>
          <w:sz w:val="24"/>
          <w:szCs w:val="24"/>
          <w:lang w:val="en-US"/>
        </w:rPr>
        <w:t>1</w:t>
      </w:r>
      <w:r w:rsidRPr="00F4226B">
        <w:rPr>
          <w:rFonts w:ascii="Times New Roman" w:hAnsi="Times New Roman"/>
          <w:sz w:val="24"/>
          <w:szCs w:val="24"/>
          <w:lang w:val="en-US"/>
        </w:rPr>
        <w:t>.</w:t>
      </w:r>
      <w:r w:rsidR="00573585" w:rsidRPr="00F4226B">
        <w:rPr>
          <w:rFonts w:ascii="Times New Roman" w:hAnsi="Times New Roman"/>
          <w:sz w:val="24"/>
          <w:szCs w:val="24"/>
          <w:lang w:val="en-US"/>
        </w:rPr>
        <w:t>2</w:t>
      </w:r>
      <w:r w:rsidRPr="00F4226B">
        <w:rPr>
          <w:rFonts w:ascii="Times New Roman" w:hAnsi="Times New Roman"/>
          <w:sz w:val="24"/>
          <w:szCs w:val="24"/>
          <w:lang w:val="en-US"/>
        </w:rPr>
        <w:t>% and 3.6%</w:t>
      </w:r>
      <w:r w:rsidR="00311243">
        <w:rPr>
          <w:rFonts w:ascii="Times New Roman" w:hAnsi="Times New Roman"/>
          <w:sz w:val="24"/>
          <w:szCs w:val="24"/>
          <w:lang w:val="en-US"/>
        </w:rPr>
        <w:t>,</w:t>
      </w:r>
      <w:r w:rsidRPr="00F4226B">
        <w:rPr>
          <w:rFonts w:ascii="Times New Roman" w:hAnsi="Times New Roman"/>
          <w:sz w:val="24"/>
          <w:szCs w:val="24"/>
          <w:lang w:val="en-US"/>
        </w:rPr>
        <w:t xml:space="preserve"> respectively (the </w:t>
      </w:r>
      <w:r w:rsidRPr="00F4226B">
        <w:rPr>
          <w:rFonts w:ascii="Times New Roman" w:hAnsi="Times New Roman"/>
          <w:sz w:val="24"/>
          <w:szCs w:val="24"/>
          <w:lang w:val="en-US"/>
        </w:rPr>
        <w:lastRenderedPageBreak/>
        <w:t>only year in which the IA model has greater explanatory power than the HC). A potential explanation for the 2003 results is the dramatic rise in inflation</w:t>
      </w:r>
      <w:r w:rsidR="00311243">
        <w:rPr>
          <w:rFonts w:ascii="Times New Roman" w:hAnsi="Times New Roman"/>
          <w:sz w:val="24"/>
          <w:szCs w:val="24"/>
          <w:lang w:val="en-US"/>
        </w:rPr>
        <w:t>,</w:t>
      </w:r>
      <w:r w:rsidRPr="00F4226B">
        <w:rPr>
          <w:rFonts w:ascii="Times New Roman" w:hAnsi="Times New Roman"/>
          <w:sz w:val="24"/>
          <w:szCs w:val="24"/>
          <w:lang w:val="en-US"/>
        </w:rPr>
        <w:t xml:space="preserve"> which m</w:t>
      </w:r>
      <w:r w:rsidR="00051941" w:rsidRPr="00F4226B">
        <w:rPr>
          <w:rFonts w:ascii="Times New Roman" w:hAnsi="Times New Roman"/>
          <w:sz w:val="24"/>
          <w:szCs w:val="24"/>
          <w:lang w:val="en-US"/>
        </w:rPr>
        <w:t>ay</w:t>
      </w:r>
      <w:r w:rsidRPr="00F4226B">
        <w:rPr>
          <w:rFonts w:ascii="Times New Roman" w:hAnsi="Times New Roman"/>
          <w:sz w:val="24"/>
          <w:szCs w:val="24"/>
          <w:lang w:val="en-US"/>
        </w:rPr>
        <w:t xml:space="preserve"> have forced the market to consider </w:t>
      </w:r>
      <w:r w:rsidR="00407AEA">
        <w:rPr>
          <w:rFonts w:ascii="Times New Roman" w:hAnsi="Times New Roman"/>
          <w:sz w:val="24"/>
          <w:szCs w:val="24"/>
          <w:lang w:val="en-US"/>
        </w:rPr>
        <w:t xml:space="preserve">a </w:t>
      </w:r>
      <w:r w:rsidRPr="00F4226B">
        <w:rPr>
          <w:rFonts w:ascii="Times New Roman" w:hAnsi="Times New Roman"/>
          <w:sz w:val="24"/>
          <w:szCs w:val="24"/>
          <w:lang w:val="en-US"/>
        </w:rPr>
        <w:t xml:space="preserve">greater use of IA </w:t>
      </w:r>
      <w:r w:rsidR="00CD26ED" w:rsidRPr="00F4226B">
        <w:rPr>
          <w:rFonts w:ascii="Times New Roman" w:hAnsi="Times New Roman"/>
          <w:sz w:val="24"/>
          <w:szCs w:val="24"/>
          <w:lang w:val="en-US"/>
        </w:rPr>
        <w:t>amounts</w:t>
      </w:r>
      <w:r w:rsidRPr="00F4226B">
        <w:rPr>
          <w:rFonts w:ascii="Times New Roman" w:hAnsi="Times New Roman"/>
          <w:sz w:val="24"/>
          <w:szCs w:val="24"/>
          <w:lang w:val="en-US"/>
        </w:rPr>
        <w:t xml:space="preserve">, and as inflation </w:t>
      </w:r>
      <w:r w:rsidR="00F4226B" w:rsidRPr="00F4226B">
        <w:rPr>
          <w:rFonts w:ascii="Times New Roman" w:hAnsi="Times New Roman"/>
          <w:sz w:val="24"/>
          <w:szCs w:val="24"/>
          <w:lang w:val="en-US"/>
        </w:rPr>
        <w:t>stabilized</w:t>
      </w:r>
      <w:r w:rsidRPr="00F4226B">
        <w:rPr>
          <w:rFonts w:ascii="Times New Roman" w:hAnsi="Times New Roman"/>
          <w:sz w:val="24"/>
          <w:szCs w:val="24"/>
          <w:lang w:val="en-US"/>
        </w:rPr>
        <w:t xml:space="preserve"> in 2004 and 2005, the market </w:t>
      </w:r>
      <w:r w:rsidR="00311243">
        <w:rPr>
          <w:rFonts w:ascii="Times New Roman" w:hAnsi="Times New Roman"/>
          <w:sz w:val="24"/>
          <w:szCs w:val="24"/>
          <w:lang w:val="en-US"/>
        </w:rPr>
        <w:t>went back to using</w:t>
      </w:r>
      <w:r w:rsidRPr="00F4226B">
        <w:rPr>
          <w:rFonts w:ascii="Times New Roman" w:hAnsi="Times New Roman"/>
          <w:sz w:val="24"/>
          <w:szCs w:val="24"/>
          <w:lang w:val="en-US"/>
        </w:rPr>
        <w:t xml:space="preserve"> HC </w:t>
      </w:r>
      <w:r w:rsidR="00CD26ED" w:rsidRPr="00F4226B">
        <w:rPr>
          <w:rFonts w:ascii="Times New Roman" w:hAnsi="Times New Roman"/>
          <w:sz w:val="24"/>
          <w:szCs w:val="24"/>
          <w:lang w:val="en-US"/>
        </w:rPr>
        <w:t>amounts</w:t>
      </w:r>
      <w:r w:rsidRPr="00F4226B">
        <w:rPr>
          <w:rFonts w:ascii="Times New Roman" w:hAnsi="Times New Roman"/>
          <w:sz w:val="24"/>
          <w:szCs w:val="24"/>
          <w:lang w:val="en-US"/>
        </w:rPr>
        <w:t xml:space="preserve"> more than IA </w:t>
      </w:r>
      <w:r w:rsidR="00C417F7" w:rsidRPr="00F4226B">
        <w:rPr>
          <w:rFonts w:ascii="Times New Roman" w:hAnsi="Times New Roman"/>
          <w:sz w:val="24"/>
          <w:szCs w:val="24"/>
          <w:lang w:val="en-US"/>
        </w:rPr>
        <w:t>amounts</w:t>
      </w:r>
      <w:r w:rsidRPr="00F4226B">
        <w:rPr>
          <w:rFonts w:ascii="Times New Roman" w:hAnsi="Times New Roman"/>
          <w:sz w:val="24"/>
          <w:szCs w:val="24"/>
          <w:lang w:val="en-US"/>
        </w:rPr>
        <w:t xml:space="preserve">. </w:t>
      </w:r>
      <w:r w:rsidR="00E25FAB" w:rsidRPr="00F4226B">
        <w:rPr>
          <w:rFonts w:ascii="Times New Roman" w:hAnsi="Times New Roman"/>
          <w:sz w:val="24"/>
          <w:szCs w:val="24"/>
          <w:lang w:val="en-US"/>
        </w:rPr>
        <w:t xml:space="preserve">Another </w:t>
      </w:r>
      <w:r w:rsidR="00051941" w:rsidRPr="00F4226B">
        <w:rPr>
          <w:rFonts w:ascii="Times New Roman" w:hAnsi="Times New Roman"/>
          <w:sz w:val="24"/>
          <w:szCs w:val="24"/>
          <w:lang w:val="en-US"/>
        </w:rPr>
        <w:t>f</w:t>
      </w:r>
      <w:r w:rsidR="00E25FAB" w:rsidRPr="00F4226B">
        <w:rPr>
          <w:rFonts w:ascii="Times New Roman" w:hAnsi="Times New Roman"/>
          <w:sz w:val="24"/>
          <w:szCs w:val="24"/>
          <w:lang w:val="en-US"/>
        </w:rPr>
        <w:t xml:space="preserve">eature of </w:t>
      </w:r>
      <w:r w:rsidR="00D16377" w:rsidRPr="00F4226B">
        <w:rPr>
          <w:rFonts w:ascii="Times New Roman" w:hAnsi="Times New Roman"/>
          <w:sz w:val="24"/>
          <w:szCs w:val="24"/>
          <w:lang w:val="en-US"/>
        </w:rPr>
        <w:t>the yearly</w:t>
      </w:r>
      <w:r w:rsidR="00051941" w:rsidRPr="00F4226B">
        <w:rPr>
          <w:rFonts w:ascii="Times New Roman" w:hAnsi="Times New Roman"/>
          <w:sz w:val="24"/>
          <w:szCs w:val="24"/>
          <w:lang w:val="en-US"/>
        </w:rPr>
        <w:t xml:space="preserve"> results</w:t>
      </w:r>
      <w:r w:rsidR="00E25FAB" w:rsidRPr="00F4226B">
        <w:rPr>
          <w:rFonts w:ascii="Times New Roman" w:hAnsi="Times New Roman"/>
          <w:sz w:val="24"/>
          <w:szCs w:val="24"/>
          <w:lang w:val="en-US"/>
        </w:rPr>
        <w:t xml:space="preserve"> is that, in contrast to prior </w:t>
      </w:r>
      <w:r w:rsidR="00573585" w:rsidRPr="00F4226B">
        <w:rPr>
          <w:rFonts w:ascii="Times New Roman" w:hAnsi="Times New Roman"/>
          <w:sz w:val="24"/>
          <w:szCs w:val="24"/>
          <w:lang w:val="en-US"/>
        </w:rPr>
        <w:t xml:space="preserve">work </w:t>
      </w:r>
      <w:r w:rsidR="00E25FAB" w:rsidRPr="00F4226B">
        <w:rPr>
          <w:rFonts w:ascii="Times New Roman" w:hAnsi="Times New Roman"/>
          <w:sz w:val="24"/>
          <w:szCs w:val="24"/>
          <w:lang w:val="en-US"/>
        </w:rPr>
        <w:t>showing a decrease in the value relevance of earnings (e.g., Collins et al. 1997; Francis and Schipper 1999), the explanatory power of both HC and IA earnings appear</w:t>
      </w:r>
      <w:r w:rsidR="00407AEA">
        <w:rPr>
          <w:rFonts w:ascii="Times New Roman" w:hAnsi="Times New Roman"/>
          <w:sz w:val="24"/>
          <w:szCs w:val="24"/>
          <w:lang w:val="en-US"/>
        </w:rPr>
        <w:t>s</w:t>
      </w:r>
      <w:r w:rsidR="00E25FAB" w:rsidRPr="00F4226B">
        <w:rPr>
          <w:rFonts w:ascii="Times New Roman" w:hAnsi="Times New Roman"/>
          <w:sz w:val="24"/>
          <w:szCs w:val="24"/>
          <w:lang w:val="en-US"/>
        </w:rPr>
        <w:t xml:space="preserve"> to increase over time. Th</w:t>
      </w:r>
      <w:r w:rsidR="00573585" w:rsidRPr="00F4226B">
        <w:rPr>
          <w:rFonts w:ascii="Times New Roman" w:hAnsi="Times New Roman"/>
          <w:sz w:val="24"/>
          <w:szCs w:val="24"/>
          <w:lang w:val="en-US"/>
        </w:rPr>
        <w:t xml:space="preserve">is is consistent with </w:t>
      </w:r>
      <w:r w:rsidR="003C4F5E" w:rsidRPr="00F4226B">
        <w:rPr>
          <w:rFonts w:ascii="Times New Roman" w:hAnsi="Times New Roman"/>
          <w:sz w:val="24"/>
          <w:szCs w:val="24"/>
          <w:lang w:val="en-US"/>
        </w:rPr>
        <w:t xml:space="preserve">our </w:t>
      </w:r>
      <w:r w:rsidR="00573585" w:rsidRPr="00F4226B">
        <w:rPr>
          <w:rFonts w:ascii="Times New Roman" w:hAnsi="Times New Roman"/>
          <w:sz w:val="24"/>
          <w:szCs w:val="24"/>
          <w:lang w:val="en-US"/>
        </w:rPr>
        <w:t>main analyses</w:t>
      </w:r>
      <w:r w:rsidR="00407AEA">
        <w:rPr>
          <w:rFonts w:ascii="Times New Roman" w:hAnsi="Times New Roman"/>
          <w:sz w:val="24"/>
          <w:szCs w:val="24"/>
          <w:lang w:val="en-US"/>
        </w:rPr>
        <w:t>,</w:t>
      </w:r>
      <w:r w:rsidR="00573585" w:rsidRPr="00F4226B">
        <w:rPr>
          <w:rFonts w:ascii="Times New Roman" w:hAnsi="Times New Roman"/>
          <w:sz w:val="24"/>
          <w:szCs w:val="24"/>
          <w:lang w:val="en-US"/>
        </w:rPr>
        <w:t xml:space="preserve"> where the </w:t>
      </w:r>
      <w:r w:rsidR="00E25FAB" w:rsidRPr="00F4226B">
        <w:rPr>
          <w:rFonts w:ascii="Times New Roman" w:hAnsi="Times New Roman"/>
          <w:sz w:val="24"/>
          <w:szCs w:val="24"/>
          <w:lang w:val="en-US"/>
        </w:rPr>
        <w:t>power of the models increased in the 2003</w:t>
      </w:r>
      <w:r w:rsidR="00A82995">
        <w:rPr>
          <w:rFonts w:ascii="Times New Roman" w:hAnsi="Times New Roman"/>
          <w:sz w:val="24"/>
          <w:szCs w:val="24"/>
          <w:lang w:val="en-US"/>
        </w:rPr>
        <w:t>–</w:t>
      </w:r>
      <w:r w:rsidR="00E25FAB" w:rsidRPr="00F4226B">
        <w:rPr>
          <w:rFonts w:ascii="Times New Roman" w:hAnsi="Times New Roman"/>
          <w:sz w:val="24"/>
          <w:szCs w:val="24"/>
          <w:lang w:val="en-US"/>
        </w:rPr>
        <w:t>2005 period relative to 2000</w:t>
      </w:r>
      <w:r w:rsidR="00A82995">
        <w:rPr>
          <w:rFonts w:ascii="Times New Roman" w:hAnsi="Times New Roman"/>
          <w:sz w:val="24"/>
          <w:szCs w:val="24"/>
          <w:lang w:val="en-US"/>
        </w:rPr>
        <w:t>–</w:t>
      </w:r>
      <w:r w:rsidR="00E25FAB" w:rsidRPr="00F4226B">
        <w:rPr>
          <w:rFonts w:ascii="Times New Roman" w:hAnsi="Times New Roman"/>
          <w:sz w:val="24"/>
          <w:szCs w:val="24"/>
          <w:lang w:val="en-US"/>
        </w:rPr>
        <w:t xml:space="preserve">2002. </w:t>
      </w:r>
      <w:r w:rsidR="00AE6C29" w:rsidRPr="00F4226B">
        <w:rPr>
          <w:rFonts w:ascii="Times New Roman" w:hAnsi="Times New Roman"/>
          <w:sz w:val="24"/>
          <w:szCs w:val="24"/>
          <w:lang w:val="en-US"/>
        </w:rPr>
        <w:t xml:space="preserve">Two possible reasons </w:t>
      </w:r>
      <w:r w:rsidR="00407AEA" w:rsidRPr="00F4226B">
        <w:rPr>
          <w:rFonts w:ascii="Times New Roman" w:hAnsi="Times New Roman"/>
          <w:sz w:val="24"/>
          <w:szCs w:val="24"/>
          <w:lang w:val="en-US"/>
        </w:rPr>
        <w:t xml:space="preserve">for the differences with prior studies </w:t>
      </w:r>
      <w:r w:rsidR="00AE6C29" w:rsidRPr="00F4226B">
        <w:rPr>
          <w:rFonts w:ascii="Times New Roman" w:hAnsi="Times New Roman"/>
          <w:sz w:val="24"/>
          <w:szCs w:val="24"/>
          <w:lang w:val="en-US"/>
        </w:rPr>
        <w:t xml:space="preserve">can be proffered. First, as suggested by Hellstrom (2006), </w:t>
      </w:r>
      <w:r w:rsidR="00407AEA" w:rsidRPr="00F4226B">
        <w:rPr>
          <w:rFonts w:ascii="Times New Roman" w:hAnsi="Times New Roman"/>
          <w:sz w:val="24"/>
          <w:szCs w:val="24"/>
          <w:lang w:val="en-US"/>
        </w:rPr>
        <w:t>the</w:t>
      </w:r>
      <w:r w:rsidR="00407AEA">
        <w:rPr>
          <w:rFonts w:ascii="Times New Roman" w:hAnsi="Times New Roman"/>
          <w:sz w:val="24"/>
          <w:szCs w:val="24"/>
          <w:lang w:val="en-US"/>
        </w:rPr>
        <w:t xml:space="preserve"> differences</w:t>
      </w:r>
      <w:r w:rsidR="00407AEA" w:rsidRPr="00F4226B">
        <w:rPr>
          <w:rFonts w:ascii="Times New Roman" w:hAnsi="Times New Roman"/>
          <w:sz w:val="24"/>
          <w:szCs w:val="24"/>
          <w:lang w:val="en-US"/>
        </w:rPr>
        <w:t xml:space="preserve"> </w:t>
      </w:r>
      <w:r w:rsidR="00E25FAB" w:rsidRPr="00F4226B">
        <w:rPr>
          <w:rFonts w:ascii="Times New Roman" w:hAnsi="Times New Roman"/>
          <w:sz w:val="24"/>
          <w:szCs w:val="24"/>
          <w:lang w:val="en-US"/>
        </w:rPr>
        <w:t>m</w:t>
      </w:r>
      <w:r w:rsidR="00051941" w:rsidRPr="00F4226B">
        <w:rPr>
          <w:rFonts w:ascii="Times New Roman" w:hAnsi="Times New Roman"/>
          <w:sz w:val="24"/>
          <w:szCs w:val="24"/>
          <w:lang w:val="en-US"/>
        </w:rPr>
        <w:t>ay</w:t>
      </w:r>
      <w:r w:rsidR="00E25FAB" w:rsidRPr="00F4226B">
        <w:rPr>
          <w:rFonts w:ascii="Times New Roman" w:hAnsi="Times New Roman"/>
          <w:sz w:val="24"/>
          <w:szCs w:val="24"/>
          <w:lang w:val="en-US"/>
        </w:rPr>
        <w:t xml:space="preserve"> </w:t>
      </w:r>
      <w:r w:rsidR="00573585" w:rsidRPr="00F4226B">
        <w:rPr>
          <w:rFonts w:ascii="Times New Roman" w:hAnsi="Times New Roman"/>
          <w:sz w:val="24"/>
          <w:szCs w:val="24"/>
          <w:lang w:val="en-US"/>
        </w:rPr>
        <w:t xml:space="preserve">stem from </w:t>
      </w:r>
      <w:r w:rsidR="00E25FAB" w:rsidRPr="00F4226B">
        <w:rPr>
          <w:rFonts w:ascii="Times New Roman" w:hAnsi="Times New Roman"/>
          <w:sz w:val="24"/>
          <w:szCs w:val="24"/>
          <w:lang w:val="en-US"/>
        </w:rPr>
        <w:t xml:space="preserve">investors in developing countries relying more on annual report information than </w:t>
      </w:r>
      <w:r w:rsidR="00407AEA">
        <w:rPr>
          <w:rFonts w:ascii="Times New Roman" w:hAnsi="Times New Roman"/>
          <w:sz w:val="24"/>
          <w:szCs w:val="24"/>
          <w:lang w:val="en-US"/>
        </w:rPr>
        <w:t xml:space="preserve">those </w:t>
      </w:r>
      <w:r w:rsidR="00E25FAB" w:rsidRPr="00F4226B">
        <w:rPr>
          <w:rFonts w:ascii="Times New Roman" w:hAnsi="Times New Roman"/>
          <w:sz w:val="24"/>
          <w:szCs w:val="24"/>
          <w:lang w:val="en-US"/>
        </w:rPr>
        <w:t>in developed countries</w:t>
      </w:r>
      <w:r w:rsidR="00EF7BD1" w:rsidRPr="00F4226B">
        <w:rPr>
          <w:rFonts w:ascii="Times New Roman" w:hAnsi="Times New Roman"/>
          <w:sz w:val="24"/>
          <w:szCs w:val="24"/>
          <w:lang w:val="en-US"/>
        </w:rPr>
        <w:t xml:space="preserve"> </w:t>
      </w:r>
      <w:r w:rsidR="00407AEA">
        <w:rPr>
          <w:rFonts w:ascii="Times New Roman" w:hAnsi="Times New Roman"/>
          <w:sz w:val="24"/>
          <w:szCs w:val="24"/>
          <w:lang w:val="en-US"/>
        </w:rPr>
        <w:t>because they have</w:t>
      </w:r>
      <w:r w:rsidR="00EF7BD1" w:rsidRPr="00F4226B">
        <w:rPr>
          <w:rFonts w:ascii="Times New Roman" w:hAnsi="Times New Roman"/>
          <w:sz w:val="24"/>
          <w:szCs w:val="24"/>
          <w:lang w:val="en-US"/>
        </w:rPr>
        <w:t xml:space="preserve"> limited alternative sources for </w:t>
      </w:r>
      <w:r w:rsidR="00EF7BD1" w:rsidRPr="00F4226B">
        <w:rPr>
          <w:rFonts w:ascii="Times New Roman" w:hAnsi="Times New Roman"/>
          <w:sz w:val="24"/>
          <w:szCs w:val="24"/>
          <w:lang w:val="en-US"/>
        </w:rPr>
        <w:lastRenderedPageBreak/>
        <w:t>information</w:t>
      </w:r>
      <w:r w:rsidR="00AE6C29" w:rsidRPr="00F4226B">
        <w:rPr>
          <w:rFonts w:ascii="Times New Roman" w:hAnsi="Times New Roman"/>
          <w:sz w:val="24"/>
          <w:szCs w:val="24"/>
          <w:lang w:val="en-US"/>
        </w:rPr>
        <w:t xml:space="preserve">. Second, they </w:t>
      </w:r>
      <w:r w:rsidR="00051941" w:rsidRPr="00F4226B">
        <w:rPr>
          <w:rFonts w:ascii="Times New Roman" w:hAnsi="Times New Roman"/>
          <w:sz w:val="24"/>
          <w:szCs w:val="24"/>
          <w:lang w:val="en-US"/>
        </w:rPr>
        <w:t xml:space="preserve">may be </w:t>
      </w:r>
      <w:r w:rsidR="003450BD">
        <w:rPr>
          <w:rFonts w:ascii="Times New Roman" w:hAnsi="Times New Roman"/>
          <w:sz w:val="24"/>
          <w:szCs w:val="24"/>
          <w:lang w:val="en-US"/>
        </w:rPr>
        <w:t>explained by</w:t>
      </w:r>
      <w:r w:rsidR="00101917" w:rsidRPr="00F4226B">
        <w:rPr>
          <w:rFonts w:ascii="Times New Roman" w:hAnsi="Times New Roman"/>
          <w:sz w:val="24"/>
          <w:szCs w:val="24"/>
          <w:lang w:val="en-US"/>
        </w:rPr>
        <w:t xml:space="preserve"> the</w:t>
      </w:r>
      <w:r w:rsidR="00051941" w:rsidRPr="00F4226B">
        <w:rPr>
          <w:rFonts w:ascii="Times New Roman" w:hAnsi="Times New Roman"/>
          <w:sz w:val="24"/>
          <w:szCs w:val="24"/>
          <w:lang w:val="en-US"/>
        </w:rPr>
        <w:t xml:space="preserve"> </w:t>
      </w:r>
      <w:r w:rsidR="003C4F5E" w:rsidRPr="00F4226B">
        <w:rPr>
          <w:rFonts w:ascii="Times New Roman" w:hAnsi="Times New Roman"/>
          <w:sz w:val="24"/>
          <w:szCs w:val="24"/>
          <w:lang w:val="en-US"/>
        </w:rPr>
        <w:t xml:space="preserve">fact </w:t>
      </w:r>
      <w:r w:rsidR="00051941" w:rsidRPr="00F4226B">
        <w:rPr>
          <w:rFonts w:ascii="Times New Roman" w:hAnsi="Times New Roman"/>
          <w:sz w:val="24"/>
          <w:szCs w:val="24"/>
          <w:lang w:val="en-US"/>
        </w:rPr>
        <w:t xml:space="preserve">that the </w:t>
      </w:r>
      <w:r w:rsidR="00AE6C29" w:rsidRPr="00F4226B">
        <w:rPr>
          <w:rFonts w:ascii="Times New Roman" w:hAnsi="Times New Roman"/>
          <w:sz w:val="24"/>
          <w:szCs w:val="24"/>
          <w:lang w:val="en-US"/>
        </w:rPr>
        <w:t xml:space="preserve">Zimbabwean economy </w:t>
      </w:r>
      <w:r w:rsidR="004E6C1A" w:rsidRPr="00F4226B">
        <w:rPr>
          <w:rFonts w:ascii="Times New Roman" w:hAnsi="Times New Roman"/>
          <w:sz w:val="24"/>
          <w:szCs w:val="24"/>
          <w:lang w:val="en-US"/>
        </w:rPr>
        <w:t>is different a</w:t>
      </w:r>
      <w:r w:rsidR="0063416F" w:rsidRPr="00F4226B">
        <w:rPr>
          <w:rFonts w:ascii="Times New Roman" w:hAnsi="Times New Roman"/>
          <w:sz w:val="24"/>
          <w:szCs w:val="24"/>
          <w:lang w:val="en-US"/>
        </w:rPr>
        <w:t xml:space="preserve">nd </w:t>
      </w:r>
      <w:r w:rsidR="004E6C1A" w:rsidRPr="00F4226B">
        <w:rPr>
          <w:rFonts w:ascii="Times New Roman" w:hAnsi="Times New Roman"/>
          <w:sz w:val="24"/>
          <w:szCs w:val="24"/>
          <w:lang w:val="en-US"/>
        </w:rPr>
        <w:t xml:space="preserve">was </w:t>
      </w:r>
      <w:r w:rsidR="00EF7BD1" w:rsidRPr="00F4226B">
        <w:rPr>
          <w:rFonts w:ascii="Times New Roman" w:hAnsi="Times New Roman"/>
          <w:sz w:val="24"/>
          <w:szCs w:val="24"/>
          <w:lang w:val="en-US"/>
        </w:rPr>
        <w:t>going through a significant contraction and hyperinflation</w:t>
      </w:r>
      <w:r w:rsidR="004E6C1A" w:rsidRPr="00F4226B">
        <w:rPr>
          <w:rFonts w:ascii="Times New Roman" w:hAnsi="Times New Roman"/>
          <w:sz w:val="24"/>
          <w:szCs w:val="24"/>
          <w:lang w:val="en-US"/>
        </w:rPr>
        <w:t xml:space="preserve"> during the sample period </w:t>
      </w:r>
      <w:r w:rsidR="003450BD">
        <w:rPr>
          <w:rFonts w:ascii="Times New Roman" w:hAnsi="Times New Roman"/>
          <w:sz w:val="24"/>
          <w:szCs w:val="24"/>
          <w:lang w:val="en-US"/>
        </w:rPr>
        <w:t>examined</w:t>
      </w:r>
      <w:r w:rsidR="004E6C1A" w:rsidRPr="00F4226B">
        <w:rPr>
          <w:rFonts w:ascii="Times New Roman" w:hAnsi="Times New Roman"/>
          <w:sz w:val="24"/>
          <w:szCs w:val="24"/>
          <w:lang w:val="en-US"/>
        </w:rPr>
        <w:t xml:space="preserve"> in this paper</w:t>
      </w:r>
      <w:r w:rsidR="00EF7BD1" w:rsidRPr="00F4226B">
        <w:rPr>
          <w:rFonts w:ascii="Times New Roman" w:hAnsi="Times New Roman"/>
          <w:sz w:val="24"/>
          <w:szCs w:val="24"/>
          <w:lang w:val="en-US"/>
        </w:rPr>
        <w:t xml:space="preserve">. </w:t>
      </w:r>
      <w:r w:rsidR="00E25FAB" w:rsidRPr="00F4226B">
        <w:rPr>
          <w:rFonts w:ascii="Times New Roman" w:hAnsi="Times New Roman"/>
          <w:sz w:val="24"/>
          <w:szCs w:val="24"/>
          <w:lang w:val="en-US"/>
        </w:rPr>
        <w:t xml:space="preserve"> </w:t>
      </w:r>
    </w:p>
    <w:p w14:paraId="2E957CF4" w14:textId="0C0B7080" w:rsidR="00C307E1" w:rsidRPr="00F4226B" w:rsidRDefault="00C307E1"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Second, following these yearly results</w:t>
      </w:r>
      <w:r w:rsidR="00726C06" w:rsidRPr="00F4226B">
        <w:rPr>
          <w:rFonts w:ascii="Times New Roman" w:hAnsi="Times New Roman"/>
          <w:sz w:val="24"/>
          <w:szCs w:val="24"/>
          <w:lang w:val="en-US"/>
        </w:rPr>
        <w:t xml:space="preserve"> in Panel A</w:t>
      </w:r>
      <w:r w:rsidRPr="00F4226B">
        <w:rPr>
          <w:rFonts w:ascii="Times New Roman" w:hAnsi="Times New Roman"/>
          <w:sz w:val="24"/>
          <w:szCs w:val="24"/>
          <w:lang w:val="en-US"/>
        </w:rPr>
        <w:t>, we consider 2003 to be a shock year for the stock market, so our results m</w:t>
      </w:r>
      <w:r w:rsidR="008A2BBC" w:rsidRPr="00F4226B">
        <w:rPr>
          <w:rFonts w:ascii="Times New Roman" w:hAnsi="Times New Roman"/>
          <w:sz w:val="24"/>
          <w:szCs w:val="24"/>
          <w:lang w:val="en-US"/>
        </w:rPr>
        <w:t>ay</w:t>
      </w:r>
      <w:r w:rsidRPr="00F4226B">
        <w:rPr>
          <w:rFonts w:ascii="Times New Roman" w:hAnsi="Times New Roman"/>
          <w:sz w:val="24"/>
          <w:szCs w:val="24"/>
          <w:lang w:val="en-US"/>
        </w:rPr>
        <w:t xml:space="preserve"> be affected by th</w:t>
      </w:r>
      <w:r w:rsidR="008A2BBC" w:rsidRPr="00F4226B">
        <w:rPr>
          <w:rFonts w:ascii="Times New Roman" w:hAnsi="Times New Roman"/>
          <w:sz w:val="24"/>
          <w:szCs w:val="24"/>
          <w:lang w:val="en-US"/>
        </w:rPr>
        <w:t>e</w:t>
      </w:r>
      <w:r w:rsidRPr="00F4226B">
        <w:rPr>
          <w:rFonts w:ascii="Times New Roman" w:hAnsi="Times New Roman"/>
          <w:sz w:val="24"/>
          <w:szCs w:val="24"/>
          <w:lang w:val="en-US"/>
        </w:rPr>
        <w:t xml:space="preserve"> shock</w:t>
      </w:r>
      <w:r w:rsidR="008A2BBC" w:rsidRPr="00F4226B">
        <w:rPr>
          <w:rFonts w:ascii="Times New Roman" w:hAnsi="Times New Roman"/>
          <w:sz w:val="24"/>
          <w:szCs w:val="24"/>
          <w:lang w:val="en-US"/>
        </w:rPr>
        <w:t>s</w:t>
      </w:r>
      <w:r w:rsidRPr="00F4226B">
        <w:rPr>
          <w:rFonts w:ascii="Times New Roman" w:hAnsi="Times New Roman"/>
          <w:sz w:val="24"/>
          <w:szCs w:val="24"/>
          <w:lang w:val="en-US"/>
        </w:rPr>
        <w:t>. We therefore eliminate all 2003 observations and re-run the regressions. The results are reported in Table 8</w:t>
      </w:r>
      <w:r w:rsidR="00726C06" w:rsidRPr="00F4226B">
        <w:rPr>
          <w:rFonts w:ascii="Times New Roman" w:hAnsi="Times New Roman"/>
          <w:sz w:val="24"/>
          <w:szCs w:val="24"/>
          <w:lang w:val="en-US"/>
        </w:rPr>
        <w:t>, Panels B and C</w:t>
      </w:r>
      <w:r w:rsidR="00300A2A">
        <w:rPr>
          <w:rFonts w:ascii="Times New Roman" w:hAnsi="Times New Roman"/>
          <w:sz w:val="24"/>
          <w:szCs w:val="24"/>
          <w:lang w:val="en-US"/>
        </w:rPr>
        <w:t>.</w:t>
      </w:r>
      <w:r w:rsidRPr="00F4226B">
        <w:rPr>
          <w:rFonts w:ascii="Times New Roman" w:hAnsi="Times New Roman"/>
          <w:sz w:val="24"/>
          <w:szCs w:val="24"/>
          <w:lang w:val="en-US"/>
        </w:rPr>
        <w:t xml:space="preserve"> (</w:t>
      </w:r>
      <w:r w:rsidR="00300A2A">
        <w:rPr>
          <w:rFonts w:ascii="Times New Roman" w:hAnsi="Times New Roman"/>
          <w:sz w:val="24"/>
          <w:szCs w:val="24"/>
          <w:lang w:val="en-US"/>
        </w:rPr>
        <w:t xml:space="preserve">The </w:t>
      </w:r>
      <w:r w:rsidRPr="00F4226B">
        <w:rPr>
          <w:rFonts w:ascii="Times New Roman" w:hAnsi="Times New Roman"/>
          <w:sz w:val="24"/>
          <w:szCs w:val="24"/>
          <w:lang w:val="en-US"/>
        </w:rPr>
        <w:t>results for 2000</w:t>
      </w:r>
      <w:r w:rsidR="00A82995">
        <w:rPr>
          <w:rFonts w:ascii="Times New Roman" w:hAnsi="Times New Roman"/>
          <w:sz w:val="24"/>
          <w:szCs w:val="24"/>
          <w:lang w:val="en-US"/>
        </w:rPr>
        <w:t>–</w:t>
      </w:r>
      <w:r w:rsidRPr="00F4226B">
        <w:rPr>
          <w:rFonts w:ascii="Times New Roman" w:hAnsi="Times New Roman"/>
          <w:sz w:val="24"/>
          <w:szCs w:val="24"/>
          <w:lang w:val="en-US"/>
        </w:rPr>
        <w:t xml:space="preserve">2002 </w:t>
      </w:r>
      <w:r w:rsidR="00726C06" w:rsidRPr="00F4226B">
        <w:rPr>
          <w:rFonts w:ascii="Times New Roman" w:hAnsi="Times New Roman"/>
          <w:sz w:val="24"/>
          <w:szCs w:val="24"/>
          <w:lang w:val="en-US"/>
        </w:rPr>
        <w:t xml:space="preserve">are </w:t>
      </w:r>
      <w:r w:rsidRPr="00F4226B">
        <w:rPr>
          <w:rFonts w:ascii="Times New Roman" w:hAnsi="Times New Roman"/>
          <w:sz w:val="24"/>
          <w:szCs w:val="24"/>
          <w:lang w:val="en-US"/>
        </w:rPr>
        <w:t xml:space="preserve">not included here as these are the same as </w:t>
      </w:r>
      <w:r w:rsidR="00300A2A">
        <w:rPr>
          <w:rFonts w:ascii="Times New Roman" w:hAnsi="Times New Roman"/>
          <w:sz w:val="24"/>
          <w:szCs w:val="24"/>
          <w:lang w:val="en-US"/>
        </w:rPr>
        <w:t xml:space="preserve">those </w:t>
      </w:r>
      <w:r w:rsidRPr="00F4226B">
        <w:rPr>
          <w:rFonts w:ascii="Times New Roman" w:hAnsi="Times New Roman"/>
          <w:sz w:val="24"/>
          <w:szCs w:val="24"/>
          <w:lang w:val="en-US"/>
        </w:rPr>
        <w:t>in Table 5</w:t>
      </w:r>
      <w:r w:rsidR="00300A2A">
        <w:rPr>
          <w:rFonts w:ascii="Times New Roman" w:hAnsi="Times New Roman"/>
          <w:sz w:val="24"/>
          <w:szCs w:val="24"/>
          <w:lang w:val="en-US"/>
        </w:rPr>
        <w:t>.</w:t>
      </w:r>
      <w:r w:rsidR="00DE607E"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00F4226B">
        <w:rPr>
          <w:rFonts w:ascii="Times New Roman" w:hAnsi="Times New Roman"/>
          <w:sz w:val="24"/>
          <w:szCs w:val="24"/>
          <w:lang w:val="en-US"/>
        </w:rPr>
        <w:t xml:space="preserve">As </w:t>
      </w:r>
      <w:r w:rsidR="00300A2A">
        <w:rPr>
          <w:rFonts w:ascii="Times New Roman" w:hAnsi="Times New Roman"/>
          <w:sz w:val="24"/>
          <w:szCs w:val="24"/>
          <w:lang w:val="en-US"/>
        </w:rPr>
        <w:t>observed</w:t>
      </w:r>
      <w:r w:rsidRPr="00F4226B">
        <w:rPr>
          <w:rFonts w:ascii="Times New Roman" w:hAnsi="Times New Roman"/>
          <w:sz w:val="24"/>
          <w:szCs w:val="24"/>
          <w:lang w:val="en-US"/>
        </w:rPr>
        <w:t xml:space="preserve">, the findings reported </w:t>
      </w:r>
      <w:r w:rsidR="00CD26ED" w:rsidRPr="00F4226B">
        <w:rPr>
          <w:rFonts w:ascii="Times New Roman" w:hAnsi="Times New Roman"/>
          <w:sz w:val="24"/>
          <w:szCs w:val="24"/>
          <w:lang w:val="en-US"/>
        </w:rPr>
        <w:t>earlier</w:t>
      </w:r>
      <w:r w:rsidRPr="00F4226B">
        <w:rPr>
          <w:rFonts w:ascii="Times New Roman" w:hAnsi="Times New Roman"/>
          <w:sz w:val="24"/>
          <w:szCs w:val="24"/>
          <w:lang w:val="en-US"/>
        </w:rPr>
        <w:t xml:space="preserve"> are substantially maintained</w:t>
      </w:r>
      <w:r w:rsidR="00726C06" w:rsidRPr="00F4226B">
        <w:rPr>
          <w:rFonts w:ascii="Times New Roman" w:hAnsi="Times New Roman"/>
          <w:sz w:val="24"/>
          <w:szCs w:val="24"/>
          <w:lang w:val="en-US"/>
        </w:rPr>
        <w:t xml:space="preserve">. </w:t>
      </w:r>
    </w:p>
    <w:p w14:paraId="37E770C9" w14:textId="2DE78DA2" w:rsidR="00C307E1" w:rsidRPr="00F4226B" w:rsidRDefault="00C307E1"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Third, all our analyses above use s</w:t>
      </w:r>
      <w:r w:rsidR="00726C06" w:rsidRPr="00F4226B">
        <w:rPr>
          <w:rFonts w:ascii="Times New Roman" w:hAnsi="Times New Roman"/>
          <w:sz w:val="24"/>
          <w:szCs w:val="24"/>
          <w:lang w:val="en-US"/>
        </w:rPr>
        <w:t xml:space="preserve">tock </w:t>
      </w:r>
      <w:r w:rsidRPr="00F4226B">
        <w:rPr>
          <w:rFonts w:ascii="Times New Roman" w:hAnsi="Times New Roman"/>
          <w:sz w:val="24"/>
          <w:szCs w:val="24"/>
          <w:lang w:val="en-US"/>
        </w:rPr>
        <w:t xml:space="preserve">prices or returns at the end of the fourth month after the fiscal year-end. Although Owusu-Ansah (2000) shows that ZSE listed firms take on average </w:t>
      </w:r>
      <w:r w:rsidRPr="00F4226B">
        <w:rPr>
          <w:rFonts w:ascii="Times New Roman" w:hAnsi="Times New Roman"/>
          <w:sz w:val="24"/>
          <w:szCs w:val="24"/>
          <w:lang w:val="en-US"/>
        </w:rPr>
        <w:lastRenderedPageBreak/>
        <w:t xml:space="preserve">three months to publish their results, the Companies Act </w:t>
      </w:r>
      <w:r w:rsidR="00663CEA" w:rsidRPr="00F4226B">
        <w:rPr>
          <w:rFonts w:ascii="Times New Roman" w:hAnsi="Times New Roman"/>
          <w:sz w:val="24"/>
          <w:szCs w:val="24"/>
          <w:lang w:val="en-US"/>
        </w:rPr>
        <w:t>(</w:t>
      </w:r>
      <w:r w:rsidRPr="00F4226B">
        <w:rPr>
          <w:rFonts w:ascii="Times New Roman" w:hAnsi="Times New Roman"/>
          <w:color w:val="222222"/>
          <w:sz w:val="24"/>
          <w:szCs w:val="24"/>
          <w:lang w:val="en-US"/>
        </w:rPr>
        <w:t>Chapter 24:03</w:t>
      </w:r>
      <w:r w:rsidR="00663CEA" w:rsidRPr="00F4226B">
        <w:rPr>
          <w:rFonts w:ascii="Times New Roman" w:hAnsi="Times New Roman"/>
          <w:color w:val="222222"/>
          <w:sz w:val="24"/>
          <w:szCs w:val="24"/>
          <w:lang w:val="en-US"/>
        </w:rPr>
        <w:t>)</w:t>
      </w:r>
      <w:r w:rsidRPr="00F4226B">
        <w:rPr>
          <w:rFonts w:ascii="Times New Roman" w:hAnsi="Times New Roman"/>
          <w:sz w:val="24"/>
          <w:szCs w:val="24"/>
          <w:lang w:val="en-US"/>
        </w:rPr>
        <w:t xml:space="preserve"> requires firms to publish their annual reports within six months of the fiscal year-end. We therefore re-run the models using s</w:t>
      </w:r>
      <w:r w:rsidR="00CD26ED" w:rsidRPr="00F4226B">
        <w:rPr>
          <w:rFonts w:ascii="Times New Roman" w:hAnsi="Times New Roman"/>
          <w:sz w:val="24"/>
          <w:szCs w:val="24"/>
          <w:lang w:val="en-US"/>
        </w:rPr>
        <w:t>tock</w:t>
      </w:r>
      <w:r w:rsidRPr="00F4226B">
        <w:rPr>
          <w:rFonts w:ascii="Times New Roman" w:hAnsi="Times New Roman"/>
          <w:sz w:val="24"/>
          <w:szCs w:val="24"/>
          <w:lang w:val="en-US"/>
        </w:rPr>
        <w:t xml:space="preserve"> prices or returns at the end of the sixth month after the fiscal year-end. We find that the results (not tabulated here) are similar to those reported in Sections 5.2 and 5.3. Finally, Barth et al. (1998) and Collins et al. (1999) demonstrate that firms with negative earnings have smaller earnings response coefficients than firms reporting positive earnings. </w:t>
      </w:r>
      <w:r w:rsidR="00CD26ED" w:rsidRPr="00F4226B">
        <w:rPr>
          <w:rFonts w:ascii="Times New Roman" w:hAnsi="Times New Roman"/>
          <w:sz w:val="24"/>
          <w:szCs w:val="24"/>
          <w:lang w:val="en-US"/>
        </w:rPr>
        <w:t>T</w:t>
      </w:r>
      <w:r w:rsidRPr="00F4226B">
        <w:rPr>
          <w:rFonts w:ascii="Times New Roman" w:hAnsi="Times New Roman"/>
          <w:sz w:val="24"/>
          <w:szCs w:val="24"/>
          <w:lang w:val="en-US"/>
        </w:rPr>
        <w:t>herefore</w:t>
      </w:r>
      <w:r w:rsidR="00CD26ED" w:rsidRPr="00F4226B">
        <w:rPr>
          <w:rFonts w:ascii="Times New Roman" w:hAnsi="Times New Roman"/>
          <w:sz w:val="24"/>
          <w:szCs w:val="24"/>
          <w:lang w:val="en-US"/>
        </w:rPr>
        <w:t xml:space="preserve"> we</w:t>
      </w:r>
      <w:r w:rsidRPr="00F4226B">
        <w:rPr>
          <w:rFonts w:ascii="Times New Roman" w:hAnsi="Times New Roman"/>
          <w:sz w:val="24"/>
          <w:szCs w:val="24"/>
          <w:lang w:val="en-US"/>
        </w:rPr>
        <w:t xml:space="preserve"> eliminate all observations with negative earnings</w:t>
      </w:r>
      <w:r w:rsidR="00F652A2">
        <w:rPr>
          <w:rFonts w:ascii="Times New Roman" w:hAnsi="Times New Roman"/>
          <w:sz w:val="24"/>
          <w:szCs w:val="24"/>
          <w:lang w:val="en-US"/>
        </w:rPr>
        <w:t>,</w:t>
      </w:r>
      <w:r w:rsidRPr="00F4226B">
        <w:rPr>
          <w:rFonts w:ascii="Times New Roman" w:hAnsi="Times New Roman"/>
          <w:sz w:val="24"/>
          <w:szCs w:val="24"/>
          <w:lang w:val="en-US"/>
        </w:rPr>
        <w:t xml:space="preserve"> and our results (not tabulated) are largely unchanged, although the power of the regressions is improved. All these additional tests indicate that our results are robust.</w:t>
      </w:r>
    </w:p>
    <w:p w14:paraId="44DEA82F" w14:textId="77777777" w:rsidR="00812848" w:rsidRPr="00F4226B" w:rsidRDefault="00812848" w:rsidP="003B13CE">
      <w:pPr>
        <w:spacing w:line="360" w:lineRule="auto"/>
        <w:ind w:firstLine="284"/>
        <w:jc w:val="both"/>
        <w:rPr>
          <w:rFonts w:ascii="Times New Roman" w:hAnsi="Times New Roman"/>
          <w:sz w:val="24"/>
          <w:szCs w:val="24"/>
          <w:lang w:val="en-US"/>
        </w:rPr>
      </w:pPr>
    </w:p>
    <w:p w14:paraId="2CE6F2C2" w14:textId="27313CFF" w:rsidR="00BA5001" w:rsidRPr="00F4226B" w:rsidRDefault="00BA5001" w:rsidP="003820D1">
      <w:pPr>
        <w:spacing w:line="360" w:lineRule="auto"/>
        <w:jc w:val="both"/>
        <w:outlineLvl w:val="0"/>
        <w:rPr>
          <w:rFonts w:ascii="Times New Roman" w:hAnsi="Times New Roman"/>
          <w:b/>
          <w:sz w:val="24"/>
          <w:szCs w:val="24"/>
          <w:lang w:val="en-US"/>
        </w:rPr>
      </w:pPr>
      <w:r w:rsidRPr="00F4226B">
        <w:rPr>
          <w:rFonts w:ascii="Times New Roman" w:hAnsi="Times New Roman"/>
          <w:b/>
          <w:sz w:val="24"/>
          <w:szCs w:val="24"/>
          <w:lang w:val="en-US"/>
        </w:rPr>
        <w:t>6.</w:t>
      </w:r>
      <w:r w:rsidR="00BB488F" w:rsidRPr="00F4226B">
        <w:rPr>
          <w:rFonts w:ascii="Times New Roman" w:hAnsi="Times New Roman"/>
          <w:b/>
          <w:sz w:val="24"/>
          <w:szCs w:val="24"/>
          <w:lang w:val="en-US"/>
        </w:rPr>
        <w:t xml:space="preserve"> </w:t>
      </w:r>
      <w:r w:rsidRPr="00F4226B">
        <w:rPr>
          <w:rFonts w:ascii="Times New Roman" w:hAnsi="Times New Roman"/>
          <w:b/>
          <w:sz w:val="24"/>
          <w:szCs w:val="24"/>
          <w:lang w:val="en-US"/>
        </w:rPr>
        <w:t xml:space="preserve"> </w:t>
      </w:r>
      <w:r w:rsidR="00087E00" w:rsidRPr="00F4226B">
        <w:rPr>
          <w:rFonts w:ascii="Times New Roman" w:hAnsi="Times New Roman"/>
          <w:b/>
          <w:sz w:val="24"/>
          <w:szCs w:val="24"/>
          <w:lang w:val="en-US"/>
        </w:rPr>
        <w:t>C</w:t>
      </w:r>
      <w:r w:rsidRPr="00F4226B">
        <w:rPr>
          <w:rFonts w:ascii="Times New Roman" w:hAnsi="Times New Roman"/>
          <w:b/>
          <w:sz w:val="24"/>
          <w:szCs w:val="24"/>
          <w:lang w:val="en-US"/>
        </w:rPr>
        <w:t>onclu</w:t>
      </w:r>
      <w:r w:rsidR="00A82995">
        <w:rPr>
          <w:rFonts w:ascii="Times New Roman" w:hAnsi="Times New Roman"/>
          <w:b/>
          <w:sz w:val="24"/>
          <w:szCs w:val="24"/>
          <w:lang w:val="en-US"/>
        </w:rPr>
        <w:t xml:space="preserve">sion </w:t>
      </w:r>
    </w:p>
    <w:p w14:paraId="32FBD498" w14:textId="5003684B" w:rsidR="00763DD3" w:rsidRPr="00F4226B" w:rsidRDefault="00A82995" w:rsidP="00D2068C">
      <w:pPr>
        <w:spacing w:after="0" w:line="360" w:lineRule="auto"/>
        <w:ind w:firstLine="284"/>
        <w:jc w:val="both"/>
        <w:rPr>
          <w:rFonts w:ascii="Times New Roman" w:hAnsi="Times New Roman"/>
          <w:sz w:val="24"/>
          <w:szCs w:val="24"/>
          <w:lang w:val="en-US"/>
        </w:rPr>
      </w:pPr>
      <w:r>
        <w:rPr>
          <w:rFonts w:ascii="Times New Roman" w:hAnsi="Times New Roman"/>
          <w:sz w:val="24"/>
          <w:szCs w:val="24"/>
          <w:lang w:val="en-US"/>
        </w:rPr>
        <w:lastRenderedPageBreak/>
        <w:t>W</w:t>
      </w:r>
      <w:r w:rsidR="00366391" w:rsidRPr="00F4226B">
        <w:rPr>
          <w:rFonts w:ascii="Times New Roman" w:hAnsi="Times New Roman"/>
          <w:sz w:val="24"/>
          <w:szCs w:val="24"/>
          <w:lang w:val="en-US"/>
        </w:rPr>
        <w:t>e examine the relative and incremental value relevance of HC and IA a</w:t>
      </w:r>
      <w:r w:rsidR="006F7B92" w:rsidRPr="00F4226B">
        <w:rPr>
          <w:rFonts w:ascii="Times New Roman" w:hAnsi="Times New Roman"/>
          <w:sz w:val="24"/>
          <w:szCs w:val="24"/>
          <w:lang w:val="en-US"/>
        </w:rPr>
        <w:t>m</w:t>
      </w:r>
      <w:r w:rsidR="00366391" w:rsidRPr="00F4226B">
        <w:rPr>
          <w:rFonts w:ascii="Times New Roman" w:hAnsi="Times New Roman"/>
          <w:sz w:val="24"/>
          <w:szCs w:val="24"/>
          <w:lang w:val="en-US"/>
        </w:rPr>
        <w:t xml:space="preserve">ounts in a hyperinflationary environment. </w:t>
      </w:r>
      <w:r w:rsidR="00D078A6" w:rsidRPr="00F4226B">
        <w:rPr>
          <w:rFonts w:ascii="Times New Roman" w:hAnsi="Times New Roman"/>
          <w:sz w:val="24"/>
          <w:szCs w:val="24"/>
          <w:lang w:val="en-US"/>
        </w:rPr>
        <w:t xml:space="preserve">Using </w:t>
      </w:r>
      <w:r w:rsidR="00366391" w:rsidRPr="00F4226B">
        <w:rPr>
          <w:rFonts w:ascii="Times New Roman" w:hAnsi="Times New Roman"/>
          <w:sz w:val="24"/>
          <w:szCs w:val="24"/>
          <w:lang w:val="en-US"/>
        </w:rPr>
        <w:t xml:space="preserve">both </w:t>
      </w:r>
      <w:r w:rsidR="00D078A6" w:rsidRPr="00F4226B">
        <w:rPr>
          <w:rFonts w:ascii="Times New Roman" w:hAnsi="Times New Roman"/>
          <w:sz w:val="24"/>
          <w:szCs w:val="24"/>
          <w:lang w:val="en-US"/>
        </w:rPr>
        <w:t xml:space="preserve">the </w:t>
      </w:r>
      <w:r w:rsidR="00E20167" w:rsidRPr="00F4226B">
        <w:rPr>
          <w:rFonts w:ascii="Times New Roman" w:hAnsi="Times New Roman"/>
          <w:sz w:val="24"/>
          <w:szCs w:val="24"/>
          <w:lang w:val="en-US"/>
        </w:rPr>
        <w:t xml:space="preserve">returns </w:t>
      </w:r>
      <w:r w:rsidR="00366391" w:rsidRPr="00F4226B">
        <w:rPr>
          <w:rFonts w:ascii="Times New Roman" w:hAnsi="Times New Roman"/>
          <w:sz w:val="24"/>
          <w:szCs w:val="24"/>
          <w:lang w:val="en-US"/>
        </w:rPr>
        <w:t xml:space="preserve">and price </w:t>
      </w:r>
      <w:r w:rsidR="001C124F" w:rsidRPr="00F4226B">
        <w:rPr>
          <w:rFonts w:ascii="Times New Roman" w:hAnsi="Times New Roman"/>
          <w:sz w:val="24"/>
          <w:szCs w:val="24"/>
          <w:lang w:val="en-US"/>
        </w:rPr>
        <w:t>model</w:t>
      </w:r>
      <w:r w:rsidR="00F7051E" w:rsidRPr="00F4226B">
        <w:rPr>
          <w:rFonts w:ascii="Times New Roman" w:hAnsi="Times New Roman"/>
          <w:sz w:val="24"/>
          <w:szCs w:val="24"/>
          <w:lang w:val="en-US"/>
        </w:rPr>
        <w:t xml:space="preserve"> approach</w:t>
      </w:r>
      <w:r w:rsidR="00366391" w:rsidRPr="00F4226B">
        <w:rPr>
          <w:rFonts w:ascii="Times New Roman" w:hAnsi="Times New Roman"/>
          <w:sz w:val="24"/>
          <w:szCs w:val="24"/>
          <w:lang w:val="en-US"/>
        </w:rPr>
        <w:t>es</w:t>
      </w:r>
      <w:r w:rsidR="00F7051E" w:rsidRPr="00F4226B">
        <w:rPr>
          <w:rFonts w:ascii="Times New Roman" w:hAnsi="Times New Roman"/>
          <w:sz w:val="24"/>
          <w:szCs w:val="24"/>
          <w:lang w:val="en-US"/>
        </w:rPr>
        <w:t xml:space="preserve">, we find that </w:t>
      </w:r>
      <w:r w:rsidR="001C124F" w:rsidRPr="00F4226B">
        <w:rPr>
          <w:rFonts w:ascii="Times New Roman" w:hAnsi="Times New Roman"/>
          <w:sz w:val="24"/>
          <w:szCs w:val="24"/>
          <w:lang w:val="en-US"/>
        </w:rPr>
        <w:t xml:space="preserve">both are value relevant </w:t>
      </w:r>
      <w:r w:rsidR="00366391" w:rsidRPr="00F4226B">
        <w:rPr>
          <w:rFonts w:ascii="Times New Roman" w:hAnsi="Times New Roman"/>
          <w:sz w:val="24"/>
          <w:szCs w:val="24"/>
          <w:lang w:val="en-US"/>
        </w:rPr>
        <w:t>for stock valuation</w:t>
      </w:r>
      <w:r w:rsidR="004D4894" w:rsidRPr="00F4226B">
        <w:rPr>
          <w:rFonts w:ascii="Times New Roman" w:hAnsi="Times New Roman"/>
          <w:sz w:val="24"/>
          <w:szCs w:val="24"/>
          <w:lang w:val="en-US"/>
        </w:rPr>
        <w:t>s</w:t>
      </w:r>
      <w:r w:rsidR="00F7051E" w:rsidRPr="00F4226B">
        <w:rPr>
          <w:rFonts w:ascii="Times New Roman" w:hAnsi="Times New Roman"/>
          <w:sz w:val="24"/>
          <w:szCs w:val="24"/>
          <w:lang w:val="en-US"/>
        </w:rPr>
        <w:t>, but</w:t>
      </w:r>
      <w:r>
        <w:rPr>
          <w:rFonts w:ascii="Times New Roman" w:hAnsi="Times New Roman"/>
          <w:sz w:val="24"/>
          <w:szCs w:val="24"/>
          <w:lang w:val="en-US"/>
        </w:rPr>
        <w:t>,</w:t>
      </w:r>
      <w:r w:rsidR="00F7051E" w:rsidRPr="00F4226B">
        <w:rPr>
          <w:rFonts w:ascii="Times New Roman" w:hAnsi="Times New Roman"/>
          <w:sz w:val="24"/>
          <w:szCs w:val="24"/>
          <w:lang w:val="en-US"/>
        </w:rPr>
        <w:t xml:space="preserve"> </w:t>
      </w:r>
      <w:r w:rsidR="00CD26ED" w:rsidRPr="00F4226B">
        <w:rPr>
          <w:rFonts w:ascii="Times New Roman" w:hAnsi="Times New Roman"/>
          <w:sz w:val="24"/>
          <w:szCs w:val="24"/>
          <w:lang w:val="en-US"/>
        </w:rPr>
        <w:t>o</w:t>
      </w:r>
      <w:r w:rsidR="00403C68" w:rsidRPr="00F4226B">
        <w:rPr>
          <w:rFonts w:ascii="Times New Roman" w:hAnsi="Times New Roman"/>
          <w:sz w:val="24"/>
          <w:szCs w:val="24"/>
          <w:lang w:val="en-US"/>
        </w:rPr>
        <w:t>verall</w:t>
      </w:r>
      <w:r w:rsidR="00CD26ED" w:rsidRPr="00F4226B">
        <w:rPr>
          <w:rFonts w:ascii="Times New Roman" w:hAnsi="Times New Roman"/>
          <w:sz w:val="24"/>
          <w:szCs w:val="24"/>
          <w:lang w:val="en-US"/>
        </w:rPr>
        <w:t xml:space="preserve">, </w:t>
      </w:r>
      <w:r w:rsidR="001C124F" w:rsidRPr="00F4226B">
        <w:rPr>
          <w:rFonts w:ascii="Times New Roman" w:hAnsi="Times New Roman"/>
          <w:sz w:val="24"/>
          <w:szCs w:val="24"/>
          <w:lang w:val="en-US"/>
        </w:rPr>
        <w:t xml:space="preserve">HC </w:t>
      </w:r>
      <w:r w:rsidR="00366391" w:rsidRPr="00F4226B">
        <w:rPr>
          <w:rFonts w:ascii="Times New Roman" w:hAnsi="Times New Roman"/>
          <w:sz w:val="24"/>
          <w:szCs w:val="24"/>
          <w:lang w:val="en-US"/>
        </w:rPr>
        <w:t>a</w:t>
      </w:r>
      <w:r w:rsidR="00CD26ED" w:rsidRPr="00F4226B">
        <w:rPr>
          <w:rFonts w:ascii="Times New Roman" w:hAnsi="Times New Roman"/>
          <w:sz w:val="24"/>
          <w:szCs w:val="24"/>
          <w:lang w:val="en-US"/>
        </w:rPr>
        <w:t>mounts</w:t>
      </w:r>
      <w:r w:rsidR="00F7051E" w:rsidRPr="00F4226B">
        <w:rPr>
          <w:rFonts w:ascii="Times New Roman" w:hAnsi="Times New Roman"/>
          <w:sz w:val="24"/>
          <w:szCs w:val="24"/>
          <w:lang w:val="en-US"/>
        </w:rPr>
        <w:t xml:space="preserve"> </w:t>
      </w:r>
      <w:r w:rsidR="001C124F" w:rsidRPr="00F4226B">
        <w:rPr>
          <w:rFonts w:ascii="Times New Roman" w:hAnsi="Times New Roman"/>
          <w:sz w:val="24"/>
          <w:szCs w:val="24"/>
          <w:lang w:val="en-US"/>
        </w:rPr>
        <w:t xml:space="preserve">are more value relevant. </w:t>
      </w:r>
      <w:r w:rsidR="00851C46" w:rsidRPr="00F4226B">
        <w:rPr>
          <w:rFonts w:ascii="Times New Roman" w:hAnsi="Times New Roman"/>
          <w:sz w:val="24"/>
          <w:szCs w:val="24"/>
          <w:lang w:val="en-US"/>
        </w:rPr>
        <w:t xml:space="preserve">The differences in value relevance between the two sets of amounts appear to derive from their ability to predict future cash flows from operations. </w:t>
      </w:r>
      <w:r w:rsidR="00CD26ED" w:rsidRPr="00F4226B">
        <w:rPr>
          <w:rFonts w:ascii="Times New Roman" w:hAnsi="Times New Roman"/>
          <w:sz w:val="24"/>
          <w:szCs w:val="24"/>
          <w:lang w:val="en-US"/>
        </w:rPr>
        <w:t>We show that</w:t>
      </w:r>
      <w:r>
        <w:rPr>
          <w:rFonts w:ascii="Times New Roman" w:hAnsi="Times New Roman"/>
          <w:sz w:val="24"/>
          <w:szCs w:val="24"/>
          <w:lang w:val="en-US"/>
        </w:rPr>
        <w:t>,</w:t>
      </w:r>
      <w:r w:rsidR="00CD26ED" w:rsidRPr="00F4226B">
        <w:rPr>
          <w:rFonts w:ascii="Times New Roman" w:hAnsi="Times New Roman"/>
          <w:sz w:val="24"/>
          <w:szCs w:val="24"/>
          <w:lang w:val="en-US"/>
        </w:rPr>
        <w:t xml:space="preserve"> whereas HC amounts </w:t>
      </w:r>
      <w:r w:rsidR="00851C46" w:rsidRPr="00F4226B">
        <w:rPr>
          <w:rFonts w:ascii="Times New Roman" w:hAnsi="Times New Roman"/>
          <w:sz w:val="24"/>
          <w:szCs w:val="24"/>
          <w:lang w:val="en-US"/>
        </w:rPr>
        <w:t xml:space="preserve">exhibit significantly </w:t>
      </w:r>
      <w:r w:rsidR="00CD26ED" w:rsidRPr="00F4226B">
        <w:rPr>
          <w:rFonts w:ascii="Times New Roman" w:hAnsi="Times New Roman"/>
          <w:sz w:val="24"/>
          <w:szCs w:val="24"/>
          <w:lang w:val="en-US"/>
        </w:rPr>
        <w:t xml:space="preserve">greater value relevance than IA amounts in </w:t>
      </w:r>
      <w:r w:rsidR="00887346" w:rsidRPr="00F4226B">
        <w:rPr>
          <w:rFonts w:ascii="Times New Roman" w:hAnsi="Times New Roman"/>
          <w:sz w:val="24"/>
          <w:szCs w:val="24"/>
          <w:lang w:val="en-US"/>
        </w:rPr>
        <w:t xml:space="preserve">a </w:t>
      </w:r>
      <w:r w:rsidR="001C124F" w:rsidRPr="00F4226B">
        <w:rPr>
          <w:rFonts w:ascii="Times New Roman" w:hAnsi="Times New Roman"/>
          <w:sz w:val="24"/>
          <w:szCs w:val="24"/>
          <w:lang w:val="en-US"/>
        </w:rPr>
        <w:t xml:space="preserve">relatively </w:t>
      </w:r>
      <w:r w:rsidR="00CD26ED" w:rsidRPr="00F4226B">
        <w:rPr>
          <w:rFonts w:ascii="Times New Roman" w:hAnsi="Times New Roman"/>
          <w:sz w:val="24"/>
          <w:szCs w:val="24"/>
          <w:lang w:val="en-US"/>
        </w:rPr>
        <w:t>low i</w:t>
      </w:r>
      <w:r w:rsidR="001C124F" w:rsidRPr="00F4226B">
        <w:rPr>
          <w:rFonts w:ascii="Times New Roman" w:hAnsi="Times New Roman"/>
          <w:sz w:val="24"/>
          <w:szCs w:val="24"/>
          <w:lang w:val="en-US"/>
        </w:rPr>
        <w:t>nflation</w:t>
      </w:r>
      <w:r w:rsidR="00F7051E" w:rsidRPr="00F4226B">
        <w:rPr>
          <w:rFonts w:ascii="Times New Roman" w:hAnsi="Times New Roman"/>
          <w:sz w:val="24"/>
          <w:szCs w:val="24"/>
          <w:lang w:val="en-US"/>
        </w:rPr>
        <w:t xml:space="preserve"> </w:t>
      </w:r>
      <w:r w:rsidR="00366391" w:rsidRPr="00F4226B">
        <w:rPr>
          <w:rFonts w:ascii="Times New Roman" w:hAnsi="Times New Roman"/>
          <w:sz w:val="24"/>
          <w:szCs w:val="24"/>
          <w:lang w:val="en-US"/>
        </w:rPr>
        <w:t>period</w:t>
      </w:r>
      <w:r w:rsidR="001C124F" w:rsidRPr="00F4226B">
        <w:rPr>
          <w:rFonts w:ascii="Times New Roman" w:hAnsi="Times New Roman"/>
          <w:sz w:val="24"/>
          <w:szCs w:val="24"/>
          <w:lang w:val="en-US"/>
        </w:rPr>
        <w:t>, the differences in value relevance are less dis</w:t>
      </w:r>
      <w:r w:rsidR="00F7051E" w:rsidRPr="00F4226B">
        <w:rPr>
          <w:rFonts w:ascii="Times New Roman" w:hAnsi="Times New Roman"/>
          <w:sz w:val="24"/>
          <w:szCs w:val="24"/>
          <w:lang w:val="en-US"/>
        </w:rPr>
        <w:t xml:space="preserve">tinguishable </w:t>
      </w:r>
      <w:r w:rsidR="001C124F" w:rsidRPr="00F4226B">
        <w:rPr>
          <w:rFonts w:ascii="Times New Roman" w:hAnsi="Times New Roman"/>
          <w:sz w:val="24"/>
          <w:szCs w:val="24"/>
          <w:lang w:val="en-US"/>
        </w:rPr>
        <w:t xml:space="preserve">in </w:t>
      </w:r>
      <w:r w:rsidR="00046FBE">
        <w:rPr>
          <w:rFonts w:ascii="Times New Roman" w:hAnsi="Times New Roman"/>
          <w:sz w:val="24"/>
          <w:szCs w:val="24"/>
          <w:lang w:val="en-US"/>
        </w:rPr>
        <w:t>a</w:t>
      </w:r>
      <w:r w:rsidR="00046FBE" w:rsidRPr="00F4226B">
        <w:rPr>
          <w:rFonts w:ascii="Times New Roman" w:hAnsi="Times New Roman"/>
          <w:sz w:val="24"/>
          <w:szCs w:val="24"/>
          <w:lang w:val="en-US"/>
        </w:rPr>
        <w:t xml:space="preserve"> </w:t>
      </w:r>
      <w:r w:rsidR="001C124F" w:rsidRPr="00F4226B">
        <w:rPr>
          <w:rFonts w:ascii="Times New Roman" w:hAnsi="Times New Roman"/>
          <w:sz w:val="24"/>
          <w:szCs w:val="24"/>
          <w:lang w:val="en-US"/>
        </w:rPr>
        <w:t xml:space="preserve">relatively </w:t>
      </w:r>
      <w:r w:rsidR="00CD26ED" w:rsidRPr="00F4226B">
        <w:rPr>
          <w:rFonts w:ascii="Times New Roman" w:hAnsi="Times New Roman"/>
          <w:sz w:val="24"/>
          <w:szCs w:val="24"/>
          <w:lang w:val="en-US"/>
        </w:rPr>
        <w:t xml:space="preserve">high </w:t>
      </w:r>
      <w:r w:rsidR="001C124F" w:rsidRPr="00F4226B">
        <w:rPr>
          <w:rFonts w:ascii="Times New Roman" w:hAnsi="Times New Roman"/>
          <w:sz w:val="24"/>
          <w:szCs w:val="24"/>
          <w:lang w:val="en-US"/>
        </w:rPr>
        <w:t xml:space="preserve">inflation period. </w:t>
      </w:r>
      <w:r w:rsidR="00F7051E" w:rsidRPr="00F4226B">
        <w:rPr>
          <w:rFonts w:ascii="Times New Roman" w:hAnsi="Times New Roman"/>
          <w:sz w:val="24"/>
          <w:szCs w:val="24"/>
          <w:lang w:val="en-US"/>
        </w:rPr>
        <w:t xml:space="preserve">We </w:t>
      </w:r>
      <w:r w:rsidR="002669F1" w:rsidRPr="00F4226B">
        <w:rPr>
          <w:rFonts w:ascii="Times New Roman" w:hAnsi="Times New Roman"/>
          <w:sz w:val="24"/>
          <w:szCs w:val="24"/>
          <w:lang w:val="en-US"/>
        </w:rPr>
        <w:t xml:space="preserve">also </w:t>
      </w:r>
      <w:r w:rsidR="00F7051E" w:rsidRPr="00F4226B">
        <w:rPr>
          <w:rFonts w:ascii="Times New Roman" w:hAnsi="Times New Roman"/>
          <w:sz w:val="24"/>
          <w:szCs w:val="24"/>
          <w:lang w:val="en-US"/>
        </w:rPr>
        <w:t xml:space="preserve">find </w:t>
      </w:r>
      <w:r w:rsidR="002669F1" w:rsidRPr="00F4226B">
        <w:rPr>
          <w:rFonts w:ascii="Times New Roman" w:hAnsi="Times New Roman"/>
          <w:sz w:val="24"/>
          <w:szCs w:val="24"/>
          <w:lang w:val="en-US"/>
        </w:rPr>
        <w:t xml:space="preserve">that </w:t>
      </w:r>
      <w:r w:rsidR="00CD26ED" w:rsidRPr="00F4226B">
        <w:rPr>
          <w:rFonts w:ascii="Times New Roman" w:hAnsi="Times New Roman"/>
          <w:sz w:val="24"/>
          <w:szCs w:val="24"/>
          <w:lang w:val="en-US"/>
        </w:rPr>
        <w:t xml:space="preserve">the </w:t>
      </w:r>
      <w:r w:rsidR="00F4226B" w:rsidRPr="00F4226B">
        <w:rPr>
          <w:rFonts w:ascii="Times New Roman" w:hAnsi="Times New Roman"/>
          <w:sz w:val="24"/>
          <w:szCs w:val="24"/>
          <w:lang w:val="en-US"/>
        </w:rPr>
        <w:t>recognized</w:t>
      </w:r>
      <w:r w:rsidR="00B0319D" w:rsidRPr="00F4226B">
        <w:rPr>
          <w:rFonts w:ascii="Times New Roman" w:hAnsi="Times New Roman"/>
          <w:sz w:val="24"/>
          <w:szCs w:val="24"/>
          <w:lang w:val="en-US"/>
        </w:rPr>
        <w:t xml:space="preserve"> inflation gains and losses </w:t>
      </w:r>
      <w:r w:rsidR="00CD26ED" w:rsidRPr="00F4226B">
        <w:rPr>
          <w:rFonts w:ascii="Times New Roman" w:hAnsi="Times New Roman"/>
          <w:sz w:val="24"/>
          <w:szCs w:val="24"/>
          <w:lang w:val="en-US"/>
        </w:rPr>
        <w:t xml:space="preserve">have </w:t>
      </w:r>
      <w:r w:rsidR="00AE6C29" w:rsidRPr="00F4226B">
        <w:rPr>
          <w:rFonts w:ascii="Times New Roman" w:hAnsi="Times New Roman"/>
          <w:sz w:val="24"/>
          <w:szCs w:val="24"/>
          <w:lang w:val="en-US"/>
        </w:rPr>
        <w:t xml:space="preserve">an </w:t>
      </w:r>
      <w:r w:rsidR="001C124F" w:rsidRPr="00F4226B">
        <w:rPr>
          <w:rFonts w:ascii="Times New Roman" w:hAnsi="Times New Roman"/>
          <w:sz w:val="24"/>
          <w:szCs w:val="24"/>
          <w:lang w:val="en-US"/>
        </w:rPr>
        <w:t>incremental information content</w:t>
      </w:r>
      <w:r w:rsidR="00B0319D" w:rsidRPr="00F4226B">
        <w:rPr>
          <w:rFonts w:ascii="Times New Roman" w:hAnsi="Times New Roman"/>
          <w:sz w:val="24"/>
          <w:szCs w:val="24"/>
          <w:lang w:val="en-US"/>
        </w:rPr>
        <w:t xml:space="preserve">, and the power of the incremental </w:t>
      </w:r>
      <w:r w:rsidR="00CD26ED" w:rsidRPr="00F4226B">
        <w:rPr>
          <w:rFonts w:ascii="Times New Roman" w:hAnsi="Times New Roman"/>
          <w:sz w:val="24"/>
          <w:szCs w:val="24"/>
          <w:lang w:val="en-US"/>
        </w:rPr>
        <w:t>content</w:t>
      </w:r>
      <w:r w:rsidR="00B0319D" w:rsidRPr="00F4226B">
        <w:rPr>
          <w:rFonts w:ascii="Times New Roman" w:hAnsi="Times New Roman"/>
          <w:sz w:val="24"/>
          <w:szCs w:val="24"/>
          <w:lang w:val="en-US"/>
        </w:rPr>
        <w:t xml:space="preserve"> model is similar to </w:t>
      </w:r>
      <w:r w:rsidR="00046FBE">
        <w:rPr>
          <w:rFonts w:ascii="Times New Roman" w:hAnsi="Times New Roman"/>
          <w:sz w:val="24"/>
          <w:szCs w:val="24"/>
          <w:lang w:val="en-US"/>
        </w:rPr>
        <w:t xml:space="preserve">that of </w:t>
      </w:r>
      <w:r w:rsidR="00B0319D" w:rsidRPr="00F4226B">
        <w:rPr>
          <w:rFonts w:ascii="Times New Roman" w:hAnsi="Times New Roman"/>
          <w:sz w:val="24"/>
          <w:szCs w:val="24"/>
          <w:lang w:val="en-US"/>
        </w:rPr>
        <w:t xml:space="preserve">the HC model </w:t>
      </w:r>
      <w:r w:rsidR="00CD26ED" w:rsidRPr="00F4226B">
        <w:rPr>
          <w:rFonts w:ascii="Times New Roman" w:hAnsi="Times New Roman"/>
          <w:sz w:val="24"/>
          <w:szCs w:val="24"/>
          <w:lang w:val="en-US"/>
        </w:rPr>
        <w:t xml:space="preserve">but </w:t>
      </w:r>
      <w:r w:rsidR="00B0319D" w:rsidRPr="00F4226B">
        <w:rPr>
          <w:rFonts w:ascii="Times New Roman" w:hAnsi="Times New Roman"/>
          <w:sz w:val="24"/>
          <w:szCs w:val="24"/>
          <w:lang w:val="en-US"/>
        </w:rPr>
        <w:t xml:space="preserve">superior to </w:t>
      </w:r>
      <w:r w:rsidR="00046FBE">
        <w:rPr>
          <w:rFonts w:ascii="Times New Roman" w:hAnsi="Times New Roman"/>
          <w:sz w:val="24"/>
          <w:szCs w:val="24"/>
          <w:lang w:val="en-US"/>
        </w:rPr>
        <w:t xml:space="preserve">that of </w:t>
      </w:r>
      <w:r w:rsidR="00B0319D" w:rsidRPr="00F4226B">
        <w:rPr>
          <w:rFonts w:ascii="Times New Roman" w:hAnsi="Times New Roman"/>
          <w:sz w:val="24"/>
          <w:szCs w:val="24"/>
          <w:lang w:val="en-US"/>
        </w:rPr>
        <w:t xml:space="preserve">the IA model. Finally, the value relevance of both HC and IA </w:t>
      </w:r>
      <w:r w:rsidR="00CD26ED" w:rsidRPr="00F4226B">
        <w:rPr>
          <w:rFonts w:ascii="Times New Roman" w:hAnsi="Times New Roman"/>
          <w:sz w:val="24"/>
          <w:szCs w:val="24"/>
          <w:lang w:val="en-US"/>
        </w:rPr>
        <w:t>amounts</w:t>
      </w:r>
      <w:r w:rsidR="00B0319D" w:rsidRPr="00F4226B">
        <w:rPr>
          <w:rFonts w:ascii="Times New Roman" w:hAnsi="Times New Roman"/>
          <w:sz w:val="24"/>
          <w:szCs w:val="24"/>
          <w:lang w:val="en-US"/>
        </w:rPr>
        <w:t xml:space="preserve"> increases with the level of inflation</w:t>
      </w:r>
      <w:r w:rsidR="00741D50" w:rsidRPr="00F4226B">
        <w:rPr>
          <w:rFonts w:ascii="Times New Roman" w:hAnsi="Times New Roman"/>
          <w:sz w:val="24"/>
          <w:szCs w:val="24"/>
          <w:lang w:val="en-US"/>
        </w:rPr>
        <w:t xml:space="preserve">, and </w:t>
      </w:r>
      <w:r w:rsidR="002F1178">
        <w:rPr>
          <w:rFonts w:ascii="Times New Roman" w:hAnsi="Times New Roman"/>
          <w:sz w:val="24"/>
          <w:szCs w:val="24"/>
          <w:lang w:val="en-US"/>
        </w:rPr>
        <w:t>this increase appears</w:t>
      </w:r>
      <w:r w:rsidR="00851C46" w:rsidRPr="00F4226B">
        <w:rPr>
          <w:rFonts w:ascii="Times New Roman" w:hAnsi="Times New Roman"/>
          <w:sz w:val="24"/>
          <w:szCs w:val="24"/>
          <w:lang w:val="en-US"/>
        </w:rPr>
        <w:t xml:space="preserve"> </w:t>
      </w:r>
      <w:r w:rsidR="00B0319D" w:rsidRPr="00F4226B">
        <w:rPr>
          <w:rFonts w:ascii="Times New Roman" w:hAnsi="Times New Roman"/>
          <w:sz w:val="24"/>
          <w:szCs w:val="24"/>
          <w:lang w:val="en-US"/>
        </w:rPr>
        <w:t xml:space="preserve">greater for the IA </w:t>
      </w:r>
      <w:r w:rsidR="00741D50" w:rsidRPr="00F4226B">
        <w:rPr>
          <w:rFonts w:ascii="Times New Roman" w:hAnsi="Times New Roman"/>
          <w:sz w:val="24"/>
          <w:szCs w:val="24"/>
          <w:lang w:val="en-US"/>
        </w:rPr>
        <w:t xml:space="preserve">amounts </w:t>
      </w:r>
      <w:r w:rsidR="00046FBE">
        <w:rPr>
          <w:rFonts w:ascii="Times New Roman" w:hAnsi="Times New Roman"/>
          <w:sz w:val="24"/>
          <w:szCs w:val="24"/>
          <w:lang w:val="en-US"/>
        </w:rPr>
        <w:t xml:space="preserve">than for the </w:t>
      </w:r>
      <w:r w:rsidR="00B0319D" w:rsidRPr="00F4226B">
        <w:rPr>
          <w:rFonts w:ascii="Times New Roman" w:hAnsi="Times New Roman"/>
          <w:sz w:val="24"/>
          <w:szCs w:val="24"/>
          <w:lang w:val="en-US"/>
        </w:rPr>
        <w:t xml:space="preserve">HC </w:t>
      </w:r>
      <w:r w:rsidR="00741D50" w:rsidRPr="00F4226B">
        <w:rPr>
          <w:rFonts w:ascii="Times New Roman" w:hAnsi="Times New Roman"/>
          <w:sz w:val="24"/>
          <w:szCs w:val="24"/>
          <w:lang w:val="en-US"/>
        </w:rPr>
        <w:lastRenderedPageBreak/>
        <w:t>amounts</w:t>
      </w:r>
      <w:r w:rsidR="00B0319D" w:rsidRPr="00F4226B">
        <w:rPr>
          <w:rFonts w:ascii="Times New Roman" w:hAnsi="Times New Roman"/>
          <w:sz w:val="24"/>
          <w:szCs w:val="24"/>
          <w:lang w:val="en-US"/>
        </w:rPr>
        <w:t xml:space="preserve">. </w:t>
      </w:r>
      <w:r w:rsidR="001C124F" w:rsidRPr="00F4226B">
        <w:rPr>
          <w:rFonts w:ascii="Times New Roman" w:hAnsi="Times New Roman"/>
          <w:sz w:val="24"/>
          <w:szCs w:val="24"/>
          <w:lang w:val="en-US"/>
        </w:rPr>
        <w:t xml:space="preserve">Taken together, </w:t>
      </w:r>
      <w:r w:rsidR="00403C68" w:rsidRPr="00F4226B">
        <w:rPr>
          <w:rFonts w:ascii="Times New Roman" w:hAnsi="Times New Roman"/>
          <w:sz w:val="24"/>
          <w:szCs w:val="24"/>
          <w:lang w:val="en-US"/>
        </w:rPr>
        <w:t xml:space="preserve">these findings suggest </w:t>
      </w:r>
      <w:r w:rsidR="002F1178">
        <w:rPr>
          <w:rFonts w:ascii="Times New Roman" w:hAnsi="Times New Roman"/>
          <w:sz w:val="24"/>
          <w:szCs w:val="24"/>
          <w:lang w:val="en-US"/>
        </w:rPr>
        <w:t xml:space="preserve">that </w:t>
      </w:r>
      <w:r w:rsidR="001C124F" w:rsidRPr="00F4226B">
        <w:rPr>
          <w:rFonts w:ascii="Times New Roman" w:hAnsi="Times New Roman"/>
          <w:sz w:val="24"/>
          <w:szCs w:val="24"/>
          <w:lang w:val="en-US"/>
        </w:rPr>
        <w:t>the two set</w:t>
      </w:r>
      <w:r w:rsidR="004D4894" w:rsidRPr="00F4226B">
        <w:rPr>
          <w:rFonts w:ascii="Times New Roman" w:hAnsi="Times New Roman"/>
          <w:sz w:val="24"/>
          <w:szCs w:val="24"/>
          <w:lang w:val="en-US"/>
        </w:rPr>
        <w:t>s</w:t>
      </w:r>
      <w:r w:rsidR="001C124F" w:rsidRPr="00F4226B">
        <w:rPr>
          <w:rFonts w:ascii="Times New Roman" w:hAnsi="Times New Roman"/>
          <w:sz w:val="24"/>
          <w:szCs w:val="24"/>
          <w:lang w:val="en-US"/>
        </w:rPr>
        <w:t xml:space="preserve"> of </w:t>
      </w:r>
      <w:r w:rsidR="00143079" w:rsidRPr="00F4226B">
        <w:rPr>
          <w:rFonts w:ascii="Times New Roman" w:hAnsi="Times New Roman"/>
          <w:sz w:val="24"/>
          <w:szCs w:val="24"/>
          <w:lang w:val="en-US"/>
        </w:rPr>
        <w:t>amounts</w:t>
      </w:r>
      <w:r w:rsidR="001C124F" w:rsidRPr="00F4226B">
        <w:rPr>
          <w:rFonts w:ascii="Times New Roman" w:hAnsi="Times New Roman"/>
          <w:sz w:val="24"/>
          <w:szCs w:val="24"/>
          <w:lang w:val="en-US"/>
        </w:rPr>
        <w:t xml:space="preserve"> are </w:t>
      </w:r>
      <w:r w:rsidR="002F1178" w:rsidRPr="00F4226B">
        <w:rPr>
          <w:rFonts w:ascii="Times New Roman" w:hAnsi="Times New Roman"/>
          <w:sz w:val="24"/>
          <w:szCs w:val="24"/>
          <w:lang w:val="en-US"/>
        </w:rPr>
        <w:t>complement</w:t>
      </w:r>
      <w:r w:rsidR="002F1178">
        <w:rPr>
          <w:rFonts w:ascii="Times New Roman" w:hAnsi="Times New Roman"/>
          <w:sz w:val="24"/>
          <w:szCs w:val="24"/>
          <w:lang w:val="en-US"/>
        </w:rPr>
        <w:t xml:space="preserve">s </w:t>
      </w:r>
      <w:r w:rsidR="001C124F" w:rsidRPr="00F4226B">
        <w:rPr>
          <w:rFonts w:ascii="Times New Roman" w:hAnsi="Times New Roman"/>
          <w:sz w:val="24"/>
          <w:szCs w:val="24"/>
          <w:lang w:val="en-US"/>
        </w:rPr>
        <w:t xml:space="preserve">rather than substitutes. </w:t>
      </w:r>
    </w:p>
    <w:p w14:paraId="02179614" w14:textId="7766C15D" w:rsidR="00DA6C56" w:rsidRPr="00F4226B" w:rsidRDefault="00851C46"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Our study co</w:t>
      </w:r>
      <w:r w:rsidR="002F4690" w:rsidRPr="00F4226B">
        <w:rPr>
          <w:rFonts w:ascii="Times New Roman" w:hAnsi="Times New Roman"/>
          <w:sz w:val="24"/>
          <w:szCs w:val="24"/>
          <w:lang w:val="en-US"/>
        </w:rPr>
        <w:t xml:space="preserve">mplements </w:t>
      </w:r>
      <w:r w:rsidR="00A82995">
        <w:rPr>
          <w:rFonts w:ascii="Times New Roman" w:hAnsi="Times New Roman"/>
          <w:sz w:val="24"/>
          <w:szCs w:val="24"/>
          <w:lang w:val="en-US"/>
        </w:rPr>
        <w:t xml:space="preserve">the </w:t>
      </w:r>
      <w:r w:rsidR="00E055A6" w:rsidRPr="00F4226B">
        <w:rPr>
          <w:rFonts w:ascii="Times New Roman" w:hAnsi="Times New Roman"/>
          <w:sz w:val="24"/>
          <w:szCs w:val="24"/>
          <w:lang w:val="en-US"/>
        </w:rPr>
        <w:t xml:space="preserve">literature </w:t>
      </w:r>
      <w:r w:rsidR="002F4690" w:rsidRPr="00F4226B">
        <w:rPr>
          <w:rFonts w:ascii="Times New Roman" w:hAnsi="Times New Roman"/>
          <w:sz w:val="24"/>
          <w:szCs w:val="24"/>
          <w:lang w:val="en-US"/>
        </w:rPr>
        <w:t xml:space="preserve">that examines the value relevance of </w:t>
      </w:r>
      <w:r w:rsidR="00D810EC" w:rsidRPr="00F4226B">
        <w:rPr>
          <w:rFonts w:ascii="Times New Roman" w:hAnsi="Times New Roman"/>
          <w:sz w:val="24"/>
          <w:szCs w:val="24"/>
          <w:lang w:val="en-US"/>
        </w:rPr>
        <w:t xml:space="preserve">HC </w:t>
      </w:r>
      <w:r w:rsidR="002F4690" w:rsidRPr="00F4226B">
        <w:rPr>
          <w:rFonts w:ascii="Times New Roman" w:hAnsi="Times New Roman"/>
          <w:sz w:val="24"/>
          <w:szCs w:val="24"/>
          <w:lang w:val="en-US"/>
        </w:rPr>
        <w:t xml:space="preserve">accounting </w:t>
      </w:r>
      <w:r w:rsidR="00FD5CEB">
        <w:rPr>
          <w:rFonts w:ascii="Times New Roman" w:hAnsi="Times New Roman"/>
          <w:sz w:val="24"/>
          <w:szCs w:val="24"/>
          <w:lang w:val="en-US"/>
        </w:rPr>
        <w:t>amounts</w:t>
      </w:r>
      <w:r w:rsidR="002F4690" w:rsidRPr="00F4226B">
        <w:rPr>
          <w:rFonts w:ascii="Times New Roman" w:hAnsi="Times New Roman"/>
          <w:sz w:val="24"/>
          <w:szCs w:val="24"/>
          <w:lang w:val="en-US"/>
        </w:rPr>
        <w:t xml:space="preserve">. </w:t>
      </w:r>
      <w:r w:rsidR="00D810EC" w:rsidRPr="00F4226B">
        <w:rPr>
          <w:rFonts w:ascii="Times New Roman" w:hAnsi="Times New Roman"/>
          <w:sz w:val="24"/>
          <w:szCs w:val="24"/>
          <w:lang w:val="en-US"/>
        </w:rPr>
        <w:t>This literature has shown that the disaggregation of earnings into accruals and cash flow</w:t>
      </w:r>
      <w:r w:rsidR="00A82995">
        <w:rPr>
          <w:rFonts w:ascii="Times New Roman" w:hAnsi="Times New Roman"/>
          <w:sz w:val="24"/>
          <w:szCs w:val="24"/>
          <w:lang w:val="en-US"/>
        </w:rPr>
        <w:t>s</w:t>
      </w:r>
      <w:r w:rsidR="00D810EC" w:rsidRPr="00F4226B">
        <w:rPr>
          <w:rFonts w:ascii="Times New Roman" w:hAnsi="Times New Roman"/>
          <w:sz w:val="24"/>
          <w:szCs w:val="24"/>
          <w:lang w:val="en-US"/>
        </w:rPr>
        <w:t xml:space="preserve"> enhances the informativeness of earnings in t</w:t>
      </w:r>
      <w:r w:rsidR="006F7B92" w:rsidRPr="00F4226B">
        <w:rPr>
          <w:rFonts w:ascii="Times New Roman" w:hAnsi="Times New Roman"/>
          <w:sz w:val="24"/>
          <w:szCs w:val="24"/>
          <w:lang w:val="en-US"/>
        </w:rPr>
        <w:t>e</w:t>
      </w:r>
      <w:r w:rsidR="00D810EC" w:rsidRPr="00F4226B">
        <w:rPr>
          <w:rFonts w:ascii="Times New Roman" w:hAnsi="Times New Roman"/>
          <w:sz w:val="24"/>
          <w:szCs w:val="24"/>
          <w:lang w:val="en-US"/>
        </w:rPr>
        <w:t>r</w:t>
      </w:r>
      <w:r w:rsidR="006F7B92" w:rsidRPr="00F4226B">
        <w:rPr>
          <w:rFonts w:ascii="Times New Roman" w:hAnsi="Times New Roman"/>
          <w:sz w:val="24"/>
          <w:szCs w:val="24"/>
          <w:lang w:val="en-US"/>
        </w:rPr>
        <w:t>m</w:t>
      </w:r>
      <w:r w:rsidR="00D810EC" w:rsidRPr="00F4226B">
        <w:rPr>
          <w:rFonts w:ascii="Times New Roman" w:hAnsi="Times New Roman"/>
          <w:sz w:val="24"/>
          <w:szCs w:val="24"/>
          <w:lang w:val="en-US"/>
        </w:rPr>
        <w:t xml:space="preserve">s of predicting future cash flows and stock valuation. </w:t>
      </w:r>
      <w:r w:rsidR="002F4690" w:rsidRPr="00F4226B">
        <w:rPr>
          <w:rFonts w:ascii="Times New Roman" w:hAnsi="Times New Roman"/>
          <w:sz w:val="24"/>
          <w:szCs w:val="24"/>
          <w:lang w:val="en-US"/>
        </w:rPr>
        <w:t xml:space="preserve">We contribute to this literature </w:t>
      </w:r>
      <w:r w:rsidRPr="00F4226B">
        <w:rPr>
          <w:rFonts w:ascii="Times New Roman" w:hAnsi="Times New Roman"/>
          <w:sz w:val="24"/>
          <w:szCs w:val="24"/>
          <w:lang w:val="en-US"/>
        </w:rPr>
        <w:t xml:space="preserve">by offering </w:t>
      </w:r>
      <w:r w:rsidR="002F4690" w:rsidRPr="00F4226B">
        <w:rPr>
          <w:rFonts w:ascii="Times New Roman" w:hAnsi="Times New Roman"/>
          <w:sz w:val="24"/>
          <w:szCs w:val="24"/>
          <w:lang w:val="en-US"/>
        </w:rPr>
        <w:t xml:space="preserve">direct </w:t>
      </w:r>
      <w:r w:rsidRPr="00F4226B">
        <w:rPr>
          <w:rFonts w:ascii="Times New Roman" w:hAnsi="Times New Roman"/>
          <w:sz w:val="24"/>
          <w:szCs w:val="24"/>
          <w:lang w:val="en-US"/>
        </w:rPr>
        <w:t>evidence on the relative and incremental usefulness of performance measures stemming from accounting systems that focus on different measurement attributes</w:t>
      </w:r>
      <w:r w:rsidR="00D810EC" w:rsidRPr="00F4226B">
        <w:rPr>
          <w:rFonts w:ascii="Times New Roman" w:hAnsi="Times New Roman"/>
          <w:sz w:val="24"/>
          <w:szCs w:val="24"/>
          <w:lang w:val="en-US"/>
        </w:rPr>
        <w:t xml:space="preserve"> (</w:t>
      </w:r>
      <w:r w:rsidR="00F4226B">
        <w:rPr>
          <w:rFonts w:ascii="Times New Roman" w:hAnsi="Times New Roman"/>
          <w:sz w:val="24"/>
          <w:szCs w:val="24"/>
          <w:lang w:val="en-US"/>
        </w:rPr>
        <w:t xml:space="preserve">i.e., </w:t>
      </w:r>
      <w:r w:rsidR="00D810EC" w:rsidRPr="00F4226B">
        <w:rPr>
          <w:rFonts w:ascii="Times New Roman" w:hAnsi="Times New Roman"/>
          <w:sz w:val="24"/>
          <w:szCs w:val="24"/>
          <w:lang w:val="en-US"/>
        </w:rPr>
        <w:t>HC and IA amounts)</w:t>
      </w:r>
      <w:r w:rsidRPr="00F4226B">
        <w:rPr>
          <w:rFonts w:ascii="Times New Roman" w:hAnsi="Times New Roman"/>
          <w:sz w:val="24"/>
          <w:szCs w:val="24"/>
          <w:lang w:val="en-US"/>
        </w:rPr>
        <w:t>.</w:t>
      </w:r>
      <w:r w:rsidR="002F4690" w:rsidRPr="00F4226B">
        <w:rPr>
          <w:rFonts w:ascii="Times New Roman" w:hAnsi="Times New Roman"/>
          <w:sz w:val="24"/>
          <w:szCs w:val="24"/>
          <w:lang w:val="en-US"/>
        </w:rPr>
        <w:t xml:space="preserve"> We also contribute</w:t>
      </w:r>
      <w:r w:rsidR="0078405D" w:rsidRPr="00F4226B">
        <w:rPr>
          <w:rFonts w:ascii="Times New Roman" w:hAnsi="Times New Roman"/>
          <w:sz w:val="24"/>
          <w:szCs w:val="24"/>
          <w:lang w:val="en-US"/>
        </w:rPr>
        <w:t xml:space="preserve"> to </w:t>
      </w:r>
      <w:r w:rsidR="00B32B6E">
        <w:rPr>
          <w:rFonts w:ascii="Times New Roman" w:hAnsi="Times New Roman"/>
          <w:sz w:val="24"/>
          <w:szCs w:val="24"/>
          <w:lang w:val="en-US"/>
        </w:rPr>
        <w:t xml:space="preserve">the </w:t>
      </w:r>
      <w:r w:rsidR="0078405D" w:rsidRPr="00F4226B">
        <w:rPr>
          <w:rFonts w:ascii="Times New Roman" w:hAnsi="Times New Roman"/>
          <w:sz w:val="24"/>
          <w:szCs w:val="24"/>
          <w:lang w:val="en-US"/>
        </w:rPr>
        <w:t>inflation accounting literature by showing that IA amounts are value relevant</w:t>
      </w:r>
      <w:r w:rsidR="00A82995">
        <w:rPr>
          <w:rFonts w:ascii="Times New Roman" w:hAnsi="Times New Roman"/>
          <w:sz w:val="24"/>
          <w:szCs w:val="24"/>
          <w:lang w:val="en-US"/>
        </w:rPr>
        <w:t>,</w:t>
      </w:r>
      <w:r w:rsidR="0078405D" w:rsidRPr="00F4226B">
        <w:rPr>
          <w:rFonts w:ascii="Times New Roman" w:hAnsi="Times New Roman"/>
          <w:sz w:val="24"/>
          <w:szCs w:val="24"/>
          <w:lang w:val="en-US"/>
        </w:rPr>
        <w:t xml:space="preserve"> even in relatively low inflation</w:t>
      </w:r>
      <w:r w:rsidR="00A82995">
        <w:rPr>
          <w:rFonts w:ascii="Times New Roman" w:hAnsi="Times New Roman"/>
          <w:sz w:val="24"/>
          <w:szCs w:val="24"/>
          <w:lang w:val="en-US"/>
        </w:rPr>
        <w:t>,</w:t>
      </w:r>
      <w:r w:rsidR="0078405D" w:rsidRPr="00F4226B">
        <w:rPr>
          <w:rFonts w:ascii="Times New Roman" w:hAnsi="Times New Roman"/>
          <w:sz w:val="24"/>
          <w:szCs w:val="24"/>
          <w:lang w:val="en-US"/>
        </w:rPr>
        <w:t xml:space="preserve"> and that the value relevance of IA amounts increases with inflation rates. Our work also informs the </w:t>
      </w:r>
      <w:r w:rsidR="00366ABD" w:rsidRPr="00F4226B">
        <w:rPr>
          <w:rFonts w:ascii="Times New Roman" w:hAnsi="Times New Roman"/>
          <w:sz w:val="24"/>
          <w:szCs w:val="24"/>
          <w:lang w:val="en-US"/>
        </w:rPr>
        <w:t xml:space="preserve">recent growing research on macro-accounting </w:t>
      </w:r>
      <w:r w:rsidR="00FD146D" w:rsidRPr="00F4226B">
        <w:rPr>
          <w:rFonts w:ascii="Times New Roman" w:hAnsi="Times New Roman"/>
          <w:sz w:val="24"/>
          <w:szCs w:val="24"/>
          <w:lang w:val="en-US"/>
        </w:rPr>
        <w:t xml:space="preserve">by </w:t>
      </w:r>
      <w:r w:rsidR="00366ABD" w:rsidRPr="00F4226B">
        <w:rPr>
          <w:rFonts w:ascii="Times New Roman" w:hAnsi="Times New Roman"/>
          <w:sz w:val="24"/>
          <w:szCs w:val="24"/>
          <w:lang w:val="en-US"/>
        </w:rPr>
        <w:t>provid</w:t>
      </w:r>
      <w:r w:rsidR="00FD146D" w:rsidRPr="00F4226B">
        <w:rPr>
          <w:rFonts w:ascii="Times New Roman" w:hAnsi="Times New Roman"/>
          <w:sz w:val="24"/>
          <w:szCs w:val="24"/>
          <w:lang w:val="en-US"/>
        </w:rPr>
        <w:t>ing</w:t>
      </w:r>
      <w:r w:rsidR="00366ABD" w:rsidRPr="00F4226B">
        <w:rPr>
          <w:rFonts w:ascii="Times New Roman" w:hAnsi="Times New Roman"/>
          <w:sz w:val="24"/>
          <w:szCs w:val="24"/>
          <w:lang w:val="en-US"/>
        </w:rPr>
        <w:t xml:space="preserve"> evidence on </w:t>
      </w:r>
      <w:r w:rsidR="00366ABD" w:rsidRPr="00F4226B">
        <w:rPr>
          <w:rFonts w:ascii="Times New Roman" w:hAnsi="Times New Roman"/>
          <w:sz w:val="24"/>
          <w:szCs w:val="24"/>
          <w:lang w:val="en-US"/>
        </w:rPr>
        <w:lastRenderedPageBreak/>
        <w:t xml:space="preserve">whether inflation information in earnings and </w:t>
      </w:r>
      <w:r w:rsidR="0048320E" w:rsidRPr="00F4226B">
        <w:rPr>
          <w:rFonts w:ascii="Times New Roman" w:hAnsi="Times New Roman"/>
          <w:sz w:val="24"/>
          <w:szCs w:val="24"/>
          <w:lang w:val="en-US"/>
        </w:rPr>
        <w:t xml:space="preserve">equity </w:t>
      </w:r>
      <w:r w:rsidR="00366ABD" w:rsidRPr="00F4226B">
        <w:rPr>
          <w:rFonts w:ascii="Times New Roman" w:hAnsi="Times New Roman"/>
          <w:sz w:val="24"/>
          <w:szCs w:val="24"/>
          <w:lang w:val="en-US"/>
        </w:rPr>
        <w:t>book values at the firm</w:t>
      </w:r>
      <w:r w:rsidR="00B32B6E">
        <w:rPr>
          <w:rFonts w:ascii="Times New Roman" w:hAnsi="Times New Roman"/>
          <w:sz w:val="24"/>
          <w:szCs w:val="24"/>
          <w:lang w:val="en-US"/>
        </w:rPr>
        <w:t xml:space="preserve"> </w:t>
      </w:r>
      <w:r w:rsidR="00366ABD" w:rsidRPr="00F4226B">
        <w:rPr>
          <w:rFonts w:ascii="Times New Roman" w:hAnsi="Times New Roman"/>
          <w:sz w:val="24"/>
          <w:szCs w:val="24"/>
          <w:lang w:val="en-US"/>
        </w:rPr>
        <w:t xml:space="preserve">level relates to stock returns and </w:t>
      </w:r>
      <w:r w:rsidR="00FD146D" w:rsidRPr="00F4226B">
        <w:rPr>
          <w:rFonts w:ascii="Times New Roman" w:hAnsi="Times New Roman"/>
          <w:sz w:val="24"/>
          <w:szCs w:val="24"/>
          <w:lang w:val="en-US"/>
        </w:rPr>
        <w:t>p</w:t>
      </w:r>
      <w:r w:rsidR="00366ABD" w:rsidRPr="00F4226B">
        <w:rPr>
          <w:rFonts w:ascii="Times New Roman" w:hAnsi="Times New Roman"/>
          <w:sz w:val="24"/>
          <w:szCs w:val="24"/>
          <w:lang w:val="en-US"/>
        </w:rPr>
        <w:t xml:space="preserve">rices. </w:t>
      </w:r>
    </w:p>
    <w:p w14:paraId="5DE51BFC" w14:textId="5581228B" w:rsidR="00045A41" w:rsidRPr="00F4226B" w:rsidRDefault="00D17030" w:rsidP="003B13CE">
      <w:pPr>
        <w:spacing w:line="360" w:lineRule="auto"/>
        <w:ind w:firstLine="284"/>
        <w:jc w:val="both"/>
        <w:rPr>
          <w:rFonts w:ascii="Times New Roman" w:hAnsi="Times New Roman"/>
          <w:sz w:val="24"/>
          <w:szCs w:val="24"/>
          <w:lang w:val="en-US"/>
        </w:rPr>
      </w:pPr>
      <w:r w:rsidRPr="00F4226B">
        <w:rPr>
          <w:rFonts w:ascii="Times New Roman" w:hAnsi="Times New Roman"/>
          <w:sz w:val="24"/>
          <w:szCs w:val="24"/>
          <w:lang w:val="en-US"/>
        </w:rPr>
        <w:t xml:space="preserve">Finally, our findings contribute considerably to debates relating to appropriate inflation accounting policies in inflationary environments. </w:t>
      </w:r>
      <w:r w:rsidR="00903743" w:rsidRPr="00F4226B">
        <w:rPr>
          <w:rFonts w:ascii="Times New Roman" w:hAnsi="Times New Roman"/>
          <w:sz w:val="24"/>
          <w:szCs w:val="24"/>
          <w:lang w:val="en-US"/>
        </w:rPr>
        <w:t xml:space="preserve">This is particularly relevant because many countries, especially in the developing world, experience very high inflation </w:t>
      </w:r>
      <w:r w:rsidR="00EC6DD8" w:rsidRPr="00F4226B">
        <w:rPr>
          <w:rFonts w:ascii="Times New Roman" w:hAnsi="Times New Roman"/>
          <w:sz w:val="24"/>
          <w:szCs w:val="24"/>
          <w:lang w:val="en-US"/>
        </w:rPr>
        <w:t>(</w:t>
      </w:r>
      <w:r w:rsidR="00903743" w:rsidRPr="00F4226B">
        <w:rPr>
          <w:rFonts w:ascii="Times New Roman" w:hAnsi="Times New Roman"/>
          <w:sz w:val="24"/>
          <w:szCs w:val="24"/>
          <w:lang w:val="en-US"/>
        </w:rPr>
        <w:t>see Gordon 2001; Chamisa 2007; American Institute of Certified Public Accountants 2010</w:t>
      </w:r>
      <w:r w:rsidR="00EC6DD8" w:rsidRPr="00F4226B">
        <w:rPr>
          <w:rFonts w:ascii="Times New Roman" w:hAnsi="Times New Roman"/>
          <w:sz w:val="24"/>
          <w:szCs w:val="24"/>
          <w:lang w:val="en-US"/>
        </w:rPr>
        <w:t>)</w:t>
      </w:r>
      <w:r w:rsidR="00903743" w:rsidRPr="00F4226B">
        <w:rPr>
          <w:rFonts w:ascii="Times New Roman" w:hAnsi="Times New Roman"/>
          <w:sz w:val="24"/>
          <w:szCs w:val="24"/>
          <w:lang w:val="en-US"/>
        </w:rPr>
        <w:t xml:space="preserve">. </w:t>
      </w:r>
      <w:r w:rsidRPr="00F4226B">
        <w:rPr>
          <w:rFonts w:ascii="Times New Roman" w:hAnsi="Times New Roman"/>
          <w:sz w:val="24"/>
          <w:szCs w:val="24"/>
          <w:lang w:val="en-US"/>
        </w:rPr>
        <w:t>I</w:t>
      </w:r>
      <w:r w:rsidR="00DA6C56" w:rsidRPr="00F4226B">
        <w:rPr>
          <w:rFonts w:ascii="Times New Roman" w:hAnsi="Times New Roman"/>
          <w:sz w:val="24"/>
          <w:szCs w:val="24"/>
          <w:lang w:val="en-US"/>
        </w:rPr>
        <w:t xml:space="preserve">n particular, policymakers </w:t>
      </w:r>
      <w:r w:rsidR="00F4226B">
        <w:rPr>
          <w:rFonts w:ascii="Times New Roman" w:hAnsi="Times New Roman"/>
          <w:sz w:val="24"/>
          <w:szCs w:val="24"/>
          <w:lang w:val="en-US"/>
        </w:rPr>
        <w:t>such as</w:t>
      </w:r>
      <w:r w:rsidR="00903743" w:rsidRPr="00F4226B">
        <w:rPr>
          <w:rFonts w:ascii="Times New Roman" w:hAnsi="Times New Roman"/>
          <w:sz w:val="24"/>
          <w:szCs w:val="24"/>
          <w:lang w:val="en-US"/>
        </w:rPr>
        <w:t xml:space="preserve"> the IASB </w:t>
      </w:r>
      <w:r w:rsidR="00DA6C56" w:rsidRPr="00F4226B">
        <w:rPr>
          <w:rFonts w:ascii="Times New Roman" w:hAnsi="Times New Roman"/>
          <w:sz w:val="24"/>
          <w:szCs w:val="24"/>
          <w:lang w:val="en-US"/>
        </w:rPr>
        <w:t>m</w:t>
      </w:r>
      <w:r w:rsidR="00050496" w:rsidRPr="00F4226B">
        <w:rPr>
          <w:rFonts w:ascii="Times New Roman" w:hAnsi="Times New Roman"/>
          <w:sz w:val="24"/>
          <w:szCs w:val="24"/>
          <w:lang w:val="en-US"/>
        </w:rPr>
        <w:t>ay</w:t>
      </w:r>
      <w:r w:rsidR="00DA6C56" w:rsidRPr="00F4226B">
        <w:rPr>
          <w:rFonts w:ascii="Times New Roman" w:hAnsi="Times New Roman"/>
          <w:sz w:val="24"/>
          <w:szCs w:val="24"/>
          <w:lang w:val="en-US"/>
        </w:rPr>
        <w:t xml:space="preserve"> want to consider requiring or encouraging firms operating in hyperinflationary economies to publish </w:t>
      </w:r>
      <w:r w:rsidR="00DA6C56" w:rsidRPr="00F4226B">
        <w:rPr>
          <w:rFonts w:ascii="Times New Roman" w:hAnsi="Times New Roman"/>
          <w:i/>
          <w:sz w:val="24"/>
          <w:szCs w:val="24"/>
          <w:lang w:val="en-US"/>
        </w:rPr>
        <w:t>both</w:t>
      </w:r>
      <w:r w:rsidR="00DA6C56" w:rsidRPr="00F4226B">
        <w:rPr>
          <w:rFonts w:ascii="Times New Roman" w:hAnsi="Times New Roman"/>
          <w:sz w:val="24"/>
          <w:szCs w:val="24"/>
          <w:lang w:val="en-US"/>
        </w:rPr>
        <w:t xml:space="preserve"> HC and IA financial statements</w:t>
      </w:r>
      <w:r w:rsidR="003F4637" w:rsidRPr="00F4226B">
        <w:rPr>
          <w:rFonts w:ascii="Times New Roman" w:hAnsi="Times New Roman"/>
          <w:sz w:val="24"/>
          <w:szCs w:val="24"/>
          <w:lang w:val="en-US"/>
        </w:rPr>
        <w:t xml:space="preserve">. </w:t>
      </w:r>
      <w:r w:rsidR="00903743" w:rsidRPr="00F4226B">
        <w:rPr>
          <w:rFonts w:ascii="Times New Roman" w:hAnsi="Times New Roman"/>
          <w:sz w:val="24"/>
          <w:szCs w:val="24"/>
          <w:lang w:val="en-US"/>
        </w:rPr>
        <w:t xml:space="preserve">We offer a number of reasons for this suggestion. First, </w:t>
      </w:r>
      <w:r w:rsidR="00D53EC9" w:rsidRPr="00F4226B">
        <w:rPr>
          <w:rFonts w:ascii="Times New Roman" w:hAnsi="Times New Roman"/>
          <w:sz w:val="24"/>
          <w:szCs w:val="24"/>
          <w:lang w:val="en-US"/>
        </w:rPr>
        <w:t xml:space="preserve">overall, the evidence (including </w:t>
      </w:r>
      <w:r w:rsidR="0045182E">
        <w:rPr>
          <w:rFonts w:ascii="Times New Roman" w:hAnsi="Times New Roman"/>
          <w:sz w:val="24"/>
          <w:szCs w:val="24"/>
          <w:lang w:val="en-US"/>
        </w:rPr>
        <w:t>that from</w:t>
      </w:r>
      <w:r w:rsidR="0045182E" w:rsidRPr="00F4226B">
        <w:rPr>
          <w:rFonts w:ascii="Times New Roman" w:hAnsi="Times New Roman"/>
          <w:sz w:val="24"/>
          <w:szCs w:val="24"/>
          <w:lang w:val="en-US"/>
        </w:rPr>
        <w:t xml:space="preserve"> </w:t>
      </w:r>
      <w:r w:rsidR="00903743" w:rsidRPr="00F4226B">
        <w:rPr>
          <w:rFonts w:ascii="Times New Roman" w:hAnsi="Times New Roman"/>
          <w:sz w:val="24"/>
          <w:szCs w:val="24"/>
          <w:lang w:val="en-US"/>
        </w:rPr>
        <w:t>previous studies</w:t>
      </w:r>
      <w:r w:rsidR="00570230" w:rsidRPr="00F4226B">
        <w:rPr>
          <w:rFonts w:ascii="Times New Roman" w:hAnsi="Times New Roman"/>
          <w:sz w:val="24"/>
          <w:szCs w:val="24"/>
          <w:lang w:val="en-US"/>
        </w:rPr>
        <w:t>)</w:t>
      </w:r>
      <w:r w:rsidR="00903743" w:rsidRPr="00F4226B">
        <w:rPr>
          <w:rFonts w:ascii="Times New Roman" w:hAnsi="Times New Roman"/>
          <w:sz w:val="24"/>
          <w:szCs w:val="24"/>
          <w:lang w:val="en-US"/>
        </w:rPr>
        <w:t xml:space="preserve"> </w:t>
      </w:r>
      <w:r w:rsidR="00585152" w:rsidRPr="00F4226B">
        <w:rPr>
          <w:rFonts w:ascii="Times New Roman" w:hAnsi="Times New Roman"/>
          <w:sz w:val="24"/>
          <w:szCs w:val="24"/>
          <w:lang w:val="en-US"/>
        </w:rPr>
        <w:t>demon</w:t>
      </w:r>
      <w:r w:rsidR="00570230" w:rsidRPr="00F4226B">
        <w:rPr>
          <w:rFonts w:ascii="Times New Roman" w:hAnsi="Times New Roman"/>
          <w:sz w:val="24"/>
          <w:szCs w:val="24"/>
          <w:lang w:val="en-US"/>
        </w:rPr>
        <w:t>strate</w:t>
      </w:r>
      <w:r w:rsidR="00D53EC9" w:rsidRPr="00F4226B">
        <w:rPr>
          <w:rFonts w:ascii="Times New Roman" w:hAnsi="Times New Roman"/>
          <w:sz w:val="24"/>
          <w:szCs w:val="24"/>
          <w:lang w:val="en-US"/>
        </w:rPr>
        <w:t>s</w:t>
      </w:r>
      <w:r w:rsidR="00570230" w:rsidRPr="00F4226B">
        <w:rPr>
          <w:rFonts w:ascii="Times New Roman" w:hAnsi="Times New Roman"/>
          <w:sz w:val="24"/>
          <w:szCs w:val="24"/>
          <w:lang w:val="en-US"/>
        </w:rPr>
        <w:t xml:space="preserve"> that </w:t>
      </w:r>
      <w:r w:rsidR="00570230" w:rsidRPr="00F4226B">
        <w:rPr>
          <w:rFonts w:ascii="Times New Roman" w:hAnsi="Times New Roman"/>
          <w:i/>
          <w:sz w:val="24"/>
          <w:szCs w:val="24"/>
          <w:lang w:val="en-US"/>
        </w:rPr>
        <w:t>both</w:t>
      </w:r>
      <w:r w:rsidR="00570230" w:rsidRPr="00F4226B">
        <w:rPr>
          <w:rFonts w:ascii="Times New Roman" w:hAnsi="Times New Roman"/>
          <w:sz w:val="24"/>
          <w:szCs w:val="24"/>
          <w:lang w:val="en-US"/>
        </w:rPr>
        <w:t xml:space="preserve"> HC and IA amounts are value relevant. Second, p</w:t>
      </w:r>
      <w:r w:rsidR="003F4637" w:rsidRPr="00F4226B">
        <w:rPr>
          <w:rFonts w:ascii="Times New Roman" w:hAnsi="Times New Roman"/>
          <w:sz w:val="24"/>
          <w:szCs w:val="24"/>
          <w:lang w:val="en-US"/>
        </w:rPr>
        <w:t xml:space="preserve">ermitting both </w:t>
      </w:r>
      <w:r w:rsidR="00B05D47" w:rsidRPr="00F4226B">
        <w:rPr>
          <w:rFonts w:ascii="Times New Roman" w:hAnsi="Times New Roman"/>
          <w:sz w:val="24"/>
          <w:szCs w:val="24"/>
          <w:lang w:val="en-US"/>
        </w:rPr>
        <w:t>HC and IA financial statements</w:t>
      </w:r>
      <w:r w:rsidR="00050496" w:rsidRPr="00F4226B">
        <w:rPr>
          <w:rFonts w:ascii="Times New Roman" w:hAnsi="Times New Roman"/>
          <w:sz w:val="24"/>
          <w:szCs w:val="24"/>
          <w:lang w:val="en-US"/>
        </w:rPr>
        <w:t xml:space="preserve"> </w:t>
      </w:r>
      <w:r w:rsidR="003F4637" w:rsidRPr="00F4226B">
        <w:rPr>
          <w:rFonts w:ascii="Times New Roman" w:hAnsi="Times New Roman"/>
          <w:sz w:val="24"/>
          <w:szCs w:val="24"/>
          <w:lang w:val="en-US"/>
        </w:rPr>
        <w:t xml:space="preserve">will help firms support the information needs of </w:t>
      </w:r>
      <w:r w:rsidRPr="00F4226B">
        <w:rPr>
          <w:rFonts w:ascii="Times New Roman" w:hAnsi="Times New Roman"/>
          <w:sz w:val="24"/>
          <w:szCs w:val="24"/>
          <w:lang w:val="en-US"/>
        </w:rPr>
        <w:t xml:space="preserve">the </w:t>
      </w:r>
      <w:r w:rsidR="003F4637" w:rsidRPr="00F4226B">
        <w:rPr>
          <w:rFonts w:ascii="Times New Roman" w:hAnsi="Times New Roman"/>
          <w:sz w:val="24"/>
          <w:szCs w:val="24"/>
          <w:lang w:val="en-US"/>
        </w:rPr>
        <w:t xml:space="preserve">different </w:t>
      </w:r>
      <w:r w:rsidRPr="00F4226B">
        <w:rPr>
          <w:rFonts w:ascii="Times New Roman" w:hAnsi="Times New Roman"/>
          <w:sz w:val="24"/>
          <w:szCs w:val="24"/>
          <w:lang w:val="en-US"/>
        </w:rPr>
        <w:t xml:space="preserve">users of </w:t>
      </w:r>
      <w:r w:rsidR="0048320E" w:rsidRPr="00F4226B">
        <w:rPr>
          <w:rFonts w:ascii="Times New Roman" w:hAnsi="Times New Roman"/>
          <w:sz w:val="24"/>
          <w:szCs w:val="24"/>
          <w:lang w:val="en-US"/>
        </w:rPr>
        <w:lastRenderedPageBreak/>
        <w:t>financial statements</w:t>
      </w:r>
      <w:r w:rsidR="003F4637" w:rsidRPr="00F4226B">
        <w:rPr>
          <w:rFonts w:ascii="Times New Roman" w:hAnsi="Times New Roman"/>
          <w:sz w:val="24"/>
          <w:szCs w:val="24"/>
          <w:lang w:val="en-US"/>
        </w:rPr>
        <w:t>.</w:t>
      </w:r>
      <w:r w:rsidR="007148A6" w:rsidRPr="00F4226B">
        <w:rPr>
          <w:rFonts w:ascii="Times New Roman" w:hAnsi="Times New Roman"/>
          <w:sz w:val="24"/>
          <w:szCs w:val="24"/>
          <w:lang w:val="en-US"/>
        </w:rPr>
        <w:t xml:space="preserve"> </w:t>
      </w:r>
      <w:r w:rsidR="00B05D47" w:rsidRPr="00F4226B">
        <w:rPr>
          <w:rFonts w:ascii="Times New Roman" w:hAnsi="Times New Roman"/>
          <w:sz w:val="24"/>
          <w:szCs w:val="24"/>
          <w:lang w:val="en-US"/>
        </w:rPr>
        <w:t>Third,</w:t>
      </w:r>
      <w:r w:rsidR="00EB2808" w:rsidRPr="00F4226B">
        <w:rPr>
          <w:rFonts w:ascii="Times New Roman" w:hAnsi="Times New Roman"/>
          <w:sz w:val="24"/>
          <w:szCs w:val="24"/>
          <w:lang w:val="en-US"/>
        </w:rPr>
        <w:t xml:space="preserve"> given that (a) IA financial statements are complex, unfamiliar</w:t>
      </w:r>
      <w:r w:rsidR="00A82995">
        <w:rPr>
          <w:rFonts w:ascii="Times New Roman" w:hAnsi="Times New Roman"/>
          <w:sz w:val="24"/>
          <w:szCs w:val="24"/>
          <w:lang w:val="en-US"/>
        </w:rPr>
        <w:t>,</w:t>
      </w:r>
      <w:r w:rsidR="00EB2808" w:rsidRPr="00F4226B">
        <w:rPr>
          <w:rFonts w:ascii="Times New Roman" w:hAnsi="Times New Roman"/>
          <w:sz w:val="24"/>
          <w:szCs w:val="24"/>
          <w:lang w:val="en-US"/>
        </w:rPr>
        <w:t xml:space="preserve"> and difficult to </w:t>
      </w:r>
      <w:r w:rsidR="005F50D4" w:rsidRPr="00F4226B">
        <w:rPr>
          <w:rFonts w:ascii="Times New Roman" w:hAnsi="Times New Roman"/>
          <w:sz w:val="24"/>
          <w:szCs w:val="24"/>
          <w:lang w:val="en-US"/>
        </w:rPr>
        <w:t xml:space="preserve">understand and </w:t>
      </w:r>
      <w:r w:rsidR="00EB2808" w:rsidRPr="00F4226B">
        <w:rPr>
          <w:rFonts w:ascii="Times New Roman" w:hAnsi="Times New Roman"/>
          <w:sz w:val="24"/>
          <w:szCs w:val="24"/>
          <w:lang w:val="en-US"/>
        </w:rPr>
        <w:t>interpret</w:t>
      </w:r>
      <w:r w:rsidR="005F50D4" w:rsidRPr="00F4226B">
        <w:rPr>
          <w:rFonts w:ascii="Times New Roman" w:hAnsi="Times New Roman"/>
          <w:sz w:val="24"/>
          <w:szCs w:val="24"/>
          <w:lang w:val="en-US"/>
        </w:rPr>
        <w:t xml:space="preserve"> (Beaver and Landsman 1983)</w:t>
      </w:r>
      <w:r w:rsidR="00EB2808" w:rsidRPr="00F4226B">
        <w:rPr>
          <w:rFonts w:ascii="Times New Roman" w:hAnsi="Times New Roman"/>
          <w:sz w:val="24"/>
          <w:szCs w:val="24"/>
          <w:lang w:val="en-US"/>
        </w:rPr>
        <w:t xml:space="preserve"> and (b) users require time to learn how to use </w:t>
      </w:r>
      <w:r w:rsidR="005F50D4" w:rsidRPr="00F4226B">
        <w:rPr>
          <w:rFonts w:ascii="Times New Roman" w:hAnsi="Times New Roman"/>
          <w:sz w:val="24"/>
          <w:szCs w:val="24"/>
          <w:lang w:val="en-US"/>
        </w:rPr>
        <w:t>IA data</w:t>
      </w:r>
      <w:r w:rsidR="00EB2808" w:rsidRPr="00F4226B">
        <w:rPr>
          <w:rFonts w:ascii="Times New Roman" w:hAnsi="Times New Roman"/>
          <w:sz w:val="24"/>
          <w:szCs w:val="24"/>
          <w:lang w:val="en-US"/>
        </w:rPr>
        <w:t>, we contend that publi</w:t>
      </w:r>
      <w:r w:rsidR="00C64E56" w:rsidRPr="00F4226B">
        <w:rPr>
          <w:rFonts w:ascii="Times New Roman" w:hAnsi="Times New Roman"/>
          <w:sz w:val="24"/>
          <w:szCs w:val="24"/>
          <w:lang w:val="en-US"/>
        </w:rPr>
        <w:t>shing</w:t>
      </w:r>
      <w:r w:rsidR="00EB2808" w:rsidRPr="00F4226B">
        <w:rPr>
          <w:rFonts w:ascii="Times New Roman" w:hAnsi="Times New Roman"/>
          <w:sz w:val="24"/>
          <w:szCs w:val="24"/>
          <w:lang w:val="en-US"/>
        </w:rPr>
        <w:t xml:space="preserve"> both HC and IA </w:t>
      </w:r>
      <w:r w:rsidR="005F50D4" w:rsidRPr="00F4226B">
        <w:rPr>
          <w:rFonts w:ascii="Times New Roman" w:hAnsi="Times New Roman"/>
          <w:sz w:val="24"/>
          <w:szCs w:val="24"/>
          <w:lang w:val="en-US"/>
        </w:rPr>
        <w:t xml:space="preserve">financial </w:t>
      </w:r>
      <w:r w:rsidR="00EB2808" w:rsidRPr="00F4226B">
        <w:rPr>
          <w:rFonts w:ascii="Times New Roman" w:hAnsi="Times New Roman"/>
          <w:sz w:val="24"/>
          <w:szCs w:val="24"/>
          <w:lang w:val="en-US"/>
        </w:rPr>
        <w:t>statements</w:t>
      </w:r>
      <w:r w:rsidR="00C64E56" w:rsidRPr="00F4226B">
        <w:rPr>
          <w:rFonts w:ascii="Times New Roman" w:hAnsi="Times New Roman"/>
          <w:sz w:val="24"/>
          <w:szCs w:val="24"/>
          <w:lang w:val="en-US"/>
        </w:rPr>
        <w:t xml:space="preserve"> would facilitate </w:t>
      </w:r>
      <w:r w:rsidR="0045182E">
        <w:rPr>
          <w:rFonts w:ascii="Times New Roman" w:hAnsi="Times New Roman"/>
          <w:sz w:val="24"/>
          <w:szCs w:val="24"/>
          <w:lang w:val="en-US"/>
        </w:rPr>
        <w:t>a</w:t>
      </w:r>
      <w:r w:rsidR="0045182E" w:rsidRPr="00F4226B">
        <w:rPr>
          <w:rFonts w:ascii="Times New Roman" w:hAnsi="Times New Roman"/>
          <w:sz w:val="24"/>
          <w:szCs w:val="24"/>
          <w:lang w:val="en-US"/>
        </w:rPr>
        <w:t xml:space="preserve"> </w:t>
      </w:r>
      <w:r w:rsidR="00C64E56" w:rsidRPr="00F4226B">
        <w:rPr>
          <w:rFonts w:ascii="Times New Roman" w:hAnsi="Times New Roman"/>
          <w:sz w:val="24"/>
          <w:szCs w:val="24"/>
          <w:lang w:val="en-US"/>
        </w:rPr>
        <w:t>learning effect. This is because</w:t>
      </w:r>
      <w:r w:rsidR="00A82995">
        <w:rPr>
          <w:rFonts w:ascii="Times New Roman" w:hAnsi="Times New Roman"/>
          <w:sz w:val="24"/>
          <w:szCs w:val="24"/>
          <w:lang w:val="en-US"/>
        </w:rPr>
        <w:t>,</w:t>
      </w:r>
      <w:r w:rsidR="00C64E56" w:rsidRPr="00F4226B">
        <w:rPr>
          <w:rFonts w:ascii="Times New Roman" w:hAnsi="Times New Roman"/>
          <w:sz w:val="24"/>
          <w:szCs w:val="24"/>
          <w:lang w:val="en-US"/>
        </w:rPr>
        <w:t xml:space="preserve"> </w:t>
      </w:r>
      <w:r w:rsidR="00545675" w:rsidRPr="00F4226B">
        <w:rPr>
          <w:rFonts w:ascii="Times New Roman" w:hAnsi="Times New Roman"/>
          <w:sz w:val="24"/>
          <w:szCs w:val="24"/>
          <w:lang w:val="en-US"/>
        </w:rPr>
        <w:t xml:space="preserve">with the two statements, </w:t>
      </w:r>
      <w:r w:rsidR="00C64E56" w:rsidRPr="00F4226B">
        <w:rPr>
          <w:rFonts w:ascii="Times New Roman" w:hAnsi="Times New Roman"/>
          <w:sz w:val="24"/>
          <w:szCs w:val="24"/>
          <w:lang w:val="en-US"/>
        </w:rPr>
        <w:t>users are readily able to assess the impact of inflation on the familiar HC statements.</w:t>
      </w:r>
      <w:r w:rsidR="00EB2808" w:rsidRPr="00F4226B">
        <w:rPr>
          <w:rFonts w:ascii="Times New Roman" w:hAnsi="Times New Roman"/>
          <w:sz w:val="24"/>
          <w:szCs w:val="24"/>
          <w:lang w:val="en-US"/>
        </w:rPr>
        <w:t xml:space="preserve"> </w:t>
      </w:r>
      <w:r w:rsidR="00F650EA" w:rsidRPr="00F4226B">
        <w:rPr>
          <w:rFonts w:ascii="Times New Roman" w:hAnsi="Times New Roman"/>
          <w:sz w:val="24"/>
          <w:szCs w:val="24"/>
          <w:lang w:val="en-US"/>
        </w:rPr>
        <w:t>Finally, g</w:t>
      </w:r>
      <w:r w:rsidR="00DA6C56" w:rsidRPr="00F4226B">
        <w:rPr>
          <w:rFonts w:ascii="Times New Roman" w:hAnsi="Times New Roman"/>
          <w:sz w:val="24"/>
          <w:szCs w:val="24"/>
          <w:lang w:val="en-US"/>
        </w:rPr>
        <w:t>iven the Zimbabwean experience, we consider that</w:t>
      </w:r>
      <w:r w:rsidR="00A82995">
        <w:rPr>
          <w:rFonts w:ascii="Times New Roman" w:hAnsi="Times New Roman"/>
          <w:sz w:val="24"/>
          <w:szCs w:val="24"/>
          <w:lang w:val="en-US"/>
        </w:rPr>
        <w:t>,</w:t>
      </w:r>
      <w:r w:rsidR="005912B3" w:rsidRPr="00F4226B">
        <w:rPr>
          <w:rFonts w:ascii="Times New Roman" w:hAnsi="Times New Roman"/>
          <w:sz w:val="24"/>
          <w:szCs w:val="24"/>
          <w:lang w:val="en-US"/>
        </w:rPr>
        <w:t xml:space="preserve"> in a hyperinflationary economy,</w:t>
      </w:r>
      <w:r w:rsidR="00DA6C56" w:rsidRPr="00F4226B">
        <w:rPr>
          <w:rFonts w:ascii="Times New Roman" w:hAnsi="Times New Roman"/>
          <w:sz w:val="24"/>
          <w:szCs w:val="24"/>
          <w:lang w:val="en-US"/>
        </w:rPr>
        <w:t xml:space="preserve"> the incremental costs of publishing both </w:t>
      </w:r>
      <w:r w:rsidR="00EF3E29">
        <w:rPr>
          <w:rFonts w:ascii="Times New Roman" w:hAnsi="Times New Roman"/>
          <w:sz w:val="24"/>
          <w:szCs w:val="24"/>
          <w:lang w:val="en-US"/>
        </w:rPr>
        <w:t>financial statements</w:t>
      </w:r>
      <w:r w:rsidR="00DA6C56" w:rsidRPr="00F4226B">
        <w:rPr>
          <w:rFonts w:ascii="Times New Roman" w:hAnsi="Times New Roman"/>
          <w:sz w:val="24"/>
          <w:szCs w:val="24"/>
          <w:lang w:val="en-US"/>
        </w:rPr>
        <w:t xml:space="preserve"> are potentially less than the benefits</w:t>
      </w:r>
      <w:r w:rsidR="0045182E">
        <w:rPr>
          <w:rFonts w:ascii="Times New Roman" w:hAnsi="Times New Roman"/>
          <w:sz w:val="24"/>
          <w:szCs w:val="24"/>
          <w:lang w:val="en-US"/>
        </w:rPr>
        <w:t>;</w:t>
      </w:r>
      <w:r w:rsidR="0045182E" w:rsidRPr="00F4226B">
        <w:rPr>
          <w:rFonts w:ascii="Times New Roman" w:hAnsi="Times New Roman"/>
          <w:sz w:val="24"/>
          <w:szCs w:val="24"/>
          <w:lang w:val="en-US"/>
        </w:rPr>
        <w:t xml:space="preserve"> </w:t>
      </w:r>
      <w:r w:rsidR="00DA6C56" w:rsidRPr="00F4226B">
        <w:rPr>
          <w:rFonts w:ascii="Times New Roman" w:hAnsi="Times New Roman"/>
          <w:sz w:val="24"/>
          <w:szCs w:val="24"/>
          <w:lang w:val="en-US"/>
        </w:rPr>
        <w:t>otherwise</w:t>
      </w:r>
      <w:r w:rsidR="0045182E">
        <w:rPr>
          <w:rFonts w:ascii="Times New Roman" w:hAnsi="Times New Roman"/>
          <w:sz w:val="24"/>
          <w:szCs w:val="24"/>
          <w:lang w:val="en-US"/>
        </w:rPr>
        <w:t>,</w:t>
      </w:r>
      <w:r w:rsidR="00DA6C56" w:rsidRPr="00F4226B">
        <w:rPr>
          <w:rFonts w:ascii="Times New Roman" w:hAnsi="Times New Roman"/>
          <w:sz w:val="24"/>
          <w:szCs w:val="24"/>
          <w:lang w:val="en-US"/>
        </w:rPr>
        <w:t xml:space="preserve"> the majority of complying firms would not have voluntarily published both. Indeed, as Konchitchki (2011) notes, to prepare IA financial statements, preparers must first have HC statements.</w:t>
      </w:r>
      <w:r w:rsidR="000A4FB6" w:rsidRPr="00F4226B">
        <w:rPr>
          <w:rStyle w:val="FootnoteReference"/>
          <w:rFonts w:ascii="Times New Roman" w:hAnsi="Times New Roman"/>
          <w:sz w:val="24"/>
          <w:szCs w:val="24"/>
          <w:lang w:val="en-US"/>
        </w:rPr>
        <w:footnoteReference w:id="13"/>
      </w:r>
      <w:r w:rsidR="003F4637" w:rsidRPr="00F4226B">
        <w:rPr>
          <w:rFonts w:ascii="Times New Roman" w:hAnsi="Times New Roman"/>
          <w:sz w:val="24"/>
          <w:szCs w:val="24"/>
          <w:lang w:val="en-US"/>
        </w:rPr>
        <w:t xml:space="preserve"> </w:t>
      </w:r>
      <w:r w:rsidR="00343200" w:rsidRPr="00F4226B">
        <w:rPr>
          <w:rFonts w:ascii="Times New Roman" w:hAnsi="Times New Roman"/>
          <w:sz w:val="24"/>
          <w:szCs w:val="24"/>
          <w:lang w:val="en-US"/>
        </w:rPr>
        <w:t xml:space="preserve">However, </w:t>
      </w:r>
      <w:r w:rsidR="00343200" w:rsidRPr="00F4226B">
        <w:rPr>
          <w:rFonts w:ascii="Times New Roman" w:hAnsi="Times New Roman"/>
          <w:sz w:val="24"/>
          <w:szCs w:val="24"/>
          <w:lang w:val="en-US"/>
        </w:rPr>
        <w:lastRenderedPageBreak/>
        <w:t xml:space="preserve">we urge caution in drawing conclusions about policy implications </w:t>
      </w:r>
      <w:r w:rsidR="00050496" w:rsidRPr="00F4226B">
        <w:rPr>
          <w:rFonts w:ascii="Times New Roman" w:hAnsi="Times New Roman"/>
          <w:sz w:val="24"/>
          <w:szCs w:val="24"/>
          <w:lang w:val="en-US"/>
        </w:rPr>
        <w:t xml:space="preserve">because policymakers consider </w:t>
      </w:r>
      <w:r w:rsidR="0045182E">
        <w:rPr>
          <w:rFonts w:ascii="Times New Roman" w:hAnsi="Times New Roman"/>
          <w:sz w:val="24"/>
          <w:szCs w:val="24"/>
          <w:lang w:val="en-US"/>
        </w:rPr>
        <w:t xml:space="preserve">information </w:t>
      </w:r>
      <w:r w:rsidR="00050496" w:rsidRPr="00F4226B">
        <w:rPr>
          <w:rFonts w:ascii="Times New Roman" w:hAnsi="Times New Roman"/>
          <w:sz w:val="24"/>
          <w:szCs w:val="24"/>
          <w:lang w:val="en-US"/>
        </w:rPr>
        <w:t xml:space="preserve">uses </w:t>
      </w:r>
      <w:r w:rsidR="0045182E">
        <w:rPr>
          <w:rFonts w:ascii="Times New Roman" w:hAnsi="Times New Roman"/>
          <w:sz w:val="24"/>
          <w:szCs w:val="24"/>
          <w:lang w:val="en-US"/>
        </w:rPr>
        <w:t xml:space="preserve">for purposes </w:t>
      </w:r>
      <w:r w:rsidR="00050496" w:rsidRPr="00F4226B">
        <w:rPr>
          <w:rFonts w:ascii="Times New Roman" w:hAnsi="Times New Roman"/>
          <w:sz w:val="24"/>
          <w:szCs w:val="24"/>
          <w:lang w:val="en-US"/>
        </w:rPr>
        <w:t xml:space="preserve">other than stock valuation </w:t>
      </w:r>
      <w:r w:rsidR="00343200" w:rsidRPr="00F4226B">
        <w:rPr>
          <w:rFonts w:ascii="Times New Roman" w:hAnsi="Times New Roman"/>
          <w:sz w:val="24"/>
          <w:szCs w:val="24"/>
          <w:lang w:val="en-US"/>
        </w:rPr>
        <w:t>(Holthausen and Watts 2001; Barth et al. 2001b).</w:t>
      </w:r>
    </w:p>
    <w:p w14:paraId="34F8ACF7" w14:textId="77777777" w:rsidR="00F16FB0" w:rsidRPr="00F4226B" w:rsidRDefault="00F16FB0" w:rsidP="003820D1">
      <w:pPr>
        <w:jc w:val="both"/>
        <w:outlineLvl w:val="0"/>
        <w:rPr>
          <w:b/>
          <w:sz w:val="24"/>
          <w:szCs w:val="24"/>
          <w:lang w:val="en-US"/>
        </w:rPr>
      </w:pPr>
    </w:p>
    <w:p w14:paraId="396F7E86" w14:textId="4F6BDFB7" w:rsidR="00A9000A" w:rsidRPr="00804A08" w:rsidRDefault="00A9000A" w:rsidP="003820D1">
      <w:pPr>
        <w:jc w:val="both"/>
        <w:outlineLvl w:val="0"/>
        <w:rPr>
          <w:rFonts w:ascii="Times New Roman" w:hAnsi="Times New Roman"/>
          <w:b/>
          <w:sz w:val="24"/>
          <w:szCs w:val="24"/>
          <w:lang w:val="en-US"/>
        </w:rPr>
      </w:pPr>
      <w:r w:rsidRPr="00804A08">
        <w:rPr>
          <w:rFonts w:ascii="Times New Roman" w:hAnsi="Times New Roman"/>
          <w:b/>
          <w:sz w:val="24"/>
          <w:szCs w:val="24"/>
          <w:lang w:val="en-US"/>
        </w:rPr>
        <w:t>References</w:t>
      </w:r>
      <w:r w:rsidR="00242D3E" w:rsidRPr="00804A08">
        <w:rPr>
          <w:rFonts w:ascii="Times New Roman" w:hAnsi="Times New Roman"/>
          <w:b/>
          <w:sz w:val="24"/>
          <w:szCs w:val="24"/>
          <w:lang w:val="en-US"/>
        </w:rPr>
        <w:t xml:space="preserve"> </w:t>
      </w:r>
    </w:p>
    <w:p w14:paraId="05559B59" w14:textId="77777777" w:rsidR="00D03D3B" w:rsidRPr="00F4226B" w:rsidRDefault="006C44E3"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African Development Bank (2007). Zimbabwe—Country Dialogue Paper.</w:t>
      </w:r>
    </w:p>
    <w:p w14:paraId="40354F71" w14:textId="4A398922" w:rsidR="006C44E3" w:rsidRPr="00F4226B" w:rsidRDefault="00DD4036" w:rsidP="00D03D3B">
      <w:pPr>
        <w:spacing w:after="0"/>
        <w:ind w:left="284"/>
        <w:jc w:val="both"/>
        <w:rPr>
          <w:rFonts w:ascii="Times New Roman" w:hAnsi="Times New Roman"/>
          <w:sz w:val="24"/>
          <w:szCs w:val="24"/>
          <w:lang w:val="en-US"/>
        </w:rPr>
      </w:pPr>
      <w:hyperlink r:id="rId7" w:history="1">
        <w:r w:rsidR="00D03D3B" w:rsidRPr="00F4226B">
          <w:rPr>
            <w:rStyle w:val="Hyperlink"/>
            <w:rFonts w:ascii="Times New Roman" w:hAnsi="Times New Roman"/>
            <w:sz w:val="24"/>
            <w:szCs w:val="24"/>
            <w:lang w:val="en-US"/>
          </w:rPr>
          <w:t xml:space="preserve">https://www.afdb.org/fileadmin/uploads/afdb/Documents/Project-and-Operations/ADB-BD-WP-2007-40-EN-ZIMBABWE-2007-COUNTRY-DIALOGUE-PAPER.PDF. Accessed </w:t>
        </w:r>
      </w:hyperlink>
      <w:r w:rsidR="00D03D3B" w:rsidRPr="00F4226B">
        <w:rPr>
          <w:rFonts w:ascii="Times New Roman" w:hAnsi="Times New Roman"/>
          <w:sz w:val="24"/>
          <w:szCs w:val="24"/>
          <w:lang w:val="en-US"/>
        </w:rPr>
        <w:t>March</w:t>
      </w:r>
      <w:r w:rsidR="00E53D27">
        <w:rPr>
          <w:rFonts w:ascii="Times New Roman" w:hAnsi="Times New Roman"/>
          <w:sz w:val="24"/>
          <w:szCs w:val="24"/>
          <w:lang w:val="en-US"/>
        </w:rPr>
        <w:t xml:space="preserve"> 9,</w:t>
      </w:r>
      <w:r w:rsidR="00D03D3B" w:rsidRPr="00F4226B">
        <w:rPr>
          <w:rFonts w:ascii="Times New Roman" w:hAnsi="Times New Roman"/>
          <w:sz w:val="24"/>
          <w:szCs w:val="24"/>
          <w:lang w:val="en-US"/>
        </w:rPr>
        <w:t xml:space="preserve"> 2017.</w:t>
      </w:r>
    </w:p>
    <w:p w14:paraId="58357F09" w14:textId="116F54A4" w:rsidR="00B80531" w:rsidRPr="00F4226B" w:rsidRDefault="00B80531"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American Institute of Certified Public Accountants. (2010). Monitoring inflation</w:t>
      </w:r>
      <w:r w:rsidR="00C4681C" w:rsidRPr="00F4226B">
        <w:rPr>
          <w:rFonts w:ascii="Times New Roman" w:hAnsi="Times New Roman"/>
          <w:sz w:val="24"/>
          <w:szCs w:val="24"/>
          <w:lang w:val="en-US"/>
        </w:rPr>
        <w:t xml:space="preserve"> status of certain countries. </w:t>
      </w:r>
      <w:r w:rsidR="00D151B6" w:rsidRPr="00F4226B">
        <w:rPr>
          <w:rFonts w:ascii="Times New Roman" w:hAnsi="Times New Roman"/>
          <w:sz w:val="24"/>
          <w:szCs w:val="24"/>
          <w:lang w:val="en-US"/>
        </w:rPr>
        <w:t>http</w:t>
      </w:r>
      <w:r w:rsidR="002C1D5B" w:rsidRPr="00F4226B">
        <w:rPr>
          <w:rFonts w:ascii="Times New Roman" w:hAnsi="Times New Roman"/>
          <w:sz w:val="24"/>
          <w:szCs w:val="24"/>
          <w:lang w:val="en-US"/>
        </w:rPr>
        <w:t>:</w:t>
      </w:r>
      <w:r w:rsidR="00D151B6" w:rsidRPr="00F4226B">
        <w:rPr>
          <w:rFonts w:ascii="Times New Roman" w:hAnsi="Times New Roman"/>
          <w:sz w:val="24"/>
          <w:szCs w:val="24"/>
          <w:lang w:val="en-US"/>
        </w:rPr>
        <w:t>//</w:t>
      </w:r>
      <w:hyperlink r:id="rId8" w:history="1">
        <w:r w:rsidR="00C4681C" w:rsidRPr="00F4226B">
          <w:rPr>
            <w:rStyle w:val="Hyperlink"/>
            <w:rFonts w:ascii="Times New Roman" w:hAnsi="Times New Roman"/>
            <w:color w:val="auto"/>
            <w:sz w:val="24"/>
            <w:szCs w:val="24"/>
            <w:lang w:val="en-US"/>
          </w:rPr>
          <w:t>www.aicpa.org</w:t>
        </w:r>
      </w:hyperlink>
      <w:r w:rsidR="00D151B6" w:rsidRPr="00F4226B">
        <w:rPr>
          <w:rFonts w:ascii="Times New Roman" w:hAnsi="Times New Roman"/>
          <w:sz w:val="24"/>
          <w:szCs w:val="24"/>
          <w:lang w:val="en-US"/>
        </w:rPr>
        <w:t xml:space="preserve">. </w:t>
      </w:r>
      <w:r w:rsidR="00C4681C" w:rsidRPr="00F4226B">
        <w:rPr>
          <w:rFonts w:ascii="Times New Roman" w:hAnsi="Times New Roman"/>
          <w:sz w:val="24"/>
          <w:szCs w:val="24"/>
          <w:lang w:val="en-US"/>
        </w:rPr>
        <w:t xml:space="preserve"> Accessed</w:t>
      </w:r>
      <w:r w:rsidR="00D151B6" w:rsidRPr="00F4226B">
        <w:rPr>
          <w:rFonts w:ascii="Times New Roman" w:hAnsi="Times New Roman"/>
          <w:sz w:val="24"/>
          <w:szCs w:val="24"/>
          <w:lang w:val="en-US"/>
        </w:rPr>
        <w:t xml:space="preserve"> </w:t>
      </w:r>
      <w:r w:rsidR="00C4681C" w:rsidRPr="00F4226B">
        <w:rPr>
          <w:rFonts w:ascii="Times New Roman" w:hAnsi="Times New Roman"/>
          <w:sz w:val="24"/>
          <w:szCs w:val="24"/>
          <w:lang w:val="en-US"/>
        </w:rPr>
        <w:t>January</w:t>
      </w:r>
      <w:r w:rsidR="00E53D27">
        <w:rPr>
          <w:rFonts w:ascii="Times New Roman" w:hAnsi="Times New Roman"/>
          <w:sz w:val="24"/>
          <w:szCs w:val="24"/>
          <w:lang w:val="en-US"/>
        </w:rPr>
        <w:t xml:space="preserve"> 18,</w:t>
      </w:r>
      <w:r w:rsidR="00C4681C" w:rsidRPr="00F4226B">
        <w:rPr>
          <w:rFonts w:ascii="Times New Roman" w:hAnsi="Times New Roman"/>
          <w:sz w:val="24"/>
          <w:szCs w:val="24"/>
          <w:lang w:val="en-US"/>
        </w:rPr>
        <w:t xml:space="preserve"> 2011.</w:t>
      </w:r>
    </w:p>
    <w:p w14:paraId="17576612" w14:textId="77777777" w:rsidR="007564E9" w:rsidRPr="00F4226B" w:rsidRDefault="0005795E" w:rsidP="004A4D70">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lastRenderedPageBreak/>
        <w:t>Appleyard, A.</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R</w:t>
      </w:r>
      <w:r w:rsidR="00C02D10" w:rsidRPr="00F4226B">
        <w:rPr>
          <w:rFonts w:ascii="Times New Roman" w:hAnsi="Times New Roman"/>
          <w:sz w:val="24"/>
          <w:szCs w:val="24"/>
          <w:lang w:val="en-US"/>
        </w:rPr>
        <w:t>.</w:t>
      </w:r>
      <w:r w:rsidR="00133915" w:rsidRPr="00F4226B">
        <w:rPr>
          <w:rFonts w:ascii="Times New Roman" w:hAnsi="Times New Roman"/>
          <w:sz w:val="24"/>
          <w:szCs w:val="24"/>
          <w:lang w:val="en-US"/>
        </w:rPr>
        <w:t>,</w:t>
      </w:r>
      <w:r w:rsidR="00C02D10" w:rsidRPr="00F4226B">
        <w:rPr>
          <w:rFonts w:ascii="Times New Roman" w:hAnsi="Times New Roman"/>
          <w:sz w:val="24"/>
          <w:szCs w:val="24"/>
          <w:lang w:val="en-US"/>
        </w:rPr>
        <w:t xml:space="preserve"> </w:t>
      </w:r>
      <w:r w:rsidR="00133915" w:rsidRPr="00F4226B">
        <w:rPr>
          <w:rFonts w:ascii="Times New Roman" w:hAnsi="Times New Roman"/>
          <w:sz w:val="24"/>
          <w:szCs w:val="24"/>
          <w:lang w:val="en-US"/>
        </w:rPr>
        <w:t>&amp;</w:t>
      </w:r>
      <w:r w:rsidR="00C02D10" w:rsidRPr="00F4226B">
        <w:rPr>
          <w:rFonts w:ascii="Times New Roman" w:hAnsi="Times New Roman"/>
          <w:sz w:val="24"/>
          <w:szCs w:val="24"/>
          <w:lang w:val="en-US"/>
        </w:rPr>
        <w:t xml:space="preserve"> Strong,</w:t>
      </w:r>
      <w:r w:rsidR="007564E9" w:rsidRPr="00F4226B">
        <w:rPr>
          <w:rFonts w:ascii="Times New Roman" w:hAnsi="Times New Roman"/>
          <w:sz w:val="24"/>
          <w:szCs w:val="24"/>
          <w:lang w:val="en-US"/>
        </w:rPr>
        <w:t xml:space="preserve"> N.</w:t>
      </w:r>
      <w:r w:rsidR="002831FB" w:rsidRPr="00F4226B">
        <w:rPr>
          <w:rFonts w:ascii="Times New Roman" w:hAnsi="Times New Roman"/>
          <w:sz w:val="24"/>
          <w:szCs w:val="24"/>
          <w:lang w:val="en-US"/>
        </w:rPr>
        <w:t xml:space="preserve"> </w:t>
      </w:r>
      <w:r w:rsidR="007564E9" w:rsidRPr="00F4226B">
        <w:rPr>
          <w:rFonts w:ascii="Times New Roman" w:hAnsi="Times New Roman"/>
          <w:sz w:val="24"/>
          <w:szCs w:val="24"/>
          <w:lang w:val="en-US"/>
        </w:rPr>
        <w:t>C. (1984). The impact of SSAP 16 current cost disclosures on security prices.</w:t>
      </w:r>
      <w:r w:rsidR="00C02D10" w:rsidRPr="00F4226B">
        <w:rPr>
          <w:rFonts w:ascii="Times New Roman" w:hAnsi="Times New Roman"/>
          <w:sz w:val="24"/>
          <w:szCs w:val="24"/>
          <w:lang w:val="en-US"/>
        </w:rPr>
        <w:t xml:space="preserve"> </w:t>
      </w:r>
      <w:r w:rsidR="007564E9" w:rsidRPr="00F4226B">
        <w:rPr>
          <w:rFonts w:ascii="Times New Roman" w:hAnsi="Times New Roman"/>
          <w:sz w:val="24"/>
          <w:szCs w:val="24"/>
          <w:lang w:val="en-US"/>
        </w:rPr>
        <w:t>In</w:t>
      </w:r>
      <w:r w:rsidR="00133915" w:rsidRPr="00F4226B">
        <w:rPr>
          <w:rFonts w:ascii="Times New Roman" w:hAnsi="Times New Roman"/>
          <w:sz w:val="24"/>
          <w:szCs w:val="24"/>
          <w:lang w:val="en-US"/>
        </w:rPr>
        <w:t xml:space="preserve"> B. Carsberg &amp; M. Page (Eds.),</w:t>
      </w:r>
      <w:r w:rsidR="007564E9" w:rsidRPr="00F4226B">
        <w:rPr>
          <w:rFonts w:ascii="Times New Roman" w:hAnsi="Times New Roman"/>
          <w:sz w:val="24"/>
          <w:szCs w:val="24"/>
          <w:lang w:val="en-US"/>
        </w:rPr>
        <w:t xml:space="preserve"> </w:t>
      </w:r>
      <w:r w:rsidR="007564E9" w:rsidRPr="00F4226B">
        <w:rPr>
          <w:rFonts w:ascii="Times New Roman" w:hAnsi="Times New Roman"/>
          <w:i/>
          <w:sz w:val="24"/>
          <w:szCs w:val="24"/>
          <w:lang w:val="en-US"/>
        </w:rPr>
        <w:t>Current cost accounting: The benefits and costs</w:t>
      </w:r>
      <w:r w:rsidR="007564E9" w:rsidRPr="00F4226B">
        <w:rPr>
          <w:rFonts w:ascii="Times New Roman" w:hAnsi="Times New Roman"/>
          <w:sz w:val="24"/>
          <w:szCs w:val="24"/>
          <w:lang w:val="en-US"/>
        </w:rPr>
        <w:t xml:space="preserve"> </w:t>
      </w:r>
      <w:r w:rsidR="00FE55D4" w:rsidRPr="00F4226B">
        <w:rPr>
          <w:rFonts w:ascii="Times New Roman" w:hAnsi="Times New Roman"/>
          <w:sz w:val="24"/>
          <w:szCs w:val="24"/>
          <w:lang w:val="en-US"/>
        </w:rPr>
        <w:t>(</w:t>
      </w:r>
      <w:r w:rsidR="004D286D" w:rsidRPr="00F4226B">
        <w:rPr>
          <w:rFonts w:ascii="Times New Roman" w:hAnsi="Times New Roman"/>
          <w:sz w:val="24"/>
          <w:szCs w:val="24"/>
          <w:lang w:val="en-US"/>
        </w:rPr>
        <w:t>pp.</w:t>
      </w:r>
      <w:r w:rsidR="007564E9" w:rsidRPr="00F4226B">
        <w:rPr>
          <w:rFonts w:ascii="Times New Roman" w:hAnsi="Times New Roman"/>
          <w:sz w:val="24"/>
          <w:szCs w:val="24"/>
          <w:lang w:val="en-US"/>
        </w:rPr>
        <w:t xml:space="preserve"> 235-244</w:t>
      </w:r>
      <w:r w:rsidR="00FE55D4" w:rsidRPr="00F4226B">
        <w:rPr>
          <w:rFonts w:ascii="Times New Roman" w:hAnsi="Times New Roman"/>
          <w:sz w:val="24"/>
          <w:szCs w:val="24"/>
          <w:lang w:val="en-US"/>
        </w:rPr>
        <w:t>)</w:t>
      </w:r>
      <w:r w:rsidR="007C16AF" w:rsidRPr="00F4226B">
        <w:rPr>
          <w:rFonts w:ascii="Times New Roman" w:hAnsi="Times New Roman"/>
          <w:sz w:val="24"/>
          <w:szCs w:val="24"/>
          <w:lang w:val="en-US"/>
        </w:rPr>
        <w:t>.</w:t>
      </w:r>
      <w:r w:rsidR="007564E9" w:rsidRPr="00F4226B">
        <w:rPr>
          <w:rFonts w:ascii="Times New Roman" w:hAnsi="Times New Roman"/>
          <w:sz w:val="24"/>
          <w:szCs w:val="24"/>
          <w:lang w:val="en-US"/>
        </w:rPr>
        <w:t xml:space="preserve"> </w:t>
      </w:r>
      <w:r w:rsidR="00FE55D4" w:rsidRPr="00F4226B">
        <w:rPr>
          <w:rFonts w:ascii="Times New Roman" w:hAnsi="Times New Roman"/>
          <w:sz w:val="24"/>
          <w:szCs w:val="24"/>
          <w:lang w:val="en-US"/>
        </w:rPr>
        <w:t xml:space="preserve">London: </w:t>
      </w:r>
      <w:r w:rsidR="007564E9" w:rsidRPr="00F4226B">
        <w:rPr>
          <w:rFonts w:ascii="Times New Roman" w:hAnsi="Times New Roman"/>
          <w:sz w:val="24"/>
          <w:szCs w:val="24"/>
          <w:lang w:val="en-US"/>
        </w:rPr>
        <w:t>Prentice-Hall International.</w:t>
      </w:r>
    </w:p>
    <w:p w14:paraId="0EF3864D" w14:textId="770EDB03" w:rsidR="00D30B87" w:rsidRPr="00F4226B" w:rsidRDefault="00D30B87" w:rsidP="004A4D70">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Ashton, D., Peasnell, K.</w:t>
      </w:r>
      <w:r w:rsidR="00FE55D4" w:rsidRPr="00F4226B">
        <w:rPr>
          <w:rFonts w:ascii="Times New Roman" w:hAnsi="Times New Roman"/>
          <w:sz w:val="24"/>
          <w:szCs w:val="24"/>
          <w:lang w:val="en-US"/>
        </w:rPr>
        <w:t>, &amp;</w:t>
      </w:r>
      <w:r w:rsidRPr="00F4226B">
        <w:rPr>
          <w:rFonts w:ascii="Times New Roman" w:hAnsi="Times New Roman"/>
          <w:sz w:val="24"/>
          <w:szCs w:val="24"/>
          <w:lang w:val="en-US"/>
        </w:rPr>
        <w:t xml:space="preserve"> Wang, P. (2011). Residual income valuation models and inflation</w:t>
      </w:r>
      <w:r w:rsidR="00133915"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European Accounting Review</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20(3)</w:t>
      </w:r>
      <w:r w:rsidR="00FE55D4" w:rsidRPr="00F4226B">
        <w:rPr>
          <w:rFonts w:ascii="Times New Roman" w:hAnsi="Times New Roman"/>
          <w:sz w:val="24"/>
          <w:szCs w:val="24"/>
          <w:lang w:val="en-US"/>
        </w:rPr>
        <w:t>,</w:t>
      </w:r>
      <w:r w:rsidRPr="00F4226B">
        <w:rPr>
          <w:rFonts w:ascii="Times New Roman" w:hAnsi="Times New Roman"/>
          <w:sz w:val="24"/>
          <w:szCs w:val="24"/>
          <w:lang w:val="en-US"/>
        </w:rPr>
        <w:t xml:space="preserve"> 459</w:t>
      </w:r>
      <w:r w:rsidR="00985DDF">
        <w:rPr>
          <w:rFonts w:ascii="Times New Roman" w:hAnsi="Times New Roman"/>
          <w:sz w:val="24"/>
          <w:szCs w:val="24"/>
          <w:lang w:val="en-US"/>
        </w:rPr>
        <w:t>–</w:t>
      </w:r>
      <w:r w:rsidRPr="00F4226B">
        <w:rPr>
          <w:rFonts w:ascii="Times New Roman" w:hAnsi="Times New Roman"/>
          <w:sz w:val="24"/>
          <w:szCs w:val="24"/>
          <w:lang w:val="en-US"/>
        </w:rPr>
        <w:t>483.</w:t>
      </w:r>
    </w:p>
    <w:p w14:paraId="2F73EF92" w14:textId="0FF4EE37" w:rsidR="006A7A76" w:rsidRPr="00F4226B" w:rsidRDefault="006A7A76" w:rsidP="00D03D3B">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Barniv, R. (1999). The value relevance of inflation-adjusted and historical cost earnings during hyperinflation. </w:t>
      </w:r>
      <w:r w:rsidRPr="00F4226B">
        <w:rPr>
          <w:rFonts w:ascii="Times New Roman" w:hAnsi="Times New Roman"/>
          <w:i/>
          <w:sz w:val="24"/>
          <w:szCs w:val="24"/>
          <w:lang w:val="en-US"/>
        </w:rPr>
        <w:t>Journal of International Accounting, Auditing and Taxation</w:t>
      </w:r>
      <w:r w:rsidRPr="00804A08">
        <w:rPr>
          <w:rFonts w:ascii="Times New Roman" w:hAnsi="Times New Roman"/>
          <w:sz w:val="24"/>
          <w:szCs w:val="24"/>
          <w:lang w:val="en-US"/>
        </w:rPr>
        <w:t>,</w:t>
      </w:r>
      <w:r w:rsidRPr="00F4226B">
        <w:rPr>
          <w:rFonts w:ascii="Times New Roman" w:hAnsi="Times New Roman"/>
          <w:sz w:val="24"/>
          <w:szCs w:val="24"/>
          <w:lang w:val="en-US"/>
        </w:rPr>
        <w:t xml:space="preserve"> 8(2)</w:t>
      </w:r>
      <w:r w:rsidR="004D286D" w:rsidRPr="00F4226B">
        <w:rPr>
          <w:rFonts w:ascii="Times New Roman" w:hAnsi="Times New Roman"/>
          <w:sz w:val="24"/>
          <w:szCs w:val="24"/>
          <w:lang w:val="en-US"/>
        </w:rPr>
        <w:t>,</w:t>
      </w:r>
      <w:r w:rsidRPr="00F4226B">
        <w:rPr>
          <w:rFonts w:ascii="Times New Roman" w:hAnsi="Times New Roman"/>
          <w:sz w:val="24"/>
          <w:szCs w:val="24"/>
          <w:lang w:val="en-US"/>
        </w:rPr>
        <w:t xml:space="preserve"> 269</w:t>
      </w:r>
      <w:r w:rsidR="00985DDF">
        <w:rPr>
          <w:rFonts w:ascii="Times New Roman" w:hAnsi="Times New Roman"/>
          <w:sz w:val="24"/>
          <w:szCs w:val="24"/>
          <w:lang w:val="en-US"/>
        </w:rPr>
        <w:t>–</w:t>
      </w:r>
      <w:r w:rsidRPr="00F4226B">
        <w:rPr>
          <w:rFonts w:ascii="Times New Roman" w:hAnsi="Times New Roman"/>
          <w:sz w:val="24"/>
          <w:szCs w:val="24"/>
          <w:lang w:val="en-US"/>
        </w:rPr>
        <w:t>287.</w:t>
      </w:r>
    </w:p>
    <w:p w14:paraId="0DBA8557" w14:textId="76A9B572" w:rsidR="00FA7978" w:rsidRPr="00F4226B" w:rsidRDefault="00FA7978" w:rsidP="00D03D3B">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Bartley, J.</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W.</w:t>
      </w:r>
      <w:r w:rsidR="004D286D" w:rsidRPr="00F4226B">
        <w:rPr>
          <w:rFonts w:ascii="Times New Roman" w:hAnsi="Times New Roman"/>
          <w:sz w:val="24"/>
          <w:szCs w:val="24"/>
          <w:lang w:val="en-US"/>
        </w:rPr>
        <w:t>, &amp;</w:t>
      </w:r>
      <w:r w:rsidRPr="00F4226B">
        <w:rPr>
          <w:rFonts w:ascii="Times New Roman" w:hAnsi="Times New Roman"/>
          <w:sz w:val="24"/>
          <w:szCs w:val="24"/>
          <w:lang w:val="en-US"/>
        </w:rPr>
        <w:t xml:space="preserve"> Boardman, C.</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M. (1990). The relevance of inflation adjusted data to the prediction of corporate takeovers. </w:t>
      </w:r>
      <w:r w:rsidRPr="00F4226B">
        <w:rPr>
          <w:rFonts w:ascii="Times New Roman" w:hAnsi="Times New Roman"/>
          <w:i/>
          <w:sz w:val="24"/>
          <w:szCs w:val="24"/>
          <w:lang w:val="en-US"/>
        </w:rPr>
        <w:t>Journal of Business Finance and Accounting</w:t>
      </w:r>
      <w:r w:rsidRPr="00804A08">
        <w:rPr>
          <w:rFonts w:ascii="Times New Roman" w:hAnsi="Times New Roman"/>
          <w:sz w:val="24"/>
          <w:szCs w:val="24"/>
          <w:lang w:val="en-US"/>
        </w:rPr>
        <w:t>,</w:t>
      </w:r>
      <w:r w:rsidRPr="00F4226B">
        <w:rPr>
          <w:rFonts w:ascii="Times New Roman" w:hAnsi="Times New Roman"/>
          <w:sz w:val="24"/>
          <w:szCs w:val="24"/>
          <w:lang w:val="en-US"/>
        </w:rPr>
        <w:t xml:space="preserve"> 17(1)</w:t>
      </w:r>
      <w:r w:rsidR="004D286D" w:rsidRPr="00F4226B">
        <w:rPr>
          <w:rFonts w:ascii="Times New Roman" w:hAnsi="Times New Roman"/>
          <w:sz w:val="24"/>
          <w:szCs w:val="24"/>
          <w:lang w:val="en-US"/>
        </w:rPr>
        <w:t>,</w:t>
      </w:r>
      <w:r w:rsidRPr="00F4226B">
        <w:rPr>
          <w:rFonts w:ascii="Times New Roman" w:hAnsi="Times New Roman"/>
          <w:sz w:val="24"/>
          <w:szCs w:val="24"/>
          <w:lang w:val="en-US"/>
        </w:rPr>
        <w:t xml:space="preserve"> 53</w:t>
      </w:r>
      <w:r w:rsidR="00985DDF">
        <w:rPr>
          <w:rFonts w:ascii="Times New Roman" w:hAnsi="Times New Roman"/>
          <w:sz w:val="24"/>
          <w:szCs w:val="24"/>
          <w:lang w:val="en-US"/>
        </w:rPr>
        <w:t>–</w:t>
      </w:r>
      <w:r w:rsidRPr="00F4226B">
        <w:rPr>
          <w:rFonts w:ascii="Times New Roman" w:hAnsi="Times New Roman"/>
          <w:sz w:val="24"/>
          <w:szCs w:val="24"/>
          <w:lang w:val="en-US"/>
        </w:rPr>
        <w:t>72</w:t>
      </w:r>
      <w:r w:rsidR="004D4962">
        <w:rPr>
          <w:rFonts w:ascii="Times New Roman" w:hAnsi="Times New Roman"/>
          <w:sz w:val="24"/>
          <w:szCs w:val="24"/>
          <w:lang w:val="en-US"/>
        </w:rPr>
        <w:t>.</w:t>
      </w:r>
    </w:p>
    <w:p w14:paraId="479A1127" w14:textId="7B25BDEE" w:rsidR="005C0701" w:rsidRPr="00F4226B" w:rsidRDefault="005C0701" w:rsidP="00D03D3B">
      <w:pPr>
        <w:autoSpaceDE w:val="0"/>
        <w:autoSpaceDN w:val="0"/>
        <w:adjustRightInd w:val="0"/>
        <w:spacing w:after="0"/>
        <w:ind w:left="284" w:hanging="284"/>
        <w:jc w:val="both"/>
        <w:rPr>
          <w:rFonts w:ascii="Times New Roman" w:hAnsi="Times New Roman"/>
          <w:color w:val="000000"/>
          <w:sz w:val="24"/>
          <w:szCs w:val="24"/>
          <w:lang w:val="en-US"/>
        </w:rPr>
      </w:pPr>
      <w:r w:rsidRPr="00F4226B">
        <w:rPr>
          <w:rFonts w:ascii="Times New Roman" w:hAnsi="Times New Roman"/>
          <w:color w:val="000000"/>
          <w:sz w:val="24"/>
          <w:szCs w:val="24"/>
          <w:lang w:val="en-US"/>
        </w:rPr>
        <w:t xml:space="preserve">Barth, M., Beaver, W., </w:t>
      </w:r>
      <w:r w:rsidR="004D286D" w:rsidRPr="00F4226B">
        <w:rPr>
          <w:rFonts w:ascii="Times New Roman" w:hAnsi="Times New Roman"/>
          <w:color w:val="000000"/>
          <w:sz w:val="24"/>
          <w:szCs w:val="24"/>
          <w:lang w:val="en-US"/>
        </w:rPr>
        <w:t>&amp;</w:t>
      </w:r>
      <w:r w:rsidRPr="00F4226B">
        <w:rPr>
          <w:rFonts w:ascii="Times New Roman" w:hAnsi="Times New Roman"/>
          <w:color w:val="000000"/>
          <w:sz w:val="24"/>
          <w:szCs w:val="24"/>
          <w:lang w:val="en-US"/>
        </w:rPr>
        <w:t xml:space="preserve"> Landsman, W. (1998)</w:t>
      </w:r>
      <w:r w:rsidR="009D7CA7" w:rsidRPr="00F4226B">
        <w:rPr>
          <w:rFonts w:ascii="Times New Roman" w:hAnsi="Times New Roman"/>
          <w:color w:val="000000"/>
          <w:sz w:val="24"/>
          <w:szCs w:val="24"/>
          <w:lang w:val="en-US"/>
        </w:rPr>
        <w:t>.</w:t>
      </w:r>
      <w:r w:rsidRPr="00F4226B">
        <w:rPr>
          <w:rFonts w:ascii="Times New Roman" w:hAnsi="Times New Roman"/>
          <w:color w:val="000000"/>
          <w:sz w:val="24"/>
          <w:szCs w:val="24"/>
          <w:lang w:val="en-US"/>
        </w:rPr>
        <w:t xml:space="preserve"> Relative valuation roles of equity book value and net income as a function of financial health</w:t>
      </w:r>
      <w:r w:rsidR="004D286D" w:rsidRPr="00F4226B">
        <w:rPr>
          <w:rFonts w:ascii="Times New Roman" w:hAnsi="Times New Roman"/>
          <w:color w:val="000000"/>
          <w:sz w:val="24"/>
          <w:szCs w:val="24"/>
          <w:lang w:val="en-US"/>
        </w:rPr>
        <w:t>.</w:t>
      </w:r>
      <w:r w:rsidRPr="00F4226B">
        <w:rPr>
          <w:rFonts w:ascii="Times New Roman" w:hAnsi="Times New Roman"/>
          <w:color w:val="000000"/>
          <w:sz w:val="24"/>
          <w:szCs w:val="24"/>
          <w:lang w:val="en-US"/>
        </w:rPr>
        <w:t xml:space="preserve"> </w:t>
      </w:r>
      <w:r w:rsidRPr="00F4226B">
        <w:rPr>
          <w:rFonts w:ascii="Times New Roman" w:hAnsi="Times New Roman"/>
          <w:i/>
          <w:color w:val="000000"/>
          <w:sz w:val="24"/>
          <w:szCs w:val="24"/>
          <w:lang w:val="en-US"/>
        </w:rPr>
        <w:t xml:space="preserve">Journal of Accounting </w:t>
      </w:r>
      <w:r w:rsidR="00195718" w:rsidRPr="00F4226B">
        <w:rPr>
          <w:rFonts w:ascii="Times New Roman" w:hAnsi="Times New Roman"/>
          <w:i/>
          <w:color w:val="000000"/>
          <w:sz w:val="24"/>
          <w:szCs w:val="24"/>
          <w:lang w:val="en-US"/>
        </w:rPr>
        <w:t>and</w:t>
      </w:r>
      <w:r w:rsidRPr="00F4226B">
        <w:rPr>
          <w:rFonts w:ascii="Times New Roman" w:hAnsi="Times New Roman"/>
          <w:i/>
          <w:color w:val="000000"/>
          <w:sz w:val="24"/>
          <w:szCs w:val="24"/>
          <w:lang w:val="en-US"/>
        </w:rPr>
        <w:t xml:space="preserve"> Economics</w:t>
      </w:r>
      <w:r w:rsidRPr="00804A08">
        <w:rPr>
          <w:rFonts w:ascii="Times New Roman" w:hAnsi="Times New Roman"/>
          <w:color w:val="000000"/>
          <w:sz w:val="24"/>
          <w:szCs w:val="24"/>
          <w:lang w:val="en-US"/>
        </w:rPr>
        <w:t>,</w:t>
      </w:r>
      <w:r w:rsidRPr="00F4226B">
        <w:rPr>
          <w:rFonts w:ascii="Times New Roman" w:hAnsi="Times New Roman"/>
          <w:i/>
          <w:color w:val="000000"/>
          <w:sz w:val="24"/>
          <w:szCs w:val="24"/>
          <w:lang w:val="en-US"/>
        </w:rPr>
        <w:t xml:space="preserve"> </w:t>
      </w:r>
      <w:r w:rsidRPr="00F4226B">
        <w:rPr>
          <w:rFonts w:ascii="Times New Roman" w:hAnsi="Times New Roman"/>
          <w:color w:val="000000"/>
          <w:sz w:val="24"/>
          <w:szCs w:val="24"/>
          <w:lang w:val="en-US"/>
        </w:rPr>
        <w:t>25</w:t>
      </w:r>
      <w:r w:rsidR="007877D6" w:rsidRPr="00F4226B">
        <w:rPr>
          <w:rFonts w:ascii="Times New Roman" w:hAnsi="Times New Roman"/>
          <w:color w:val="000000"/>
          <w:sz w:val="24"/>
          <w:szCs w:val="24"/>
          <w:lang w:val="en-US"/>
        </w:rPr>
        <w:t>(1),</w:t>
      </w:r>
      <w:r w:rsidRPr="00F4226B">
        <w:rPr>
          <w:rFonts w:ascii="Times New Roman" w:hAnsi="Times New Roman"/>
          <w:color w:val="000000"/>
          <w:sz w:val="24"/>
          <w:szCs w:val="24"/>
          <w:lang w:val="en-US"/>
        </w:rPr>
        <w:t xml:space="preserve"> 1</w:t>
      </w:r>
      <w:r w:rsidR="00985DDF">
        <w:rPr>
          <w:rFonts w:ascii="Times New Roman" w:hAnsi="Times New Roman"/>
          <w:sz w:val="24"/>
          <w:szCs w:val="24"/>
          <w:lang w:val="en-US"/>
        </w:rPr>
        <w:t>–</w:t>
      </w:r>
      <w:r w:rsidRPr="00F4226B">
        <w:rPr>
          <w:rFonts w:ascii="Times New Roman" w:hAnsi="Times New Roman"/>
          <w:color w:val="000000"/>
          <w:sz w:val="24"/>
          <w:szCs w:val="24"/>
          <w:lang w:val="en-US"/>
        </w:rPr>
        <w:t>34.</w:t>
      </w:r>
    </w:p>
    <w:p w14:paraId="7C90E7FF" w14:textId="71F4529D" w:rsidR="001673CD" w:rsidRPr="00F4226B" w:rsidRDefault="001673CD" w:rsidP="00D03D3B">
      <w:pPr>
        <w:autoSpaceDE w:val="0"/>
        <w:autoSpaceDN w:val="0"/>
        <w:adjustRightInd w:val="0"/>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Barth, M., </w:t>
      </w:r>
      <w:r w:rsidR="00455D85" w:rsidRPr="00F4226B">
        <w:rPr>
          <w:rFonts w:ascii="Times New Roman" w:hAnsi="Times New Roman"/>
          <w:sz w:val="24"/>
          <w:szCs w:val="24"/>
          <w:lang w:val="en-US"/>
        </w:rPr>
        <w:t>Cram, D.</w:t>
      </w:r>
      <w:r w:rsidR="002831FB" w:rsidRPr="00F4226B">
        <w:rPr>
          <w:rFonts w:ascii="Times New Roman" w:hAnsi="Times New Roman"/>
          <w:sz w:val="24"/>
          <w:szCs w:val="24"/>
          <w:lang w:val="en-US"/>
        </w:rPr>
        <w:t xml:space="preserve"> </w:t>
      </w:r>
      <w:r w:rsidR="00455D85" w:rsidRPr="00F4226B">
        <w:rPr>
          <w:rFonts w:ascii="Times New Roman" w:hAnsi="Times New Roman"/>
          <w:sz w:val="24"/>
          <w:szCs w:val="24"/>
          <w:lang w:val="en-US"/>
        </w:rPr>
        <w:t>P.</w:t>
      </w:r>
      <w:r w:rsidR="00EC2EB9" w:rsidRPr="00F4226B">
        <w:rPr>
          <w:rFonts w:ascii="Times New Roman" w:hAnsi="Times New Roman"/>
          <w:sz w:val="24"/>
          <w:szCs w:val="24"/>
          <w:lang w:val="en-US"/>
        </w:rPr>
        <w:t>, &amp;</w:t>
      </w:r>
      <w:r w:rsidRPr="00F4226B">
        <w:rPr>
          <w:rFonts w:ascii="Times New Roman" w:hAnsi="Times New Roman"/>
          <w:sz w:val="24"/>
          <w:szCs w:val="24"/>
          <w:lang w:val="en-US"/>
        </w:rPr>
        <w:t xml:space="preserve"> </w:t>
      </w:r>
      <w:r w:rsidR="00455D85" w:rsidRPr="00F4226B">
        <w:rPr>
          <w:rFonts w:ascii="Times New Roman" w:hAnsi="Times New Roman"/>
          <w:sz w:val="24"/>
          <w:szCs w:val="24"/>
          <w:lang w:val="en-US"/>
        </w:rPr>
        <w:t>Nelson, K.</w:t>
      </w:r>
      <w:r w:rsidR="002831FB" w:rsidRPr="00F4226B">
        <w:rPr>
          <w:rFonts w:ascii="Times New Roman" w:hAnsi="Times New Roman"/>
          <w:sz w:val="24"/>
          <w:szCs w:val="24"/>
          <w:lang w:val="en-US"/>
        </w:rPr>
        <w:t xml:space="preserve"> </w:t>
      </w:r>
      <w:r w:rsidR="00455D85" w:rsidRPr="00F4226B">
        <w:rPr>
          <w:rFonts w:ascii="Times New Roman" w:hAnsi="Times New Roman"/>
          <w:sz w:val="24"/>
          <w:szCs w:val="24"/>
          <w:lang w:val="en-US"/>
        </w:rPr>
        <w:t>K. (2001</w:t>
      </w:r>
      <w:r w:rsidR="00302F0A" w:rsidRPr="00F4226B">
        <w:rPr>
          <w:rFonts w:ascii="Times New Roman" w:hAnsi="Times New Roman"/>
          <w:sz w:val="24"/>
          <w:szCs w:val="24"/>
          <w:lang w:val="en-US"/>
        </w:rPr>
        <w:t>a</w:t>
      </w:r>
      <w:r w:rsidRPr="00F4226B">
        <w:rPr>
          <w:rFonts w:ascii="Times New Roman" w:hAnsi="Times New Roman"/>
          <w:sz w:val="24"/>
          <w:szCs w:val="24"/>
          <w:lang w:val="en-US"/>
        </w:rPr>
        <w:t>)</w:t>
      </w:r>
      <w:r w:rsidR="00455D85" w:rsidRPr="00F4226B">
        <w:rPr>
          <w:rFonts w:ascii="Times New Roman" w:hAnsi="Times New Roman"/>
          <w:sz w:val="24"/>
          <w:szCs w:val="24"/>
          <w:lang w:val="en-US"/>
        </w:rPr>
        <w:t>. Accruals and the prediction of future cash flows</w:t>
      </w:r>
      <w:r w:rsidR="00795614"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00455D85" w:rsidRPr="00F4226B">
        <w:rPr>
          <w:rFonts w:ascii="Times New Roman" w:hAnsi="Times New Roman"/>
          <w:i/>
          <w:sz w:val="24"/>
          <w:szCs w:val="24"/>
          <w:lang w:val="en-US"/>
        </w:rPr>
        <w:t>The Accounting Review</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00455D85" w:rsidRPr="00F4226B">
        <w:rPr>
          <w:rFonts w:ascii="Times New Roman" w:hAnsi="Times New Roman"/>
          <w:sz w:val="24"/>
          <w:szCs w:val="24"/>
          <w:lang w:val="en-US"/>
        </w:rPr>
        <w:t>76(1)</w:t>
      </w:r>
      <w:r w:rsidR="00EC2EB9" w:rsidRPr="00F4226B">
        <w:rPr>
          <w:rFonts w:ascii="Times New Roman" w:hAnsi="Times New Roman"/>
          <w:sz w:val="24"/>
          <w:szCs w:val="24"/>
          <w:lang w:val="en-US"/>
        </w:rPr>
        <w:t>,</w:t>
      </w:r>
      <w:r w:rsidR="00455D85" w:rsidRPr="00F4226B">
        <w:rPr>
          <w:rFonts w:ascii="Times New Roman" w:hAnsi="Times New Roman"/>
          <w:sz w:val="24"/>
          <w:szCs w:val="24"/>
          <w:lang w:val="en-US"/>
        </w:rPr>
        <w:t xml:space="preserve"> 27</w:t>
      </w:r>
      <w:r w:rsidR="00985DDF">
        <w:rPr>
          <w:rFonts w:ascii="Times New Roman" w:hAnsi="Times New Roman"/>
          <w:sz w:val="24"/>
          <w:szCs w:val="24"/>
          <w:lang w:val="en-US"/>
        </w:rPr>
        <w:t>–</w:t>
      </w:r>
      <w:r w:rsidR="00455D85" w:rsidRPr="00F4226B">
        <w:rPr>
          <w:rFonts w:ascii="Times New Roman" w:hAnsi="Times New Roman"/>
          <w:sz w:val="24"/>
          <w:szCs w:val="24"/>
          <w:lang w:val="en-US"/>
        </w:rPr>
        <w:t>58</w:t>
      </w:r>
      <w:r w:rsidRPr="00F4226B">
        <w:rPr>
          <w:rFonts w:ascii="Times New Roman" w:hAnsi="Times New Roman"/>
          <w:sz w:val="24"/>
          <w:szCs w:val="24"/>
          <w:lang w:val="en-US"/>
        </w:rPr>
        <w:t>.</w:t>
      </w:r>
    </w:p>
    <w:p w14:paraId="5E2111E1" w14:textId="45123451" w:rsidR="007365E8" w:rsidRPr="00F4226B" w:rsidRDefault="00262D40"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lastRenderedPageBreak/>
        <w:t>Barth</w:t>
      </w:r>
      <w:r w:rsidR="007365E8" w:rsidRPr="00F4226B">
        <w:rPr>
          <w:rFonts w:ascii="Times New Roman" w:hAnsi="Times New Roman"/>
          <w:sz w:val="24"/>
          <w:szCs w:val="24"/>
          <w:lang w:val="en-US"/>
        </w:rPr>
        <w:t>, M.</w:t>
      </w:r>
      <w:r w:rsidR="002831FB" w:rsidRPr="00F4226B">
        <w:rPr>
          <w:rFonts w:ascii="Times New Roman" w:hAnsi="Times New Roman"/>
          <w:sz w:val="24"/>
          <w:szCs w:val="24"/>
          <w:lang w:val="en-US"/>
        </w:rPr>
        <w:t xml:space="preserve"> </w:t>
      </w:r>
      <w:r w:rsidR="007365E8" w:rsidRPr="00F4226B">
        <w:rPr>
          <w:rFonts w:ascii="Times New Roman" w:hAnsi="Times New Roman"/>
          <w:sz w:val="24"/>
          <w:szCs w:val="24"/>
          <w:lang w:val="en-US"/>
        </w:rPr>
        <w:t>E., Beaver, W.</w:t>
      </w:r>
      <w:r w:rsidR="002831FB" w:rsidRPr="00F4226B">
        <w:rPr>
          <w:rFonts w:ascii="Times New Roman" w:hAnsi="Times New Roman"/>
          <w:sz w:val="24"/>
          <w:szCs w:val="24"/>
          <w:lang w:val="en-US"/>
        </w:rPr>
        <w:t xml:space="preserve"> </w:t>
      </w:r>
      <w:r w:rsidR="007365E8" w:rsidRPr="00F4226B">
        <w:rPr>
          <w:rFonts w:ascii="Times New Roman" w:hAnsi="Times New Roman"/>
          <w:sz w:val="24"/>
          <w:szCs w:val="24"/>
          <w:lang w:val="en-US"/>
        </w:rPr>
        <w:t>H.</w:t>
      </w:r>
      <w:r w:rsidR="00EC2EB9" w:rsidRPr="00F4226B">
        <w:rPr>
          <w:rFonts w:ascii="Times New Roman" w:hAnsi="Times New Roman"/>
          <w:sz w:val="24"/>
          <w:szCs w:val="24"/>
          <w:lang w:val="en-US"/>
        </w:rPr>
        <w:t>, &amp;</w:t>
      </w:r>
      <w:r w:rsidR="007365E8" w:rsidRPr="00F4226B">
        <w:rPr>
          <w:rFonts w:ascii="Times New Roman" w:hAnsi="Times New Roman"/>
          <w:sz w:val="24"/>
          <w:szCs w:val="24"/>
          <w:lang w:val="en-US"/>
        </w:rPr>
        <w:t xml:space="preserve"> Landsman, W.</w:t>
      </w:r>
      <w:r w:rsidR="002831FB" w:rsidRPr="00F4226B">
        <w:rPr>
          <w:rFonts w:ascii="Times New Roman" w:hAnsi="Times New Roman"/>
          <w:sz w:val="24"/>
          <w:szCs w:val="24"/>
          <w:lang w:val="en-US"/>
        </w:rPr>
        <w:t xml:space="preserve"> </w:t>
      </w:r>
      <w:r w:rsidR="007365E8" w:rsidRPr="00F4226B">
        <w:rPr>
          <w:rFonts w:ascii="Times New Roman" w:hAnsi="Times New Roman"/>
          <w:sz w:val="24"/>
          <w:szCs w:val="24"/>
          <w:lang w:val="en-US"/>
        </w:rPr>
        <w:t>R. (2001</w:t>
      </w:r>
      <w:r w:rsidR="00302F0A" w:rsidRPr="00F4226B">
        <w:rPr>
          <w:rFonts w:ascii="Times New Roman" w:hAnsi="Times New Roman"/>
          <w:sz w:val="24"/>
          <w:szCs w:val="24"/>
          <w:lang w:val="en-US"/>
        </w:rPr>
        <w:t>b</w:t>
      </w:r>
      <w:r w:rsidR="007365E8" w:rsidRPr="00F4226B">
        <w:rPr>
          <w:rFonts w:ascii="Times New Roman" w:hAnsi="Times New Roman"/>
          <w:sz w:val="24"/>
          <w:szCs w:val="24"/>
          <w:lang w:val="en-US"/>
        </w:rPr>
        <w:t xml:space="preserve">). The relevance of the value relevance literature for financial accounting standards setting: Another view. </w:t>
      </w:r>
      <w:r w:rsidR="007365E8" w:rsidRPr="00F4226B">
        <w:rPr>
          <w:rFonts w:ascii="Times New Roman" w:hAnsi="Times New Roman"/>
          <w:i/>
          <w:sz w:val="24"/>
          <w:szCs w:val="24"/>
          <w:lang w:val="en-US"/>
        </w:rPr>
        <w:t>Journal of Accounting and Economics</w:t>
      </w:r>
      <w:r w:rsidR="007365E8" w:rsidRPr="00804A08">
        <w:rPr>
          <w:rFonts w:ascii="Times New Roman" w:hAnsi="Times New Roman"/>
          <w:sz w:val="24"/>
          <w:szCs w:val="24"/>
          <w:lang w:val="en-US"/>
        </w:rPr>
        <w:t>,</w:t>
      </w:r>
      <w:r w:rsidR="007365E8" w:rsidRPr="00F4226B">
        <w:rPr>
          <w:rFonts w:ascii="Times New Roman" w:hAnsi="Times New Roman"/>
          <w:sz w:val="24"/>
          <w:szCs w:val="24"/>
          <w:lang w:val="en-US"/>
        </w:rPr>
        <w:t xml:space="preserve"> 31</w:t>
      </w:r>
      <w:r w:rsidR="00EC2EB9" w:rsidRPr="00F4226B">
        <w:rPr>
          <w:rFonts w:ascii="Times New Roman" w:hAnsi="Times New Roman"/>
          <w:sz w:val="24"/>
          <w:szCs w:val="24"/>
          <w:lang w:val="en-US"/>
        </w:rPr>
        <w:t>(1-3),</w:t>
      </w:r>
      <w:r w:rsidR="007365E8" w:rsidRPr="00F4226B">
        <w:rPr>
          <w:rFonts w:ascii="Times New Roman" w:hAnsi="Times New Roman"/>
          <w:sz w:val="24"/>
          <w:szCs w:val="24"/>
          <w:lang w:val="en-US"/>
        </w:rPr>
        <w:t xml:space="preserve"> 77</w:t>
      </w:r>
      <w:r w:rsidR="00985DDF">
        <w:rPr>
          <w:rFonts w:ascii="Times New Roman" w:hAnsi="Times New Roman"/>
          <w:sz w:val="24"/>
          <w:szCs w:val="24"/>
          <w:lang w:val="en-US"/>
        </w:rPr>
        <w:t>–</w:t>
      </w:r>
      <w:r w:rsidR="007365E8" w:rsidRPr="00F4226B">
        <w:rPr>
          <w:rFonts w:ascii="Times New Roman" w:hAnsi="Times New Roman"/>
          <w:sz w:val="24"/>
          <w:szCs w:val="24"/>
          <w:lang w:val="en-US"/>
        </w:rPr>
        <w:t>104.</w:t>
      </w:r>
    </w:p>
    <w:p w14:paraId="35B7C279" w14:textId="666DD4D3" w:rsidR="00D7370C" w:rsidRPr="00F4226B" w:rsidRDefault="00D7370C"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Barth, M.</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E., Landsman, W.</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R.</w:t>
      </w:r>
      <w:r w:rsidR="004A4D70" w:rsidRPr="00F4226B">
        <w:rPr>
          <w:rFonts w:ascii="Times New Roman" w:hAnsi="Times New Roman"/>
          <w:sz w:val="24"/>
          <w:szCs w:val="24"/>
          <w:lang w:val="en-US"/>
        </w:rPr>
        <w:t>, &amp;</w:t>
      </w:r>
      <w:r w:rsidRPr="00F4226B">
        <w:rPr>
          <w:rFonts w:ascii="Times New Roman" w:hAnsi="Times New Roman"/>
          <w:sz w:val="24"/>
          <w:szCs w:val="24"/>
          <w:lang w:val="en-US"/>
        </w:rPr>
        <w:t xml:space="preserve"> Lang, M.</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H. (2008). International accounting standards and accounting quality</w:t>
      </w:r>
      <w:r w:rsidR="004A4D70"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Journal of Accounting Research</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46(3)</w:t>
      </w:r>
      <w:r w:rsidR="004A4D70" w:rsidRPr="00F4226B">
        <w:rPr>
          <w:rFonts w:ascii="Times New Roman" w:hAnsi="Times New Roman"/>
          <w:sz w:val="24"/>
          <w:szCs w:val="24"/>
          <w:lang w:val="en-US"/>
        </w:rPr>
        <w:t>,</w:t>
      </w:r>
      <w:r w:rsidRPr="00F4226B">
        <w:rPr>
          <w:rFonts w:ascii="Times New Roman" w:hAnsi="Times New Roman"/>
          <w:sz w:val="24"/>
          <w:szCs w:val="24"/>
          <w:lang w:val="en-US"/>
        </w:rPr>
        <w:t xml:space="preserve"> 467</w:t>
      </w:r>
      <w:r w:rsidR="00985DDF">
        <w:rPr>
          <w:rFonts w:ascii="Times New Roman" w:hAnsi="Times New Roman"/>
          <w:sz w:val="24"/>
          <w:szCs w:val="24"/>
          <w:lang w:val="en-US"/>
        </w:rPr>
        <w:t>–</w:t>
      </w:r>
      <w:r w:rsidRPr="00F4226B">
        <w:rPr>
          <w:rFonts w:ascii="Times New Roman" w:hAnsi="Times New Roman"/>
          <w:sz w:val="24"/>
          <w:szCs w:val="24"/>
          <w:lang w:val="en-US"/>
        </w:rPr>
        <w:t>498</w:t>
      </w:r>
      <w:r w:rsidR="004A4D70" w:rsidRPr="00F4226B">
        <w:rPr>
          <w:rFonts w:ascii="Times New Roman" w:hAnsi="Times New Roman"/>
          <w:sz w:val="24"/>
          <w:szCs w:val="24"/>
          <w:lang w:val="en-US"/>
        </w:rPr>
        <w:t>.</w:t>
      </w:r>
    </w:p>
    <w:p w14:paraId="65AC7EB6" w14:textId="1E8A94D8" w:rsidR="00DD467B" w:rsidRPr="00F4226B" w:rsidRDefault="00DD467B" w:rsidP="004A4D70">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Bartov, E., Goldberg, S.</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R.</w:t>
      </w:r>
      <w:r w:rsidR="004A4D70" w:rsidRPr="00F4226B">
        <w:rPr>
          <w:rFonts w:ascii="Times New Roman" w:hAnsi="Times New Roman"/>
          <w:sz w:val="24"/>
          <w:szCs w:val="24"/>
          <w:lang w:val="en-US"/>
        </w:rPr>
        <w:t>, &amp;</w:t>
      </w:r>
      <w:r w:rsidRPr="00F4226B">
        <w:rPr>
          <w:rFonts w:ascii="Times New Roman" w:hAnsi="Times New Roman"/>
          <w:sz w:val="24"/>
          <w:szCs w:val="24"/>
          <w:lang w:val="en-US"/>
        </w:rPr>
        <w:t xml:space="preserve"> Kim, M. (2001). The valuation-relevance of earnings and cash flows: an international perspective</w:t>
      </w:r>
      <w:r w:rsidR="004A4D70"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Journal of International Financial Management and Accounting</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12(2)</w:t>
      </w:r>
      <w:r w:rsidR="004A4D70" w:rsidRPr="00F4226B">
        <w:rPr>
          <w:rFonts w:ascii="Times New Roman" w:hAnsi="Times New Roman"/>
          <w:sz w:val="24"/>
          <w:szCs w:val="24"/>
          <w:lang w:val="en-US"/>
        </w:rPr>
        <w:t>,</w:t>
      </w:r>
      <w:r w:rsidRPr="00F4226B">
        <w:rPr>
          <w:rFonts w:ascii="Times New Roman" w:hAnsi="Times New Roman"/>
          <w:sz w:val="24"/>
          <w:szCs w:val="24"/>
          <w:lang w:val="en-US"/>
        </w:rPr>
        <w:t xml:space="preserve"> 103</w:t>
      </w:r>
      <w:r w:rsidR="00985DDF">
        <w:rPr>
          <w:rFonts w:ascii="Times New Roman" w:hAnsi="Times New Roman"/>
          <w:sz w:val="24"/>
          <w:szCs w:val="24"/>
          <w:lang w:val="en-US"/>
        </w:rPr>
        <w:t>–</w:t>
      </w:r>
      <w:r w:rsidRPr="00F4226B">
        <w:rPr>
          <w:rFonts w:ascii="Times New Roman" w:hAnsi="Times New Roman"/>
          <w:sz w:val="24"/>
          <w:szCs w:val="24"/>
          <w:lang w:val="en-US"/>
        </w:rPr>
        <w:t>132</w:t>
      </w:r>
      <w:r w:rsidR="004A4D70" w:rsidRPr="00F4226B">
        <w:rPr>
          <w:rFonts w:ascii="Times New Roman" w:hAnsi="Times New Roman"/>
          <w:sz w:val="24"/>
          <w:szCs w:val="24"/>
          <w:lang w:val="en-US"/>
        </w:rPr>
        <w:t>.</w:t>
      </w:r>
    </w:p>
    <w:p w14:paraId="2585F565" w14:textId="457CF56A" w:rsidR="00CC08ED" w:rsidRPr="00F4226B" w:rsidRDefault="00CC08ED"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Basu, S., Markov, S.</w:t>
      </w:r>
      <w:r w:rsidR="00E751EB" w:rsidRPr="00F4226B">
        <w:rPr>
          <w:rFonts w:ascii="Times New Roman" w:hAnsi="Times New Roman"/>
          <w:sz w:val="24"/>
          <w:szCs w:val="24"/>
          <w:lang w:val="en-US"/>
        </w:rPr>
        <w:t>, &amp;</w:t>
      </w:r>
      <w:r w:rsidRPr="00F4226B">
        <w:rPr>
          <w:rFonts w:ascii="Times New Roman" w:hAnsi="Times New Roman"/>
          <w:sz w:val="24"/>
          <w:szCs w:val="24"/>
          <w:lang w:val="en-US"/>
        </w:rPr>
        <w:t xml:space="preserve"> Shivakumar, L. (2010). Inflation, earnings forecasts, and post-earnings announcement drift. </w:t>
      </w:r>
      <w:r w:rsidRPr="00F4226B">
        <w:rPr>
          <w:rFonts w:ascii="Times New Roman" w:hAnsi="Times New Roman"/>
          <w:i/>
          <w:sz w:val="24"/>
          <w:szCs w:val="24"/>
          <w:lang w:val="en-US"/>
        </w:rPr>
        <w:t>Review of Accounting Studies</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15(2)</w:t>
      </w:r>
      <w:r w:rsidR="00E751EB" w:rsidRPr="00F4226B">
        <w:rPr>
          <w:rFonts w:ascii="Times New Roman" w:hAnsi="Times New Roman"/>
          <w:sz w:val="24"/>
          <w:szCs w:val="24"/>
          <w:lang w:val="en-US"/>
        </w:rPr>
        <w:t>,</w:t>
      </w:r>
      <w:r w:rsidRPr="00F4226B">
        <w:rPr>
          <w:rFonts w:ascii="Times New Roman" w:hAnsi="Times New Roman"/>
          <w:sz w:val="24"/>
          <w:szCs w:val="24"/>
          <w:lang w:val="en-US"/>
        </w:rPr>
        <w:t xml:space="preserve"> 403</w:t>
      </w:r>
      <w:r w:rsidR="00985DDF">
        <w:rPr>
          <w:rFonts w:ascii="Times New Roman" w:hAnsi="Times New Roman"/>
          <w:sz w:val="24"/>
          <w:szCs w:val="24"/>
          <w:lang w:val="en-US"/>
        </w:rPr>
        <w:t>–</w:t>
      </w:r>
      <w:r w:rsidRPr="00F4226B">
        <w:rPr>
          <w:rFonts w:ascii="Times New Roman" w:hAnsi="Times New Roman"/>
          <w:sz w:val="24"/>
          <w:szCs w:val="24"/>
          <w:lang w:val="en-US"/>
        </w:rPr>
        <w:t>440.</w:t>
      </w:r>
    </w:p>
    <w:p w14:paraId="1F23DF09" w14:textId="65DFC044" w:rsidR="001A13E2" w:rsidRPr="00F4226B" w:rsidRDefault="001A13E2" w:rsidP="004A4D70">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Beaver, W.</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H., Christie, A.</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A.</w:t>
      </w:r>
      <w:r w:rsidR="00E751EB" w:rsidRPr="00F4226B">
        <w:rPr>
          <w:rFonts w:ascii="Times New Roman" w:hAnsi="Times New Roman"/>
          <w:sz w:val="24"/>
          <w:szCs w:val="24"/>
          <w:lang w:val="en-US"/>
        </w:rPr>
        <w:t>, &amp;</w:t>
      </w:r>
      <w:r w:rsidRPr="00F4226B">
        <w:rPr>
          <w:rFonts w:ascii="Times New Roman" w:hAnsi="Times New Roman"/>
          <w:sz w:val="24"/>
          <w:szCs w:val="24"/>
          <w:lang w:val="en-US"/>
        </w:rPr>
        <w:t xml:space="preserve"> Griffin, P.</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A. (1980). The information content of SEC Accounting Series Release No. 190. </w:t>
      </w:r>
      <w:r w:rsidRPr="00F4226B">
        <w:rPr>
          <w:rFonts w:ascii="Times New Roman" w:hAnsi="Times New Roman"/>
          <w:i/>
          <w:sz w:val="24"/>
          <w:szCs w:val="24"/>
          <w:lang w:val="en-US"/>
        </w:rPr>
        <w:t>Journal of Accounting and Economics</w:t>
      </w:r>
      <w:r w:rsidRPr="00804A08">
        <w:rPr>
          <w:rFonts w:ascii="Times New Roman" w:hAnsi="Times New Roman"/>
          <w:sz w:val="24"/>
          <w:szCs w:val="24"/>
          <w:lang w:val="en-US"/>
        </w:rPr>
        <w:t>,</w:t>
      </w:r>
      <w:r w:rsidR="00A25661" w:rsidRPr="00F4226B">
        <w:rPr>
          <w:rFonts w:ascii="Times New Roman" w:hAnsi="Times New Roman"/>
          <w:sz w:val="24"/>
          <w:szCs w:val="24"/>
          <w:lang w:val="en-US"/>
        </w:rPr>
        <w:t xml:space="preserve"> 2(2)</w:t>
      </w:r>
      <w:r w:rsidR="00E751EB" w:rsidRPr="00F4226B">
        <w:rPr>
          <w:rFonts w:ascii="Times New Roman" w:hAnsi="Times New Roman"/>
          <w:sz w:val="24"/>
          <w:szCs w:val="24"/>
          <w:lang w:val="en-US"/>
        </w:rPr>
        <w:t>,</w:t>
      </w:r>
      <w:r w:rsidR="00A25661" w:rsidRPr="00F4226B">
        <w:rPr>
          <w:rFonts w:ascii="Times New Roman" w:hAnsi="Times New Roman"/>
          <w:sz w:val="24"/>
          <w:szCs w:val="24"/>
          <w:lang w:val="en-US"/>
        </w:rPr>
        <w:t xml:space="preserve"> 127</w:t>
      </w:r>
      <w:r w:rsidR="00985DDF">
        <w:rPr>
          <w:rFonts w:ascii="Times New Roman" w:hAnsi="Times New Roman"/>
          <w:sz w:val="24"/>
          <w:szCs w:val="24"/>
          <w:lang w:val="en-US"/>
        </w:rPr>
        <w:t>–</w:t>
      </w:r>
      <w:r w:rsidR="00A25661" w:rsidRPr="00F4226B">
        <w:rPr>
          <w:rFonts w:ascii="Times New Roman" w:hAnsi="Times New Roman"/>
          <w:sz w:val="24"/>
          <w:szCs w:val="24"/>
          <w:lang w:val="en-US"/>
        </w:rPr>
        <w:t>157.</w:t>
      </w:r>
    </w:p>
    <w:p w14:paraId="3E3030B7" w14:textId="53DFEBF6" w:rsidR="00846051" w:rsidRPr="00F4226B" w:rsidRDefault="00846051" w:rsidP="004A4D70">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Beaver, W.</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H., Christie, A.</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A.</w:t>
      </w:r>
      <w:r w:rsidR="00E751EB" w:rsidRPr="00F4226B">
        <w:rPr>
          <w:rFonts w:ascii="Times New Roman" w:hAnsi="Times New Roman"/>
          <w:sz w:val="24"/>
          <w:szCs w:val="24"/>
          <w:lang w:val="en-US"/>
        </w:rPr>
        <w:t>, &amp;</w:t>
      </w:r>
      <w:r w:rsidRPr="00F4226B">
        <w:rPr>
          <w:rFonts w:ascii="Times New Roman" w:hAnsi="Times New Roman"/>
          <w:sz w:val="24"/>
          <w:szCs w:val="24"/>
          <w:lang w:val="en-US"/>
        </w:rPr>
        <w:t xml:space="preserve"> Landsman, W.</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R. (1983). How well does replacement cost income explain stock return? </w:t>
      </w:r>
      <w:r w:rsidRPr="00F4226B">
        <w:rPr>
          <w:rFonts w:ascii="Times New Roman" w:hAnsi="Times New Roman"/>
          <w:i/>
          <w:sz w:val="24"/>
          <w:szCs w:val="24"/>
          <w:lang w:val="en-US"/>
        </w:rPr>
        <w:t>Financial Analysts Journal</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39(2)</w:t>
      </w:r>
      <w:r w:rsidR="00E751EB" w:rsidRPr="00F4226B">
        <w:rPr>
          <w:rFonts w:ascii="Times New Roman" w:hAnsi="Times New Roman"/>
          <w:sz w:val="24"/>
          <w:szCs w:val="24"/>
          <w:lang w:val="en-US"/>
        </w:rPr>
        <w:t>,</w:t>
      </w:r>
      <w:r w:rsidRPr="00F4226B">
        <w:rPr>
          <w:rFonts w:ascii="Times New Roman" w:hAnsi="Times New Roman"/>
          <w:sz w:val="24"/>
          <w:szCs w:val="24"/>
          <w:lang w:val="en-US"/>
        </w:rPr>
        <w:t xml:space="preserve"> 26</w:t>
      </w:r>
      <w:r w:rsidR="00985DDF">
        <w:rPr>
          <w:rFonts w:ascii="Times New Roman" w:hAnsi="Times New Roman"/>
          <w:sz w:val="24"/>
          <w:szCs w:val="24"/>
          <w:lang w:val="en-US"/>
        </w:rPr>
        <w:t>–</w:t>
      </w:r>
      <w:r w:rsidRPr="00F4226B">
        <w:rPr>
          <w:rFonts w:ascii="Times New Roman" w:hAnsi="Times New Roman"/>
          <w:sz w:val="24"/>
          <w:szCs w:val="24"/>
          <w:lang w:val="en-US"/>
        </w:rPr>
        <w:t>30.</w:t>
      </w:r>
    </w:p>
    <w:p w14:paraId="59C9AB27" w14:textId="77777777" w:rsidR="00442201" w:rsidRPr="00F4226B" w:rsidRDefault="00FF4082" w:rsidP="00E751EB">
      <w:pPr>
        <w:autoSpaceDE w:val="0"/>
        <w:autoSpaceDN w:val="0"/>
        <w:adjustRightInd w:val="0"/>
        <w:spacing w:after="0"/>
        <w:ind w:left="284" w:hanging="284"/>
        <w:jc w:val="both"/>
        <w:rPr>
          <w:rFonts w:ascii="Times New Roman" w:hAnsi="Times New Roman"/>
          <w:sz w:val="24"/>
          <w:szCs w:val="24"/>
          <w:lang w:val="en-US" w:eastAsia="en-GB"/>
        </w:rPr>
      </w:pPr>
      <w:r w:rsidRPr="00F4226B">
        <w:rPr>
          <w:rFonts w:ascii="Times New Roman" w:hAnsi="Times New Roman"/>
          <w:sz w:val="24"/>
          <w:szCs w:val="24"/>
          <w:lang w:val="en-US"/>
        </w:rPr>
        <w:lastRenderedPageBreak/>
        <w:t>Beaver, W.</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H.</w:t>
      </w:r>
      <w:r w:rsidR="00E751EB" w:rsidRPr="00F4226B">
        <w:rPr>
          <w:rFonts w:ascii="Times New Roman" w:hAnsi="Times New Roman"/>
          <w:sz w:val="24"/>
          <w:szCs w:val="24"/>
          <w:lang w:val="en-US"/>
        </w:rPr>
        <w:t>, &amp;</w:t>
      </w:r>
      <w:r w:rsidRPr="00F4226B">
        <w:rPr>
          <w:rFonts w:ascii="Times New Roman" w:hAnsi="Times New Roman"/>
          <w:sz w:val="24"/>
          <w:szCs w:val="24"/>
          <w:lang w:val="en-US"/>
        </w:rPr>
        <w:t xml:space="preserve"> Landsman, W.</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R. (1983).</w:t>
      </w:r>
      <w:r w:rsidRPr="00F4226B">
        <w:rPr>
          <w:rFonts w:ascii="Times New Roman" w:hAnsi="Times New Roman"/>
          <w:sz w:val="24"/>
          <w:szCs w:val="24"/>
          <w:lang w:val="en-US" w:eastAsia="en-GB"/>
        </w:rPr>
        <w:t xml:space="preserve"> </w:t>
      </w:r>
      <w:r w:rsidRPr="00F4226B">
        <w:rPr>
          <w:rFonts w:ascii="Times New Roman" w:hAnsi="Times New Roman"/>
          <w:i/>
          <w:iCs/>
          <w:sz w:val="24"/>
          <w:szCs w:val="24"/>
          <w:lang w:val="en-US" w:eastAsia="en-GB"/>
        </w:rPr>
        <w:t>Incremental Information Content of Statement 33 Disclosures</w:t>
      </w:r>
      <w:r w:rsidR="00795614" w:rsidRPr="00F4226B">
        <w:rPr>
          <w:rFonts w:ascii="Times New Roman" w:hAnsi="Times New Roman"/>
          <w:i/>
          <w:iCs/>
          <w:sz w:val="24"/>
          <w:szCs w:val="24"/>
          <w:lang w:val="en-US" w:eastAsia="en-GB"/>
        </w:rPr>
        <w:t>.</w:t>
      </w:r>
      <w:r w:rsidRPr="00F4226B">
        <w:rPr>
          <w:rFonts w:ascii="Times New Roman" w:hAnsi="Times New Roman"/>
          <w:i/>
          <w:iCs/>
          <w:sz w:val="24"/>
          <w:szCs w:val="24"/>
          <w:lang w:val="en-US" w:eastAsia="en-GB"/>
        </w:rPr>
        <w:t xml:space="preserve"> </w:t>
      </w:r>
      <w:r w:rsidRPr="00F4226B">
        <w:rPr>
          <w:rFonts w:ascii="Times New Roman" w:hAnsi="Times New Roman"/>
          <w:sz w:val="24"/>
          <w:szCs w:val="24"/>
          <w:lang w:val="en-US" w:eastAsia="en-GB"/>
        </w:rPr>
        <w:t>FASB Research Report. Norwalk, CT: FASB.</w:t>
      </w:r>
    </w:p>
    <w:p w14:paraId="28B7ECBB" w14:textId="506C0E7D" w:rsidR="00713EC8" w:rsidRPr="00F4226B" w:rsidRDefault="00713EC8" w:rsidP="00E751EB">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Berliner, R.</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W. (1983). Do analysts use inflation-adjusted information? Results of a survey</w:t>
      </w:r>
      <w:r w:rsidR="00E751EB"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Financial Analysts Journal</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00E751EB" w:rsidRPr="00F4226B">
        <w:rPr>
          <w:rFonts w:ascii="Times New Roman" w:hAnsi="Times New Roman"/>
          <w:sz w:val="24"/>
          <w:szCs w:val="24"/>
          <w:lang w:val="en-US"/>
        </w:rPr>
        <w:t>39(2),</w:t>
      </w:r>
      <w:r w:rsidRPr="00F4226B">
        <w:rPr>
          <w:rFonts w:ascii="Times New Roman" w:hAnsi="Times New Roman"/>
          <w:sz w:val="24"/>
          <w:szCs w:val="24"/>
          <w:lang w:val="en-US"/>
        </w:rPr>
        <w:t xml:space="preserve"> 65</w:t>
      </w:r>
      <w:r w:rsidR="00985DDF">
        <w:rPr>
          <w:rFonts w:ascii="Times New Roman" w:hAnsi="Times New Roman"/>
          <w:sz w:val="24"/>
          <w:szCs w:val="24"/>
          <w:lang w:val="en-US"/>
        </w:rPr>
        <w:t>–</w:t>
      </w:r>
      <w:r w:rsidRPr="00F4226B">
        <w:rPr>
          <w:rFonts w:ascii="Times New Roman" w:hAnsi="Times New Roman"/>
          <w:sz w:val="24"/>
          <w:szCs w:val="24"/>
          <w:lang w:val="en-US"/>
        </w:rPr>
        <w:t>72</w:t>
      </w:r>
      <w:r w:rsidR="00E751EB" w:rsidRPr="00F4226B">
        <w:rPr>
          <w:rFonts w:ascii="Times New Roman" w:hAnsi="Times New Roman"/>
          <w:sz w:val="24"/>
          <w:szCs w:val="24"/>
          <w:lang w:val="en-US"/>
        </w:rPr>
        <w:t>.</w:t>
      </w:r>
    </w:p>
    <w:p w14:paraId="33019B8D" w14:textId="5C74AE3F" w:rsidR="00FB10A7" w:rsidRPr="00F4226B" w:rsidRDefault="00FB10A7" w:rsidP="00E751EB">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Biddle, G.</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C., Seow, G.</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S.</w:t>
      </w:r>
      <w:r w:rsidR="00E751EB" w:rsidRPr="00F4226B">
        <w:rPr>
          <w:rFonts w:ascii="Times New Roman" w:hAnsi="Times New Roman"/>
          <w:sz w:val="24"/>
          <w:szCs w:val="24"/>
          <w:lang w:val="en-US"/>
        </w:rPr>
        <w:t>, &amp;</w:t>
      </w:r>
      <w:r w:rsidRPr="00F4226B">
        <w:rPr>
          <w:rFonts w:ascii="Times New Roman" w:hAnsi="Times New Roman"/>
          <w:sz w:val="24"/>
          <w:szCs w:val="24"/>
          <w:lang w:val="en-US"/>
        </w:rPr>
        <w:t xml:space="preserve"> Siegel, A.</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F. (1995). Relative versus </w:t>
      </w:r>
      <w:r w:rsidR="006D1904" w:rsidRPr="00F4226B">
        <w:rPr>
          <w:rFonts w:ascii="Times New Roman" w:hAnsi="Times New Roman"/>
          <w:sz w:val="24"/>
          <w:szCs w:val="24"/>
          <w:lang w:val="en-US"/>
        </w:rPr>
        <w:t>incrémental</w:t>
      </w:r>
      <w:r w:rsidRPr="00F4226B">
        <w:rPr>
          <w:rFonts w:ascii="Times New Roman" w:hAnsi="Times New Roman"/>
          <w:sz w:val="24"/>
          <w:szCs w:val="24"/>
          <w:lang w:val="en-US"/>
        </w:rPr>
        <w:t xml:space="preserve"> information content. </w:t>
      </w:r>
      <w:r w:rsidRPr="00F4226B">
        <w:rPr>
          <w:rFonts w:ascii="Times New Roman" w:hAnsi="Times New Roman"/>
          <w:i/>
          <w:sz w:val="24"/>
          <w:szCs w:val="24"/>
          <w:lang w:val="en-US"/>
        </w:rPr>
        <w:t>Contemporary Accounting Research</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12(1)</w:t>
      </w:r>
      <w:r w:rsidR="0072493F" w:rsidRPr="00F4226B">
        <w:rPr>
          <w:rFonts w:ascii="Times New Roman" w:hAnsi="Times New Roman"/>
          <w:sz w:val="24"/>
          <w:szCs w:val="24"/>
          <w:lang w:val="en-US"/>
        </w:rPr>
        <w:t>,</w:t>
      </w:r>
      <w:r w:rsidRPr="00F4226B">
        <w:rPr>
          <w:rFonts w:ascii="Times New Roman" w:hAnsi="Times New Roman"/>
          <w:sz w:val="24"/>
          <w:szCs w:val="24"/>
          <w:lang w:val="en-US"/>
        </w:rPr>
        <w:t xml:space="preserve"> 1</w:t>
      </w:r>
      <w:r w:rsidR="00985DDF">
        <w:rPr>
          <w:rFonts w:ascii="Times New Roman" w:hAnsi="Times New Roman"/>
          <w:sz w:val="24"/>
          <w:szCs w:val="24"/>
          <w:lang w:val="en-US"/>
        </w:rPr>
        <w:t>–</w:t>
      </w:r>
      <w:r w:rsidRPr="00F4226B">
        <w:rPr>
          <w:rFonts w:ascii="Times New Roman" w:hAnsi="Times New Roman"/>
          <w:sz w:val="24"/>
          <w:szCs w:val="24"/>
          <w:lang w:val="en-US"/>
        </w:rPr>
        <w:t>23.</w:t>
      </w:r>
    </w:p>
    <w:p w14:paraId="5FB92CFD" w14:textId="77777777" w:rsidR="007564E9" w:rsidRPr="00F4226B" w:rsidRDefault="007564E9" w:rsidP="0072493F">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Board, J.</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G.</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L.</w:t>
      </w:r>
      <w:r w:rsidR="0072493F" w:rsidRPr="00F4226B">
        <w:rPr>
          <w:rFonts w:ascii="Times New Roman" w:hAnsi="Times New Roman"/>
          <w:sz w:val="24"/>
          <w:szCs w:val="24"/>
          <w:lang w:val="en-US"/>
        </w:rPr>
        <w:t>, &amp;</w:t>
      </w:r>
      <w:r w:rsidRPr="00F4226B">
        <w:rPr>
          <w:rFonts w:ascii="Times New Roman" w:hAnsi="Times New Roman"/>
          <w:sz w:val="24"/>
          <w:szCs w:val="24"/>
          <w:lang w:val="en-US"/>
        </w:rPr>
        <w:t xml:space="preserve"> Walker, M. (1984). The information content of SSAP 16 earnings changes. In </w:t>
      </w:r>
      <w:r w:rsidR="0072493F" w:rsidRPr="00F4226B">
        <w:rPr>
          <w:rFonts w:ascii="Times New Roman" w:hAnsi="Times New Roman"/>
          <w:sz w:val="24"/>
          <w:szCs w:val="24"/>
          <w:lang w:val="en-US"/>
        </w:rPr>
        <w:t xml:space="preserve">B. Carsberg </w:t>
      </w:r>
      <w:r w:rsidR="00AE51EA" w:rsidRPr="00F4226B">
        <w:rPr>
          <w:rFonts w:ascii="Times New Roman" w:hAnsi="Times New Roman"/>
          <w:sz w:val="24"/>
          <w:szCs w:val="24"/>
          <w:lang w:val="en-US"/>
        </w:rPr>
        <w:t xml:space="preserve">&amp; M. Page (Eds.), </w:t>
      </w:r>
      <w:r w:rsidRPr="00F4226B">
        <w:rPr>
          <w:rFonts w:ascii="Times New Roman" w:hAnsi="Times New Roman"/>
          <w:i/>
          <w:sz w:val="24"/>
          <w:szCs w:val="24"/>
          <w:lang w:val="en-US"/>
        </w:rPr>
        <w:t>Current cost accounting: The benefits and costs</w:t>
      </w:r>
      <w:r w:rsidR="00AE51EA" w:rsidRPr="00F4226B">
        <w:rPr>
          <w:rFonts w:ascii="Times New Roman" w:hAnsi="Times New Roman"/>
          <w:sz w:val="24"/>
          <w:szCs w:val="24"/>
          <w:lang w:val="en-US"/>
        </w:rPr>
        <w:t xml:space="preserve"> (pp.</w:t>
      </w:r>
      <w:r w:rsidRPr="00F4226B">
        <w:rPr>
          <w:rFonts w:ascii="Times New Roman" w:hAnsi="Times New Roman"/>
          <w:sz w:val="24"/>
          <w:szCs w:val="24"/>
          <w:lang w:val="en-US"/>
        </w:rPr>
        <w:t xml:space="preserve"> 245-252</w:t>
      </w:r>
      <w:r w:rsidR="00AE51EA" w:rsidRPr="00F4226B">
        <w:rPr>
          <w:rFonts w:ascii="Times New Roman" w:hAnsi="Times New Roman"/>
          <w:sz w:val="24"/>
          <w:szCs w:val="24"/>
          <w:lang w:val="en-US"/>
        </w:rPr>
        <w:t>)</w:t>
      </w:r>
      <w:r w:rsidR="007C16AF"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00AE51EA" w:rsidRPr="00F4226B">
        <w:rPr>
          <w:rFonts w:ascii="Times New Roman" w:hAnsi="Times New Roman"/>
          <w:sz w:val="24"/>
          <w:szCs w:val="24"/>
          <w:lang w:val="en-US"/>
        </w:rPr>
        <w:t xml:space="preserve">London: </w:t>
      </w:r>
      <w:r w:rsidRPr="00F4226B">
        <w:rPr>
          <w:rFonts w:ascii="Times New Roman" w:hAnsi="Times New Roman"/>
          <w:sz w:val="24"/>
          <w:szCs w:val="24"/>
          <w:lang w:val="en-US"/>
        </w:rPr>
        <w:t>Prentice-Hall International.</w:t>
      </w:r>
    </w:p>
    <w:p w14:paraId="5DFFCBA9" w14:textId="034D82C1" w:rsidR="002909E8" w:rsidRPr="00F4226B" w:rsidRDefault="002909E8" w:rsidP="00AE51EA">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Brayshaw, R.</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E.</w:t>
      </w:r>
      <w:r w:rsidR="00AE51EA" w:rsidRPr="00F4226B">
        <w:rPr>
          <w:rFonts w:ascii="Times New Roman" w:hAnsi="Times New Roman"/>
          <w:sz w:val="24"/>
          <w:szCs w:val="24"/>
          <w:lang w:val="en-US"/>
        </w:rPr>
        <w:t>, &amp;</w:t>
      </w:r>
      <w:r w:rsidRPr="00F4226B">
        <w:rPr>
          <w:rFonts w:ascii="Times New Roman" w:hAnsi="Times New Roman"/>
          <w:sz w:val="24"/>
          <w:szCs w:val="24"/>
          <w:lang w:val="en-US"/>
        </w:rPr>
        <w:t xml:space="preserve"> Miro, A.</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R.</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O. (198</w:t>
      </w:r>
      <w:r w:rsidR="00B71E67" w:rsidRPr="00F4226B">
        <w:rPr>
          <w:rFonts w:ascii="Times New Roman" w:hAnsi="Times New Roman"/>
          <w:sz w:val="24"/>
          <w:szCs w:val="24"/>
          <w:lang w:val="en-US"/>
        </w:rPr>
        <w:t>5</w:t>
      </w:r>
      <w:r w:rsidRPr="00F4226B">
        <w:rPr>
          <w:rFonts w:ascii="Times New Roman" w:hAnsi="Times New Roman"/>
          <w:sz w:val="24"/>
          <w:szCs w:val="24"/>
          <w:lang w:val="en-US"/>
        </w:rPr>
        <w:t>). The information content of inflation-adjusted financial statements</w:t>
      </w:r>
      <w:r w:rsidR="00795614"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Journal of Business Finance and Accounting</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12 (2)</w:t>
      </w:r>
      <w:r w:rsidR="00AE51EA" w:rsidRPr="00F4226B">
        <w:rPr>
          <w:rFonts w:ascii="Times New Roman" w:hAnsi="Times New Roman"/>
          <w:sz w:val="24"/>
          <w:szCs w:val="24"/>
          <w:lang w:val="en-US"/>
        </w:rPr>
        <w:t>,</w:t>
      </w:r>
      <w:r w:rsidRPr="00F4226B">
        <w:rPr>
          <w:rFonts w:ascii="Times New Roman" w:hAnsi="Times New Roman"/>
          <w:sz w:val="24"/>
          <w:szCs w:val="24"/>
          <w:lang w:val="en-US"/>
        </w:rPr>
        <w:t xml:space="preserve"> 249</w:t>
      </w:r>
      <w:r w:rsidR="00985DDF">
        <w:rPr>
          <w:rFonts w:ascii="Times New Roman" w:hAnsi="Times New Roman"/>
          <w:sz w:val="24"/>
          <w:szCs w:val="24"/>
          <w:lang w:val="en-US"/>
        </w:rPr>
        <w:t>–</w:t>
      </w:r>
      <w:r w:rsidRPr="00F4226B">
        <w:rPr>
          <w:rFonts w:ascii="Times New Roman" w:hAnsi="Times New Roman"/>
          <w:sz w:val="24"/>
          <w:szCs w:val="24"/>
          <w:lang w:val="en-US"/>
        </w:rPr>
        <w:t>261</w:t>
      </w:r>
      <w:r w:rsidR="00B443C7" w:rsidRPr="00F4226B">
        <w:rPr>
          <w:rFonts w:ascii="Times New Roman" w:hAnsi="Times New Roman"/>
          <w:sz w:val="24"/>
          <w:szCs w:val="24"/>
          <w:lang w:val="en-US"/>
        </w:rPr>
        <w:t>.</w:t>
      </w:r>
    </w:p>
    <w:p w14:paraId="393505DC" w14:textId="77777777" w:rsidR="00E77859" w:rsidRPr="00F4226B" w:rsidRDefault="00E77859" w:rsidP="00AE51EA">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Brixiova, Z.</w:t>
      </w:r>
      <w:r w:rsidR="00AE51EA" w:rsidRPr="00F4226B">
        <w:rPr>
          <w:rFonts w:ascii="Times New Roman" w:hAnsi="Times New Roman"/>
          <w:sz w:val="24"/>
          <w:szCs w:val="24"/>
          <w:lang w:val="en-US"/>
        </w:rPr>
        <w:t>, &amp;</w:t>
      </w:r>
      <w:r w:rsidRPr="00F4226B">
        <w:rPr>
          <w:rFonts w:ascii="Times New Roman" w:hAnsi="Times New Roman"/>
          <w:sz w:val="24"/>
          <w:szCs w:val="24"/>
          <w:lang w:val="en-US"/>
        </w:rPr>
        <w:t xml:space="preserve"> Ncube, M. (2014). </w:t>
      </w:r>
      <w:r w:rsidRPr="00F4226B">
        <w:rPr>
          <w:rFonts w:ascii="Times New Roman" w:hAnsi="Times New Roman"/>
          <w:i/>
          <w:sz w:val="24"/>
          <w:szCs w:val="24"/>
          <w:lang w:val="en-US"/>
        </w:rPr>
        <w:t>The real exchange rate and growth in Zimbabwe: Does the currency regime matter?</w:t>
      </w:r>
      <w:r w:rsidRPr="00F4226B">
        <w:rPr>
          <w:rFonts w:ascii="Times New Roman" w:hAnsi="Times New Roman"/>
          <w:sz w:val="24"/>
          <w:szCs w:val="24"/>
          <w:lang w:val="en-US"/>
        </w:rPr>
        <w:t xml:space="preserve"> Working Paper</w:t>
      </w:r>
      <w:r w:rsidR="001C32A4" w:rsidRPr="00F4226B">
        <w:rPr>
          <w:rFonts w:ascii="Times New Roman" w:hAnsi="Times New Roman"/>
          <w:sz w:val="24"/>
          <w:szCs w:val="24"/>
          <w:lang w:val="en-US"/>
        </w:rPr>
        <w:t xml:space="preserve">, </w:t>
      </w:r>
      <w:r w:rsidRPr="00F4226B">
        <w:rPr>
          <w:rFonts w:ascii="Times New Roman" w:hAnsi="Times New Roman"/>
          <w:sz w:val="24"/>
          <w:szCs w:val="24"/>
          <w:lang w:val="en-US"/>
        </w:rPr>
        <w:t>African Development Bank</w:t>
      </w:r>
      <w:r w:rsidR="00AE51EA" w:rsidRPr="00F4226B">
        <w:rPr>
          <w:rFonts w:ascii="Times New Roman" w:hAnsi="Times New Roman"/>
          <w:sz w:val="24"/>
          <w:szCs w:val="24"/>
          <w:lang w:val="en-US"/>
        </w:rPr>
        <w:t>.</w:t>
      </w:r>
      <w:r w:rsidRPr="00F4226B">
        <w:rPr>
          <w:rFonts w:ascii="Times New Roman" w:hAnsi="Times New Roman"/>
          <w:sz w:val="24"/>
          <w:szCs w:val="24"/>
          <w:lang w:val="en-US"/>
        </w:rPr>
        <w:t xml:space="preserve"> </w:t>
      </w:r>
    </w:p>
    <w:p w14:paraId="422E9F3D" w14:textId="77777777" w:rsidR="00B3280B" w:rsidRPr="00F4226B" w:rsidRDefault="00B3280B" w:rsidP="00AE51EA">
      <w:pPr>
        <w:autoSpaceDE w:val="0"/>
        <w:autoSpaceDN w:val="0"/>
        <w:adjustRightInd w:val="0"/>
        <w:spacing w:after="0" w:line="240" w:lineRule="auto"/>
        <w:ind w:left="284" w:hanging="284"/>
        <w:jc w:val="both"/>
        <w:rPr>
          <w:rFonts w:ascii="Times New Roman" w:hAnsi="Times New Roman"/>
          <w:sz w:val="24"/>
          <w:szCs w:val="24"/>
          <w:lang w:val="en-US"/>
        </w:rPr>
      </w:pPr>
      <w:r w:rsidRPr="00F4226B">
        <w:rPr>
          <w:rFonts w:ascii="Times New Roman" w:hAnsi="Times New Roman"/>
          <w:sz w:val="24"/>
          <w:szCs w:val="24"/>
          <w:lang w:val="en-US" w:eastAsia="en-GB"/>
        </w:rPr>
        <w:lastRenderedPageBreak/>
        <w:t>Carsberg, B.</w:t>
      </w:r>
      <w:r w:rsidR="00AE51EA" w:rsidRPr="00F4226B">
        <w:rPr>
          <w:rFonts w:ascii="Times New Roman" w:hAnsi="Times New Roman"/>
          <w:sz w:val="24"/>
          <w:szCs w:val="24"/>
          <w:lang w:val="en-US" w:eastAsia="en-GB"/>
        </w:rPr>
        <w:t>, &amp;</w:t>
      </w:r>
      <w:r w:rsidRPr="00F4226B">
        <w:rPr>
          <w:rFonts w:ascii="Times New Roman" w:hAnsi="Times New Roman"/>
          <w:sz w:val="24"/>
          <w:szCs w:val="24"/>
          <w:lang w:val="en-US" w:eastAsia="en-GB"/>
        </w:rPr>
        <w:t xml:space="preserve"> Day, J. (1984). The use of current cost accounting information by stockbrokers. In </w:t>
      </w:r>
      <w:r w:rsidR="00AE51EA" w:rsidRPr="00F4226B">
        <w:rPr>
          <w:rFonts w:ascii="Times New Roman" w:hAnsi="Times New Roman"/>
          <w:sz w:val="24"/>
          <w:szCs w:val="24"/>
          <w:lang w:val="en-US"/>
        </w:rPr>
        <w:t xml:space="preserve">B. Carsberg &amp; M. Page (Eds.), </w:t>
      </w:r>
      <w:r w:rsidRPr="00F4226B">
        <w:rPr>
          <w:rFonts w:ascii="Times New Roman" w:hAnsi="Times New Roman"/>
          <w:i/>
          <w:iCs/>
          <w:sz w:val="24"/>
          <w:szCs w:val="24"/>
          <w:lang w:val="en-US" w:eastAsia="en-GB"/>
        </w:rPr>
        <w:t>Current Cost Accounting: The Benefits and the Costs</w:t>
      </w:r>
      <w:r w:rsidR="00AE51EA" w:rsidRPr="00F4226B">
        <w:rPr>
          <w:rFonts w:ascii="Times New Roman" w:hAnsi="Times New Roman"/>
          <w:sz w:val="24"/>
          <w:szCs w:val="24"/>
          <w:lang w:val="en-US" w:eastAsia="en-GB"/>
        </w:rPr>
        <w:t xml:space="preserve"> (pp.</w:t>
      </w:r>
      <w:r w:rsidRPr="00F4226B">
        <w:rPr>
          <w:rFonts w:ascii="Times New Roman" w:hAnsi="Times New Roman"/>
          <w:sz w:val="24"/>
          <w:szCs w:val="24"/>
          <w:lang w:val="en-US" w:eastAsia="en-GB"/>
        </w:rPr>
        <w:t xml:space="preserve"> 149-171</w:t>
      </w:r>
      <w:r w:rsidR="00AE51EA" w:rsidRPr="00F4226B">
        <w:rPr>
          <w:rFonts w:ascii="Times New Roman" w:hAnsi="Times New Roman"/>
          <w:sz w:val="24"/>
          <w:szCs w:val="24"/>
          <w:lang w:val="en-US" w:eastAsia="en-GB"/>
        </w:rPr>
        <w:t>).</w:t>
      </w:r>
      <w:r w:rsidRPr="00F4226B">
        <w:rPr>
          <w:rFonts w:ascii="Times New Roman" w:hAnsi="Times New Roman"/>
          <w:sz w:val="24"/>
          <w:szCs w:val="24"/>
          <w:lang w:val="en-US" w:eastAsia="en-GB"/>
        </w:rPr>
        <w:t xml:space="preserve"> </w:t>
      </w:r>
      <w:r w:rsidR="009D7A0F" w:rsidRPr="00F4226B">
        <w:rPr>
          <w:rFonts w:ascii="Times New Roman" w:hAnsi="Times New Roman"/>
          <w:sz w:val="24"/>
          <w:szCs w:val="24"/>
          <w:lang w:val="en-US" w:eastAsia="en-GB"/>
        </w:rPr>
        <w:t xml:space="preserve">London: </w:t>
      </w:r>
      <w:r w:rsidRPr="00F4226B">
        <w:rPr>
          <w:rFonts w:ascii="Times New Roman" w:hAnsi="Times New Roman"/>
          <w:sz w:val="24"/>
          <w:szCs w:val="24"/>
          <w:lang w:val="en-US" w:eastAsia="en-GB"/>
        </w:rPr>
        <w:t>Prentice-Hall International.</w:t>
      </w:r>
    </w:p>
    <w:p w14:paraId="119FCA98" w14:textId="4F9DCDC0" w:rsidR="00DC0CCB" w:rsidRPr="00F4226B" w:rsidRDefault="00DC0CCB"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Chamisa, E.</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(2000). The relevance and observance of the IASC standards in developing countries and the particular case of Zimbabwe. </w:t>
      </w:r>
      <w:r w:rsidRPr="00F4226B">
        <w:rPr>
          <w:rFonts w:ascii="Times New Roman" w:hAnsi="Times New Roman"/>
          <w:i/>
          <w:iCs/>
          <w:sz w:val="24"/>
          <w:szCs w:val="24"/>
          <w:lang w:val="en-US"/>
        </w:rPr>
        <w:t>The International Journal of Accounting</w:t>
      </w:r>
      <w:r w:rsidRPr="00804A08">
        <w:rPr>
          <w:rFonts w:ascii="Times New Roman" w:hAnsi="Times New Roman"/>
          <w:iCs/>
          <w:sz w:val="24"/>
          <w:szCs w:val="24"/>
          <w:lang w:val="en-US"/>
        </w:rPr>
        <w:t>,</w:t>
      </w:r>
      <w:r w:rsidRPr="00F4226B">
        <w:rPr>
          <w:rFonts w:ascii="Times New Roman" w:hAnsi="Times New Roman"/>
          <w:sz w:val="24"/>
          <w:szCs w:val="24"/>
          <w:lang w:val="en-US"/>
        </w:rPr>
        <w:t xml:space="preserve"> 35(2)</w:t>
      </w:r>
      <w:r w:rsidR="009D7A0F" w:rsidRPr="00F4226B">
        <w:rPr>
          <w:rFonts w:ascii="Times New Roman" w:hAnsi="Times New Roman"/>
          <w:sz w:val="24"/>
          <w:szCs w:val="24"/>
          <w:lang w:val="en-US"/>
        </w:rPr>
        <w:t>,</w:t>
      </w:r>
      <w:r w:rsidRPr="00F4226B">
        <w:rPr>
          <w:rFonts w:ascii="Times New Roman" w:hAnsi="Times New Roman"/>
          <w:sz w:val="24"/>
          <w:szCs w:val="24"/>
          <w:lang w:val="en-US"/>
        </w:rPr>
        <w:t xml:space="preserve"> 267</w:t>
      </w:r>
      <w:r w:rsidR="00985DDF">
        <w:rPr>
          <w:rFonts w:ascii="Times New Roman" w:hAnsi="Times New Roman"/>
          <w:sz w:val="24"/>
          <w:szCs w:val="24"/>
          <w:lang w:val="en-US"/>
        </w:rPr>
        <w:t>–</w:t>
      </w:r>
      <w:r w:rsidRPr="00F4226B">
        <w:rPr>
          <w:rFonts w:ascii="Times New Roman" w:hAnsi="Times New Roman"/>
          <w:sz w:val="24"/>
          <w:szCs w:val="24"/>
          <w:lang w:val="en-US"/>
        </w:rPr>
        <w:t>286.</w:t>
      </w:r>
    </w:p>
    <w:p w14:paraId="3A2BDE1E" w14:textId="73EB1BF6" w:rsidR="00A23946" w:rsidRPr="00F4226B" w:rsidRDefault="00A23946"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Chamisa, E. (2007). The use and perceived usefulness of IAS 29 restated financial statements by Zimbabwean investment analysts. </w:t>
      </w:r>
      <w:r w:rsidRPr="00F4226B">
        <w:rPr>
          <w:rFonts w:ascii="Times New Roman" w:hAnsi="Times New Roman"/>
          <w:i/>
          <w:sz w:val="24"/>
          <w:szCs w:val="24"/>
          <w:lang w:val="en-US"/>
        </w:rPr>
        <w:t>South African Journal of Accounting Research</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21(1)</w:t>
      </w:r>
      <w:r w:rsidR="009D7A0F" w:rsidRPr="00F4226B">
        <w:rPr>
          <w:rFonts w:ascii="Times New Roman" w:hAnsi="Times New Roman"/>
          <w:sz w:val="24"/>
          <w:szCs w:val="24"/>
          <w:lang w:val="en-US"/>
        </w:rPr>
        <w:t>,</w:t>
      </w:r>
      <w:r w:rsidRPr="00F4226B">
        <w:rPr>
          <w:rFonts w:ascii="Times New Roman" w:hAnsi="Times New Roman"/>
          <w:sz w:val="24"/>
          <w:szCs w:val="24"/>
          <w:lang w:val="en-US"/>
        </w:rPr>
        <w:t xml:space="preserve"> 57</w:t>
      </w:r>
      <w:r w:rsidR="00985DDF">
        <w:rPr>
          <w:rFonts w:ascii="Times New Roman" w:hAnsi="Times New Roman"/>
          <w:sz w:val="24"/>
          <w:szCs w:val="24"/>
          <w:lang w:val="en-US"/>
        </w:rPr>
        <w:t>–</w:t>
      </w:r>
      <w:r w:rsidRPr="00F4226B">
        <w:rPr>
          <w:rFonts w:ascii="Times New Roman" w:hAnsi="Times New Roman"/>
          <w:sz w:val="24"/>
          <w:szCs w:val="24"/>
          <w:lang w:val="en-US"/>
        </w:rPr>
        <w:t>79.</w:t>
      </w:r>
    </w:p>
    <w:p w14:paraId="3FF507E1" w14:textId="108D84EF" w:rsidR="00036753" w:rsidRPr="00F4226B" w:rsidRDefault="00036753" w:rsidP="004A4D70">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Chamisa, E., Mangena, M., Pamburai, </w:t>
      </w:r>
      <w:r w:rsidR="00E94F13">
        <w:rPr>
          <w:rFonts w:ascii="Times New Roman" w:hAnsi="Times New Roman"/>
          <w:sz w:val="24"/>
          <w:szCs w:val="24"/>
          <w:lang w:val="en-US"/>
        </w:rPr>
        <w:t xml:space="preserve">H. </w:t>
      </w:r>
      <w:r w:rsidRPr="00F4226B">
        <w:rPr>
          <w:rFonts w:ascii="Times New Roman" w:hAnsi="Times New Roman"/>
          <w:sz w:val="24"/>
          <w:szCs w:val="24"/>
          <w:lang w:val="en-US"/>
        </w:rPr>
        <w:t>H.</w:t>
      </w:r>
      <w:r w:rsidR="009D7A0F" w:rsidRPr="00F4226B">
        <w:rPr>
          <w:rFonts w:ascii="Times New Roman" w:hAnsi="Times New Roman"/>
          <w:sz w:val="24"/>
          <w:szCs w:val="24"/>
          <w:lang w:val="en-US"/>
        </w:rPr>
        <w:t>, &amp;</w:t>
      </w:r>
      <w:r w:rsidRPr="00F4226B">
        <w:rPr>
          <w:rFonts w:ascii="Times New Roman" w:hAnsi="Times New Roman"/>
          <w:sz w:val="24"/>
          <w:szCs w:val="24"/>
          <w:lang w:val="en-US"/>
        </w:rPr>
        <w:t xml:space="preserve"> Changunda, S. (2012). </w:t>
      </w:r>
      <w:r w:rsidRPr="00F4226B">
        <w:rPr>
          <w:rFonts w:ascii="Times New Roman" w:hAnsi="Times New Roman"/>
          <w:i/>
          <w:sz w:val="24"/>
          <w:szCs w:val="24"/>
          <w:lang w:val="en-US"/>
        </w:rPr>
        <w:t>Financial reporting in hyperinflationary economies: Some determinants of accounting policy preferences by Zimbabwean corporates.</w:t>
      </w:r>
      <w:r w:rsidRPr="00F4226B">
        <w:rPr>
          <w:rFonts w:ascii="Times New Roman" w:hAnsi="Times New Roman"/>
          <w:sz w:val="24"/>
          <w:szCs w:val="24"/>
          <w:lang w:val="en-US"/>
        </w:rPr>
        <w:t xml:space="preserve"> </w:t>
      </w:r>
      <w:r w:rsidR="001C32A4" w:rsidRPr="00F4226B">
        <w:rPr>
          <w:rFonts w:ascii="Times New Roman" w:hAnsi="Times New Roman"/>
          <w:sz w:val="24"/>
          <w:szCs w:val="24"/>
          <w:lang w:val="en-US"/>
        </w:rPr>
        <w:t>Working p</w:t>
      </w:r>
      <w:r w:rsidRPr="00F4226B">
        <w:rPr>
          <w:rFonts w:ascii="Times New Roman" w:hAnsi="Times New Roman"/>
          <w:sz w:val="24"/>
          <w:szCs w:val="24"/>
          <w:lang w:val="en-US"/>
        </w:rPr>
        <w:t>aper</w:t>
      </w:r>
      <w:r w:rsidR="001C32A4" w:rsidRPr="00F4226B">
        <w:rPr>
          <w:rFonts w:ascii="Times New Roman" w:hAnsi="Times New Roman"/>
          <w:sz w:val="24"/>
          <w:szCs w:val="24"/>
          <w:lang w:val="en-US"/>
        </w:rPr>
        <w:t xml:space="preserve">, University Cape </w:t>
      </w:r>
      <w:r w:rsidR="00E94F13">
        <w:rPr>
          <w:rFonts w:ascii="Times New Roman" w:hAnsi="Times New Roman"/>
          <w:sz w:val="24"/>
          <w:szCs w:val="24"/>
          <w:lang w:val="en-US"/>
        </w:rPr>
        <w:t xml:space="preserve">of </w:t>
      </w:r>
      <w:r w:rsidR="001C32A4" w:rsidRPr="00F4226B">
        <w:rPr>
          <w:rFonts w:ascii="Times New Roman" w:hAnsi="Times New Roman"/>
          <w:sz w:val="24"/>
          <w:szCs w:val="24"/>
          <w:lang w:val="en-US"/>
        </w:rPr>
        <w:t>Town.</w:t>
      </w:r>
      <w:r w:rsidRPr="00F4226B">
        <w:rPr>
          <w:rFonts w:ascii="Times New Roman" w:hAnsi="Times New Roman"/>
          <w:sz w:val="24"/>
          <w:szCs w:val="24"/>
          <w:lang w:val="en-US"/>
        </w:rPr>
        <w:t xml:space="preserve"> </w:t>
      </w:r>
    </w:p>
    <w:p w14:paraId="363C1A8E" w14:textId="63588573" w:rsidR="00E322DB" w:rsidRPr="00F4226B" w:rsidRDefault="00161C49" w:rsidP="004A4D70">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Collins, D.</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W.</w:t>
      </w:r>
      <w:r w:rsidR="005321E3"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00E322DB" w:rsidRPr="00F4226B">
        <w:rPr>
          <w:rFonts w:ascii="Times New Roman" w:hAnsi="Times New Roman"/>
          <w:sz w:val="24"/>
          <w:szCs w:val="24"/>
          <w:lang w:val="en-US"/>
        </w:rPr>
        <w:t>Maydew, E.</w:t>
      </w:r>
      <w:r w:rsidR="002831FB" w:rsidRPr="00F4226B">
        <w:rPr>
          <w:rFonts w:ascii="Times New Roman" w:hAnsi="Times New Roman"/>
          <w:sz w:val="24"/>
          <w:szCs w:val="24"/>
          <w:lang w:val="en-US"/>
        </w:rPr>
        <w:t xml:space="preserve"> </w:t>
      </w:r>
      <w:r w:rsidR="00E322DB" w:rsidRPr="00F4226B">
        <w:rPr>
          <w:rFonts w:ascii="Times New Roman" w:hAnsi="Times New Roman"/>
          <w:sz w:val="24"/>
          <w:szCs w:val="24"/>
          <w:lang w:val="en-US"/>
        </w:rPr>
        <w:t>L.</w:t>
      </w:r>
      <w:r w:rsidR="002831FB" w:rsidRPr="00F4226B">
        <w:rPr>
          <w:rFonts w:ascii="Times New Roman" w:hAnsi="Times New Roman"/>
          <w:sz w:val="24"/>
          <w:szCs w:val="24"/>
          <w:lang w:val="en-US"/>
        </w:rPr>
        <w:t>, &amp;</w:t>
      </w:r>
      <w:r w:rsidR="00E322DB" w:rsidRPr="00F4226B">
        <w:rPr>
          <w:rFonts w:ascii="Times New Roman" w:hAnsi="Times New Roman"/>
          <w:sz w:val="24"/>
          <w:szCs w:val="24"/>
          <w:lang w:val="en-US"/>
        </w:rPr>
        <w:t xml:space="preserve"> Weisis</w:t>
      </w:r>
      <w:r w:rsidRPr="00F4226B">
        <w:rPr>
          <w:rFonts w:ascii="Times New Roman" w:hAnsi="Times New Roman"/>
          <w:sz w:val="24"/>
          <w:szCs w:val="24"/>
          <w:lang w:val="en-US"/>
        </w:rPr>
        <w:t xml:space="preserve">, </w:t>
      </w:r>
      <w:r w:rsidR="00E322DB" w:rsidRPr="00F4226B">
        <w:rPr>
          <w:rFonts w:ascii="Times New Roman" w:hAnsi="Times New Roman"/>
          <w:sz w:val="24"/>
          <w:szCs w:val="24"/>
          <w:lang w:val="en-US"/>
        </w:rPr>
        <w:t>I.</w:t>
      </w:r>
      <w:r w:rsidR="00830A37" w:rsidRPr="00F4226B">
        <w:rPr>
          <w:rFonts w:ascii="Times New Roman" w:hAnsi="Times New Roman"/>
          <w:sz w:val="24"/>
          <w:szCs w:val="24"/>
          <w:lang w:val="en-US"/>
        </w:rPr>
        <w:t xml:space="preserve"> </w:t>
      </w:r>
      <w:r w:rsidR="00E322DB" w:rsidRPr="00F4226B">
        <w:rPr>
          <w:rFonts w:ascii="Times New Roman" w:hAnsi="Times New Roman"/>
          <w:sz w:val="24"/>
          <w:szCs w:val="24"/>
          <w:lang w:val="en-US"/>
        </w:rPr>
        <w:t>S</w:t>
      </w:r>
      <w:r w:rsidRPr="00F4226B">
        <w:rPr>
          <w:rFonts w:ascii="Times New Roman" w:hAnsi="Times New Roman"/>
          <w:sz w:val="24"/>
          <w:szCs w:val="24"/>
          <w:lang w:val="en-US"/>
        </w:rPr>
        <w:t>. (199</w:t>
      </w:r>
      <w:r w:rsidR="00E322DB" w:rsidRPr="00F4226B">
        <w:rPr>
          <w:rFonts w:ascii="Times New Roman" w:hAnsi="Times New Roman"/>
          <w:sz w:val="24"/>
          <w:szCs w:val="24"/>
          <w:lang w:val="en-US"/>
        </w:rPr>
        <w:t>7</w:t>
      </w:r>
      <w:r w:rsidRPr="00F4226B">
        <w:rPr>
          <w:rFonts w:ascii="Times New Roman" w:hAnsi="Times New Roman"/>
          <w:sz w:val="24"/>
          <w:szCs w:val="24"/>
          <w:lang w:val="en-US"/>
        </w:rPr>
        <w:t xml:space="preserve">). </w:t>
      </w:r>
      <w:r w:rsidR="00E322DB" w:rsidRPr="00F4226B">
        <w:rPr>
          <w:rFonts w:ascii="Times New Roman" w:hAnsi="Times New Roman"/>
          <w:sz w:val="24"/>
          <w:szCs w:val="24"/>
          <w:lang w:val="en-US"/>
        </w:rPr>
        <w:t>Changes in the value-relevance of earnings and book values over the past 40 years</w:t>
      </w:r>
      <w:r w:rsidR="002831FB" w:rsidRPr="00F4226B">
        <w:rPr>
          <w:rFonts w:ascii="Times New Roman" w:hAnsi="Times New Roman"/>
          <w:sz w:val="24"/>
          <w:szCs w:val="24"/>
          <w:lang w:val="en-US"/>
        </w:rPr>
        <w:t>.</w:t>
      </w:r>
      <w:r w:rsidR="00E322DB" w:rsidRPr="00F4226B">
        <w:rPr>
          <w:rFonts w:ascii="Times New Roman" w:hAnsi="Times New Roman"/>
          <w:sz w:val="24"/>
          <w:szCs w:val="24"/>
          <w:lang w:val="en-US"/>
        </w:rPr>
        <w:t xml:space="preserve"> </w:t>
      </w:r>
      <w:r w:rsidR="00E322DB" w:rsidRPr="00F4226B">
        <w:rPr>
          <w:rFonts w:ascii="Times New Roman" w:hAnsi="Times New Roman"/>
          <w:i/>
          <w:sz w:val="24"/>
          <w:szCs w:val="24"/>
          <w:lang w:val="en-US"/>
        </w:rPr>
        <w:t>Journal of Accounting and Economics</w:t>
      </w:r>
      <w:r w:rsidR="00E322DB" w:rsidRPr="00804A08">
        <w:rPr>
          <w:rFonts w:ascii="Times New Roman" w:hAnsi="Times New Roman"/>
          <w:sz w:val="24"/>
          <w:szCs w:val="24"/>
          <w:lang w:val="en-US"/>
        </w:rPr>
        <w:t>,</w:t>
      </w:r>
      <w:r w:rsidR="00E322DB" w:rsidRPr="00F4226B">
        <w:rPr>
          <w:rFonts w:ascii="Times New Roman" w:hAnsi="Times New Roman"/>
          <w:i/>
          <w:sz w:val="24"/>
          <w:szCs w:val="24"/>
          <w:lang w:val="en-US"/>
        </w:rPr>
        <w:t xml:space="preserve"> </w:t>
      </w:r>
      <w:r w:rsidR="00E322DB" w:rsidRPr="00F4226B">
        <w:rPr>
          <w:rFonts w:ascii="Times New Roman" w:hAnsi="Times New Roman"/>
          <w:sz w:val="24"/>
          <w:szCs w:val="24"/>
          <w:lang w:val="en-US"/>
        </w:rPr>
        <w:t>24</w:t>
      </w:r>
      <w:r w:rsidR="002831FB" w:rsidRPr="00F4226B">
        <w:rPr>
          <w:rFonts w:ascii="Times New Roman" w:hAnsi="Times New Roman"/>
          <w:sz w:val="24"/>
          <w:szCs w:val="24"/>
          <w:lang w:val="en-US"/>
        </w:rPr>
        <w:t>,</w:t>
      </w:r>
      <w:r w:rsidR="00E322DB" w:rsidRPr="00F4226B">
        <w:rPr>
          <w:rFonts w:ascii="Times New Roman" w:hAnsi="Times New Roman"/>
          <w:sz w:val="24"/>
          <w:szCs w:val="24"/>
          <w:lang w:val="en-US"/>
        </w:rPr>
        <w:t xml:space="preserve"> 39</w:t>
      </w:r>
      <w:r w:rsidR="00985DDF">
        <w:rPr>
          <w:rFonts w:ascii="Times New Roman" w:hAnsi="Times New Roman"/>
          <w:sz w:val="24"/>
          <w:szCs w:val="24"/>
          <w:lang w:val="en-US"/>
        </w:rPr>
        <w:t>–</w:t>
      </w:r>
      <w:r w:rsidR="00E322DB" w:rsidRPr="00F4226B">
        <w:rPr>
          <w:rFonts w:ascii="Times New Roman" w:hAnsi="Times New Roman"/>
          <w:sz w:val="24"/>
          <w:szCs w:val="24"/>
          <w:lang w:val="en-US"/>
        </w:rPr>
        <w:t>67</w:t>
      </w:r>
      <w:r w:rsidR="00495D1D">
        <w:rPr>
          <w:rFonts w:ascii="Times New Roman" w:hAnsi="Times New Roman"/>
          <w:sz w:val="24"/>
          <w:szCs w:val="24"/>
          <w:lang w:val="en-US"/>
        </w:rPr>
        <w:t>.</w:t>
      </w:r>
    </w:p>
    <w:p w14:paraId="3AD38EEE" w14:textId="1C0E6BF6" w:rsidR="005C0701" w:rsidRPr="00F4226B" w:rsidRDefault="005C0701" w:rsidP="00E751EB">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lastRenderedPageBreak/>
        <w:t>Collins, D.</w:t>
      </w:r>
      <w:r w:rsidR="002831FB" w:rsidRPr="00F4226B">
        <w:rPr>
          <w:rFonts w:ascii="Times New Roman" w:hAnsi="Times New Roman"/>
          <w:sz w:val="24"/>
          <w:szCs w:val="24"/>
          <w:lang w:val="en-US"/>
        </w:rPr>
        <w:t xml:space="preserve"> </w:t>
      </w:r>
      <w:r w:rsidRPr="00F4226B">
        <w:rPr>
          <w:rFonts w:ascii="Times New Roman" w:hAnsi="Times New Roman"/>
          <w:sz w:val="24"/>
          <w:szCs w:val="24"/>
          <w:lang w:val="en-US"/>
        </w:rPr>
        <w:t>W., Pincus, M.</w:t>
      </w:r>
      <w:r w:rsidR="002831FB" w:rsidRPr="00F4226B">
        <w:rPr>
          <w:rFonts w:ascii="Times New Roman" w:hAnsi="Times New Roman"/>
          <w:sz w:val="24"/>
          <w:szCs w:val="24"/>
          <w:lang w:val="en-US"/>
        </w:rPr>
        <w:t>, &amp;</w:t>
      </w:r>
      <w:r w:rsidRPr="00F4226B">
        <w:rPr>
          <w:rFonts w:ascii="Times New Roman" w:hAnsi="Times New Roman"/>
          <w:sz w:val="24"/>
          <w:szCs w:val="24"/>
          <w:lang w:val="en-US"/>
        </w:rPr>
        <w:t xml:space="preserve"> Xie, H. (1999). Equity valuation and negative earnings: The role of book value of equity. </w:t>
      </w:r>
      <w:r w:rsidRPr="00F4226B">
        <w:rPr>
          <w:rFonts w:ascii="Times New Roman" w:hAnsi="Times New Roman"/>
          <w:i/>
          <w:sz w:val="24"/>
          <w:szCs w:val="24"/>
          <w:lang w:val="en-US"/>
        </w:rPr>
        <w:t>The Accounting Review</w:t>
      </w:r>
      <w:r w:rsidRPr="00804A08">
        <w:rPr>
          <w:rFonts w:ascii="Times New Roman" w:hAnsi="Times New Roman"/>
          <w:sz w:val="24"/>
          <w:szCs w:val="24"/>
          <w:lang w:val="en-US"/>
        </w:rPr>
        <w:t>,</w:t>
      </w:r>
      <w:r w:rsidRPr="00F4226B">
        <w:rPr>
          <w:rFonts w:ascii="Times New Roman" w:hAnsi="Times New Roman"/>
          <w:sz w:val="24"/>
          <w:szCs w:val="24"/>
          <w:lang w:val="en-US"/>
        </w:rPr>
        <w:t xml:space="preserve"> 74(1)</w:t>
      </w:r>
      <w:r w:rsidR="002831FB" w:rsidRPr="00F4226B">
        <w:rPr>
          <w:rFonts w:ascii="Times New Roman" w:hAnsi="Times New Roman"/>
          <w:sz w:val="24"/>
          <w:szCs w:val="24"/>
          <w:lang w:val="en-US"/>
        </w:rPr>
        <w:t>,</w:t>
      </w:r>
      <w:r w:rsidRPr="00F4226B">
        <w:rPr>
          <w:rFonts w:ascii="Times New Roman" w:hAnsi="Times New Roman"/>
          <w:sz w:val="24"/>
          <w:szCs w:val="24"/>
          <w:lang w:val="en-US"/>
        </w:rPr>
        <w:t xml:space="preserve"> 29</w:t>
      </w:r>
      <w:r w:rsidR="00985DDF">
        <w:rPr>
          <w:rFonts w:ascii="Times New Roman" w:hAnsi="Times New Roman"/>
          <w:sz w:val="24"/>
          <w:szCs w:val="24"/>
          <w:lang w:val="en-US"/>
        </w:rPr>
        <w:t>–</w:t>
      </w:r>
      <w:r w:rsidRPr="00F4226B">
        <w:rPr>
          <w:rFonts w:ascii="Times New Roman" w:hAnsi="Times New Roman"/>
          <w:sz w:val="24"/>
          <w:szCs w:val="24"/>
          <w:lang w:val="en-US"/>
        </w:rPr>
        <w:t>61.</w:t>
      </w:r>
    </w:p>
    <w:p w14:paraId="611F1607" w14:textId="77777777" w:rsidR="006C14EC" w:rsidRPr="00F4226B" w:rsidRDefault="006C14EC" w:rsidP="00773BBD">
      <w:pPr>
        <w:spacing w:after="0"/>
        <w:ind w:left="540" w:hanging="540"/>
        <w:jc w:val="both"/>
        <w:rPr>
          <w:rFonts w:ascii="Times New Roman" w:hAnsi="Times New Roman"/>
          <w:sz w:val="24"/>
          <w:szCs w:val="24"/>
          <w:lang w:val="en-US"/>
        </w:rPr>
      </w:pPr>
      <w:r w:rsidRPr="00F4226B">
        <w:rPr>
          <w:rFonts w:ascii="Times New Roman" w:hAnsi="Times New Roman"/>
          <w:sz w:val="24"/>
          <w:szCs w:val="24"/>
          <w:lang w:val="en-US"/>
        </w:rPr>
        <w:t xml:space="preserve">Companies Act (Chapter 24:03). </w:t>
      </w:r>
      <w:r w:rsidR="00830A37" w:rsidRPr="00F4226B">
        <w:rPr>
          <w:rFonts w:ascii="Times New Roman" w:hAnsi="Times New Roman"/>
          <w:sz w:val="24"/>
          <w:szCs w:val="24"/>
          <w:lang w:val="en-US"/>
        </w:rPr>
        <w:t xml:space="preserve">(1996). </w:t>
      </w:r>
      <w:r w:rsidRPr="00F4226B">
        <w:rPr>
          <w:rFonts w:ascii="Times New Roman" w:hAnsi="Times New Roman"/>
          <w:sz w:val="24"/>
          <w:szCs w:val="24"/>
          <w:lang w:val="en-US"/>
        </w:rPr>
        <w:t>Harare: Government Printers.</w:t>
      </w:r>
    </w:p>
    <w:p w14:paraId="009CF505" w14:textId="705083D9" w:rsidR="001A605F" w:rsidRPr="00F4226B" w:rsidRDefault="001A605F" w:rsidP="00F801D9">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Curtis, A., Lewis-Western, M.F.</w:t>
      </w:r>
      <w:r w:rsidR="00985DDF">
        <w:rPr>
          <w:rFonts w:ascii="Times New Roman" w:hAnsi="Times New Roman"/>
          <w:sz w:val="24"/>
          <w:szCs w:val="24"/>
          <w:lang w:val="en-US"/>
        </w:rPr>
        <w:t>,</w:t>
      </w:r>
      <w:r w:rsidRPr="00F4226B">
        <w:rPr>
          <w:rFonts w:ascii="Times New Roman" w:hAnsi="Times New Roman"/>
          <w:sz w:val="24"/>
          <w:szCs w:val="24"/>
          <w:lang w:val="en-US"/>
        </w:rPr>
        <w:t xml:space="preserve"> and Toynbee, S. (2015). Historical cost measurement and the use of DuPont analysis </w:t>
      </w:r>
      <w:r w:rsidR="00447A5F" w:rsidRPr="00F4226B">
        <w:rPr>
          <w:rFonts w:ascii="Times New Roman" w:hAnsi="Times New Roman"/>
          <w:sz w:val="24"/>
          <w:szCs w:val="24"/>
          <w:lang w:val="en-US"/>
        </w:rPr>
        <w:t xml:space="preserve">by market participants, </w:t>
      </w:r>
      <w:r w:rsidR="00447A5F" w:rsidRPr="00F4226B">
        <w:rPr>
          <w:rFonts w:ascii="Times New Roman" w:hAnsi="Times New Roman"/>
          <w:i/>
          <w:sz w:val="24"/>
          <w:szCs w:val="24"/>
          <w:lang w:val="en-US"/>
        </w:rPr>
        <w:t>Review of Accounting Studies</w:t>
      </w:r>
      <w:r w:rsidR="00447A5F" w:rsidRPr="00804A08">
        <w:rPr>
          <w:rFonts w:ascii="Times New Roman" w:hAnsi="Times New Roman"/>
          <w:sz w:val="24"/>
          <w:szCs w:val="24"/>
          <w:lang w:val="en-US"/>
        </w:rPr>
        <w:t>,</w:t>
      </w:r>
      <w:r w:rsidR="00447A5F" w:rsidRPr="00F4226B">
        <w:rPr>
          <w:rFonts w:ascii="Times New Roman" w:hAnsi="Times New Roman"/>
          <w:i/>
          <w:sz w:val="24"/>
          <w:szCs w:val="24"/>
          <w:lang w:val="en-US"/>
        </w:rPr>
        <w:t xml:space="preserve"> </w:t>
      </w:r>
      <w:r w:rsidR="00447A5F" w:rsidRPr="00F4226B">
        <w:rPr>
          <w:rFonts w:ascii="Times New Roman" w:hAnsi="Times New Roman"/>
          <w:sz w:val="24"/>
          <w:szCs w:val="24"/>
          <w:lang w:val="en-US"/>
        </w:rPr>
        <w:t>20(3), 1210</w:t>
      </w:r>
      <w:r w:rsidR="00985DDF">
        <w:rPr>
          <w:rFonts w:ascii="Times New Roman" w:hAnsi="Times New Roman"/>
          <w:sz w:val="24"/>
          <w:szCs w:val="24"/>
          <w:lang w:val="en-US"/>
        </w:rPr>
        <w:t>–</w:t>
      </w:r>
      <w:r w:rsidR="00447A5F" w:rsidRPr="00F4226B">
        <w:rPr>
          <w:rFonts w:ascii="Times New Roman" w:hAnsi="Times New Roman"/>
          <w:sz w:val="24"/>
          <w:szCs w:val="24"/>
          <w:lang w:val="en-US"/>
        </w:rPr>
        <w:t>1245.</w:t>
      </w:r>
    </w:p>
    <w:p w14:paraId="20707891" w14:textId="5BDF009C" w:rsidR="00B752E4" w:rsidRPr="00F4226B" w:rsidRDefault="00B752E4" w:rsidP="00830A37">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Dechow, P.</w:t>
      </w:r>
      <w:r w:rsidR="00830A37" w:rsidRPr="00F4226B">
        <w:rPr>
          <w:rFonts w:ascii="Times New Roman" w:hAnsi="Times New Roman"/>
          <w:sz w:val="24"/>
          <w:szCs w:val="24"/>
          <w:lang w:val="en-US"/>
        </w:rPr>
        <w:t xml:space="preserve"> </w:t>
      </w:r>
      <w:r w:rsidRPr="00F4226B">
        <w:rPr>
          <w:rFonts w:ascii="Times New Roman" w:hAnsi="Times New Roman"/>
          <w:sz w:val="24"/>
          <w:szCs w:val="24"/>
          <w:lang w:val="en-US"/>
        </w:rPr>
        <w:t>M. (1994). Accounting earnings and cash flows as measures of firm performance—the role of accounting accruals</w:t>
      </w:r>
      <w:r w:rsidR="00B443C7"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Journal of Accounting and Economics</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18</w:t>
      </w:r>
      <w:r w:rsidR="00830A37" w:rsidRPr="00F4226B">
        <w:rPr>
          <w:rFonts w:ascii="Times New Roman" w:hAnsi="Times New Roman"/>
          <w:sz w:val="24"/>
          <w:szCs w:val="24"/>
          <w:lang w:val="en-US"/>
        </w:rPr>
        <w:t>(1),</w:t>
      </w:r>
      <w:r w:rsidRPr="00F4226B">
        <w:rPr>
          <w:rFonts w:ascii="Times New Roman" w:hAnsi="Times New Roman"/>
          <w:sz w:val="24"/>
          <w:szCs w:val="24"/>
          <w:lang w:val="en-US"/>
        </w:rPr>
        <w:t xml:space="preserve"> 3</w:t>
      </w:r>
      <w:r w:rsidR="00985DDF">
        <w:rPr>
          <w:rFonts w:ascii="Times New Roman" w:hAnsi="Times New Roman"/>
          <w:sz w:val="24"/>
          <w:szCs w:val="24"/>
          <w:lang w:val="en-US"/>
        </w:rPr>
        <w:t>–</w:t>
      </w:r>
      <w:r w:rsidRPr="00F4226B">
        <w:rPr>
          <w:rFonts w:ascii="Times New Roman" w:hAnsi="Times New Roman"/>
          <w:sz w:val="24"/>
          <w:szCs w:val="24"/>
          <w:lang w:val="en-US"/>
        </w:rPr>
        <w:t>42</w:t>
      </w:r>
      <w:r w:rsidR="00DF0846" w:rsidRPr="00F4226B">
        <w:rPr>
          <w:rFonts w:ascii="Times New Roman" w:hAnsi="Times New Roman"/>
          <w:sz w:val="24"/>
          <w:szCs w:val="24"/>
          <w:lang w:val="en-US"/>
        </w:rPr>
        <w:t>.</w:t>
      </w:r>
    </w:p>
    <w:p w14:paraId="15CE0B8D" w14:textId="1527465A" w:rsidR="00363044" w:rsidRPr="00F4226B" w:rsidRDefault="00363044" w:rsidP="00830A37">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Dechow, P.</w:t>
      </w:r>
      <w:r w:rsidR="00830A37" w:rsidRPr="00F4226B">
        <w:rPr>
          <w:rFonts w:ascii="Times New Roman" w:hAnsi="Times New Roman"/>
          <w:sz w:val="24"/>
          <w:szCs w:val="24"/>
          <w:lang w:val="en-US"/>
        </w:rPr>
        <w:t xml:space="preserve"> </w:t>
      </w:r>
      <w:r w:rsidRPr="00F4226B">
        <w:rPr>
          <w:rFonts w:ascii="Times New Roman" w:hAnsi="Times New Roman"/>
          <w:sz w:val="24"/>
          <w:szCs w:val="24"/>
          <w:lang w:val="en-US"/>
        </w:rPr>
        <w:t>M., Kothari, S.</w:t>
      </w:r>
      <w:r w:rsidR="00830A37" w:rsidRPr="00F4226B">
        <w:rPr>
          <w:rFonts w:ascii="Times New Roman" w:hAnsi="Times New Roman"/>
          <w:sz w:val="24"/>
          <w:szCs w:val="24"/>
          <w:lang w:val="en-US"/>
        </w:rPr>
        <w:t xml:space="preserve"> </w:t>
      </w:r>
      <w:r w:rsidRPr="00F4226B">
        <w:rPr>
          <w:rFonts w:ascii="Times New Roman" w:hAnsi="Times New Roman"/>
          <w:sz w:val="24"/>
          <w:szCs w:val="24"/>
          <w:lang w:val="en-US"/>
        </w:rPr>
        <w:t>P.</w:t>
      </w:r>
      <w:r w:rsidR="00985DDF">
        <w:rPr>
          <w:rFonts w:ascii="Times New Roman" w:hAnsi="Times New Roman"/>
          <w:sz w:val="24"/>
          <w:szCs w:val="24"/>
          <w:lang w:val="en-US"/>
        </w:rPr>
        <w:t>,</w:t>
      </w:r>
      <w:r w:rsidRPr="00F4226B">
        <w:rPr>
          <w:rFonts w:ascii="Times New Roman" w:hAnsi="Times New Roman"/>
          <w:sz w:val="24"/>
          <w:szCs w:val="24"/>
          <w:lang w:val="en-US"/>
        </w:rPr>
        <w:t xml:space="preserve"> and Watts, R.</w:t>
      </w:r>
      <w:r w:rsidR="00830A37" w:rsidRPr="00F4226B">
        <w:rPr>
          <w:rFonts w:ascii="Times New Roman" w:hAnsi="Times New Roman"/>
          <w:sz w:val="24"/>
          <w:szCs w:val="24"/>
          <w:lang w:val="en-US"/>
        </w:rPr>
        <w:t xml:space="preserve"> </w:t>
      </w:r>
      <w:r w:rsidRPr="00F4226B">
        <w:rPr>
          <w:rFonts w:ascii="Times New Roman" w:hAnsi="Times New Roman"/>
          <w:sz w:val="24"/>
          <w:szCs w:val="24"/>
          <w:lang w:val="en-US"/>
        </w:rPr>
        <w:t>L. (1998). The relation between earnings and cash flows</w:t>
      </w:r>
      <w:r w:rsidR="00830A37"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Journal of Accounting and Economics</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25</w:t>
      </w:r>
      <w:r w:rsidR="00830A37" w:rsidRPr="00F4226B">
        <w:rPr>
          <w:rFonts w:ascii="Times New Roman" w:hAnsi="Times New Roman"/>
          <w:sz w:val="24"/>
          <w:szCs w:val="24"/>
          <w:lang w:val="en-US"/>
        </w:rPr>
        <w:t>(2),</w:t>
      </w:r>
      <w:r w:rsidRPr="00F4226B">
        <w:rPr>
          <w:rFonts w:ascii="Times New Roman" w:hAnsi="Times New Roman"/>
          <w:sz w:val="24"/>
          <w:szCs w:val="24"/>
          <w:lang w:val="en-US"/>
        </w:rPr>
        <w:t xml:space="preserve"> 133</w:t>
      </w:r>
      <w:r w:rsidR="00985DDF">
        <w:rPr>
          <w:rFonts w:ascii="Times New Roman" w:hAnsi="Times New Roman"/>
          <w:sz w:val="24"/>
          <w:szCs w:val="24"/>
          <w:lang w:val="en-US"/>
        </w:rPr>
        <w:t>–</w:t>
      </w:r>
      <w:r w:rsidRPr="00F4226B">
        <w:rPr>
          <w:rFonts w:ascii="Times New Roman" w:hAnsi="Times New Roman"/>
          <w:sz w:val="24"/>
          <w:szCs w:val="24"/>
          <w:lang w:val="en-US"/>
        </w:rPr>
        <w:t>168.</w:t>
      </w:r>
    </w:p>
    <w:p w14:paraId="1C9DDA08" w14:textId="1EC2B0D5" w:rsidR="002C59F3" w:rsidRPr="00F4226B" w:rsidRDefault="002C59F3" w:rsidP="00830A37">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Delta </w:t>
      </w:r>
      <w:r w:rsidR="001C7492" w:rsidRPr="00F4226B">
        <w:rPr>
          <w:rFonts w:ascii="Times New Roman" w:hAnsi="Times New Roman"/>
          <w:sz w:val="24"/>
          <w:szCs w:val="24"/>
          <w:lang w:val="en-US"/>
        </w:rPr>
        <w:t>Corporation</w:t>
      </w:r>
      <w:r w:rsidRPr="00F4226B">
        <w:rPr>
          <w:rFonts w:ascii="Times New Roman" w:hAnsi="Times New Roman"/>
          <w:sz w:val="24"/>
          <w:szCs w:val="24"/>
          <w:lang w:val="en-US"/>
        </w:rPr>
        <w:t xml:space="preserve"> (Zimbabwe) Ltd </w:t>
      </w:r>
      <w:r w:rsidR="001C7492" w:rsidRPr="00F4226B">
        <w:rPr>
          <w:rFonts w:ascii="Times New Roman" w:hAnsi="Times New Roman"/>
          <w:sz w:val="24"/>
          <w:szCs w:val="24"/>
          <w:lang w:val="en-US"/>
        </w:rPr>
        <w:t>(</w:t>
      </w:r>
      <w:r w:rsidRPr="00F4226B">
        <w:rPr>
          <w:rFonts w:ascii="Times New Roman" w:hAnsi="Times New Roman"/>
          <w:sz w:val="24"/>
          <w:szCs w:val="24"/>
          <w:lang w:val="en-US"/>
        </w:rPr>
        <w:t>2007</w:t>
      </w:r>
      <w:r w:rsidR="001C7492"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Annual Report</w:t>
      </w:r>
      <w:r w:rsidRPr="00F4226B">
        <w:rPr>
          <w:rFonts w:ascii="Times New Roman" w:hAnsi="Times New Roman"/>
          <w:sz w:val="24"/>
          <w:szCs w:val="24"/>
          <w:lang w:val="en-US"/>
        </w:rPr>
        <w:t xml:space="preserve">. </w:t>
      </w:r>
      <w:r w:rsidR="00830A37" w:rsidRPr="00F4226B">
        <w:rPr>
          <w:rFonts w:ascii="Times New Roman" w:hAnsi="Times New Roman"/>
          <w:sz w:val="24"/>
          <w:szCs w:val="24"/>
          <w:lang w:val="en-US"/>
        </w:rPr>
        <w:t>http</w:t>
      </w:r>
      <w:r w:rsidR="002C1D5B" w:rsidRPr="00F4226B">
        <w:rPr>
          <w:rFonts w:ascii="Times New Roman" w:hAnsi="Times New Roman"/>
          <w:sz w:val="24"/>
          <w:szCs w:val="24"/>
          <w:lang w:val="en-US"/>
        </w:rPr>
        <w:t>:</w:t>
      </w:r>
      <w:r w:rsidR="00830A37" w:rsidRPr="00F4226B">
        <w:rPr>
          <w:rFonts w:ascii="Times New Roman" w:hAnsi="Times New Roman"/>
          <w:sz w:val="24"/>
          <w:szCs w:val="24"/>
          <w:lang w:val="en-US"/>
        </w:rPr>
        <w:t>//</w:t>
      </w:r>
      <w:hyperlink r:id="rId9" w:history="1">
        <w:r w:rsidR="001C7492" w:rsidRPr="00F4226B">
          <w:rPr>
            <w:rStyle w:val="Hyperlink"/>
            <w:rFonts w:ascii="Times New Roman" w:hAnsi="Times New Roman"/>
            <w:sz w:val="24"/>
            <w:szCs w:val="24"/>
            <w:lang w:val="en-US"/>
          </w:rPr>
          <w:t>www.delta.co.zw</w:t>
        </w:r>
      </w:hyperlink>
      <w:r w:rsidR="00217473" w:rsidRPr="00F4226B">
        <w:rPr>
          <w:rFonts w:ascii="Times New Roman" w:hAnsi="Times New Roman"/>
          <w:sz w:val="24"/>
          <w:szCs w:val="24"/>
          <w:lang w:val="en-US"/>
        </w:rPr>
        <w:t>.</w:t>
      </w:r>
      <w:r w:rsidR="001C7492" w:rsidRPr="00F4226B">
        <w:rPr>
          <w:rFonts w:ascii="Times New Roman" w:hAnsi="Times New Roman"/>
          <w:sz w:val="24"/>
          <w:szCs w:val="24"/>
          <w:lang w:val="en-US"/>
        </w:rPr>
        <w:t xml:space="preserve"> Accessed September</w:t>
      </w:r>
      <w:r w:rsidR="00804A08">
        <w:rPr>
          <w:rFonts w:ascii="Times New Roman" w:hAnsi="Times New Roman"/>
          <w:sz w:val="24"/>
          <w:szCs w:val="24"/>
          <w:lang w:val="en-US"/>
        </w:rPr>
        <w:t xml:space="preserve"> 12,</w:t>
      </w:r>
      <w:r w:rsidR="001C7492" w:rsidRPr="00F4226B">
        <w:rPr>
          <w:rFonts w:ascii="Times New Roman" w:hAnsi="Times New Roman"/>
          <w:sz w:val="24"/>
          <w:szCs w:val="24"/>
          <w:lang w:val="en-US"/>
        </w:rPr>
        <w:t xml:space="preserve"> 2013.</w:t>
      </w:r>
    </w:p>
    <w:p w14:paraId="2AD5DF2E" w14:textId="2E068F75" w:rsidR="00957398" w:rsidRPr="00F4226B" w:rsidRDefault="00957398" w:rsidP="00217473">
      <w:pPr>
        <w:spacing w:after="0"/>
        <w:ind w:left="284" w:hanging="284"/>
        <w:jc w:val="both"/>
        <w:rPr>
          <w:rFonts w:ascii="Times New Roman" w:hAnsi="Times New Roman"/>
          <w:i/>
          <w:sz w:val="24"/>
          <w:szCs w:val="24"/>
          <w:lang w:val="en-US"/>
        </w:rPr>
      </w:pPr>
      <w:r w:rsidRPr="00F4226B">
        <w:rPr>
          <w:rFonts w:ascii="Times New Roman" w:hAnsi="Times New Roman"/>
          <w:sz w:val="24"/>
          <w:szCs w:val="24"/>
          <w:lang w:val="en-US"/>
        </w:rPr>
        <w:t>Easton, P.</w:t>
      </w:r>
      <w:r w:rsidR="00217473" w:rsidRPr="00F4226B">
        <w:rPr>
          <w:rFonts w:ascii="Times New Roman" w:hAnsi="Times New Roman"/>
          <w:sz w:val="24"/>
          <w:szCs w:val="24"/>
          <w:lang w:val="en-US"/>
        </w:rPr>
        <w:t xml:space="preserve"> </w:t>
      </w:r>
      <w:r w:rsidRPr="00F4226B">
        <w:rPr>
          <w:rFonts w:ascii="Times New Roman" w:hAnsi="Times New Roman"/>
          <w:sz w:val="24"/>
          <w:szCs w:val="24"/>
          <w:lang w:val="en-US"/>
        </w:rPr>
        <w:t>D.</w:t>
      </w:r>
      <w:r w:rsidR="00217473" w:rsidRPr="00F4226B">
        <w:rPr>
          <w:rFonts w:ascii="Times New Roman" w:hAnsi="Times New Roman"/>
          <w:sz w:val="24"/>
          <w:szCs w:val="24"/>
          <w:lang w:val="en-US"/>
        </w:rPr>
        <w:t>, &amp;</w:t>
      </w:r>
      <w:r w:rsidRPr="00F4226B">
        <w:rPr>
          <w:rFonts w:ascii="Times New Roman" w:hAnsi="Times New Roman"/>
          <w:sz w:val="24"/>
          <w:szCs w:val="24"/>
          <w:lang w:val="en-US"/>
        </w:rPr>
        <w:t xml:space="preserve"> Harris, T.</w:t>
      </w:r>
      <w:r w:rsidR="00217473" w:rsidRPr="00F4226B">
        <w:rPr>
          <w:rFonts w:ascii="Times New Roman" w:hAnsi="Times New Roman"/>
          <w:sz w:val="24"/>
          <w:szCs w:val="24"/>
          <w:lang w:val="en-US"/>
        </w:rPr>
        <w:t xml:space="preserve"> </w:t>
      </w:r>
      <w:r w:rsidRPr="00F4226B">
        <w:rPr>
          <w:rFonts w:ascii="Times New Roman" w:hAnsi="Times New Roman"/>
          <w:sz w:val="24"/>
          <w:szCs w:val="24"/>
          <w:lang w:val="en-US"/>
        </w:rPr>
        <w:t>S. (1991). Earnings as explanatory variables for returns</w:t>
      </w:r>
      <w:r w:rsidR="00217473"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Journal of Accounting Research</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00217473" w:rsidRPr="00F4226B">
        <w:rPr>
          <w:rFonts w:ascii="Times New Roman" w:hAnsi="Times New Roman"/>
          <w:sz w:val="24"/>
          <w:szCs w:val="24"/>
          <w:lang w:val="en-US"/>
        </w:rPr>
        <w:t>29(1),</w:t>
      </w:r>
      <w:r w:rsidRPr="00F4226B">
        <w:rPr>
          <w:rFonts w:ascii="Times New Roman" w:hAnsi="Times New Roman"/>
          <w:sz w:val="24"/>
          <w:szCs w:val="24"/>
          <w:lang w:val="en-US"/>
        </w:rPr>
        <w:t xml:space="preserve"> 19</w:t>
      </w:r>
      <w:r w:rsidR="00985DDF">
        <w:rPr>
          <w:rFonts w:ascii="Times New Roman" w:hAnsi="Times New Roman"/>
          <w:sz w:val="24"/>
          <w:szCs w:val="24"/>
          <w:lang w:val="en-US"/>
        </w:rPr>
        <w:t>–</w:t>
      </w:r>
      <w:r w:rsidRPr="00F4226B">
        <w:rPr>
          <w:rFonts w:ascii="Times New Roman" w:hAnsi="Times New Roman"/>
          <w:sz w:val="24"/>
          <w:szCs w:val="24"/>
          <w:lang w:val="en-US"/>
        </w:rPr>
        <w:t>36</w:t>
      </w:r>
      <w:r w:rsidR="00217473" w:rsidRPr="00F4226B">
        <w:rPr>
          <w:rFonts w:ascii="Times New Roman" w:hAnsi="Times New Roman"/>
          <w:sz w:val="24"/>
          <w:szCs w:val="24"/>
          <w:lang w:val="en-US"/>
        </w:rPr>
        <w:t>.</w:t>
      </w:r>
    </w:p>
    <w:p w14:paraId="69DFAF44" w14:textId="4CBA3832" w:rsidR="006A336C" w:rsidRPr="00F4226B" w:rsidRDefault="006A336C" w:rsidP="00217473">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lastRenderedPageBreak/>
        <w:t>Feyr, E.</w:t>
      </w:r>
      <w:r w:rsidR="00217473" w:rsidRPr="00F4226B">
        <w:rPr>
          <w:rFonts w:ascii="Times New Roman" w:hAnsi="Times New Roman"/>
          <w:sz w:val="24"/>
          <w:szCs w:val="24"/>
          <w:lang w:val="en-US"/>
        </w:rPr>
        <w:t>, &amp;</w:t>
      </w:r>
      <w:r w:rsidRPr="00F4226B">
        <w:rPr>
          <w:rFonts w:ascii="Times New Roman" w:hAnsi="Times New Roman"/>
          <w:sz w:val="24"/>
          <w:szCs w:val="24"/>
          <w:lang w:val="en-US"/>
        </w:rPr>
        <w:t xml:space="preserve"> Tyran, J.</w:t>
      </w:r>
      <w:r w:rsidR="00217473"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R. (2001). Does money illusion matter? </w:t>
      </w:r>
      <w:r w:rsidRPr="00F4226B">
        <w:rPr>
          <w:rFonts w:ascii="Times New Roman" w:hAnsi="Times New Roman"/>
          <w:i/>
          <w:sz w:val="24"/>
          <w:szCs w:val="24"/>
          <w:lang w:val="en-US"/>
        </w:rPr>
        <w:t>American Economic Review</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91</w:t>
      </w:r>
      <w:r w:rsidR="00217473" w:rsidRPr="00F4226B">
        <w:rPr>
          <w:rFonts w:ascii="Times New Roman" w:hAnsi="Times New Roman"/>
          <w:sz w:val="24"/>
          <w:szCs w:val="24"/>
          <w:lang w:val="en-US"/>
        </w:rPr>
        <w:t>(5),</w:t>
      </w:r>
      <w:r w:rsidRPr="00F4226B">
        <w:rPr>
          <w:rFonts w:ascii="Times New Roman" w:hAnsi="Times New Roman"/>
          <w:sz w:val="24"/>
          <w:szCs w:val="24"/>
          <w:lang w:val="en-US"/>
        </w:rPr>
        <w:t xml:space="preserve"> 1239</w:t>
      </w:r>
      <w:r w:rsidR="00985DDF">
        <w:rPr>
          <w:rFonts w:ascii="Times New Roman" w:hAnsi="Times New Roman"/>
          <w:sz w:val="24"/>
          <w:szCs w:val="24"/>
          <w:lang w:val="en-US"/>
        </w:rPr>
        <w:t>–</w:t>
      </w:r>
      <w:r w:rsidRPr="00F4226B">
        <w:rPr>
          <w:rFonts w:ascii="Times New Roman" w:hAnsi="Times New Roman"/>
          <w:sz w:val="24"/>
          <w:szCs w:val="24"/>
          <w:lang w:val="en-US"/>
        </w:rPr>
        <w:t>1262.</w:t>
      </w:r>
    </w:p>
    <w:p w14:paraId="4553AF73" w14:textId="1F0AB4F3" w:rsidR="005C6CAF" w:rsidRPr="00F4226B" w:rsidRDefault="005C6CAF" w:rsidP="00217473">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Filip, A.</w:t>
      </w:r>
      <w:r w:rsidR="00217473"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00217473" w:rsidRPr="00F4226B">
        <w:rPr>
          <w:rFonts w:ascii="Times New Roman" w:hAnsi="Times New Roman"/>
          <w:sz w:val="24"/>
          <w:szCs w:val="24"/>
          <w:lang w:val="en-US"/>
        </w:rPr>
        <w:t>&amp;</w:t>
      </w:r>
      <w:r w:rsidRPr="00F4226B">
        <w:rPr>
          <w:rFonts w:ascii="Times New Roman" w:hAnsi="Times New Roman"/>
          <w:sz w:val="24"/>
          <w:szCs w:val="24"/>
          <w:lang w:val="en-US"/>
        </w:rPr>
        <w:t xml:space="preserve"> Raffournier, B. (2010). The value relevance of earnings in a transition economy: The case of Romania. </w:t>
      </w:r>
      <w:r w:rsidRPr="00F4226B">
        <w:rPr>
          <w:rFonts w:ascii="Times New Roman" w:hAnsi="Times New Roman"/>
          <w:i/>
          <w:sz w:val="24"/>
          <w:szCs w:val="24"/>
          <w:lang w:val="en-US"/>
        </w:rPr>
        <w:t>The International Journal of Accounting</w:t>
      </w:r>
      <w:r w:rsidRPr="00F4226B">
        <w:rPr>
          <w:rFonts w:ascii="Times New Roman" w:hAnsi="Times New Roman"/>
          <w:sz w:val="24"/>
          <w:szCs w:val="24"/>
          <w:lang w:val="en-US"/>
        </w:rPr>
        <w:t>, 45</w:t>
      </w:r>
      <w:r w:rsidR="00773BBD" w:rsidRPr="00F4226B">
        <w:rPr>
          <w:rFonts w:ascii="Times New Roman" w:hAnsi="Times New Roman"/>
          <w:sz w:val="24"/>
          <w:szCs w:val="24"/>
          <w:lang w:val="en-US"/>
        </w:rPr>
        <w:t>,</w:t>
      </w:r>
      <w:r w:rsidRPr="00F4226B">
        <w:rPr>
          <w:rFonts w:ascii="Times New Roman" w:hAnsi="Times New Roman"/>
          <w:sz w:val="24"/>
          <w:szCs w:val="24"/>
          <w:lang w:val="en-US"/>
        </w:rPr>
        <w:t xml:space="preserve"> 77</w:t>
      </w:r>
      <w:r w:rsidR="00985DDF">
        <w:rPr>
          <w:rFonts w:ascii="Times New Roman" w:hAnsi="Times New Roman"/>
          <w:sz w:val="24"/>
          <w:szCs w:val="24"/>
          <w:lang w:val="en-US"/>
        </w:rPr>
        <w:t>–</w:t>
      </w:r>
      <w:r w:rsidRPr="00F4226B">
        <w:rPr>
          <w:rFonts w:ascii="Times New Roman" w:hAnsi="Times New Roman"/>
          <w:sz w:val="24"/>
          <w:szCs w:val="24"/>
          <w:lang w:val="en-US"/>
        </w:rPr>
        <w:t>103</w:t>
      </w:r>
      <w:r w:rsidR="007E350D" w:rsidRPr="00F4226B">
        <w:rPr>
          <w:rFonts w:ascii="Times New Roman" w:hAnsi="Times New Roman"/>
          <w:sz w:val="24"/>
          <w:szCs w:val="24"/>
          <w:lang w:val="en-US"/>
        </w:rPr>
        <w:t>.</w:t>
      </w:r>
    </w:p>
    <w:p w14:paraId="367EB043" w14:textId="78CC9F7F" w:rsidR="001A1533" w:rsidRPr="00F4226B" w:rsidRDefault="001A1533" w:rsidP="00773BBD">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Finger, C.</w:t>
      </w:r>
      <w:r w:rsidR="00773BBD" w:rsidRPr="00F4226B">
        <w:rPr>
          <w:rFonts w:ascii="Times New Roman" w:hAnsi="Times New Roman"/>
          <w:sz w:val="24"/>
          <w:szCs w:val="24"/>
          <w:lang w:val="en-US"/>
        </w:rPr>
        <w:t xml:space="preserve"> </w:t>
      </w:r>
      <w:r w:rsidRPr="00F4226B">
        <w:rPr>
          <w:rFonts w:ascii="Times New Roman" w:hAnsi="Times New Roman"/>
          <w:sz w:val="24"/>
          <w:szCs w:val="24"/>
          <w:lang w:val="en-US"/>
        </w:rPr>
        <w:t>A. (1994). The ability of earnings to predict future earnings and cash flow</w:t>
      </w:r>
      <w:r w:rsidR="00773BBD"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Journal of Accounting Research</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32(2)</w:t>
      </w:r>
      <w:r w:rsidR="00773BBD" w:rsidRPr="00F4226B">
        <w:rPr>
          <w:rFonts w:ascii="Times New Roman" w:hAnsi="Times New Roman"/>
          <w:sz w:val="24"/>
          <w:szCs w:val="24"/>
          <w:lang w:val="en-US"/>
        </w:rPr>
        <w:t>,</w:t>
      </w:r>
      <w:r w:rsidRPr="00F4226B">
        <w:rPr>
          <w:rFonts w:ascii="Times New Roman" w:hAnsi="Times New Roman"/>
          <w:sz w:val="24"/>
          <w:szCs w:val="24"/>
          <w:lang w:val="en-US"/>
        </w:rPr>
        <w:t xml:space="preserve"> 210</w:t>
      </w:r>
      <w:r w:rsidR="00985DDF">
        <w:rPr>
          <w:rFonts w:ascii="Times New Roman" w:hAnsi="Times New Roman"/>
          <w:sz w:val="24"/>
          <w:szCs w:val="24"/>
          <w:lang w:val="en-US"/>
        </w:rPr>
        <w:t>–</w:t>
      </w:r>
      <w:r w:rsidRPr="00F4226B">
        <w:rPr>
          <w:rFonts w:ascii="Times New Roman" w:hAnsi="Times New Roman"/>
          <w:sz w:val="24"/>
          <w:szCs w:val="24"/>
          <w:lang w:val="en-US"/>
        </w:rPr>
        <w:t>223</w:t>
      </w:r>
      <w:r w:rsidR="00773BBD" w:rsidRPr="00F4226B">
        <w:rPr>
          <w:rFonts w:ascii="Times New Roman" w:hAnsi="Times New Roman"/>
          <w:sz w:val="24"/>
          <w:szCs w:val="24"/>
          <w:lang w:val="en-US"/>
        </w:rPr>
        <w:t>.</w:t>
      </w:r>
    </w:p>
    <w:p w14:paraId="353CB9E1" w14:textId="5D0FC771" w:rsidR="001A1533" w:rsidRPr="00F4226B" w:rsidRDefault="001A1533" w:rsidP="00773BBD">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Francis, J.</w:t>
      </w:r>
      <w:r w:rsidR="00773BBD" w:rsidRPr="00F4226B">
        <w:rPr>
          <w:rFonts w:ascii="Times New Roman" w:hAnsi="Times New Roman"/>
          <w:sz w:val="24"/>
          <w:szCs w:val="24"/>
          <w:lang w:val="en-US"/>
        </w:rPr>
        <w:t>, &amp;</w:t>
      </w:r>
      <w:r w:rsidRPr="00F4226B">
        <w:rPr>
          <w:rFonts w:ascii="Times New Roman" w:hAnsi="Times New Roman"/>
          <w:sz w:val="24"/>
          <w:szCs w:val="24"/>
          <w:lang w:val="en-US"/>
        </w:rPr>
        <w:t xml:space="preserve"> Schipper, K. (1999). Have financial statements lost their relevance? </w:t>
      </w:r>
      <w:r w:rsidRPr="00F4226B">
        <w:rPr>
          <w:rFonts w:ascii="Times New Roman" w:hAnsi="Times New Roman"/>
          <w:i/>
          <w:sz w:val="24"/>
          <w:szCs w:val="24"/>
          <w:lang w:val="en-US"/>
        </w:rPr>
        <w:t>Journal of Accounting Research</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37(2)</w:t>
      </w:r>
      <w:r w:rsidR="00773BBD" w:rsidRPr="00F4226B">
        <w:rPr>
          <w:rFonts w:ascii="Times New Roman" w:hAnsi="Times New Roman"/>
          <w:sz w:val="24"/>
          <w:szCs w:val="24"/>
          <w:lang w:val="en-US"/>
        </w:rPr>
        <w:t>,</w:t>
      </w:r>
      <w:r w:rsidRPr="00F4226B">
        <w:rPr>
          <w:rFonts w:ascii="Times New Roman" w:hAnsi="Times New Roman"/>
          <w:sz w:val="24"/>
          <w:szCs w:val="24"/>
          <w:lang w:val="en-US"/>
        </w:rPr>
        <w:t xml:space="preserve"> 319</w:t>
      </w:r>
      <w:r w:rsidR="00985DDF">
        <w:rPr>
          <w:rFonts w:ascii="Times New Roman" w:hAnsi="Times New Roman"/>
          <w:sz w:val="24"/>
          <w:szCs w:val="24"/>
          <w:lang w:val="en-US"/>
        </w:rPr>
        <w:t>–</w:t>
      </w:r>
      <w:r w:rsidRPr="00F4226B">
        <w:rPr>
          <w:rFonts w:ascii="Times New Roman" w:hAnsi="Times New Roman"/>
          <w:sz w:val="24"/>
          <w:szCs w:val="24"/>
          <w:lang w:val="en-US"/>
        </w:rPr>
        <w:t>352</w:t>
      </w:r>
      <w:r w:rsidR="00773BBD" w:rsidRPr="00F4226B">
        <w:rPr>
          <w:rFonts w:ascii="Times New Roman" w:hAnsi="Times New Roman"/>
          <w:sz w:val="24"/>
          <w:szCs w:val="24"/>
          <w:lang w:val="en-US"/>
        </w:rPr>
        <w:t>.</w:t>
      </w:r>
    </w:p>
    <w:p w14:paraId="75B3C7C6" w14:textId="41632114" w:rsidR="001A1533" w:rsidRPr="00F4226B" w:rsidRDefault="001A1533" w:rsidP="00773BBD">
      <w:pPr>
        <w:spacing w:after="0"/>
        <w:ind w:left="284" w:hanging="284"/>
        <w:jc w:val="both"/>
        <w:rPr>
          <w:rFonts w:ascii="Times New Roman" w:hAnsi="Times New Roman"/>
          <w:iCs/>
          <w:sz w:val="24"/>
          <w:szCs w:val="24"/>
          <w:lang w:val="en-US"/>
        </w:rPr>
      </w:pPr>
      <w:r w:rsidRPr="00F4226B">
        <w:rPr>
          <w:rFonts w:ascii="Times New Roman" w:hAnsi="Times New Roman"/>
          <w:sz w:val="24"/>
          <w:szCs w:val="24"/>
          <w:lang w:val="en-US"/>
        </w:rPr>
        <w:t>Gallo, L.</w:t>
      </w:r>
      <w:r w:rsidR="00773BBD" w:rsidRPr="00F4226B">
        <w:rPr>
          <w:rFonts w:ascii="Times New Roman" w:hAnsi="Times New Roman"/>
          <w:sz w:val="24"/>
          <w:szCs w:val="24"/>
          <w:lang w:val="en-US"/>
        </w:rPr>
        <w:t xml:space="preserve"> </w:t>
      </w:r>
      <w:r w:rsidRPr="00F4226B">
        <w:rPr>
          <w:rFonts w:ascii="Times New Roman" w:hAnsi="Times New Roman"/>
          <w:sz w:val="24"/>
          <w:szCs w:val="24"/>
          <w:lang w:val="en-US"/>
        </w:rPr>
        <w:t>A., Hann, R.</w:t>
      </w:r>
      <w:r w:rsidR="00773BBD" w:rsidRPr="00F4226B">
        <w:rPr>
          <w:rFonts w:ascii="Times New Roman" w:hAnsi="Times New Roman"/>
          <w:sz w:val="24"/>
          <w:szCs w:val="24"/>
          <w:lang w:val="en-US"/>
        </w:rPr>
        <w:t xml:space="preserve"> </w:t>
      </w:r>
      <w:r w:rsidRPr="00F4226B">
        <w:rPr>
          <w:rFonts w:ascii="Times New Roman" w:hAnsi="Times New Roman"/>
          <w:sz w:val="24"/>
          <w:szCs w:val="24"/>
          <w:lang w:val="en-US"/>
        </w:rPr>
        <w:t>N.</w:t>
      </w:r>
      <w:r w:rsidR="00773BBD" w:rsidRPr="00F4226B">
        <w:rPr>
          <w:rFonts w:ascii="Times New Roman" w:hAnsi="Times New Roman"/>
          <w:sz w:val="24"/>
          <w:szCs w:val="24"/>
          <w:lang w:val="en-US"/>
        </w:rPr>
        <w:t>, &amp;</w:t>
      </w:r>
      <w:r w:rsidRPr="00F4226B">
        <w:rPr>
          <w:rFonts w:ascii="Times New Roman" w:hAnsi="Times New Roman"/>
          <w:sz w:val="24"/>
          <w:szCs w:val="24"/>
          <w:lang w:val="en-US"/>
        </w:rPr>
        <w:t xml:space="preserve"> Li, C. (2016). Aggregate earnings surprises, monetary policy, and stock returns</w:t>
      </w:r>
      <w:r w:rsidR="00773BBD"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Journal of Accounting and Economics</w:t>
      </w:r>
      <w:r w:rsidRPr="00804A08">
        <w:rPr>
          <w:rFonts w:ascii="Times New Roman" w:hAnsi="Times New Roman"/>
          <w:sz w:val="24"/>
          <w:szCs w:val="24"/>
          <w:lang w:val="en-US"/>
        </w:rPr>
        <w:t>,</w:t>
      </w:r>
      <w:r w:rsidRPr="00F4226B">
        <w:rPr>
          <w:rFonts w:ascii="Times New Roman" w:hAnsi="Times New Roman"/>
          <w:sz w:val="24"/>
          <w:szCs w:val="24"/>
          <w:lang w:val="en-US"/>
        </w:rPr>
        <w:t xml:space="preserve"> 62</w:t>
      </w:r>
      <w:r w:rsidR="00773BBD" w:rsidRPr="00F4226B">
        <w:rPr>
          <w:rFonts w:ascii="Times New Roman" w:hAnsi="Times New Roman"/>
          <w:sz w:val="24"/>
          <w:szCs w:val="24"/>
          <w:lang w:val="en-US"/>
        </w:rPr>
        <w:t>(1)</w:t>
      </w:r>
      <w:r w:rsidRPr="00F4226B">
        <w:rPr>
          <w:rFonts w:ascii="Times New Roman" w:hAnsi="Times New Roman"/>
          <w:sz w:val="24"/>
          <w:szCs w:val="24"/>
          <w:lang w:val="en-US"/>
        </w:rPr>
        <w:t>: 103</w:t>
      </w:r>
      <w:r w:rsidR="00985DDF">
        <w:rPr>
          <w:rFonts w:ascii="Times New Roman" w:hAnsi="Times New Roman"/>
          <w:sz w:val="24"/>
          <w:szCs w:val="24"/>
          <w:lang w:val="en-US"/>
        </w:rPr>
        <w:t>–</w:t>
      </w:r>
      <w:r w:rsidRPr="00F4226B">
        <w:rPr>
          <w:rFonts w:ascii="Times New Roman" w:hAnsi="Times New Roman"/>
          <w:sz w:val="24"/>
          <w:szCs w:val="24"/>
          <w:lang w:val="en-US"/>
        </w:rPr>
        <w:t>120.</w:t>
      </w:r>
    </w:p>
    <w:p w14:paraId="0D03EB5F" w14:textId="12F8CCBE" w:rsidR="00190690" w:rsidRPr="00F4226B" w:rsidRDefault="00190690" w:rsidP="00773BBD">
      <w:pPr>
        <w:spacing w:after="0"/>
        <w:ind w:left="284" w:hanging="284"/>
        <w:jc w:val="both"/>
        <w:rPr>
          <w:rFonts w:ascii="Times New Roman" w:hAnsi="Times New Roman"/>
          <w:iCs/>
          <w:sz w:val="24"/>
          <w:szCs w:val="24"/>
          <w:lang w:val="en-US"/>
        </w:rPr>
      </w:pPr>
      <w:r w:rsidRPr="00F4226B">
        <w:rPr>
          <w:rFonts w:ascii="Times New Roman" w:hAnsi="Times New Roman"/>
          <w:iCs/>
          <w:sz w:val="24"/>
          <w:szCs w:val="24"/>
          <w:lang w:val="en-US"/>
        </w:rPr>
        <w:t>Gheyara, K.</w:t>
      </w:r>
      <w:r w:rsidR="00773BBD" w:rsidRPr="00F4226B">
        <w:rPr>
          <w:rFonts w:ascii="Times New Roman" w:hAnsi="Times New Roman"/>
          <w:iCs/>
          <w:sz w:val="24"/>
          <w:szCs w:val="24"/>
          <w:lang w:val="en-US"/>
        </w:rPr>
        <w:t>, &amp;</w:t>
      </w:r>
      <w:r w:rsidRPr="00F4226B">
        <w:rPr>
          <w:rFonts w:ascii="Times New Roman" w:hAnsi="Times New Roman"/>
          <w:iCs/>
          <w:sz w:val="24"/>
          <w:szCs w:val="24"/>
          <w:lang w:val="en-US"/>
        </w:rPr>
        <w:t xml:space="preserve"> Boatsman, J. (1980). Market reaction to the 1976 replacement cost disclosures</w:t>
      </w:r>
      <w:r w:rsidR="00773BBD" w:rsidRPr="00F4226B">
        <w:rPr>
          <w:rFonts w:ascii="Times New Roman" w:hAnsi="Times New Roman"/>
          <w:iCs/>
          <w:sz w:val="24"/>
          <w:szCs w:val="24"/>
          <w:lang w:val="en-US"/>
        </w:rPr>
        <w:t>.</w:t>
      </w:r>
      <w:r w:rsidR="001A1533" w:rsidRPr="00F4226B">
        <w:rPr>
          <w:rFonts w:ascii="Times New Roman" w:hAnsi="Times New Roman"/>
          <w:iCs/>
          <w:sz w:val="24"/>
          <w:szCs w:val="24"/>
          <w:lang w:val="en-US"/>
        </w:rPr>
        <w:t xml:space="preserve"> </w:t>
      </w:r>
      <w:r w:rsidRPr="00F4226B">
        <w:rPr>
          <w:rFonts w:ascii="Times New Roman" w:hAnsi="Times New Roman"/>
          <w:i/>
          <w:sz w:val="24"/>
          <w:szCs w:val="24"/>
          <w:lang w:val="en-US"/>
        </w:rPr>
        <w:t>Journal of Accounting and Economics</w:t>
      </w:r>
      <w:r w:rsidRPr="00804A08">
        <w:rPr>
          <w:rFonts w:ascii="Times New Roman" w:hAnsi="Times New Roman"/>
          <w:sz w:val="24"/>
          <w:szCs w:val="24"/>
          <w:lang w:val="en-US"/>
        </w:rPr>
        <w:t>,</w:t>
      </w:r>
      <w:r w:rsidRPr="00F4226B">
        <w:rPr>
          <w:rFonts w:ascii="Times New Roman" w:hAnsi="Times New Roman"/>
          <w:sz w:val="24"/>
          <w:szCs w:val="24"/>
          <w:lang w:val="en-US"/>
        </w:rPr>
        <w:t xml:space="preserve"> 2(2)</w:t>
      </w:r>
      <w:r w:rsidR="00F04E8A" w:rsidRPr="00F4226B">
        <w:rPr>
          <w:rFonts w:ascii="Times New Roman" w:hAnsi="Times New Roman"/>
          <w:sz w:val="24"/>
          <w:szCs w:val="24"/>
          <w:lang w:val="en-US"/>
        </w:rPr>
        <w:t>,</w:t>
      </w:r>
      <w:r w:rsidRPr="00F4226B">
        <w:rPr>
          <w:rFonts w:ascii="Times New Roman" w:hAnsi="Times New Roman"/>
          <w:sz w:val="24"/>
          <w:szCs w:val="24"/>
          <w:lang w:val="en-US"/>
        </w:rPr>
        <w:t xml:space="preserve"> 107</w:t>
      </w:r>
      <w:r w:rsidR="00985DDF">
        <w:rPr>
          <w:rFonts w:ascii="Times New Roman" w:hAnsi="Times New Roman"/>
          <w:sz w:val="24"/>
          <w:szCs w:val="24"/>
          <w:lang w:val="en-US"/>
        </w:rPr>
        <w:t>–</w:t>
      </w:r>
      <w:r w:rsidRPr="00F4226B">
        <w:rPr>
          <w:rFonts w:ascii="Times New Roman" w:hAnsi="Times New Roman"/>
          <w:sz w:val="24"/>
          <w:szCs w:val="24"/>
          <w:lang w:val="en-US"/>
        </w:rPr>
        <w:t>125.</w:t>
      </w:r>
    </w:p>
    <w:p w14:paraId="6A69597A" w14:textId="6DD34BA5" w:rsidR="003229CC" w:rsidRPr="00F4226B" w:rsidRDefault="003229CC" w:rsidP="00443D81">
      <w:pPr>
        <w:spacing w:after="0"/>
        <w:ind w:left="284" w:hanging="284"/>
        <w:jc w:val="both"/>
        <w:rPr>
          <w:rFonts w:ascii="Times New Roman" w:hAnsi="Times New Roman"/>
          <w:iCs/>
          <w:sz w:val="24"/>
          <w:szCs w:val="24"/>
          <w:lang w:val="en-US"/>
        </w:rPr>
      </w:pPr>
      <w:r w:rsidRPr="00F4226B">
        <w:rPr>
          <w:rFonts w:ascii="Times New Roman" w:hAnsi="Times New Roman"/>
          <w:sz w:val="24"/>
          <w:szCs w:val="24"/>
          <w:lang w:val="en-US"/>
        </w:rPr>
        <w:t xml:space="preserve">Gordon, E. (2001). Accounting for changing prices: The value relevance of historical cost, price level, and replacement cost in Mexico. </w:t>
      </w:r>
      <w:r w:rsidRPr="00F4226B">
        <w:rPr>
          <w:rFonts w:ascii="Times New Roman" w:hAnsi="Times New Roman"/>
          <w:i/>
          <w:iCs/>
          <w:sz w:val="24"/>
          <w:szCs w:val="24"/>
          <w:lang w:val="en-US"/>
        </w:rPr>
        <w:t>Journal of Accounting Research</w:t>
      </w:r>
      <w:r w:rsidRPr="00804A08">
        <w:rPr>
          <w:rFonts w:ascii="Times New Roman" w:hAnsi="Times New Roman"/>
          <w:iCs/>
          <w:sz w:val="24"/>
          <w:szCs w:val="24"/>
          <w:lang w:val="en-US"/>
        </w:rPr>
        <w:t>,</w:t>
      </w:r>
      <w:r w:rsidRPr="00F4226B">
        <w:rPr>
          <w:rFonts w:ascii="Times New Roman" w:hAnsi="Times New Roman"/>
          <w:i/>
          <w:iCs/>
          <w:sz w:val="24"/>
          <w:szCs w:val="24"/>
          <w:lang w:val="en-US"/>
        </w:rPr>
        <w:t xml:space="preserve"> </w:t>
      </w:r>
      <w:r w:rsidRPr="00F4226B">
        <w:rPr>
          <w:rFonts w:ascii="Times New Roman" w:hAnsi="Times New Roman"/>
          <w:iCs/>
          <w:sz w:val="24"/>
          <w:szCs w:val="24"/>
          <w:lang w:val="en-US"/>
        </w:rPr>
        <w:t>39(1)</w:t>
      </w:r>
      <w:r w:rsidR="00F04E8A" w:rsidRPr="00F4226B">
        <w:rPr>
          <w:rFonts w:ascii="Times New Roman" w:hAnsi="Times New Roman"/>
          <w:iCs/>
          <w:sz w:val="24"/>
          <w:szCs w:val="24"/>
          <w:lang w:val="en-US"/>
        </w:rPr>
        <w:t>,</w:t>
      </w:r>
      <w:r w:rsidRPr="00F4226B">
        <w:rPr>
          <w:rFonts w:ascii="Times New Roman" w:hAnsi="Times New Roman"/>
          <w:iCs/>
          <w:sz w:val="24"/>
          <w:szCs w:val="24"/>
          <w:lang w:val="en-US"/>
        </w:rPr>
        <w:t xml:space="preserve"> 177</w:t>
      </w:r>
      <w:r w:rsidR="00985DDF">
        <w:rPr>
          <w:rFonts w:ascii="Times New Roman" w:hAnsi="Times New Roman"/>
          <w:sz w:val="24"/>
          <w:szCs w:val="24"/>
          <w:lang w:val="en-US"/>
        </w:rPr>
        <w:t>–</w:t>
      </w:r>
      <w:r w:rsidRPr="00F4226B">
        <w:rPr>
          <w:rFonts w:ascii="Times New Roman" w:hAnsi="Times New Roman"/>
          <w:iCs/>
          <w:sz w:val="24"/>
          <w:szCs w:val="24"/>
          <w:lang w:val="en-US"/>
        </w:rPr>
        <w:t>200.</w:t>
      </w:r>
    </w:p>
    <w:p w14:paraId="669A7F79" w14:textId="5E09E2BD" w:rsidR="00E322DB" w:rsidRPr="00F4226B" w:rsidRDefault="00E322DB" w:rsidP="00443D81">
      <w:pPr>
        <w:spacing w:after="0"/>
        <w:ind w:left="284" w:hanging="284"/>
        <w:jc w:val="both"/>
        <w:rPr>
          <w:rFonts w:ascii="Times New Roman" w:hAnsi="Times New Roman"/>
          <w:iCs/>
          <w:sz w:val="24"/>
          <w:szCs w:val="24"/>
          <w:lang w:val="en-US"/>
        </w:rPr>
      </w:pPr>
      <w:r w:rsidRPr="00F4226B">
        <w:rPr>
          <w:rFonts w:ascii="Times New Roman" w:hAnsi="Times New Roman"/>
          <w:iCs/>
          <w:sz w:val="24"/>
          <w:szCs w:val="24"/>
          <w:lang w:val="en-US"/>
        </w:rPr>
        <w:lastRenderedPageBreak/>
        <w:t>Hellstrom, K. (2006). The value relevance of financial accounting information in a transitional economy: The case of the Czech Republic</w:t>
      </w:r>
      <w:r w:rsidR="00F04E8A" w:rsidRPr="00F4226B">
        <w:rPr>
          <w:rFonts w:ascii="Times New Roman" w:hAnsi="Times New Roman"/>
          <w:iCs/>
          <w:sz w:val="24"/>
          <w:szCs w:val="24"/>
          <w:lang w:val="en-US"/>
        </w:rPr>
        <w:t>.</w:t>
      </w:r>
      <w:r w:rsidRPr="00F4226B">
        <w:rPr>
          <w:rFonts w:ascii="Times New Roman" w:hAnsi="Times New Roman"/>
          <w:iCs/>
          <w:sz w:val="24"/>
          <w:szCs w:val="24"/>
          <w:lang w:val="en-US"/>
        </w:rPr>
        <w:t xml:space="preserve"> </w:t>
      </w:r>
      <w:r w:rsidRPr="00F4226B">
        <w:rPr>
          <w:rFonts w:ascii="Times New Roman" w:hAnsi="Times New Roman"/>
          <w:i/>
          <w:iCs/>
          <w:sz w:val="24"/>
          <w:szCs w:val="24"/>
          <w:lang w:val="en-US"/>
        </w:rPr>
        <w:t>European Accounting Review</w:t>
      </w:r>
      <w:r w:rsidRPr="00804A08">
        <w:rPr>
          <w:rFonts w:ascii="Times New Roman" w:hAnsi="Times New Roman"/>
          <w:iCs/>
          <w:sz w:val="24"/>
          <w:szCs w:val="24"/>
          <w:lang w:val="en-US"/>
        </w:rPr>
        <w:t>,</w:t>
      </w:r>
      <w:r w:rsidRPr="00F4226B">
        <w:rPr>
          <w:rFonts w:ascii="Times New Roman" w:hAnsi="Times New Roman"/>
          <w:i/>
          <w:iCs/>
          <w:sz w:val="24"/>
          <w:szCs w:val="24"/>
          <w:lang w:val="en-US"/>
        </w:rPr>
        <w:t xml:space="preserve"> </w:t>
      </w:r>
      <w:r w:rsidRPr="00F4226B">
        <w:rPr>
          <w:rFonts w:ascii="Times New Roman" w:hAnsi="Times New Roman"/>
          <w:iCs/>
          <w:sz w:val="24"/>
          <w:szCs w:val="24"/>
          <w:lang w:val="en-US"/>
        </w:rPr>
        <w:t>15(3)</w:t>
      </w:r>
      <w:r w:rsidR="00F04E8A" w:rsidRPr="00F4226B">
        <w:rPr>
          <w:rFonts w:ascii="Times New Roman" w:hAnsi="Times New Roman"/>
          <w:iCs/>
          <w:sz w:val="24"/>
          <w:szCs w:val="24"/>
          <w:lang w:val="en-US"/>
        </w:rPr>
        <w:t>,</w:t>
      </w:r>
      <w:r w:rsidRPr="00F4226B">
        <w:rPr>
          <w:rFonts w:ascii="Times New Roman" w:hAnsi="Times New Roman"/>
          <w:iCs/>
          <w:sz w:val="24"/>
          <w:szCs w:val="24"/>
          <w:lang w:val="en-US"/>
        </w:rPr>
        <w:t xml:space="preserve"> 325</w:t>
      </w:r>
      <w:r w:rsidR="00985DDF">
        <w:rPr>
          <w:rFonts w:ascii="Times New Roman" w:hAnsi="Times New Roman"/>
          <w:sz w:val="24"/>
          <w:szCs w:val="24"/>
          <w:lang w:val="en-US"/>
        </w:rPr>
        <w:t>–</w:t>
      </w:r>
      <w:r w:rsidRPr="00F4226B">
        <w:rPr>
          <w:rFonts w:ascii="Times New Roman" w:hAnsi="Times New Roman"/>
          <w:iCs/>
          <w:sz w:val="24"/>
          <w:szCs w:val="24"/>
          <w:lang w:val="en-US"/>
        </w:rPr>
        <w:t>349</w:t>
      </w:r>
      <w:r w:rsidR="00F04E8A" w:rsidRPr="00F4226B">
        <w:rPr>
          <w:rFonts w:ascii="Times New Roman" w:hAnsi="Times New Roman"/>
          <w:iCs/>
          <w:sz w:val="24"/>
          <w:szCs w:val="24"/>
          <w:lang w:val="en-US"/>
        </w:rPr>
        <w:t>.</w:t>
      </w:r>
    </w:p>
    <w:p w14:paraId="50194336" w14:textId="3C4C58C8" w:rsidR="00D30B87" w:rsidRPr="00F4226B" w:rsidRDefault="00D30B87" w:rsidP="00443D81">
      <w:pPr>
        <w:autoSpaceDE w:val="0"/>
        <w:autoSpaceDN w:val="0"/>
        <w:adjustRightInd w:val="0"/>
        <w:spacing w:after="0"/>
        <w:ind w:left="284" w:hanging="284"/>
        <w:jc w:val="both"/>
        <w:rPr>
          <w:rFonts w:ascii="Times New Roman" w:hAnsi="Times New Roman"/>
          <w:sz w:val="24"/>
          <w:szCs w:val="24"/>
          <w:lang w:val="en-US" w:eastAsia="en-GB"/>
        </w:rPr>
      </w:pPr>
      <w:r w:rsidRPr="00F4226B">
        <w:rPr>
          <w:rFonts w:ascii="Times New Roman" w:hAnsi="Times New Roman"/>
          <w:sz w:val="24"/>
          <w:szCs w:val="24"/>
          <w:lang w:val="en-US" w:eastAsia="en-GB"/>
        </w:rPr>
        <w:t>Hughes, J., Liu, J.</w:t>
      </w:r>
      <w:r w:rsidR="00F04E8A" w:rsidRPr="00F4226B">
        <w:rPr>
          <w:rFonts w:ascii="Times New Roman" w:hAnsi="Times New Roman"/>
          <w:sz w:val="24"/>
          <w:szCs w:val="24"/>
          <w:lang w:val="en-US" w:eastAsia="en-GB"/>
        </w:rPr>
        <w:t>, &amp;</w:t>
      </w:r>
      <w:r w:rsidRPr="00F4226B">
        <w:rPr>
          <w:rFonts w:ascii="Times New Roman" w:hAnsi="Times New Roman"/>
          <w:sz w:val="24"/>
          <w:szCs w:val="24"/>
          <w:lang w:val="en-US" w:eastAsia="en-GB"/>
        </w:rPr>
        <w:t xml:space="preserve"> Zhang, M. (2004). Valuation and accounting for inflation and foreign exchange</w:t>
      </w:r>
      <w:r w:rsidR="00F04E8A" w:rsidRPr="00F4226B">
        <w:rPr>
          <w:rFonts w:ascii="Times New Roman" w:hAnsi="Times New Roman"/>
          <w:sz w:val="24"/>
          <w:szCs w:val="24"/>
          <w:lang w:val="en-US" w:eastAsia="en-GB"/>
        </w:rPr>
        <w:t>.</w:t>
      </w:r>
      <w:r w:rsidRPr="00F4226B">
        <w:rPr>
          <w:rFonts w:ascii="Times New Roman" w:hAnsi="Times New Roman"/>
          <w:sz w:val="24"/>
          <w:szCs w:val="24"/>
          <w:lang w:val="en-US" w:eastAsia="en-GB"/>
        </w:rPr>
        <w:t xml:space="preserve"> </w:t>
      </w:r>
      <w:r w:rsidRPr="00F4226B">
        <w:rPr>
          <w:rFonts w:ascii="Times New Roman" w:hAnsi="Times New Roman"/>
          <w:i/>
          <w:iCs/>
          <w:sz w:val="24"/>
          <w:szCs w:val="24"/>
          <w:lang w:val="en-US"/>
        </w:rPr>
        <w:t>Journal of Accounting Research</w:t>
      </w:r>
      <w:r w:rsidRPr="00804A08">
        <w:rPr>
          <w:rFonts w:ascii="Times New Roman" w:hAnsi="Times New Roman"/>
          <w:iCs/>
          <w:sz w:val="24"/>
          <w:szCs w:val="24"/>
          <w:lang w:val="en-US"/>
        </w:rPr>
        <w:t>,</w:t>
      </w:r>
      <w:r w:rsidRPr="00F4226B">
        <w:rPr>
          <w:rFonts w:ascii="Times New Roman" w:hAnsi="Times New Roman"/>
          <w:i/>
          <w:iCs/>
          <w:sz w:val="24"/>
          <w:szCs w:val="24"/>
          <w:lang w:val="en-US"/>
        </w:rPr>
        <w:t xml:space="preserve"> </w:t>
      </w:r>
      <w:r w:rsidRPr="00F4226B">
        <w:rPr>
          <w:rFonts w:ascii="Times New Roman" w:hAnsi="Times New Roman"/>
          <w:iCs/>
          <w:sz w:val="24"/>
          <w:szCs w:val="24"/>
          <w:lang w:val="en-US"/>
        </w:rPr>
        <w:t>42(4)</w:t>
      </w:r>
      <w:r w:rsidR="00F04E8A" w:rsidRPr="00F4226B">
        <w:rPr>
          <w:rFonts w:ascii="Times New Roman" w:hAnsi="Times New Roman"/>
          <w:iCs/>
          <w:sz w:val="24"/>
          <w:szCs w:val="24"/>
          <w:lang w:val="en-US"/>
        </w:rPr>
        <w:t>,</w:t>
      </w:r>
      <w:r w:rsidRPr="00F4226B">
        <w:rPr>
          <w:rFonts w:ascii="Times New Roman" w:hAnsi="Times New Roman"/>
          <w:iCs/>
          <w:sz w:val="24"/>
          <w:szCs w:val="24"/>
          <w:lang w:val="en-US"/>
        </w:rPr>
        <w:t xml:space="preserve"> 731</w:t>
      </w:r>
      <w:r w:rsidR="00985DDF">
        <w:rPr>
          <w:rFonts w:ascii="Times New Roman" w:hAnsi="Times New Roman"/>
          <w:sz w:val="24"/>
          <w:szCs w:val="24"/>
          <w:lang w:val="en-US"/>
        </w:rPr>
        <w:t>–</w:t>
      </w:r>
      <w:r w:rsidRPr="00F4226B">
        <w:rPr>
          <w:rFonts w:ascii="Times New Roman" w:hAnsi="Times New Roman"/>
          <w:iCs/>
          <w:sz w:val="24"/>
          <w:szCs w:val="24"/>
          <w:lang w:val="en-US"/>
        </w:rPr>
        <w:t>754.</w:t>
      </w:r>
    </w:p>
    <w:p w14:paraId="74344AED" w14:textId="57F6CE9D" w:rsidR="007922D8" w:rsidRPr="00F4226B" w:rsidRDefault="007922D8" w:rsidP="00443D81">
      <w:pPr>
        <w:autoSpaceDE w:val="0"/>
        <w:autoSpaceDN w:val="0"/>
        <w:adjustRightInd w:val="0"/>
        <w:spacing w:after="0"/>
        <w:ind w:left="284" w:hanging="284"/>
        <w:jc w:val="both"/>
        <w:rPr>
          <w:rFonts w:ascii="Times New Roman" w:hAnsi="Times New Roman"/>
          <w:i/>
          <w:iCs/>
          <w:sz w:val="24"/>
          <w:szCs w:val="24"/>
          <w:lang w:val="en-US"/>
        </w:rPr>
      </w:pPr>
      <w:r w:rsidRPr="00F4226B">
        <w:rPr>
          <w:rFonts w:ascii="Times New Roman" w:hAnsi="Times New Roman"/>
          <w:sz w:val="24"/>
          <w:szCs w:val="24"/>
          <w:lang w:val="en-US" w:eastAsia="en-GB"/>
        </w:rPr>
        <w:t>Holthausen, R.</w:t>
      </w:r>
      <w:r w:rsidR="00F04E8A" w:rsidRPr="00F4226B">
        <w:rPr>
          <w:rFonts w:ascii="Times New Roman" w:hAnsi="Times New Roman"/>
          <w:sz w:val="24"/>
          <w:szCs w:val="24"/>
          <w:lang w:val="en-US" w:eastAsia="en-GB"/>
        </w:rPr>
        <w:t xml:space="preserve"> </w:t>
      </w:r>
      <w:r w:rsidRPr="00F4226B">
        <w:rPr>
          <w:rFonts w:ascii="Times New Roman" w:hAnsi="Times New Roman"/>
          <w:sz w:val="24"/>
          <w:szCs w:val="24"/>
          <w:lang w:val="en-US" w:eastAsia="en-GB"/>
        </w:rPr>
        <w:t>W.</w:t>
      </w:r>
      <w:r w:rsidR="00F04E8A" w:rsidRPr="00F4226B">
        <w:rPr>
          <w:rFonts w:ascii="Times New Roman" w:hAnsi="Times New Roman"/>
          <w:sz w:val="24"/>
          <w:szCs w:val="24"/>
          <w:lang w:val="en-US" w:eastAsia="en-GB"/>
        </w:rPr>
        <w:t>, &amp;</w:t>
      </w:r>
      <w:r w:rsidRPr="00F4226B">
        <w:rPr>
          <w:rFonts w:ascii="Times New Roman" w:hAnsi="Times New Roman"/>
          <w:sz w:val="24"/>
          <w:szCs w:val="24"/>
          <w:lang w:val="en-US" w:eastAsia="en-GB"/>
        </w:rPr>
        <w:t xml:space="preserve"> Watts, R.</w:t>
      </w:r>
      <w:r w:rsidR="00F04E8A" w:rsidRPr="00F4226B">
        <w:rPr>
          <w:rFonts w:ascii="Times New Roman" w:hAnsi="Times New Roman"/>
          <w:sz w:val="24"/>
          <w:szCs w:val="24"/>
          <w:lang w:val="en-US" w:eastAsia="en-GB"/>
        </w:rPr>
        <w:t xml:space="preserve"> </w:t>
      </w:r>
      <w:r w:rsidRPr="00F4226B">
        <w:rPr>
          <w:rFonts w:ascii="Times New Roman" w:hAnsi="Times New Roman"/>
          <w:sz w:val="24"/>
          <w:szCs w:val="24"/>
          <w:lang w:val="en-US" w:eastAsia="en-GB"/>
        </w:rPr>
        <w:t>L. (2001). The relevance of the value-relevance literature for financial accounting standard setting</w:t>
      </w:r>
      <w:r w:rsidR="00F04E8A" w:rsidRPr="00F4226B">
        <w:rPr>
          <w:rFonts w:ascii="Times New Roman" w:hAnsi="Times New Roman"/>
          <w:sz w:val="24"/>
          <w:szCs w:val="24"/>
          <w:lang w:val="en-US" w:eastAsia="en-GB"/>
        </w:rPr>
        <w:t>.</w:t>
      </w:r>
      <w:r w:rsidRPr="00F4226B">
        <w:rPr>
          <w:rFonts w:ascii="Times New Roman" w:hAnsi="Times New Roman"/>
          <w:sz w:val="24"/>
          <w:szCs w:val="24"/>
          <w:lang w:val="en-US" w:eastAsia="en-GB"/>
        </w:rPr>
        <w:t xml:space="preserve"> </w:t>
      </w:r>
      <w:r w:rsidRPr="00F4226B">
        <w:rPr>
          <w:rFonts w:ascii="Times New Roman" w:hAnsi="Times New Roman"/>
          <w:i/>
          <w:sz w:val="24"/>
          <w:szCs w:val="24"/>
          <w:lang w:val="en-US" w:eastAsia="en-GB"/>
        </w:rPr>
        <w:t>Journal of Accounting and Economics</w:t>
      </w:r>
      <w:r w:rsidRPr="00804A08">
        <w:rPr>
          <w:rFonts w:ascii="Times New Roman" w:hAnsi="Times New Roman"/>
          <w:sz w:val="24"/>
          <w:szCs w:val="24"/>
          <w:lang w:val="en-US" w:eastAsia="en-GB"/>
        </w:rPr>
        <w:t>,</w:t>
      </w:r>
      <w:r w:rsidRPr="00F4226B">
        <w:rPr>
          <w:rFonts w:ascii="Times New Roman" w:hAnsi="Times New Roman"/>
          <w:sz w:val="24"/>
          <w:szCs w:val="24"/>
          <w:lang w:val="en-US" w:eastAsia="en-GB"/>
        </w:rPr>
        <w:t xml:space="preserve"> 31</w:t>
      </w:r>
      <w:r w:rsidR="00F04E8A" w:rsidRPr="00F4226B">
        <w:rPr>
          <w:rFonts w:ascii="Times New Roman" w:hAnsi="Times New Roman"/>
          <w:sz w:val="24"/>
          <w:szCs w:val="24"/>
          <w:lang w:val="en-US" w:eastAsia="en-GB"/>
        </w:rPr>
        <w:t>(1-3),</w:t>
      </w:r>
      <w:r w:rsidRPr="00F4226B">
        <w:rPr>
          <w:rFonts w:ascii="Times New Roman" w:hAnsi="Times New Roman"/>
          <w:sz w:val="24"/>
          <w:szCs w:val="24"/>
          <w:lang w:val="en-US" w:eastAsia="en-GB"/>
        </w:rPr>
        <w:t xml:space="preserve"> 3</w:t>
      </w:r>
      <w:r w:rsidR="00985DDF">
        <w:rPr>
          <w:rFonts w:ascii="Times New Roman" w:hAnsi="Times New Roman"/>
          <w:sz w:val="24"/>
          <w:szCs w:val="24"/>
          <w:lang w:val="en-US"/>
        </w:rPr>
        <w:t>–</w:t>
      </w:r>
      <w:r w:rsidRPr="00F4226B">
        <w:rPr>
          <w:rFonts w:ascii="Times New Roman" w:hAnsi="Times New Roman"/>
          <w:sz w:val="24"/>
          <w:szCs w:val="24"/>
          <w:lang w:val="en-US" w:eastAsia="en-GB"/>
        </w:rPr>
        <w:t>73</w:t>
      </w:r>
      <w:r w:rsidR="00F04E8A" w:rsidRPr="00F4226B">
        <w:rPr>
          <w:rFonts w:ascii="Times New Roman" w:hAnsi="Times New Roman"/>
          <w:sz w:val="24"/>
          <w:szCs w:val="24"/>
          <w:lang w:val="en-US" w:eastAsia="en-GB"/>
        </w:rPr>
        <w:t>.</w:t>
      </w:r>
    </w:p>
    <w:p w14:paraId="152B5DE9" w14:textId="77777777" w:rsidR="0084355C" w:rsidRPr="00F4226B" w:rsidRDefault="00F04E8A" w:rsidP="00F04E8A">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International Accounting Standards Board</w:t>
      </w:r>
      <w:r w:rsidR="0084355C" w:rsidRPr="00F4226B">
        <w:rPr>
          <w:rFonts w:ascii="Times New Roman" w:hAnsi="Times New Roman"/>
          <w:sz w:val="24"/>
          <w:szCs w:val="24"/>
          <w:lang w:val="en-US"/>
        </w:rPr>
        <w:t xml:space="preserve"> (20</w:t>
      </w:r>
      <w:r w:rsidR="00E942F9" w:rsidRPr="00F4226B">
        <w:rPr>
          <w:rFonts w:ascii="Times New Roman" w:hAnsi="Times New Roman"/>
          <w:sz w:val="24"/>
          <w:szCs w:val="24"/>
          <w:lang w:val="en-US"/>
        </w:rPr>
        <w:t>11</w:t>
      </w:r>
      <w:r w:rsidR="0084355C" w:rsidRPr="00F4226B">
        <w:rPr>
          <w:rFonts w:ascii="Times New Roman" w:hAnsi="Times New Roman"/>
          <w:sz w:val="24"/>
          <w:szCs w:val="24"/>
          <w:lang w:val="en-US"/>
        </w:rPr>
        <w:t xml:space="preserve">). </w:t>
      </w:r>
      <w:r w:rsidR="00E942F9" w:rsidRPr="00F4226B">
        <w:rPr>
          <w:rFonts w:ascii="Times New Roman" w:hAnsi="Times New Roman"/>
          <w:i/>
          <w:sz w:val="24"/>
          <w:szCs w:val="24"/>
          <w:lang w:val="en-US"/>
        </w:rPr>
        <w:t xml:space="preserve">A guide through </w:t>
      </w:r>
      <w:r w:rsidR="0084355C" w:rsidRPr="00F4226B">
        <w:rPr>
          <w:rFonts w:ascii="Times New Roman" w:hAnsi="Times New Roman"/>
          <w:i/>
          <w:sz w:val="24"/>
          <w:szCs w:val="24"/>
          <w:lang w:val="en-US"/>
        </w:rPr>
        <w:t>International Financial Reporting Standards (IFRSs)</w:t>
      </w:r>
      <w:r w:rsidR="007D3E99" w:rsidRPr="00F4226B">
        <w:rPr>
          <w:rFonts w:ascii="Times New Roman" w:hAnsi="Times New Roman"/>
          <w:i/>
          <w:sz w:val="24"/>
          <w:szCs w:val="24"/>
          <w:lang w:val="en-US"/>
        </w:rPr>
        <w:t>: Parts A and B</w:t>
      </w:r>
      <w:r w:rsidR="0084355C" w:rsidRPr="00F4226B">
        <w:rPr>
          <w:rFonts w:ascii="Times New Roman" w:hAnsi="Times New Roman"/>
          <w:i/>
          <w:sz w:val="24"/>
          <w:szCs w:val="24"/>
          <w:lang w:val="en-US"/>
        </w:rPr>
        <w:t>.</w:t>
      </w:r>
      <w:r w:rsidR="0084355C"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London: </w:t>
      </w:r>
      <w:r w:rsidR="0084355C" w:rsidRPr="00F4226B">
        <w:rPr>
          <w:rFonts w:ascii="Times New Roman" w:hAnsi="Times New Roman"/>
          <w:sz w:val="24"/>
          <w:szCs w:val="24"/>
          <w:lang w:val="en-US"/>
        </w:rPr>
        <w:t xml:space="preserve">International </w:t>
      </w:r>
      <w:r w:rsidR="00E942F9" w:rsidRPr="00F4226B">
        <w:rPr>
          <w:rFonts w:ascii="Times New Roman" w:hAnsi="Times New Roman"/>
          <w:sz w:val="24"/>
          <w:szCs w:val="24"/>
          <w:lang w:val="en-US"/>
        </w:rPr>
        <w:t xml:space="preserve">Financial Reporting </w:t>
      </w:r>
      <w:r w:rsidR="0084355C" w:rsidRPr="00F4226B">
        <w:rPr>
          <w:rFonts w:ascii="Times New Roman" w:hAnsi="Times New Roman"/>
          <w:sz w:val="24"/>
          <w:szCs w:val="24"/>
          <w:lang w:val="en-US"/>
        </w:rPr>
        <w:t>Standards Foundation.</w:t>
      </w:r>
    </w:p>
    <w:p w14:paraId="3BBE7834" w14:textId="50E6EAD6" w:rsidR="00040E67" w:rsidRPr="00F4226B" w:rsidRDefault="0061519E" w:rsidP="00F04E8A">
      <w:pPr>
        <w:spacing w:after="0"/>
        <w:ind w:left="284" w:hanging="284"/>
        <w:jc w:val="both"/>
        <w:rPr>
          <w:rFonts w:ascii="Times New Roman" w:hAnsi="Times New Roman"/>
          <w:spacing w:val="-3"/>
          <w:sz w:val="24"/>
          <w:szCs w:val="24"/>
          <w:lang w:val="en-US"/>
        </w:rPr>
      </w:pPr>
      <w:r w:rsidRPr="00F4226B">
        <w:rPr>
          <w:rFonts w:ascii="Times New Roman" w:hAnsi="Times New Roman"/>
          <w:sz w:val="24"/>
          <w:szCs w:val="24"/>
          <w:lang w:val="en-US"/>
        </w:rPr>
        <w:t>International Monetary Fund</w:t>
      </w:r>
      <w:r w:rsidR="002C70F8" w:rsidRPr="00F4226B">
        <w:rPr>
          <w:rFonts w:ascii="Times New Roman" w:hAnsi="Times New Roman"/>
          <w:spacing w:val="-3"/>
          <w:sz w:val="24"/>
          <w:szCs w:val="24"/>
          <w:lang w:val="en-US"/>
        </w:rPr>
        <w:t xml:space="preserve"> (2008). Report for selected countries and subjects: Zimbabwe</w:t>
      </w:r>
      <w:r w:rsidR="00F7449F" w:rsidRPr="00F4226B">
        <w:rPr>
          <w:rFonts w:ascii="Times New Roman" w:hAnsi="Times New Roman"/>
          <w:spacing w:val="-3"/>
          <w:sz w:val="24"/>
          <w:szCs w:val="24"/>
          <w:lang w:val="en-US"/>
        </w:rPr>
        <w:t>.</w:t>
      </w:r>
      <w:r w:rsidR="002C70F8" w:rsidRPr="00F4226B">
        <w:rPr>
          <w:rFonts w:ascii="Times New Roman" w:hAnsi="Times New Roman"/>
          <w:spacing w:val="-3"/>
          <w:sz w:val="24"/>
          <w:szCs w:val="24"/>
          <w:lang w:val="en-US"/>
        </w:rPr>
        <w:t xml:space="preserve"> World Economic Outlook Database</w:t>
      </w:r>
      <w:r w:rsidR="00040E67" w:rsidRPr="00F4226B">
        <w:rPr>
          <w:rFonts w:ascii="Times New Roman" w:hAnsi="Times New Roman"/>
          <w:spacing w:val="-3"/>
          <w:sz w:val="24"/>
          <w:szCs w:val="24"/>
          <w:lang w:val="en-US"/>
        </w:rPr>
        <w:t xml:space="preserve">. </w:t>
      </w:r>
    </w:p>
    <w:p w14:paraId="124CB64A" w14:textId="5AFB0D93" w:rsidR="002C70F8" w:rsidRPr="00F4226B" w:rsidRDefault="00F04E8A" w:rsidP="00F04E8A">
      <w:pPr>
        <w:pStyle w:val="BlockText"/>
        <w:spacing w:line="276" w:lineRule="auto"/>
        <w:ind w:left="284"/>
        <w:rPr>
          <w:spacing w:val="-3"/>
          <w:szCs w:val="24"/>
          <w:lang w:val="en-US"/>
        </w:rPr>
      </w:pPr>
      <w:r w:rsidRPr="00F4226B">
        <w:rPr>
          <w:spacing w:val="-3"/>
          <w:szCs w:val="24"/>
          <w:lang w:val="en-US"/>
        </w:rPr>
        <w:t>http</w:t>
      </w:r>
      <w:r w:rsidR="002C1D5B" w:rsidRPr="00F4226B">
        <w:rPr>
          <w:spacing w:val="-3"/>
          <w:szCs w:val="24"/>
          <w:lang w:val="en-US"/>
        </w:rPr>
        <w:t>:</w:t>
      </w:r>
      <w:r w:rsidRPr="00F4226B">
        <w:rPr>
          <w:spacing w:val="-3"/>
          <w:szCs w:val="24"/>
          <w:lang w:val="en-US"/>
        </w:rPr>
        <w:t>//</w:t>
      </w:r>
      <w:hyperlink r:id="rId10" w:history="1">
        <w:r w:rsidR="002C70F8" w:rsidRPr="00F4226B">
          <w:rPr>
            <w:rStyle w:val="Hyperlink"/>
            <w:color w:val="auto"/>
            <w:spacing w:val="-3"/>
            <w:szCs w:val="24"/>
            <w:lang w:val="en-US"/>
          </w:rPr>
          <w:t>www.imf.org/external/pubs/ft/weo/2008/02/weodata/weorept.aspx</w:t>
        </w:r>
      </w:hyperlink>
      <w:r w:rsidRPr="00F4226B">
        <w:rPr>
          <w:spacing w:val="-3"/>
          <w:szCs w:val="24"/>
          <w:lang w:val="en-US"/>
        </w:rPr>
        <w:t>.</w:t>
      </w:r>
      <w:r w:rsidR="00804A08">
        <w:rPr>
          <w:spacing w:val="-3"/>
          <w:szCs w:val="24"/>
          <w:lang w:val="en-US"/>
        </w:rPr>
        <w:t xml:space="preserve"> </w:t>
      </w:r>
      <w:r w:rsidR="00FE37FC" w:rsidRPr="00F4226B">
        <w:rPr>
          <w:spacing w:val="-3"/>
          <w:szCs w:val="24"/>
          <w:lang w:val="en-US"/>
        </w:rPr>
        <w:t>Accessed</w:t>
      </w:r>
      <w:r w:rsidR="002C1D5B" w:rsidRPr="00F4226B">
        <w:rPr>
          <w:spacing w:val="-3"/>
          <w:szCs w:val="24"/>
          <w:lang w:val="en-US"/>
        </w:rPr>
        <w:t xml:space="preserve"> </w:t>
      </w:r>
      <w:r w:rsidR="00FE37FC" w:rsidRPr="00F4226B">
        <w:rPr>
          <w:spacing w:val="-3"/>
          <w:szCs w:val="24"/>
          <w:lang w:val="en-US"/>
        </w:rPr>
        <w:t>December</w:t>
      </w:r>
      <w:r w:rsidR="00804A08">
        <w:rPr>
          <w:spacing w:val="-3"/>
          <w:szCs w:val="24"/>
          <w:lang w:val="en-US"/>
        </w:rPr>
        <w:t xml:space="preserve"> 17,</w:t>
      </w:r>
      <w:r w:rsidR="00FE37FC" w:rsidRPr="00F4226B">
        <w:rPr>
          <w:spacing w:val="-3"/>
          <w:szCs w:val="24"/>
          <w:lang w:val="en-US"/>
        </w:rPr>
        <w:t xml:space="preserve"> 2014.</w:t>
      </w:r>
    </w:p>
    <w:p w14:paraId="23F9E570" w14:textId="65E70D86" w:rsidR="00481F69" w:rsidRPr="00F4226B" w:rsidRDefault="00481F69" w:rsidP="002C1D5B">
      <w:pPr>
        <w:pStyle w:val="BlockText"/>
        <w:spacing w:line="276" w:lineRule="auto"/>
        <w:ind w:left="284" w:hanging="284"/>
        <w:rPr>
          <w:spacing w:val="-3"/>
          <w:szCs w:val="24"/>
          <w:lang w:val="en-US"/>
        </w:rPr>
      </w:pPr>
      <w:r w:rsidRPr="00F4226B">
        <w:rPr>
          <w:szCs w:val="24"/>
          <w:lang w:val="en-US"/>
        </w:rPr>
        <w:lastRenderedPageBreak/>
        <w:t>International Monetary Fund</w:t>
      </w:r>
      <w:r w:rsidRPr="00F4226B">
        <w:rPr>
          <w:spacing w:val="-3"/>
          <w:szCs w:val="24"/>
          <w:lang w:val="en-US"/>
        </w:rPr>
        <w:t xml:space="preserve"> (2010). Financial statistics. </w:t>
      </w:r>
      <w:r w:rsidR="002C1D5B" w:rsidRPr="00F4226B">
        <w:rPr>
          <w:spacing w:val="-3"/>
          <w:szCs w:val="24"/>
          <w:lang w:val="en-US"/>
        </w:rPr>
        <w:t>http://</w:t>
      </w:r>
      <w:hyperlink r:id="rId11" w:history="1">
        <w:r w:rsidRPr="00F4226B">
          <w:rPr>
            <w:rStyle w:val="Hyperlink"/>
            <w:color w:val="auto"/>
            <w:spacing w:val="-3"/>
            <w:szCs w:val="24"/>
            <w:lang w:val="en-US"/>
          </w:rPr>
          <w:t>www.imfstatistics.org</w:t>
        </w:r>
      </w:hyperlink>
      <w:r w:rsidR="002C1D5B" w:rsidRPr="00F4226B">
        <w:rPr>
          <w:spacing w:val="-3"/>
          <w:szCs w:val="24"/>
          <w:lang w:val="en-US"/>
        </w:rPr>
        <w:t>.</w:t>
      </w:r>
      <w:r w:rsidR="003D0DDE" w:rsidRPr="00F4226B">
        <w:rPr>
          <w:spacing w:val="-3"/>
          <w:szCs w:val="24"/>
          <w:lang w:val="en-US"/>
        </w:rPr>
        <w:t xml:space="preserve"> Accessed July</w:t>
      </w:r>
      <w:r w:rsidR="00A72C97">
        <w:rPr>
          <w:spacing w:val="-3"/>
          <w:szCs w:val="24"/>
          <w:lang w:val="en-US"/>
        </w:rPr>
        <w:t xml:space="preserve"> 15,</w:t>
      </w:r>
      <w:r w:rsidR="003D0DDE" w:rsidRPr="00F4226B">
        <w:rPr>
          <w:spacing w:val="-3"/>
          <w:szCs w:val="24"/>
          <w:lang w:val="en-US"/>
        </w:rPr>
        <w:t xml:space="preserve"> 2011.</w:t>
      </w:r>
    </w:p>
    <w:p w14:paraId="44E3C823" w14:textId="6C44A33B" w:rsidR="00A23946" w:rsidRPr="00F4226B" w:rsidRDefault="00A23946" w:rsidP="002C1D5B">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Kirkulak</w:t>
      </w:r>
      <w:r w:rsidR="007B620E" w:rsidRPr="00F4226B">
        <w:rPr>
          <w:rFonts w:ascii="Times New Roman" w:hAnsi="Times New Roman"/>
          <w:sz w:val="24"/>
          <w:szCs w:val="24"/>
          <w:lang w:val="en-US"/>
        </w:rPr>
        <w:t>,</w:t>
      </w:r>
      <w:r w:rsidRPr="00F4226B">
        <w:rPr>
          <w:rFonts w:ascii="Times New Roman" w:hAnsi="Times New Roman"/>
          <w:sz w:val="24"/>
          <w:szCs w:val="24"/>
          <w:lang w:val="en-US"/>
        </w:rPr>
        <w:t xml:space="preserve"> B</w:t>
      </w:r>
      <w:r w:rsidR="007B620E" w:rsidRPr="00F4226B">
        <w:rPr>
          <w:rFonts w:ascii="Times New Roman" w:hAnsi="Times New Roman"/>
          <w:sz w:val="24"/>
          <w:szCs w:val="24"/>
          <w:lang w:val="en-US"/>
        </w:rPr>
        <w:t>.</w:t>
      </w:r>
      <w:r w:rsidR="002C1D5B" w:rsidRPr="00F4226B">
        <w:rPr>
          <w:rFonts w:ascii="Times New Roman" w:hAnsi="Times New Roman"/>
          <w:sz w:val="24"/>
          <w:szCs w:val="24"/>
          <w:lang w:val="en-US"/>
        </w:rPr>
        <w:t>, &amp;</w:t>
      </w:r>
      <w:r w:rsidRPr="00F4226B">
        <w:rPr>
          <w:rFonts w:ascii="Times New Roman" w:hAnsi="Times New Roman"/>
          <w:sz w:val="24"/>
          <w:szCs w:val="24"/>
          <w:lang w:val="en-US"/>
        </w:rPr>
        <w:t xml:space="preserve"> Balsari, C.</w:t>
      </w:r>
      <w:r w:rsidR="002C1D5B"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K. (2009). Value relevance of inflation-adjusted equity and income. </w:t>
      </w:r>
      <w:r w:rsidRPr="00F4226B">
        <w:rPr>
          <w:rFonts w:ascii="Times New Roman" w:hAnsi="Times New Roman"/>
          <w:i/>
          <w:iCs/>
          <w:sz w:val="24"/>
          <w:szCs w:val="24"/>
          <w:lang w:val="en-US"/>
        </w:rPr>
        <w:t>The International Journal of Accounting</w:t>
      </w:r>
      <w:r w:rsidRPr="00804A08">
        <w:rPr>
          <w:rFonts w:ascii="Times New Roman" w:hAnsi="Times New Roman"/>
          <w:iCs/>
          <w:sz w:val="24"/>
          <w:szCs w:val="24"/>
          <w:lang w:val="en-US"/>
        </w:rPr>
        <w:t>,</w:t>
      </w:r>
      <w:r w:rsidRPr="00F4226B">
        <w:rPr>
          <w:rFonts w:ascii="Times New Roman" w:hAnsi="Times New Roman"/>
          <w:sz w:val="24"/>
          <w:szCs w:val="24"/>
          <w:lang w:val="en-US"/>
        </w:rPr>
        <w:t xml:space="preserve"> 44(4)</w:t>
      </w:r>
      <w:r w:rsidR="002C1D5B" w:rsidRPr="00F4226B">
        <w:rPr>
          <w:rFonts w:ascii="Times New Roman" w:hAnsi="Times New Roman"/>
          <w:sz w:val="24"/>
          <w:szCs w:val="24"/>
          <w:lang w:val="en-US"/>
        </w:rPr>
        <w:t>,</w:t>
      </w:r>
      <w:r w:rsidR="00F7449F" w:rsidRPr="00F4226B">
        <w:rPr>
          <w:rFonts w:ascii="Times New Roman" w:hAnsi="Times New Roman"/>
          <w:sz w:val="24"/>
          <w:szCs w:val="24"/>
          <w:lang w:val="en-US"/>
        </w:rPr>
        <w:t xml:space="preserve"> </w:t>
      </w:r>
      <w:r w:rsidRPr="00F4226B">
        <w:rPr>
          <w:rFonts w:ascii="Times New Roman" w:hAnsi="Times New Roman"/>
          <w:sz w:val="24"/>
          <w:szCs w:val="24"/>
          <w:lang w:val="en-US"/>
        </w:rPr>
        <w:t>363</w:t>
      </w:r>
      <w:r w:rsidR="00985DDF">
        <w:rPr>
          <w:rFonts w:ascii="Times New Roman" w:hAnsi="Times New Roman"/>
          <w:sz w:val="24"/>
          <w:szCs w:val="24"/>
          <w:lang w:val="en-US"/>
        </w:rPr>
        <w:t>–</w:t>
      </w:r>
      <w:r w:rsidRPr="00F4226B">
        <w:rPr>
          <w:rFonts w:ascii="Times New Roman" w:hAnsi="Times New Roman"/>
          <w:sz w:val="24"/>
          <w:szCs w:val="24"/>
          <w:lang w:val="en-US"/>
        </w:rPr>
        <w:t xml:space="preserve">377. </w:t>
      </w:r>
    </w:p>
    <w:p w14:paraId="7181C75F" w14:textId="2036FEAE" w:rsidR="005C6CAF" w:rsidRPr="00F4226B" w:rsidRDefault="005C6CAF" w:rsidP="00443D81">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Konchitchki, Y. (2011). Inflation and nominal financial reporting: </w:t>
      </w:r>
      <w:r w:rsidR="00145C16" w:rsidRPr="00F4226B">
        <w:rPr>
          <w:rFonts w:ascii="Times New Roman" w:hAnsi="Times New Roman"/>
          <w:sz w:val="24"/>
          <w:szCs w:val="24"/>
          <w:lang w:val="en-US"/>
        </w:rPr>
        <w:t>I</w:t>
      </w:r>
      <w:r w:rsidRPr="00F4226B">
        <w:rPr>
          <w:rFonts w:ascii="Times New Roman" w:hAnsi="Times New Roman"/>
          <w:sz w:val="24"/>
          <w:szCs w:val="24"/>
          <w:lang w:val="en-US"/>
        </w:rPr>
        <w:t>mplications for performance and stock prices</w:t>
      </w:r>
      <w:r w:rsidR="00F7449F"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The Accounting Review</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86(3)</w:t>
      </w:r>
      <w:r w:rsidR="002C1D5B" w:rsidRPr="00F4226B">
        <w:rPr>
          <w:rFonts w:ascii="Times New Roman" w:hAnsi="Times New Roman"/>
          <w:sz w:val="24"/>
          <w:szCs w:val="24"/>
          <w:lang w:val="en-US"/>
        </w:rPr>
        <w:t>,</w:t>
      </w:r>
      <w:r w:rsidRPr="00F4226B">
        <w:rPr>
          <w:rFonts w:ascii="Times New Roman" w:hAnsi="Times New Roman"/>
          <w:sz w:val="24"/>
          <w:szCs w:val="24"/>
          <w:lang w:val="en-US"/>
        </w:rPr>
        <w:t xml:space="preserve"> 1045</w:t>
      </w:r>
      <w:r w:rsidR="00985DDF">
        <w:rPr>
          <w:rFonts w:ascii="Times New Roman" w:hAnsi="Times New Roman"/>
          <w:sz w:val="24"/>
          <w:szCs w:val="24"/>
          <w:lang w:val="en-US"/>
        </w:rPr>
        <w:t>–</w:t>
      </w:r>
      <w:r w:rsidRPr="00F4226B">
        <w:rPr>
          <w:rFonts w:ascii="Times New Roman" w:hAnsi="Times New Roman"/>
          <w:sz w:val="24"/>
          <w:szCs w:val="24"/>
          <w:lang w:val="en-US"/>
        </w:rPr>
        <w:t>1085</w:t>
      </w:r>
      <w:r w:rsidR="005904A1" w:rsidRPr="00F4226B">
        <w:rPr>
          <w:rFonts w:ascii="Times New Roman" w:hAnsi="Times New Roman"/>
          <w:sz w:val="24"/>
          <w:szCs w:val="24"/>
          <w:lang w:val="en-US"/>
        </w:rPr>
        <w:t>.</w:t>
      </w:r>
    </w:p>
    <w:p w14:paraId="1ACA6D7E" w14:textId="78D51094" w:rsidR="005904A1" w:rsidRPr="00F4226B" w:rsidRDefault="005904A1" w:rsidP="00443D81">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Konchitchki, Y. (2013). </w:t>
      </w:r>
      <w:r w:rsidR="00F7449F" w:rsidRPr="00F4226B">
        <w:rPr>
          <w:rFonts w:ascii="Times New Roman" w:hAnsi="Times New Roman"/>
          <w:sz w:val="24"/>
          <w:szCs w:val="24"/>
          <w:lang w:val="en-US"/>
        </w:rPr>
        <w:t xml:space="preserve">Accounting and the macroeconomy: the case of aggregate price-level effects on individual stocks. </w:t>
      </w:r>
      <w:r w:rsidR="00F7449F" w:rsidRPr="00F4226B">
        <w:rPr>
          <w:rFonts w:ascii="Times New Roman" w:hAnsi="Times New Roman"/>
          <w:i/>
          <w:sz w:val="24"/>
          <w:szCs w:val="24"/>
          <w:lang w:val="en-US"/>
        </w:rPr>
        <w:t>Financial Analysts Journal</w:t>
      </w:r>
      <w:r w:rsidR="00F7449F" w:rsidRPr="00804A08">
        <w:rPr>
          <w:rFonts w:ascii="Times New Roman" w:hAnsi="Times New Roman"/>
          <w:sz w:val="24"/>
          <w:szCs w:val="24"/>
          <w:lang w:val="en-US"/>
        </w:rPr>
        <w:t>,</w:t>
      </w:r>
      <w:r w:rsidR="00F7449F" w:rsidRPr="00F4226B">
        <w:rPr>
          <w:rFonts w:ascii="Times New Roman" w:hAnsi="Times New Roman"/>
          <w:sz w:val="24"/>
          <w:szCs w:val="24"/>
          <w:lang w:val="en-US"/>
        </w:rPr>
        <w:t xml:space="preserve"> 69(6)</w:t>
      </w:r>
      <w:r w:rsidR="002C1D5B" w:rsidRPr="00F4226B">
        <w:rPr>
          <w:rFonts w:ascii="Times New Roman" w:hAnsi="Times New Roman"/>
          <w:sz w:val="24"/>
          <w:szCs w:val="24"/>
          <w:lang w:val="en-US"/>
        </w:rPr>
        <w:t>,</w:t>
      </w:r>
      <w:r w:rsidR="00F7449F" w:rsidRPr="00F4226B">
        <w:rPr>
          <w:rFonts w:ascii="Times New Roman" w:hAnsi="Times New Roman"/>
          <w:sz w:val="24"/>
          <w:szCs w:val="24"/>
          <w:lang w:val="en-US"/>
        </w:rPr>
        <w:t xml:space="preserve"> 40</w:t>
      </w:r>
      <w:r w:rsidR="00985DDF">
        <w:rPr>
          <w:rFonts w:ascii="Times New Roman" w:hAnsi="Times New Roman"/>
          <w:sz w:val="24"/>
          <w:szCs w:val="24"/>
          <w:lang w:val="en-US"/>
        </w:rPr>
        <w:t>–</w:t>
      </w:r>
      <w:r w:rsidR="00F7449F" w:rsidRPr="00F4226B">
        <w:rPr>
          <w:rFonts w:ascii="Times New Roman" w:hAnsi="Times New Roman"/>
          <w:sz w:val="24"/>
          <w:szCs w:val="24"/>
          <w:lang w:val="en-US"/>
        </w:rPr>
        <w:t>54.</w:t>
      </w:r>
    </w:p>
    <w:p w14:paraId="62D7367D" w14:textId="20EA06E3" w:rsidR="00403162" w:rsidRPr="00F4226B" w:rsidRDefault="00403162" w:rsidP="00443D81">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Konchitchki, Y. (2016). Accounting valuation and cost of capital dynamics: The theoretical and empirical macroeconomic aspects. Discussion of Callen. </w:t>
      </w:r>
      <w:r w:rsidRPr="00F4226B">
        <w:rPr>
          <w:rFonts w:ascii="Times New Roman" w:hAnsi="Times New Roman"/>
          <w:i/>
          <w:sz w:val="24"/>
          <w:szCs w:val="24"/>
          <w:lang w:val="en-US"/>
        </w:rPr>
        <w:t>A</w:t>
      </w:r>
      <w:r w:rsidR="009B69F3" w:rsidRPr="00F4226B">
        <w:rPr>
          <w:rFonts w:ascii="Times New Roman" w:hAnsi="Times New Roman"/>
          <w:i/>
          <w:sz w:val="24"/>
          <w:szCs w:val="24"/>
          <w:lang w:val="en-US"/>
        </w:rPr>
        <w:t>bacus</w:t>
      </w:r>
      <w:r w:rsidRPr="00804A08">
        <w:rPr>
          <w:rFonts w:ascii="Times New Roman" w:hAnsi="Times New Roman"/>
          <w:i/>
          <w:sz w:val="24"/>
          <w:szCs w:val="24"/>
          <w:lang w:val="en-US"/>
        </w:rPr>
        <w:t>,</w:t>
      </w:r>
      <w:r w:rsidRPr="00F4226B">
        <w:rPr>
          <w:rFonts w:ascii="Times New Roman" w:hAnsi="Times New Roman"/>
          <w:sz w:val="24"/>
          <w:szCs w:val="24"/>
          <w:lang w:val="en-US"/>
        </w:rPr>
        <w:t xml:space="preserve"> 52(1), 26</w:t>
      </w:r>
      <w:r w:rsidR="00985DDF">
        <w:rPr>
          <w:rFonts w:ascii="Times New Roman" w:hAnsi="Times New Roman"/>
          <w:sz w:val="24"/>
          <w:szCs w:val="24"/>
          <w:lang w:val="en-US"/>
        </w:rPr>
        <w:t>–</w:t>
      </w:r>
      <w:r w:rsidRPr="00F4226B">
        <w:rPr>
          <w:rFonts w:ascii="Times New Roman" w:hAnsi="Times New Roman"/>
          <w:sz w:val="24"/>
          <w:szCs w:val="24"/>
          <w:lang w:val="en-US"/>
        </w:rPr>
        <w:t>34.</w:t>
      </w:r>
    </w:p>
    <w:p w14:paraId="755250B1" w14:textId="4D16F586" w:rsidR="00403162" w:rsidRPr="00F4226B" w:rsidRDefault="00403162" w:rsidP="00443D81">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Konchitchki, Y., &amp; Patatoukas, P. N. (2014a). Taking the pulse of the real economy using financial statement analysis: Implications for macro forecasting and stock valuation. </w:t>
      </w:r>
      <w:r w:rsidRPr="00F4226B">
        <w:rPr>
          <w:rFonts w:ascii="Times New Roman" w:hAnsi="Times New Roman"/>
          <w:i/>
          <w:sz w:val="24"/>
          <w:szCs w:val="24"/>
          <w:lang w:val="en-US"/>
        </w:rPr>
        <w:t>The Accounting Review</w:t>
      </w:r>
      <w:r w:rsidRPr="00F4226B">
        <w:rPr>
          <w:rFonts w:ascii="Times New Roman" w:hAnsi="Times New Roman"/>
          <w:sz w:val="24"/>
          <w:szCs w:val="24"/>
          <w:lang w:val="en-US"/>
        </w:rPr>
        <w:t>, 89(2), 669</w:t>
      </w:r>
      <w:r w:rsidR="00985DDF">
        <w:rPr>
          <w:rFonts w:ascii="Times New Roman" w:hAnsi="Times New Roman"/>
          <w:sz w:val="24"/>
          <w:szCs w:val="24"/>
          <w:lang w:val="en-US"/>
        </w:rPr>
        <w:t>–</w:t>
      </w:r>
      <w:r w:rsidRPr="00F4226B">
        <w:rPr>
          <w:rFonts w:ascii="Times New Roman" w:hAnsi="Times New Roman"/>
          <w:sz w:val="24"/>
          <w:szCs w:val="24"/>
          <w:lang w:val="en-US"/>
        </w:rPr>
        <w:t>694.</w:t>
      </w:r>
    </w:p>
    <w:p w14:paraId="71EE9D18" w14:textId="04D60554" w:rsidR="007922D8" w:rsidRPr="00F4226B" w:rsidRDefault="007922D8" w:rsidP="00443D81">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lastRenderedPageBreak/>
        <w:t>Konchitchki, Y.</w:t>
      </w:r>
      <w:r w:rsidR="002C1D5B" w:rsidRPr="00F4226B">
        <w:rPr>
          <w:rFonts w:ascii="Times New Roman" w:hAnsi="Times New Roman"/>
          <w:sz w:val="24"/>
          <w:szCs w:val="24"/>
          <w:lang w:val="en-US"/>
        </w:rPr>
        <w:t>, &amp;</w:t>
      </w:r>
      <w:r w:rsidRPr="00F4226B">
        <w:rPr>
          <w:rFonts w:ascii="Times New Roman" w:hAnsi="Times New Roman"/>
          <w:sz w:val="24"/>
          <w:szCs w:val="24"/>
          <w:lang w:val="en-US"/>
        </w:rPr>
        <w:t xml:space="preserve"> Patatoukas, P.</w:t>
      </w:r>
      <w:r w:rsidR="002C1D5B" w:rsidRPr="00F4226B">
        <w:rPr>
          <w:rFonts w:ascii="Times New Roman" w:hAnsi="Times New Roman"/>
          <w:sz w:val="24"/>
          <w:szCs w:val="24"/>
          <w:lang w:val="en-US"/>
        </w:rPr>
        <w:t xml:space="preserve"> </w:t>
      </w:r>
      <w:r w:rsidRPr="00F4226B">
        <w:rPr>
          <w:rFonts w:ascii="Times New Roman" w:hAnsi="Times New Roman"/>
          <w:sz w:val="24"/>
          <w:szCs w:val="24"/>
          <w:lang w:val="en-US"/>
        </w:rPr>
        <w:t>N. (2014</w:t>
      </w:r>
      <w:r w:rsidR="00403162" w:rsidRPr="00F4226B">
        <w:rPr>
          <w:rFonts w:ascii="Times New Roman" w:hAnsi="Times New Roman"/>
          <w:sz w:val="24"/>
          <w:szCs w:val="24"/>
          <w:lang w:val="en-US"/>
        </w:rPr>
        <w:t>b</w:t>
      </w:r>
      <w:r w:rsidRPr="00F4226B">
        <w:rPr>
          <w:rFonts w:ascii="Times New Roman" w:hAnsi="Times New Roman"/>
          <w:sz w:val="24"/>
          <w:szCs w:val="24"/>
          <w:lang w:val="en-US"/>
        </w:rPr>
        <w:t xml:space="preserve">). </w:t>
      </w:r>
      <w:r w:rsidR="00BF02E0" w:rsidRPr="00F4226B">
        <w:rPr>
          <w:rFonts w:ascii="Times New Roman" w:hAnsi="Times New Roman"/>
          <w:sz w:val="24"/>
          <w:szCs w:val="24"/>
          <w:lang w:val="en-US"/>
        </w:rPr>
        <w:t>Accounting earnings and gross domestic product</w:t>
      </w:r>
      <w:r w:rsidR="00D844C3" w:rsidRPr="00F4226B">
        <w:rPr>
          <w:rFonts w:ascii="Times New Roman" w:hAnsi="Times New Roman"/>
          <w:sz w:val="24"/>
          <w:szCs w:val="24"/>
          <w:lang w:val="en-US"/>
        </w:rPr>
        <w:t>.</w:t>
      </w:r>
      <w:r w:rsidR="00BF02E0" w:rsidRPr="00F4226B">
        <w:rPr>
          <w:rFonts w:ascii="Times New Roman" w:hAnsi="Times New Roman"/>
          <w:sz w:val="24"/>
          <w:szCs w:val="24"/>
          <w:lang w:val="en-US"/>
        </w:rPr>
        <w:t xml:space="preserve"> </w:t>
      </w:r>
      <w:r w:rsidR="00BF02E0" w:rsidRPr="00F4226B">
        <w:rPr>
          <w:rFonts w:ascii="Times New Roman" w:hAnsi="Times New Roman"/>
          <w:i/>
          <w:sz w:val="24"/>
          <w:szCs w:val="24"/>
          <w:lang w:val="en-US"/>
        </w:rPr>
        <w:t>Journal of Accounting and Economics</w:t>
      </w:r>
      <w:r w:rsidR="00BF02E0" w:rsidRPr="00804A08">
        <w:rPr>
          <w:rFonts w:ascii="Times New Roman" w:hAnsi="Times New Roman"/>
          <w:sz w:val="24"/>
          <w:szCs w:val="24"/>
          <w:lang w:val="en-US"/>
        </w:rPr>
        <w:t>,</w:t>
      </w:r>
      <w:r w:rsidR="00BF02E0" w:rsidRPr="00F4226B">
        <w:rPr>
          <w:rFonts w:ascii="Times New Roman" w:hAnsi="Times New Roman"/>
          <w:i/>
          <w:sz w:val="24"/>
          <w:szCs w:val="24"/>
          <w:lang w:val="en-US"/>
        </w:rPr>
        <w:t xml:space="preserve"> </w:t>
      </w:r>
      <w:r w:rsidR="00BF02E0" w:rsidRPr="00F4226B">
        <w:rPr>
          <w:rFonts w:ascii="Times New Roman" w:hAnsi="Times New Roman"/>
          <w:sz w:val="24"/>
          <w:szCs w:val="24"/>
          <w:lang w:val="en-US"/>
        </w:rPr>
        <w:t>57</w:t>
      </w:r>
      <w:r w:rsidR="002C1D5B" w:rsidRPr="00F4226B">
        <w:rPr>
          <w:rFonts w:ascii="Times New Roman" w:hAnsi="Times New Roman"/>
          <w:sz w:val="24"/>
          <w:szCs w:val="24"/>
          <w:lang w:val="en-US"/>
        </w:rPr>
        <w:t>(1),</w:t>
      </w:r>
      <w:r w:rsidR="00BF02E0" w:rsidRPr="00F4226B">
        <w:rPr>
          <w:rFonts w:ascii="Times New Roman" w:hAnsi="Times New Roman"/>
          <w:sz w:val="24"/>
          <w:szCs w:val="24"/>
          <w:lang w:val="en-US"/>
        </w:rPr>
        <w:t xml:space="preserve"> 76</w:t>
      </w:r>
      <w:r w:rsidR="00985DDF">
        <w:rPr>
          <w:rFonts w:ascii="Times New Roman" w:hAnsi="Times New Roman"/>
          <w:sz w:val="24"/>
          <w:szCs w:val="24"/>
          <w:lang w:val="en-US"/>
        </w:rPr>
        <w:t>–</w:t>
      </w:r>
      <w:r w:rsidR="00BF02E0" w:rsidRPr="00F4226B">
        <w:rPr>
          <w:rFonts w:ascii="Times New Roman" w:hAnsi="Times New Roman"/>
          <w:sz w:val="24"/>
          <w:szCs w:val="24"/>
          <w:lang w:val="en-US"/>
        </w:rPr>
        <w:t>88</w:t>
      </w:r>
      <w:r w:rsidR="002C1D5B" w:rsidRPr="00F4226B">
        <w:rPr>
          <w:rFonts w:ascii="Times New Roman" w:hAnsi="Times New Roman"/>
          <w:sz w:val="24"/>
          <w:szCs w:val="24"/>
          <w:lang w:val="en-US"/>
        </w:rPr>
        <w:t>.</w:t>
      </w:r>
    </w:p>
    <w:p w14:paraId="6A0D993A" w14:textId="21970D5B" w:rsidR="00403162" w:rsidRPr="00F4226B" w:rsidRDefault="00403162" w:rsidP="00443D81">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Konchitchki, Y., Luo, Y., Ma, M. L. Z., and </w:t>
      </w:r>
      <w:r w:rsidR="00BC33FA" w:rsidRPr="00F4226B">
        <w:rPr>
          <w:rFonts w:ascii="Times New Roman" w:hAnsi="Times New Roman"/>
          <w:sz w:val="24"/>
          <w:szCs w:val="24"/>
          <w:lang w:val="en-US"/>
        </w:rPr>
        <w:t xml:space="preserve">Wu, F. (2016). Accounting-based downside risk, cost of capital, and the macroeconomy. </w:t>
      </w:r>
      <w:r w:rsidR="00BC33FA" w:rsidRPr="00F4226B">
        <w:rPr>
          <w:rFonts w:ascii="Times New Roman" w:hAnsi="Times New Roman"/>
          <w:i/>
          <w:sz w:val="24"/>
          <w:szCs w:val="24"/>
          <w:lang w:val="en-US"/>
        </w:rPr>
        <w:t>Review of Accounting Studies</w:t>
      </w:r>
      <w:r w:rsidR="00BC33FA" w:rsidRPr="00F4226B">
        <w:rPr>
          <w:rFonts w:ascii="Times New Roman" w:hAnsi="Times New Roman"/>
          <w:sz w:val="24"/>
          <w:szCs w:val="24"/>
          <w:lang w:val="en-US"/>
        </w:rPr>
        <w:t>, 21(1), 1</w:t>
      </w:r>
      <w:r w:rsidR="00985DDF">
        <w:rPr>
          <w:rFonts w:ascii="Times New Roman" w:hAnsi="Times New Roman"/>
          <w:sz w:val="24"/>
          <w:szCs w:val="24"/>
          <w:lang w:val="en-US"/>
        </w:rPr>
        <w:t>–</w:t>
      </w:r>
      <w:r w:rsidR="00BC33FA" w:rsidRPr="00F4226B">
        <w:rPr>
          <w:rFonts w:ascii="Times New Roman" w:hAnsi="Times New Roman"/>
          <w:sz w:val="24"/>
          <w:szCs w:val="24"/>
          <w:lang w:val="en-US"/>
        </w:rPr>
        <w:t>36.</w:t>
      </w:r>
    </w:p>
    <w:p w14:paraId="26BC3B7C" w14:textId="3AE82B7C" w:rsidR="005C0701" w:rsidRPr="00F4226B" w:rsidRDefault="005C0701" w:rsidP="00443D81">
      <w:pPr>
        <w:autoSpaceDE w:val="0"/>
        <w:autoSpaceDN w:val="0"/>
        <w:adjustRightInd w:val="0"/>
        <w:spacing w:after="0"/>
        <w:ind w:left="284" w:hanging="284"/>
        <w:jc w:val="both"/>
        <w:rPr>
          <w:rFonts w:ascii="Times New Roman" w:hAnsi="Times New Roman"/>
          <w:color w:val="000000"/>
          <w:sz w:val="24"/>
          <w:szCs w:val="24"/>
          <w:lang w:val="en-US"/>
        </w:rPr>
      </w:pPr>
      <w:r w:rsidRPr="00F4226B">
        <w:rPr>
          <w:rFonts w:ascii="Times New Roman" w:hAnsi="Times New Roman"/>
          <w:color w:val="000000"/>
          <w:sz w:val="24"/>
          <w:szCs w:val="24"/>
          <w:lang w:val="en-US"/>
        </w:rPr>
        <w:t>Kothari. S.</w:t>
      </w:r>
      <w:r w:rsidR="002C1D5B" w:rsidRPr="00F4226B">
        <w:rPr>
          <w:rFonts w:ascii="Times New Roman" w:hAnsi="Times New Roman"/>
          <w:color w:val="000000"/>
          <w:sz w:val="24"/>
          <w:szCs w:val="24"/>
          <w:lang w:val="en-US"/>
        </w:rPr>
        <w:t xml:space="preserve"> </w:t>
      </w:r>
      <w:r w:rsidRPr="00F4226B">
        <w:rPr>
          <w:rFonts w:ascii="Times New Roman" w:hAnsi="Times New Roman"/>
          <w:color w:val="000000"/>
          <w:sz w:val="24"/>
          <w:szCs w:val="24"/>
          <w:lang w:val="en-US"/>
        </w:rPr>
        <w:t xml:space="preserve">P., </w:t>
      </w:r>
      <w:r w:rsidR="002C1D5B" w:rsidRPr="00F4226B">
        <w:rPr>
          <w:rFonts w:ascii="Times New Roman" w:hAnsi="Times New Roman"/>
          <w:color w:val="000000"/>
          <w:sz w:val="24"/>
          <w:szCs w:val="24"/>
          <w:lang w:val="en-US"/>
        </w:rPr>
        <w:t>&amp;</w:t>
      </w:r>
      <w:r w:rsidRPr="00F4226B">
        <w:rPr>
          <w:rFonts w:ascii="Times New Roman" w:hAnsi="Times New Roman"/>
          <w:color w:val="000000"/>
          <w:sz w:val="24"/>
          <w:szCs w:val="24"/>
          <w:lang w:val="en-US"/>
        </w:rPr>
        <w:t xml:space="preserve"> Zimmerman, J.</w:t>
      </w:r>
      <w:r w:rsidR="002C1D5B" w:rsidRPr="00F4226B">
        <w:rPr>
          <w:rFonts w:ascii="Times New Roman" w:hAnsi="Times New Roman"/>
          <w:color w:val="000000"/>
          <w:sz w:val="24"/>
          <w:szCs w:val="24"/>
          <w:lang w:val="en-US"/>
        </w:rPr>
        <w:t xml:space="preserve"> </w:t>
      </w:r>
      <w:r w:rsidRPr="00F4226B">
        <w:rPr>
          <w:rFonts w:ascii="Times New Roman" w:hAnsi="Times New Roman"/>
          <w:color w:val="000000"/>
          <w:sz w:val="24"/>
          <w:szCs w:val="24"/>
          <w:lang w:val="en-US"/>
        </w:rPr>
        <w:t xml:space="preserve">L. (1995). Price and return models. </w:t>
      </w:r>
      <w:r w:rsidRPr="00F4226B">
        <w:rPr>
          <w:rFonts w:ascii="Times New Roman" w:hAnsi="Times New Roman"/>
          <w:i/>
          <w:color w:val="000000"/>
          <w:sz w:val="24"/>
          <w:szCs w:val="24"/>
          <w:lang w:val="en-US"/>
        </w:rPr>
        <w:t>Journal of Accounting and Economics</w:t>
      </w:r>
      <w:r w:rsidRPr="00804A08">
        <w:rPr>
          <w:rFonts w:ascii="Times New Roman" w:hAnsi="Times New Roman"/>
          <w:color w:val="000000"/>
          <w:sz w:val="24"/>
          <w:szCs w:val="24"/>
          <w:lang w:val="en-US"/>
        </w:rPr>
        <w:t>,</w:t>
      </w:r>
      <w:r w:rsidRPr="00F4226B">
        <w:rPr>
          <w:rFonts w:ascii="Times New Roman" w:hAnsi="Times New Roman"/>
          <w:color w:val="000000"/>
          <w:sz w:val="24"/>
          <w:szCs w:val="24"/>
          <w:lang w:val="en-US"/>
        </w:rPr>
        <w:t xml:space="preserve"> 20(2)</w:t>
      </w:r>
      <w:r w:rsidR="002C1D5B" w:rsidRPr="00F4226B">
        <w:rPr>
          <w:rFonts w:ascii="Times New Roman" w:hAnsi="Times New Roman"/>
          <w:color w:val="000000"/>
          <w:sz w:val="24"/>
          <w:szCs w:val="24"/>
          <w:lang w:val="en-US"/>
        </w:rPr>
        <w:t>,</w:t>
      </w:r>
      <w:r w:rsidR="00443D81" w:rsidRPr="00F4226B">
        <w:rPr>
          <w:rFonts w:ascii="Times New Roman" w:hAnsi="Times New Roman"/>
          <w:color w:val="000000"/>
          <w:sz w:val="24"/>
          <w:szCs w:val="24"/>
          <w:lang w:val="en-US"/>
        </w:rPr>
        <w:t xml:space="preserve"> </w:t>
      </w:r>
      <w:r w:rsidRPr="00F4226B">
        <w:rPr>
          <w:rFonts w:ascii="Times New Roman" w:hAnsi="Times New Roman"/>
          <w:color w:val="000000"/>
          <w:sz w:val="24"/>
          <w:szCs w:val="24"/>
          <w:lang w:val="en-US"/>
        </w:rPr>
        <w:t>155</w:t>
      </w:r>
      <w:r w:rsidR="00985DDF">
        <w:rPr>
          <w:rFonts w:ascii="Times New Roman" w:hAnsi="Times New Roman"/>
          <w:sz w:val="24"/>
          <w:szCs w:val="24"/>
          <w:lang w:val="en-US"/>
        </w:rPr>
        <w:t>–</w:t>
      </w:r>
      <w:r w:rsidRPr="00F4226B">
        <w:rPr>
          <w:rFonts w:ascii="Times New Roman" w:hAnsi="Times New Roman"/>
          <w:color w:val="000000"/>
          <w:sz w:val="24"/>
          <w:szCs w:val="24"/>
          <w:lang w:val="en-US"/>
        </w:rPr>
        <w:t>192.</w:t>
      </w:r>
    </w:p>
    <w:p w14:paraId="1E42CFBA" w14:textId="77D8FC33" w:rsidR="00713EC8" w:rsidRPr="00F4226B" w:rsidRDefault="00713EC8" w:rsidP="007877D6">
      <w:pPr>
        <w:spacing w:after="0"/>
        <w:ind w:left="284" w:hanging="284"/>
        <w:jc w:val="both"/>
        <w:rPr>
          <w:rFonts w:ascii="Times New Roman" w:hAnsi="Times New Roman"/>
          <w:sz w:val="24"/>
          <w:szCs w:val="24"/>
          <w:lang w:val="en-US"/>
        </w:rPr>
      </w:pPr>
      <w:r w:rsidRPr="00F4226B">
        <w:rPr>
          <w:rFonts w:ascii="Times New Roman" w:hAnsi="Times New Roman"/>
          <w:color w:val="000000"/>
          <w:sz w:val="24"/>
          <w:szCs w:val="24"/>
          <w:lang w:val="en-US"/>
        </w:rPr>
        <w:t>Kothari, S.</w:t>
      </w:r>
      <w:r w:rsidR="002C1D5B" w:rsidRPr="00F4226B">
        <w:rPr>
          <w:rFonts w:ascii="Times New Roman" w:hAnsi="Times New Roman"/>
          <w:color w:val="000000"/>
          <w:sz w:val="24"/>
          <w:szCs w:val="24"/>
          <w:lang w:val="en-US"/>
        </w:rPr>
        <w:t xml:space="preserve"> </w:t>
      </w:r>
      <w:r w:rsidRPr="00F4226B">
        <w:rPr>
          <w:rFonts w:ascii="Times New Roman" w:hAnsi="Times New Roman"/>
          <w:color w:val="000000"/>
          <w:sz w:val="24"/>
          <w:szCs w:val="24"/>
          <w:lang w:val="en-US"/>
        </w:rPr>
        <w:t>P. (2001). Capital market research in accounting</w:t>
      </w:r>
      <w:r w:rsidR="00D844C3" w:rsidRPr="00F4226B">
        <w:rPr>
          <w:rFonts w:ascii="Times New Roman" w:hAnsi="Times New Roman"/>
          <w:color w:val="000000"/>
          <w:sz w:val="24"/>
          <w:szCs w:val="24"/>
          <w:lang w:val="en-US"/>
        </w:rPr>
        <w:t>.</w:t>
      </w:r>
      <w:r w:rsidRPr="00F4226B">
        <w:rPr>
          <w:rFonts w:ascii="Times New Roman" w:hAnsi="Times New Roman"/>
          <w:color w:val="000000"/>
          <w:sz w:val="24"/>
          <w:szCs w:val="24"/>
          <w:lang w:val="en-US"/>
        </w:rPr>
        <w:t xml:space="preserve"> </w:t>
      </w:r>
      <w:r w:rsidRPr="00F4226B">
        <w:rPr>
          <w:rFonts w:ascii="Times New Roman" w:hAnsi="Times New Roman"/>
          <w:i/>
          <w:sz w:val="24"/>
          <w:szCs w:val="24"/>
          <w:lang w:val="en-US"/>
        </w:rPr>
        <w:t>Journal of Accounting and Economics</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31</w:t>
      </w:r>
      <w:r w:rsidR="00D844C3" w:rsidRPr="00F4226B">
        <w:rPr>
          <w:rFonts w:ascii="Times New Roman" w:hAnsi="Times New Roman"/>
          <w:sz w:val="24"/>
          <w:szCs w:val="24"/>
          <w:lang w:val="en-US"/>
        </w:rPr>
        <w:t>(1-3),</w:t>
      </w:r>
      <w:r w:rsidRPr="00F4226B">
        <w:rPr>
          <w:rFonts w:ascii="Times New Roman" w:hAnsi="Times New Roman"/>
          <w:sz w:val="24"/>
          <w:szCs w:val="24"/>
          <w:lang w:val="en-US"/>
        </w:rPr>
        <w:t xml:space="preserve"> 105</w:t>
      </w:r>
      <w:r w:rsidR="00985DDF">
        <w:rPr>
          <w:rFonts w:ascii="Times New Roman" w:hAnsi="Times New Roman"/>
          <w:sz w:val="24"/>
          <w:szCs w:val="24"/>
          <w:lang w:val="en-US"/>
        </w:rPr>
        <w:t>–</w:t>
      </w:r>
      <w:r w:rsidRPr="00F4226B">
        <w:rPr>
          <w:rFonts w:ascii="Times New Roman" w:hAnsi="Times New Roman"/>
          <w:sz w:val="24"/>
          <w:szCs w:val="24"/>
          <w:lang w:val="en-US"/>
        </w:rPr>
        <w:t>231</w:t>
      </w:r>
      <w:r w:rsidR="00D844C3" w:rsidRPr="00F4226B">
        <w:rPr>
          <w:rFonts w:ascii="Times New Roman" w:hAnsi="Times New Roman"/>
          <w:sz w:val="24"/>
          <w:szCs w:val="24"/>
          <w:lang w:val="en-US"/>
        </w:rPr>
        <w:t>.</w:t>
      </w:r>
    </w:p>
    <w:p w14:paraId="0427D795" w14:textId="5A502DA8" w:rsidR="00E35230" w:rsidRPr="00F4226B" w:rsidRDefault="00E35230"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Li, N., Richardson, S.</w:t>
      </w:r>
      <w:r w:rsidR="00D844C3" w:rsidRPr="00F4226B">
        <w:rPr>
          <w:rFonts w:ascii="Times New Roman" w:hAnsi="Times New Roman"/>
          <w:sz w:val="24"/>
          <w:szCs w:val="24"/>
          <w:lang w:val="en-US"/>
        </w:rPr>
        <w:t>, &amp;</w:t>
      </w:r>
      <w:r w:rsidRPr="00F4226B">
        <w:rPr>
          <w:rFonts w:ascii="Times New Roman" w:hAnsi="Times New Roman"/>
          <w:sz w:val="24"/>
          <w:szCs w:val="24"/>
          <w:lang w:val="en-US"/>
        </w:rPr>
        <w:t xml:space="preserve"> Tuna, I. (2014). Macro to micro: country exposures, firm fundamentals and stock returns</w:t>
      </w:r>
      <w:r w:rsidR="00D844C3"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Journal of Accounting and Economics</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58</w:t>
      </w:r>
      <w:r w:rsidR="00D844C3" w:rsidRPr="00F4226B">
        <w:rPr>
          <w:rFonts w:ascii="Times New Roman" w:hAnsi="Times New Roman"/>
          <w:sz w:val="24"/>
          <w:szCs w:val="24"/>
          <w:lang w:val="en-US"/>
        </w:rPr>
        <w:t>(1),</w:t>
      </w:r>
      <w:r w:rsidRPr="00F4226B">
        <w:rPr>
          <w:rFonts w:ascii="Times New Roman" w:hAnsi="Times New Roman"/>
          <w:sz w:val="24"/>
          <w:szCs w:val="24"/>
          <w:lang w:val="en-US"/>
        </w:rPr>
        <w:t xml:space="preserve"> 1</w:t>
      </w:r>
      <w:r w:rsidR="00985DDF">
        <w:rPr>
          <w:rFonts w:ascii="Times New Roman" w:hAnsi="Times New Roman"/>
          <w:sz w:val="24"/>
          <w:szCs w:val="24"/>
          <w:lang w:val="en-US"/>
        </w:rPr>
        <w:t>–</w:t>
      </w:r>
      <w:r w:rsidRPr="00F4226B">
        <w:rPr>
          <w:rFonts w:ascii="Times New Roman" w:hAnsi="Times New Roman"/>
          <w:sz w:val="24"/>
          <w:szCs w:val="24"/>
          <w:lang w:val="en-US"/>
        </w:rPr>
        <w:t>20</w:t>
      </w:r>
      <w:r w:rsidR="00D844C3" w:rsidRPr="00F4226B">
        <w:rPr>
          <w:rFonts w:ascii="Times New Roman" w:hAnsi="Times New Roman"/>
          <w:sz w:val="24"/>
          <w:szCs w:val="24"/>
          <w:lang w:val="en-US"/>
        </w:rPr>
        <w:t>.</w:t>
      </w:r>
    </w:p>
    <w:p w14:paraId="07862DC6" w14:textId="50F46D0F" w:rsidR="00713EC8" w:rsidRPr="00F4226B" w:rsidRDefault="003E625D" w:rsidP="004A4D70">
      <w:pPr>
        <w:pStyle w:val="MediumGrid21"/>
        <w:spacing w:line="276" w:lineRule="auto"/>
        <w:ind w:left="284" w:hanging="284"/>
        <w:jc w:val="both"/>
        <w:rPr>
          <w:rFonts w:ascii="Times New Roman" w:hAnsi="Times New Roman"/>
          <w:sz w:val="24"/>
          <w:szCs w:val="24"/>
          <w:lang w:val="en-US"/>
        </w:rPr>
      </w:pPr>
      <w:r w:rsidRPr="00F4226B">
        <w:rPr>
          <w:rFonts w:ascii="Times New Roman" w:hAnsi="Times New Roman"/>
          <w:sz w:val="24"/>
          <w:szCs w:val="24"/>
          <w:lang w:val="en-US"/>
        </w:rPr>
        <w:t>Mangena, M.</w:t>
      </w:r>
      <w:r w:rsidR="00D844C3" w:rsidRPr="00F4226B">
        <w:rPr>
          <w:rFonts w:ascii="Times New Roman" w:hAnsi="Times New Roman"/>
          <w:sz w:val="24"/>
          <w:szCs w:val="24"/>
          <w:lang w:val="en-US"/>
        </w:rPr>
        <w:t>, &amp;</w:t>
      </w:r>
      <w:r w:rsidRPr="00F4226B">
        <w:rPr>
          <w:rFonts w:ascii="Times New Roman" w:hAnsi="Times New Roman"/>
          <w:sz w:val="24"/>
          <w:szCs w:val="24"/>
          <w:lang w:val="en-US"/>
        </w:rPr>
        <w:t xml:space="preserve"> Tauringana</w:t>
      </w:r>
      <w:r w:rsidR="00D844C3" w:rsidRPr="00F4226B">
        <w:rPr>
          <w:rFonts w:ascii="Times New Roman" w:hAnsi="Times New Roman"/>
          <w:sz w:val="24"/>
          <w:szCs w:val="24"/>
          <w:lang w:val="en-US"/>
        </w:rPr>
        <w:t>, V.</w:t>
      </w:r>
      <w:r w:rsidRPr="00F4226B">
        <w:rPr>
          <w:rFonts w:ascii="Times New Roman" w:hAnsi="Times New Roman"/>
          <w:sz w:val="24"/>
          <w:szCs w:val="24"/>
          <w:lang w:val="en-US"/>
        </w:rPr>
        <w:t xml:space="preserve"> (2007). Disclosure, corporate governance and foreign share ownership on the Zimbabwe Stock Exchange</w:t>
      </w:r>
      <w:r w:rsidR="00D844C3"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Journal of International Financial Management and Accounting</w:t>
      </w:r>
      <w:r w:rsidRPr="00F4226B">
        <w:rPr>
          <w:rFonts w:ascii="Times New Roman" w:hAnsi="Times New Roman"/>
          <w:sz w:val="24"/>
          <w:szCs w:val="24"/>
          <w:lang w:val="en-US"/>
        </w:rPr>
        <w:t xml:space="preserve">, </w:t>
      </w:r>
      <w:r w:rsidRPr="00F4226B">
        <w:rPr>
          <w:rFonts w:ascii="Times New Roman" w:hAnsi="Times New Roman"/>
          <w:bCs/>
          <w:sz w:val="24"/>
          <w:szCs w:val="24"/>
          <w:lang w:val="en-US"/>
        </w:rPr>
        <w:t>18(2)</w:t>
      </w:r>
      <w:r w:rsidR="00D844C3" w:rsidRPr="00F4226B">
        <w:rPr>
          <w:rFonts w:ascii="Times New Roman" w:hAnsi="Times New Roman"/>
          <w:bCs/>
          <w:sz w:val="24"/>
          <w:szCs w:val="24"/>
          <w:lang w:val="en-US"/>
        </w:rPr>
        <w:t>,</w:t>
      </w:r>
      <w:r w:rsidRPr="00F4226B">
        <w:rPr>
          <w:rFonts w:ascii="Times New Roman" w:hAnsi="Times New Roman"/>
          <w:bCs/>
          <w:sz w:val="24"/>
          <w:szCs w:val="24"/>
          <w:lang w:val="en-US"/>
        </w:rPr>
        <w:t xml:space="preserve"> 53</w:t>
      </w:r>
      <w:r w:rsidR="00985DDF">
        <w:rPr>
          <w:rFonts w:ascii="Times New Roman" w:hAnsi="Times New Roman"/>
          <w:sz w:val="24"/>
          <w:szCs w:val="24"/>
          <w:lang w:val="en-US"/>
        </w:rPr>
        <w:t>–</w:t>
      </w:r>
      <w:r w:rsidRPr="00F4226B">
        <w:rPr>
          <w:rFonts w:ascii="Times New Roman" w:hAnsi="Times New Roman"/>
          <w:bCs/>
          <w:sz w:val="24"/>
          <w:szCs w:val="24"/>
          <w:lang w:val="en-US"/>
        </w:rPr>
        <w:t>85</w:t>
      </w:r>
      <w:r w:rsidRPr="00F4226B">
        <w:rPr>
          <w:rFonts w:ascii="Times New Roman" w:hAnsi="Times New Roman"/>
          <w:sz w:val="24"/>
          <w:szCs w:val="24"/>
          <w:lang w:val="en-US"/>
        </w:rPr>
        <w:t>.</w:t>
      </w:r>
    </w:p>
    <w:p w14:paraId="4196B2B6" w14:textId="4C08A8EC" w:rsidR="0035732D" w:rsidRPr="00F4226B" w:rsidRDefault="0035732D" w:rsidP="004A4D70">
      <w:pPr>
        <w:pStyle w:val="MediumGrid21"/>
        <w:spacing w:line="276" w:lineRule="auto"/>
        <w:ind w:left="284" w:hanging="284"/>
        <w:jc w:val="both"/>
        <w:rPr>
          <w:rFonts w:ascii="Times New Roman" w:hAnsi="Times New Roman"/>
          <w:sz w:val="24"/>
          <w:szCs w:val="24"/>
          <w:lang w:val="en-US"/>
        </w:rPr>
      </w:pPr>
      <w:r w:rsidRPr="00F4226B">
        <w:rPr>
          <w:rFonts w:ascii="Times New Roman" w:hAnsi="Times New Roman"/>
          <w:sz w:val="24"/>
          <w:szCs w:val="24"/>
          <w:lang w:val="en-US"/>
        </w:rPr>
        <w:lastRenderedPageBreak/>
        <w:t xml:space="preserve">Mangena, M., Tauringana, V., </w:t>
      </w:r>
      <w:r w:rsidR="00D844C3" w:rsidRPr="00F4226B">
        <w:rPr>
          <w:rFonts w:ascii="Times New Roman" w:hAnsi="Times New Roman"/>
          <w:sz w:val="24"/>
          <w:szCs w:val="24"/>
          <w:lang w:val="en-US"/>
        </w:rPr>
        <w:t>&amp;</w:t>
      </w:r>
      <w:r w:rsidRPr="00F4226B">
        <w:rPr>
          <w:rFonts w:ascii="Times New Roman" w:hAnsi="Times New Roman"/>
          <w:sz w:val="24"/>
          <w:szCs w:val="24"/>
          <w:lang w:val="en-US"/>
        </w:rPr>
        <w:t xml:space="preserve"> Chamisa, E. (20</w:t>
      </w:r>
      <w:r w:rsidR="007266F7" w:rsidRPr="00F4226B">
        <w:rPr>
          <w:rFonts w:ascii="Times New Roman" w:hAnsi="Times New Roman"/>
          <w:sz w:val="24"/>
          <w:szCs w:val="24"/>
          <w:lang w:val="en-US"/>
        </w:rPr>
        <w:t>12</w:t>
      </w:r>
      <w:r w:rsidRPr="00F4226B">
        <w:rPr>
          <w:rFonts w:ascii="Times New Roman" w:hAnsi="Times New Roman"/>
          <w:sz w:val="24"/>
          <w:szCs w:val="24"/>
          <w:lang w:val="en-US"/>
        </w:rPr>
        <w:t xml:space="preserve">). Corporate boards, ownership structure and firm performance in an environment of severe political and economic uncertainty. </w:t>
      </w:r>
      <w:r w:rsidR="007266F7" w:rsidRPr="00F4226B">
        <w:rPr>
          <w:rFonts w:ascii="Times New Roman" w:hAnsi="Times New Roman"/>
          <w:i/>
          <w:sz w:val="24"/>
          <w:szCs w:val="24"/>
          <w:lang w:val="en-US"/>
        </w:rPr>
        <w:t>British Journal of Management</w:t>
      </w:r>
      <w:r w:rsidR="007266F7" w:rsidRPr="00804A08">
        <w:rPr>
          <w:rFonts w:ascii="Times New Roman" w:hAnsi="Times New Roman"/>
          <w:sz w:val="24"/>
          <w:szCs w:val="24"/>
          <w:lang w:val="en-US"/>
        </w:rPr>
        <w:t>,</w:t>
      </w:r>
      <w:r w:rsidR="007266F7" w:rsidRPr="00F4226B">
        <w:rPr>
          <w:rFonts w:ascii="Times New Roman" w:hAnsi="Times New Roman"/>
          <w:i/>
          <w:sz w:val="24"/>
          <w:szCs w:val="24"/>
          <w:lang w:val="en-US"/>
        </w:rPr>
        <w:t xml:space="preserve"> </w:t>
      </w:r>
      <w:r w:rsidR="0029614E" w:rsidRPr="00F4226B">
        <w:rPr>
          <w:rFonts w:ascii="Times New Roman" w:hAnsi="Times New Roman"/>
          <w:sz w:val="24"/>
          <w:szCs w:val="24"/>
          <w:lang w:val="en-US"/>
        </w:rPr>
        <w:t>23</w:t>
      </w:r>
      <w:r w:rsidR="00D844C3" w:rsidRPr="00F4226B">
        <w:rPr>
          <w:rFonts w:ascii="Times New Roman" w:hAnsi="Times New Roman"/>
          <w:sz w:val="24"/>
          <w:szCs w:val="24"/>
          <w:lang w:val="en-US"/>
        </w:rPr>
        <w:t>(Suppl),</w:t>
      </w:r>
      <w:r w:rsidR="0029614E" w:rsidRPr="00F4226B">
        <w:rPr>
          <w:rFonts w:ascii="Times New Roman" w:hAnsi="Times New Roman"/>
          <w:sz w:val="24"/>
          <w:szCs w:val="24"/>
          <w:lang w:val="en-US"/>
        </w:rPr>
        <w:t xml:space="preserve"> 23</w:t>
      </w:r>
      <w:r w:rsidR="00985DDF">
        <w:rPr>
          <w:rFonts w:ascii="Times New Roman" w:hAnsi="Times New Roman"/>
          <w:sz w:val="24"/>
          <w:szCs w:val="24"/>
          <w:lang w:val="en-US"/>
        </w:rPr>
        <w:t>–</w:t>
      </w:r>
      <w:r w:rsidR="0029614E" w:rsidRPr="00F4226B">
        <w:rPr>
          <w:rFonts w:ascii="Times New Roman" w:hAnsi="Times New Roman"/>
          <w:sz w:val="24"/>
          <w:szCs w:val="24"/>
          <w:lang w:val="en-US"/>
        </w:rPr>
        <w:t>41.</w:t>
      </w:r>
    </w:p>
    <w:p w14:paraId="4D52C948" w14:textId="034542B9" w:rsidR="00713EC8" w:rsidRPr="00F4226B" w:rsidRDefault="00713EC8" w:rsidP="004A4D70">
      <w:pPr>
        <w:pStyle w:val="MediumGrid21"/>
        <w:spacing w:line="276" w:lineRule="auto"/>
        <w:ind w:left="284" w:hanging="284"/>
        <w:jc w:val="both"/>
        <w:rPr>
          <w:rFonts w:ascii="Times New Roman" w:hAnsi="Times New Roman"/>
          <w:sz w:val="24"/>
          <w:szCs w:val="24"/>
          <w:lang w:val="en-US"/>
        </w:rPr>
      </w:pPr>
      <w:r w:rsidRPr="00F4226B">
        <w:rPr>
          <w:rFonts w:ascii="Times New Roman" w:hAnsi="Times New Roman"/>
          <w:sz w:val="24"/>
          <w:szCs w:val="24"/>
          <w:lang w:val="en-US"/>
        </w:rPr>
        <w:t>Maksy, M.</w:t>
      </w:r>
      <w:r w:rsidR="00443D81" w:rsidRPr="00F4226B">
        <w:rPr>
          <w:rFonts w:ascii="Times New Roman" w:hAnsi="Times New Roman"/>
          <w:sz w:val="24"/>
          <w:szCs w:val="24"/>
          <w:lang w:val="en-US"/>
        </w:rPr>
        <w:t xml:space="preserve"> </w:t>
      </w:r>
      <w:r w:rsidRPr="00F4226B">
        <w:rPr>
          <w:rFonts w:ascii="Times New Roman" w:hAnsi="Times New Roman"/>
          <w:sz w:val="24"/>
          <w:szCs w:val="24"/>
          <w:lang w:val="en-US"/>
        </w:rPr>
        <w:t>M. (1984). The use of inflation-adjusted accounting data by US banks</w:t>
      </w:r>
      <w:r w:rsidR="00A84EB3"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Pr="00F4226B">
        <w:rPr>
          <w:rFonts w:ascii="Times New Roman" w:hAnsi="Times New Roman"/>
          <w:i/>
          <w:sz w:val="24"/>
          <w:szCs w:val="24"/>
          <w:lang w:val="en-US"/>
        </w:rPr>
        <w:t>Accounting and Business Research</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00635A42" w:rsidRPr="00F4226B">
        <w:rPr>
          <w:rFonts w:ascii="Times New Roman" w:hAnsi="Times New Roman"/>
          <w:sz w:val="24"/>
          <w:szCs w:val="24"/>
          <w:lang w:val="en-US"/>
        </w:rPr>
        <w:t>15(57),</w:t>
      </w:r>
      <w:r w:rsidRPr="00F4226B">
        <w:rPr>
          <w:rFonts w:ascii="Times New Roman" w:hAnsi="Times New Roman"/>
          <w:sz w:val="24"/>
          <w:szCs w:val="24"/>
          <w:lang w:val="en-US"/>
        </w:rPr>
        <w:t xml:space="preserve"> 37</w:t>
      </w:r>
      <w:r w:rsidR="00985DDF">
        <w:rPr>
          <w:rFonts w:ascii="Times New Roman" w:hAnsi="Times New Roman"/>
          <w:sz w:val="24"/>
          <w:szCs w:val="24"/>
          <w:lang w:val="en-US"/>
        </w:rPr>
        <w:t>–</w:t>
      </w:r>
      <w:r w:rsidRPr="00F4226B">
        <w:rPr>
          <w:rFonts w:ascii="Times New Roman" w:hAnsi="Times New Roman"/>
          <w:sz w:val="24"/>
          <w:szCs w:val="24"/>
          <w:lang w:val="en-US"/>
        </w:rPr>
        <w:t>43</w:t>
      </w:r>
      <w:r w:rsidR="00635A42" w:rsidRPr="00F4226B">
        <w:rPr>
          <w:rFonts w:ascii="Times New Roman" w:hAnsi="Times New Roman"/>
          <w:sz w:val="24"/>
          <w:szCs w:val="24"/>
          <w:lang w:val="en-US"/>
        </w:rPr>
        <w:t>.</w:t>
      </w:r>
    </w:p>
    <w:p w14:paraId="41404639" w14:textId="131D76A5" w:rsidR="00FD1DCF" w:rsidRPr="00F4226B" w:rsidRDefault="00FD1DCF" w:rsidP="00773BBD">
      <w:pPr>
        <w:pStyle w:val="MediumGrid21"/>
        <w:spacing w:line="276" w:lineRule="auto"/>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Murdoch, B. (1986). The information content of FAS 33 returns on equity. </w:t>
      </w:r>
      <w:r w:rsidRPr="00F4226B">
        <w:rPr>
          <w:rFonts w:ascii="Times New Roman" w:hAnsi="Times New Roman"/>
          <w:i/>
          <w:sz w:val="24"/>
          <w:szCs w:val="24"/>
          <w:lang w:val="en-US"/>
        </w:rPr>
        <w:t>The Accounting Review</w:t>
      </w:r>
      <w:r w:rsidRPr="00804A08">
        <w:rPr>
          <w:rFonts w:ascii="Times New Roman" w:hAnsi="Times New Roman"/>
          <w:sz w:val="24"/>
          <w:szCs w:val="24"/>
          <w:lang w:val="en-US"/>
        </w:rPr>
        <w:t>,</w:t>
      </w:r>
      <w:r w:rsidR="002B084D" w:rsidRPr="00F4226B">
        <w:rPr>
          <w:rFonts w:ascii="Times New Roman" w:hAnsi="Times New Roman"/>
          <w:i/>
          <w:sz w:val="24"/>
          <w:szCs w:val="24"/>
          <w:lang w:val="en-US"/>
        </w:rPr>
        <w:t xml:space="preserve"> </w:t>
      </w:r>
      <w:r w:rsidR="00113B02" w:rsidRPr="00F4226B">
        <w:rPr>
          <w:rFonts w:ascii="Times New Roman" w:hAnsi="Times New Roman"/>
          <w:sz w:val="24"/>
          <w:szCs w:val="24"/>
          <w:lang w:val="en-US"/>
        </w:rPr>
        <w:t>61(</w:t>
      </w:r>
      <w:r w:rsidRPr="00F4226B">
        <w:rPr>
          <w:rFonts w:ascii="Times New Roman" w:hAnsi="Times New Roman"/>
          <w:sz w:val="24"/>
          <w:szCs w:val="24"/>
          <w:lang w:val="en-US"/>
        </w:rPr>
        <w:t>2)</w:t>
      </w:r>
      <w:r w:rsidR="00635A42" w:rsidRPr="00F4226B">
        <w:rPr>
          <w:rFonts w:ascii="Times New Roman" w:hAnsi="Times New Roman"/>
          <w:sz w:val="24"/>
          <w:szCs w:val="24"/>
          <w:lang w:val="en-US"/>
        </w:rPr>
        <w:t>,</w:t>
      </w:r>
      <w:r w:rsidRPr="00F4226B">
        <w:rPr>
          <w:rFonts w:ascii="Times New Roman" w:hAnsi="Times New Roman"/>
          <w:sz w:val="24"/>
          <w:szCs w:val="24"/>
          <w:lang w:val="en-US"/>
        </w:rPr>
        <w:t xml:space="preserve"> 273</w:t>
      </w:r>
      <w:r w:rsidR="00985DDF">
        <w:rPr>
          <w:rFonts w:ascii="Times New Roman" w:hAnsi="Times New Roman"/>
          <w:sz w:val="24"/>
          <w:szCs w:val="24"/>
          <w:lang w:val="en-US"/>
        </w:rPr>
        <w:t>–</w:t>
      </w:r>
      <w:r w:rsidRPr="00F4226B">
        <w:rPr>
          <w:rFonts w:ascii="Times New Roman" w:hAnsi="Times New Roman"/>
          <w:sz w:val="24"/>
          <w:szCs w:val="24"/>
          <w:lang w:val="en-US"/>
        </w:rPr>
        <w:t>287.</w:t>
      </w:r>
    </w:p>
    <w:p w14:paraId="59D2C38F" w14:textId="6C5D5DB3" w:rsidR="00582332" w:rsidRPr="00F4226B" w:rsidRDefault="00582332" w:rsidP="00635A42">
      <w:pPr>
        <w:pStyle w:val="MediumGrid21"/>
        <w:spacing w:line="276" w:lineRule="auto"/>
        <w:ind w:left="284" w:hanging="284"/>
        <w:jc w:val="both"/>
        <w:rPr>
          <w:rFonts w:ascii="Times New Roman" w:hAnsi="Times New Roman"/>
          <w:sz w:val="24"/>
          <w:szCs w:val="24"/>
          <w:lang w:val="en-US"/>
        </w:rPr>
      </w:pPr>
      <w:r w:rsidRPr="00F4226B">
        <w:rPr>
          <w:rFonts w:ascii="Times New Roman" w:hAnsi="Times New Roman"/>
          <w:sz w:val="24"/>
          <w:szCs w:val="24"/>
          <w:lang w:val="en-US"/>
        </w:rPr>
        <w:t xml:space="preserve">Noko, J. (2011). Dollarization: The case of Zimbabwe. </w:t>
      </w:r>
      <w:r w:rsidRPr="00F4226B">
        <w:rPr>
          <w:rFonts w:ascii="Times New Roman" w:hAnsi="Times New Roman"/>
          <w:i/>
          <w:sz w:val="24"/>
          <w:szCs w:val="24"/>
          <w:lang w:val="en-US"/>
        </w:rPr>
        <w:t>Cato Journal</w:t>
      </w:r>
      <w:r w:rsidRPr="00F4226B">
        <w:rPr>
          <w:rFonts w:ascii="Times New Roman" w:hAnsi="Times New Roman"/>
          <w:sz w:val="24"/>
          <w:szCs w:val="24"/>
          <w:lang w:val="en-US"/>
        </w:rPr>
        <w:t>, 31(2)</w:t>
      </w:r>
      <w:r w:rsidR="00635A42" w:rsidRPr="00F4226B">
        <w:rPr>
          <w:rFonts w:ascii="Times New Roman" w:hAnsi="Times New Roman"/>
          <w:sz w:val="24"/>
          <w:szCs w:val="24"/>
          <w:lang w:val="en-US"/>
        </w:rPr>
        <w:t>,</w:t>
      </w:r>
      <w:r w:rsidRPr="00F4226B">
        <w:rPr>
          <w:rFonts w:ascii="Times New Roman" w:hAnsi="Times New Roman"/>
          <w:sz w:val="24"/>
          <w:szCs w:val="24"/>
          <w:lang w:val="en-US"/>
        </w:rPr>
        <w:t xml:space="preserve"> 339</w:t>
      </w:r>
      <w:r w:rsidR="00985DDF">
        <w:rPr>
          <w:rFonts w:ascii="Times New Roman" w:hAnsi="Times New Roman"/>
          <w:sz w:val="24"/>
          <w:szCs w:val="24"/>
          <w:lang w:val="en-US"/>
        </w:rPr>
        <w:t>–</w:t>
      </w:r>
      <w:r w:rsidRPr="00F4226B">
        <w:rPr>
          <w:rFonts w:ascii="Times New Roman" w:hAnsi="Times New Roman"/>
          <w:sz w:val="24"/>
          <w:szCs w:val="24"/>
          <w:lang w:val="en-US"/>
        </w:rPr>
        <w:t>365.</w:t>
      </w:r>
    </w:p>
    <w:p w14:paraId="05A53066" w14:textId="54E090FD" w:rsidR="004B5932" w:rsidRPr="00F4226B" w:rsidRDefault="004B5932" w:rsidP="0050778A">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Ohlson, J.</w:t>
      </w:r>
      <w:r w:rsidR="00443D81"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A. (1995). Earnings, book values, and dividends in equity valuation. </w:t>
      </w:r>
      <w:r w:rsidRPr="00F4226B">
        <w:rPr>
          <w:rFonts w:ascii="Times New Roman" w:hAnsi="Times New Roman"/>
          <w:i/>
          <w:sz w:val="24"/>
          <w:szCs w:val="24"/>
          <w:lang w:val="en-US"/>
        </w:rPr>
        <w:t>Contemporary Accounting Research</w:t>
      </w:r>
      <w:r w:rsidRPr="00804A08">
        <w:rPr>
          <w:rFonts w:ascii="Times New Roman" w:hAnsi="Times New Roman"/>
          <w:sz w:val="24"/>
          <w:szCs w:val="24"/>
          <w:lang w:val="en-US"/>
        </w:rPr>
        <w:t>,</w:t>
      </w:r>
      <w:r w:rsidRPr="00F4226B">
        <w:rPr>
          <w:rFonts w:ascii="Times New Roman" w:hAnsi="Times New Roman"/>
          <w:sz w:val="24"/>
          <w:szCs w:val="24"/>
          <w:lang w:val="en-US"/>
        </w:rPr>
        <w:t xml:space="preserve"> 11(2)</w:t>
      </w:r>
      <w:r w:rsidR="00635A42" w:rsidRPr="00F4226B">
        <w:rPr>
          <w:rFonts w:ascii="Times New Roman" w:hAnsi="Times New Roman"/>
          <w:sz w:val="24"/>
          <w:szCs w:val="24"/>
          <w:lang w:val="en-US"/>
        </w:rPr>
        <w:t>,</w:t>
      </w:r>
      <w:r w:rsidRPr="00F4226B">
        <w:rPr>
          <w:rFonts w:ascii="Times New Roman" w:hAnsi="Times New Roman"/>
          <w:sz w:val="24"/>
          <w:szCs w:val="24"/>
          <w:lang w:val="en-US"/>
        </w:rPr>
        <w:t xml:space="preserve"> 661</w:t>
      </w:r>
      <w:r w:rsidR="00985DDF">
        <w:rPr>
          <w:rFonts w:ascii="Times New Roman" w:hAnsi="Times New Roman"/>
          <w:sz w:val="24"/>
          <w:szCs w:val="24"/>
          <w:lang w:val="en-US"/>
        </w:rPr>
        <w:t>–</w:t>
      </w:r>
      <w:r w:rsidRPr="00F4226B">
        <w:rPr>
          <w:rFonts w:ascii="Times New Roman" w:hAnsi="Times New Roman"/>
          <w:sz w:val="24"/>
          <w:szCs w:val="24"/>
          <w:lang w:val="en-US"/>
        </w:rPr>
        <w:t>687.</w:t>
      </w:r>
    </w:p>
    <w:p w14:paraId="2D3E7EAA" w14:textId="46272894" w:rsidR="00244ADC" w:rsidRPr="00F4226B" w:rsidRDefault="00244ADC" w:rsidP="007877D6">
      <w:pPr>
        <w:spacing w:after="0"/>
        <w:ind w:left="284" w:hanging="284"/>
        <w:jc w:val="both"/>
        <w:rPr>
          <w:rFonts w:ascii="Times New Roman" w:hAnsi="Times New Roman"/>
          <w:sz w:val="24"/>
          <w:szCs w:val="24"/>
          <w:lang w:val="en-US"/>
        </w:rPr>
      </w:pPr>
      <w:r w:rsidRPr="00F4226B">
        <w:rPr>
          <w:rFonts w:ascii="Times New Roman" w:hAnsi="Times New Roman"/>
          <w:iCs/>
          <w:sz w:val="24"/>
          <w:szCs w:val="24"/>
          <w:lang w:val="en-US"/>
        </w:rPr>
        <w:t xml:space="preserve">Oppong, A. (1993). Price-earnings research and the emerging capital markets: The case of Zimbabwe. </w:t>
      </w:r>
      <w:r w:rsidRPr="00F4226B">
        <w:rPr>
          <w:rFonts w:ascii="Times New Roman" w:hAnsi="Times New Roman"/>
          <w:i/>
          <w:iCs/>
          <w:sz w:val="24"/>
          <w:szCs w:val="24"/>
          <w:lang w:val="en-US"/>
        </w:rPr>
        <w:t>The International Journal of Accounting</w:t>
      </w:r>
      <w:r w:rsidRPr="00804A08">
        <w:rPr>
          <w:rFonts w:ascii="Times New Roman" w:hAnsi="Times New Roman"/>
          <w:iCs/>
          <w:sz w:val="24"/>
          <w:szCs w:val="24"/>
          <w:lang w:val="en-US"/>
        </w:rPr>
        <w:t>,</w:t>
      </w:r>
      <w:r w:rsidRPr="00F4226B">
        <w:rPr>
          <w:rFonts w:ascii="Times New Roman" w:hAnsi="Times New Roman"/>
          <w:iCs/>
          <w:sz w:val="24"/>
          <w:szCs w:val="24"/>
          <w:lang w:val="en-US"/>
        </w:rPr>
        <w:t xml:space="preserve"> 28(10)</w:t>
      </w:r>
      <w:r w:rsidR="00635A42" w:rsidRPr="00F4226B">
        <w:rPr>
          <w:rFonts w:ascii="Times New Roman" w:hAnsi="Times New Roman"/>
          <w:iCs/>
          <w:sz w:val="24"/>
          <w:szCs w:val="24"/>
          <w:lang w:val="en-US"/>
        </w:rPr>
        <w:t>,</w:t>
      </w:r>
      <w:r w:rsidRPr="00F4226B">
        <w:rPr>
          <w:rFonts w:ascii="Times New Roman" w:hAnsi="Times New Roman"/>
          <w:iCs/>
          <w:sz w:val="24"/>
          <w:szCs w:val="24"/>
          <w:lang w:val="en-US"/>
        </w:rPr>
        <w:t xml:space="preserve"> 71</w:t>
      </w:r>
      <w:r w:rsidR="00985DDF">
        <w:rPr>
          <w:rFonts w:ascii="Times New Roman" w:hAnsi="Times New Roman"/>
          <w:sz w:val="24"/>
          <w:szCs w:val="24"/>
          <w:lang w:val="en-US"/>
        </w:rPr>
        <w:t>–</w:t>
      </w:r>
      <w:r w:rsidRPr="00F4226B">
        <w:rPr>
          <w:rFonts w:ascii="Times New Roman" w:hAnsi="Times New Roman"/>
          <w:iCs/>
          <w:sz w:val="24"/>
          <w:szCs w:val="24"/>
          <w:lang w:val="en-US"/>
        </w:rPr>
        <w:t>77.</w:t>
      </w:r>
    </w:p>
    <w:p w14:paraId="518E0FC8" w14:textId="674C9A78" w:rsidR="00FB10A7" w:rsidRPr="00F4226B" w:rsidRDefault="00FB10A7" w:rsidP="007877D6">
      <w:pPr>
        <w:spacing w:after="0"/>
        <w:ind w:left="284" w:hanging="284"/>
        <w:jc w:val="both"/>
        <w:rPr>
          <w:rFonts w:ascii="Times New Roman" w:hAnsi="Times New Roman"/>
          <w:iCs/>
          <w:sz w:val="24"/>
          <w:szCs w:val="24"/>
          <w:lang w:val="en-US"/>
        </w:rPr>
      </w:pPr>
      <w:r w:rsidRPr="00F4226B">
        <w:rPr>
          <w:rFonts w:ascii="Times New Roman" w:hAnsi="Times New Roman"/>
          <w:iCs/>
          <w:sz w:val="24"/>
          <w:szCs w:val="24"/>
          <w:lang w:val="en-US"/>
        </w:rPr>
        <w:lastRenderedPageBreak/>
        <w:t>Owusu-Ansah, S. (2000). Timeliness of corporate financial reporting in emerging capital markets: Empirical evidence from the Zimbabwe Stoc</w:t>
      </w:r>
      <w:r w:rsidR="009860B6" w:rsidRPr="00F4226B">
        <w:rPr>
          <w:rFonts w:ascii="Times New Roman" w:hAnsi="Times New Roman"/>
          <w:iCs/>
          <w:sz w:val="24"/>
          <w:szCs w:val="24"/>
          <w:lang w:val="en-US"/>
        </w:rPr>
        <w:t>k</w:t>
      </w:r>
      <w:r w:rsidRPr="00F4226B">
        <w:rPr>
          <w:rFonts w:ascii="Times New Roman" w:hAnsi="Times New Roman"/>
          <w:iCs/>
          <w:sz w:val="24"/>
          <w:szCs w:val="24"/>
          <w:lang w:val="en-US"/>
        </w:rPr>
        <w:t xml:space="preserve"> Exchange</w:t>
      </w:r>
      <w:r w:rsidR="009860B6" w:rsidRPr="00F4226B">
        <w:rPr>
          <w:rFonts w:ascii="Times New Roman" w:hAnsi="Times New Roman"/>
          <w:iCs/>
          <w:sz w:val="24"/>
          <w:szCs w:val="24"/>
          <w:lang w:val="en-US"/>
        </w:rPr>
        <w:t xml:space="preserve">. </w:t>
      </w:r>
      <w:r w:rsidR="009860B6" w:rsidRPr="00F4226B">
        <w:rPr>
          <w:rFonts w:ascii="Times New Roman" w:hAnsi="Times New Roman"/>
          <w:i/>
          <w:iCs/>
          <w:sz w:val="24"/>
          <w:szCs w:val="24"/>
          <w:lang w:val="en-US"/>
        </w:rPr>
        <w:t>Accounting and Business Research</w:t>
      </w:r>
      <w:r w:rsidR="009860B6" w:rsidRPr="00804A08">
        <w:rPr>
          <w:rFonts w:ascii="Times New Roman" w:hAnsi="Times New Roman"/>
          <w:iCs/>
          <w:sz w:val="24"/>
          <w:szCs w:val="24"/>
          <w:lang w:val="en-US"/>
        </w:rPr>
        <w:t>,</w:t>
      </w:r>
      <w:r w:rsidR="009860B6" w:rsidRPr="00F4226B">
        <w:rPr>
          <w:rFonts w:ascii="Times New Roman" w:hAnsi="Times New Roman"/>
          <w:i/>
          <w:iCs/>
          <w:sz w:val="24"/>
          <w:szCs w:val="24"/>
          <w:lang w:val="en-US"/>
        </w:rPr>
        <w:t xml:space="preserve"> </w:t>
      </w:r>
      <w:r w:rsidR="009860B6" w:rsidRPr="00F4226B">
        <w:rPr>
          <w:rFonts w:ascii="Times New Roman" w:hAnsi="Times New Roman"/>
          <w:iCs/>
          <w:sz w:val="24"/>
          <w:szCs w:val="24"/>
          <w:lang w:val="en-US"/>
        </w:rPr>
        <w:t>30(3)</w:t>
      </w:r>
      <w:r w:rsidR="00635A42" w:rsidRPr="00F4226B">
        <w:rPr>
          <w:rFonts w:ascii="Times New Roman" w:hAnsi="Times New Roman"/>
          <w:iCs/>
          <w:sz w:val="24"/>
          <w:szCs w:val="24"/>
          <w:lang w:val="en-US"/>
        </w:rPr>
        <w:t>,</w:t>
      </w:r>
      <w:r w:rsidR="009860B6" w:rsidRPr="00F4226B">
        <w:rPr>
          <w:rFonts w:ascii="Times New Roman" w:hAnsi="Times New Roman"/>
          <w:iCs/>
          <w:sz w:val="24"/>
          <w:szCs w:val="24"/>
          <w:lang w:val="en-US"/>
        </w:rPr>
        <w:t xml:space="preserve"> 241</w:t>
      </w:r>
      <w:r w:rsidR="00985DDF">
        <w:rPr>
          <w:rFonts w:ascii="Times New Roman" w:hAnsi="Times New Roman"/>
          <w:sz w:val="24"/>
          <w:szCs w:val="24"/>
          <w:lang w:val="en-US"/>
        </w:rPr>
        <w:t>–</w:t>
      </w:r>
      <w:r w:rsidR="009860B6" w:rsidRPr="00F4226B">
        <w:rPr>
          <w:rFonts w:ascii="Times New Roman" w:hAnsi="Times New Roman"/>
          <w:iCs/>
          <w:sz w:val="24"/>
          <w:szCs w:val="24"/>
          <w:lang w:val="en-US"/>
        </w:rPr>
        <w:t>254.</w:t>
      </w:r>
    </w:p>
    <w:p w14:paraId="52004532" w14:textId="00CECC3B" w:rsidR="00DD467B" w:rsidRPr="00F4226B" w:rsidRDefault="00DD467B" w:rsidP="004A4D70">
      <w:pPr>
        <w:spacing w:after="0"/>
        <w:ind w:left="284" w:hanging="284"/>
        <w:jc w:val="both"/>
        <w:rPr>
          <w:rFonts w:ascii="Times New Roman" w:hAnsi="Times New Roman"/>
          <w:iCs/>
          <w:sz w:val="24"/>
          <w:szCs w:val="24"/>
          <w:lang w:val="en-US"/>
        </w:rPr>
      </w:pPr>
      <w:r w:rsidRPr="00F4226B">
        <w:rPr>
          <w:rFonts w:ascii="Times New Roman" w:hAnsi="Times New Roman"/>
          <w:iCs/>
          <w:sz w:val="24"/>
          <w:szCs w:val="24"/>
          <w:lang w:val="en-US"/>
        </w:rPr>
        <w:t>Patatoukas, P.</w:t>
      </w:r>
      <w:r w:rsidR="00443D81" w:rsidRPr="00F4226B">
        <w:rPr>
          <w:rFonts w:ascii="Times New Roman" w:hAnsi="Times New Roman"/>
          <w:iCs/>
          <w:sz w:val="24"/>
          <w:szCs w:val="24"/>
          <w:lang w:val="en-US"/>
        </w:rPr>
        <w:t xml:space="preserve"> </w:t>
      </w:r>
      <w:r w:rsidRPr="00F4226B">
        <w:rPr>
          <w:rFonts w:ascii="Times New Roman" w:hAnsi="Times New Roman"/>
          <w:iCs/>
          <w:sz w:val="24"/>
          <w:szCs w:val="24"/>
          <w:lang w:val="en-US"/>
        </w:rPr>
        <w:t>N. (2014). Detecting news in aggregate accounting earnings: implications for stock market valuation</w:t>
      </w:r>
      <w:r w:rsidR="007E37F6" w:rsidRPr="00F4226B">
        <w:rPr>
          <w:rFonts w:ascii="Times New Roman" w:hAnsi="Times New Roman"/>
          <w:iCs/>
          <w:sz w:val="24"/>
          <w:szCs w:val="24"/>
          <w:lang w:val="en-US"/>
        </w:rPr>
        <w:t>.</w:t>
      </w:r>
      <w:r w:rsidRPr="00F4226B">
        <w:rPr>
          <w:rFonts w:ascii="Times New Roman" w:hAnsi="Times New Roman"/>
          <w:iCs/>
          <w:sz w:val="24"/>
          <w:szCs w:val="24"/>
          <w:lang w:val="en-US"/>
        </w:rPr>
        <w:t xml:space="preserve"> </w:t>
      </w:r>
      <w:r w:rsidRPr="00F4226B">
        <w:rPr>
          <w:rFonts w:ascii="Times New Roman" w:hAnsi="Times New Roman"/>
          <w:i/>
          <w:iCs/>
          <w:sz w:val="24"/>
          <w:szCs w:val="24"/>
          <w:lang w:val="en-US"/>
        </w:rPr>
        <w:t>Review of Accounting Studies</w:t>
      </w:r>
      <w:r w:rsidRPr="00804A08">
        <w:rPr>
          <w:rFonts w:ascii="Times New Roman" w:hAnsi="Times New Roman"/>
          <w:iCs/>
          <w:sz w:val="24"/>
          <w:szCs w:val="24"/>
          <w:lang w:val="en-US"/>
        </w:rPr>
        <w:t>,</w:t>
      </w:r>
      <w:r w:rsidRPr="00F4226B">
        <w:rPr>
          <w:rFonts w:ascii="Times New Roman" w:hAnsi="Times New Roman"/>
          <w:i/>
          <w:iCs/>
          <w:sz w:val="24"/>
          <w:szCs w:val="24"/>
          <w:lang w:val="en-US"/>
        </w:rPr>
        <w:t xml:space="preserve"> </w:t>
      </w:r>
      <w:r w:rsidRPr="00F4226B">
        <w:rPr>
          <w:rFonts w:ascii="Times New Roman" w:hAnsi="Times New Roman"/>
          <w:iCs/>
          <w:sz w:val="24"/>
          <w:szCs w:val="24"/>
          <w:lang w:val="en-US"/>
        </w:rPr>
        <w:t>19</w:t>
      </w:r>
      <w:r w:rsidR="007E37F6" w:rsidRPr="00F4226B">
        <w:rPr>
          <w:rFonts w:ascii="Times New Roman" w:hAnsi="Times New Roman"/>
          <w:iCs/>
          <w:sz w:val="24"/>
          <w:szCs w:val="24"/>
          <w:lang w:val="en-US"/>
        </w:rPr>
        <w:t>(1),</w:t>
      </w:r>
      <w:r w:rsidRPr="00F4226B">
        <w:rPr>
          <w:rFonts w:ascii="Times New Roman" w:hAnsi="Times New Roman"/>
          <w:iCs/>
          <w:sz w:val="24"/>
          <w:szCs w:val="24"/>
          <w:lang w:val="en-US"/>
        </w:rPr>
        <w:t xml:space="preserve"> </w:t>
      </w:r>
      <w:r w:rsidR="00E35230" w:rsidRPr="00F4226B">
        <w:rPr>
          <w:rFonts w:ascii="Times New Roman" w:hAnsi="Times New Roman"/>
          <w:iCs/>
          <w:sz w:val="24"/>
          <w:szCs w:val="24"/>
          <w:lang w:val="en-US"/>
        </w:rPr>
        <w:t>134</w:t>
      </w:r>
      <w:r w:rsidR="00985DDF">
        <w:rPr>
          <w:rFonts w:ascii="Times New Roman" w:hAnsi="Times New Roman"/>
          <w:sz w:val="24"/>
          <w:szCs w:val="24"/>
          <w:lang w:val="en-US"/>
        </w:rPr>
        <w:t>–</w:t>
      </w:r>
      <w:r w:rsidR="00E35230" w:rsidRPr="00F4226B">
        <w:rPr>
          <w:rFonts w:ascii="Times New Roman" w:hAnsi="Times New Roman"/>
          <w:iCs/>
          <w:sz w:val="24"/>
          <w:szCs w:val="24"/>
          <w:lang w:val="en-US"/>
        </w:rPr>
        <w:t>160</w:t>
      </w:r>
      <w:r w:rsidR="00A84EB3" w:rsidRPr="00F4226B">
        <w:rPr>
          <w:rFonts w:ascii="Times New Roman" w:hAnsi="Times New Roman"/>
          <w:iCs/>
          <w:sz w:val="24"/>
          <w:szCs w:val="24"/>
          <w:lang w:val="en-US"/>
        </w:rPr>
        <w:t>.</w:t>
      </w:r>
    </w:p>
    <w:p w14:paraId="6F6B6B53" w14:textId="29D78F08" w:rsidR="00750426" w:rsidRPr="00F4226B" w:rsidRDefault="006A336C" w:rsidP="00E751EB">
      <w:pPr>
        <w:spacing w:after="0"/>
        <w:ind w:left="284" w:hanging="284"/>
        <w:jc w:val="both"/>
        <w:rPr>
          <w:rFonts w:ascii="Times New Roman" w:hAnsi="Times New Roman"/>
          <w:i/>
          <w:iCs/>
          <w:sz w:val="24"/>
          <w:szCs w:val="24"/>
          <w:lang w:val="en-US"/>
        </w:rPr>
      </w:pPr>
      <w:r w:rsidRPr="00F4226B">
        <w:rPr>
          <w:rFonts w:ascii="Times New Roman" w:hAnsi="Times New Roman"/>
          <w:iCs/>
          <w:sz w:val="24"/>
          <w:szCs w:val="24"/>
          <w:lang w:val="en-US"/>
        </w:rPr>
        <w:t>Ritter, J.</w:t>
      </w:r>
      <w:r w:rsidR="00443D81" w:rsidRPr="00F4226B">
        <w:rPr>
          <w:rFonts w:ascii="Times New Roman" w:hAnsi="Times New Roman"/>
          <w:iCs/>
          <w:sz w:val="24"/>
          <w:szCs w:val="24"/>
          <w:lang w:val="en-US"/>
        </w:rPr>
        <w:t xml:space="preserve"> </w:t>
      </w:r>
      <w:r w:rsidRPr="00F4226B">
        <w:rPr>
          <w:rFonts w:ascii="Times New Roman" w:hAnsi="Times New Roman"/>
          <w:iCs/>
          <w:sz w:val="24"/>
          <w:szCs w:val="24"/>
          <w:lang w:val="en-US"/>
        </w:rPr>
        <w:t>R.</w:t>
      </w:r>
      <w:r w:rsidR="0050778A" w:rsidRPr="00F4226B">
        <w:rPr>
          <w:rFonts w:ascii="Times New Roman" w:hAnsi="Times New Roman"/>
          <w:iCs/>
          <w:sz w:val="24"/>
          <w:szCs w:val="24"/>
          <w:lang w:val="en-US"/>
        </w:rPr>
        <w:t>, &amp;</w:t>
      </w:r>
      <w:r w:rsidRPr="00F4226B">
        <w:rPr>
          <w:rFonts w:ascii="Times New Roman" w:hAnsi="Times New Roman"/>
          <w:iCs/>
          <w:sz w:val="24"/>
          <w:szCs w:val="24"/>
          <w:lang w:val="en-US"/>
        </w:rPr>
        <w:t xml:space="preserve"> Warr, R.</w:t>
      </w:r>
      <w:r w:rsidR="00443D81" w:rsidRPr="00F4226B">
        <w:rPr>
          <w:rFonts w:ascii="Times New Roman" w:hAnsi="Times New Roman"/>
          <w:iCs/>
          <w:sz w:val="24"/>
          <w:szCs w:val="24"/>
          <w:lang w:val="en-US"/>
        </w:rPr>
        <w:t xml:space="preserve"> </w:t>
      </w:r>
      <w:r w:rsidRPr="00F4226B">
        <w:rPr>
          <w:rFonts w:ascii="Times New Roman" w:hAnsi="Times New Roman"/>
          <w:iCs/>
          <w:sz w:val="24"/>
          <w:szCs w:val="24"/>
          <w:lang w:val="en-US"/>
        </w:rPr>
        <w:t>S. (2002). The decline of inflation and the bull market of 1982</w:t>
      </w:r>
      <w:r w:rsidR="00985DDF">
        <w:rPr>
          <w:rFonts w:ascii="Times New Roman" w:hAnsi="Times New Roman"/>
          <w:sz w:val="24"/>
          <w:szCs w:val="24"/>
          <w:lang w:val="en-US"/>
        </w:rPr>
        <w:t>–</w:t>
      </w:r>
      <w:r w:rsidRPr="00F4226B">
        <w:rPr>
          <w:rFonts w:ascii="Times New Roman" w:hAnsi="Times New Roman"/>
          <w:iCs/>
          <w:sz w:val="24"/>
          <w:szCs w:val="24"/>
          <w:lang w:val="en-US"/>
        </w:rPr>
        <w:t>1999</w:t>
      </w:r>
      <w:r w:rsidR="00A84EB3" w:rsidRPr="00F4226B">
        <w:rPr>
          <w:rFonts w:ascii="Times New Roman" w:hAnsi="Times New Roman"/>
          <w:iCs/>
          <w:sz w:val="24"/>
          <w:szCs w:val="24"/>
          <w:lang w:val="en-US"/>
        </w:rPr>
        <w:t>.</w:t>
      </w:r>
      <w:r w:rsidRPr="00F4226B">
        <w:rPr>
          <w:rFonts w:ascii="Times New Roman" w:hAnsi="Times New Roman"/>
          <w:iCs/>
          <w:sz w:val="24"/>
          <w:szCs w:val="24"/>
          <w:lang w:val="en-US"/>
        </w:rPr>
        <w:t xml:space="preserve"> </w:t>
      </w:r>
      <w:r w:rsidRPr="00F4226B">
        <w:rPr>
          <w:rFonts w:ascii="Times New Roman" w:hAnsi="Times New Roman"/>
          <w:i/>
          <w:iCs/>
          <w:sz w:val="24"/>
          <w:szCs w:val="24"/>
          <w:lang w:val="en-US"/>
        </w:rPr>
        <w:t>Journal of Financial and Quantitative Analysis</w:t>
      </w:r>
      <w:r w:rsidRPr="00804A08">
        <w:rPr>
          <w:rFonts w:ascii="Times New Roman" w:hAnsi="Times New Roman"/>
          <w:iCs/>
          <w:sz w:val="24"/>
          <w:szCs w:val="24"/>
          <w:lang w:val="en-US"/>
        </w:rPr>
        <w:t>,</w:t>
      </w:r>
      <w:r w:rsidRPr="00F4226B">
        <w:rPr>
          <w:rFonts w:ascii="Times New Roman" w:hAnsi="Times New Roman"/>
          <w:i/>
          <w:iCs/>
          <w:sz w:val="24"/>
          <w:szCs w:val="24"/>
          <w:lang w:val="en-US"/>
        </w:rPr>
        <w:t xml:space="preserve"> </w:t>
      </w:r>
      <w:r w:rsidRPr="00F4226B">
        <w:rPr>
          <w:rFonts w:ascii="Times New Roman" w:hAnsi="Times New Roman"/>
          <w:iCs/>
          <w:sz w:val="24"/>
          <w:szCs w:val="24"/>
          <w:lang w:val="en-US"/>
        </w:rPr>
        <w:t>37</w:t>
      </w:r>
      <w:r w:rsidR="00DA6554" w:rsidRPr="00F4226B">
        <w:rPr>
          <w:rFonts w:ascii="Times New Roman" w:hAnsi="Times New Roman"/>
          <w:iCs/>
          <w:sz w:val="24"/>
          <w:szCs w:val="24"/>
          <w:lang w:val="en-US"/>
        </w:rPr>
        <w:t>(</w:t>
      </w:r>
      <w:r w:rsidRPr="00F4226B">
        <w:rPr>
          <w:rFonts w:ascii="Times New Roman" w:hAnsi="Times New Roman"/>
          <w:iCs/>
          <w:sz w:val="24"/>
          <w:szCs w:val="24"/>
          <w:lang w:val="en-US"/>
        </w:rPr>
        <w:t>1</w:t>
      </w:r>
      <w:r w:rsidR="00DA6554" w:rsidRPr="00F4226B">
        <w:rPr>
          <w:rFonts w:ascii="Times New Roman" w:hAnsi="Times New Roman"/>
          <w:iCs/>
          <w:sz w:val="24"/>
          <w:szCs w:val="24"/>
          <w:lang w:val="en-US"/>
        </w:rPr>
        <w:t>)</w:t>
      </w:r>
      <w:r w:rsidR="0050778A" w:rsidRPr="00F4226B">
        <w:rPr>
          <w:rFonts w:ascii="Times New Roman" w:hAnsi="Times New Roman"/>
          <w:iCs/>
          <w:sz w:val="24"/>
          <w:szCs w:val="24"/>
          <w:lang w:val="en-US"/>
        </w:rPr>
        <w:t>,</w:t>
      </w:r>
      <w:r w:rsidR="00DA6554" w:rsidRPr="00F4226B">
        <w:rPr>
          <w:rFonts w:ascii="Times New Roman" w:hAnsi="Times New Roman"/>
          <w:iCs/>
          <w:sz w:val="24"/>
          <w:szCs w:val="24"/>
          <w:lang w:val="en-US"/>
        </w:rPr>
        <w:t xml:space="preserve"> 29</w:t>
      </w:r>
      <w:r w:rsidR="00985DDF">
        <w:rPr>
          <w:rFonts w:ascii="Times New Roman" w:hAnsi="Times New Roman"/>
          <w:sz w:val="24"/>
          <w:szCs w:val="24"/>
          <w:lang w:val="en-US"/>
        </w:rPr>
        <w:t>–</w:t>
      </w:r>
      <w:r w:rsidR="00DA6554" w:rsidRPr="00F4226B">
        <w:rPr>
          <w:rFonts w:ascii="Times New Roman" w:hAnsi="Times New Roman"/>
          <w:iCs/>
          <w:sz w:val="24"/>
          <w:szCs w:val="24"/>
          <w:lang w:val="en-US"/>
        </w:rPr>
        <w:t>6</w:t>
      </w:r>
      <w:r w:rsidRPr="00F4226B">
        <w:rPr>
          <w:rFonts w:ascii="Times New Roman" w:hAnsi="Times New Roman"/>
          <w:iCs/>
          <w:sz w:val="24"/>
          <w:szCs w:val="24"/>
          <w:lang w:val="en-US"/>
        </w:rPr>
        <w:t>1.</w:t>
      </w:r>
    </w:p>
    <w:p w14:paraId="07013908" w14:textId="4D96F13F" w:rsidR="009860B6" w:rsidRPr="00F4226B" w:rsidRDefault="009860B6" w:rsidP="00773BBD">
      <w:pPr>
        <w:spacing w:after="0"/>
        <w:ind w:left="284" w:hanging="284"/>
        <w:jc w:val="both"/>
        <w:rPr>
          <w:rFonts w:ascii="Times New Roman" w:hAnsi="Times New Roman"/>
          <w:iCs/>
          <w:sz w:val="24"/>
          <w:szCs w:val="24"/>
          <w:lang w:val="en-US"/>
        </w:rPr>
      </w:pPr>
      <w:r w:rsidRPr="00F4226B">
        <w:rPr>
          <w:rFonts w:ascii="Times New Roman" w:hAnsi="Times New Roman"/>
          <w:iCs/>
          <w:sz w:val="24"/>
          <w:szCs w:val="24"/>
          <w:lang w:val="en-US"/>
        </w:rPr>
        <w:t>Rivera, J.</w:t>
      </w:r>
      <w:r w:rsidR="00443D81" w:rsidRPr="00F4226B">
        <w:rPr>
          <w:rFonts w:ascii="Times New Roman" w:hAnsi="Times New Roman"/>
          <w:iCs/>
          <w:sz w:val="24"/>
          <w:szCs w:val="24"/>
          <w:lang w:val="en-US"/>
        </w:rPr>
        <w:t xml:space="preserve"> </w:t>
      </w:r>
      <w:r w:rsidRPr="00F4226B">
        <w:rPr>
          <w:rFonts w:ascii="Times New Roman" w:hAnsi="Times New Roman"/>
          <w:iCs/>
          <w:sz w:val="24"/>
          <w:szCs w:val="24"/>
          <w:lang w:val="en-US"/>
        </w:rPr>
        <w:t xml:space="preserve">M. (1987). Price-adjusted financial information and investment returns in a highly inflationary economy: An evaluation. </w:t>
      </w:r>
      <w:r w:rsidRPr="00F4226B">
        <w:rPr>
          <w:rFonts w:ascii="Times New Roman" w:hAnsi="Times New Roman"/>
          <w:i/>
          <w:iCs/>
          <w:sz w:val="24"/>
          <w:szCs w:val="24"/>
          <w:lang w:val="en-US"/>
        </w:rPr>
        <w:t>Advances in International Accounting</w:t>
      </w:r>
      <w:r w:rsidRPr="00804A08">
        <w:rPr>
          <w:rFonts w:ascii="Times New Roman" w:hAnsi="Times New Roman"/>
          <w:iCs/>
          <w:sz w:val="24"/>
          <w:szCs w:val="24"/>
          <w:lang w:val="en-US"/>
        </w:rPr>
        <w:t>,</w:t>
      </w:r>
      <w:r w:rsidRPr="00F4226B">
        <w:rPr>
          <w:rFonts w:ascii="Times New Roman" w:hAnsi="Times New Roman"/>
          <w:iCs/>
          <w:sz w:val="24"/>
          <w:szCs w:val="24"/>
          <w:lang w:val="en-US"/>
        </w:rPr>
        <w:t xml:space="preserve"> 1</w:t>
      </w:r>
      <w:r w:rsidR="00700A45" w:rsidRPr="00F4226B">
        <w:rPr>
          <w:rFonts w:ascii="Times New Roman" w:hAnsi="Times New Roman"/>
          <w:iCs/>
          <w:sz w:val="24"/>
          <w:szCs w:val="24"/>
          <w:lang w:val="en-US"/>
        </w:rPr>
        <w:t>,</w:t>
      </w:r>
      <w:r w:rsidRPr="00F4226B">
        <w:rPr>
          <w:rFonts w:ascii="Times New Roman" w:hAnsi="Times New Roman"/>
          <w:iCs/>
          <w:sz w:val="24"/>
          <w:szCs w:val="24"/>
          <w:lang w:val="en-US"/>
        </w:rPr>
        <w:t xml:space="preserve"> 287</w:t>
      </w:r>
      <w:r w:rsidR="00985DDF">
        <w:rPr>
          <w:rFonts w:ascii="Times New Roman" w:hAnsi="Times New Roman"/>
          <w:sz w:val="24"/>
          <w:szCs w:val="24"/>
          <w:lang w:val="en-US"/>
        </w:rPr>
        <w:t>–</w:t>
      </w:r>
      <w:r w:rsidRPr="00F4226B">
        <w:rPr>
          <w:rFonts w:ascii="Times New Roman" w:hAnsi="Times New Roman"/>
          <w:iCs/>
          <w:sz w:val="24"/>
          <w:szCs w:val="24"/>
          <w:lang w:val="en-US"/>
        </w:rPr>
        <w:t>304.</w:t>
      </w:r>
    </w:p>
    <w:p w14:paraId="54F58E58" w14:textId="6C7B5308" w:rsidR="00A84EB3" w:rsidRPr="00F4226B" w:rsidRDefault="0080099F" w:rsidP="00A84EB3">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Robertson, J. (2003). The Zimbabwean Economy: The current position and the way forward</w:t>
      </w:r>
      <w:r w:rsidR="00A84EB3" w:rsidRPr="00F4226B">
        <w:rPr>
          <w:rFonts w:ascii="Times New Roman" w:hAnsi="Times New Roman"/>
          <w:sz w:val="24"/>
          <w:szCs w:val="24"/>
          <w:lang w:val="en-US"/>
        </w:rPr>
        <w:t>.</w:t>
      </w:r>
      <w:r w:rsidRPr="00F4226B">
        <w:rPr>
          <w:rFonts w:ascii="Times New Roman" w:hAnsi="Times New Roman"/>
          <w:sz w:val="24"/>
          <w:szCs w:val="24"/>
          <w:lang w:val="en-US"/>
        </w:rPr>
        <w:t xml:space="preserve"> </w:t>
      </w:r>
      <w:r w:rsidR="00A84EB3" w:rsidRPr="00F4226B">
        <w:rPr>
          <w:rFonts w:ascii="Times New Roman" w:hAnsi="Times New Roman"/>
          <w:sz w:val="24"/>
          <w:szCs w:val="24"/>
          <w:lang w:val="en-US"/>
        </w:rPr>
        <w:t>I</w:t>
      </w:r>
      <w:r w:rsidRPr="00F4226B">
        <w:rPr>
          <w:rFonts w:ascii="Times New Roman" w:hAnsi="Times New Roman"/>
          <w:sz w:val="24"/>
          <w:szCs w:val="24"/>
          <w:lang w:val="en-US"/>
        </w:rPr>
        <w:t>n R</w:t>
      </w:r>
      <w:r w:rsidR="00A84EB3" w:rsidRPr="00F4226B">
        <w:rPr>
          <w:rFonts w:ascii="Times New Roman" w:hAnsi="Times New Roman"/>
          <w:sz w:val="24"/>
          <w:szCs w:val="24"/>
          <w:lang w:val="en-US"/>
        </w:rPr>
        <w:t>.</w:t>
      </w:r>
      <w:r w:rsidRPr="00F4226B">
        <w:rPr>
          <w:rFonts w:ascii="Times New Roman" w:hAnsi="Times New Roman"/>
          <w:sz w:val="24"/>
          <w:szCs w:val="24"/>
          <w:lang w:val="en-US"/>
        </w:rPr>
        <w:t xml:space="preserve"> Cornwell</w:t>
      </w:r>
      <w:r w:rsidR="00A84EB3" w:rsidRPr="00F4226B">
        <w:rPr>
          <w:rFonts w:ascii="Times New Roman" w:hAnsi="Times New Roman"/>
          <w:sz w:val="24"/>
          <w:szCs w:val="24"/>
          <w:lang w:val="en-US"/>
        </w:rPr>
        <w:t xml:space="preserve"> (Ed)</w:t>
      </w:r>
      <w:r w:rsidRPr="00F4226B">
        <w:rPr>
          <w:rFonts w:ascii="Times New Roman" w:hAnsi="Times New Roman"/>
          <w:sz w:val="24"/>
          <w:szCs w:val="24"/>
          <w:lang w:val="en-US"/>
        </w:rPr>
        <w:t xml:space="preserve">, </w:t>
      </w:r>
      <w:r w:rsidRPr="00F4226B">
        <w:rPr>
          <w:rFonts w:ascii="Times New Roman" w:hAnsi="Times New Roman"/>
          <w:i/>
          <w:iCs/>
          <w:sz w:val="24"/>
          <w:szCs w:val="24"/>
          <w:lang w:val="en-US"/>
        </w:rPr>
        <w:t>Zimbabwe’s Turmoil: Problems and Prospects</w:t>
      </w:r>
      <w:r w:rsidRPr="00F4226B">
        <w:rPr>
          <w:rFonts w:ascii="Times New Roman" w:hAnsi="Times New Roman"/>
          <w:sz w:val="24"/>
          <w:szCs w:val="24"/>
          <w:lang w:val="en-US"/>
        </w:rPr>
        <w:t xml:space="preserve">. </w:t>
      </w:r>
    </w:p>
    <w:p w14:paraId="6B62A6C6" w14:textId="522D4308" w:rsidR="0080099F" w:rsidRPr="00F4226B" w:rsidRDefault="00A84EB3" w:rsidP="00DC093A">
      <w:pPr>
        <w:spacing w:after="0"/>
        <w:ind w:left="284"/>
        <w:jc w:val="both"/>
        <w:rPr>
          <w:rFonts w:ascii="Times New Roman" w:hAnsi="Times New Roman"/>
          <w:sz w:val="24"/>
          <w:szCs w:val="24"/>
          <w:lang w:val="en-US"/>
        </w:rPr>
      </w:pPr>
      <w:r w:rsidRPr="00F4226B">
        <w:rPr>
          <w:rFonts w:ascii="Times New Roman" w:hAnsi="Times New Roman"/>
          <w:sz w:val="24"/>
          <w:szCs w:val="24"/>
          <w:lang w:val="en-US"/>
        </w:rPr>
        <w:t>http://</w:t>
      </w:r>
      <w:hyperlink r:id="rId12" w:history="1">
        <w:r w:rsidR="003D0DDE" w:rsidRPr="00F4226B">
          <w:rPr>
            <w:rStyle w:val="Hyperlink"/>
            <w:rFonts w:ascii="Times New Roman" w:hAnsi="Times New Roman"/>
            <w:sz w:val="24"/>
            <w:szCs w:val="24"/>
            <w:lang w:val="en-US"/>
          </w:rPr>
          <w:t>www.iss.co.za/Pubs/Monographs/No87?Chap3.pdf</w:t>
        </w:r>
      </w:hyperlink>
      <w:r w:rsidR="0080099F" w:rsidRPr="00F4226B">
        <w:rPr>
          <w:rFonts w:ascii="Times New Roman" w:hAnsi="Times New Roman"/>
          <w:sz w:val="24"/>
          <w:szCs w:val="24"/>
          <w:lang w:val="en-US"/>
        </w:rPr>
        <w:t>. Accessed June</w:t>
      </w:r>
      <w:r w:rsidR="00804A08">
        <w:rPr>
          <w:rFonts w:ascii="Times New Roman" w:hAnsi="Times New Roman"/>
          <w:sz w:val="24"/>
          <w:szCs w:val="24"/>
          <w:lang w:val="en-US"/>
        </w:rPr>
        <w:t xml:space="preserve"> 9,</w:t>
      </w:r>
      <w:r w:rsidR="0080099F" w:rsidRPr="00F4226B">
        <w:rPr>
          <w:rFonts w:ascii="Times New Roman" w:hAnsi="Times New Roman"/>
          <w:sz w:val="24"/>
          <w:szCs w:val="24"/>
          <w:lang w:val="en-US"/>
        </w:rPr>
        <w:t xml:space="preserve"> 2008</w:t>
      </w:r>
      <w:r w:rsidR="003D0DDE" w:rsidRPr="00F4226B">
        <w:rPr>
          <w:rFonts w:ascii="Times New Roman" w:hAnsi="Times New Roman"/>
          <w:sz w:val="24"/>
          <w:szCs w:val="24"/>
          <w:lang w:val="en-US"/>
        </w:rPr>
        <w:t>.</w:t>
      </w:r>
    </w:p>
    <w:p w14:paraId="42A4EDD8" w14:textId="77777777" w:rsidR="00A84EB3" w:rsidRPr="00F4226B" w:rsidRDefault="00C9123E" w:rsidP="00A84EB3">
      <w:pPr>
        <w:spacing w:after="0"/>
        <w:ind w:left="284" w:hanging="284"/>
        <w:jc w:val="both"/>
        <w:rPr>
          <w:rFonts w:ascii="Times New Roman" w:hAnsi="Times New Roman"/>
          <w:iCs/>
          <w:sz w:val="24"/>
          <w:szCs w:val="24"/>
          <w:lang w:val="en-US"/>
        </w:rPr>
      </w:pPr>
      <w:r w:rsidRPr="00F4226B">
        <w:rPr>
          <w:rFonts w:ascii="Times New Roman" w:hAnsi="Times New Roman"/>
          <w:iCs/>
          <w:sz w:val="24"/>
          <w:szCs w:val="24"/>
          <w:lang w:val="en-US"/>
        </w:rPr>
        <w:t>Senbet, L.</w:t>
      </w:r>
      <w:r w:rsidR="00700A45" w:rsidRPr="00F4226B">
        <w:rPr>
          <w:rFonts w:ascii="Times New Roman" w:hAnsi="Times New Roman"/>
          <w:iCs/>
          <w:sz w:val="24"/>
          <w:szCs w:val="24"/>
          <w:lang w:val="en-US"/>
        </w:rPr>
        <w:t>, &amp;</w:t>
      </w:r>
      <w:r w:rsidRPr="00F4226B">
        <w:rPr>
          <w:rFonts w:ascii="Times New Roman" w:hAnsi="Times New Roman"/>
          <w:iCs/>
          <w:sz w:val="24"/>
          <w:szCs w:val="24"/>
          <w:lang w:val="en-US"/>
        </w:rPr>
        <w:t xml:space="preserve"> Otchere, I. (2008). African Stock Markets. African Finance for the 21</w:t>
      </w:r>
      <w:r w:rsidRPr="00F4226B">
        <w:rPr>
          <w:rFonts w:ascii="Times New Roman" w:hAnsi="Times New Roman"/>
          <w:iCs/>
          <w:sz w:val="24"/>
          <w:szCs w:val="24"/>
          <w:vertAlign w:val="superscript"/>
          <w:lang w:val="en-US"/>
        </w:rPr>
        <w:t>st</w:t>
      </w:r>
      <w:r w:rsidRPr="00F4226B">
        <w:rPr>
          <w:rFonts w:ascii="Times New Roman" w:hAnsi="Times New Roman"/>
          <w:iCs/>
          <w:sz w:val="24"/>
          <w:szCs w:val="24"/>
          <w:lang w:val="en-US"/>
        </w:rPr>
        <w:t xml:space="preserve"> Century High-Level Seminar</w:t>
      </w:r>
      <w:r w:rsidR="00A84EB3" w:rsidRPr="00F4226B">
        <w:rPr>
          <w:rFonts w:ascii="Times New Roman" w:hAnsi="Times New Roman"/>
          <w:iCs/>
          <w:sz w:val="24"/>
          <w:szCs w:val="24"/>
          <w:lang w:val="en-US"/>
        </w:rPr>
        <w:t>.</w:t>
      </w:r>
      <w:r w:rsidRPr="00F4226B">
        <w:rPr>
          <w:rFonts w:ascii="Times New Roman" w:hAnsi="Times New Roman"/>
          <w:iCs/>
          <w:sz w:val="24"/>
          <w:szCs w:val="24"/>
          <w:lang w:val="en-US"/>
        </w:rPr>
        <w:t xml:space="preserve"> IMF Institute and Joint African Institute</w:t>
      </w:r>
      <w:r w:rsidR="00A84EB3" w:rsidRPr="00F4226B">
        <w:rPr>
          <w:rFonts w:ascii="Times New Roman" w:hAnsi="Times New Roman"/>
          <w:iCs/>
          <w:sz w:val="24"/>
          <w:szCs w:val="24"/>
          <w:lang w:val="en-US"/>
        </w:rPr>
        <w:t>.</w:t>
      </w:r>
    </w:p>
    <w:p w14:paraId="4C45514F" w14:textId="77777777" w:rsidR="00700A45" w:rsidRPr="00F4226B" w:rsidRDefault="00DD4036" w:rsidP="00DC093A">
      <w:pPr>
        <w:spacing w:after="0"/>
        <w:ind w:left="284"/>
        <w:jc w:val="both"/>
        <w:rPr>
          <w:rFonts w:ascii="Times New Roman" w:hAnsi="Times New Roman"/>
          <w:iCs/>
          <w:sz w:val="24"/>
          <w:szCs w:val="24"/>
          <w:lang w:val="en-US"/>
        </w:rPr>
      </w:pPr>
      <w:hyperlink r:id="rId13" w:history="1">
        <w:r w:rsidR="0050688D" w:rsidRPr="00F4226B">
          <w:rPr>
            <w:rStyle w:val="Hyperlink"/>
            <w:rFonts w:ascii="Times New Roman" w:hAnsi="Times New Roman"/>
            <w:iCs/>
            <w:color w:val="auto"/>
            <w:sz w:val="24"/>
            <w:szCs w:val="24"/>
            <w:lang w:val="en-US"/>
          </w:rPr>
          <w:t>https://www.imf.org/external/np/seminars/eng/2008/afrfin/pdf/senbet.pdf</w:t>
        </w:r>
      </w:hyperlink>
      <w:r w:rsidR="00A84EB3" w:rsidRPr="00F4226B">
        <w:rPr>
          <w:rFonts w:ascii="Times New Roman" w:hAnsi="Times New Roman"/>
          <w:iCs/>
          <w:sz w:val="24"/>
          <w:szCs w:val="24"/>
          <w:lang w:val="en-US"/>
        </w:rPr>
        <w:t>.</w:t>
      </w:r>
      <w:r w:rsidR="0050688D" w:rsidRPr="00F4226B">
        <w:rPr>
          <w:rFonts w:ascii="Times New Roman" w:hAnsi="Times New Roman"/>
          <w:iCs/>
          <w:sz w:val="24"/>
          <w:szCs w:val="24"/>
          <w:lang w:val="en-US"/>
        </w:rPr>
        <w:t xml:space="preserve"> </w:t>
      </w:r>
    </w:p>
    <w:p w14:paraId="1A4D1560" w14:textId="2D715DC1" w:rsidR="00113B02" w:rsidRPr="00F4226B" w:rsidRDefault="0050688D" w:rsidP="00DC093A">
      <w:pPr>
        <w:spacing w:after="0"/>
        <w:ind w:left="284"/>
        <w:jc w:val="both"/>
        <w:rPr>
          <w:rFonts w:ascii="Times New Roman" w:hAnsi="Times New Roman"/>
          <w:iCs/>
          <w:sz w:val="24"/>
          <w:szCs w:val="24"/>
          <w:lang w:val="en-US"/>
        </w:rPr>
      </w:pPr>
      <w:r w:rsidRPr="00F4226B">
        <w:rPr>
          <w:rFonts w:ascii="Times New Roman" w:hAnsi="Times New Roman"/>
          <w:iCs/>
          <w:sz w:val="24"/>
          <w:szCs w:val="24"/>
          <w:lang w:val="en-US"/>
        </w:rPr>
        <w:t>Accessed March</w:t>
      </w:r>
      <w:r w:rsidR="00804A08">
        <w:rPr>
          <w:rFonts w:ascii="Times New Roman" w:hAnsi="Times New Roman"/>
          <w:iCs/>
          <w:sz w:val="24"/>
          <w:szCs w:val="24"/>
          <w:lang w:val="en-US"/>
        </w:rPr>
        <w:t xml:space="preserve"> 10,</w:t>
      </w:r>
      <w:r w:rsidRPr="00F4226B">
        <w:rPr>
          <w:rFonts w:ascii="Times New Roman" w:hAnsi="Times New Roman"/>
          <w:iCs/>
          <w:sz w:val="24"/>
          <w:szCs w:val="24"/>
          <w:lang w:val="en-US"/>
        </w:rPr>
        <w:t xml:space="preserve"> 2017</w:t>
      </w:r>
      <w:r w:rsidR="003D0DDE" w:rsidRPr="00F4226B">
        <w:rPr>
          <w:rFonts w:ascii="Times New Roman" w:hAnsi="Times New Roman"/>
          <w:iCs/>
          <w:sz w:val="24"/>
          <w:szCs w:val="24"/>
          <w:lang w:val="en-US"/>
        </w:rPr>
        <w:t>.</w:t>
      </w:r>
    </w:p>
    <w:p w14:paraId="1A39B6E7" w14:textId="77777777" w:rsidR="0017491A" w:rsidRPr="00F4226B" w:rsidRDefault="00907DAB" w:rsidP="00A84EB3">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Skerratt, L.</w:t>
      </w:r>
      <w:r w:rsidR="00443D81" w:rsidRPr="00F4226B">
        <w:rPr>
          <w:rFonts w:ascii="Times New Roman" w:hAnsi="Times New Roman"/>
          <w:sz w:val="24"/>
          <w:szCs w:val="24"/>
          <w:lang w:val="en-US"/>
        </w:rPr>
        <w:t xml:space="preserve"> </w:t>
      </w:r>
      <w:r w:rsidRPr="00F4226B">
        <w:rPr>
          <w:rFonts w:ascii="Times New Roman" w:hAnsi="Times New Roman"/>
          <w:sz w:val="24"/>
          <w:szCs w:val="24"/>
          <w:lang w:val="en-US"/>
        </w:rPr>
        <w:t>C.</w:t>
      </w:r>
      <w:r w:rsidR="00443D81" w:rsidRPr="00F4226B">
        <w:rPr>
          <w:rFonts w:ascii="Times New Roman" w:hAnsi="Times New Roman"/>
          <w:sz w:val="24"/>
          <w:szCs w:val="24"/>
          <w:lang w:val="en-US"/>
        </w:rPr>
        <w:t xml:space="preserve"> </w:t>
      </w:r>
      <w:r w:rsidRPr="00F4226B">
        <w:rPr>
          <w:rFonts w:ascii="Times New Roman" w:hAnsi="Times New Roman"/>
          <w:sz w:val="24"/>
          <w:szCs w:val="24"/>
          <w:lang w:val="en-US"/>
        </w:rPr>
        <w:t>L.</w:t>
      </w:r>
      <w:r w:rsidR="00700A45" w:rsidRPr="00F4226B">
        <w:rPr>
          <w:rFonts w:ascii="Times New Roman" w:hAnsi="Times New Roman"/>
          <w:sz w:val="24"/>
          <w:szCs w:val="24"/>
          <w:lang w:val="en-US"/>
        </w:rPr>
        <w:t>, &amp;</w:t>
      </w:r>
      <w:r w:rsidRPr="00F4226B">
        <w:rPr>
          <w:rFonts w:ascii="Times New Roman" w:hAnsi="Times New Roman"/>
          <w:sz w:val="24"/>
          <w:szCs w:val="24"/>
          <w:lang w:val="en-US"/>
        </w:rPr>
        <w:t xml:space="preserve"> Thompson, A.</w:t>
      </w:r>
      <w:r w:rsidR="00443D81"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P. (1984). </w:t>
      </w:r>
      <w:r w:rsidR="0017491A" w:rsidRPr="00F4226B">
        <w:rPr>
          <w:rFonts w:ascii="Times New Roman" w:hAnsi="Times New Roman"/>
          <w:sz w:val="24"/>
          <w:szCs w:val="24"/>
          <w:lang w:val="en-US"/>
        </w:rPr>
        <w:t>The market reaction to SSAP 16 current cost disclosures. In</w:t>
      </w:r>
      <w:r w:rsidR="00700A45" w:rsidRPr="00F4226B">
        <w:rPr>
          <w:rFonts w:ascii="Times New Roman" w:hAnsi="Times New Roman"/>
          <w:sz w:val="24"/>
          <w:szCs w:val="24"/>
          <w:lang w:val="en-US"/>
        </w:rPr>
        <w:t xml:space="preserve"> B. Carsberg</w:t>
      </w:r>
      <w:r w:rsidR="00F223B4" w:rsidRPr="00F4226B">
        <w:rPr>
          <w:rFonts w:ascii="Times New Roman" w:hAnsi="Times New Roman"/>
          <w:sz w:val="24"/>
          <w:szCs w:val="24"/>
          <w:lang w:val="en-US"/>
        </w:rPr>
        <w:t xml:space="preserve"> &amp; M. Page (Eds.),</w:t>
      </w:r>
      <w:r w:rsidR="0017491A" w:rsidRPr="00F4226B">
        <w:rPr>
          <w:rFonts w:ascii="Times New Roman" w:hAnsi="Times New Roman"/>
          <w:i/>
          <w:sz w:val="24"/>
          <w:szCs w:val="24"/>
          <w:lang w:val="en-US"/>
        </w:rPr>
        <w:t xml:space="preserve"> Current cost accounting: The benefits and costs</w:t>
      </w:r>
      <w:r w:rsidR="00F223B4" w:rsidRPr="00F4226B">
        <w:rPr>
          <w:rFonts w:ascii="Times New Roman" w:hAnsi="Times New Roman"/>
          <w:sz w:val="24"/>
          <w:szCs w:val="24"/>
          <w:lang w:val="en-US"/>
        </w:rPr>
        <w:t xml:space="preserve"> (pp.</w:t>
      </w:r>
      <w:r w:rsidR="0017491A" w:rsidRPr="00F4226B">
        <w:rPr>
          <w:rFonts w:ascii="Times New Roman" w:hAnsi="Times New Roman"/>
          <w:sz w:val="24"/>
          <w:szCs w:val="24"/>
          <w:lang w:val="en-US"/>
        </w:rPr>
        <w:t xml:space="preserve"> 289-3</w:t>
      </w:r>
      <w:r w:rsidR="007C16AF" w:rsidRPr="00F4226B">
        <w:rPr>
          <w:rFonts w:ascii="Times New Roman" w:hAnsi="Times New Roman"/>
          <w:sz w:val="24"/>
          <w:szCs w:val="24"/>
          <w:lang w:val="en-US"/>
        </w:rPr>
        <w:t>1</w:t>
      </w:r>
      <w:r w:rsidR="0017491A" w:rsidRPr="00F4226B">
        <w:rPr>
          <w:rFonts w:ascii="Times New Roman" w:hAnsi="Times New Roman"/>
          <w:sz w:val="24"/>
          <w:szCs w:val="24"/>
          <w:lang w:val="en-US"/>
        </w:rPr>
        <w:t>9</w:t>
      </w:r>
      <w:r w:rsidR="00F223B4" w:rsidRPr="00F4226B">
        <w:rPr>
          <w:rFonts w:ascii="Times New Roman" w:hAnsi="Times New Roman"/>
          <w:sz w:val="24"/>
          <w:szCs w:val="24"/>
          <w:lang w:val="en-US"/>
        </w:rPr>
        <w:t>)</w:t>
      </w:r>
      <w:r w:rsidR="0017491A" w:rsidRPr="00F4226B">
        <w:rPr>
          <w:rFonts w:ascii="Times New Roman" w:hAnsi="Times New Roman"/>
          <w:sz w:val="24"/>
          <w:szCs w:val="24"/>
          <w:lang w:val="en-US"/>
        </w:rPr>
        <w:t xml:space="preserve">. </w:t>
      </w:r>
      <w:r w:rsidR="00F223B4" w:rsidRPr="00F4226B">
        <w:rPr>
          <w:rFonts w:ascii="Times New Roman" w:hAnsi="Times New Roman"/>
          <w:sz w:val="24"/>
          <w:szCs w:val="24"/>
          <w:lang w:val="en-US"/>
        </w:rPr>
        <w:t xml:space="preserve">London: </w:t>
      </w:r>
      <w:r w:rsidR="0017491A" w:rsidRPr="00F4226B">
        <w:rPr>
          <w:rFonts w:ascii="Times New Roman" w:hAnsi="Times New Roman"/>
          <w:sz w:val="24"/>
          <w:szCs w:val="24"/>
          <w:lang w:val="en-US"/>
        </w:rPr>
        <w:t xml:space="preserve">Prentice-Hall International. </w:t>
      </w:r>
    </w:p>
    <w:p w14:paraId="332A8A25" w14:textId="06E4AC53" w:rsidR="002258F9" w:rsidRPr="00F4226B" w:rsidRDefault="002258F9" w:rsidP="007877D6">
      <w:pPr>
        <w:autoSpaceDE w:val="0"/>
        <w:autoSpaceDN w:val="0"/>
        <w:adjustRightInd w:val="0"/>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eastAsia="en-GB"/>
        </w:rPr>
        <w:t xml:space="preserve">Sloan, R (1996). Do stock prices fully reflect information in accruals and cash flows about future </w:t>
      </w:r>
      <w:r w:rsidR="003D0DDE" w:rsidRPr="00F4226B">
        <w:rPr>
          <w:rFonts w:ascii="Times New Roman" w:hAnsi="Times New Roman"/>
          <w:sz w:val="24"/>
          <w:szCs w:val="24"/>
          <w:lang w:val="en-US" w:eastAsia="en-GB"/>
        </w:rPr>
        <w:t>earnings?</w:t>
      </w:r>
      <w:r w:rsidRPr="00F4226B">
        <w:rPr>
          <w:rFonts w:ascii="Times New Roman" w:hAnsi="Times New Roman"/>
          <w:sz w:val="24"/>
          <w:szCs w:val="24"/>
          <w:lang w:val="en-US" w:eastAsia="en-GB"/>
        </w:rPr>
        <w:t xml:space="preserve"> </w:t>
      </w:r>
      <w:r w:rsidRPr="00F4226B">
        <w:rPr>
          <w:rFonts w:ascii="Times New Roman" w:hAnsi="Times New Roman"/>
          <w:i/>
          <w:iCs/>
          <w:sz w:val="24"/>
          <w:szCs w:val="24"/>
          <w:lang w:val="en-US" w:eastAsia="en-GB"/>
        </w:rPr>
        <w:t>The Accounting Review</w:t>
      </w:r>
      <w:r w:rsidR="00985DDF" w:rsidRPr="00804A08">
        <w:rPr>
          <w:rFonts w:ascii="Times New Roman" w:hAnsi="Times New Roman"/>
          <w:iCs/>
          <w:sz w:val="24"/>
          <w:szCs w:val="24"/>
          <w:lang w:val="en-US" w:eastAsia="en-GB"/>
        </w:rPr>
        <w:t>,</w:t>
      </w:r>
      <w:r w:rsidRPr="00F4226B">
        <w:rPr>
          <w:rFonts w:ascii="Times New Roman" w:hAnsi="Times New Roman"/>
          <w:i/>
          <w:iCs/>
          <w:sz w:val="24"/>
          <w:szCs w:val="24"/>
          <w:lang w:val="en-US" w:eastAsia="en-GB"/>
        </w:rPr>
        <w:t xml:space="preserve"> </w:t>
      </w:r>
      <w:r w:rsidRPr="00F4226B">
        <w:rPr>
          <w:rFonts w:ascii="Times New Roman" w:hAnsi="Times New Roman"/>
          <w:sz w:val="24"/>
          <w:szCs w:val="24"/>
          <w:lang w:val="en-US" w:eastAsia="en-GB"/>
        </w:rPr>
        <w:t>71</w:t>
      </w:r>
      <w:r w:rsidR="00774633" w:rsidRPr="00F4226B">
        <w:rPr>
          <w:rFonts w:ascii="Times New Roman" w:hAnsi="Times New Roman"/>
          <w:sz w:val="24"/>
          <w:szCs w:val="24"/>
          <w:lang w:val="en-US" w:eastAsia="en-GB"/>
        </w:rPr>
        <w:t>(3),</w:t>
      </w:r>
      <w:r w:rsidRPr="00F4226B">
        <w:rPr>
          <w:rFonts w:ascii="Times New Roman" w:hAnsi="Times New Roman"/>
          <w:sz w:val="24"/>
          <w:szCs w:val="24"/>
          <w:lang w:val="en-US" w:eastAsia="en-GB"/>
        </w:rPr>
        <w:t xml:space="preserve"> 289–316.</w:t>
      </w:r>
    </w:p>
    <w:p w14:paraId="02027933" w14:textId="71267267" w:rsidR="002909E8" w:rsidRPr="00F4226B" w:rsidRDefault="002909E8"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Thies, C.</w:t>
      </w:r>
      <w:r w:rsidR="00A84EB3" w:rsidRPr="00F4226B">
        <w:rPr>
          <w:rFonts w:ascii="Times New Roman" w:hAnsi="Times New Roman"/>
          <w:sz w:val="24"/>
          <w:szCs w:val="24"/>
          <w:lang w:val="en-US"/>
        </w:rPr>
        <w:t xml:space="preserve"> </w:t>
      </w:r>
      <w:r w:rsidRPr="00F4226B">
        <w:rPr>
          <w:rFonts w:ascii="Times New Roman" w:hAnsi="Times New Roman"/>
          <w:sz w:val="24"/>
          <w:szCs w:val="24"/>
          <w:lang w:val="en-US"/>
        </w:rPr>
        <w:t>F.</w:t>
      </w:r>
      <w:r w:rsidR="00774633" w:rsidRPr="00F4226B">
        <w:rPr>
          <w:rFonts w:ascii="Times New Roman" w:hAnsi="Times New Roman"/>
          <w:sz w:val="24"/>
          <w:szCs w:val="24"/>
          <w:lang w:val="en-US"/>
        </w:rPr>
        <w:t>, &amp;</w:t>
      </w:r>
      <w:r w:rsidRPr="00F4226B">
        <w:rPr>
          <w:rFonts w:ascii="Times New Roman" w:hAnsi="Times New Roman"/>
          <w:sz w:val="24"/>
          <w:szCs w:val="24"/>
          <w:lang w:val="en-US"/>
        </w:rPr>
        <w:t xml:space="preserve"> Sturrock, T. (1987). What did inflation accounting tell us? </w:t>
      </w:r>
      <w:r w:rsidRPr="00F4226B">
        <w:rPr>
          <w:rFonts w:ascii="Times New Roman" w:hAnsi="Times New Roman"/>
          <w:i/>
          <w:sz w:val="24"/>
          <w:szCs w:val="24"/>
          <w:lang w:val="en-US"/>
        </w:rPr>
        <w:t>Journal of Accounting, Auditing and Finance</w:t>
      </w:r>
      <w:r w:rsidRPr="00804A08">
        <w:rPr>
          <w:rFonts w:ascii="Times New Roman" w:hAnsi="Times New Roman"/>
          <w:sz w:val="24"/>
          <w:szCs w:val="24"/>
          <w:lang w:val="en-US"/>
        </w:rPr>
        <w:t>,</w:t>
      </w:r>
      <w:r w:rsidRPr="00F4226B">
        <w:rPr>
          <w:rFonts w:ascii="Times New Roman" w:hAnsi="Times New Roman"/>
          <w:i/>
          <w:sz w:val="24"/>
          <w:szCs w:val="24"/>
          <w:lang w:val="en-US"/>
        </w:rPr>
        <w:t xml:space="preserve"> </w:t>
      </w:r>
      <w:r w:rsidRPr="00F4226B">
        <w:rPr>
          <w:rFonts w:ascii="Times New Roman" w:hAnsi="Times New Roman"/>
          <w:sz w:val="24"/>
          <w:szCs w:val="24"/>
          <w:lang w:val="en-US"/>
        </w:rPr>
        <w:t>2(4)</w:t>
      </w:r>
      <w:r w:rsidR="00774633" w:rsidRPr="00F4226B">
        <w:rPr>
          <w:rFonts w:ascii="Times New Roman" w:hAnsi="Times New Roman"/>
          <w:sz w:val="24"/>
          <w:szCs w:val="24"/>
          <w:lang w:val="en-US"/>
        </w:rPr>
        <w:t>,</w:t>
      </w:r>
      <w:r w:rsidRPr="00F4226B">
        <w:rPr>
          <w:rFonts w:ascii="Times New Roman" w:hAnsi="Times New Roman"/>
          <w:sz w:val="24"/>
          <w:szCs w:val="24"/>
          <w:lang w:val="en-US"/>
        </w:rPr>
        <w:t xml:space="preserve"> 375</w:t>
      </w:r>
      <w:r w:rsidR="00985DDF">
        <w:rPr>
          <w:rFonts w:ascii="Times New Roman" w:hAnsi="Times New Roman"/>
          <w:sz w:val="24"/>
          <w:szCs w:val="24"/>
          <w:lang w:val="en-US"/>
        </w:rPr>
        <w:t>–</w:t>
      </w:r>
      <w:r w:rsidRPr="00F4226B">
        <w:rPr>
          <w:rFonts w:ascii="Times New Roman" w:hAnsi="Times New Roman"/>
          <w:sz w:val="24"/>
          <w:szCs w:val="24"/>
          <w:lang w:val="en-US"/>
        </w:rPr>
        <w:t>391</w:t>
      </w:r>
      <w:r w:rsidR="00040E67" w:rsidRPr="00F4226B">
        <w:rPr>
          <w:rFonts w:ascii="Times New Roman" w:hAnsi="Times New Roman"/>
          <w:sz w:val="24"/>
          <w:szCs w:val="24"/>
          <w:lang w:val="en-US"/>
        </w:rPr>
        <w:t>.</w:t>
      </w:r>
    </w:p>
    <w:p w14:paraId="33F03F24" w14:textId="6AFFC995" w:rsidR="00311003" w:rsidRPr="00F4226B" w:rsidRDefault="00311003"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Vuong, Q.</w:t>
      </w:r>
      <w:r w:rsidR="00A84EB3" w:rsidRPr="00F4226B">
        <w:rPr>
          <w:rFonts w:ascii="Times New Roman" w:hAnsi="Times New Roman"/>
          <w:sz w:val="24"/>
          <w:szCs w:val="24"/>
          <w:lang w:val="en-US"/>
        </w:rPr>
        <w:t xml:space="preserve"> </w:t>
      </w:r>
      <w:r w:rsidRPr="00F4226B">
        <w:rPr>
          <w:rFonts w:ascii="Times New Roman" w:hAnsi="Times New Roman"/>
          <w:sz w:val="24"/>
          <w:szCs w:val="24"/>
          <w:lang w:val="en-US"/>
        </w:rPr>
        <w:t xml:space="preserve">H. (1989). Likelihood ratio tests for model selection and non-nested hypotheses. </w:t>
      </w:r>
      <w:r w:rsidRPr="00F4226B">
        <w:rPr>
          <w:rFonts w:ascii="Times New Roman" w:hAnsi="Times New Roman"/>
          <w:i/>
          <w:sz w:val="24"/>
          <w:szCs w:val="24"/>
          <w:lang w:val="en-US"/>
        </w:rPr>
        <w:t>Econometrica</w:t>
      </w:r>
      <w:r w:rsidRPr="00F4226B">
        <w:rPr>
          <w:rFonts w:ascii="Times New Roman" w:hAnsi="Times New Roman"/>
          <w:sz w:val="24"/>
          <w:szCs w:val="24"/>
          <w:lang w:val="en-US"/>
        </w:rPr>
        <w:t>, 57</w:t>
      </w:r>
      <w:r w:rsidR="00774633" w:rsidRPr="00F4226B">
        <w:rPr>
          <w:rFonts w:ascii="Times New Roman" w:hAnsi="Times New Roman"/>
          <w:sz w:val="24"/>
          <w:szCs w:val="24"/>
          <w:lang w:val="en-US"/>
        </w:rPr>
        <w:t>(2),</w:t>
      </w:r>
      <w:r w:rsidRPr="00F4226B">
        <w:rPr>
          <w:rFonts w:ascii="Times New Roman" w:hAnsi="Times New Roman"/>
          <w:sz w:val="24"/>
          <w:szCs w:val="24"/>
          <w:lang w:val="en-US"/>
        </w:rPr>
        <w:t xml:space="preserve"> 307</w:t>
      </w:r>
      <w:r w:rsidR="00985DDF">
        <w:rPr>
          <w:rFonts w:ascii="Times New Roman" w:hAnsi="Times New Roman"/>
          <w:sz w:val="24"/>
          <w:szCs w:val="24"/>
          <w:lang w:val="en-US"/>
        </w:rPr>
        <w:t>–</w:t>
      </w:r>
      <w:r w:rsidRPr="00F4226B">
        <w:rPr>
          <w:rFonts w:ascii="Times New Roman" w:hAnsi="Times New Roman"/>
          <w:sz w:val="24"/>
          <w:szCs w:val="24"/>
          <w:lang w:val="en-US"/>
        </w:rPr>
        <w:t>333.</w:t>
      </w:r>
    </w:p>
    <w:p w14:paraId="22B328F7" w14:textId="71E5562E" w:rsidR="00AF49D1" w:rsidRPr="00F4226B" w:rsidRDefault="002B084D" w:rsidP="004A4D70">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t>Watts, R.</w:t>
      </w:r>
      <w:r w:rsidR="00A84EB3" w:rsidRPr="00F4226B">
        <w:rPr>
          <w:rFonts w:ascii="Times New Roman" w:hAnsi="Times New Roman"/>
          <w:sz w:val="24"/>
          <w:szCs w:val="24"/>
          <w:lang w:val="en-US"/>
        </w:rPr>
        <w:t xml:space="preserve"> </w:t>
      </w:r>
      <w:r w:rsidRPr="00F4226B">
        <w:rPr>
          <w:rFonts w:ascii="Times New Roman" w:hAnsi="Times New Roman"/>
          <w:sz w:val="24"/>
          <w:szCs w:val="24"/>
          <w:lang w:val="en-US"/>
        </w:rPr>
        <w:t>L.</w:t>
      </w:r>
      <w:r w:rsidR="00774633" w:rsidRPr="00F4226B">
        <w:rPr>
          <w:rFonts w:ascii="Times New Roman" w:hAnsi="Times New Roman"/>
          <w:sz w:val="24"/>
          <w:szCs w:val="24"/>
          <w:lang w:val="en-US"/>
        </w:rPr>
        <w:t>, &amp;</w:t>
      </w:r>
      <w:r w:rsidRPr="00F4226B">
        <w:rPr>
          <w:rFonts w:ascii="Times New Roman" w:hAnsi="Times New Roman"/>
          <w:sz w:val="24"/>
          <w:szCs w:val="24"/>
          <w:lang w:val="en-US"/>
        </w:rPr>
        <w:t xml:space="preserve"> Zimmerman, </w:t>
      </w:r>
      <w:r w:rsidR="0057747D" w:rsidRPr="00F4226B">
        <w:rPr>
          <w:rFonts w:ascii="Times New Roman" w:hAnsi="Times New Roman"/>
          <w:sz w:val="24"/>
          <w:szCs w:val="24"/>
          <w:lang w:val="en-US"/>
        </w:rPr>
        <w:t>J.</w:t>
      </w:r>
      <w:r w:rsidR="00A84EB3" w:rsidRPr="00F4226B">
        <w:rPr>
          <w:rFonts w:ascii="Times New Roman" w:hAnsi="Times New Roman"/>
          <w:sz w:val="24"/>
          <w:szCs w:val="24"/>
          <w:lang w:val="en-US"/>
        </w:rPr>
        <w:t xml:space="preserve"> </w:t>
      </w:r>
      <w:r w:rsidR="0057747D" w:rsidRPr="00F4226B">
        <w:rPr>
          <w:rFonts w:ascii="Times New Roman" w:hAnsi="Times New Roman"/>
          <w:sz w:val="24"/>
          <w:szCs w:val="24"/>
          <w:lang w:val="en-US"/>
        </w:rPr>
        <w:t xml:space="preserve">L. (1980). On the irrelevance of replacement cost disclosures for security prices. </w:t>
      </w:r>
      <w:r w:rsidR="0057747D" w:rsidRPr="00F4226B">
        <w:rPr>
          <w:rFonts w:ascii="Times New Roman" w:hAnsi="Times New Roman"/>
          <w:i/>
          <w:sz w:val="24"/>
          <w:szCs w:val="24"/>
          <w:lang w:val="en-US"/>
        </w:rPr>
        <w:t>Journal of Accounting and Economics</w:t>
      </w:r>
      <w:r w:rsidR="0057747D" w:rsidRPr="00804A08">
        <w:rPr>
          <w:rFonts w:ascii="Times New Roman" w:hAnsi="Times New Roman"/>
          <w:sz w:val="24"/>
          <w:szCs w:val="24"/>
          <w:lang w:val="en-US"/>
        </w:rPr>
        <w:t>,</w:t>
      </w:r>
      <w:r w:rsidR="0057747D" w:rsidRPr="00F4226B">
        <w:rPr>
          <w:rFonts w:ascii="Times New Roman" w:hAnsi="Times New Roman"/>
          <w:sz w:val="24"/>
          <w:szCs w:val="24"/>
          <w:lang w:val="en-US"/>
        </w:rPr>
        <w:t xml:space="preserve"> 2(2)</w:t>
      </w:r>
      <w:r w:rsidR="00774633" w:rsidRPr="00F4226B">
        <w:rPr>
          <w:rFonts w:ascii="Times New Roman" w:hAnsi="Times New Roman"/>
          <w:sz w:val="24"/>
          <w:szCs w:val="24"/>
          <w:lang w:val="en-US"/>
        </w:rPr>
        <w:t>,</w:t>
      </w:r>
      <w:r w:rsidR="0057747D" w:rsidRPr="00F4226B">
        <w:rPr>
          <w:rFonts w:ascii="Times New Roman" w:hAnsi="Times New Roman"/>
          <w:sz w:val="24"/>
          <w:szCs w:val="24"/>
          <w:lang w:val="en-US"/>
        </w:rPr>
        <w:t xml:space="preserve"> 95</w:t>
      </w:r>
      <w:r w:rsidR="00985DDF">
        <w:rPr>
          <w:rFonts w:ascii="Times New Roman" w:hAnsi="Times New Roman"/>
          <w:sz w:val="24"/>
          <w:szCs w:val="24"/>
          <w:lang w:val="en-US"/>
        </w:rPr>
        <w:t>–</w:t>
      </w:r>
      <w:r w:rsidR="0057747D" w:rsidRPr="00F4226B">
        <w:rPr>
          <w:rFonts w:ascii="Times New Roman" w:hAnsi="Times New Roman"/>
          <w:sz w:val="24"/>
          <w:szCs w:val="24"/>
          <w:lang w:val="en-US"/>
        </w:rPr>
        <w:t>106.</w:t>
      </w:r>
    </w:p>
    <w:p w14:paraId="4E3750E4" w14:textId="06282910" w:rsidR="006224DF" w:rsidRPr="00F4226B" w:rsidRDefault="006C14EC" w:rsidP="007877D6">
      <w:pPr>
        <w:spacing w:after="0"/>
        <w:ind w:left="284" w:hanging="284"/>
        <w:jc w:val="both"/>
        <w:rPr>
          <w:rFonts w:ascii="Times New Roman" w:hAnsi="Times New Roman"/>
          <w:sz w:val="24"/>
          <w:szCs w:val="24"/>
          <w:lang w:val="en-US"/>
        </w:rPr>
      </w:pPr>
      <w:r w:rsidRPr="00F4226B">
        <w:rPr>
          <w:rFonts w:ascii="Times New Roman" w:hAnsi="Times New Roman"/>
          <w:sz w:val="24"/>
          <w:szCs w:val="24"/>
          <w:lang w:val="en-US"/>
        </w:rPr>
        <w:lastRenderedPageBreak/>
        <w:t>World Bank (2003). Report on the observance of standards and codes (ROSC): Corporate governance-Zimbabwe.</w:t>
      </w:r>
      <w:r w:rsidR="006224DF" w:rsidRPr="00F4226B">
        <w:rPr>
          <w:rFonts w:ascii="Times New Roman" w:hAnsi="Times New Roman"/>
          <w:sz w:val="24"/>
          <w:szCs w:val="24"/>
          <w:lang w:val="en-US"/>
        </w:rPr>
        <w:t xml:space="preserve"> </w:t>
      </w:r>
      <w:r w:rsidR="00A84EB3" w:rsidRPr="00F4226B">
        <w:rPr>
          <w:rFonts w:ascii="Times New Roman" w:hAnsi="Times New Roman"/>
          <w:sz w:val="24"/>
          <w:szCs w:val="24"/>
          <w:lang w:val="en-US"/>
        </w:rPr>
        <w:t>http://</w:t>
      </w:r>
      <w:hyperlink r:id="rId14" w:history="1">
        <w:r w:rsidR="00D92415" w:rsidRPr="00F4226B">
          <w:rPr>
            <w:rStyle w:val="Hyperlink"/>
            <w:rFonts w:ascii="Times New Roman" w:hAnsi="Times New Roman"/>
            <w:sz w:val="24"/>
            <w:szCs w:val="24"/>
            <w:lang w:val="en-US"/>
          </w:rPr>
          <w:t>www.worldbank.org/ifa/rocs_cg_zimbabwe.html</w:t>
        </w:r>
      </w:hyperlink>
      <w:r w:rsidR="001936F8" w:rsidRPr="00F4226B">
        <w:rPr>
          <w:rFonts w:ascii="Times New Roman" w:hAnsi="Times New Roman"/>
          <w:sz w:val="24"/>
          <w:szCs w:val="24"/>
          <w:lang w:val="en-US"/>
        </w:rPr>
        <w:t xml:space="preserve">. Accessed June </w:t>
      </w:r>
      <w:r w:rsidR="00804A08">
        <w:rPr>
          <w:rFonts w:ascii="Times New Roman" w:hAnsi="Times New Roman"/>
          <w:sz w:val="24"/>
          <w:szCs w:val="24"/>
          <w:lang w:val="en-US"/>
        </w:rPr>
        <w:t xml:space="preserve">9, </w:t>
      </w:r>
      <w:r w:rsidR="001936F8" w:rsidRPr="00F4226B">
        <w:rPr>
          <w:rFonts w:ascii="Times New Roman" w:hAnsi="Times New Roman"/>
          <w:sz w:val="24"/>
          <w:szCs w:val="24"/>
          <w:lang w:val="en-US"/>
        </w:rPr>
        <w:t>2008.</w:t>
      </w:r>
    </w:p>
    <w:p w14:paraId="3B270768" w14:textId="3E458382" w:rsidR="00C52C97" w:rsidRPr="00F4226B" w:rsidRDefault="00C52C97" w:rsidP="007877D6">
      <w:pPr>
        <w:pStyle w:val="MediumGrid21"/>
        <w:ind w:left="284" w:hanging="284"/>
        <w:jc w:val="both"/>
        <w:rPr>
          <w:rFonts w:ascii="Times New Roman" w:hAnsi="Times New Roman"/>
          <w:sz w:val="24"/>
          <w:szCs w:val="24"/>
          <w:lang w:val="en-US"/>
        </w:rPr>
      </w:pPr>
      <w:r w:rsidRPr="00F4226B">
        <w:rPr>
          <w:rFonts w:ascii="Times New Roman" w:hAnsi="Times New Roman"/>
          <w:sz w:val="24"/>
          <w:szCs w:val="24"/>
          <w:lang w:val="en-US"/>
        </w:rPr>
        <w:t>World Bank (2016). Zimbabwe</w:t>
      </w:r>
      <w:r w:rsidR="005C6746" w:rsidRPr="00F4226B">
        <w:rPr>
          <w:rFonts w:ascii="Times New Roman" w:hAnsi="Times New Roman"/>
          <w:sz w:val="24"/>
          <w:szCs w:val="24"/>
          <w:lang w:val="en-US"/>
        </w:rPr>
        <w:t>.</w:t>
      </w:r>
      <w:r w:rsidRPr="00F4226B">
        <w:rPr>
          <w:rFonts w:ascii="Times New Roman" w:hAnsi="Times New Roman"/>
          <w:sz w:val="24"/>
          <w:szCs w:val="24"/>
          <w:lang w:val="en-US"/>
        </w:rPr>
        <w:t xml:space="preserve"> </w:t>
      </w:r>
      <w:hyperlink r:id="rId15" w:history="1">
        <w:r w:rsidRPr="00F4226B">
          <w:rPr>
            <w:rStyle w:val="Hyperlink"/>
            <w:rFonts w:ascii="Times New Roman" w:hAnsi="Times New Roman"/>
            <w:color w:val="auto"/>
            <w:sz w:val="24"/>
            <w:szCs w:val="24"/>
            <w:lang w:val="en-US"/>
          </w:rPr>
          <w:t>http://data.worldbank.org/country/zimbabwe</w:t>
        </w:r>
      </w:hyperlink>
      <w:r w:rsidRPr="00F4226B">
        <w:rPr>
          <w:rFonts w:ascii="Times New Roman" w:hAnsi="Times New Roman"/>
          <w:sz w:val="24"/>
          <w:szCs w:val="24"/>
          <w:lang w:val="en-US"/>
        </w:rPr>
        <w:t xml:space="preserve"> Accessed March</w:t>
      </w:r>
      <w:r w:rsidR="00804A08">
        <w:rPr>
          <w:rFonts w:ascii="Times New Roman" w:hAnsi="Times New Roman"/>
          <w:sz w:val="24"/>
          <w:szCs w:val="24"/>
          <w:lang w:val="en-US"/>
        </w:rPr>
        <w:t xml:space="preserve"> 10,</w:t>
      </w:r>
      <w:r w:rsidRPr="00F4226B">
        <w:rPr>
          <w:rFonts w:ascii="Times New Roman" w:hAnsi="Times New Roman"/>
          <w:sz w:val="24"/>
          <w:szCs w:val="24"/>
          <w:lang w:val="en-US"/>
        </w:rPr>
        <w:t xml:space="preserve"> 2017.</w:t>
      </w:r>
    </w:p>
    <w:p w14:paraId="6353ECAF" w14:textId="77777777" w:rsidR="00025891" w:rsidRPr="00F4226B" w:rsidRDefault="00025891" w:rsidP="007877D6">
      <w:pPr>
        <w:pStyle w:val="MediumGrid21"/>
        <w:spacing w:line="276" w:lineRule="auto"/>
        <w:jc w:val="both"/>
        <w:rPr>
          <w:rFonts w:ascii="Times New Roman" w:hAnsi="Times New Roman"/>
          <w:sz w:val="24"/>
          <w:szCs w:val="24"/>
          <w:lang w:val="en-US"/>
        </w:rPr>
      </w:pPr>
      <w:r w:rsidRPr="00F4226B">
        <w:rPr>
          <w:rFonts w:ascii="Times New Roman" w:hAnsi="Times New Roman"/>
          <w:sz w:val="24"/>
          <w:szCs w:val="24"/>
          <w:lang w:val="en-US"/>
        </w:rPr>
        <w:t>Zimbabwe Stock Exchange (2000-2005)</w:t>
      </w:r>
      <w:r w:rsidR="003D0DDE" w:rsidRPr="00F4226B">
        <w:rPr>
          <w:rFonts w:ascii="Times New Roman" w:hAnsi="Times New Roman"/>
          <w:sz w:val="24"/>
          <w:szCs w:val="24"/>
          <w:lang w:val="en-US"/>
        </w:rPr>
        <w:t>. Zimbabwe Stock Exchange</w:t>
      </w:r>
      <w:r w:rsidR="001936F8" w:rsidRPr="00F4226B">
        <w:rPr>
          <w:rFonts w:ascii="Times New Roman" w:hAnsi="Times New Roman"/>
          <w:sz w:val="24"/>
          <w:szCs w:val="24"/>
          <w:lang w:val="en-US"/>
        </w:rPr>
        <w:t xml:space="preserve"> Handbooks</w:t>
      </w:r>
      <w:r w:rsidR="003D0DDE" w:rsidRPr="00F4226B">
        <w:rPr>
          <w:rFonts w:ascii="Times New Roman" w:hAnsi="Times New Roman"/>
          <w:sz w:val="24"/>
          <w:szCs w:val="24"/>
          <w:lang w:val="en-US"/>
        </w:rPr>
        <w:t>, Harare.</w:t>
      </w:r>
    </w:p>
    <w:p w14:paraId="25ABCF7D" w14:textId="77777777" w:rsidR="00F4321A" w:rsidRPr="00F4226B" w:rsidRDefault="00F4321A" w:rsidP="007877D6">
      <w:pPr>
        <w:pStyle w:val="MediumGrid21"/>
        <w:spacing w:line="276" w:lineRule="auto"/>
        <w:jc w:val="both"/>
        <w:rPr>
          <w:rFonts w:ascii="Times New Roman" w:hAnsi="Times New Roman"/>
          <w:sz w:val="24"/>
          <w:szCs w:val="24"/>
          <w:lang w:val="en-US"/>
        </w:rPr>
      </w:pPr>
      <w:r w:rsidRPr="00F4226B">
        <w:rPr>
          <w:rFonts w:ascii="Times New Roman" w:hAnsi="Times New Roman"/>
          <w:sz w:val="24"/>
          <w:szCs w:val="24"/>
          <w:lang w:val="en-US"/>
        </w:rPr>
        <w:t>Z</w:t>
      </w:r>
      <w:r w:rsidR="00716C57" w:rsidRPr="00F4226B">
        <w:rPr>
          <w:rFonts w:ascii="Times New Roman" w:hAnsi="Times New Roman"/>
          <w:sz w:val="24"/>
          <w:szCs w:val="24"/>
          <w:lang w:val="en-US"/>
        </w:rPr>
        <w:t xml:space="preserve">imbabwe </w:t>
      </w:r>
      <w:r w:rsidRPr="00F4226B">
        <w:rPr>
          <w:rFonts w:ascii="Times New Roman" w:hAnsi="Times New Roman"/>
          <w:sz w:val="24"/>
          <w:szCs w:val="24"/>
          <w:lang w:val="en-US"/>
        </w:rPr>
        <w:t>S</w:t>
      </w:r>
      <w:r w:rsidR="00716C57" w:rsidRPr="00F4226B">
        <w:rPr>
          <w:rFonts w:ascii="Times New Roman" w:hAnsi="Times New Roman"/>
          <w:sz w:val="24"/>
          <w:szCs w:val="24"/>
          <w:lang w:val="en-US"/>
        </w:rPr>
        <w:t xml:space="preserve">tock </w:t>
      </w:r>
      <w:r w:rsidRPr="00F4226B">
        <w:rPr>
          <w:rFonts w:ascii="Times New Roman" w:hAnsi="Times New Roman"/>
          <w:sz w:val="24"/>
          <w:szCs w:val="24"/>
          <w:lang w:val="en-US"/>
        </w:rPr>
        <w:t>E</w:t>
      </w:r>
      <w:r w:rsidR="00716C57" w:rsidRPr="00F4226B">
        <w:rPr>
          <w:rFonts w:ascii="Times New Roman" w:hAnsi="Times New Roman"/>
          <w:sz w:val="24"/>
          <w:szCs w:val="24"/>
          <w:lang w:val="en-US"/>
        </w:rPr>
        <w:t>xchange</w:t>
      </w:r>
      <w:r w:rsidRPr="00F4226B">
        <w:rPr>
          <w:rFonts w:ascii="Times New Roman" w:hAnsi="Times New Roman"/>
          <w:sz w:val="24"/>
          <w:szCs w:val="24"/>
          <w:lang w:val="en-US"/>
        </w:rPr>
        <w:t xml:space="preserve"> Listing Rules (2002). Zimbabwe Stock Exchange, Harare. </w:t>
      </w:r>
    </w:p>
    <w:p w14:paraId="4B43C70D" w14:textId="77777777" w:rsidR="006C14EC" w:rsidRPr="00F4226B" w:rsidRDefault="006C14EC" w:rsidP="003E625D">
      <w:pPr>
        <w:spacing w:after="0"/>
        <w:ind w:left="284" w:hanging="284"/>
        <w:jc w:val="both"/>
        <w:rPr>
          <w:rFonts w:ascii="Times New Roman" w:hAnsi="Times New Roman"/>
          <w:sz w:val="24"/>
          <w:szCs w:val="24"/>
          <w:lang w:val="en-US"/>
        </w:rPr>
      </w:pPr>
    </w:p>
    <w:p w14:paraId="023812FF" w14:textId="77777777" w:rsidR="009A78E8" w:rsidRPr="00F4226B" w:rsidRDefault="009A78E8" w:rsidP="003E625D">
      <w:pPr>
        <w:spacing w:after="0"/>
        <w:ind w:left="284" w:hanging="284"/>
        <w:jc w:val="both"/>
        <w:rPr>
          <w:rFonts w:ascii="Times New Roman" w:hAnsi="Times New Roman"/>
          <w:sz w:val="24"/>
          <w:szCs w:val="24"/>
          <w:lang w:val="en-US"/>
        </w:rPr>
      </w:pPr>
    </w:p>
    <w:p w14:paraId="3C3D68E0" w14:textId="77777777" w:rsidR="009A78E8" w:rsidRPr="00F4226B" w:rsidRDefault="009A78E8" w:rsidP="003E625D">
      <w:pPr>
        <w:spacing w:after="0"/>
        <w:ind w:left="284" w:hanging="284"/>
        <w:jc w:val="both"/>
        <w:rPr>
          <w:rFonts w:ascii="Times New Roman" w:hAnsi="Times New Roman"/>
          <w:sz w:val="24"/>
          <w:szCs w:val="24"/>
          <w:lang w:val="en-US"/>
        </w:rPr>
      </w:pPr>
    </w:p>
    <w:p w14:paraId="1AED219C" w14:textId="77777777" w:rsidR="009A78E8" w:rsidRPr="00F4226B" w:rsidRDefault="009A78E8" w:rsidP="003E625D">
      <w:pPr>
        <w:spacing w:after="0"/>
        <w:ind w:left="284" w:hanging="284"/>
        <w:jc w:val="both"/>
        <w:rPr>
          <w:rFonts w:ascii="Times New Roman" w:hAnsi="Times New Roman"/>
          <w:sz w:val="24"/>
          <w:szCs w:val="24"/>
          <w:lang w:val="en-US"/>
        </w:rPr>
      </w:pPr>
    </w:p>
    <w:p w14:paraId="162F2C0D" w14:textId="77777777" w:rsidR="009A78E8" w:rsidRPr="00F4226B" w:rsidRDefault="009A78E8" w:rsidP="003E625D">
      <w:pPr>
        <w:spacing w:after="0"/>
        <w:ind w:left="284" w:hanging="284"/>
        <w:jc w:val="both"/>
        <w:rPr>
          <w:rFonts w:ascii="Times New Roman" w:hAnsi="Times New Roman"/>
          <w:sz w:val="24"/>
          <w:szCs w:val="24"/>
          <w:lang w:val="en-US"/>
        </w:rPr>
      </w:pPr>
    </w:p>
    <w:p w14:paraId="2AB9A20D" w14:textId="77777777" w:rsidR="009A78E8" w:rsidRPr="00F4226B" w:rsidRDefault="009A78E8" w:rsidP="003E625D">
      <w:pPr>
        <w:spacing w:after="0"/>
        <w:ind w:left="284" w:hanging="284"/>
        <w:jc w:val="both"/>
        <w:rPr>
          <w:rFonts w:ascii="Times New Roman" w:hAnsi="Times New Roman"/>
          <w:sz w:val="24"/>
          <w:szCs w:val="24"/>
          <w:lang w:val="en-US"/>
        </w:rPr>
      </w:pPr>
    </w:p>
    <w:p w14:paraId="2E8A9076" w14:textId="77777777" w:rsidR="00CB28FE" w:rsidRPr="00F4226B" w:rsidRDefault="00860322" w:rsidP="003820D1">
      <w:pPr>
        <w:spacing w:after="0" w:line="240" w:lineRule="auto"/>
        <w:ind w:left="284" w:hanging="284"/>
        <w:jc w:val="center"/>
        <w:outlineLvl w:val="0"/>
        <w:rPr>
          <w:rFonts w:ascii="Times New Roman" w:hAnsi="Times New Roman"/>
          <w:b/>
          <w:sz w:val="24"/>
          <w:szCs w:val="24"/>
          <w:lang w:val="en-US"/>
        </w:rPr>
      </w:pPr>
      <w:r w:rsidRPr="00F4226B">
        <w:rPr>
          <w:rFonts w:ascii="Times New Roman" w:hAnsi="Times New Roman"/>
          <w:sz w:val="24"/>
          <w:szCs w:val="24"/>
          <w:lang w:val="en-US"/>
        </w:rPr>
        <w:br w:type="page"/>
      </w:r>
      <w:r w:rsidR="00CB28FE" w:rsidRPr="00F4226B">
        <w:rPr>
          <w:rFonts w:ascii="Times New Roman" w:hAnsi="Times New Roman"/>
          <w:b/>
          <w:sz w:val="24"/>
          <w:szCs w:val="24"/>
          <w:lang w:val="en-US"/>
        </w:rPr>
        <w:lastRenderedPageBreak/>
        <w:t xml:space="preserve">Table </w:t>
      </w:r>
      <w:r w:rsidR="00C738D3" w:rsidRPr="00F4226B">
        <w:rPr>
          <w:rFonts w:ascii="Times New Roman" w:hAnsi="Times New Roman"/>
          <w:b/>
          <w:sz w:val="24"/>
          <w:szCs w:val="24"/>
          <w:lang w:val="en-US"/>
        </w:rPr>
        <w:t>1</w:t>
      </w:r>
      <w:r w:rsidR="00CB28FE" w:rsidRPr="00F4226B">
        <w:rPr>
          <w:rFonts w:ascii="Times New Roman" w:hAnsi="Times New Roman"/>
          <w:b/>
          <w:sz w:val="24"/>
          <w:szCs w:val="24"/>
          <w:lang w:val="en-US"/>
        </w:rPr>
        <w:t xml:space="preserve">: Zimbabwe </w:t>
      </w:r>
      <w:r w:rsidR="00D92415" w:rsidRPr="00F4226B">
        <w:rPr>
          <w:rFonts w:ascii="Times New Roman" w:hAnsi="Times New Roman"/>
          <w:b/>
          <w:sz w:val="24"/>
          <w:szCs w:val="24"/>
          <w:lang w:val="en-US"/>
        </w:rPr>
        <w:t>e</w:t>
      </w:r>
      <w:r w:rsidR="00C738D3" w:rsidRPr="00F4226B">
        <w:rPr>
          <w:rFonts w:ascii="Times New Roman" w:hAnsi="Times New Roman"/>
          <w:b/>
          <w:sz w:val="24"/>
          <w:szCs w:val="24"/>
          <w:lang w:val="en-US"/>
        </w:rPr>
        <w:t xml:space="preserve">conomic </w:t>
      </w:r>
      <w:r w:rsidR="00D92415" w:rsidRPr="00F4226B">
        <w:rPr>
          <w:rFonts w:ascii="Times New Roman" w:hAnsi="Times New Roman"/>
          <w:b/>
          <w:sz w:val="24"/>
          <w:szCs w:val="24"/>
          <w:lang w:val="en-US"/>
        </w:rPr>
        <w:t>d</w:t>
      </w:r>
      <w:r w:rsidR="00C738D3" w:rsidRPr="00F4226B">
        <w:rPr>
          <w:rFonts w:ascii="Times New Roman" w:hAnsi="Times New Roman"/>
          <w:b/>
          <w:sz w:val="24"/>
          <w:szCs w:val="24"/>
          <w:lang w:val="en-US"/>
        </w:rPr>
        <w:t>ata: 2000-2005</w:t>
      </w:r>
    </w:p>
    <w:p w14:paraId="14D4BA23" w14:textId="77777777" w:rsidR="00CB28FE" w:rsidRPr="00F4226B" w:rsidRDefault="00CB28FE" w:rsidP="00CB28FE">
      <w:pPr>
        <w:spacing w:after="0" w:line="240" w:lineRule="auto"/>
        <w:ind w:left="284" w:hanging="284"/>
        <w:jc w:val="center"/>
        <w:rPr>
          <w:rFonts w:ascii="Times New Roman" w:hAnsi="Times New Roman"/>
          <w:b/>
          <w:sz w:val="16"/>
          <w:szCs w:val="16"/>
          <w:lang w:val="en-US"/>
        </w:rPr>
      </w:pPr>
    </w:p>
    <w:tbl>
      <w:tblPr>
        <w:tblW w:w="9180" w:type="dxa"/>
        <w:tblInd w:w="108"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831"/>
        <w:gridCol w:w="785"/>
        <w:gridCol w:w="900"/>
        <w:gridCol w:w="900"/>
        <w:gridCol w:w="895"/>
        <w:gridCol w:w="900"/>
      </w:tblGrid>
      <w:tr w:rsidR="00CB28FE" w:rsidRPr="00F4226B" w14:paraId="0C9E88BF" w14:textId="77777777" w:rsidTr="0076397A">
        <w:tc>
          <w:tcPr>
            <w:tcW w:w="3969" w:type="dxa"/>
            <w:tcBorders>
              <w:top w:val="single" w:sz="12" w:space="0" w:color="auto"/>
              <w:left w:val="nil"/>
              <w:bottom w:val="single" w:sz="4" w:space="0" w:color="auto"/>
              <w:right w:val="nil"/>
            </w:tcBorders>
            <w:shd w:val="clear" w:color="auto" w:fill="auto"/>
          </w:tcPr>
          <w:p w14:paraId="3FF59E31" w14:textId="77777777" w:rsidR="00CB28FE" w:rsidRPr="00F4226B" w:rsidRDefault="00CB28FE" w:rsidP="00A34415">
            <w:pPr>
              <w:spacing w:after="0" w:line="360" w:lineRule="auto"/>
              <w:rPr>
                <w:rFonts w:ascii="Times New Roman" w:hAnsi="Times New Roman"/>
                <w:sz w:val="20"/>
                <w:szCs w:val="20"/>
                <w:lang w:val="en-US"/>
              </w:rPr>
            </w:pPr>
            <w:r w:rsidRPr="00F4226B">
              <w:rPr>
                <w:rFonts w:ascii="Times New Roman" w:hAnsi="Times New Roman"/>
                <w:sz w:val="20"/>
                <w:szCs w:val="20"/>
                <w:lang w:val="en-US"/>
              </w:rPr>
              <w:br w:type="page"/>
            </w:r>
          </w:p>
        </w:tc>
        <w:tc>
          <w:tcPr>
            <w:tcW w:w="831" w:type="dxa"/>
            <w:tcBorders>
              <w:top w:val="single" w:sz="12" w:space="0" w:color="auto"/>
              <w:left w:val="nil"/>
              <w:bottom w:val="single" w:sz="4" w:space="0" w:color="auto"/>
              <w:right w:val="nil"/>
            </w:tcBorders>
            <w:shd w:val="clear" w:color="auto" w:fill="auto"/>
          </w:tcPr>
          <w:p w14:paraId="4CC29099" w14:textId="77777777" w:rsidR="00CB28FE" w:rsidRPr="00F4226B" w:rsidRDefault="00CB28FE" w:rsidP="00A34415">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2000</w:t>
            </w:r>
          </w:p>
        </w:tc>
        <w:tc>
          <w:tcPr>
            <w:tcW w:w="785" w:type="dxa"/>
            <w:tcBorders>
              <w:top w:val="single" w:sz="12" w:space="0" w:color="auto"/>
              <w:left w:val="nil"/>
              <w:bottom w:val="single" w:sz="4" w:space="0" w:color="auto"/>
              <w:right w:val="nil"/>
            </w:tcBorders>
            <w:shd w:val="clear" w:color="auto" w:fill="auto"/>
          </w:tcPr>
          <w:p w14:paraId="5F320C68" w14:textId="77777777" w:rsidR="00CB28FE" w:rsidRPr="00F4226B" w:rsidRDefault="00CB28FE" w:rsidP="00A34415">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2001</w:t>
            </w:r>
          </w:p>
        </w:tc>
        <w:tc>
          <w:tcPr>
            <w:tcW w:w="900" w:type="dxa"/>
            <w:tcBorders>
              <w:top w:val="single" w:sz="12" w:space="0" w:color="auto"/>
              <w:left w:val="nil"/>
              <w:bottom w:val="single" w:sz="4" w:space="0" w:color="auto"/>
              <w:right w:val="nil"/>
            </w:tcBorders>
            <w:shd w:val="clear" w:color="auto" w:fill="auto"/>
          </w:tcPr>
          <w:p w14:paraId="1E12CEEB" w14:textId="77777777" w:rsidR="00CB28FE" w:rsidRPr="00F4226B" w:rsidRDefault="00CB28FE" w:rsidP="00A34415">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2002</w:t>
            </w:r>
          </w:p>
        </w:tc>
        <w:tc>
          <w:tcPr>
            <w:tcW w:w="900" w:type="dxa"/>
            <w:tcBorders>
              <w:top w:val="single" w:sz="12" w:space="0" w:color="auto"/>
              <w:left w:val="nil"/>
              <w:bottom w:val="single" w:sz="4" w:space="0" w:color="auto"/>
              <w:right w:val="nil"/>
            </w:tcBorders>
            <w:shd w:val="clear" w:color="auto" w:fill="auto"/>
          </w:tcPr>
          <w:p w14:paraId="5298DEBE" w14:textId="77777777" w:rsidR="00CB28FE" w:rsidRPr="00F4226B" w:rsidRDefault="00CB28FE" w:rsidP="00A34415">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2003</w:t>
            </w:r>
          </w:p>
        </w:tc>
        <w:tc>
          <w:tcPr>
            <w:tcW w:w="895" w:type="dxa"/>
            <w:tcBorders>
              <w:top w:val="single" w:sz="12" w:space="0" w:color="auto"/>
              <w:left w:val="nil"/>
              <w:bottom w:val="single" w:sz="4" w:space="0" w:color="auto"/>
              <w:right w:val="nil"/>
            </w:tcBorders>
            <w:shd w:val="clear" w:color="auto" w:fill="auto"/>
          </w:tcPr>
          <w:p w14:paraId="4DA602E7" w14:textId="77777777" w:rsidR="00CB28FE" w:rsidRPr="00F4226B" w:rsidRDefault="00CB28FE" w:rsidP="00A34415">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2004</w:t>
            </w:r>
          </w:p>
        </w:tc>
        <w:tc>
          <w:tcPr>
            <w:tcW w:w="900" w:type="dxa"/>
            <w:tcBorders>
              <w:top w:val="single" w:sz="12" w:space="0" w:color="auto"/>
              <w:left w:val="nil"/>
              <w:bottom w:val="single" w:sz="4" w:space="0" w:color="auto"/>
              <w:right w:val="nil"/>
            </w:tcBorders>
          </w:tcPr>
          <w:p w14:paraId="74CA36A0" w14:textId="77777777" w:rsidR="00CB28FE" w:rsidRPr="00F4226B" w:rsidRDefault="00CB28FE" w:rsidP="00A34415">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2005</w:t>
            </w:r>
          </w:p>
        </w:tc>
      </w:tr>
      <w:tr w:rsidR="00CB28FE" w:rsidRPr="00F4226B" w14:paraId="3D5ED21E" w14:textId="77777777" w:rsidTr="0076397A">
        <w:tc>
          <w:tcPr>
            <w:tcW w:w="3969" w:type="dxa"/>
            <w:tcBorders>
              <w:top w:val="single" w:sz="4" w:space="0" w:color="auto"/>
              <w:left w:val="nil"/>
              <w:bottom w:val="nil"/>
              <w:right w:val="nil"/>
            </w:tcBorders>
            <w:shd w:val="clear" w:color="auto" w:fill="auto"/>
          </w:tcPr>
          <w:p w14:paraId="38F0BB2A" w14:textId="77777777" w:rsidR="00CB28FE" w:rsidRPr="00F4226B" w:rsidRDefault="00CB28FE" w:rsidP="00A34415">
            <w:pPr>
              <w:spacing w:after="0" w:line="360" w:lineRule="auto"/>
              <w:ind w:left="-108"/>
              <w:rPr>
                <w:rFonts w:ascii="Times New Roman" w:hAnsi="Times New Roman"/>
                <w:b/>
                <w:sz w:val="20"/>
                <w:szCs w:val="20"/>
                <w:lang w:val="en-US"/>
              </w:rPr>
            </w:pPr>
          </w:p>
        </w:tc>
        <w:tc>
          <w:tcPr>
            <w:tcW w:w="831" w:type="dxa"/>
            <w:tcBorders>
              <w:top w:val="single" w:sz="4" w:space="0" w:color="auto"/>
              <w:left w:val="nil"/>
              <w:bottom w:val="nil"/>
              <w:right w:val="nil"/>
            </w:tcBorders>
            <w:shd w:val="clear" w:color="auto" w:fill="auto"/>
          </w:tcPr>
          <w:p w14:paraId="06490172" w14:textId="77777777" w:rsidR="00CB28FE" w:rsidRPr="00F4226B" w:rsidRDefault="00CB28FE" w:rsidP="00A34415">
            <w:pPr>
              <w:spacing w:after="0" w:line="360" w:lineRule="auto"/>
              <w:jc w:val="center"/>
              <w:rPr>
                <w:rFonts w:ascii="Times New Roman" w:hAnsi="Times New Roman"/>
                <w:sz w:val="20"/>
                <w:szCs w:val="20"/>
                <w:lang w:val="en-US"/>
              </w:rPr>
            </w:pPr>
          </w:p>
        </w:tc>
        <w:tc>
          <w:tcPr>
            <w:tcW w:w="785" w:type="dxa"/>
            <w:tcBorders>
              <w:top w:val="single" w:sz="4" w:space="0" w:color="auto"/>
              <w:left w:val="nil"/>
              <w:bottom w:val="nil"/>
              <w:right w:val="nil"/>
            </w:tcBorders>
            <w:shd w:val="clear" w:color="auto" w:fill="auto"/>
          </w:tcPr>
          <w:p w14:paraId="39C914F5" w14:textId="77777777" w:rsidR="00CB28FE" w:rsidRPr="00F4226B" w:rsidRDefault="00CB28FE" w:rsidP="00A34415">
            <w:pPr>
              <w:spacing w:after="0" w:line="360" w:lineRule="auto"/>
              <w:jc w:val="center"/>
              <w:rPr>
                <w:rFonts w:ascii="Times New Roman" w:hAnsi="Times New Roman"/>
                <w:sz w:val="20"/>
                <w:szCs w:val="20"/>
                <w:lang w:val="en-US"/>
              </w:rPr>
            </w:pPr>
          </w:p>
        </w:tc>
        <w:tc>
          <w:tcPr>
            <w:tcW w:w="900" w:type="dxa"/>
            <w:tcBorders>
              <w:top w:val="single" w:sz="4" w:space="0" w:color="auto"/>
              <w:left w:val="nil"/>
              <w:bottom w:val="nil"/>
              <w:right w:val="nil"/>
            </w:tcBorders>
            <w:shd w:val="clear" w:color="auto" w:fill="auto"/>
          </w:tcPr>
          <w:p w14:paraId="7235CABA" w14:textId="77777777" w:rsidR="00CB28FE" w:rsidRPr="00F4226B" w:rsidRDefault="00CB28FE" w:rsidP="00A34415">
            <w:pPr>
              <w:spacing w:after="0" w:line="360" w:lineRule="auto"/>
              <w:jc w:val="center"/>
              <w:rPr>
                <w:rFonts w:ascii="Times New Roman" w:hAnsi="Times New Roman"/>
                <w:sz w:val="20"/>
                <w:szCs w:val="20"/>
                <w:lang w:val="en-US"/>
              </w:rPr>
            </w:pPr>
          </w:p>
        </w:tc>
        <w:tc>
          <w:tcPr>
            <w:tcW w:w="900" w:type="dxa"/>
            <w:tcBorders>
              <w:top w:val="single" w:sz="4" w:space="0" w:color="auto"/>
              <w:left w:val="nil"/>
              <w:bottom w:val="nil"/>
              <w:right w:val="nil"/>
            </w:tcBorders>
            <w:shd w:val="clear" w:color="auto" w:fill="auto"/>
          </w:tcPr>
          <w:p w14:paraId="14AF259A" w14:textId="77777777" w:rsidR="00CB28FE" w:rsidRPr="00F4226B" w:rsidRDefault="00CB28FE" w:rsidP="00A34415">
            <w:pPr>
              <w:spacing w:after="0" w:line="360" w:lineRule="auto"/>
              <w:jc w:val="center"/>
              <w:rPr>
                <w:rFonts w:ascii="Times New Roman" w:hAnsi="Times New Roman"/>
                <w:sz w:val="20"/>
                <w:szCs w:val="20"/>
                <w:lang w:val="en-US"/>
              </w:rPr>
            </w:pPr>
          </w:p>
        </w:tc>
        <w:tc>
          <w:tcPr>
            <w:tcW w:w="895" w:type="dxa"/>
            <w:tcBorders>
              <w:top w:val="single" w:sz="4" w:space="0" w:color="auto"/>
              <w:left w:val="nil"/>
              <w:bottom w:val="nil"/>
              <w:right w:val="nil"/>
            </w:tcBorders>
            <w:shd w:val="clear" w:color="auto" w:fill="auto"/>
          </w:tcPr>
          <w:p w14:paraId="1E424B4E" w14:textId="77777777" w:rsidR="00CB28FE" w:rsidRPr="00F4226B" w:rsidRDefault="00CB28FE" w:rsidP="00A34415">
            <w:pPr>
              <w:spacing w:after="0" w:line="360" w:lineRule="auto"/>
              <w:jc w:val="center"/>
              <w:rPr>
                <w:rFonts w:ascii="Times New Roman" w:hAnsi="Times New Roman"/>
                <w:sz w:val="20"/>
                <w:szCs w:val="20"/>
                <w:lang w:val="en-US"/>
              </w:rPr>
            </w:pPr>
          </w:p>
        </w:tc>
        <w:tc>
          <w:tcPr>
            <w:tcW w:w="900" w:type="dxa"/>
            <w:tcBorders>
              <w:top w:val="single" w:sz="4" w:space="0" w:color="auto"/>
              <w:left w:val="nil"/>
              <w:bottom w:val="nil"/>
              <w:right w:val="nil"/>
            </w:tcBorders>
          </w:tcPr>
          <w:p w14:paraId="704FB850" w14:textId="77777777" w:rsidR="00CB28FE" w:rsidRPr="00F4226B" w:rsidRDefault="00CB28FE" w:rsidP="00A34415">
            <w:pPr>
              <w:spacing w:after="0" w:line="360" w:lineRule="auto"/>
              <w:jc w:val="center"/>
              <w:rPr>
                <w:rFonts w:ascii="Times New Roman" w:hAnsi="Times New Roman"/>
                <w:sz w:val="20"/>
                <w:szCs w:val="20"/>
                <w:lang w:val="en-US"/>
              </w:rPr>
            </w:pPr>
          </w:p>
        </w:tc>
      </w:tr>
      <w:tr w:rsidR="00CB28FE" w:rsidRPr="00F4226B" w14:paraId="2BF547E7" w14:textId="77777777" w:rsidTr="00A34415">
        <w:tc>
          <w:tcPr>
            <w:tcW w:w="3969" w:type="dxa"/>
            <w:tcBorders>
              <w:top w:val="nil"/>
              <w:left w:val="nil"/>
              <w:bottom w:val="nil"/>
              <w:right w:val="nil"/>
            </w:tcBorders>
            <w:shd w:val="clear" w:color="auto" w:fill="auto"/>
          </w:tcPr>
          <w:p w14:paraId="79AFA8E1" w14:textId="77777777" w:rsidR="00CB28FE" w:rsidRPr="00F4226B" w:rsidRDefault="00CB28FE" w:rsidP="00D92415">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 xml:space="preserve">Gross </w:t>
            </w:r>
            <w:r w:rsidR="00D92415" w:rsidRPr="00F4226B">
              <w:rPr>
                <w:rFonts w:ascii="Times New Roman" w:hAnsi="Times New Roman"/>
                <w:sz w:val="20"/>
                <w:szCs w:val="20"/>
                <w:lang w:val="en-US"/>
              </w:rPr>
              <w:t>d</w:t>
            </w:r>
            <w:r w:rsidRPr="00F4226B">
              <w:rPr>
                <w:rFonts w:ascii="Times New Roman" w:hAnsi="Times New Roman"/>
                <w:sz w:val="20"/>
                <w:szCs w:val="20"/>
                <w:lang w:val="en-US"/>
              </w:rPr>
              <w:t xml:space="preserve">omestic </w:t>
            </w:r>
            <w:r w:rsidR="00D92415" w:rsidRPr="00F4226B">
              <w:rPr>
                <w:rFonts w:ascii="Times New Roman" w:hAnsi="Times New Roman"/>
                <w:sz w:val="20"/>
                <w:szCs w:val="20"/>
                <w:lang w:val="en-US"/>
              </w:rPr>
              <w:t>p</w:t>
            </w:r>
            <w:r w:rsidRPr="00F4226B">
              <w:rPr>
                <w:rFonts w:ascii="Times New Roman" w:hAnsi="Times New Roman"/>
                <w:sz w:val="20"/>
                <w:szCs w:val="20"/>
                <w:lang w:val="en-US"/>
              </w:rPr>
              <w:t xml:space="preserve">roduct </w:t>
            </w:r>
            <w:r w:rsidR="00D92415" w:rsidRPr="00F4226B">
              <w:rPr>
                <w:rFonts w:ascii="Times New Roman" w:hAnsi="Times New Roman"/>
                <w:sz w:val="20"/>
                <w:szCs w:val="20"/>
                <w:lang w:val="en-US"/>
              </w:rPr>
              <w:t xml:space="preserve">– GDP </w:t>
            </w:r>
            <w:r w:rsidRPr="00F4226B">
              <w:rPr>
                <w:rFonts w:ascii="Times New Roman" w:hAnsi="Times New Roman"/>
                <w:sz w:val="20"/>
                <w:szCs w:val="20"/>
                <w:lang w:val="en-US"/>
              </w:rPr>
              <w:t>(US$</w:t>
            </w:r>
            <w:r w:rsidR="00761C8B" w:rsidRPr="00F4226B">
              <w:rPr>
                <w:rFonts w:ascii="Times New Roman" w:hAnsi="Times New Roman"/>
                <w:sz w:val="20"/>
                <w:szCs w:val="20"/>
                <w:lang w:val="en-US"/>
              </w:rPr>
              <w:t xml:space="preserve"> </w:t>
            </w:r>
            <w:r w:rsidRPr="00F4226B">
              <w:rPr>
                <w:rFonts w:ascii="Times New Roman" w:hAnsi="Times New Roman"/>
                <w:sz w:val="20"/>
                <w:szCs w:val="20"/>
                <w:lang w:val="en-US"/>
              </w:rPr>
              <w:t>billion)</w:t>
            </w:r>
          </w:p>
        </w:tc>
        <w:tc>
          <w:tcPr>
            <w:tcW w:w="831" w:type="dxa"/>
            <w:tcBorders>
              <w:top w:val="nil"/>
              <w:left w:val="nil"/>
              <w:bottom w:val="nil"/>
              <w:right w:val="nil"/>
            </w:tcBorders>
            <w:shd w:val="clear" w:color="auto" w:fill="auto"/>
          </w:tcPr>
          <w:p w14:paraId="62EEB3BA" w14:textId="77777777" w:rsidR="00CB28FE" w:rsidRPr="00F4226B" w:rsidRDefault="00CB28FE" w:rsidP="00CB28F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6.446</w:t>
            </w:r>
          </w:p>
        </w:tc>
        <w:tc>
          <w:tcPr>
            <w:tcW w:w="785" w:type="dxa"/>
            <w:tcBorders>
              <w:top w:val="nil"/>
              <w:left w:val="nil"/>
              <w:bottom w:val="nil"/>
              <w:right w:val="nil"/>
            </w:tcBorders>
            <w:shd w:val="clear" w:color="auto" w:fill="auto"/>
          </w:tcPr>
          <w:p w14:paraId="7A71C74D"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6.837</w:t>
            </w:r>
          </w:p>
        </w:tc>
        <w:tc>
          <w:tcPr>
            <w:tcW w:w="900" w:type="dxa"/>
            <w:tcBorders>
              <w:top w:val="nil"/>
              <w:left w:val="nil"/>
              <w:bottom w:val="nil"/>
              <w:right w:val="nil"/>
            </w:tcBorders>
            <w:shd w:val="clear" w:color="auto" w:fill="auto"/>
          </w:tcPr>
          <w:p w14:paraId="79F7C1EA"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7.153</w:t>
            </w:r>
          </w:p>
        </w:tc>
        <w:tc>
          <w:tcPr>
            <w:tcW w:w="900" w:type="dxa"/>
            <w:tcBorders>
              <w:top w:val="nil"/>
              <w:left w:val="nil"/>
              <w:bottom w:val="nil"/>
              <w:right w:val="nil"/>
            </w:tcBorders>
            <w:shd w:val="clear" w:color="auto" w:fill="auto"/>
          </w:tcPr>
          <w:p w14:paraId="30D73268"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8.706</w:t>
            </w:r>
          </w:p>
        </w:tc>
        <w:tc>
          <w:tcPr>
            <w:tcW w:w="895" w:type="dxa"/>
            <w:tcBorders>
              <w:top w:val="nil"/>
              <w:left w:val="nil"/>
              <w:bottom w:val="nil"/>
              <w:right w:val="nil"/>
            </w:tcBorders>
            <w:shd w:val="clear" w:color="auto" w:fill="auto"/>
          </w:tcPr>
          <w:p w14:paraId="4AB5981F"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8.956</w:t>
            </w:r>
          </w:p>
        </w:tc>
        <w:tc>
          <w:tcPr>
            <w:tcW w:w="900" w:type="dxa"/>
            <w:tcBorders>
              <w:top w:val="nil"/>
              <w:left w:val="nil"/>
              <w:bottom w:val="nil"/>
              <w:right w:val="nil"/>
            </w:tcBorders>
          </w:tcPr>
          <w:p w14:paraId="3399BD05"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6.274</w:t>
            </w:r>
          </w:p>
        </w:tc>
      </w:tr>
      <w:tr w:rsidR="00CB28FE" w:rsidRPr="00F4226B" w14:paraId="79BC88D5" w14:textId="77777777" w:rsidTr="00A34415">
        <w:tc>
          <w:tcPr>
            <w:tcW w:w="3969" w:type="dxa"/>
            <w:tcBorders>
              <w:top w:val="nil"/>
              <w:left w:val="nil"/>
              <w:bottom w:val="nil"/>
              <w:right w:val="nil"/>
            </w:tcBorders>
            <w:shd w:val="clear" w:color="auto" w:fill="auto"/>
          </w:tcPr>
          <w:p w14:paraId="7BD42FA6" w14:textId="77777777" w:rsidR="00CB28FE" w:rsidRPr="00F4226B" w:rsidRDefault="00CB28FE" w:rsidP="00A34415">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Real GDP change (%)</w:t>
            </w:r>
          </w:p>
        </w:tc>
        <w:tc>
          <w:tcPr>
            <w:tcW w:w="831" w:type="dxa"/>
            <w:tcBorders>
              <w:top w:val="nil"/>
              <w:left w:val="nil"/>
              <w:bottom w:val="nil"/>
              <w:right w:val="nil"/>
            </w:tcBorders>
            <w:shd w:val="clear" w:color="auto" w:fill="auto"/>
          </w:tcPr>
          <w:p w14:paraId="1634DF21" w14:textId="77777777" w:rsidR="00CB28FE" w:rsidRPr="00F4226B" w:rsidRDefault="00CB28FE" w:rsidP="00CB28F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-7.9</w:t>
            </w:r>
          </w:p>
        </w:tc>
        <w:tc>
          <w:tcPr>
            <w:tcW w:w="785" w:type="dxa"/>
            <w:tcBorders>
              <w:top w:val="nil"/>
              <w:left w:val="nil"/>
              <w:bottom w:val="nil"/>
              <w:right w:val="nil"/>
            </w:tcBorders>
            <w:shd w:val="clear" w:color="auto" w:fill="auto"/>
          </w:tcPr>
          <w:p w14:paraId="0560B727" w14:textId="77777777" w:rsidR="00CB28FE" w:rsidRPr="00F4226B" w:rsidRDefault="00CB28FE" w:rsidP="00CB28F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-2.7</w:t>
            </w:r>
          </w:p>
        </w:tc>
        <w:tc>
          <w:tcPr>
            <w:tcW w:w="900" w:type="dxa"/>
            <w:tcBorders>
              <w:top w:val="nil"/>
              <w:left w:val="nil"/>
              <w:bottom w:val="nil"/>
              <w:right w:val="nil"/>
            </w:tcBorders>
            <w:shd w:val="clear" w:color="auto" w:fill="auto"/>
          </w:tcPr>
          <w:p w14:paraId="6A5F158D" w14:textId="77777777" w:rsidR="00CB28FE" w:rsidRPr="00F4226B" w:rsidRDefault="00CB28FE" w:rsidP="00CB28F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-4.4</w:t>
            </w:r>
          </w:p>
        </w:tc>
        <w:tc>
          <w:tcPr>
            <w:tcW w:w="900" w:type="dxa"/>
            <w:tcBorders>
              <w:top w:val="nil"/>
              <w:left w:val="nil"/>
              <w:bottom w:val="nil"/>
              <w:right w:val="nil"/>
            </w:tcBorders>
            <w:shd w:val="clear" w:color="auto" w:fill="auto"/>
          </w:tcPr>
          <w:p w14:paraId="5CCABFE0" w14:textId="77777777" w:rsidR="00CB28FE" w:rsidRPr="00F4226B" w:rsidRDefault="00CB28FE" w:rsidP="00CB28F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-10.4</w:t>
            </w:r>
          </w:p>
        </w:tc>
        <w:tc>
          <w:tcPr>
            <w:tcW w:w="895" w:type="dxa"/>
            <w:tcBorders>
              <w:top w:val="nil"/>
              <w:left w:val="nil"/>
              <w:bottom w:val="nil"/>
              <w:right w:val="nil"/>
            </w:tcBorders>
            <w:shd w:val="clear" w:color="auto" w:fill="auto"/>
          </w:tcPr>
          <w:p w14:paraId="692FE5AA" w14:textId="77777777" w:rsidR="00CB28FE" w:rsidRPr="00F4226B" w:rsidRDefault="00CB28FE" w:rsidP="00CB28F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-3.8</w:t>
            </w:r>
          </w:p>
        </w:tc>
        <w:tc>
          <w:tcPr>
            <w:tcW w:w="900" w:type="dxa"/>
            <w:tcBorders>
              <w:top w:val="nil"/>
              <w:left w:val="nil"/>
              <w:bottom w:val="nil"/>
              <w:right w:val="nil"/>
            </w:tcBorders>
          </w:tcPr>
          <w:p w14:paraId="6D8A9D2C" w14:textId="77777777" w:rsidR="00CB28FE" w:rsidRPr="00F4226B" w:rsidRDefault="00CB28FE" w:rsidP="00CB28F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-5.3</w:t>
            </w:r>
          </w:p>
        </w:tc>
      </w:tr>
      <w:tr w:rsidR="00CB28FE" w:rsidRPr="00F4226B" w14:paraId="22A3E131" w14:textId="77777777" w:rsidTr="00A34415">
        <w:tc>
          <w:tcPr>
            <w:tcW w:w="3969" w:type="dxa"/>
            <w:tcBorders>
              <w:top w:val="nil"/>
              <w:left w:val="nil"/>
              <w:bottom w:val="nil"/>
              <w:right w:val="nil"/>
            </w:tcBorders>
            <w:shd w:val="clear" w:color="auto" w:fill="auto"/>
          </w:tcPr>
          <w:p w14:paraId="50DA4A4A" w14:textId="77777777" w:rsidR="00CB28FE" w:rsidRPr="00F4226B" w:rsidRDefault="00CB28FE" w:rsidP="00820BD1">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 xml:space="preserve">Average </w:t>
            </w:r>
            <w:r w:rsidR="00820BD1" w:rsidRPr="00F4226B">
              <w:rPr>
                <w:rFonts w:ascii="Times New Roman" w:hAnsi="Times New Roman"/>
                <w:sz w:val="20"/>
                <w:szCs w:val="20"/>
                <w:lang w:val="en-US"/>
              </w:rPr>
              <w:t>y</w:t>
            </w:r>
            <w:r w:rsidRPr="00F4226B">
              <w:rPr>
                <w:rFonts w:ascii="Times New Roman" w:hAnsi="Times New Roman"/>
                <w:sz w:val="20"/>
                <w:szCs w:val="20"/>
                <w:lang w:val="en-US"/>
              </w:rPr>
              <w:t xml:space="preserve">early </w:t>
            </w:r>
            <w:r w:rsidR="00820BD1" w:rsidRPr="00F4226B">
              <w:rPr>
                <w:rFonts w:ascii="Times New Roman" w:hAnsi="Times New Roman"/>
                <w:sz w:val="20"/>
                <w:szCs w:val="20"/>
                <w:lang w:val="en-US"/>
              </w:rPr>
              <w:t>i</w:t>
            </w:r>
            <w:r w:rsidRPr="00F4226B">
              <w:rPr>
                <w:rFonts w:ascii="Times New Roman" w:hAnsi="Times New Roman"/>
                <w:sz w:val="20"/>
                <w:szCs w:val="20"/>
                <w:lang w:val="en-US"/>
              </w:rPr>
              <w:t>nflation (%)</w:t>
            </w:r>
          </w:p>
        </w:tc>
        <w:tc>
          <w:tcPr>
            <w:tcW w:w="831" w:type="dxa"/>
            <w:tcBorders>
              <w:top w:val="nil"/>
              <w:left w:val="nil"/>
              <w:bottom w:val="nil"/>
              <w:right w:val="nil"/>
            </w:tcBorders>
            <w:shd w:val="clear" w:color="auto" w:fill="auto"/>
          </w:tcPr>
          <w:p w14:paraId="6160DCE9" w14:textId="77777777" w:rsidR="00CB28FE" w:rsidRPr="00F4226B" w:rsidRDefault="00CB28FE" w:rsidP="00761C8B">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5</w:t>
            </w:r>
            <w:r w:rsidR="00761C8B" w:rsidRPr="00F4226B">
              <w:rPr>
                <w:rFonts w:ascii="Times New Roman" w:hAnsi="Times New Roman"/>
                <w:sz w:val="20"/>
                <w:szCs w:val="20"/>
                <w:lang w:val="en-US"/>
              </w:rPr>
              <w:t>5.86</w:t>
            </w:r>
          </w:p>
        </w:tc>
        <w:tc>
          <w:tcPr>
            <w:tcW w:w="785" w:type="dxa"/>
            <w:tcBorders>
              <w:top w:val="nil"/>
              <w:left w:val="nil"/>
              <w:bottom w:val="nil"/>
              <w:right w:val="nil"/>
            </w:tcBorders>
            <w:shd w:val="clear" w:color="auto" w:fill="auto"/>
          </w:tcPr>
          <w:p w14:paraId="5C07C34A" w14:textId="77777777" w:rsidR="00CB28FE" w:rsidRPr="00F4226B" w:rsidRDefault="00761C8B"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76.71</w:t>
            </w:r>
          </w:p>
        </w:tc>
        <w:tc>
          <w:tcPr>
            <w:tcW w:w="900" w:type="dxa"/>
            <w:tcBorders>
              <w:top w:val="nil"/>
              <w:left w:val="nil"/>
              <w:bottom w:val="nil"/>
              <w:right w:val="nil"/>
            </w:tcBorders>
            <w:shd w:val="clear" w:color="auto" w:fill="auto"/>
          </w:tcPr>
          <w:p w14:paraId="30DBD642" w14:textId="77777777" w:rsidR="00CB28FE" w:rsidRPr="00F4226B" w:rsidRDefault="00761C8B" w:rsidP="00CB28F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140.06</w:t>
            </w:r>
          </w:p>
        </w:tc>
        <w:tc>
          <w:tcPr>
            <w:tcW w:w="900" w:type="dxa"/>
            <w:tcBorders>
              <w:top w:val="nil"/>
              <w:left w:val="nil"/>
              <w:bottom w:val="nil"/>
              <w:right w:val="nil"/>
            </w:tcBorders>
            <w:shd w:val="clear" w:color="auto" w:fill="auto"/>
          </w:tcPr>
          <w:p w14:paraId="7CB77CC9" w14:textId="77777777" w:rsidR="00CB28FE" w:rsidRPr="00F4226B" w:rsidRDefault="00761C8B" w:rsidP="00CB28F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431.70</w:t>
            </w:r>
          </w:p>
        </w:tc>
        <w:tc>
          <w:tcPr>
            <w:tcW w:w="895" w:type="dxa"/>
            <w:tcBorders>
              <w:top w:val="nil"/>
              <w:left w:val="nil"/>
              <w:bottom w:val="nil"/>
              <w:right w:val="nil"/>
            </w:tcBorders>
            <w:shd w:val="clear" w:color="auto" w:fill="auto"/>
          </w:tcPr>
          <w:p w14:paraId="263B30EB" w14:textId="77777777" w:rsidR="00CB28FE" w:rsidRPr="00F4226B" w:rsidRDefault="008D4DE2" w:rsidP="008D4DE2">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350.0</w:t>
            </w:r>
            <w:r w:rsidR="00761C8B" w:rsidRPr="00F4226B">
              <w:rPr>
                <w:rFonts w:ascii="Times New Roman" w:hAnsi="Times New Roman"/>
                <w:sz w:val="20"/>
                <w:szCs w:val="20"/>
                <w:lang w:val="en-US"/>
              </w:rPr>
              <w:t>8</w:t>
            </w:r>
          </w:p>
        </w:tc>
        <w:tc>
          <w:tcPr>
            <w:tcW w:w="900" w:type="dxa"/>
            <w:tcBorders>
              <w:top w:val="nil"/>
              <w:left w:val="nil"/>
              <w:bottom w:val="nil"/>
              <w:right w:val="nil"/>
            </w:tcBorders>
          </w:tcPr>
          <w:p w14:paraId="47D071A0" w14:textId="77777777" w:rsidR="00CB28FE" w:rsidRPr="00F4226B" w:rsidRDefault="00761C8B"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302.12</w:t>
            </w:r>
          </w:p>
        </w:tc>
      </w:tr>
      <w:tr w:rsidR="004E30A3" w:rsidRPr="00F4226B" w14:paraId="6B823086" w14:textId="77777777" w:rsidTr="00A34415">
        <w:tc>
          <w:tcPr>
            <w:tcW w:w="3969" w:type="dxa"/>
            <w:tcBorders>
              <w:top w:val="nil"/>
              <w:left w:val="nil"/>
              <w:bottom w:val="nil"/>
              <w:right w:val="nil"/>
            </w:tcBorders>
            <w:shd w:val="clear" w:color="auto" w:fill="auto"/>
          </w:tcPr>
          <w:p w14:paraId="0402D505" w14:textId="0BD2D4B1" w:rsidR="004E30A3" w:rsidRPr="00F4226B" w:rsidRDefault="004E30A3" w:rsidP="00820BD1">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 xml:space="preserve">      Average inflation</w:t>
            </w:r>
            <w:r w:rsidR="00820BD1" w:rsidRPr="00F4226B">
              <w:rPr>
                <w:rFonts w:ascii="Times New Roman" w:hAnsi="Times New Roman"/>
                <w:sz w:val="20"/>
                <w:szCs w:val="20"/>
                <w:lang w:val="en-US"/>
              </w:rPr>
              <w:t>: Period</w:t>
            </w:r>
            <w:r w:rsidRPr="00F4226B">
              <w:rPr>
                <w:rFonts w:ascii="Times New Roman" w:hAnsi="Times New Roman"/>
                <w:sz w:val="20"/>
                <w:szCs w:val="20"/>
                <w:lang w:val="en-US"/>
              </w:rPr>
              <w:t xml:space="preserve"> 2000</w:t>
            </w:r>
            <w:r w:rsidR="00985DDF">
              <w:rPr>
                <w:rFonts w:ascii="Times New Roman" w:hAnsi="Times New Roman"/>
                <w:sz w:val="20"/>
                <w:szCs w:val="20"/>
                <w:lang w:val="en-US"/>
              </w:rPr>
              <w:t>–</w:t>
            </w:r>
            <w:r w:rsidRPr="00F4226B">
              <w:rPr>
                <w:rFonts w:ascii="Times New Roman" w:hAnsi="Times New Roman"/>
                <w:sz w:val="20"/>
                <w:szCs w:val="20"/>
                <w:lang w:val="en-US"/>
              </w:rPr>
              <w:t>2002</w:t>
            </w:r>
            <w:r w:rsidR="00B67CFE" w:rsidRPr="00F4226B">
              <w:rPr>
                <w:rFonts w:ascii="Times New Roman" w:hAnsi="Times New Roman"/>
                <w:sz w:val="20"/>
                <w:szCs w:val="20"/>
                <w:lang w:val="en-US"/>
              </w:rPr>
              <w:t xml:space="preserve"> (%)</w:t>
            </w:r>
          </w:p>
        </w:tc>
        <w:tc>
          <w:tcPr>
            <w:tcW w:w="831" w:type="dxa"/>
            <w:tcBorders>
              <w:top w:val="nil"/>
              <w:left w:val="nil"/>
              <w:bottom w:val="nil"/>
              <w:right w:val="nil"/>
            </w:tcBorders>
            <w:shd w:val="clear" w:color="auto" w:fill="auto"/>
          </w:tcPr>
          <w:p w14:paraId="7BB2C77A" w14:textId="77777777" w:rsidR="004E30A3" w:rsidRPr="00F4226B" w:rsidRDefault="004E30A3" w:rsidP="00761C8B">
            <w:pPr>
              <w:spacing w:after="0" w:line="360" w:lineRule="auto"/>
              <w:jc w:val="center"/>
              <w:rPr>
                <w:rFonts w:ascii="Times New Roman" w:hAnsi="Times New Roman"/>
                <w:sz w:val="20"/>
                <w:szCs w:val="20"/>
                <w:lang w:val="en-US"/>
              </w:rPr>
            </w:pPr>
          </w:p>
        </w:tc>
        <w:tc>
          <w:tcPr>
            <w:tcW w:w="785" w:type="dxa"/>
            <w:tcBorders>
              <w:top w:val="nil"/>
              <w:left w:val="nil"/>
              <w:bottom w:val="nil"/>
              <w:right w:val="nil"/>
            </w:tcBorders>
            <w:shd w:val="clear" w:color="auto" w:fill="auto"/>
          </w:tcPr>
          <w:p w14:paraId="149B8909" w14:textId="77777777" w:rsidR="004E30A3" w:rsidRPr="00F4226B" w:rsidRDefault="004E30A3" w:rsidP="00A34415">
            <w:pPr>
              <w:spacing w:after="0" w:line="360" w:lineRule="auto"/>
              <w:jc w:val="center"/>
              <w:rPr>
                <w:rFonts w:ascii="Times New Roman" w:hAnsi="Times New Roman"/>
                <w:sz w:val="20"/>
                <w:szCs w:val="20"/>
                <w:lang w:val="en-US"/>
              </w:rPr>
            </w:pPr>
          </w:p>
        </w:tc>
        <w:tc>
          <w:tcPr>
            <w:tcW w:w="900" w:type="dxa"/>
            <w:tcBorders>
              <w:top w:val="nil"/>
              <w:left w:val="nil"/>
              <w:bottom w:val="nil"/>
              <w:right w:val="nil"/>
            </w:tcBorders>
            <w:shd w:val="clear" w:color="auto" w:fill="auto"/>
          </w:tcPr>
          <w:p w14:paraId="2DE4DF89" w14:textId="77777777" w:rsidR="004E30A3" w:rsidRPr="00F4226B" w:rsidRDefault="004E30A3" w:rsidP="00CB28F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90.9</w:t>
            </w:r>
          </w:p>
        </w:tc>
        <w:tc>
          <w:tcPr>
            <w:tcW w:w="900" w:type="dxa"/>
            <w:tcBorders>
              <w:top w:val="nil"/>
              <w:left w:val="nil"/>
              <w:bottom w:val="nil"/>
              <w:right w:val="nil"/>
            </w:tcBorders>
            <w:shd w:val="clear" w:color="auto" w:fill="auto"/>
          </w:tcPr>
          <w:p w14:paraId="40604643" w14:textId="77777777" w:rsidR="004E30A3" w:rsidRPr="00F4226B" w:rsidRDefault="004E30A3" w:rsidP="00CB28FE">
            <w:pPr>
              <w:spacing w:after="0" w:line="360" w:lineRule="auto"/>
              <w:jc w:val="center"/>
              <w:rPr>
                <w:rFonts w:ascii="Times New Roman" w:hAnsi="Times New Roman"/>
                <w:sz w:val="20"/>
                <w:szCs w:val="20"/>
                <w:lang w:val="en-US"/>
              </w:rPr>
            </w:pPr>
          </w:p>
        </w:tc>
        <w:tc>
          <w:tcPr>
            <w:tcW w:w="895" w:type="dxa"/>
            <w:tcBorders>
              <w:top w:val="nil"/>
              <w:left w:val="nil"/>
              <w:bottom w:val="nil"/>
              <w:right w:val="nil"/>
            </w:tcBorders>
            <w:shd w:val="clear" w:color="auto" w:fill="auto"/>
          </w:tcPr>
          <w:p w14:paraId="48745AB8" w14:textId="77777777" w:rsidR="004E30A3" w:rsidRPr="00F4226B" w:rsidRDefault="004E30A3" w:rsidP="008D4DE2">
            <w:pPr>
              <w:spacing w:after="0" w:line="360" w:lineRule="auto"/>
              <w:jc w:val="center"/>
              <w:rPr>
                <w:rFonts w:ascii="Times New Roman" w:hAnsi="Times New Roman"/>
                <w:sz w:val="20"/>
                <w:szCs w:val="20"/>
                <w:lang w:val="en-US"/>
              </w:rPr>
            </w:pPr>
          </w:p>
        </w:tc>
        <w:tc>
          <w:tcPr>
            <w:tcW w:w="900" w:type="dxa"/>
            <w:tcBorders>
              <w:top w:val="nil"/>
              <w:left w:val="nil"/>
              <w:bottom w:val="nil"/>
              <w:right w:val="nil"/>
            </w:tcBorders>
          </w:tcPr>
          <w:p w14:paraId="32C931A4" w14:textId="77777777" w:rsidR="004E30A3" w:rsidRPr="00F4226B" w:rsidRDefault="004E30A3" w:rsidP="00A34415">
            <w:pPr>
              <w:spacing w:after="0" w:line="360" w:lineRule="auto"/>
              <w:jc w:val="center"/>
              <w:rPr>
                <w:rFonts w:ascii="Times New Roman" w:hAnsi="Times New Roman"/>
                <w:sz w:val="20"/>
                <w:szCs w:val="20"/>
                <w:lang w:val="en-US"/>
              </w:rPr>
            </w:pPr>
          </w:p>
        </w:tc>
      </w:tr>
      <w:tr w:rsidR="004E30A3" w:rsidRPr="00F4226B" w14:paraId="5F180F9E" w14:textId="77777777" w:rsidTr="0076397A">
        <w:tc>
          <w:tcPr>
            <w:tcW w:w="3969" w:type="dxa"/>
            <w:tcBorders>
              <w:top w:val="nil"/>
              <w:left w:val="nil"/>
              <w:bottom w:val="nil"/>
              <w:right w:val="nil"/>
            </w:tcBorders>
            <w:shd w:val="clear" w:color="auto" w:fill="auto"/>
          </w:tcPr>
          <w:p w14:paraId="7C8C7D9C" w14:textId="32364233" w:rsidR="004E30A3" w:rsidRPr="00F4226B" w:rsidRDefault="004E30A3" w:rsidP="00820BD1">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 xml:space="preserve">      Average inflation</w:t>
            </w:r>
            <w:r w:rsidR="00820BD1" w:rsidRPr="00F4226B">
              <w:rPr>
                <w:rFonts w:ascii="Times New Roman" w:hAnsi="Times New Roman"/>
                <w:sz w:val="20"/>
                <w:szCs w:val="20"/>
                <w:lang w:val="en-US"/>
              </w:rPr>
              <w:t>:</w:t>
            </w:r>
            <w:r w:rsidRPr="00F4226B">
              <w:rPr>
                <w:rFonts w:ascii="Times New Roman" w:hAnsi="Times New Roman"/>
                <w:sz w:val="20"/>
                <w:szCs w:val="20"/>
                <w:lang w:val="en-US"/>
              </w:rPr>
              <w:t xml:space="preserve"> </w:t>
            </w:r>
            <w:r w:rsidR="00820BD1" w:rsidRPr="00F4226B">
              <w:rPr>
                <w:rFonts w:ascii="Times New Roman" w:hAnsi="Times New Roman"/>
                <w:sz w:val="20"/>
                <w:szCs w:val="20"/>
                <w:lang w:val="en-US"/>
              </w:rPr>
              <w:t xml:space="preserve">Period </w:t>
            </w:r>
            <w:r w:rsidRPr="00F4226B">
              <w:rPr>
                <w:rFonts w:ascii="Times New Roman" w:hAnsi="Times New Roman"/>
                <w:sz w:val="20"/>
                <w:szCs w:val="20"/>
                <w:lang w:val="en-US"/>
              </w:rPr>
              <w:t>2003</w:t>
            </w:r>
            <w:r w:rsidR="00985DDF">
              <w:rPr>
                <w:rFonts w:ascii="Times New Roman" w:hAnsi="Times New Roman"/>
                <w:sz w:val="20"/>
                <w:szCs w:val="20"/>
                <w:lang w:val="en-US"/>
              </w:rPr>
              <w:t>–</w:t>
            </w:r>
            <w:r w:rsidRPr="00F4226B">
              <w:rPr>
                <w:rFonts w:ascii="Times New Roman" w:hAnsi="Times New Roman"/>
                <w:sz w:val="20"/>
                <w:szCs w:val="20"/>
                <w:lang w:val="en-US"/>
              </w:rPr>
              <w:t>2005</w:t>
            </w:r>
            <w:r w:rsidR="00B67CFE" w:rsidRPr="00F4226B">
              <w:rPr>
                <w:rFonts w:ascii="Times New Roman" w:hAnsi="Times New Roman"/>
                <w:sz w:val="20"/>
                <w:szCs w:val="20"/>
                <w:lang w:val="en-US"/>
              </w:rPr>
              <w:t xml:space="preserve"> (%)</w:t>
            </w:r>
          </w:p>
        </w:tc>
        <w:tc>
          <w:tcPr>
            <w:tcW w:w="831" w:type="dxa"/>
            <w:tcBorders>
              <w:top w:val="nil"/>
              <w:left w:val="nil"/>
              <w:bottom w:val="nil"/>
              <w:right w:val="nil"/>
            </w:tcBorders>
            <w:shd w:val="clear" w:color="auto" w:fill="auto"/>
          </w:tcPr>
          <w:p w14:paraId="34BBD078" w14:textId="77777777" w:rsidR="004E30A3" w:rsidRPr="00F4226B" w:rsidRDefault="004E30A3" w:rsidP="00761C8B">
            <w:pPr>
              <w:spacing w:after="0" w:line="360" w:lineRule="auto"/>
              <w:jc w:val="center"/>
              <w:rPr>
                <w:rFonts w:ascii="Times New Roman" w:hAnsi="Times New Roman"/>
                <w:sz w:val="20"/>
                <w:szCs w:val="20"/>
                <w:lang w:val="en-US"/>
              </w:rPr>
            </w:pPr>
          </w:p>
        </w:tc>
        <w:tc>
          <w:tcPr>
            <w:tcW w:w="785" w:type="dxa"/>
            <w:tcBorders>
              <w:top w:val="nil"/>
              <w:left w:val="nil"/>
              <w:bottom w:val="nil"/>
              <w:right w:val="nil"/>
            </w:tcBorders>
            <w:shd w:val="clear" w:color="auto" w:fill="auto"/>
          </w:tcPr>
          <w:p w14:paraId="24395CBE" w14:textId="77777777" w:rsidR="004E30A3" w:rsidRPr="00F4226B" w:rsidRDefault="004E30A3" w:rsidP="00A34415">
            <w:pPr>
              <w:spacing w:after="0" w:line="360" w:lineRule="auto"/>
              <w:jc w:val="center"/>
              <w:rPr>
                <w:rFonts w:ascii="Times New Roman" w:hAnsi="Times New Roman"/>
                <w:sz w:val="20"/>
                <w:szCs w:val="20"/>
                <w:lang w:val="en-US"/>
              </w:rPr>
            </w:pPr>
          </w:p>
        </w:tc>
        <w:tc>
          <w:tcPr>
            <w:tcW w:w="900" w:type="dxa"/>
            <w:tcBorders>
              <w:top w:val="nil"/>
              <w:left w:val="nil"/>
              <w:bottom w:val="nil"/>
              <w:right w:val="nil"/>
            </w:tcBorders>
            <w:shd w:val="clear" w:color="auto" w:fill="auto"/>
          </w:tcPr>
          <w:p w14:paraId="47A7B3FF" w14:textId="77777777" w:rsidR="004E30A3" w:rsidRPr="00F4226B" w:rsidRDefault="004E30A3" w:rsidP="00CB28FE">
            <w:pPr>
              <w:spacing w:after="0" w:line="360" w:lineRule="auto"/>
              <w:jc w:val="center"/>
              <w:rPr>
                <w:rFonts w:ascii="Times New Roman" w:hAnsi="Times New Roman"/>
                <w:sz w:val="20"/>
                <w:szCs w:val="20"/>
                <w:lang w:val="en-US"/>
              </w:rPr>
            </w:pPr>
          </w:p>
        </w:tc>
        <w:tc>
          <w:tcPr>
            <w:tcW w:w="900" w:type="dxa"/>
            <w:tcBorders>
              <w:top w:val="nil"/>
              <w:left w:val="nil"/>
              <w:bottom w:val="nil"/>
              <w:right w:val="nil"/>
            </w:tcBorders>
            <w:shd w:val="clear" w:color="auto" w:fill="auto"/>
          </w:tcPr>
          <w:p w14:paraId="07B128B7" w14:textId="77777777" w:rsidR="004E30A3" w:rsidRPr="00F4226B" w:rsidRDefault="004E30A3" w:rsidP="00CB28FE">
            <w:pPr>
              <w:spacing w:after="0" w:line="360" w:lineRule="auto"/>
              <w:jc w:val="center"/>
              <w:rPr>
                <w:rFonts w:ascii="Times New Roman" w:hAnsi="Times New Roman"/>
                <w:sz w:val="20"/>
                <w:szCs w:val="20"/>
                <w:lang w:val="en-US"/>
              </w:rPr>
            </w:pPr>
          </w:p>
        </w:tc>
        <w:tc>
          <w:tcPr>
            <w:tcW w:w="895" w:type="dxa"/>
            <w:tcBorders>
              <w:top w:val="nil"/>
              <w:left w:val="nil"/>
              <w:bottom w:val="nil"/>
              <w:right w:val="nil"/>
            </w:tcBorders>
            <w:shd w:val="clear" w:color="auto" w:fill="auto"/>
          </w:tcPr>
          <w:p w14:paraId="32739740" w14:textId="77777777" w:rsidR="004E30A3" w:rsidRPr="00F4226B" w:rsidRDefault="004E30A3" w:rsidP="008D4DE2">
            <w:pPr>
              <w:spacing w:after="0" w:line="360" w:lineRule="auto"/>
              <w:jc w:val="center"/>
              <w:rPr>
                <w:rFonts w:ascii="Times New Roman" w:hAnsi="Times New Roman"/>
                <w:sz w:val="20"/>
                <w:szCs w:val="20"/>
                <w:lang w:val="en-US"/>
              </w:rPr>
            </w:pPr>
          </w:p>
        </w:tc>
        <w:tc>
          <w:tcPr>
            <w:tcW w:w="900" w:type="dxa"/>
            <w:tcBorders>
              <w:top w:val="nil"/>
              <w:left w:val="nil"/>
              <w:bottom w:val="nil"/>
              <w:right w:val="nil"/>
            </w:tcBorders>
          </w:tcPr>
          <w:p w14:paraId="177E3085" w14:textId="77777777" w:rsidR="004E30A3" w:rsidRPr="00F4226B" w:rsidRDefault="004E30A3"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361.3</w:t>
            </w:r>
          </w:p>
        </w:tc>
      </w:tr>
      <w:tr w:rsidR="00CB28FE" w:rsidRPr="00F4226B" w14:paraId="0D3E4BF6" w14:textId="77777777" w:rsidTr="0076397A">
        <w:tc>
          <w:tcPr>
            <w:tcW w:w="3969" w:type="dxa"/>
            <w:tcBorders>
              <w:top w:val="nil"/>
              <w:left w:val="nil"/>
              <w:bottom w:val="single" w:sz="12" w:space="0" w:color="auto"/>
              <w:right w:val="nil"/>
            </w:tcBorders>
            <w:shd w:val="clear" w:color="auto" w:fill="auto"/>
          </w:tcPr>
          <w:p w14:paraId="391C0E2B" w14:textId="77777777" w:rsidR="00CB28FE" w:rsidRPr="00F4226B" w:rsidRDefault="00CB28FE" w:rsidP="00CB28FE">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Average yearly exchange rate (Z$ to US$)</w:t>
            </w:r>
          </w:p>
        </w:tc>
        <w:tc>
          <w:tcPr>
            <w:tcW w:w="831" w:type="dxa"/>
            <w:tcBorders>
              <w:top w:val="nil"/>
              <w:left w:val="nil"/>
              <w:bottom w:val="single" w:sz="12" w:space="0" w:color="auto"/>
              <w:right w:val="nil"/>
            </w:tcBorders>
            <w:shd w:val="clear" w:color="auto" w:fill="auto"/>
          </w:tcPr>
          <w:p w14:paraId="0458656F"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44</w:t>
            </w:r>
          </w:p>
        </w:tc>
        <w:tc>
          <w:tcPr>
            <w:tcW w:w="785" w:type="dxa"/>
            <w:tcBorders>
              <w:top w:val="nil"/>
              <w:left w:val="nil"/>
              <w:bottom w:val="single" w:sz="12" w:space="0" w:color="auto"/>
              <w:right w:val="nil"/>
            </w:tcBorders>
            <w:shd w:val="clear" w:color="auto" w:fill="auto"/>
          </w:tcPr>
          <w:p w14:paraId="4E3816AF"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55</w:t>
            </w:r>
          </w:p>
        </w:tc>
        <w:tc>
          <w:tcPr>
            <w:tcW w:w="900" w:type="dxa"/>
            <w:tcBorders>
              <w:top w:val="nil"/>
              <w:left w:val="nil"/>
              <w:bottom w:val="single" w:sz="12" w:space="0" w:color="auto"/>
              <w:right w:val="nil"/>
            </w:tcBorders>
            <w:shd w:val="clear" w:color="auto" w:fill="auto"/>
          </w:tcPr>
          <w:p w14:paraId="58CB1CBA"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55</w:t>
            </w:r>
          </w:p>
        </w:tc>
        <w:tc>
          <w:tcPr>
            <w:tcW w:w="900" w:type="dxa"/>
            <w:tcBorders>
              <w:top w:val="nil"/>
              <w:left w:val="nil"/>
              <w:bottom w:val="single" w:sz="12" w:space="0" w:color="auto"/>
              <w:right w:val="nil"/>
            </w:tcBorders>
            <w:shd w:val="clear" w:color="auto" w:fill="auto"/>
          </w:tcPr>
          <w:p w14:paraId="0319EDA8"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826</w:t>
            </w:r>
          </w:p>
        </w:tc>
        <w:tc>
          <w:tcPr>
            <w:tcW w:w="895" w:type="dxa"/>
            <w:tcBorders>
              <w:top w:val="nil"/>
              <w:left w:val="nil"/>
              <w:bottom w:val="single" w:sz="12" w:space="0" w:color="auto"/>
              <w:right w:val="nil"/>
            </w:tcBorders>
            <w:shd w:val="clear" w:color="auto" w:fill="auto"/>
          </w:tcPr>
          <w:p w14:paraId="14BEF098"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4,837</w:t>
            </w:r>
          </w:p>
        </w:tc>
        <w:tc>
          <w:tcPr>
            <w:tcW w:w="900" w:type="dxa"/>
            <w:tcBorders>
              <w:top w:val="nil"/>
              <w:left w:val="nil"/>
              <w:bottom w:val="single" w:sz="12" w:space="0" w:color="auto"/>
              <w:right w:val="nil"/>
            </w:tcBorders>
          </w:tcPr>
          <w:p w14:paraId="7C20B14A" w14:textId="77777777" w:rsidR="00CB28FE" w:rsidRPr="00F4226B" w:rsidRDefault="00CB28FE" w:rsidP="00A34415">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8,000</w:t>
            </w:r>
          </w:p>
        </w:tc>
      </w:tr>
      <w:tr w:rsidR="00CB28FE" w:rsidRPr="00F4226B" w14:paraId="31910F3A" w14:textId="77777777" w:rsidTr="0076397A">
        <w:tc>
          <w:tcPr>
            <w:tcW w:w="9180" w:type="dxa"/>
            <w:gridSpan w:val="7"/>
            <w:tcBorders>
              <w:top w:val="single" w:sz="12" w:space="0" w:color="auto"/>
              <w:left w:val="nil"/>
              <w:bottom w:val="nil"/>
              <w:right w:val="nil"/>
            </w:tcBorders>
            <w:shd w:val="clear" w:color="auto" w:fill="auto"/>
          </w:tcPr>
          <w:p w14:paraId="29F4DB62" w14:textId="77777777" w:rsidR="00CB28FE" w:rsidRPr="00F4226B" w:rsidRDefault="00CB28FE" w:rsidP="00D92415">
            <w:pPr>
              <w:spacing w:after="0" w:line="240" w:lineRule="auto"/>
              <w:ind w:hanging="108"/>
              <w:rPr>
                <w:rFonts w:ascii="Times New Roman" w:hAnsi="Times New Roman"/>
                <w:lang w:val="en-US"/>
              </w:rPr>
            </w:pPr>
            <w:r w:rsidRPr="00F4226B">
              <w:rPr>
                <w:rFonts w:ascii="Times New Roman" w:hAnsi="Times New Roman"/>
                <w:i/>
                <w:sz w:val="18"/>
                <w:szCs w:val="18"/>
                <w:lang w:val="en-US"/>
              </w:rPr>
              <w:t>Sources:</w:t>
            </w:r>
            <w:r w:rsidRPr="00F4226B">
              <w:rPr>
                <w:rFonts w:ascii="Times New Roman" w:hAnsi="Times New Roman"/>
                <w:sz w:val="18"/>
                <w:szCs w:val="18"/>
                <w:lang w:val="en-US"/>
              </w:rPr>
              <w:t xml:space="preserve"> African Development Bank</w:t>
            </w:r>
            <w:r w:rsidR="00C738D3" w:rsidRPr="00F4226B">
              <w:rPr>
                <w:rFonts w:ascii="Times New Roman" w:hAnsi="Times New Roman"/>
                <w:sz w:val="18"/>
                <w:szCs w:val="18"/>
                <w:lang w:val="en-US"/>
              </w:rPr>
              <w:t xml:space="preserve"> (2007</w:t>
            </w:r>
            <w:r w:rsidR="00761C8B" w:rsidRPr="00F4226B">
              <w:rPr>
                <w:rFonts w:ascii="Times New Roman" w:hAnsi="Times New Roman"/>
                <w:sz w:val="18"/>
                <w:szCs w:val="18"/>
                <w:lang w:val="en-US"/>
              </w:rPr>
              <w:t xml:space="preserve">); </w:t>
            </w:r>
            <w:r w:rsidR="00D92415" w:rsidRPr="00F4226B">
              <w:rPr>
                <w:rFonts w:ascii="Times New Roman" w:hAnsi="Times New Roman"/>
                <w:sz w:val="18"/>
                <w:szCs w:val="18"/>
                <w:lang w:val="en-US"/>
              </w:rPr>
              <w:t xml:space="preserve">International Monetary Fund (2008); </w:t>
            </w:r>
            <w:r w:rsidR="009A2DCE" w:rsidRPr="00F4226B">
              <w:rPr>
                <w:rFonts w:ascii="Times New Roman" w:hAnsi="Times New Roman"/>
                <w:sz w:val="18"/>
                <w:szCs w:val="18"/>
                <w:lang w:val="en-US"/>
              </w:rPr>
              <w:t>World Bank (20</w:t>
            </w:r>
            <w:r w:rsidR="00932A0A" w:rsidRPr="00F4226B">
              <w:rPr>
                <w:rFonts w:ascii="Times New Roman" w:hAnsi="Times New Roman"/>
                <w:sz w:val="18"/>
                <w:szCs w:val="18"/>
                <w:lang w:val="en-US"/>
              </w:rPr>
              <w:t>16</w:t>
            </w:r>
            <w:r w:rsidR="009A2DCE" w:rsidRPr="00F4226B">
              <w:rPr>
                <w:rFonts w:ascii="Times New Roman" w:hAnsi="Times New Roman"/>
                <w:sz w:val="18"/>
                <w:szCs w:val="18"/>
                <w:lang w:val="en-US"/>
              </w:rPr>
              <w:t>)</w:t>
            </w:r>
            <w:r w:rsidR="00D92415" w:rsidRPr="00F4226B">
              <w:rPr>
                <w:rFonts w:ascii="Times New Roman" w:hAnsi="Times New Roman"/>
                <w:sz w:val="18"/>
                <w:szCs w:val="18"/>
                <w:lang w:val="en-US"/>
              </w:rPr>
              <w:t>.</w:t>
            </w:r>
            <w:r w:rsidR="009A2DCE" w:rsidRPr="00F4226B">
              <w:rPr>
                <w:rFonts w:ascii="Times New Roman" w:hAnsi="Times New Roman"/>
                <w:sz w:val="18"/>
                <w:szCs w:val="18"/>
                <w:lang w:val="en-US"/>
              </w:rPr>
              <w:t xml:space="preserve"> </w:t>
            </w:r>
          </w:p>
        </w:tc>
      </w:tr>
    </w:tbl>
    <w:p w14:paraId="2501E8A2" w14:textId="77777777" w:rsidR="0004296A" w:rsidRPr="00F4226B" w:rsidRDefault="0004296A" w:rsidP="003562C7">
      <w:pPr>
        <w:spacing w:after="0" w:line="240" w:lineRule="auto"/>
        <w:ind w:left="284" w:hanging="284"/>
        <w:jc w:val="center"/>
        <w:rPr>
          <w:rFonts w:ascii="Times New Roman" w:hAnsi="Times New Roman"/>
          <w:lang w:val="en-US"/>
        </w:rPr>
      </w:pPr>
    </w:p>
    <w:p w14:paraId="55464A0B" w14:textId="77777777" w:rsidR="0004296A" w:rsidRPr="00F4226B" w:rsidRDefault="00EC7679" w:rsidP="003562C7">
      <w:pPr>
        <w:spacing w:after="0" w:line="240" w:lineRule="auto"/>
        <w:ind w:left="284" w:hanging="284"/>
        <w:jc w:val="center"/>
        <w:rPr>
          <w:rFonts w:ascii="Times New Roman" w:hAnsi="Times New Roman"/>
          <w:lang w:val="en-US"/>
        </w:rPr>
      </w:pPr>
      <w:r w:rsidRPr="00F4226B">
        <w:rPr>
          <w:rFonts w:ascii="Times New Roman" w:hAnsi="Times New Roman"/>
          <w:lang w:val="en-US"/>
        </w:rPr>
        <w:br w:type="page"/>
      </w:r>
    </w:p>
    <w:p w14:paraId="049374DF" w14:textId="66966555" w:rsidR="0004296A" w:rsidRPr="00F4226B" w:rsidRDefault="0004296A" w:rsidP="003820D1">
      <w:pPr>
        <w:spacing w:after="0" w:line="240" w:lineRule="auto"/>
        <w:ind w:left="284" w:hanging="284"/>
        <w:jc w:val="center"/>
        <w:outlineLvl w:val="0"/>
        <w:rPr>
          <w:rFonts w:ascii="Times New Roman" w:hAnsi="Times New Roman"/>
          <w:b/>
          <w:sz w:val="24"/>
          <w:szCs w:val="24"/>
          <w:lang w:val="en-US"/>
        </w:rPr>
      </w:pPr>
      <w:r w:rsidRPr="00F4226B">
        <w:rPr>
          <w:rFonts w:ascii="Times New Roman" w:hAnsi="Times New Roman"/>
          <w:b/>
          <w:sz w:val="24"/>
          <w:szCs w:val="24"/>
          <w:lang w:val="en-US"/>
        </w:rPr>
        <w:lastRenderedPageBreak/>
        <w:t xml:space="preserve">Table 2: Stock </w:t>
      </w:r>
      <w:r w:rsidR="00D92415" w:rsidRPr="00F4226B">
        <w:rPr>
          <w:rFonts w:ascii="Times New Roman" w:hAnsi="Times New Roman"/>
          <w:b/>
          <w:sz w:val="24"/>
          <w:szCs w:val="24"/>
          <w:lang w:val="en-US"/>
        </w:rPr>
        <w:t>m</w:t>
      </w:r>
      <w:r w:rsidRPr="00F4226B">
        <w:rPr>
          <w:rFonts w:ascii="Times New Roman" w:hAnsi="Times New Roman"/>
          <w:b/>
          <w:sz w:val="24"/>
          <w:szCs w:val="24"/>
          <w:lang w:val="en-US"/>
        </w:rPr>
        <w:t xml:space="preserve">arket </w:t>
      </w:r>
      <w:r w:rsidR="00D92415" w:rsidRPr="00F4226B">
        <w:rPr>
          <w:rFonts w:ascii="Times New Roman" w:hAnsi="Times New Roman"/>
          <w:b/>
          <w:sz w:val="24"/>
          <w:szCs w:val="24"/>
          <w:lang w:val="en-US"/>
        </w:rPr>
        <w:t>d</w:t>
      </w:r>
      <w:r w:rsidRPr="00F4226B">
        <w:rPr>
          <w:rFonts w:ascii="Times New Roman" w:hAnsi="Times New Roman"/>
          <w:b/>
          <w:sz w:val="24"/>
          <w:szCs w:val="24"/>
          <w:lang w:val="en-US"/>
        </w:rPr>
        <w:t>ata: 2000</w:t>
      </w:r>
      <w:r w:rsidR="00985DDF">
        <w:rPr>
          <w:rFonts w:ascii="Times New Roman" w:hAnsi="Times New Roman"/>
          <w:b/>
          <w:sz w:val="24"/>
          <w:szCs w:val="24"/>
          <w:lang w:val="en-US"/>
        </w:rPr>
        <w:t>–</w:t>
      </w:r>
      <w:r w:rsidRPr="00F4226B">
        <w:rPr>
          <w:rFonts w:ascii="Times New Roman" w:hAnsi="Times New Roman"/>
          <w:b/>
          <w:sz w:val="24"/>
          <w:szCs w:val="24"/>
          <w:lang w:val="en-US"/>
        </w:rPr>
        <w:t>2005</w:t>
      </w:r>
    </w:p>
    <w:p w14:paraId="27F73F91" w14:textId="77777777" w:rsidR="0004296A" w:rsidRPr="00F4226B" w:rsidRDefault="0004296A" w:rsidP="0004296A">
      <w:pPr>
        <w:spacing w:after="0" w:line="240" w:lineRule="auto"/>
        <w:ind w:left="284" w:hanging="284"/>
        <w:jc w:val="center"/>
        <w:rPr>
          <w:rFonts w:ascii="Times New Roman" w:hAnsi="Times New Roman"/>
          <w:b/>
          <w:sz w:val="16"/>
          <w:szCs w:val="16"/>
          <w:lang w:val="en-US"/>
        </w:rPr>
      </w:pPr>
    </w:p>
    <w:tbl>
      <w:tblPr>
        <w:tblW w:w="9106" w:type="dxa"/>
        <w:tblInd w:w="10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3"/>
        <w:gridCol w:w="851"/>
        <w:gridCol w:w="850"/>
        <w:gridCol w:w="851"/>
        <w:gridCol w:w="850"/>
        <w:gridCol w:w="875"/>
        <w:gridCol w:w="826"/>
      </w:tblGrid>
      <w:tr w:rsidR="00D00E5D" w:rsidRPr="00F4226B" w14:paraId="347B5597" w14:textId="77777777" w:rsidTr="00575DC6">
        <w:tc>
          <w:tcPr>
            <w:tcW w:w="4003" w:type="dxa"/>
            <w:tcBorders>
              <w:top w:val="single" w:sz="12" w:space="0" w:color="auto"/>
              <w:left w:val="nil"/>
              <w:bottom w:val="single" w:sz="4" w:space="0" w:color="auto"/>
              <w:right w:val="nil"/>
            </w:tcBorders>
            <w:shd w:val="clear" w:color="auto" w:fill="auto"/>
          </w:tcPr>
          <w:p w14:paraId="534E6C20" w14:textId="77777777" w:rsidR="0004296A" w:rsidRPr="00F4226B" w:rsidRDefault="0004296A" w:rsidP="00162C0E">
            <w:pPr>
              <w:spacing w:after="0" w:line="360" w:lineRule="auto"/>
              <w:rPr>
                <w:rFonts w:ascii="Times New Roman" w:hAnsi="Times New Roman"/>
                <w:sz w:val="20"/>
                <w:szCs w:val="20"/>
                <w:lang w:val="en-US"/>
              </w:rPr>
            </w:pPr>
            <w:r w:rsidRPr="00F4226B">
              <w:rPr>
                <w:rFonts w:ascii="Times New Roman" w:hAnsi="Times New Roman"/>
                <w:sz w:val="20"/>
                <w:szCs w:val="20"/>
                <w:lang w:val="en-US"/>
              </w:rPr>
              <w:br w:type="page"/>
            </w:r>
          </w:p>
        </w:tc>
        <w:tc>
          <w:tcPr>
            <w:tcW w:w="851" w:type="dxa"/>
            <w:tcBorders>
              <w:top w:val="single" w:sz="12" w:space="0" w:color="auto"/>
              <w:left w:val="nil"/>
              <w:bottom w:val="single" w:sz="4" w:space="0" w:color="auto"/>
              <w:right w:val="nil"/>
            </w:tcBorders>
            <w:shd w:val="clear" w:color="auto" w:fill="auto"/>
          </w:tcPr>
          <w:p w14:paraId="0296E849" w14:textId="77777777" w:rsidR="0004296A" w:rsidRPr="00F4226B" w:rsidRDefault="0004296A" w:rsidP="00162C0E">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2000</w:t>
            </w:r>
          </w:p>
        </w:tc>
        <w:tc>
          <w:tcPr>
            <w:tcW w:w="850" w:type="dxa"/>
            <w:tcBorders>
              <w:top w:val="single" w:sz="12" w:space="0" w:color="auto"/>
              <w:left w:val="nil"/>
              <w:bottom w:val="single" w:sz="4" w:space="0" w:color="auto"/>
              <w:right w:val="nil"/>
            </w:tcBorders>
            <w:shd w:val="clear" w:color="auto" w:fill="auto"/>
          </w:tcPr>
          <w:p w14:paraId="7259F822" w14:textId="77777777" w:rsidR="0004296A" w:rsidRPr="00F4226B" w:rsidRDefault="0004296A" w:rsidP="00162C0E">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2001</w:t>
            </w:r>
          </w:p>
        </w:tc>
        <w:tc>
          <w:tcPr>
            <w:tcW w:w="851" w:type="dxa"/>
            <w:tcBorders>
              <w:top w:val="single" w:sz="12" w:space="0" w:color="auto"/>
              <w:left w:val="nil"/>
              <w:bottom w:val="single" w:sz="4" w:space="0" w:color="auto"/>
              <w:right w:val="nil"/>
            </w:tcBorders>
            <w:shd w:val="clear" w:color="auto" w:fill="auto"/>
          </w:tcPr>
          <w:p w14:paraId="0091125D" w14:textId="77777777" w:rsidR="0004296A" w:rsidRPr="00F4226B" w:rsidRDefault="0004296A" w:rsidP="00162C0E">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2002</w:t>
            </w:r>
          </w:p>
        </w:tc>
        <w:tc>
          <w:tcPr>
            <w:tcW w:w="850" w:type="dxa"/>
            <w:tcBorders>
              <w:top w:val="single" w:sz="12" w:space="0" w:color="auto"/>
              <w:left w:val="nil"/>
              <w:bottom w:val="single" w:sz="4" w:space="0" w:color="auto"/>
              <w:right w:val="nil"/>
            </w:tcBorders>
            <w:shd w:val="clear" w:color="auto" w:fill="auto"/>
          </w:tcPr>
          <w:p w14:paraId="587A3474" w14:textId="77777777" w:rsidR="0004296A" w:rsidRPr="00F4226B" w:rsidRDefault="0004296A" w:rsidP="00162C0E">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2003</w:t>
            </w:r>
          </w:p>
        </w:tc>
        <w:tc>
          <w:tcPr>
            <w:tcW w:w="875" w:type="dxa"/>
            <w:tcBorders>
              <w:top w:val="single" w:sz="12" w:space="0" w:color="auto"/>
              <w:left w:val="nil"/>
              <w:bottom w:val="single" w:sz="4" w:space="0" w:color="auto"/>
              <w:right w:val="nil"/>
            </w:tcBorders>
            <w:shd w:val="clear" w:color="auto" w:fill="auto"/>
          </w:tcPr>
          <w:p w14:paraId="633B2899" w14:textId="77777777" w:rsidR="0004296A" w:rsidRPr="00F4226B" w:rsidRDefault="0004296A" w:rsidP="00162C0E">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2004</w:t>
            </w:r>
          </w:p>
        </w:tc>
        <w:tc>
          <w:tcPr>
            <w:tcW w:w="826" w:type="dxa"/>
            <w:tcBorders>
              <w:top w:val="single" w:sz="12" w:space="0" w:color="auto"/>
              <w:left w:val="nil"/>
              <w:bottom w:val="single" w:sz="4" w:space="0" w:color="auto"/>
              <w:right w:val="nil"/>
            </w:tcBorders>
          </w:tcPr>
          <w:p w14:paraId="6F914E72" w14:textId="77777777" w:rsidR="0004296A" w:rsidRPr="00F4226B" w:rsidRDefault="0004296A" w:rsidP="00162C0E">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2005</w:t>
            </w:r>
          </w:p>
        </w:tc>
      </w:tr>
      <w:tr w:rsidR="00D00E5D" w:rsidRPr="00F4226B" w14:paraId="6EC48727" w14:textId="77777777" w:rsidTr="00575DC6">
        <w:tc>
          <w:tcPr>
            <w:tcW w:w="4003" w:type="dxa"/>
            <w:tcBorders>
              <w:top w:val="single" w:sz="4" w:space="0" w:color="auto"/>
              <w:left w:val="nil"/>
              <w:bottom w:val="nil"/>
              <w:right w:val="nil"/>
            </w:tcBorders>
            <w:shd w:val="clear" w:color="auto" w:fill="auto"/>
          </w:tcPr>
          <w:p w14:paraId="7A8F442A" w14:textId="77777777" w:rsidR="0004296A" w:rsidRPr="00F4226B" w:rsidRDefault="0004296A" w:rsidP="00162C0E">
            <w:pPr>
              <w:spacing w:after="0" w:line="360" w:lineRule="auto"/>
              <w:ind w:left="-108"/>
              <w:rPr>
                <w:rFonts w:ascii="Times New Roman" w:hAnsi="Times New Roman"/>
                <w:b/>
                <w:sz w:val="20"/>
                <w:szCs w:val="20"/>
                <w:lang w:val="en-US"/>
              </w:rPr>
            </w:pPr>
          </w:p>
        </w:tc>
        <w:tc>
          <w:tcPr>
            <w:tcW w:w="851" w:type="dxa"/>
            <w:tcBorders>
              <w:top w:val="single" w:sz="4" w:space="0" w:color="auto"/>
              <w:left w:val="nil"/>
              <w:bottom w:val="nil"/>
              <w:right w:val="nil"/>
            </w:tcBorders>
            <w:shd w:val="clear" w:color="auto" w:fill="auto"/>
          </w:tcPr>
          <w:p w14:paraId="6536F5F1" w14:textId="77777777" w:rsidR="0004296A" w:rsidRPr="00F4226B" w:rsidRDefault="0004296A" w:rsidP="00162C0E">
            <w:pPr>
              <w:spacing w:after="0" w:line="360" w:lineRule="auto"/>
              <w:jc w:val="center"/>
              <w:rPr>
                <w:rFonts w:ascii="Times New Roman" w:hAnsi="Times New Roman"/>
                <w:sz w:val="20"/>
                <w:szCs w:val="20"/>
                <w:lang w:val="en-US"/>
              </w:rPr>
            </w:pPr>
          </w:p>
        </w:tc>
        <w:tc>
          <w:tcPr>
            <w:tcW w:w="850" w:type="dxa"/>
            <w:tcBorders>
              <w:top w:val="single" w:sz="4" w:space="0" w:color="auto"/>
              <w:left w:val="nil"/>
              <w:bottom w:val="nil"/>
              <w:right w:val="nil"/>
            </w:tcBorders>
            <w:shd w:val="clear" w:color="auto" w:fill="auto"/>
          </w:tcPr>
          <w:p w14:paraId="088613F8" w14:textId="77777777" w:rsidR="0004296A" w:rsidRPr="00F4226B" w:rsidRDefault="0004296A" w:rsidP="00162C0E">
            <w:pPr>
              <w:spacing w:after="0" w:line="360" w:lineRule="auto"/>
              <w:jc w:val="center"/>
              <w:rPr>
                <w:rFonts w:ascii="Times New Roman" w:hAnsi="Times New Roman"/>
                <w:sz w:val="20"/>
                <w:szCs w:val="20"/>
                <w:lang w:val="en-US"/>
              </w:rPr>
            </w:pPr>
          </w:p>
        </w:tc>
        <w:tc>
          <w:tcPr>
            <w:tcW w:w="851" w:type="dxa"/>
            <w:tcBorders>
              <w:top w:val="single" w:sz="4" w:space="0" w:color="auto"/>
              <w:left w:val="nil"/>
              <w:bottom w:val="nil"/>
              <w:right w:val="nil"/>
            </w:tcBorders>
            <w:shd w:val="clear" w:color="auto" w:fill="auto"/>
          </w:tcPr>
          <w:p w14:paraId="1AB8B669" w14:textId="77777777" w:rsidR="0004296A" w:rsidRPr="00F4226B" w:rsidRDefault="0004296A" w:rsidP="00162C0E">
            <w:pPr>
              <w:spacing w:after="0" w:line="360" w:lineRule="auto"/>
              <w:jc w:val="center"/>
              <w:rPr>
                <w:rFonts w:ascii="Times New Roman" w:hAnsi="Times New Roman"/>
                <w:sz w:val="20"/>
                <w:szCs w:val="20"/>
                <w:lang w:val="en-US"/>
              </w:rPr>
            </w:pPr>
          </w:p>
        </w:tc>
        <w:tc>
          <w:tcPr>
            <w:tcW w:w="850" w:type="dxa"/>
            <w:tcBorders>
              <w:top w:val="single" w:sz="4" w:space="0" w:color="auto"/>
              <w:left w:val="nil"/>
              <w:bottom w:val="nil"/>
              <w:right w:val="nil"/>
            </w:tcBorders>
            <w:shd w:val="clear" w:color="auto" w:fill="auto"/>
          </w:tcPr>
          <w:p w14:paraId="3B3A9F27" w14:textId="77777777" w:rsidR="0004296A" w:rsidRPr="00F4226B" w:rsidRDefault="0004296A" w:rsidP="00162C0E">
            <w:pPr>
              <w:spacing w:after="0" w:line="360" w:lineRule="auto"/>
              <w:jc w:val="center"/>
              <w:rPr>
                <w:rFonts w:ascii="Times New Roman" w:hAnsi="Times New Roman"/>
                <w:sz w:val="20"/>
                <w:szCs w:val="20"/>
                <w:lang w:val="en-US"/>
              </w:rPr>
            </w:pPr>
          </w:p>
        </w:tc>
        <w:tc>
          <w:tcPr>
            <w:tcW w:w="875" w:type="dxa"/>
            <w:tcBorders>
              <w:top w:val="single" w:sz="4" w:space="0" w:color="auto"/>
              <w:left w:val="nil"/>
              <w:bottom w:val="nil"/>
              <w:right w:val="nil"/>
            </w:tcBorders>
            <w:shd w:val="clear" w:color="auto" w:fill="auto"/>
          </w:tcPr>
          <w:p w14:paraId="52F8802C" w14:textId="77777777" w:rsidR="0004296A" w:rsidRPr="00F4226B" w:rsidRDefault="0004296A" w:rsidP="00162C0E">
            <w:pPr>
              <w:spacing w:after="0" w:line="360" w:lineRule="auto"/>
              <w:jc w:val="center"/>
              <w:rPr>
                <w:rFonts w:ascii="Times New Roman" w:hAnsi="Times New Roman"/>
                <w:sz w:val="20"/>
                <w:szCs w:val="20"/>
                <w:lang w:val="en-US"/>
              </w:rPr>
            </w:pPr>
          </w:p>
        </w:tc>
        <w:tc>
          <w:tcPr>
            <w:tcW w:w="826" w:type="dxa"/>
            <w:tcBorders>
              <w:top w:val="single" w:sz="4" w:space="0" w:color="auto"/>
              <w:left w:val="nil"/>
              <w:bottom w:val="nil"/>
              <w:right w:val="nil"/>
            </w:tcBorders>
          </w:tcPr>
          <w:p w14:paraId="2259EC22" w14:textId="77777777" w:rsidR="0004296A" w:rsidRPr="00F4226B" w:rsidRDefault="0004296A" w:rsidP="00162C0E">
            <w:pPr>
              <w:spacing w:after="0" w:line="360" w:lineRule="auto"/>
              <w:jc w:val="center"/>
              <w:rPr>
                <w:rFonts w:ascii="Times New Roman" w:hAnsi="Times New Roman"/>
                <w:sz w:val="20"/>
                <w:szCs w:val="20"/>
                <w:lang w:val="en-US"/>
              </w:rPr>
            </w:pPr>
          </w:p>
        </w:tc>
      </w:tr>
      <w:tr w:rsidR="00D00E5D" w:rsidRPr="00F4226B" w14:paraId="675FABBF" w14:textId="77777777" w:rsidTr="00575DC6">
        <w:tc>
          <w:tcPr>
            <w:tcW w:w="4003" w:type="dxa"/>
            <w:tcBorders>
              <w:top w:val="nil"/>
              <w:left w:val="nil"/>
              <w:bottom w:val="nil"/>
              <w:right w:val="nil"/>
            </w:tcBorders>
            <w:shd w:val="clear" w:color="auto" w:fill="auto"/>
          </w:tcPr>
          <w:p w14:paraId="0481C2DB" w14:textId="77777777" w:rsidR="0004296A" w:rsidRPr="00F4226B" w:rsidRDefault="0004296A" w:rsidP="0004296A">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Number of listed firms</w:t>
            </w:r>
          </w:p>
        </w:tc>
        <w:tc>
          <w:tcPr>
            <w:tcW w:w="851" w:type="dxa"/>
            <w:tcBorders>
              <w:top w:val="nil"/>
              <w:left w:val="nil"/>
              <w:bottom w:val="nil"/>
              <w:right w:val="nil"/>
            </w:tcBorders>
            <w:shd w:val="clear" w:color="auto" w:fill="auto"/>
          </w:tcPr>
          <w:p w14:paraId="011CFD64" w14:textId="77777777" w:rsidR="0004296A" w:rsidRPr="00F4226B" w:rsidRDefault="0004296A" w:rsidP="0004296A">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71</w:t>
            </w:r>
          </w:p>
        </w:tc>
        <w:tc>
          <w:tcPr>
            <w:tcW w:w="850" w:type="dxa"/>
            <w:tcBorders>
              <w:top w:val="nil"/>
              <w:left w:val="nil"/>
              <w:bottom w:val="nil"/>
              <w:right w:val="nil"/>
            </w:tcBorders>
            <w:shd w:val="clear" w:color="auto" w:fill="auto"/>
          </w:tcPr>
          <w:p w14:paraId="503190C9" w14:textId="77777777" w:rsidR="0004296A" w:rsidRPr="00F4226B" w:rsidRDefault="0004296A"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74</w:t>
            </w:r>
          </w:p>
        </w:tc>
        <w:tc>
          <w:tcPr>
            <w:tcW w:w="851" w:type="dxa"/>
            <w:tcBorders>
              <w:top w:val="nil"/>
              <w:left w:val="nil"/>
              <w:bottom w:val="nil"/>
              <w:right w:val="nil"/>
            </w:tcBorders>
            <w:shd w:val="clear" w:color="auto" w:fill="auto"/>
          </w:tcPr>
          <w:p w14:paraId="188C5659" w14:textId="77777777" w:rsidR="0004296A" w:rsidRPr="00F4226B" w:rsidRDefault="0004296A"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77</w:t>
            </w:r>
          </w:p>
        </w:tc>
        <w:tc>
          <w:tcPr>
            <w:tcW w:w="850" w:type="dxa"/>
            <w:tcBorders>
              <w:top w:val="nil"/>
              <w:left w:val="nil"/>
              <w:bottom w:val="nil"/>
              <w:right w:val="nil"/>
            </w:tcBorders>
            <w:shd w:val="clear" w:color="auto" w:fill="auto"/>
          </w:tcPr>
          <w:p w14:paraId="5AD965C7" w14:textId="77777777" w:rsidR="0004296A" w:rsidRPr="00F4226B" w:rsidRDefault="0004296A"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82</w:t>
            </w:r>
          </w:p>
        </w:tc>
        <w:tc>
          <w:tcPr>
            <w:tcW w:w="875" w:type="dxa"/>
            <w:tcBorders>
              <w:top w:val="nil"/>
              <w:left w:val="nil"/>
              <w:bottom w:val="nil"/>
              <w:right w:val="nil"/>
            </w:tcBorders>
            <w:shd w:val="clear" w:color="auto" w:fill="auto"/>
          </w:tcPr>
          <w:p w14:paraId="61226E24" w14:textId="77777777" w:rsidR="0004296A" w:rsidRPr="00F4226B" w:rsidRDefault="0004296A"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79</w:t>
            </w:r>
          </w:p>
        </w:tc>
        <w:tc>
          <w:tcPr>
            <w:tcW w:w="826" w:type="dxa"/>
            <w:tcBorders>
              <w:top w:val="nil"/>
              <w:left w:val="nil"/>
              <w:bottom w:val="nil"/>
              <w:right w:val="nil"/>
            </w:tcBorders>
          </w:tcPr>
          <w:p w14:paraId="00E835AC" w14:textId="77777777" w:rsidR="0004296A" w:rsidRPr="00F4226B" w:rsidRDefault="0004296A"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79</w:t>
            </w:r>
          </w:p>
        </w:tc>
      </w:tr>
      <w:tr w:rsidR="00D00E5D" w:rsidRPr="00F4226B" w14:paraId="3E4467AE" w14:textId="77777777" w:rsidTr="00575DC6">
        <w:tc>
          <w:tcPr>
            <w:tcW w:w="4003" w:type="dxa"/>
            <w:tcBorders>
              <w:top w:val="nil"/>
              <w:left w:val="nil"/>
              <w:bottom w:val="nil"/>
              <w:right w:val="nil"/>
            </w:tcBorders>
            <w:shd w:val="clear" w:color="auto" w:fill="auto"/>
          </w:tcPr>
          <w:p w14:paraId="5C4CBB4B" w14:textId="77777777" w:rsidR="0004296A" w:rsidRPr="00F4226B" w:rsidRDefault="00C8185D" w:rsidP="00162C0E">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Market c</w:t>
            </w:r>
            <w:r w:rsidR="0004296A" w:rsidRPr="00F4226B">
              <w:rPr>
                <w:rFonts w:ascii="Times New Roman" w:hAnsi="Times New Roman"/>
                <w:sz w:val="20"/>
                <w:szCs w:val="20"/>
                <w:lang w:val="en-US"/>
              </w:rPr>
              <w:t>apitalization ratio</w:t>
            </w:r>
            <w:r w:rsidRPr="00F4226B">
              <w:rPr>
                <w:rFonts w:ascii="Times New Roman" w:hAnsi="Times New Roman"/>
                <w:sz w:val="20"/>
                <w:szCs w:val="20"/>
                <w:lang w:val="en-US"/>
              </w:rPr>
              <w:t xml:space="preserve"> (%</w:t>
            </w:r>
            <w:r w:rsidR="00723992" w:rsidRPr="00F4226B">
              <w:rPr>
                <w:rFonts w:ascii="Times New Roman" w:hAnsi="Times New Roman"/>
                <w:sz w:val="20"/>
                <w:szCs w:val="20"/>
                <w:lang w:val="en-US"/>
              </w:rPr>
              <w:t xml:space="preserve"> of GDP</w:t>
            </w:r>
            <w:r w:rsidRPr="00F4226B">
              <w:rPr>
                <w:rFonts w:ascii="Times New Roman" w:hAnsi="Times New Roman"/>
                <w:sz w:val="20"/>
                <w:szCs w:val="20"/>
                <w:lang w:val="en-US"/>
              </w:rPr>
              <w:t>)</w:t>
            </w:r>
          </w:p>
        </w:tc>
        <w:tc>
          <w:tcPr>
            <w:tcW w:w="851" w:type="dxa"/>
            <w:tcBorders>
              <w:top w:val="nil"/>
              <w:left w:val="nil"/>
              <w:bottom w:val="nil"/>
              <w:right w:val="nil"/>
            </w:tcBorders>
            <w:shd w:val="clear" w:color="auto" w:fill="auto"/>
          </w:tcPr>
          <w:p w14:paraId="06BA09AF" w14:textId="77777777" w:rsidR="0004296A" w:rsidRPr="00F4226B" w:rsidRDefault="0004296A"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32.87</w:t>
            </w:r>
          </w:p>
        </w:tc>
        <w:tc>
          <w:tcPr>
            <w:tcW w:w="850" w:type="dxa"/>
            <w:tcBorders>
              <w:top w:val="nil"/>
              <w:left w:val="nil"/>
              <w:bottom w:val="nil"/>
              <w:right w:val="nil"/>
            </w:tcBorders>
            <w:shd w:val="clear" w:color="auto" w:fill="auto"/>
          </w:tcPr>
          <w:p w14:paraId="2A124575" w14:textId="77777777" w:rsidR="0004296A" w:rsidRPr="00F4226B" w:rsidRDefault="00C8185D"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77.73</w:t>
            </w:r>
          </w:p>
        </w:tc>
        <w:tc>
          <w:tcPr>
            <w:tcW w:w="851" w:type="dxa"/>
            <w:tcBorders>
              <w:top w:val="nil"/>
              <w:left w:val="nil"/>
              <w:bottom w:val="nil"/>
              <w:right w:val="nil"/>
            </w:tcBorders>
            <w:shd w:val="clear" w:color="auto" w:fill="auto"/>
          </w:tcPr>
          <w:p w14:paraId="19FF6CE7" w14:textId="77777777" w:rsidR="0004296A" w:rsidRPr="00F4226B" w:rsidRDefault="00C8185D"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71.39</w:t>
            </w:r>
          </w:p>
        </w:tc>
        <w:tc>
          <w:tcPr>
            <w:tcW w:w="850" w:type="dxa"/>
            <w:tcBorders>
              <w:top w:val="nil"/>
              <w:left w:val="nil"/>
              <w:bottom w:val="nil"/>
              <w:right w:val="nil"/>
            </w:tcBorders>
            <w:shd w:val="clear" w:color="auto" w:fill="auto"/>
          </w:tcPr>
          <w:p w14:paraId="770193C2" w14:textId="77777777" w:rsidR="0004296A" w:rsidRPr="00F4226B" w:rsidRDefault="00C8185D"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67.26</w:t>
            </w:r>
          </w:p>
        </w:tc>
        <w:tc>
          <w:tcPr>
            <w:tcW w:w="875" w:type="dxa"/>
            <w:tcBorders>
              <w:top w:val="nil"/>
              <w:left w:val="nil"/>
              <w:bottom w:val="nil"/>
              <w:right w:val="nil"/>
            </w:tcBorders>
            <w:shd w:val="clear" w:color="auto" w:fill="auto"/>
          </w:tcPr>
          <w:p w14:paraId="128E8260" w14:textId="77777777" w:rsidR="0004296A" w:rsidRPr="00F4226B" w:rsidRDefault="00C8185D"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41.2</w:t>
            </w:r>
          </w:p>
        </w:tc>
        <w:tc>
          <w:tcPr>
            <w:tcW w:w="826" w:type="dxa"/>
            <w:tcBorders>
              <w:top w:val="nil"/>
              <w:left w:val="nil"/>
              <w:bottom w:val="nil"/>
              <w:right w:val="nil"/>
            </w:tcBorders>
          </w:tcPr>
          <w:p w14:paraId="002C4AF6" w14:textId="77777777" w:rsidR="0004296A" w:rsidRPr="00F4226B" w:rsidRDefault="00C8185D" w:rsidP="00162C0E">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70.26</w:t>
            </w:r>
          </w:p>
        </w:tc>
      </w:tr>
      <w:tr w:rsidR="00D00E5D" w:rsidRPr="00F4226B" w14:paraId="1534736B" w14:textId="77777777" w:rsidTr="00575DC6">
        <w:tc>
          <w:tcPr>
            <w:tcW w:w="4003" w:type="dxa"/>
            <w:tcBorders>
              <w:top w:val="nil"/>
              <w:left w:val="nil"/>
              <w:bottom w:val="nil"/>
              <w:right w:val="nil"/>
            </w:tcBorders>
            <w:shd w:val="clear" w:color="auto" w:fill="auto"/>
          </w:tcPr>
          <w:p w14:paraId="614A4D69" w14:textId="00833365" w:rsidR="0004296A" w:rsidRPr="00F4226B" w:rsidRDefault="00C8185D" w:rsidP="00C8185D">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 xml:space="preserve">Turnover ratio </w:t>
            </w:r>
            <w:r w:rsidR="0004296A" w:rsidRPr="00F4226B">
              <w:rPr>
                <w:rFonts w:ascii="Times New Roman" w:hAnsi="Times New Roman"/>
                <w:sz w:val="20"/>
                <w:szCs w:val="20"/>
                <w:lang w:val="en-US"/>
              </w:rPr>
              <w:t>(%</w:t>
            </w:r>
            <w:r w:rsidR="00723992" w:rsidRPr="00F4226B">
              <w:rPr>
                <w:rFonts w:ascii="Times New Roman" w:hAnsi="Times New Roman"/>
                <w:sz w:val="20"/>
                <w:szCs w:val="20"/>
                <w:lang w:val="en-US"/>
              </w:rPr>
              <w:t xml:space="preserve"> of total market capitali</w:t>
            </w:r>
            <w:r w:rsidR="00F4226B">
              <w:rPr>
                <w:rFonts w:ascii="Times New Roman" w:hAnsi="Times New Roman"/>
                <w:sz w:val="20"/>
                <w:szCs w:val="20"/>
                <w:lang w:val="en-US"/>
              </w:rPr>
              <w:t>z</w:t>
            </w:r>
            <w:r w:rsidR="00723992" w:rsidRPr="00F4226B">
              <w:rPr>
                <w:rFonts w:ascii="Times New Roman" w:hAnsi="Times New Roman"/>
                <w:sz w:val="20"/>
                <w:szCs w:val="20"/>
                <w:lang w:val="en-US"/>
              </w:rPr>
              <w:t>ation</w:t>
            </w:r>
            <w:r w:rsidR="0004296A" w:rsidRPr="00F4226B">
              <w:rPr>
                <w:rFonts w:ascii="Times New Roman" w:hAnsi="Times New Roman"/>
                <w:sz w:val="20"/>
                <w:szCs w:val="20"/>
                <w:lang w:val="en-US"/>
              </w:rPr>
              <w:t>)</w:t>
            </w:r>
          </w:p>
        </w:tc>
        <w:tc>
          <w:tcPr>
            <w:tcW w:w="851" w:type="dxa"/>
            <w:tcBorders>
              <w:top w:val="nil"/>
              <w:left w:val="nil"/>
              <w:bottom w:val="nil"/>
              <w:right w:val="nil"/>
            </w:tcBorders>
            <w:shd w:val="clear" w:color="auto" w:fill="auto"/>
          </w:tcPr>
          <w:p w14:paraId="7A889D24" w14:textId="77777777" w:rsidR="0004296A" w:rsidRPr="00F4226B" w:rsidRDefault="006B0106" w:rsidP="006B0106">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23.33</w:t>
            </w:r>
          </w:p>
        </w:tc>
        <w:tc>
          <w:tcPr>
            <w:tcW w:w="850" w:type="dxa"/>
            <w:tcBorders>
              <w:top w:val="nil"/>
              <w:left w:val="nil"/>
              <w:bottom w:val="nil"/>
              <w:right w:val="nil"/>
            </w:tcBorders>
            <w:shd w:val="clear" w:color="auto" w:fill="auto"/>
          </w:tcPr>
          <w:p w14:paraId="660172C6" w14:textId="77777777" w:rsidR="0004296A" w:rsidRPr="00F4226B" w:rsidRDefault="00D00E5D" w:rsidP="00D00E5D">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29.4</w:t>
            </w:r>
            <w:r w:rsidR="00C8185D" w:rsidRPr="00F4226B">
              <w:rPr>
                <w:rFonts w:ascii="Times New Roman" w:hAnsi="Times New Roman"/>
                <w:sz w:val="20"/>
                <w:szCs w:val="20"/>
                <w:lang w:val="en-US"/>
              </w:rPr>
              <w:t>0</w:t>
            </w:r>
          </w:p>
        </w:tc>
        <w:tc>
          <w:tcPr>
            <w:tcW w:w="851" w:type="dxa"/>
            <w:tcBorders>
              <w:top w:val="nil"/>
              <w:left w:val="nil"/>
              <w:bottom w:val="nil"/>
              <w:right w:val="nil"/>
            </w:tcBorders>
            <w:shd w:val="clear" w:color="auto" w:fill="auto"/>
          </w:tcPr>
          <w:p w14:paraId="609D0A24" w14:textId="77777777" w:rsidR="0004296A" w:rsidRPr="00F4226B" w:rsidRDefault="00D00E5D" w:rsidP="00D00E5D">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19.19</w:t>
            </w:r>
          </w:p>
        </w:tc>
        <w:tc>
          <w:tcPr>
            <w:tcW w:w="850" w:type="dxa"/>
            <w:tcBorders>
              <w:top w:val="nil"/>
              <w:left w:val="nil"/>
              <w:bottom w:val="nil"/>
              <w:right w:val="nil"/>
            </w:tcBorders>
            <w:shd w:val="clear" w:color="auto" w:fill="auto"/>
          </w:tcPr>
          <w:p w14:paraId="039AFCB8" w14:textId="77777777" w:rsidR="0004296A" w:rsidRPr="00F4226B" w:rsidRDefault="00D00E5D" w:rsidP="00D00E5D">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26.14</w:t>
            </w:r>
          </w:p>
        </w:tc>
        <w:tc>
          <w:tcPr>
            <w:tcW w:w="875" w:type="dxa"/>
            <w:tcBorders>
              <w:top w:val="nil"/>
              <w:left w:val="nil"/>
              <w:bottom w:val="nil"/>
              <w:right w:val="nil"/>
            </w:tcBorders>
            <w:shd w:val="clear" w:color="auto" w:fill="auto"/>
          </w:tcPr>
          <w:p w14:paraId="6BDDD910" w14:textId="77777777" w:rsidR="0004296A" w:rsidRPr="00F4226B" w:rsidRDefault="00D00E5D" w:rsidP="00D00E5D">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19.22</w:t>
            </w:r>
          </w:p>
        </w:tc>
        <w:tc>
          <w:tcPr>
            <w:tcW w:w="826" w:type="dxa"/>
            <w:tcBorders>
              <w:top w:val="nil"/>
              <w:left w:val="nil"/>
              <w:bottom w:val="nil"/>
              <w:right w:val="nil"/>
            </w:tcBorders>
          </w:tcPr>
          <w:p w14:paraId="38DD19D3" w14:textId="77777777" w:rsidR="0004296A" w:rsidRPr="00F4226B" w:rsidRDefault="00C8185D" w:rsidP="00D00E5D">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w:t>
            </w:r>
            <w:r w:rsidR="00723992" w:rsidRPr="00F4226B">
              <w:rPr>
                <w:rFonts w:ascii="Times New Roman" w:hAnsi="Times New Roman"/>
                <w:sz w:val="20"/>
                <w:szCs w:val="20"/>
                <w:lang w:val="en-US"/>
              </w:rPr>
              <w:t>5.2</w:t>
            </w:r>
            <w:r w:rsidR="00D00E5D" w:rsidRPr="00F4226B">
              <w:rPr>
                <w:rFonts w:ascii="Times New Roman" w:hAnsi="Times New Roman"/>
                <w:sz w:val="20"/>
                <w:szCs w:val="20"/>
                <w:lang w:val="en-US"/>
              </w:rPr>
              <w:t>7</w:t>
            </w:r>
          </w:p>
        </w:tc>
      </w:tr>
      <w:tr w:rsidR="00D00E5D" w:rsidRPr="00F4226B" w14:paraId="6FFFAF05" w14:textId="77777777" w:rsidTr="00575DC6">
        <w:tc>
          <w:tcPr>
            <w:tcW w:w="4003" w:type="dxa"/>
            <w:tcBorders>
              <w:top w:val="nil"/>
              <w:left w:val="nil"/>
              <w:bottom w:val="single" w:sz="12" w:space="0" w:color="auto"/>
              <w:right w:val="nil"/>
            </w:tcBorders>
            <w:shd w:val="clear" w:color="auto" w:fill="auto"/>
          </w:tcPr>
          <w:p w14:paraId="183C9974" w14:textId="77777777" w:rsidR="0004296A" w:rsidRPr="00F4226B" w:rsidRDefault="0004296A" w:rsidP="00162C0E">
            <w:pPr>
              <w:spacing w:after="0" w:line="360" w:lineRule="auto"/>
              <w:ind w:left="-108"/>
              <w:rPr>
                <w:rFonts w:ascii="Times New Roman" w:hAnsi="Times New Roman"/>
                <w:sz w:val="20"/>
                <w:szCs w:val="20"/>
                <w:lang w:val="en-US"/>
              </w:rPr>
            </w:pPr>
          </w:p>
        </w:tc>
        <w:tc>
          <w:tcPr>
            <w:tcW w:w="851" w:type="dxa"/>
            <w:tcBorders>
              <w:top w:val="nil"/>
              <w:left w:val="nil"/>
              <w:bottom w:val="single" w:sz="12" w:space="0" w:color="auto"/>
              <w:right w:val="nil"/>
            </w:tcBorders>
            <w:shd w:val="clear" w:color="auto" w:fill="auto"/>
          </w:tcPr>
          <w:p w14:paraId="67D7B8DA" w14:textId="77777777" w:rsidR="0004296A" w:rsidRPr="00F4226B" w:rsidRDefault="0004296A" w:rsidP="00162C0E">
            <w:pPr>
              <w:spacing w:after="0" w:line="360" w:lineRule="auto"/>
              <w:jc w:val="center"/>
              <w:rPr>
                <w:rFonts w:ascii="Times New Roman" w:hAnsi="Times New Roman"/>
                <w:sz w:val="20"/>
                <w:szCs w:val="20"/>
                <w:lang w:val="en-US"/>
              </w:rPr>
            </w:pPr>
          </w:p>
        </w:tc>
        <w:tc>
          <w:tcPr>
            <w:tcW w:w="850" w:type="dxa"/>
            <w:tcBorders>
              <w:top w:val="nil"/>
              <w:left w:val="nil"/>
              <w:bottom w:val="single" w:sz="12" w:space="0" w:color="auto"/>
              <w:right w:val="nil"/>
            </w:tcBorders>
            <w:shd w:val="clear" w:color="auto" w:fill="auto"/>
          </w:tcPr>
          <w:p w14:paraId="59DB687F" w14:textId="77777777" w:rsidR="0004296A" w:rsidRPr="00F4226B" w:rsidRDefault="0004296A" w:rsidP="00162C0E">
            <w:pPr>
              <w:spacing w:after="0" w:line="360" w:lineRule="auto"/>
              <w:jc w:val="center"/>
              <w:rPr>
                <w:rFonts w:ascii="Times New Roman" w:hAnsi="Times New Roman"/>
                <w:sz w:val="20"/>
                <w:szCs w:val="20"/>
                <w:lang w:val="en-US"/>
              </w:rPr>
            </w:pPr>
          </w:p>
        </w:tc>
        <w:tc>
          <w:tcPr>
            <w:tcW w:w="851" w:type="dxa"/>
            <w:tcBorders>
              <w:top w:val="nil"/>
              <w:left w:val="nil"/>
              <w:bottom w:val="single" w:sz="12" w:space="0" w:color="auto"/>
              <w:right w:val="nil"/>
            </w:tcBorders>
            <w:shd w:val="clear" w:color="auto" w:fill="auto"/>
          </w:tcPr>
          <w:p w14:paraId="5144C027" w14:textId="77777777" w:rsidR="0004296A" w:rsidRPr="00F4226B" w:rsidRDefault="0004296A" w:rsidP="00162C0E">
            <w:pPr>
              <w:spacing w:after="0" w:line="360" w:lineRule="auto"/>
              <w:jc w:val="center"/>
              <w:rPr>
                <w:rFonts w:ascii="Times New Roman" w:hAnsi="Times New Roman"/>
                <w:sz w:val="20"/>
                <w:szCs w:val="20"/>
                <w:lang w:val="en-US"/>
              </w:rPr>
            </w:pPr>
          </w:p>
        </w:tc>
        <w:tc>
          <w:tcPr>
            <w:tcW w:w="850" w:type="dxa"/>
            <w:tcBorders>
              <w:top w:val="nil"/>
              <w:left w:val="nil"/>
              <w:bottom w:val="single" w:sz="12" w:space="0" w:color="auto"/>
              <w:right w:val="nil"/>
            </w:tcBorders>
            <w:shd w:val="clear" w:color="auto" w:fill="auto"/>
          </w:tcPr>
          <w:p w14:paraId="558C8736" w14:textId="77777777" w:rsidR="0004296A" w:rsidRPr="00F4226B" w:rsidRDefault="0004296A" w:rsidP="00162C0E">
            <w:pPr>
              <w:spacing w:after="0" w:line="360" w:lineRule="auto"/>
              <w:jc w:val="center"/>
              <w:rPr>
                <w:rFonts w:ascii="Times New Roman" w:hAnsi="Times New Roman"/>
                <w:sz w:val="20"/>
                <w:szCs w:val="20"/>
                <w:lang w:val="en-US"/>
              </w:rPr>
            </w:pPr>
          </w:p>
        </w:tc>
        <w:tc>
          <w:tcPr>
            <w:tcW w:w="875" w:type="dxa"/>
            <w:tcBorders>
              <w:top w:val="nil"/>
              <w:left w:val="nil"/>
              <w:bottom w:val="single" w:sz="12" w:space="0" w:color="auto"/>
              <w:right w:val="nil"/>
            </w:tcBorders>
            <w:shd w:val="clear" w:color="auto" w:fill="auto"/>
          </w:tcPr>
          <w:p w14:paraId="0B2C03CD" w14:textId="77777777" w:rsidR="0004296A" w:rsidRPr="00F4226B" w:rsidRDefault="0004296A" w:rsidP="00162C0E">
            <w:pPr>
              <w:spacing w:after="0" w:line="360" w:lineRule="auto"/>
              <w:jc w:val="center"/>
              <w:rPr>
                <w:rFonts w:ascii="Times New Roman" w:hAnsi="Times New Roman"/>
                <w:sz w:val="20"/>
                <w:szCs w:val="20"/>
                <w:lang w:val="en-US"/>
              </w:rPr>
            </w:pPr>
          </w:p>
        </w:tc>
        <w:tc>
          <w:tcPr>
            <w:tcW w:w="826" w:type="dxa"/>
            <w:tcBorders>
              <w:top w:val="nil"/>
              <w:left w:val="nil"/>
              <w:bottom w:val="single" w:sz="12" w:space="0" w:color="auto"/>
              <w:right w:val="nil"/>
            </w:tcBorders>
          </w:tcPr>
          <w:p w14:paraId="329A9981" w14:textId="77777777" w:rsidR="0004296A" w:rsidRPr="00F4226B" w:rsidRDefault="0004296A" w:rsidP="00162C0E">
            <w:pPr>
              <w:spacing w:after="0" w:line="360" w:lineRule="auto"/>
              <w:jc w:val="center"/>
              <w:rPr>
                <w:rFonts w:ascii="Times New Roman" w:hAnsi="Times New Roman"/>
                <w:sz w:val="20"/>
                <w:szCs w:val="20"/>
                <w:lang w:val="en-US"/>
              </w:rPr>
            </w:pPr>
          </w:p>
        </w:tc>
      </w:tr>
      <w:tr w:rsidR="0004296A" w:rsidRPr="00F4226B" w14:paraId="3C82EF88" w14:textId="77777777" w:rsidTr="00575DC6">
        <w:tc>
          <w:tcPr>
            <w:tcW w:w="9106" w:type="dxa"/>
            <w:gridSpan w:val="7"/>
            <w:tcBorders>
              <w:top w:val="single" w:sz="12" w:space="0" w:color="auto"/>
              <w:left w:val="nil"/>
              <w:bottom w:val="nil"/>
              <w:right w:val="nil"/>
            </w:tcBorders>
            <w:shd w:val="clear" w:color="auto" w:fill="auto"/>
          </w:tcPr>
          <w:p w14:paraId="3EEA45C2" w14:textId="32BA60AC" w:rsidR="0004296A" w:rsidRPr="00F4226B" w:rsidRDefault="0004296A" w:rsidP="00C8185D">
            <w:pPr>
              <w:spacing w:after="0" w:line="240" w:lineRule="auto"/>
              <w:ind w:hanging="108"/>
              <w:rPr>
                <w:rFonts w:ascii="Times New Roman" w:hAnsi="Times New Roman"/>
                <w:lang w:val="en-US"/>
              </w:rPr>
            </w:pPr>
            <w:r w:rsidRPr="00F4226B">
              <w:rPr>
                <w:rFonts w:ascii="Times New Roman" w:hAnsi="Times New Roman"/>
                <w:i/>
                <w:sz w:val="18"/>
                <w:szCs w:val="18"/>
                <w:lang w:val="en-US"/>
              </w:rPr>
              <w:t>Sources:</w:t>
            </w:r>
            <w:r w:rsidRPr="00F4226B">
              <w:rPr>
                <w:rFonts w:ascii="Times New Roman" w:hAnsi="Times New Roman"/>
                <w:sz w:val="18"/>
                <w:szCs w:val="18"/>
                <w:lang w:val="en-US"/>
              </w:rPr>
              <w:t xml:space="preserve"> </w:t>
            </w:r>
            <w:r w:rsidR="00C8185D" w:rsidRPr="00F4226B">
              <w:rPr>
                <w:rFonts w:ascii="Times New Roman" w:hAnsi="Times New Roman"/>
                <w:sz w:val="18"/>
                <w:szCs w:val="18"/>
                <w:lang w:val="en-US"/>
              </w:rPr>
              <w:t>Senbet and Otchere (2008)</w:t>
            </w:r>
            <w:r w:rsidR="00820BD1" w:rsidRPr="00F4226B">
              <w:rPr>
                <w:rFonts w:ascii="Times New Roman" w:hAnsi="Times New Roman"/>
                <w:sz w:val="18"/>
                <w:szCs w:val="18"/>
                <w:lang w:val="en-US"/>
              </w:rPr>
              <w:t>; ZSE Handbooks (200</w:t>
            </w:r>
            <w:r w:rsidR="00985DDF">
              <w:rPr>
                <w:rFonts w:ascii="Times New Roman" w:hAnsi="Times New Roman"/>
                <w:sz w:val="18"/>
                <w:szCs w:val="18"/>
                <w:lang w:val="en-US"/>
              </w:rPr>
              <w:t>0–</w:t>
            </w:r>
            <w:r w:rsidR="00820BD1" w:rsidRPr="00F4226B">
              <w:rPr>
                <w:rFonts w:ascii="Times New Roman" w:hAnsi="Times New Roman"/>
                <w:sz w:val="18"/>
                <w:szCs w:val="18"/>
                <w:lang w:val="en-US"/>
              </w:rPr>
              <w:t>2005)</w:t>
            </w:r>
          </w:p>
        </w:tc>
      </w:tr>
    </w:tbl>
    <w:p w14:paraId="062BF5E6" w14:textId="77777777" w:rsidR="0004296A" w:rsidRPr="00F4226B" w:rsidRDefault="0004296A" w:rsidP="003562C7">
      <w:pPr>
        <w:spacing w:after="0" w:line="240" w:lineRule="auto"/>
        <w:ind w:left="284" w:hanging="284"/>
        <w:jc w:val="center"/>
        <w:rPr>
          <w:rFonts w:ascii="Times New Roman" w:hAnsi="Times New Roman"/>
          <w:lang w:val="en-US"/>
        </w:rPr>
      </w:pPr>
    </w:p>
    <w:p w14:paraId="5F852296" w14:textId="77777777" w:rsidR="002A5AF9" w:rsidRPr="00F4226B" w:rsidRDefault="00860322" w:rsidP="003820D1">
      <w:pPr>
        <w:spacing w:after="0" w:line="240" w:lineRule="auto"/>
        <w:ind w:left="284" w:hanging="284"/>
        <w:jc w:val="center"/>
        <w:outlineLvl w:val="0"/>
        <w:rPr>
          <w:rFonts w:ascii="Times New Roman" w:hAnsi="Times New Roman"/>
          <w:b/>
          <w:sz w:val="24"/>
          <w:szCs w:val="24"/>
          <w:lang w:val="en-US"/>
        </w:rPr>
      </w:pPr>
      <w:r w:rsidRPr="00F4226B">
        <w:rPr>
          <w:rFonts w:ascii="Times New Roman" w:hAnsi="Times New Roman"/>
          <w:lang w:val="en-US"/>
        </w:rPr>
        <w:br w:type="page"/>
      </w:r>
      <w:r w:rsidR="002A5AF9" w:rsidRPr="00F4226B">
        <w:rPr>
          <w:rFonts w:ascii="Times New Roman" w:hAnsi="Times New Roman"/>
          <w:b/>
          <w:sz w:val="24"/>
          <w:szCs w:val="24"/>
          <w:lang w:val="en-US"/>
        </w:rPr>
        <w:lastRenderedPageBreak/>
        <w:t xml:space="preserve">Table </w:t>
      </w:r>
      <w:r w:rsidR="00C8185D" w:rsidRPr="00F4226B">
        <w:rPr>
          <w:rFonts w:ascii="Times New Roman" w:hAnsi="Times New Roman"/>
          <w:b/>
          <w:sz w:val="24"/>
          <w:szCs w:val="24"/>
          <w:lang w:val="en-US"/>
        </w:rPr>
        <w:t>3</w:t>
      </w:r>
      <w:r w:rsidR="00543A0F" w:rsidRPr="00F4226B">
        <w:rPr>
          <w:rFonts w:ascii="Times New Roman" w:hAnsi="Times New Roman"/>
          <w:b/>
          <w:sz w:val="24"/>
          <w:szCs w:val="24"/>
          <w:lang w:val="en-US"/>
        </w:rPr>
        <w:t xml:space="preserve">: </w:t>
      </w:r>
      <w:r w:rsidR="00B96AE6" w:rsidRPr="00F4226B">
        <w:rPr>
          <w:rFonts w:ascii="Times New Roman" w:hAnsi="Times New Roman"/>
          <w:b/>
          <w:sz w:val="24"/>
          <w:szCs w:val="24"/>
          <w:lang w:val="en-US"/>
        </w:rPr>
        <w:t>S</w:t>
      </w:r>
      <w:r w:rsidR="002A5AF9" w:rsidRPr="00F4226B">
        <w:rPr>
          <w:rFonts w:ascii="Times New Roman" w:hAnsi="Times New Roman"/>
          <w:b/>
          <w:sz w:val="24"/>
          <w:szCs w:val="24"/>
          <w:lang w:val="en-US"/>
        </w:rPr>
        <w:t xml:space="preserve">ample </w:t>
      </w:r>
      <w:r w:rsidR="00D92415" w:rsidRPr="00F4226B">
        <w:rPr>
          <w:rFonts w:ascii="Times New Roman" w:hAnsi="Times New Roman"/>
          <w:b/>
          <w:sz w:val="24"/>
          <w:szCs w:val="24"/>
          <w:lang w:val="en-US"/>
        </w:rPr>
        <w:t>selection procedure for</w:t>
      </w:r>
      <w:r w:rsidR="003E289B" w:rsidRPr="00F4226B">
        <w:rPr>
          <w:rFonts w:ascii="Times New Roman" w:hAnsi="Times New Roman"/>
          <w:b/>
          <w:sz w:val="24"/>
          <w:szCs w:val="24"/>
          <w:lang w:val="en-US"/>
        </w:rPr>
        <w:t xml:space="preserve"> Zimbabwe Stock Exchange listed firms</w:t>
      </w:r>
    </w:p>
    <w:p w14:paraId="118CD0E0" w14:textId="77777777" w:rsidR="00962738" w:rsidRPr="00F4226B" w:rsidRDefault="00962738" w:rsidP="003562C7">
      <w:pPr>
        <w:spacing w:after="0" w:line="240" w:lineRule="auto"/>
        <w:ind w:left="284" w:hanging="284"/>
        <w:jc w:val="center"/>
        <w:rPr>
          <w:rFonts w:ascii="Times New Roman" w:hAnsi="Times New Roman"/>
          <w:b/>
          <w:sz w:val="16"/>
          <w:szCs w:val="16"/>
          <w:lang w:val="en-US"/>
        </w:rPr>
      </w:pPr>
    </w:p>
    <w:tbl>
      <w:tblPr>
        <w:tblW w:w="9214" w:type="dxa"/>
        <w:tblInd w:w="10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134"/>
        <w:gridCol w:w="709"/>
        <w:gridCol w:w="915"/>
        <w:gridCol w:w="1270"/>
        <w:gridCol w:w="650"/>
        <w:gridCol w:w="992"/>
      </w:tblGrid>
      <w:tr w:rsidR="0004108F" w:rsidRPr="00F4226B" w14:paraId="5EB95A92" w14:textId="77777777" w:rsidTr="0076397A">
        <w:tc>
          <w:tcPr>
            <w:tcW w:w="3544" w:type="dxa"/>
            <w:tcBorders>
              <w:top w:val="single" w:sz="12" w:space="0" w:color="auto"/>
              <w:left w:val="nil"/>
              <w:bottom w:val="single" w:sz="4" w:space="0" w:color="auto"/>
              <w:right w:val="nil"/>
            </w:tcBorders>
            <w:shd w:val="clear" w:color="auto" w:fill="auto"/>
          </w:tcPr>
          <w:p w14:paraId="6235E8EE" w14:textId="77777777" w:rsidR="00DF55C1" w:rsidRPr="00F4226B" w:rsidRDefault="00DF55C1" w:rsidP="00522EA6">
            <w:pPr>
              <w:spacing w:after="0" w:line="360" w:lineRule="auto"/>
              <w:rPr>
                <w:rFonts w:ascii="Times New Roman" w:hAnsi="Times New Roman"/>
                <w:sz w:val="20"/>
                <w:szCs w:val="20"/>
                <w:lang w:val="en-US"/>
              </w:rPr>
            </w:pPr>
            <w:r w:rsidRPr="00F4226B">
              <w:rPr>
                <w:rFonts w:ascii="Times New Roman" w:hAnsi="Times New Roman"/>
                <w:sz w:val="20"/>
                <w:szCs w:val="20"/>
                <w:lang w:val="en-US"/>
              </w:rPr>
              <w:br w:type="page"/>
            </w:r>
          </w:p>
        </w:tc>
        <w:tc>
          <w:tcPr>
            <w:tcW w:w="1134" w:type="dxa"/>
            <w:tcBorders>
              <w:top w:val="single" w:sz="12" w:space="0" w:color="auto"/>
              <w:left w:val="nil"/>
              <w:bottom w:val="single" w:sz="4" w:space="0" w:color="auto"/>
              <w:right w:val="nil"/>
            </w:tcBorders>
            <w:shd w:val="clear" w:color="auto" w:fill="auto"/>
          </w:tcPr>
          <w:p w14:paraId="4935DE35" w14:textId="77777777" w:rsidR="00DF55C1" w:rsidRPr="00F4226B" w:rsidRDefault="00DF55C1" w:rsidP="00522EA6">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2000</w:t>
            </w:r>
          </w:p>
        </w:tc>
        <w:tc>
          <w:tcPr>
            <w:tcW w:w="709" w:type="dxa"/>
            <w:tcBorders>
              <w:top w:val="single" w:sz="12" w:space="0" w:color="auto"/>
              <w:left w:val="nil"/>
              <w:bottom w:val="single" w:sz="4" w:space="0" w:color="auto"/>
              <w:right w:val="nil"/>
            </w:tcBorders>
            <w:shd w:val="clear" w:color="auto" w:fill="auto"/>
          </w:tcPr>
          <w:p w14:paraId="329A78BD" w14:textId="77777777" w:rsidR="00DF55C1" w:rsidRPr="00F4226B" w:rsidRDefault="00DF55C1" w:rsidP="00522EA6">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2001</w:t>
            </w:r>
          </w:p>
        </w:tc>
        <w:tc>
          <w:tcPr>
            <w:tcW w:w="915" w:type="dxa"/>
            <w:tcBorders>
              <w:top w:val="single" w:sz="12" w:space="0" w:color="auto"/>
              <w:left w:val="nil"/>
              <w:bottom w:val="single" w:sz="4" w:space="0" w:color="auto"/>
              <w:right w:val="nil"/>
            </w:tcBorders>
            <w:shd w:val="clear" w:color="auto" w:fill="auto"/>
          </w:tcPr>
          <w:p w14:paraId="6B16AA32" w14:textId="77777777" w:rsidR="00DF55C1" w:rsidRPr="00F4226B" w:rsidRDefault="00DF55C1" w:rsidP="00522EA6">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2002</w:t>
            </w:r>
          </w:p>
        </w:tc>
        <w:tc>
          <w:tcPr>
            <w:tcW w:w="1270" w:type="dxa"/>
            <w:tcBorders>
              <w:top w:val="single" w:sz="12" w:space="0" w:color="auto"/>
              <w:left w:val="nil"/>
              <w:bottom w:val="single" w:sz="4" w:space="0" w:color="auto"/>
              <w:right w:val="nil"/>
            </w:tcBorders>
            <w:shd w:val="clear" w:color="auto" w:fill="auto"/>
          </w:tcPr>
          <w:p w14:paraId="5F8C4190" w14:textId="77777777" w:rsidR="00DF55C1" w:rsidRPr="00F4226B" w:rsidRDefault="00DF55C1" w:rsidP="00522EA6">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2003</w:t>
            </w:r>
          </w:p>
        </w:tc>
        <w:tc>
          <w:tcPr>
            <w:tcW w:w="650" w:type="dxa"/>
            <w:tcBorders>
              <w:top w:val="single" w:sz="12" w:space="0" w:color="auto"/>
              <w:left w:val="nil"/>
              <w:bottom w:val="single" w:sz="4" w:space="0" w:color="auto"/>
              <w:right w:val="nil"/>
            </w:tcBorders>
            <w:shd w:val="clear" w:color="auto" w:fill="auto"/>
          </w:tcPr>
          <w:p w14:paraId="22BC25D4" w14:textId="77777777" w:rsidR="00DF55C1" w:rsidRPr="00F4226B" w:rsidRDefault="00DF55C1" w:rsidP="00522EA6">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2004</w:t>
            </w:r>
          </w:p>
        </w:tc>
        <w:tc>
          <w:tcPr>
            <w:tcW w:w="992" w:type="dxa"/>
            <w:tcBorders>
              <w:top w:val="single" w:sz="12" w:space="0" w:color="auto"/>
              <w:left w:val="nil"/>
              <w:bottom w:val="single" w:sz="4" w:space="0" w:color="auto"/>
              <w:right w:val="nil"/>
            </w:tcBorders>
          </w:tcPr>
          <w:p w14:paraId="2703FACD" w14:textId="77777777" w:rsidR="00DF55C1" w:rsidRPr="00F4226B" w:rsidRDefault="00DF55C1" w:rsidP="00522EA6">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2005</w:t>
            </w:r>
          </w:p>
        </w:tc>
      </w:tr>
      <w:tr w:rsidR="0004108F" w:rsidRPr="00F4226B" w14:paraId="2B2E37A1" w14:textId="77777777" w:rsidTr="0076397A">
        <w:tc>
          <w:tcPr>
            <w:tcW w:w="3544" w:type="dxa"/>
            <w:tcBorders>
              <w:top w:val="single" w:sz="4" w:space="0" w:color="auto"/>
              <w:left w:val="nil"/>
              <w:bottom w:val="nil"/>
              <w:right w:val="nil"/>
            </w:tcBorders>
            <w:shd w:val="clear" w:color="auto" w:fill="auto"/>
          </w:tcPr>
          <w:p w14:paraId="07D4738D" w14:textId="77777777" w:rsidR="00DF55C1" w:rsidRPr="00F4226B" w:rsidRDefault="00DF55C1" w:rsidP="00B77EB7">
            <w:pPr>
              <w:spacing w:after="0" w:line="360" w:lineRule="auto"/>
              <w:ind w:left="-108"/>
              <w:rPr>
                <w:rFonts w:ascii="Times New Roman" w:hAnsi="Times New Roman"/>
                <w:b/>
                <w:sz w:val="20"/>
                <w:szCs w:val="20"/>
                <w:lang w:val="en-US"/>
              </w:rPr>
            </w:pPr>
          </w:p>
        </w:tc>
        <w:tc>
          <w:tcPr>
            <w:tcW w:w="1134" w:type="dxa"/>
            <w:tcBorders>
              <w:top w:val="single" w:sz="4" w:space="0" w:color="auto"/>
              <w:left w:val="nil"/>
              <w:bottom w:val="nil"/>
              <w:right w:val="nil"/>
            </w:tcBorders>
            <w:shd w:val="clear" w:color="auto" w:fill="auto"/>
          </w:tcPr>
          <w:p w14:paraId="7C6199E6" w14:textId="77777777" w:rsidR="00DF55C1" w:rsidRPr="00F4226B" w:rsidRDefault="00DF55C1" w:rsidP="00B77EB7">
            <w:pPr>
              <w:spacing w:after="0" w:line="360" w:lineRule="auto"/>
              <w:jc w:val="center"/>
              <w:rPr>
                <w:rFonts w:ascii="Times New Roman" w:hAnsi="Times New Roman"/>
                <w:sz w:val="20"/>
                <w:szCs w:val="20"/>
                <w:lang w:val="en-US"/>
              </w:rPr>
            </w:pPr>
          </w:p>
        </w:tc>
        <w:tc>
          <w:tcPr>
            <w:tcW w:w="709" w:type="dxa"/>
            <w:tcBorders>
              <w:top w:val="single" w:sz="4" w:space="0" w:color="auto"/>
              <w:left w:val="nil"/>
              <w:bottom w:val="nil"/>
              <w:right w:val="nil"/>
            </w:tcBorders>
            <w:shd w:val="clear" w:color="auto" w:fill="auto"/>
          </w:tcPr>
          <w:p w14:paraId="4759F6CE" w14:textId="77777777" w:rsidR="00DF55C1" w:rsidRPr="00F4226B" w:rsidRDefault="00DF55C1" w:rsidP="00B77EB7">
            <w:pPr>
              <w:spacing w:after="0" w:line="360" w:lineRule="auto"/>
              <w:jc w:val="center"/>
              <w:rPr>
                <w:rFonts w:ascii="Times New Roman" w:hAnsi="Times New Roman"/>
                <w:sz w:val="20"/>
                <w:szCs w:val="20"/>
                <w:lang w:val="en-US"/>
              </w:rPr>
            </w:pPr>
          </w:p>
        </w:tc>
        <w:tc>
          <w:tcPr>
            <w:tcW w:w="915" w:type="dxa"/>
            <w:tcBorders>
              <w:top w:val="single" w:sz="4" w:space="0" w:color="auto"/>
              <w:left w:val="nil"/>
              <w:bottom w:val="nil"/>
              <w:right w:val="nil"/>
            </w:tcBorders>
            <w:shd w:val="clear" w:color="auto" w:fill="auto"/>
          </w:tcPr>
          <w:p w14:paraId="615E0630" w14:textId="77777777" w:rsidR="00DF55C1" w:rsidRPr="00F4226B" w:rsidRDefault="00DF55C1" w:rsidP="00B77EB7">
            <w:pPr>
              <w:spacing w:after="0" w:line="360" w:lineRule="auto"/>
              <w:jc w:val="center"/>
              <w:rPr>
                <w:rFonts w:ascii="Times New Roman" w:hAnsi="Times New Roman"/>
                <w:sz w:val="20"/>
                <w:szCs w:val="20"/>
                <w:lang w:val="en-US"/>
              </w:rPr>
            </w:pPr>
          </w:p>
        </w:tc>
        <w:tc>
          <w:tcPr>
            <w:tcW w:w="1270" w:type="dxa"/>
            <w:tcBorders>
              <w:top w:val="single" w:sz="4" w:space="0" w:color="auto"/>
              <w:left w:val="nil"/>
              <w:bottom w:val="nil"/>
              <w:right w:val="nil"/>
            </w:tcBorders>
            <w:shd w:val="clear" w:color="auto" w:fill="auto"/>
          </w:tcPr>
          <w:p w14:paraId="6F2058F8" w14:textId="77777777" w:rsidR="00DF55C1" w:rsidRPr="00F4226B" w:rsidRDefault="00DF55C1" w:rsidP="00B77EB7">
            <w:pPr>
              <w:spacing w:after="0" w:line="360" w:lineRule="auto"/>
              <w:jc w:val="center"/>
              <w:rPr>
                <w:rFonts w:ascii="Times New Roman" w:hAnsi="Times New Roman"/>
                <w:sz w:val="20"/>
                <w:szCs w:val="20"/>
                <w:lang w:val="en-US"/>
              </w:rPr>
            </w:pPr>
          </w:p>
        </w:tc>
        <w:tc>
          <w:tcPr>
            <w:tcW w:w="650" w:type="dxa"/>
            <w:tcBorders>
              <w:top w:val="single" w:sz="4" w:space="0" w:color="auto"/>
              <w:left w:val="nil"/>
              <w:bottom w:val="nil"/>
              <w:right w:val="nil"/>
            </w:tcBorders>
            <w:shd w:val="clear" w:color="auto" w:fill="auto"/>
          </w:tcPr>
          <w:p w14:paraId="470213C3" w14:textId="77777777" w:rsidR="00DF55C1" w:rsidRPr="00F4226B" w:rsidRDefault="00DF55C1" w:rsidP="00B77EB7">
            <w:pPr>
              <w:spacing w:after="0" w:line="360" w:lineRule="auto"/>
              <w:jc w:val="center"/>
              <w:rPr>
                <w:rFonts w:ascii="Times New Roman" w:hAnsi="Times New Roman"/>
                <w:sz w:val="20"/>
                <w:szCs w:val="20"/>
                <w:lang w:val="en-US"/>
              </w:rPr>
            </w:pPr>
          </w:p>
        </w:tc>
        <w:tc>
          <w:tcPr>
            <w:tcW w:w="992" w:type="dxa"/>
            <w:tcBorders>
              <w:top w:val="single" w:sz="4" w:space="0" w:color="auto"/>
              <w:left w:val="nil"/>
              <w:bottom w:val="nil"/>
              <w:right w:val="nil"/>
            </w:tcBorders>
          </w:tcPr>
          <w:p w14:paraId="35BCE872" w14:textId="77777777" w:rsidR="00DF55C1" w:rsidRPr="00F4226B" w:rsidRDefault="00DF55C1" w:rsidP="00B77EB7">
            <w:pPr>
              <w:spacing w:after="0" w:line="360" w:lineRule="auto"/>
              <w:jc w:val="center"/>
              <w:rPr>
                <w:rFonts w:ascii="Times New Roman" w:hAnsi="Times New Roman"/>
                <w:sz w:val="20"/>
                <w:szCs w:val="20"/>
                <w:lang w:val="en-US"/>
              </w:rPr>
            </w:pPr>
          </w:p>
        </w:tc>
      </w:tr>
      <w:tr w:rsidR="0004108F" w:rsidRPr="00F4226B" w14:paraId="1AF457BF" w14:textId="77777777" w:rsidTr="0004108F">
        <w:tc>
          <w:tcPr>
            <w:tcW w:w="3544" w:type="dxa"/>
            <w:tcBorders>
              <w:top w:val="nil"/>
              <w:left w:val="nil"/>
              <w:bottom w:val="nil"/>
              <w:right w:val="nil"/>
            </w:tcBorders>
            <w:shd w:val="clear" w:color="auto" w:fill="auto"/>
          </w:tcPr>
          <w:p w14:paraId="2718E9A4" w14:textId="77777777" w:rsidR="00DF55C1" w:rsidRPr="00F4226B" w:rsidRDefault="00DF55C1" w:rsidP="00B77EB7">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No. of firms listed on the ZSE at year-end</w:t>
            </w:r>
          </w:p>
        </w:tc>
        <w:tc>
          <w:tcPr>
            <w:tcW w:w="1134" w:type="dxa"/>
            <w:tcBorders>
              <w:top w:val="nil"/>
              <w:left w:val="nil"/>
              <w:bottom w:val="nil"/>
              <w:right w:val="nil"/>
            </w:tcBorders>
            <w:shd w:val="clear" w:color="auto" w:fill="auto"/>
          </w:tcPr>
          <w:p w14:paraId="01C7FD5E"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71</w:t>
            </w:r>
          </w:p>
        </w:tc>
        <w:tc>
          <w:tcPr>
            <w:tcW w:w="709" w:type="dxa"/>
            <w:tcBorders>
              <w:top w:val="nil"/>
              <w:left w:val="nil"/>
              <w:bottom w:val="nil"/>
              <w:right w:val="nil"/>
            </w:tcBorders>
            <w:shd w:val="clear" w:color="auto" w:fill="auto"/>
          </w:tcPr>
          <w:p w14:paraId="704FA8E2"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74</w:t>
            </w:r>
          </w:p>
        </w:tc>
        <w:tc>
          <w:tcPr>
            <w:tcW w:w="915" w:type="dxa"/>
            <w:tcBorders>
              <w:top w:val="nil"/>
              <w:left w:val="nil"/>
              <w:bottom w:val="nil"/>
              <w:right w:val="nil"/>
            </w:tcBorders>
            <w:shd w:val="clear" w:color="auto" w:fill="auto"/>
          </w:tcPr>
          <w:p w14:paraId="3B0EC69D"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77</w:t>
            </w:r>
          </w:p>
        </w:tc>
        <w:tc>
          <w:tcPr>
            <w:tcW w:w="1270" w:type="dxa"/>
            <w:tcBorders>
              <w:top w:val="nil"/>
              <w:left w:val="nil"/>
              <w:bottom w:val="nil"/>
              <w:right w:val="nil"/>
            </w:tcBorders>
            <w:shd w:val="clear" w:color="auto" w:fill="auto"/>
          </w:tcPr>
          <w:p w14:paraId="40E63DCA"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82</w:t>
            </w:r>
          </w:p>
        </w:tc>
        <w:tc>
          <w:tcPr>
            <w:tcW w:w="650" w:type="dxa"/>
            <w:tcBorders>
              <w:top w:val="nil"/>
              <w:left w:val="nil"/>
              <w:bottom w:val="nil"/>
              <w:right w:val="nil"/>
            </w:tcBorders>
            <w:shd w:val="clear" w:color="auto" w:fill="auto"/>
          </w:tcPr>
          <w:p w14:paraId="5BDD5688"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79</w:t>
            </w:r>
          </w:p>
        </w:tc>
        <w:tc>
          <w:tcPr>
            <w:tcW w:w="992" w:type="dxa"/>
            <w:tcBorders>
              <w:top w:val="nil"/>
              <w:left w:val="nil"/>
              <w:bottom w:val="nil"/>
              <w:right w:val="nil"/>
            </w:tcBorders>
          </w:tcPr>
          <w:p w14:paraId="554D8BAD"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79</w:t>
            </w:r>
          </w:p>
        </w:tc>
      </w:tr>
      <w:tr w:rsidR="0004108F" w:rsidRPr="00F4226B" w14:paraId="761B6D63" w14:textId="77777777" w:rsidTr="0004108F">
        <w:tc>
          <w:tcPr>
            <w:tcW w:w="3544" w:type="dxa"/>
            <w:tcBorders>
              <w:top w:val="nil"/>
              <w:left w:val="nil"/>
              <w:bottom w:val="nil"/>
              <w:right w:val="nil"/>
            </w:tcBorders>
            <w:shd w:val="clear" w:color="auto" w:fill="auto"/>
          </w:tcPr>
          <w:p w14:paraId="2AD70372" w14:textId="77777777" w:rsidR="00DF55C1" w:rsidRPr="00F4226B" w:rsidRDefault="00DF55C1" w:rsidP="00B77EB7">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Less: Banks</w:t>
            </w:r>
          </w:p>
        </w:tc>
        <w:tc>
          <w:tcPr>
            <w:tcW w:w="1134" w:type="dxa"/>
            <w:tcBorders>
              <w:top w:val="nil"/>
              <w:left w:val="nil"/>
              <w:bottom w:val="nil"/>
              <w:right w:val="nil"/>
            </w:tcBorders>
            <w:shd w:val="clear" w:color="auto" w:fill="auto"/>
          </w:tcPr>
          <w:p w14:paraId="15ABE3B7"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w:t>
            </w:r>
          </w:p>
        </w:tc>
        <w:tc>
          <w:tcPr>
            <w:tcW w:w="709" w:type="dxa"/>
            <w:tcBorders>
              <w:top w:val="nil"/>
              <w:left w:val="nil"/>
              <w:bottom w:val="nil"/>
              <w:right w:val="nil"/>
            </w:tcBorders>
            <w:shd w:val="clear" w:color="auto" w:fill="auto"/>
          </w:tcPr>
          <w:p w14:paraId="7E4B98E7"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9</w:t>
            </w:r>
          </w:p>
        </w:tc>
        <w:tc>
          <w:tcPr>
            <w:tcW w:w="915" w:type="dxa"/>
            <w:tcBorders>
              <w:top w:val="nil"/>
              <w:left w:val="nil"/>
              <w:bottom w:val="nil"/>
              <w:right w:val="nil"/>
            </w:tcBorders>
            <w:shd w:val="clear" w:color="auto" w:fill="auto"/>
          </w:tcPr>
          <w:p w14:paraId="3535C350"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10</w:t>
            </w:r>
          </w:p>
        </w:tc>
        <w:tc>
          <w:tcPr>
            <w:tcW w:w="1270" w:type="dxa"/>
            <w:tcBorders>
              <w:top w:val="nil"/>
              <w:left w:val="nil"/>
              <w:bottom w:val="nil"/>
              <w:right w:val="nil"/>
            </w:tcBorders>
            <w:shd w:val="clear" w:color="auto" w:fill="auto"/>
          </w:tcPr>
          <w:p w14:paraId="6A92B564"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10</w:t>
            </w:r>
          </w:p>
        </w:tc>
        <w:tc>
          <w:tcPr>
            <w:tcW w:w="650" w:type="dxa"/>
            <w:tcBorders>
              <w:top w:val="nil"/>
              <w:left w:val="nil"/>
              <w:bottom w:val="nil"/>
              <w:right w:val="nil"/>
            </w:tcBorders>
            <w:shd w:val="clear" w:color="auto" w:fill="auto"/>
          </w:tcPr>
          <w:p w14:paraId="1945BBA9"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10</w:t>
            </w:r>
          </w:p>
        </w:tc>
        <w:tc>
          <w:tcPr>
            <w:tcW w:w="992" w:type="dxa"/>
            <w:tcBorders>
              <w:top w:val="nil"/>
              <w:left w:val="nil"/>
              <w:bottom w:val="nil"/>
              <w:right w:val="nil"/>
            </w:tcBorders>
          </w:tcPr>
          <w:p w14:paraId="233CFF50"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10</w:t>
            </w:r>
          </w:p>
        </w:tc>
      </w:tr>
      <w:tr w:rsidR="0004108F" w:rsidRPr="00F4226B" w14:paraId="54F72E9E" w14:textId="77777777" w:rsidTr="0004108F">
        <w:tc>
          <w:tcPr>
            <w:tcW w:w="3544" w:type="dxa"/>
            <w:tcBorders>
              <w:top w:val="nil"/>
              <w:left w:val="nil"/>
              <w:bottom w:val="nil"/>
              <w:right w:val="nil"/>
            </w:tcBorders>
            <w:shd w:val="clear" w:color="auto" w:fill="auto"/>
          </w:tcPr>
          <w:p w14:paraId="15405A31" w14:textId="77777777" w:rsidR="00DF55C1" w:rsidRPr="00F4226B" w:rsidRDefault="003E289B" w:rsidP="003E289B">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 xml:space="preserve">Less: </w:t>
            </w:r>
            <w:r w:rsidR="00DF55C1" w:rsidRPr="00F4226B">
              <w:rPr>
                <w:rFonts w:ascii="Times New Roman" w:hAnsi="Times New Roman"/>
                <w:sz w:val="20"/>
                <w:szCs w:val="20"/>
                <w:lang w:val="en-US"/>
              </w:rPr>
              <w:t>Insurance and mutual funds</w:t>
            </w:r>
          </w:p>
        </w:tc>
        <w:tc>
          <w:tcPr>
            <w:tcW w:w="1134" w:type="dxa"/>
            <w:tcBorders>
              <w:top w:val="nil"/>
              <w:left w:val="nil"/>
              <w:bottom w:val="nil"/>
              <w:right w:val="nil"/>
            </w:tcBorders>
            <w:shd w:val="clear" w:color="auto" w:fill="auto"/>
          </w:tcPr>
          <w:p w14:paraId="60D0BA94"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w:t>
            </w:r>
          </w:p>
        </w:tc>
        <w:tc>
          <w:tcPr>
            <w:tcW w:w="709" w:type="dxa"/>
            <w:tcBorders>
              <w:top w:val="nil"/>
              <w:left w:val="nil"/>
              <w:bottom w:val="nil"/>
              <w:right w:val="nil"/>
            </w:tcBorders>
            <w:shd w:val="clear" w:color="auto" w:fill="auto"/>
          </w:tcPr>
          <w:p w14:paraId="4292A31F"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4</w:t>
            </w:r>
          </w:p>
        </w:tc>
        <w:tc>
          <w:tcPr>
            <w:tcW w:w="915" w:type="dxa"/>
            <w:tcBorders>
              <w:top w:val="nil"/>
              <w:left w:val="nil"/>
              <w:bottom w:val="nil"/>
              <w:right w:val="nil"/>
            </w:tcBorders>
            <w:shd w:val="clear" w:color="auto" w:fill="auto"/>
          </w:tcPr>
          <w:p w14:paraId="0E88B08F"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w:t>
            </w:r>
          </w:p>
        </w:tc>
        <w:tc>
          <w:tcPr>
            <w:tcW w:w="1270" w:type="dxa"/>
            <w:tcBorders>
              <w:top w:val="nil"/>
              <w:left w:val="nil"/>
              <w:bottom w:val="nil"/>
              <w:right w:val="nil"/>
            </w:tcBorders>
            <w:shd w:val="clear" w:color="auto" w:fill="auto"/>
          </w:tcPr>
          <w:p w14:paraId="2CEA1EB0"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w:t>
            </w:r>
          </w:p>
        </w:tc>
        <w:tc>
          <w:tcPr>
            <w:tcW w:w="650" w:type="dxa"/>
            <w:tcBorders>
              <w:top w:val="nil"/>
              <w:left w:val="nil"/>
              <w:bottom w:val="nil"/>
              <w:right w:val="nil"/>
            </w:tcBorders>
            <w:shd w:val="clear" w:color="auto" w:fill="auto"/>
          </w:tcPr>
          <w:p w14:paraId="2CA81D61"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w:t>
            </w:r>
          </w:p>
        </w:tc>
        <w:tc>
          <w:tcPr>
            <w:tcW w:w="992" w:type="dxa"/>
            <w:tcBorders>
              <w:top w:val="nil"/>
              <w:left w:val="nil"/>
              <w:bottom w:val="nil"/>
              <w:right w:val="nil"/>
            </w:tcBorders>
          </w:tcPr>
          <w:p w14:paraId="487BEB1A"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7</w:t>
            </w:r>
          </w:p>
        </w:tc>
      </w:tr>
      <w:tr w:rsidR="0004108F" w:rsidRPr="00F4226B" w14:paraId="7C7F1868" w14:textId="77777777" w:rsidTr="0004108F">
        <w:tc>
          <w:tcPr>
            <w:tcW w:w="3544" w:type="dxa"/>
            <w:tcBorders>
              <w:top w:val="nil"/>
              <w:left w:val="nil"/>
              <w:bottom w:val="nil"/>
              <w:right w:val="nil"/>
            </w:tcBorders>
            <w:shd w:val="clear" w:color="auto" w:fill="auto"/>
          </w:tcPr>
          <w:p w14:paraId="29C44C00" w14:textId="331B6474" w:rsidR="00DF55C1" w:rsidRPr="00F4226B" w:rsidRDefault="00DF55C1" w:rsidP="00B77EB7">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Total nonfinancial firms</w:t>
            </w:r>
          </w:p>
        </w:tc>
        <w:tc>
          <w:tcPr>
            <w:tcW w:w="1134" w:type="dxa"/>
            <w:tcBorders>
              <w:top w:val="nil"/>
              <w:left w:val="nil"/>
              <w:bottom w:val="nil"/>
              <w:right w:val="nil"/>
            </w:tcBorders>
            <w:shd w:val="clear" w:color="auto" w:fill="auto"/>
          </w:tcPr>
          <w:p w14:paraId="6AA4655A"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62</w:t>
            </w:r>
          </w:p>
        </w:tc>
        <w:tc>
          <w:tcPr>
            <w:tcW w:w="709" w:type="dxa"/>
            <w:tcBorders>
              <w:top w:val="nil"/>
              <w:left w:val="nil"/>
              <w:bottom w:val="nil"/>
              <w:right w:val="nil"/>
            </w:tcBorders>
            <w:shd w:val="clear" w:color="auto" w:fill="auto"/>
          </w:tcPr>
          <w:p w14:paraId="3FD1273B"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61</w:t>
            </w:r>
          </w:p>
        </w:tc>
        <w:tc>
          <w:tcPr>
            <w:tcW w:w="915" w:type="dxa"/>
            <w:tcBorders>
              <w:top w:val="nil"/>
              <w:left w:val="nil"/>
              <w:bottom w:val="nil"/>
              <w:right w:val="nil"/>
            </w:tcBorders>
            <w:shd w:val="clear" w:color="auto" w:fill="auto"/>
          </w:tcPr>
          <w:p w14:paraId="55DACDBC"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60</w:t>
            </w:r>
          </w:p>
        </w:tc>
        <w:tc>
          <w:tcPr>
            <w:tcW w:w="1270" w:type="dxa"/>
            <w:tcBorders>
              <w:top w:val="nil"/>
              <w:left w:val="nil"/>
              <w:bottom w:val="nil"/>
              <w:right w:val="nil"/>
            </w:tcBorders>
            <w:shd w:val="clear" w:color="auto" w:fill="auto"/>
          </w:tcPr>
          <w:p w14:paraId="46139431"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65</w:t>
            </w:r>
          </w:p>
        </w:tc>
        <w:tc>
          <w:tcPr>
            <w:tcW w:w="650" w:type="dxa"/>
            <w:tcBorders>
              <w:top w:val="nil"/>
              <w:left w:val="nil"/>
              <w:bottom w:val="nil"/>
              <w:right w:val="nil"/>
            </w:tcBorders>
            <w:shd w:val="clear" w:color="auto" w:fill="auto"/>
          </w:tcPr>
          <w:p w14:paraId="7828EF0B"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62</w:t>
            </w:r>
          </w:p>
        </w:tc>
        <w:tc>
          <w:tcPr>
            <w:tcW w:w="992" w:type="dxa"/>
            <w:tcBorders>
              <w:top w:val="nil"/>
              <w:left w:val="nil"/>
              <w:bottom w:val="nil"/>
              <w:right w:val="nil"/>
            </w:tcBorders>
          </w:tcPr>
          <w:p w14:paraId="556771A1"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62</w:t>
            </w:r>
          </w:p>
        </w:tc>
      </w:tr>
      <w:tr w:rsidR="0004108F" w:rsidRPr="00F4226B" w14:paraId="4C83BABE" w14:textId="77777777" w:rsidTr="0004108F">
        <w:tc>
          <w:tcPr>
            <w:tcW w:w="3544" w:type="dxa"/>
            <w:tcBorders>
              <w:top w:val="nil"/>
              <w:left w:val="nil"/>
              <w:bottom w:val="nil"/>
              <w:right w:val="nil"/>
            </w:tcBorders>
            <w:shd w:val="clear" w:color="auto" w:fill="auto"/>
          </w:tcPr>
          <w:p w14:paraId="32D855B4" w14:textId="77777777" w:rsidR="00DF55C1" w:rsidRPr="00F4226B" w:rsidRDefault="00DF55C1" w:rsidP="00B77EB7">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Less: Firms not complying with IAS 29*</w:t>
            </w:r>
          </w:p>
        </w:tc>
        <w:tc>
          <w:tcPr>
            <w:tcW w:w="1134" w:type="dxa"/>
            <w:tcBorders>
              <w:top w:val="nil"/>
              <w:left w:val="nil"/>
              <w:bottom w:val="nil"/>
              <w:right w:val="nil"/>
            </w:tcBorders>
            <w:shd w:val="clear" w:color="auto" w:fill="auto"/>
          </w:tcPr>
          <w:p w14:paraId="305CA10D"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46</w:t>
            </w:r>
          </w:p>
        </w:tc>
        <w:tc>
          <w:tcPr>
            <w:tcW w:w="709" w:type="dxa"/>
            <w:tcBorders>
              <w:top w:val="nil"/>
              <w:left w:val="nil"/>
              <w:bottom w:val="nil"/>
              <w:right w:val="nil"/>
            </w:tcBorders>
            <w:shd w:val="clear" w:color="auto" w:fill="auto"/>
          </w:tcPr>
          <w:p w14:paraId="6C9B2E36"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25</w:t>
            </w:r>
          </w:p>
        </w:tc>
        <w:tc>
          <w:tcPr>
            <w:tcW w:w="915" w:type="dxa"/>
            <w:tcBorders>
              <w:top w:val="nil"/>
              <w:left w:val="nil"/>
              <w:bottom w:val="nil"/>
              <w:right w:val="nil"/>
            </w:tcBorders>
            <w:shd w:val="clear" w:color="auto" w:fill="auto"/>
          </w:tcPr>
          <w:p w14:paraId="1848BA31"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19</w:t>
            </w:r>
          </w:p>
        </w:tc>
        <w:tc>
          <w:tcPr>
            <w:tcW w:w="1270" w:type="dxa"/>
            <w:tcBorders>
              <w:top w:val="nil"/>
              <w:left w:val="nil"/>
              <w:bottom w:val="nil"/>
              <w:right w:val="nil"/>
            </w:tcBorders>
            <w:shd w:val="clear" w:color="auto" w:fill="auto"/>
          </w:tcPr>
          <w:p w14:paraId="391BA4EC"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28</w:t>
            </w:r>
          </w:p>
        </w:tc>
        <w:tc>
          <w:tcPr>
            <w:tcW w:w="650" w:type="dxa"/>
            <w:tcBorders>
              <w:top w:val="nil"/>
              <w:left w:val="nil"/>
              <w:bottom w:val="nil"/>
              <w:right w:val="nil"/>
            </w:tcBorders>
            <w:shd w:val="clear" w:color="auto" w:fill="auto"/>
          </w:tcPr>
          <w:p w14:paraId="7492B145"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24</w:t>
            </w:r>
          </w:p>
        </w:tc>
        <w:tc>
          <w:tcPr>
            <w:tcW w:w="992" w:type="dxa"/>
            <w:tcBorders>
              <w:top w:val="nil"/>
              <w:left w:val="nil"/>
              <w:bottom w:val="nil"/>
              <w:right w:val="nil"/>
            </w:tcBorders>
          </w:tcPr>
          <w:p w14:paraId="3AA7A578"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24</w:t>
            </w:r>
          </w:p>
        </w:tc>
      </w:tr>
      <w:tr w:rsidR="0004108F" w:rsidRPr="00F4226B" w14:paraId="1BE159DA" w14:textId="77777777" w:rsidTr="0076397A">
        <w:tc>
          <w:tcPr>
            <w:tcW w:w="3544" w:type="dxa"/>
            <w:tcBorders>
              <w:top w:val="nil"/>
              <w:left w:val="nil"/>
              <w:bottom w:val="nil"/>
              <w:right w:val="nil"/>
            </w:tcBorders>
            <w:shd w:val="clear" w:color="auto" w:fill="auto"/>
          </w:tcPr>
          <w:p w14:paraId="749FF62B" w14:textId="77777777" w:rsidR="00DF55C1" w:rsidRPr="00F4226B" w:rsidRDefault="00DF55C1" w:rsidP="00B77EB7">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Less: Firms with missing share price data</w:t>
            </w:r>
          </w:p>
        </w:tc>
        <w:tc>
          <w:tcPr>
            <w:tcW w:w="1134" w:type="dxa"/>
            <w:tcBorders>
              <w:top w:val="nil"/>
              <w:left w:val="nil"/>
              <w:bottom w:val="nil"/>
              <w:right w:val="nil"/>
            </w:tcBorders>
            <w:shd w:val="clear" w:color="auto" w:fill="auto"/>
          </w:tcPr>
          <w:p w14:paraId="37B3C615"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4</w:t>
            </w:r>
          </w:p>
        </w:tc>
        <w:tc>
          <w:tcPr>
            <w:tcW w:w="709" w:type="dxa"/>
            <w:tcBorders>
              <w:top w:val="nil"/>
              <w:left w:val="nil"/>
              <w:bottom w:val="nil"/>
              <w:right w:val="nil"/>
            </w:tcBorders>
            <w:shd w:val="clear" w:color="auto" w:fill="auto"/>
          </w:tcPr>
          <w:p w14:paraId="06C2F437"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w:t>
            </w:r>
          </w:p>
        </w:tc>
        <w:tc>
          <w:tcPr>
            <w:tcW w:w="915" w:type="dxa"/>
            <w:tcBorders>
              <w:top w:val="nil"/>
              <w:left w:val="nil"/>
              <w:bottom w:val="nil"/>
              <w:right w:val="nil"/>
            </w:tcBorders>
            <w:shd w:val="clear" w:color="auto" w:fill="auto"/>
          </w:tcPr>
          <w:p w14:paraId="001F9AA1"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w:t>
            </w:r>
          </w:p>
        </w:tc>
        <w:tc>
          <w:tcPr>
            <w:tcW w:w="1270" w:type="dxa"/>
            <w:tcBorders>
              <w:top w:val="nil"/>
              <w:left w:val="nil"/>
              <w:bottom w:val="nil"/>
              <w:right w:val="nil"/>
            </w:tcBorders>
            <w:shd w:val="clear" w:color="auto" w:fill="auto"/>
          </w:tcPr>
          <w:p w14:paraId="577BD240"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w:t>
            </w:r>
          </w:p>
        </w:tc>
        <w:tc>
          <w:tcPr>
            <w:tcW w:w="650" w:type="dxa"/>
            <w:tcBorders>
              <w:top w:val="nil"/>
              <w:left w:val="nil"/>
              <w:bottom w:val="nil"/>
              <w:right w:val="nil"/>
            </w:tcBorders>
            <w:shd w:val="clear" w:color="auto" w:fill="auto"/>
          </w:tcPr>
          <w:p w14:paraId="443DD132"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0</w:t>
            </w:r>
          </w:p>
        </w:tc>
        <w:tc>
          <w:tcPr>
            <w:tcW w:w="992" w:type="dxa"/>
            <w:tcBorders>
              <w:top w:val="nil"/>
              <w:left w:val="nil"/>
              <w:bottom w:val="nil"/>
              <w:right w:val="nil"/>
            </w:tcBorders>
          </w:tcPr>
          <w:p w14:paraId="128F3B44"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0</w:t>
            </w:r>
          </w:p>
        </w:tc>
      </w:tr>
      <w:tr w:rsidR="0004108F" w:rsidRPr="00F4226B" w14:paraId="0A38C85D" w14:textId="77777777" w:rsidTr="0076397A">
        <w:trPr>
          <w:trHeight w:val="340"/>
        </w:trPr>
        <w:tc>
          <w:tcPr>
            <w:tcW w:w="3544" w:type="dxa"/>
            <w:tcBorders>
              <w:top w:val="nil"/>
              <w:left w:val="nil"/>
              <w:bottom w:val="single" w:sz="12" w:space="0" w:color="auto"/>
              <w:right w:val="nil"/>
            </w:tcBorders>
            <w:shd w:val="clear" w:color="auto" w:fill="auto"/>
          </w:tcPr>
          <w:p w14:paraId="2F40B1E0" w14:textId="77777777" w:rsidR="00DF55C1" w:rsidRPr="00F4226B" w:rsidRDefault="00DF55C1" w:rsidP="00B77EB7">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Final sample of non-financial firms</w:t>
            </w:r>
          </w:p>
        </w:tc>
        <w:tc>
          <w:tcPr>
            <w:tcW w:w="1134" w:type="dxa"/>
            <w:tcBorders>
              <w:top w:val="nil"/>
              <w:left w:val="nil"/>
              <w:bottom w:val="single" w:sz="12" w:space="0" w:color="auto"/>
              <w:right w:val="nil"/>
            </w:tcBorders>
            <w:shd w:val="clear" w:color="auto" w:fill="auto"/>
          </w:tcPr>
          <w:p w14:paraId="5FF4A242"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12</w:t>
            </w:r>
          </w:p>
        </w:tc>
        <w:tc>
          <w:tcPr>
            <w:tcW w:w="709" w:type="dxa"/>
            <w:tcBorders>
              <w:top w:val="nil"/>
              <w:left w:val="nil"/>
              <w:bottom w:val="single" w:sz="12" w:space="0" w:color="auto"/>
              <w:right w:val="nil"/>
            </w:tcBorders>
            <w:shd w:val="clear" w:color="auto" w:fill="auto"/>
          </w:tcPr>
          <w:p w14:paraId="4701AD8B"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30</w:t>
            </w:r>
          </w:p>
        </w:tc>
        <w:tc>
          <w:tcPr>
            <w:tcW w:w="915" w:type="dxa"/>
            <w:tcBorders>
              <w:top w:val="nil"/>
              <w:left w:val="nil"/>
              <w:bottom w:val="single" w:sz="12" w:space="0" w:color="auto"/>
              <w:right w:val="nil"/>
            </w:tcBorders>
            <w:shd w:val="clear" w:color="auto" w:fill="auto"/>
          </w:tcPr>
          <w:p w14:paraId="266B9918"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39</w:t>
            </w:r>
          </w:p>
        </w:tc>
        <w:tc>
          <w:tcPr>
            <w:tcW w:w="1270" w:type="dxa"/>
            <w:tcBorders>
              <w:top w:val="nil"/>
              <w:left w:val="nil"/>
              <w:bottom w:val="single" w:sz="12" w:space="0" w:color="auto"/>
              <w:right w:val="nil"/>
            </w:tcBorders>
            <w:shd w:val="clear" w:color="auto" w:fill="auto"/>
          </w:tcPr>
          <w:p w14:paraId="08DD0144"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36</w:t>
            </w:r>
          </w:p>
        </w:tc>
        <w:tc>
          <w:tcPr>
            <w:tcW w:w="650" w:type="dxa"/>
            <w:tcBorders>
              <w:top w:val="nil"/>
              <w:left w:val="nil"/>
              <w:bottom w:val="single" w:sz="12" w:space="0" w:color="auto"/>
              <w:right w:val="nil"/>
            </w:tcBorders>
            <w:shd w:val="clear" w:color="auto" w:fill="auto"/>
          </w:tcPr>
          <w:p w14:paraId="2186557D"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38</w:t>
            </w:r>
          </w:p>
        </w:tc>
        <w:tc>
          <w:tcPr>
            <w:tcW w:w="992" w:type="dxa"/>
            <w:tcBorders>
              <w:top w:val="nil"/>
              <w:left w:val="nil"/>
              <w:bottom w:val="single" w:sz="12" w:space="0" w:color="auto"/>
              <w:right w:val="nil"/>
            </w:tcBorders>
          </w:tcPr>
          <w:p w14:paraId="398A5056" w14:textId="77777777" w:rsidR="00DF55C1" w:rsidRPr="00F4226B" w:rsidRDefault="00DF55C1" w:rsidP="00B77EB7">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38</w:t>
            </w:r>
          </w:p>
        </w:tc>
      </w:tr>
      <w:tr w:rsidR="00806811" w:rsidRPr="00F4226B" w14:paraId="56C22F98" w14:textId="77777777" w:rsidTr="0076397A">
        <w:tc>
          <w:tcPr>
            <w:tcW w:w="9214" w:type="dxa"/>
            <w:gridSpan w:val="7"/>
            <w:tcBorders>
              <w:top w:val="single" w:sz="12" w:space="0" w:color="auto"/>
              <w:left w:val="nil"/>
              <w:bottom w:val="nil"/>
              <w:right w:val="nil"/>
            </w:tcBorders>
            <w:shd w:val="clear" w:color="auto" w:fill="auto"/>
          </w:tcPr>
          <w:p w14:paraId="3F6B5873" w14:textId="77777777" w:rsidR="003562C7" w:rsidRPr="00F4226B" w:rsidRDefault="004D77A4" w:rsidP="004D77A4">
            <w:pPr>
              <w:tabs>
                <w:tab w:val="left" w:pos="9354"/>
                <w:tab w:val="left" w:pos="9432"/>
              </w:tabs>
              <w:spacing w:after="120" w:line="240" w:lineRule="auto"/>
              <w:ind w:left="36" w:right="-108" w:hanging="144"/>
              <w:jc w:val="both"/>
              <w:rPr>
                <w:rFonts w:ascii="Times New Roman" w:hAnsi="Times New Roman"/>
                <w:sz w:val="20"/>
                <w:szCs w:val="20"/>
                <w:lang w:val="en-US"/>
              </w:rPr>
            </w:pPr>
            <w:r w:rsidRPr="00F4226B">
              <w:rPr>
                <w:rFonts w:ascii="Times New Roman" w:hAnsi="Times New Roman"/>
                <w:sz w:val="20"/>
                <w:szCs w:val="20"/>
                <w:lang w:val="en-US"/>
              </w:rPr>
              <w:t>Notes:</w:t>
            </w:r>
          </w:p>
          <w:p w14:paraId="142D0441" w14:textId="62C4B5B7" w:rsidR="005C4A6D" w:rsidRPr="00F4226B" w:rsidRDefault="005C4A6D" w:rsidP="004D77A4">
            <w:pPr>
              <w:tabs>
                <w:tab w:val="left" w:pos="9354"/>
                <w:tab w:val="left" w:pos="9432"/>
              </w:tabs>
              <w:spacing w:after="120" w:line="240" w:lineRule="auto"/>
              <w:ind w:left="36" w:right="-108" w:hanging="144"/>
              <w:jc w:val="both"/>
              <w:rPr>
                <w:rFonts w:ascii="Times New Roman" w:hAnsi="Times New Roman"/>
                <w:sz w:val="18"/>
                <w:szCs w:val="18"/>
                <w:lang w:val="en-US"/>
              </w:rPr>
            </w:pPr>
            <w:r w:rsidRPr="00F4226B">
              <w:rPr>
                <w:rFonts w:ascii="Times New Roman" w:hAnsi="Times New Roman"/>
                <w:sz w:val="18"/>
                <w:szCs w:val="18"/>
                <w:lang w:val="en-US"/>
              </w:rPr>
              <w:t>* These firms also include those with missing annual reports. The number is exceptionally high for 2000 because IAS 29 was effective in Zimbabwe for fi</w:t>
            </w:r>
            <w:r w:rsidR="005B5532" w:rsidRPr="00F4226B">
              <w:rPr>
                <w:rFonts w:ascii="Times New Roman" w:hAnsi="Times New Roman"/>
                <w:sz w:val="18"/>
                <w:szCs w:val="18"/>
                <w:lang w:val="en-US"/>
              </w:rPr>
              <w:t>scal</w:t>
            </w:r>
            <w:r w:rsidRPr="00F4226B">
              <w:rPr>
                <w:rFonts w:ascii="Times New Roman" w:hAnsi="Times New Roman"/>
                <w:sz w:val="18"/>
                <w:szCs w:val="18"/>
                <w:lang w:val="en-US"/>
              </w:rPr>
              <w:t xml:space="preserve"> years beginning on or after Jan</w:t>
            </w:r>
            <w:r w:rsidR="00D73423">
              <w:rPr>
                <w:rFonts w:ascii="Times New Roman" w:hAnsi="Times New Roman"/>
                <w:sz w:val="18"/>
                <w:szCs w:val="18"/>
                <w:lang w:val="en-US"/>
              </w:rPr>
              <w:t xml:space="preserve">. 1, </w:t>
            </w:r>
            <w:r w:rsidRPr="00F4226B">
              <w:rPr>
                <w:rFonts w:ascii="Times New Roman" w:hAnsi="Times New Roman"/>
                <w:sz w:val="18"/>
                <w:szCs w:val="18"/>
                <w:lang w:val="en-US"/>
              </w:rPr>
              <w:t>2000. Hence</w:t>
            </w:r>
            <w:r w:rsidR="00711B7B">
              <w:rPr>
                <w:rFonts w:ascii="Times New Roman" w:hAnsi="Times New Roman"/>
                <w:sz w:val="18"/>
                <w:szCs w:val="18"/>
                <w:lang w:val="en-US"/>
              </w:rPr>
              <w:t>,</w:t>
            </w:r>
            <w:r w:rsidRPr="00F4226B">
              <w:rPr>
                <w:rFonts w:ascii="Times New Roman" w:hAnsi="Times New Roman"/>
                <w:sz w:val="18"/>
                <w:szCs w:val="18"/>
                <w:lang w:val="en-US"/>
              </w:rPr>
              <w:t xml:space="preserve"> for 2000, only firms with a December year-end were required to comply.</w:t>
            </w:r>
          </w:p>
          <w:p w14:paraId="1E08E83D" w14:textId="2F7C09CB" w:rsidR="00EB3011" w:rsidRPr="00F4226B" w:rsidRDefault="005C4A6D" w:rsidP="0078161F">
            <w:pPr>
              <w:spacing w:after="0" w:line="240" w:lineRule="auto"/>
              <w:ind w:hanging="108"/>
              <w:rPr>
                <w:rFonts w:ascii="Times New Roman" w:hAnsi="Times New Roman"/>
                <w:lang w:val="en-US"/>
              </w:rPr>
            </w:pPr>
            <w:r w:rsidRPr="00F4226B">
              <w:rPr>
                <w:rFonts w:ascii="Times New Roman" w:hAnsi="Times New Roman"/>
                <w:i/>
                <w:sz w:val="18"/>
                <w:szCs w:val="18"/>
                <w:lang w:val="en-US"/>
              </w:rPr>
              <w:t>Sources:</w:t>
            </w:r>
            <w:r w:rsidRPr="00F4226B">
              <w:rPr>
                <w:rFonts w:ascii="Times New Roman" w:hAnsi="Times New Roman"/>
                <w:sz w:val="18"/>
                <w:szCs w:val="18"/>
                <w:lang w:val="en-US"/>
              </w:rPr>
              <w:t xml:space="preserve"> The Z</w:t>
            </w:r>
            <w:r w:rsidR="00025891" w:rsidRPr="00F4226B">
              <w:rPr>
                <w:rFonts w:ascii="Times New Roman" w:hAnsi="Times New Roman"/>
                <w:sz w:val="18"/>
                <w:szCs w:val="18"/>
                <w:lang w:val="en-US"/>
              </w:rPr>
              <w:t xml:space="preserve">imbabwe </w:t>
            </w:r>
            <w:r w:rsidRPr="00F4226B">
              <w:rPr>
                <w:rFonts w:ascii="Times New Roman" w:hAnsi="Times New Roman"/>
                <w:sz w:val="18"/>
                <w:szCs w:val="18"/>
                <w:lang w:val="en-US"/>
              </w:rPr>
              <w:t>S</w:t>
            </w:r>
            <w:r w:rsidR="00025891" w:rsidRPr="00F4226B">
              <w:rPr>
                <w:rFonts w:ascii="Times New Roman" w:hAnsi="Times New Roman"/>
                <w:sz w:val="18"/>
                <w:szCs w:val="18"/>
                <w:lang w:val="en-US"/>
              </w:rPr>
              <w:t xml:space="preserve">tock </w:t>
            </w:r>
            <w:r w:rsidRPr="00F4226B">
              <w:rPr>
                <w:rFonts w:ascii="Times New Roman" w:hAnsi="Times New Roman"/>
                <w:sz w:val="18"/>
                <w:szCs w:val="18"/>
                <w:lang w:val="en-US"/>
              </w:rPr>
              <w:t>E</w:t>
            </w:r>
            <w:r w:rsidR="00025891" w:rsidRPr="00F4226B">
              <w:rPr>
                <w:rFonts w:ascii="Times New Roman" w:hAnsi="Times New Roman"/>
                <w:sz w:val="18"/>
                <w:szCs w:val="18"/>
                <w:lang w:val="en-US"/>
              </w:rPr>
              <w:t>xchange</w:t>
            </w:r>
            <w:r w:rsidRPr="00F4226B">
              <w:rPr>
                <w:rFonts w:ascii="Times New Roman" w:hAnsi="Times New Roman"/>
                <w:sz w:val="18"/>
                <w:szCs w:val="18"/>
                <w:lang w:val="en-US"/>
              </w:rPr>
              <w:t xml:space="preserve"> Handbooks </w:t>
            </w:r>
            <w:r w:rsidR="006E5691" w:rsidRPr="00F4226B">
              <w:rPr>
                <w:rFonts w:ascii="Times New Roman" w:hAnsi="Times New Roman"/>
                <w:sz w:val="18"/>
                <w:szCs w:val="18"/>
                <w:lang w:val="en-US"/>
              </w:rPr>
              <w:t>(</w:t>
            </w:r>
            <w:r w:rsidRPr="00F4226B">
              <w:rPr>
                <w:rFonts w:ascii="Times New Roman" w:hAnsi="Times New Roman"/>
                <w:sz w:val="18"/>
                <w:szCs w:val="18"/>
                <w:lang w:val="en-US"/>
              </w:rPr>
              <w:t>2000</w:t>
            </w:r>
            <w:r w:rsidR="00D73423">
              <w:rPr>
                <w:rFonts w:ascii="Times New Roman" w:hAnsi="Times New Roman"/>
                <w:sz w:val="18"/>
                <w:szCs w:val="18"/>
                <w:lang w:val="en-US"/>
              </w:rPr>
              <w:t>–</w:t>
            </w:r>
            <w:r w:rsidRPr="00F4226B">
              <w:rPr>
                <w:rFonts w:ascii="Times New Roman" w:hAnsi="Times New Roman"/>
                <w:sz w:val="18"/>
                <w:szCs w:val="18"/>
                <w:lang w:val="en-US"/>
              </w:rPr>
              <w:t>2005</w:t>
            </w:r>
            <w:r w:rsidR="006E5691" w:rsidRPr="00F4226B">
              <w:rPr>
                <w:rFonts w:ascii="Times New Roman" w:hAnsi="Times New Roman"/>
                <w:sz w:val="18"/>
                <w:szCs w:val="18"/>
                <w:lang w:val="en-US"/>
              </w:rPr>
              <w:t>)</w:t>
            </w:r>
            <w:r w:rsidR="006B5472" w:rsidRPr="00F4226B">
              <w:rPr>
                <w:rFonts w:ascii="Times New Roman" w:hAnsi="Times New Roman"/>
                <w:sz w:val="18"/>
                <w:szCs w:val="18"/>
                <w:lang w:val="en-US"/>
              </w:rPr>
              <w:t>.</w:t>
            </w:r>
          </w:p>
        </w:tc>
      </w:tr>
    </w:tbl>
    <w:p w14:paraId="72A8C656" w14:textId="77777777" w:rsidR="0076397A" w:rsidRPr="00F4226B" w:rsidRDefault="0076397A" w:rsidP="00C75934">
      <w:pPr>
        <w:spacing w:after="0" w:line="240" w:lineRule="auto"/>
        <w:ind w:hanging="108"/>
        <w:rPr>
          <w:rFonts w:ascii="Times New Roman" w:hAnsi="Times New Roman"/>
          <w:b/>
          <w:sz w:val="24"/>
          <w:szCs w:val="24"/>
          <w:lang w:val="en-US"/>
        </w:rPr>
      </w:pPr>
    </w:p>
    <w:p w14:paraId="4FCDD591" w14:textId="77777777" w:rsidR="0076397A" w:rsidRPr="00F4226B" w:rsidRDefault="0076397A" w:rsidP="00C75934">
      <w:pPr>
        <w:spacing w:after="0" w:line="240" w:lineRule="auto"/>
        <w:ind w:hanging="108"/>
        <w:rPr>
          <w:rFonts w:ascii="Times New Roman" w:hAnsi="Times New Roman"/>
          <w:b/>
          <w:sz w:val="24"/>
          <w:szCs w:val="24"/>
          <w:lang w:val="en-US"/>
        </w:rPr>
      </w:pPr>
    </w:p>
    <w:p w14:paraId="2686ED20" w14:textId="77777777" w:rsidR="00C75934" w:rsidRPr="00F4226B" w:rsidRDefault="00EC7679" w:rsidP="003820D1">
      <w:pPr>
        <w:spacing w:after="0" w:line="240" w:lineRule="auto"/>
        <w:ind w:hanging="108"/>
        <w:jc w:val="center"/>
        <w:outlineLvl w:val="0"/>
        <w:rPr>
          <w:rFonts w:ascii="Times New Roman" w:hAnsi="Times New Roman"/>
          <w:b/>
          <w:sz w:val="24"/>
          <w:szCs w:val="24"/>
          <w:lang w:val="en-US"/>
        </w:rPr>
      </w:pPr>
      <w:r w:rsidRPr="00F4226B">
        <w:rPr>
          <w:rFonts w:ascii="Times New Roman" w:hAnsi="Times New Roman"/>
          <w:b/>
          <w:sz w:val="24"/>
          <w:szCs w:val="24"/>
          <w:lang w:val="en-US"/>
        </w:rPr>
        <w:br w:type="page"/>
      </w:r>
      <w:r w:rsidR="00C75934" w:rsidRPr="00F4226B">
        <w:rPr>
          <w:rFonts w:ascii="Times New Roman" w:hAnsi="Times New Roman"/>
          <w:b/>
          <w:sz w:val="24"/>
          <w:szCs w:val="24"/>
          <w:lang w:val="en-US"/>
        </w:rPr>
        <w:lastRenderedPageBreak/>
        <w:t>Table 4: Descriptive statistics for the variables</w:t>
      </w:r>
    </w:p>
    <w:p w14:paraId="2143A91D" w14:textId="77777777" w:rsidR="00C75934" w:rsidRPr="00F4226B" w:rsidRDefault="00C75934" w:rsidP="00C75934">
      <w:pPr>
        <w:spacing w:after="0" w:line="240" w:lineRule="auto"/>
        <w:ind w:left="284" w:hanging="284"/>
        <w:jc w:val="center"/>
        <w:rPr>
          <w:rFonts w:ascii="Times New Roman" w:hAnsi="Times New Roman"/>
          <w:b/>
          <w:sz w:val="18"/>
          <w:szCs w:val="18"/>
          <w:lang w:val="en-US"/>
        </w:rPr>
      </w:pPr>
    </w:p>
    <w:tbl>
      <w:tblPr>
        <w:tblW w:w="9606"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0"/>
        <w:gridCol w:w="1067"/>
        <w:gridCol w:w="936"/>
        <w:gridCol w:w="909"/>
        <w:gridCol w:w="1026"/>
        <w:gridCol w:w="1011"/>
        <w:gridCol w:w="660"/>
        <w:gridCol w:w="636"/>
        <w:gridCol w:w="621"/>
      </w:tblGrid>
      <w:tr w:rsidR="00C7537C" w:rsidRPr="00F4226B" w14:paraId="5B94EAAF" w14:textId="77777777" w:rsidTr="00E34861">
        <w:tc>
          <w:tcPr>
            <w:tcW w:w="2740" w:type="dxa"/>
            <w:tcBorders>
              <w:top w:val="single" w:sz="12" w:space="0" w:color="auto"/>
              <w:left w:val="nil"/>
              <w:bottom w:val="nil"/>
              <w:right w:val="nil"/>
            </w:tcBorders>
            <w:shd w:val="clear" w:color="auto" w:fill="auto"/>
          </w:tcPr>
          <w:p w14:paraId="3BBB71C3" w14:textId="77777777" w:rsidR="00C01802" w:rsidRPr="00F4226B" w:rsidRDefault="00C01802" w:rsidP="00E34861">
            <w:pPr>
              <w:spacing w:after="0" w:line="240" w:lineRule="auto"/>
              <w:rPr>
                <w:rFonts w:ascii="Times New Roman" w:hAnsi="Times New Roman"/>
                <w:sz w:val="18"/>
                <w:szCs w:val="18"/>
                <w:lang w:val="en-US"/>
              </w:rPr>
            </w:pPr>
            <w:r w:rsidRPr="00F4226B">
              <w:rPr>
                <w:rFonts w:ascii="Times New Roman" w:hAnsi="Times New Roman"/>
                <w:sz w:val="18"/>
                <w:szCs w:val="18"/>
                <w:lang w:val="en-US"/>
              </w:rPr>
              <w:br w:type="page"/>
            </w:r>
          </w:p>
        </w:tc>
        <w:tc>
          <w:tcPr>
            <w:tcW w:w="3938" w:type="dxa"/>
            <w:gridSpan w:val="4"/>
            <w:tcBorders>
              <w:top w:val="single" w:sz="12" w:space="0" w:color="auto"/>
              <w:left w:val="nil"/>
              <w:bottom w:val="nil"/>
              <w:right w:val="nil"/>
            </w:tcBorders>
            <w:shd w:val="clear" w:color="auto" w:fill="auto"/>
          </w:tcPr>
          <w:p w14:paraId="21081078" w14:textId="77777777" w:rsidR="00C01802" w:rsidRPr="00F4226B" w:rsidRDefault="00C01802" w:rsidP="00E34861">
            <w:pPr>
              <w:spacing w:after="0" w:line="240" w:lineRule="auto"/>
              <w:jc w:val="center"/>
              <w:rPr>
                <w:rFonts w:ascii="Times New Roman" w:hAnsi="Times New Roman"/>
                <w:b/>
                <w:sz w:val="18"/>
                <w:szCs w:val="18"/>
                <w:lang w:val="en-US"/>
              </w:rPr>
            </w:pPr>
            <w:r w:rsidRPr="00F4226B">
              <w:rPr>
                <w:rFonts w:ascii="Times New Roman" w:hAnsi="Times New Roman"/>
                <w:b/>
                <w:sz w:val="18"/>
                <w:szCs w:val="18"/>
                <w:lang w:val="en-US"/>
              </w:rPr>
              <w:t>Z$</w:t>
            </w:r>
            <w:r w:rsidR="00D9269B" w:rsidRPr="00F4226B">
              <w:rPr>
                <w:rFonts w:ascii="Times New Roman" w:hAnsi="Times New Roman"/>
                <w:b/>
                <w:sz w:val="18"/>
                <w:szCs w:val="18"/>
                <w:lang w:val="en-US"/>
              </w:rPr>
              <w:t xml:space="preserve"> Amounts</w:t>
            </w:r>
          </w:p>
        </w:tc>
        <w:tc>
          <w:tcPr>
            <w:tcW w:w="2928" w:type="dxa"/>
            <w:gridSpan w:val="4"/>
            <w:tcBorders>
              <w:top w:val="single" w:sz="12" w:space="0" w:color="auto"/>
              <w:left w:val="nil"/>
              <w:bottom w:val="nil"/>
              <w:right w:val="nil"/>
            </w:tcBorders>
            <w:shd w:val="clear" w:color="auto" w:fill="auto"/>
          </w:tcPr>
          <w:p w14:paraId="4D6CA223" w14:textId="77777777" w:rsidR="00C01802" w:rsidRPr="00F4226B" w:rsidRDefault="00C01802" w:rsidP="00E34861">
            <w:pPr>
              <w:spacing w:after="0" w:line="240" w:lineRule="auto"/>
              <w:jc w:val="center"/>
              <w:rPr>
                <w:rFonts w:ascii="Times New Roman" w:hAnsi="Times New Roman"/>
                <w:b/>
                <w:sz w:val="18"/>
                <w:szCs w:val="18"/>
                <w:lang w:val="en-US"/>
              </w:rPr>
            </w:pPr>
            <w:r w:rsidRPr="00F4226B">
              <w:rPr>
                <w:rFonts w:ascii="Times New Roman" w:hAnsi="Times New Roman"/>
                <w:b/>
                <w:sz w:val="18"/>
                <w:szCs w:val="18"/>
                <w:lang w:val="en-US"/>
              </w:rPr>
              <w:t>US$ Equivalent</w:t>
            </w:r>
          </w:p>
        </w:tc>
      </w:tr>
      <w:tr w:rsidR="00C7537C" w:rsidRPr="00F4226B" w14:paraId="1021BB2F" w14:textId="77777777" w:rsidTr="00E34861">
        <w:tc>
          <w:tcPr>
            <w:tcW w:w="2740" w:type="dxa"/>
            <w:tcBorders>
              <w:top w:val="single" w:sz="4" w:space="0" w:color="auto"/>
              <w:left w:val="nil"/>
              <w:bottom w:val="single" w:sz="4" w:space="0" w:color="auto"/>
              <w:right w:val="nil"/>
            </w:tcBorders>
            <w:shd w:val="clear" w:color="auto" w:fill="auto"/>
          </w:tcPr>
          <w:p w14:paraId="7AFC30D5" w14:textId="77777777" w:rsidR="004E3902" w:rsidRPr="00F4226B" w:rsidRDefault="004E3902" w:rsidP="00E34861">
            <w:pPr>
              <w:spacing w:after="0" w:line="240" w:lineRule="auto"/>
              <w:ind w:left="-108"/>
              <w:rPr>
                <w:rFonts w:ascii="Times New Roman" w:hAnsi="Times New Roman"/>
                <w:b/>
                <w:sz w:val="18"/>
                <w:szCs w:val="18"/>
                <w:lang w:val="en-US"/>
              </w:rPr>
            </w:pPr>
          </w:p>
          <w:p w14:paraId="37EA65D9" w14:textId="77777777" w:rsidR="004E3902" w:rsidRPr="00F4226B" w:rsidRDefault="004E3902" w:rsidP="00E34861">
            <w:pPr>
              <w:spacing w:after="0" w:line="240" w:lineRule="auto"/>
              <w:ind w:left="-108"/>
              <w:rPr>
                <w:rFonts w:ascii="Times New Roman" w:hAnsi="Times New Roman"/>
                <w:b/>
                <w:sz w:val="18"/>
                <w:szCs w:val="18"/>
                <w:lang w:val="en-US"/>
              </w:rPr>
            </w:pPr>
          </w:p>
        </w:tc>
        <w:tc>
          <w:tcPr>
            <w:tcW w:w="1067" w:type="dxa"/>
            <w:tcBorders>
              <w:top w:val="single" w:sz="4" w:space="0" w:color="auto"/>
              <w:left w:val="nil"/>
              <w:bottom w:val="single" w:sz="4" w:space="0" w:color="auto"/>
              <w:right w:val="nil"/>
            </w:tcBorders>
            <w:shd w:val="clear" w:color="auto" w:fill="auto"/>
          </w:tcPr>
          <w:p w14:paraId="36520316" w14:textId="77777777" w:rsidR="004E3902" w:rsidRPr="00F4226B" w:rsidRDefault="004E3902" w:rsidP="00E34861">
            <w:pPr>
              <w:spacing w:after="0" w:line="240" w:lineRule="auto"/>
              <w:jc w:val="center"/>
              <w:rPr>
                <w:rFonts w:ascii="Times New Roman" w:hAnsi="Times New Roman"/>
                <w:b/>
                <w:sz w:val="18"/>
                <w:szCs w:val="18"/>
                <w:lang w:val="en-US"/>
              </w:rPr>
            </w:pPr>
          </w:p>
          <w:p w14:paraId="034D20E3" w14:textId="77777777" w:rsidR="004E3902" w:rsidRPr="00F4226B" w:rsidRDefault="004E3902" w:rsidP="00E34861">
            <w:pPr>
              <w:spacing w:after="0" w:line="240" w:lineRule="auto"/>
              <w:jc w:val="center"/>
              <w:rPr>
                <w:rFonts w:ascii="Times New Roman" w:hAnsi="Times New Roman"/>
                <w:b/>
                <w:sz w:val="18"/>
                <w:szCs w:val="18"/>
                <w:lang w:val="en-US"/>
              </w:rPr>
            </w:pPr>
            <w:r w:rsidRPr="00F4226B">
              <w:rPr>
                <w:rFonts w:ascii="Times New Roman" w:hAnsi="Times New Roman"/>
                <w:b/>
                <w:sz w:val="18"/>
                <w:szCs w:val="18"/>
                <w:lang w:val="en-US"/>
              </w:rPr>
              <w:t>Mean</w:t>
            </w:r>
          </w:p>
        </w:tc>
        <w:tc>
          <w:tcPr>
            <w:tcW w:w="936" w:type="dxa"/>
            <w:tcBorders>
              <w:top w:val="single" w:sz="4" w:space="0" w:color="auto"/>
              <w:left w:val="nil"/>
              <w:bottom w:val="single" w:sz="4" w:space="0" w:color="auto"/>
              <w:right w:val="nil"/>
            </w:tcBorders>
            <w:shd w:val="clear" w:color="auto" w:fill="auto"/>
          </w:tcPr>
          <w:p w14:paraId="40F3594A" w14:textId="77777777" w:rsidR="004E3902" w:rsidRPr="00F4226B" w:rsidRDefault="004E3902" w:rsidP="00E34861">
            <w:pPr>
              <w:spacing w:after="0" w:line="240" w:lineRule="auto"/>
              <w:jc w:val="center"/>
              <w:rPr>
                <w:rFonts w:ascii="Times New Roman" w:hAnsi="Times New Roman"/>
                <w:b/>
                <w:sz w:val="18"/>
                <w:szCs w:val="18"/>
                <w:lang w:val="en-US"/>
              </w:rPr>
            </w:pPr>
          </w:p>
          <w:p w14:paraId="52B547E5" w14:textId="77777777" w:rsidR="004E3902" w:rsidRPr="00F4226B" w:rsidRDefault="004E3902" w:rsidP="00E34861">
            <w:pPr>
              <w:spacing w:after="0" w:line="240" w:lineRule="auto"/>
              <w:jc w:val="center"/>
              <w:rPr>
                <w:rFonts w:ascii="Times New Roman" w:hAnsi="Times New Roman"/>
                <w:b/>
                <w:sz w:val="18"/>
                <w:szCs w:val="18"/>
                <w:lang w:val="en-US"/>
              </w:rPr>
            </w:pPr>
            <w:r w:rsidRPr="00F4226B">
              <w:rPr>
                <w:rFonts w:ascii="Times New Roman" w:hAnsi="Times New Roman"/>
                <w:b/>
                <w:sz w:val="18"/>
                <w:szCs w:val="18"/>
                <w:lang w:val="en-US"/>
              </w:rPr>
              <w:t>Std dev</w:t>
            </w:r>
          </w:p>
        </w:tc>
        <w:tc>
          <w:tcPr>
            <w:tcW w:w="909" w:type="dxa"/>
            <w:tcBorders>
              <w:top w:val="single" w:sz="4" w:space="0" w:color="auto"/>
              <w:left w:val="nil"/>
              <w:bottom w:val="single" w:sz="4" w:space="0" w:color="auto"/>
              <w:right w:val="nil"/>
            </w:tcBorders>
            <w:shd w:val="clear" w:color="auto" w:fill="auto"/>
          </w:tcPr>
          <w:p w14:paraId="0F940F22" w14:textId="77777777" w:rsidR="004E3902" w:rsidRPr="00F4226B" w:rsidRDefault="004E3902" w:rsidP="00E34861">
            <w:pPr>
              <w:spacing w:after="0" w:line="240" w:lineRule="auto"/>
              <w:jc w:val="center"/>
              <w:rPr>
                <w:rFonts w:ascii="Times New Roman" w:hAnsi="Times New Roman"/>
                <w:b/>
                <w:sz w:val="18"/>
                <w:szCs w:val="18"/>
                <w:lang w:val="en-US"/>
              </w:rPr>
            </w:pPr>
          </w:p>
          <w:p w14:paraId="3E155741" w14:textId="77777777" w:rsidR="004E3902" w:rsidRPr="00F4226B" w:rsidRDefault="004E3902" w:rsidP="00E34861">
            <w:pPr>
              <w:spacing w:after="0" w:line="240" w:lineRule="auto"/>
              <w:jc w:val="center"/>
              <w:rPr>
                <w:rFonts w:ascii="Times New Roman" w:hAnsi="Times New Roman"/>
                <w:b/>
                <w:sz w:val="18"/>
                <w:szCs w:val="18"/>
                <w:lang w:val="en-US"/>
              </w:rPr>
            </w:pPr>
            <w:r w:rsidRPr="00F4226B">
              <w:rPr>
                <w:rFonts w:ascii="Times New Roman" w:hAnsi="Times New Roman"/>
                <w:b/>
                <w:sz w:val="18"/>
                <w:szCs w:val="18"/>
                <w:lang w:val="en-US"/>
              </w:rPr>
              <w:t>Min</w:t>
            </w:r>
          </w:p>
        </w:tc>
        <w:tc>
          <w:tcPr>
            <w:tcW w:w="1026" w:type="dxa"/>
            <w:tcBorders>
              <w:top w:val="single" w:sz="4" w:space="0" w:color="auto"/>
              <w:left w:val="nil"/>
              <w:bottom w:val="single" w:sz="4" w:space="0" w:color="auto"/>
              <w:right w:val="nil"/>
            </w:tcBorders>
            <w:shd w:val="clear" w:color="auto" w:fill="auto"/>
          </w:tcPr>
          <w:p w14:paraId="53C13287" w14:textId="77777777" w:rsidR="004E3902" w:rsidRPr="00F4226B" w:rsidRDefault="004E3902" w:rsidP="00E34861">
            <w:pPr>
              <w:spacing w:after="0" w:line="240" w:lineRule="auto"/>
              <w:jc w:val="center"/>
              <w:rPr>
                <w:rFonts w:ascii="Times New Roman" w:hAnsi="Times New Roman"/>
                <w:b/>
                <w:sz w:val="18"/>
                <w:szCs w:val="18"/>
                <w:lang w:val="en-US"/>
              </w:rPr>
            </w:pPr>
          </w:p>
          <w:p w14:paraId="35BC3DAF" w14:textId="77777777" w:rsidR="004E3902" w:rsidRPr="00F4226B" w:rsidRDefault="004E3902" w:rsidP="00E34861">
            <w:pPr>
              <w:spacing w:after="0" w:line="240" w:lineRule="auto"/>
              <w:jc w:val="center"/>
              <w:rPr>
                <w:rFonts w:ascii="Times New Roman" w:hAnsi="Times New Roman"/>
                <w:b/>
                <w:sz w:val="18"/>
                <w:szCs w:val="18"/>
                <w:lang w:val="en-US"/>
              </w:rPr>
            </w:pPr>
            <w:r w:rsidRPr="00F4226B">
              <w:rPr>
                <w:rFonts w:ascii="Times New Roman" w:hAnsi="Times New Roman"/>
                <w:b/>
                <w:sz w:val="18"/>
                <w:szCs w:val="18"/>
                <w:lang w:val="en-US"/>
              </w:rPr>
              <w:t>Max</w:t>
            </w:r>
          </w:p>
        </w:tc>
        <w:tc>
          <w:tcPr>
            <w:tcW w:w="1011" w:type="dxa"/>
            <w:tcBorders>
              <w:top w:val="single" w:sz="4" w:space="0" w:color="auto"/>
              <w:left w:val="nil"/>
              <w:bottom w:val="single" w:sz="4" w:space="0" w:color="auto"/>
              <w:right w:val="nil"/>
            </w:tcBorders>
            <w:shd w:val="clear" w:color="auto" w:fill="auto"/>
          </w:tcPr>
          <w:p w14:paraId="119737D9" w14:textId="77777777" w:rsidR="004E3902" w:rsidRPr="00F4226B" w:rsidRDefault="004E3902" w:rsidP="00E34861">
            <w:pPr>
              <w:spacing w:after="0" w:line="240" w:lineRule="auto"/>
              <w:jc w:val="center"/>
              <w:rPr>
                <w:rFonts w:ascii="Times New Roman" w:hAnsi="Times New Roman"/>
                <w:b/>
                <w:sz w:val="18"/>
                <w:szCs w:val="18"/>
                <w:lang w:val="en-US"/>
              </w:rPr>
            </w:pPr>
          </w:p>
          <w:p w14:paraId="71462811" w14:textId="77777777" w:rsidR="004E3902" w:rsidRPr="00F4226B" w:rsidRDefault="004E3902" w:rsidP="00E34861">
            <w:pPr>
              <w:spacing w:after="0" w:line="240" w:lineRule="auto"/>
              <w:jc w:val="center"/>
              <w:rPr>
                <w:rFonts w:ascii="Times New Roman" w:hAnsi="Times New Roman"/>
                <w:b/>
                <w:sz w:val="18"/>
                <w:szCs w:val="18"/>
                <w:lang w:val="en-US"/>
              </w:rPr>
            </w:pPr>
            <w:r w:rsidRPr="00F4226B">
              <w:rPr>
                <w:rFonts w:ascii="Times New Roman" w:hAnsi="Times New Roman"/>
                <w:b/>
                <w:sz w:val="18"/>
                <w:szCs w:val="18"/>
                <w:lang w:val="en-US"/>
              </w:rPr>
              <w:t>Mean</w:t>
            </w:r>
          </w:p>
        </w:tc>
        <w:tc>
          <w:tcPr>
            <w:tcW w:w="660" w:type="dxa"/>
            <w:tcBorders>
              <w:top w:val="single" w:sz="4" w:space="0" w:color="auto"/>
              <w:left w:val="nil"/>
              <w:bottom w:val="single" w:sz="4" w:space="0" w:color="auto"/>
              <w:right w:val="nil"/>
            </w:tcBorders>
          </w:tcPr>
          <w:p w14:paraId="2B7C02C6" w14:textId="77777777" w:rsidR="004E3902" w:rsidRPr="00F4226B" w:rsidRDefault="004E3902" w:rsidP="00E34861">
            <w:pPr>
              <w:spacing w:after="0" w:line="240" w:lineRule="auto"/>
              <w:jc w:val="center"/>
              <w:rPr>
                <w:rFonts w:ascii="Times New Roman" w:hAnsi="Times New Roman"/>
                <w:b/>
                <w:sz w:val="18"/>
                <w:szCs w:val="18"/>
                <w:lang w:val="en-US"/>
              </w:rPr>
            </w:pPr>
          </w:p>
          <w:p w14:paraId="4F831D4D" w14:textId="77777777" w:rsidR="004E3902" w:rsidRPr="00F4226B" w:rsidRDefault="004E3902" w:rsidP="00E34861">
            <w:pPr>
              <w:spacing w:after="0" w:line="240" w:lineRule="auto"/>
              <w:jc w:val="center"/>
              <w:rPr>
                <w:rFonts w:ascii="Times New Roman" w:hAnsi="Times New Roman"/>
                <w:b/>
                <w:sz w:val="18"/>
                <w:szCs w:val="18"/>
                <w:lang w:val="en-US"/>
              </w:rPr>
            </w:pPr>
            <w:r w:rsidRPr="00F4226B">
              <w:rPr>
                <w:rFonts w:ascii="Times New Roman" w:hAnsi="Times New Roman"/>
                <w:b/>
                <w:sz w:val="18"/>
                <w:szCs w:val="18"/>
                <w:lang w:val="en-US"/>
              </w:rPr>
              <w:t>Std</w:t>
            </w:r>
          </w:p>
        </w:tc>
        <w:tc>
          <w:tcPr>
            <w:tcW w:w="636" w:type="dxa"/>
            <w:tcBorders>
              <w:top w:val="single" w:sz="4" w:space="0" w:color="auto"/>
              <w:left w:val="nil"/>
              <w:bottom w:val="single" w:sz="4" w:space="0" w:color="auto"/>
              <w:right w:val="nil"/>
            </w:tcBorders>
          </w:tcPr>
          <w:p w14:paraId="7407F5BA" w14:textId="77777777" w:rsidR="004E3902" w:rsidRPr="00F4226B" w:rsidRDefault="004E3902" w:rsidP="00E34861">
            <w:pPr>
              <w:spacing w:after="0" w:line="240" w:lineRule="auto"/>
              <w:jc w:val="center"/>
              <w:rPr>
                <w:rFonts w:ascii="Times New Roman" w:hAnsi="Times New Roman"/>
                <w:b/>
                <w:sz w:val="18"/>
                <w:szCs w:val="18"/>
                <w:lang w:val="en-US"/>
              </w:rPr>
            </w:pPr>
          </w:p>
          <w:p w14:paraId="706AC9D8" w14:textId="77777777" w:rsidR="004E3902" w:rsidRPr="00F4226B" w:rsidRDefault="004E3902" w:rsidP="00E34861">
            <w:pPr>
              <w:spacing w:after="0" w:line="240" w:lineRule="auto"/>
              <w:jc w:val="center"/>
              <w:rPr>
                <w:rFonts w:ascii="Times New Roman" w:hAnsi="Times New Roman"/>
                <w:b/>
                <w:sz w:val="18"/>
                <w:szCs w:val="18"/>
                <w:lang w:val="en-US"/>
              </w:rPr>
            </w:pPr>
            <w:r w:rsidRPr="00F4226B">
              <w:rPr>
                <w:rFonts w:ascii="Times New Roman" w:hAnsi="Times New Roman"/>
                <w:b/>
                <w:sz w:val="18"/>
                <w:szCs w:val="18"/>
                <w:lang w:val="en-US"/>
              </w:rPr>
              <w:t>Min</w:t>
            </w:r>
          </w:p>
        </w:tc>
        <w:tc>
          <w:tcPr>
            <w:tcW w:w="0" w:type="auto"/>
            <w:tcBorders>
              <w:top w:val="single" w:sz="4" w:space="0" w:color="auto"/>
              <w:left w:val="nil"/>
              <w:bottom w:val="single" w:sz="4" w:space="0" w:color="auto"/>
              <w:right w:val="nil"/>
            </w:tcBorders>
          </w:tcPr>
          <w:p w14:paraId="4BCE4540" w14:textId="77777777" w:rsidR="004E3902" w:rsidRPr="00F4226B" w:rsidRDefault="004E3902" w:rsidP="00E34861">
            <w:pPr>
              <w:spacing w:after="0" w:line="240" w:lineRule="auto"/>
              <w:jc w:val="center"/>
              <w:rPr>
                <w:rFonts w:ascii="Times New Roman" w:hAnsi="Times New Roman"/>
                <w:b/>
                <w:sz w:val="18"/>
                <w:szCs w:val="18"/>
                <w:lang w:val="en-US"/>
              </w:rPr>
            </w:pPr>
          </w:p>
          <w:p w14:paraId="434383BD" w14:textId="77777777" w:rsidR="004E3902" w:rsidRPr="00F4226B" w:rsidRDefault="004E3902" w:rsidP="00E34861">
            <w:pPr>
              <w:spacing w:after="0" w:line="240" w:lineRule="auto"/>
              <w:jc w:val="center"/>
              <w:rPr>
                <w:rFonts w:ascii="Times New Roman" w:hAnsi="Times New Roman"/>
                <w:b/>
                <w:sz w:val="18"/>
                <w:szCs w:val="18"/>
                <w:lang w:val="en-US"/>
              </w:rPr>
            </w:pPr>
            <w:r w:rsidRPr="00F4226B">
              <w:rPr>
                <w:rFonts w:ascii="Times New Roman" w:hAnsi="Times New Roman"/>
                <w:b/>
                <w:sz w:val="18"/>
                <w:szCs w:val="18"/>
                <w:lang w:val="en-US"/>
              </w:rPr>
              <w:t>Max</w:t>
            </w:r>
          </w:p>
        </w:tc>
      </w:tr>
      <w:tr w:rsidR="00C7537C" w:rsidRPr="00F4226B" w14:paraId="41B74E83" w14:textId="77777777" w:rsidTr="00E34861">
        <w:tc>
          <w:tcPr>
            <w:tcW w:w="3807" w:type="dxa"/>
            <w:gridSpan w:val="2"/>
            <w:tcBorders>
              <w:top w:val="single" w:sz="4" w:space="0" w:color="auto"/>
              <w:left w:val="nil"/>
              <w:bottom w:val="single" w:sz="4" w:space="0" w:color="auto"/>
              <w:right w:val="nil"/>
            </w:tcBorders>
            <w:shd w:val="clear" w:color="auto" w:fill="auto"/>
          </w:tcPr>
          <w:p w14:paraId="7916C586" w14:textId="77777777" w:rsidR="00C01802" w:rsidRPr="00F4226B" w:rsidRDefault="00C01802" w:rsidP="00E34861">
            <w:pPr>
              <w:spacing w:after="0" w:line="240" w:lineRule="auto"/>
              <w:ind w:left="-108"/>
              <w:rPr>
                <w:rFonts w:ascii="Times New Roman" w:hAnsi="Times New Roman"/>
                <w:sz w:val="18"/>
                <w:szCs w:val="18"/>
                <w:lang w:val="en-US"/>
              </w:rPr>
            </w:pPr>
            <w:r w:rsidRPr="00F4226B">
              <w:rPr>
                <w:rFonts w:ascii="Times New Roman" w:hAnsi="Times New Roman"/>
                <w:b/>
                <w:sz w:val="18"/>
                <w:szCs w:val="18"/>
                <w:lang w:val="en-US"/>
              </w:rPr>
              <w:t>Panel A: Stock prices and returns</w:t>
            </w:r>
          </w:p>
        </w:tc>
        <w:tc>
          <w:tcPr>
            <w:tcW w:w="936" w:type="dxa"/>
            <w:tcBorders>
              <w:top w:val="single" w:sz="4" w:space="0" w:color="auto"/>
              <w:left w:val="nil"/>
              <w:bottom w:val="single" w:sz="4" w:space="0" w:color="auto"/>
              <w:right w:val="nil"/>
            </w:tcBorders>
            <w:shd w:val="clear" w:color="auto" w:fill="auto"/>
          </w:tcPr>
          <w:p w14:paraId="79A4A282" w14:textId="77777777" w:rsidR="00C01802" w:rsidRPr="00F4226B" w:rsidRDefault="00C01802" w:rsidP="00E34861">
            <w:pPr>
              <w:spacing w:after="0" w:line="240" w:lineRule="auto"/>
              <w:jc w:val="center"/>
              <w:rPr>
                <w:rFonts w:ascii="Times New Roman" w:hAnsi="Times New Roman"/>
                <w:sz w:val="18"/>
                <w:szCs w:val="18"/>
                <w:lang w:val="en-US"/>
              </w:rPr>
            </w:pPr>
          </w:p>
        </w:tc>
        <w:tc>
          <w:tcPr>
            <w:tcW w:w="909" w:type="dxa"/>
            <w:tcBorders>
              <w:top w:val="single" w:sz="4" w:space="0" w:color="auto"/>
              <w:left w:val="nil"/>
              <w:bottom w:val="single" w:sz="4" w:space="0" w:color="auto"/>
              <w:right w:val="nil"/>
            </w:tcBorders>
            <w:shd w:val="clear" w:color="auto" w:fill="auto"/>
          </w:tcPr>
          <w:p w14:paraId="3BFB46BE" w14:textId="77777777" w:rsidR="00C01802" w:rsidRPr="00F4226B" w:rsidRDefault="00C01802" w:rsidP="00E34861">
            <w:pPr>
              <w:spacing w:after="0" w:line="240" w:lineRule="auto"/>
              <w:jc w:val="center"/>
              <w:rPr>
                <w:rFonts w:ascii="Times New Roman" w:hAnsi="Times New Roman"/>
                <w:sz w:val="18"/>
                <w:szCs w:val="18"/>
                <w:lang w:val="en-US"/>
              </w:rPr>
            </w:pPr>
          </w:p>
        </w:tc>
        <w:tc>
          <w:tcPr>
            <w:tcW w:w="1026" w:type="dxa"/>
            <w:tcBorders>
              <w:top w:val="single" w:sz="4" w:space="0" w:color="auto"/>
              <w:left w:val="nil"/>
              <w:bottom w:val="single" w:sz="4" w:space="0" w:color="auto"/>
              <w:right w:val="nil"/>
            </w:tcBorders>
            <w:shd w:val="clear" w:color="auto" w:fill="auto"/>
          </w:tcPr>
          <w:p w14:paraId="31D5C80F" w14:textId="77777777" w:rsidR="00C01802" w:rsidRPr="00F4226B" w:rsidRDefault="00C01802" w:rsidP="00E34861">
            <w:pPr>
              <w:spacing w:after="0" w:line="240" w:lineRule="auto"/>
              <w:jc w:val="center"/>
              <w:rPr>
                <w:rFonts w:ascii="Times New Roman" w:hAnsi="Times New Roman"/>
                <w:sz w:val="18"/>
                <w:szCs w:val="18"/>
                <w:lang w:val="en-US"/>
              </w:rPr>
            </w:pPr>
          </w:p>
        </w:tc>
        <w:tc>
          <w:tcPr>
            <w:tcW w:w="1011" w:type="dxa"/>
            <w:tcBorders>
              <w:top w:val="single" w:sz="4" w:space="0" w:color="auto"/>
              <w:left w:val="nil"/>
              <w:bottom w:val="single" w:sz="4" w:space="0" w:color="auto"/>
              <w:right w:val="nil"/>
            </w:tcBorders>
            <w:shd w:val="clear" w:color="auto" w:fill="auto"/>
          </w:tcPr>
          <w:p w14:paraId="7168A38A" w14:textId="77777777" w:rsidR="00C01802" w:rsidRPr="00F4226B" w:rsidRDefault="00C01802" w:rsidP="00E34861">
            <w:pPr>
              <w:spacing w:after="0" w:line="240" w:lineRule="auto"/>
              <w:jc w:val="center"/>
              <w:rPr>
                <w:rFonts w:ascii="Times New Roman" w:hAnsi="Times New Roman"/>
                <w:sz w:val="18"/>
                <w:szCs w:val="18"/>
                <w:lang w:val="en-US"/>
              </w:rPr>
            </w:pPr>
          </w:p>
        </w:tc>
        <w:tc>
          <w:tcPr>
            <w:tcW w:w="660" w:type="dxa"/>
            <w:tcBorders>
              <w:top w:val="single" w:sz="4" w:space="0" w:color="auto"/>
              <w:left w:val="nil"/>
              <w:bottom w:val="single" w:sz="4" w:space="0" w:color="auto"/>
              <w:right w:val="nil"/>
            </w:tcBorders>
          </w:tcPr>
          <w:p w14:paraId="5656D8E5" w14:textId="77777777" w:rsidR="00C01802" w:rsidRPr="00F4226B" w:rsidRDefault="00C01802" w:rsidP="00E34861">
            <w:pPr>
              <w:spacing w:after="0" w:line="240" w:lineRule="auto"/>
              <w:jc w:val="center"/>
              <w:rPr>
                <w:rFonts w:ascii="Times New Roman" w:hAnsi="Times New Roman"/>
                <w:sz w:val="18"/>
                <w:szCs w:val="18"/>
                <w:lang w:val="en-US"/>
              </w:rPr>
            </w:pPr>
          </w:p>
        </w:tc>
        <w:tc>
          <w:tcPr>
            <w:tcW w:w="636" w:type="dxa"/>
            <w:tcBorders>
              <w:top w:val="single" w:sz="4" w:space="0" w:color="auto"/>
              <w:left w:val="nil"/>
              <w:bottom w:val="single" w:sz="4" w:space="0" w:color="auto"/>
              <w:right w:val="nil"/>
            </w:tcBorders>
          </w:tcPr>
          <w:p w14:paraId="5CCBBB75" w14:textId="77777777" w:rsidR="00C01802" w:rsidRPr="00F4226B" w:rsidRDefault="00C01802" w:rsidP="00E34861">
            <w:pPr>
              <w:spacing w:after="0" w:line="240" w:lineRule="auto"/>
              <w:jc w:val="center"/>
              <w:rPr>
                <w:rFonts w:ascii="Times New Roman" w:hAnsi="Times New Roman"/>
                <w:sz w:val="18"/>
                <w:szCs w:val="18"/>
                <w:lang w:val="en-US"/>
              </w:rPr>
            </w:pPr>
          </w:p>
        </w:tc>
        <w:tc>
          <w:tcPr>
            <w:tcW w:w="0" w:type="auto"/>
            <w:tcBorders>
              <w:top w:val="single" w:sz="4" w:space="0" w:color="auto"/>
              <w:left w:val="nil"/>
              <w:bottom w:val="single" w:sz="4" w:space="0" w:color="auto"/>
              <w:right w:val="nil"/>
            </w:tcBorders>
          </w:tcPr>
          <w:p w14:paraId="0EE3516C" w14:textId="77777777" w:rsidR="00C01802" w:rsidRPr="00F4226B" w:rsidRDefault="00C01802" w:rsidP="00E34861">
            <w:pPr>
              <w:spacing w:after="0" w:line="240" w:lineRule="auto"/>
              <w:jc w:val="center"/>
              <w:rPr>
                <w:rFonts w:ascii="Times New Roman" w:hAnsi="Times New Roman"/>
                <w:sz w:val="18"/>
                <w:szCs w:val="18"/>
                <w:lang w:val="en-US"/>
              </w:rPr>
            </w:pPr>
          </w:p>
        </w:tc>
      </w:tr>
      <w:tr w:rsidR="00C7537C" w:rsidRPr="00F4226B" w14:paraId="5998DD20" w14:textId="77777777" w:rsidTr="00E34861">
        <w:tc>
          <w:tcPr>
            <w:tcW w:w="2740" w:type="dxa"/>
            <w:tcBorders>
              <w:top w:val="single" w:sz="4" w:space="0" w:color="auto"/>
              <w:left w:val="nil"/>
              <w:bottom w:val="nil"/>
              <w:right w:val="nil"/>
            </w:tcBorders>
            <w:shd w:val="clear" w:color="auto" w:fill="auto"/>
          </w:tcPr>
          <w:p w14:paraId="42620395" w14:textId="77777777" w:rsidR="00D51A86" w:rsidRPr="00F4226B" w:rsidRDefault="0023701B"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Stock prices</w:t>
            </w:r>
            <w:r w:rsidR="00F3415B" w:rsidRPr="00F4226B">
              <w:rPr>
                <w:rFonts w:ascii="Times New Roman" w:hAnsi="Times New Roman"/>
                <w:sz w:val="18"/>
                <w:szCs w:val="18"/>
                <w:lang w:val="en-US"/>
              </w:rPr>
              <w:t xml:space="preserve"> ($)</w:t>
            </w:r>
            <w:r w:rsidRPr="00F4226B">
              <w:rPr>
                <w:rFonts w:ascii="Times New Roman" w:hAnsi="Times New Roman"/>
                <w:sz w:val="18"/>
                <w:szCs w:val="18"/>
                <w:lang w:val="en-US"/>
              </w:rPr>
              <w:t xml:space="preserve">: </w:t>
            </w:r>
          </w:p>
          <w:p w14:paraId="304BCCDC" w14:textId="60D4FFAB" w:rsidR="004E3902" w:rsidRPr="00F4226B" w:rsidRDefault="00D51A86"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w:t>
            </w:r>
            <w:r w:rsidR="00852805" w:rsidRPr="00F4226B">
              <w:rPr>
                <w:rFonts w:ascii="Times New Roman" w:hAnsi="Times New Roman"/>
                <w:sz w:val="18"/>
                <w:szCs w:val="18"/>
                <w:lang w:val="en-US"/>
              </w:rPr>
              <w:t xml:space="preserve">Entire pooled </w:t>
            </w:r>
            <w:r w:rsidR="001C59A0" w:rsidRPr="00F4226B">
              <w:rPr>
                <w:rFonts w:ascii="Times New Roman" w:hAnsi="Times New Roman"/>
                <w:sz w:val="18"/>
                <w:szCs w:val="18"/>
                <w:lang w:val="en-US"/>
              </w:rPr>
              <w:t>sample</w:t>
            </w:r>
          </w:p>
        </w:tc>
        <w:tc>
          <w:tcPr>
            <w:tcW w:w="1067" w:type="dxa"/>
            <w:tcBorders>
              <w:top w:val="single" w:sz="4" w:space="0" w:color="auto"/>
              <w:left w:val="nil"/>
              <w:bottom w:val="nil"/>
              <w:right w:val="nil"/>
            </w:tcBorders>
            <w:shd w:val="clear" w:color="auto" w:fill="auto"/>
          </w:tcPr>
          <w:p w14:paraId="66CFFB67" w14:textId="77777777" w:rsidR="00D51A86" w:rsidRPr="00F4226B" w:rsidRDefault="00D51A86" w:rsidP="00E34861">
            <w:pPr>
              <w:spacing w:after="0" w:line="240" w:lineRule="auto"/>
              <w:jc w:val="right"/>
              <w:rPr>
                <w:rFonts w:ascii="Times New Roman" w:hAnsi="Times New Roman"/>
                <w:sz w:val="18"/>
                <w:szCs w:val="18"/>
                <w:lang w:val="en-US"/>
              </w:rPr>
            </w:pPr>
          </w:p>
          <w:p w14:paraId="66FEE285" w14:textId="77777777" w:rsidR="004E3902" w:rsidRPr="00F4226B" w:rsidRDefault="00C01802"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5,0</w:t>
            </w:r>
            <w:r w:rsidR="008D6B87" w:rsidRPr="00F4226B">
              <w:rPr>
                <w:rFonts w:ascii="Times New Roman" w:hAnsi="Times New Roman"/>
                <w:sz w:val="18"/>
                <w:szCs w:val="18"/>
                <w:lang w:val="en-US"/>
              </w:rPr>
              <w:t>3</w:t>
            </w:r>
            <w:r w:rsidR="00E16104" w:rsidRPr="00F4226B">
              <w:rPr>
                <w:rFonts w:ascii="Times New Roman" w:hAnsi="Times New Roman"/>
                <w:sz w:val="18"/>
                <w:szCs w:val="18"/>
                <w:lang w:val="en-US"/>
              </w:rPr>
              <w:t>2.82</w:t>
            </w:r>
          </w:p>
        </w:tc>
        <w:tc>
          <w:tcPr>
            <w:tcW w:w="936" w:type="dxa"/>
            <w:tcBorders>
              <w:top w:val="single" w:sz="4" w:space="0" w:color="auto"/>
              <w:left w:val="nil"/>
              <w:bottom w:val="nil"/>
              <w:right w:val="nil"/>
            </w:tcBorders>
            <w:shd w:val="clear" w:color="auto" w:fill="auto"/>
          </w:tcPr>
          <w:p w14:paraId="53EC916F" w14:textId="77777777" w:rsidR="00D51A86" w:rsidRPr="00F4226B" w:rsidRDefault="00D51A86" w:rsidP="00E34861">
            <w:pPr>
              <w:spacing w:after="0" w:line="240" w:lineRule="auto"/>
              <w:jc w:val="right"/>
              <w:rPr>
                <w:rFonts w:ascii="Times New Roman" w:hAnsi="Times New Roman"/>
                <w:sz w:val="18"/>
                <w:szCs w:val="18"/>
                <w:lang w:val="en-US"/>
              </w:rPr>
            </w:pPr>
          </w:p>
          <w:p w14:paraId="5B44F6E9" w14:textId="77777777" w:rsidR="004E3902" w:rsidRPr="00F4226B" w:rsidRDefault="008D6B87"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w:t>
            </w:r>
            <w:r w:rsidR="00E16104" w:rsidRPr="00F4226B">
              <w:rPr>
                <w:rFonts w:ascii="Times New Roman" w:hAnsi="Times New Roman"/>
                <w:sz w:val="18"/>
                <w:szCs w:val="18"/>
                <w:lang w:val="en-US"/>
              </w:rPr>
              <w:t>6,594.55</w:t>
            </w:r>
          </w:p>
        </w:tc>
        <w:tc>
          <w:tcPr>
            <w:tcW w:w="909" w:type="dxa"/>
            <w:tcBorders>
              <w:top w:val="single" w:sz="4" w:space="0" w:color="auto"/>
              <w:left w:val="nil"/>
              <w:bottom w:val="nil"/>
              <w:right w:val="nil"/>
            </w:tcBorders>
            <w:shd w:val="clear" w:color="auto" w:fill="auto"/>
          </w:tcPr>
          <w:p w14:paraId="35942232" w14:textId="77777777" w:rsidR="00D51A86" w:rsidRPr="00F4226B" w:rsidRDefault="00D51A86" w:rsidP="00E34861">
            <w:pPr>
              <w:spacing w:after="0" w:line="240" w:lineRule="auto"/>
              <w:jc w:val="right"/>
              <w:rPr>
                <w:rFonts w:ascii="Times New Roman" w:hAnsi="Times New Roman"/>
                <w:sz w:val="18"/>
                <w:szCs w:val="18"/>
                <w:lang w:val="en-US"/>
              </w:rPr>
            </w:pPr>
          </w:p>
          <w:p w14:paraId="7FC12660" w14:textId="77777777" w:rsidR="004E3902" w:rsidRPr="00F4226B" w:rsidRDefault="008D6B87"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.32</w:t>
            </w:r>
          </w:p>
        </w:tc>
        <w:tc>
          <w:tcPr>
            <w:tcW w:w="1026" w:type="dxa"/>
            <w:tcBorders>
              <w:top w:val="single" w:sz="4" w:space="0" w:color="auto"/>
              <w:left w:val="nil"/>
              <w:bottom w:val="nil"/>
              <w:right w:val="nil"/>
            </w:tcBorders>
            <w:shd w:val="clear" w:color="auto" w:fill="auto"/>
          </w:tcPr>
          <w:p w14:paraId="0EF0ADF6" w14:textId="77777777" w:rsidR="00D51A86" w:rsidRPr="00F4226B" w:rsidRDefault="00D51A86" w:rsidP="00E34861">
            <w:pPr>
              <w:spacing w:after="0" w:line="240" w:lineRule="auto"/>
              <w:jc w:val="right"/>
              <w:rPr>
                <w:rFonts w:ascii="Times New Roman" w:hAnsi="Times New Roman"/>
                <w:sz w:val="18"/>
                <w:szCs w:val="18"/>
                <w:lang w:val="en-US"/>
              </w:rPr>
            </w:pPr>
          </w:p>
          <w:p w14:paraId="2FEA39FF" w14:textId="77777777" w:rsidR="004E3902" w:rsidRPr="00F4226B" w:rsidRDefault="008D6B87"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500,000</w:t>
            </w:r>
            <w:r w:rsidR="00F3415B" w:rsidRPr="00F4226B">
              <w:rPr>
                <w:rFonts w:ascii="Times New Roman" w:hAnsi="Times New Roman"/>
                <w:sz w:val="18"/>
                <w:szCs w:val="18"/>
                <w:lang w:val="en-US"/>
              </w:rPr>
              <w:t>.00</w:t>
            </w:r>
          </w:p>
        </w:tc>
        <w:tc>
          <w:tcPr>
            <w:tcW w:w="1011" w:type="dxa"/>
            <w:tcBorders>
              <w:top w:val="single" w:sz="4" w:space="0" w:color="auto"/>
              <w:left w:val="nil"/>
              <w:bottom w:val="nil"/>
              <w:right w:val="nil"/>
            </w:tcBorders>
            <w:shd w:val="clear" w:color="auto" w:fill="auto"/>
          </w:tcPr>
          <w:p w14:paraId="424E6905" w14:textId="77777777" w:rsidR="00D51A86" w:rsidRPr="00F4226B" w:rsidRDefault="00D51A86" w:rsidP="00E34861">
            <w:pPr>
              <w:spacing w:after="0" w:line="240" w:lineRule="auto"/>
              <w:jc w:val="right"/>
              <w:rPr>
                <w:rFonts w:ascii="Times New Roman" w:hAnsi="Times New Roman"/>
                <w:sz w:val="18"/>
                <w:szCs w:val="18"/>
                <w:lang w:val="en-US"/>
              </w:rPr>
            </w:pPr>
          </w:p>
          <w:p w14:paraId="47BFAEB3" w14:textId="77777777" w:rsidR="004E3902" w:rsidRPr="00F4226B" w:rsidRDefault="008D6B87"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1.73</w:t>
            </w:r>
          </w:p>
        </w:tc>
        <w:tc>
          <w:tcPr>
            <w:tcW w:w="660" w:type="dxa"/>
            <w:tcBorders>
              <w:top w:val="single" w:sz="4" w:space="0" w:color="auto"/>
              <w:left w:val="nil"/>
              <w:bottom w:val="nil"/>
              <w:right w:val="nil"/>
            </w:tcBorders>
          </w:tcPr>
          <w:p w14:paraId="551FB690" w14:textId="77777777" w:rsidR="00D51A86" w:rsidRPr="00F4226B" w:rsidRDefault="00D51A86" w:rsidP="00E34861">
            <w:pPr>
              <w:spacing w:after="0" w:line="240" w:lineRule="auto"/>
              <w:jc w:val="right"/>
              <w:rPr>
                <w:rFonts w:ascii="Times New Roman" w:hAnsi="Times New Roman"/>
                <w:sz w:val="18"/>
                <w:szCs w:val="18"/>
                <w:lang w:val="en-US"/>
              </w:rPr>
            </w:pPr>
          </w:p>
          <w:p w14:paraId="1F9DD24F" w14:textId="77777777" w:rsidR="004E3902" w:rsidRPr="00F4226B" w:rsidRDefault="008D6B87"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6.826</w:t>
            </w:r>
          </w:p>
        </w:tc>
        <w:tc>
          <w:tcPr>
            <w:tcW w:w="636" w:type="dxa"/>
            <w:tcBorders>
              <w:top w:val="single" w:sz="4" w:space="0" w:color="auto"/>
              <w:left w:val="nil"/>
              <w:bottom w:val="nil"/>
              <w:right w:val="nil"/>
            </w:tcBorders>
          </w:tcPr>
          <w:p w14:paraId="3CAB92AC" w14:textId="77777777" w:rsidR="00D51A86" w:rsidRPr="00F4226B" w:rsidRDefault="00D51A86" w:rsidP="00E34861">
            <w:pPr>
              <w:spacing w:after="0" w:line="240" w:lineRule="auto"/>
              <w:jc w:val="right"/>
              <w:rPr>
                <w:rFonts w:ascii="Times New Roman" w:hAnsi="Times New Roman"/>
                <w:sz w:val="18"/>
                <w:szCs w:val="18"/>
                <w:lang w:val="en-US"/>
              </w:rPr>
            </w:pPr>
          </w:p>
          <w:p w14:paraId="0499ECE8" w14:textId="77777777" w:rsidR="004E3902" w:rsidRPr="00F4226B" w:rsidRDefault="008D6B87"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.003</w:t>
            </w:r>
          </w:p>
        </w:tc>
        <w:tc>
          <w:tcPr>
            <w:tcW w:w="0" w:type="auto"/>
            <w:tcBorders>
              <w:top w:val="single" w:sz="4" w:space="0" w:color="auto"/>
              <w:left w:val="nil"/>
              <w:bottom w:val="nil"/>
              <w:right w:val="nil"/>
            </w:tcBorders>
          </w:tcPr>
          <w:p w14:paraId="1D269A97" w14:textId="77777777" w:rsidR="00D51A86" w:rsidRPr="00F4226B" w:rsidRDefault="00D51A86" w:rsidP="00E34861">
            <w:pPr>
              <w:spacing w:after="0" w:line="240" w:lineRule="auto"/>
              <w:jc w:val="right"/>
              <w:rPr>
                <w:rFonts w:ascii="Times New Roman" w:hAnsi="Times New Roman"/>
                <w:sz w:val="18"/>
                <w:szCs w:val="18"/>
                <w:lang w:val="en-US"/>
              </w:rPr>
            </w:pPr>
          </w:p>
          <w:p w14:paraId="20222958" w14:textId="77777777" w:rsidR="004E3902" w:rsidRPr="00F4226B" w:rsidRDefault="008D6B87"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65.45</w:t>
            </w:r>
          </w:p>
        </w:tc>
      </w:tr>
      <w:tr w:rsidR="00C7537C" w:rsidRPr="00F4226B" w14:paraId="679DAD70" w14:textId="77777777" w:rsidTr="00E34861">
        <w:tc>
          <w:tcPr>
            <w:tcW w:w="2740" w:type="dxa"/>
            <w:tcBorders>
              <w:top w:val="nil"/>
              <w:left w:val="nil"/>
              <w:bottom w:val="nil"/>
              <w:right w:val="nil"/>
            </w:tcBorders>
            <w:shd w:val="clear" w:color="auto" w:fill="auto"/>
          </w:tcPr>
          <w:p w14:paraId="5867EB64" w14:textId="77777777" w:rsidR="004E3902" w:rsidRPr="00F4226B" w:rsidRDefault="0023701B"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w:t>
            </w:r>
            <w:r w:rsidR="00852805" w:rsidRPr="00F4226B">
              <w:rPr>
                <w:rFonts w:ascii="Times New Roman" w:hAnsi="Times New Roman"/>
                <w:sz w:val="18"/>
                <w:szCs w:val="18"/>
                <w:lang w:val="en-US"/>
              </w:rPr>
              <w:t>Low inflation period</w:t>
            </w:r>
          </w:p>
        </w:tc>
        <w:tc>
          <w:tcPr>
            <w:tcW w:w="1067" w:type="dxa"/>
            <w:tcBorders>
              <w:top w:val="nil"/>
              <w:left w:val="nil"/>
              <w:bottom w:val="nil"/>
              <w:right w:val="nil"/>
            </w:tcBorders>
            <w:shd w:val="clear" w:color="auto" w:fill="auto"/>
          </w:tcPr>
          <w:p w14:paraId="25BE4235" w14:textId="77777777" w:rsidR="004E3902" w:rsidRPr="00F4226B" w:rsidRDefault="00E1610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119.68</w:t>
            </w:r>
          </w:p>
        </w:tc>
        <w:tc>
          <w:tcPr>
            <w:tcW w:w="936" w:type="dxa"/>
            <w:tcBorders>
              <w:top w:val="nil"/>
              <w:left w:val="nil"/>
              <w:bottom w:val="nil"/>
              <w:right w:val="nil"/>
            </w:tcBorders>
            <w:shd w:val="clear" w:color="auto" w:fill="auto"/>
          </w:tcPr>
          <w:p w14:paraId="0EFEADCB" w14:textId="77777777" w:rsidR="004E3902" w:rsidRPr="00F4226B" w:rsidRDefault="00E1610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417.07</w:t>
            </w:r>
          </w:p>
        </w:tc>
        <w:tc>
          <w:tcPr>
            <w:tcW w:w="909" w:type="dxa"/>
            <w:tcBorders>
              <w:top w:val="nil"/>
              <w:left w:val="nil"/>
              <w:bottom w:val="nil"/>
              <w:right w:val="nil"/>
            </w:tcBorders>
            <w:shd w:val="clear" w:color="auto" w:fill="auto"/>
          </w:tcPr>
          <w:p w14:paraId="5B5E039C" w14:textId="77777777" w:rsidR="004E3902"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.32</w:t>
            </w:r>
          </w:p>
        </w:tc>
        <w:tc>
          <w:tcPr>
            <w:tcW w:w="1026" w:type="dxa"/>
            <w:tcBorders>
              <w:top w:val="nil"/>
              <w:left w:val="nil"/>
              <w:bottom w:val="nil"/>
              <w:right w:val="nil"/>
            </w:tcBorders>
            <w:shd w:val="clear" w:color="auto" w:fill="auto"/>
          </w:tcPr>
          <w:p w14:paraId="40BD60B9" w14:textId="77777777" w:rsidR="004E3902"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3,600.00</w:t>
            </w:r>
          </w:p>
        </w:tc>
        <w:tc>
          <w:tcPr>
            <w:tcW w:w="1011" w:type="dxa"/>
            <w:tcBorders>
              <w:top w:val="nil"/>
              <w:left w:val="nil"/>
              <w:bottom w:val="nil"/>
              <w:right w:val="nil"/>
            </w:tcBorders>
            <w:shd w:val="clear" w:color="auto" w:fill="auto"/>
          </w:tcPr>
          <w:p w14:paraId="3C346602" w14:textId="77777777" w:rsidR="004E3902"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2.20</w:t>
            </w:r>
          </w:p>
        </w:tc>
        <w:tc>
          <w:tcPr>
            <w:tcW w:w="660" w:type="dxa"/>
            <w:tcBorders>
              <w:top w:val="nil"/>
              <w:left w:val="nil"/>
              <w:bottom w:val="nil"/>
              <w:right w:val="nil"/>
            </w:tcBorders>
          </w:tcPr>
          <w:p w14:paraId="413A3B89" w14:textId="77777777" w:rsidR="004E3902"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7.595</w:t>
            </w:r>
          </w:p>
        </w:tc>
        <w:tc>
          <w:tcPr>
            <w:tcW w:w="636" w:type="dxa"/>
            <w:tcBorders>
              <w:top w:val="nil"/>
              <w:left w:val="nil"/>
              <w:bottom w:val="nil"/>
              <w:right w:val="nil"/>
            </w:tcBorders>
          </w:tcPr>
          <w:p w14:paraId="720AC451" w14:textId="77777777" w:rsidR="004E3902"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.007</w:t>
            </w:r>
          </w:p>
        </w:tc>
        <w:tc>
          <w:tcPr>
            <w:tcW w:w="0" w:type="auto"/>
            <w:tcBorders>
              <w:top w:val="nil"/>
              <w:left w:val="nil"/>
              <w:bottom w:val="nil"/>
              <w:right w:val="nil"/>
            </w:tcBorders>
          </w:tcPr>
          <w:p w14:paraId="221A578E" w14:textId="77777777" w:rsidR="004E3902"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65.45</w:t>
            </w:r>
          </w:p>
        </w:tc>
      </w:tr>
      <w:tr w:rsidR="00C7537C" w:rsidRPr="00F4226B" w14:paraId="10D57B77" w14:textId="77777777" w:rsidTr="00E34861">
        <w:trPr>
          <w:trHeight w:val="334"/>
        </w:trPr>
        <w:tc>
          <w:tcPr>
            <w:tcW w:w="2740" w:type="dxa"/>
            <w:tcBorders>
              <w:top w:val="nil"/>
              <w:left w:val="nil"/>
              <w:bottom w:val="nil"/>
              <w:right w:val="nil"/>
            </w:tcBorders>
            <w:shd w:val="clear" w:color="auto" w:fill="auto"/>
          </w:tcPr>
          <w:p w14:paraId="27138D23" w14:textId="77777777" w:rsidR="00852805" w:rsidRPr="00F4226B" w:rsidRDefault="0023701B"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w:t>
            </w:r>
            <w:r w:rsidR="00852805" w:rsidRPr="00F4226B">
              <w:rPr>
                <w:rFonts w:ascii="Times New Roman" w:hAnsi="Times New Roman"/>
                <w:sz w:val="18"/>
                <w:szCs w:val="18"/>
                <w:lang w:val="en-US"/>
              </w:rPr>
              <w:t>High inflation period</w:t>
            </w:r>
          </w:p>
        </w:tc>
        <w:tc>
          <w:tcPr>
            <w:tcW w:w="1067" w:type="dxa"/>
            <w:tcBorders>
              <w:top w:val="nil"/>
              <w:left w:val="nil"/>
              <w:bottom w:val="nil"/>
              <w:right w:val="nil"/>
            </w:tcBorders>
            <w:shd w:val="clear" w:color="auto" w:fill="auto"/>
          </w:tcPr>
          <w:p w14:paraId="341A3D53" w14:textId="77777777" w:rsidR="00852805"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8,586.09</w:t>
            </w:r>
          </w:p>
        </w:tc>
        <w:tc>
          <w:tcPr>
            <w:tcW w:w="936" w:type="dxa"/>
            <w:tcBorders>
              <w:top w:val="nil"/>
              <w:left w:val="nil"/>
              <w:bottom w:val="nil"/>
              <w:right w:val="nil"/>
            </w:tcBorders>
            <w:shd w:val="clear" w:color="auto" w:fill="auto"/>
          </w:tcPr>
          <w:p w14:paraId="6DAF692C" w14:textId="77777777" w:rsidR="00852805"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47,811.16</w:t>
            </w:r>
          </w:p>
        </w:tc>
        <w:tc>
          <w:tcPr>
            <w:tcW w:w="909" w:type="dxa"/>
            <w:tcBorders>
              <w:top w:val="nil"/>
              <w:left w:val="nil"/>
              <w:bottom w:val="nil"/>
              <w:right w:val="nil"/>
            </w:tcBorders>
            <w:shd w:val="clear" w:color="auto" w:fill="auto"/>
          </w:tcPr>
          <w:p w14:paraId="7D62BCE2" w14:textId="77777777" w:rsidR="00852805"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6.50</w:t>
            </w:r>
          </w:p>
        </w:tc>
        <w:tc>
          <w:tcPr>
            <w:tcW w:w="1026" w:type="dxa"/>
            <w:tcBorders>
              <w:top w:val="nil"/>
              <w:left w:val="nil"/>
              <w:bottom w:val="nil"/>
              <w:right w:val="nil"/>
            </w:tcBorders>
            <w:shd w:val="clear" w:color="auto" w:fill="auto"/>
          </w:tcPr>
          <w:p w14:paraId="4FF52CB3" w14:textId="77777777" w:rsidR="00852805"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50,000.00</w:t>
            </w:r>
          </w:p>
        </w:tc>
        <w:tc>
          <w:tcPr>
            <w:tcW w:w="1011" w:type="dxa"/>
            <w:tcBorders>
              <w:top w:val="nil"/>
              <w:left w:val="nil"/>
              <w:bottom w:val="nil"/>
              <w:right w:val="nil"/>
            </w:tcBorders>
            <w:shd w:val="clear" w:color="auto" w:fill="auto"/>
          </w:tcPr>
          <w:p w14:paraId="0BC0BFF3" w14:textId="77777777" w:rsidR="00852805"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1.39</w:t>
            </w:r>
          </w:p>
        </w:tc>
        <w:tc>
          <w:tcPr>
            <w:tcW w:w="660" w:type="dxa"/>
            <w:tcBorders>
              <w:top w:val="nil"/>
              <w:left w:val="nil"/>
              <w:bottom w:val="nil"/>
              <w:right w:val="nil"/>
            </w:tcBorders>
          </w:tcPr>
          <w:p w14:paraId="7C90767C" w14:textId="77777777" w:rsidR="00852805"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6.23</w:t>
            </w:r>
            <w:r w:rsidR="00CA4EE6" w:rsidRPr="00F4226B">
              <w:rPr>
                <w:rFonts w:ascii="Times New Roman" w:hAnsi="Times New Roman"/>
                <w:sz w:val="18"/>
                <w:szCs w:val="18"/>
                <w:lang w:val="en-US"/>
              </w:rPr>
              <w:t>0</w:t>
            </w:r>
          </w:p>
        </w:tc>
        <w:tc>
          <w:tcPr>
            <w:tcW w:w="636" w:type="dxa"/>
            <w:tcBorders>
              <w:top w:val="nil"/>
              <w:left w:val="nil"/>
              <w:bottom w:val="nil"/>
              <w:right w:val="nil"/>
            </w:tcBorders>
          </w:tcPr>
          <w:p w14:paraId="4D1E6F81" w14:textId="77777777" w:rsidR="00852805"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.003</w:t>
            </w:r>
          </w:p>
        </w:tc>
        <w:tc>
          <w:tcPr>
            <w:tcW w:w="0" w:type="auto"/>
            <w:tcBorders>
              <w:top w:val="nil"/>
              <w:left w:val="nil"/>
              <w:bottom w:val="nil"/>
              <w:right w:val="nil"/>
            </w:tcBorders>
          </w:tcPr>
          <w:p w14:paraId="23A87677" w14:textId="77777777" w:rsidR="00852805"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62.50</w:t>
            </w:r>
          </w:p>
        </w:tc>
      </w:tr>
      <w:tr w:rsidR="00C7537C" w:rsidRPr="00F4226B" w14:paraId="0BF5F2AC" w14:textId="77777777" w:rsidTr="00E34861">
        <w:tc>
          <w:tcPr>
            <w:tcW w:w="2740" w:type="dxa"/>
            <w:tcBorders>
              <w:top w:val="nil"/>
              <w:left w:val="nil"/>
              <w:bottom w:val="nil"/>
              <w:right w:val="nil"/>
            </w:tcBorders>
            <w:shd w:val="clear" w:color="auto" w:fill="auto"/>
          </w:tcPr>
          <w:p w14:paraId="666136F5" w14:textId="77777777" w:rsidR="00D51A86" w:rsidRPr="00F4226B" w:rsidRDefault="0023701B"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Stock returns</w:t>
            </w:r>
            <w:r w:rsidR="00F3415B" w:rsidRPr="00F4226B">
              <w:rPr>
                <w:rFonts w:ascii="Times New Roman" w:hAnsi="Times New Roman"/>
                <w:sz w:val="18"/>
                <w:szCs w:val="18"/>
                <w:lang w:val="en-US"/>
              </w:rPr>
              <w:t xml:space="preserve"> (%)</w:t>
            </w:r>
            <w:r w:rsidRPr="00F4226B">
              <w:rPr>
                <w:rFonts w:ascii="Times New Roman" w:hAnsi="Times New Roman"/>
                <w:sz w:val="18"/>
                <w:szCs w:val="18"/>
                <w:lang w:val="en-US"/>
              </w:rPr>
              <w:t xml:space="preserve">: </w:t>
            </w:r>
          </w:p>
          <w:p w14:paraId="68EE3B9A" w14:textId="68F79325" w:rsidR="0023701B" w:rsidRPr="00F4226B" w:rsidRDefault="00C7537C"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 ……. </w:t>
            </w:r>
            <w:r w:rsidR="0023701B" w:rsidRPr="00F4226B">
              <w:rPr>
                <w:rFonts w:ascii="Times New Roman" w:hAnsi="Times New Roman"/>
                <w:sz w:val="18"/>
                <w:szCs w:val="18"/>
                <w:lang w:val="en-US"/>
              </w:rPr>
              <w:t>Entire pooled sample</w:t>
            </w:r>
          </w:p>
        </w:tc>
        <w:tc>
          <w:tcPr>
            <w:tcW w:w="1067" w:type="dxa"/>
            <w:tcBorders>
              <w:top w:val="nil"/>
              <w:left w:val="nil"/>
              <w:bottom w:val="nil"/>
              <w:right w:val="nil"/>
            </w:tcBorders>
            <w:shd w:val="clear" w:color="auto" w:fill="auto"/>
          </w:tcPr>
          <w:p w14:paraId="11811A52" w14:textId="77777777" w:rsidR="00D51A86" w:rsidRPr="00F4226B" w:rsidRDefault="00D51A86" w:rsidP="00E34861">
            <w:pPr>
              <w:spacing w:after="0" w:line="240" w:lineRule="auto"/>
              <w:jc w:val="right"/>
              <w:rPr>
                <w:rFonts w:ascii="Times New Roman" w:hAnsi="Times New Roman"/>
                <w:sz w:val="18"/>
                <w:szCs w:val="18"/>
                <w:lang w:val="en-US"/>
              </w:rPr>
            </w:pPr>
          </w:p>
          <w:p w14:paraId="167165B4" w14:textId="77777777" w:rsidR="0023701B" w:rsidRPr="00F4226B" w:rsidRDefault="00F34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w:t>
            </w:r>
            <w:r w:rsidR="00201D0E" w:rsidRPr="00F4226B">
              <w:rPr>
                <w:rFonts w:ascii="Times New Roman" w:hAnsi="Times New Roman"/>
                <w:sz w:val="18"/>
                <w:szCs w:val="18"/>
                <w:lang w:val="en-US"/>
              </w:rPr>
              <w:t>,</w:t>
            </w:r>
            <w:r w:rsidRPr="00F4226B">
              <w:rPr>
                <w:rFonts w:ascii="Times New Roman" w:hAnsi="Times New Roman"/>
                <w:sz w:val="18"/>
                <w:szCs w:val="18"/>
                <w:lang w:val="en-US"/>
              </w:rPr>
              <w:t>843</w:t>
            </w:r>
          </w:p>
        </w:tc>
        <w:tc>
          <w:tcPr>
            <w:tcW w:w="936" w:type="dxa"/>
            <w:tcBorders>
              <w:top w:val="nil"/>
              <w:left w:val="nil"/>
              <w:bottom w:val="nil"/>
              <w:right w:val="nil"/>
            </w:tcBorders>
            <w:shd w:val="clear" w:color="auto" w:fill="auto"/>
          </w:tcPr>
          <w:p w14:paraId="20DB7E54" w14:textId="77777777" w:rsidR="00D51A86" w:rsidRPr="00F4226B" w:rsidRDefault="00D51A86" w:rsidP="00E34861">
            <w:pPr>
              <w:spacing w:after="0" w:line="240" w:lineRule="auto"/>
              <w:jc w:val="right"/>
              <w:rPr>
                <w:rFonts w:ascii="Times New Roman" w:hAnsi="Times New Roman"/>
                <w:sz w:val="18"/>
                <w:szCs w:val="18"/>
                <w:lang w:val="en-US"/>
              </w:rPr>
            </w:pPr>
          </w:p>
          <w:p w14:paraId="17576D4E" w14:textId="77777777" w:rsidR="0023701B" w:rsidRPr="00F4226B" w:rsidRDefault="00CA4EE6"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w:t>
            </w:r>
            <w:r w:rsidR="00201D0E" w:rsidRPr="00F4226B">
              <w:rPr>
                <w:rFonts w:ascii="Times New Roman" w:hAnsi="Times New Roman"/>
                <w:sz w:val="18"/>
                <w:szCs w:val="18"/>
                <w:lang w:val="en-US"/>
              </w:rPr>
              <w:t>,</w:t>
            </w:r>
            <w:r w:rsidRPr="00F4226B">
              <w:rPr>
                <w:rFonts w:ascii="Times New Roman" w:hAnsi="Times New Roman"/>
                <w:sz w:val="18"/>
                <w:szCs w:val="18"/>
                <w:lang w:val="en-US"/>
              </w:rPr>
              <w:t>154</w:t>
            </w:r>
          </w:p>
        </w:tc>
        <w:tc>
          <w:tcPr>
            <w:tcW w:w="909" w:type="dxa"/>
            <w:tcBorders>
              <w:top w:val="nil"/>
              <w:left w:val="nil"/>
              <w:bottom w:val="nil"/>
              <w:right w:val="nil"/>
            </w:tcBorders>
            <w:shd w:val="clear" w:color="auto" w:fill="auto"/>
          </w:tcPr>
          <w:p w14:paraId="1F8A1B62" w14:textId="77777777" w:rsidR="00D51A86" w:rsidRPr="00F4226B" w:rsidRDefault="00D51A86" w:rsidP="00E34861">
            <w:pPr>
              <w:spacing w:after="0" w:line="240" w:lineRule="auto"/>
              <w:jc w:val="right"/>
              <w:rPr>
                <w:rFonts w:ascii="Times New Roman" w:hAnsi="Times New Roman"/>
                <w:sz w:val="18"/>
                <w:szCs w:val="18"/>
                <w:lang w:val="en-US"/>
              </w:rPr>
            </w:pPr>
          </w:p>
          <w:p w14:paraId="100904AF" w14:textId="77777777" w:rsidR="0023701B" w:rsidRPr="00F4226B" w:rsidRDefault="00CA4EE6"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-.73</w:t>
            </w:r>
          </w:p>
        </w:tc>
        <w:tc>
          <w:tcPr>
            <w:tcW w:w="1026" w:type="dxa"/>
            <w:tcBorders>
              <w:top w:val="nil"/>
              <w:left w:val="nil"/>
              <w:bottom w:val="nil"/>
              <w:right w:val="nil"/>
            </w:tcBorders>
            <w:shd w:val="clear" w:color="auto" w:fill="auto"/>
          </w:tcPr>
          <w:p w14:paraId="1049414A" w14:textId="77777777" w:rsidR="00D51A86" w:rsidRPr="00F4226B" w:rsidRDefault="00D51A86" w:rsidP="00E34861">
            <w:pPr>
              <w:spacing w:after="0" w:line="240" w:lineRule="auto"/>
              <w:jc w:val="right"/>
              <w:rPr>
                <w:rFonts w:ascii="Times New Roman" w:hAnsi="Times New Roman"/>
                <w:sz w:val="18"/>
                <w:szCs w:val="18"/>
                <w:lang w:val="en-US"/>
              </w:rPr>
            </w:pPr>
          </w:p>
          <w:p w14:paraId="45055BA8" w14:textId="77777777" w:rsidR="0023701B" w:rsidRPr="00F4226B" w:rsidRDefault="00CA4EE6"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46</w:t>
            </w:r>
            <w:r w:rsidR="00201D0E" w:rsidRPr="00F4226B">
              <w:rPr>
                <w:rFonts w:ascii="Times New Roman" w:hAnsi="Times New Roman"/>
                <w:sz w:val="18"/>
                <w:szCs w:val="18"/>
                <w:lang w:val="en-US"/>
              </w:rPr>
              <w:t>,</w:t>
            </w:r>
            <w:r w:rsidRPr="00F4226B">
              <w:rPr>
                <w:rFonts w:ascii="Times New Roman" w:hAnsi="Times New Roman"/>
                <w:sz w:val="18"/>
                <w:szCs w:val="18"/>
                <w:lang w:val="en-US"/>
              </w:rPr>
              <w:t>32</w:t>
            </w:r>
            <w:r w:rsidR="00201D0E" w:rsidRPr="00F4226B">
              <w:rPr>
                <w:rFonts w:ascii="Times New Roman" w:hAnsi="Times New Roman"/>
                <w:sz w:val="18"/>
                <w:szCs w:val="18"/>
                <w:lang w:val="en-US"/>
              </w:rPr>
              <w:t>9</w:t>
            </w:r>
          </w:p>
        </w:tc>
        <w:tc>
          <w:tcPr>
            <w:tcW w:w="1011" w:type="dxa"/>
            <w:tcBorders>
              <w:top w:val="nil"/>
              <w:left w:val="nil"/>
              <w:bottom w:val="nil"/>
              <w:right w:val="nil"/>
            </w:tcBorders>
            <w:shd w:val="clear" w:color="auto" w:fill="auto"/>
          </w:tcPr>
          <w:p w14:paraId="655A80AF" w14:textId="77777777" w:rsidR="00D51A86" w:rsidRPr="00F4226B" w:rsidRDefault="00D51A86" w:rsidP="00E34861">
            <w:pPr>
              <w:spacing w:after="0" w:line="240" w:lineRule="auto"/>
              <w:jc w:val="right"/>
              <w:rPr>
                <w:rFonts w:ascii="Times New Roman" w:hAnsi="Times New Roman"/>
                <w:sz w:val="18"/>
                <w:szCs w:val="18"/>
                <w:lang w:val="en-US"/>
              </w:rPr>
            </w:pPr>
          </w:p>
          <w:p w14:paraId="799A0AB4" w14:textId="77777777" w:rsidR="0023701B" w:rsidRPr="00F4226B" w:rsidRDefault="00CA4EE6"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.0701</w:t>
            </w:r>
          </w:p>
        </w:tc>
        <w:tc>
          <w:tcPr>
            <w:tcW w:w="660" w:type="dxa"/>
            <w:tcBorders>
              <w:top w:val="nil"/>
              <w:left w:val="nil"/>
              <w:bottom w:val="nil"/>
              <w:right w:val="nil"/>
            </w:tcBorders>
          </w:tcPr>
          <w:p w14:paraId="5C079A61" w14:textId="77777777" w:rsidR="00D51A86" w:rsidRPr="00F4226B" w:rsidRDefault="00D51A86" w:rsidP="00E34861">
            <w:pPr>
              <w:spacing w:after="0" w:line="240" w:lineRule="auto"/>
              <w:jc w:val="right"/>
              <w:rPr>
                <w:rFonts w:ascii="Times New Roman" w:hAnsi="Times New Roman"/>
                <w:sz w:val="18"/>
                <w:szCs w:val="18"/>
                <w:lang w:val="en-US"/>
              </w:rPr>
            </w:pPr>
          </w:p>
          <w:p w14:paraId="259990F4" w14:textId="77777777" w:rsidR="0023701B" w:rsidRPr="00F4226B" w:rsidRDefault="00CA4EE6"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.215</w:t>
            </w:r>
          </w:p>
        </w:tc>
        <w:tc>
          <w:tcPr>
            <w:tcW w:w="636" w:type="dxa"/>
            <w:tcBorders>
              <w:top w:val="nil"/>
              <w:left w:val="nil"/>
              <w:bottom w:val="nil"/>
              <w:right w:val="nil"/>
            </w:tcBorders>
          </w:tcPr>
          <w:p w14:paraId="2ABA6F27" w14:textId="77777777" w:rsidR="00D51A86" w:rsidRPr="00F4226B" w:rsidRDefault="00D51A86" w:rsidP="00E34861">
            <w:pPr>
              <w:spacing w:after="0" w:line="240" w:lineRule="auto"/>
              <w:jc w:val="right"/>
              <w:rPr>
                <w:rFonts w:ascii="Times New Roman" w:hAnsi="Times New Roman"/>
                <w:sz w:val="18"/>
                <w:szCs w:val="18"/>
                <w:lang w:val="en-US"/>
              </w:rPr>
            </w:pPr>
          </w:p>
          <w:p w14:paraId="0F5ABA55" w14:textId="77777777" w:rsidR="0023701B" w:rsidRPr="00F4226B" w:rsidRDefault="00F05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-.012</w:t>
            </w:r>
          </w:p>
        </w:tc>
        <w:tc>
          <w:tcPr>
            <w:tcW w:w="0" w:type="auto"/>
            <w:tcBorders>
              <w:top w:val="nil"/>
              <w:left w:val="nil"/>
              <w:bottom w:val="nil"/>
              <w:right w:val="nil"/>
            </w:tcBorders>
          </w:tcPr>
          <w:p w14:paraId="4D4704EE" w14:textId="77777777" w:rsidR="00D51A86" w:rsidRPr="00F4226B" w:rsidRDefault="00D51A86" w:rsidP="00E34861">
            <w:pPr>
              <w:spacing w:after="0" w:line="240" w:lineRule="auto"/>
              <w:jc w:val="right"/>
              <w:rPr>
                <w:rFonts w:ascii="Times New Roman" w:hAnsi="Times New Roman"/>
                <w:sz w:val="18"/>
                <w:szCs w:val="18"/>
                <w:lang w:val="en-US"/>
              </w:rPr>
            </w:pPr>
          </w:p>
          <w:p w14:paraId="26AB129E" w14:textId="77777777" w:rsidR="0023701B" w:rsidRPr="00F4226B" w:rsidRDefault="00F0515B"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2.35</w:t>
            </w:r>
          </w:p>
        </w:tc>
      </w:tr>
      <w:tr w:rsidR="00C7537C" w:rsidRPr="00F4226B" w14:paraId="7F5F1645" w14:textId="77777777" w:rsidTr="00E34861">
        <w:tc>
          <w:tcPr>
            <w:tcW w:w="2740" w:type="dxa"/>
            <w:tcBorders>
              <w:top w:val="nil"/>
              <w:left w:val="nil"/>
              <w:bottom w:val="nil"/>
              <w:right w:val="nil"/>
            </w:tcBorders>
            <w:shd w:val="clear" w:color="auto" w:fill="auto"/>
          </w:tcPr>
          <w:p w14:paraId="756B5798" w14:textId="77777777" w:rsidR="0023701B" w:rsidRPr="00F4226B" w:rsidRDefault="0023701B"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Low inflation period</w:t>
            </w:r>
          </w:p>
        </w:tc>
        <w:tc>
          <w:tcPr>
            <w:tcW w:w="1067" w:type="dxa"/>
            <w:tcBorders>
              <w:top w:val="nil"/>
              <w:left w:val="nil"/>
              <w:bottom w:val="nil"/>
              <w:right w:val="nil"/>
            </w:tcBorders>
            <w:shd w:val="clear" w:color="auto" w:fill="auto"/>
          </w:tcPr>
          <w:p w14:paraId="320C5B61" w14:textId="77777777" w:rsidR="0023701B" w:rsidRPr="00F4226B" w:rsidRDefault="002674F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870</w:t>
            </w:r>
          </w:p>
        </w:tc>
        <w:tc>
          <w:tcPr>
            <w:tcW w:w="936" w:type="dxa"/>
            <w:tcBorders>
              <w:top w:val="nil"/>
              <w:left w:val="nil"/>
              <w:bottom w:val="nil"/>
              <w:right w:val="nil"/>
            </w:tcBorders>
            <w:shd w:val="clear" w:color="auto" w:fill="auto"/>
          </w:tcPr>
          <w:p w14:paraId="1F1A6724" w14:textId="77777777" w:rsidR="0023701B" w:rsidRPr="00F4226B" w:rsidRDefault="002674F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w:t>
            </w:r>
            <w:r w:rsidR="00201D0E" w:rsidRPr="00F4226B">
              <w:rPr>
                <w:rFonts w:ascii="Times New Roman" w:hAnsi="Times New Roman"/>
                <w:sz w:val="18"/>
                <w:szCs w:val="18"/>
                <w:lang w:val="en-US"/>
              </w:rPr>
              <w:t>,</w:t>
            </w:r>
            <w:r w:rsidRPr="00F4226B">
              <w:rPr>
                <w:rFonts w:ascii="Times New Roman" w:hAnsi="Times New Roman"/>
                <w:sz w:val="18"/>
                <w:szCs w:val="18"/>
                <w:lang w:val="en-US"/>
              </w:rPr>
              <w:t>716</w:t>
            </w:r>
          </w:p>
        </w:tc>
        <w:tc>
          <w:tcPr>
            <w:tcW w:w="909" w:type="dxa"/>
            <w:tcBorders>
              <w:top w:val="nil"/>
              <w:left w:val="nil"/>
              <w:bottom w:val="nil"/>
              <w:right w:val="nil"/>
            </w:tcBorders>
            <w:shd w:val="clear" w:color="auto" w:fill="auto"/>
          </w:tcPr>
          <w:p w14:paraId="52F38DD1" w14:textId="77777777" w:rsidR="0023701B" w:rsidRPr="00F4226B" w:rsidRDefault="002674F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-.54</w:t>
            </w:r>
          </w:p>
        </w:tc>
        <w:tc>
          <w:tcPr>
            <w:tcW w:w="1026" w:type="dxa"/>
            <w:tcBorders>
              <w:top w:val="nil"/>
              <w:left w:val="nil"/>
              <w:bottom w:val="nil"/>
              <w:right w:val="nil"/>
            </w:tcBorders>
            <w:shd w:val="clear" w:color="auto" w:fill="auto"/>
          </w:tcPr>
          <w:p w14:paraId="64947E8A" w14:textId="77777777" w:rsidR="0023701B" w:rsidRPr="00F4226B" w:rsidRDefault="002674F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12</w:t>
            </w:r>
            <w:r w:rsidR="00201D0E" w:rsidRPr="00F4226B">
              <w:rPr>
                <w:rFonts w:ascii="Times New Roman" w:hAnsi="Times New Roman"/>
                <w:sz w:val="18"/>
                <w:szCs w:val="18"/>
                <w:lang w:val="en-US"/>
              </w:rPr>
              <w:t>,</w:t>
            </w:r>
            <w:r w:rsidRPr="00F4226B">
              <w:rPr>
                <w:rFonts w:ascii="Times New Roman" w:hAnsi="Times New Roman"/>
                <w:sz w:val="18"/>
                <w:szCs w:val="18"/>
                <w:lang w:val="en-US"/>
              </w:rPr>
              <w:t>912</w:t>
            </w:r>
          </w:p>
        </w:tc>
        <w:tc>
          <w:tcPr>
            <w:tcW w:w="1011" w:type="dxa"/>
            <w:tcBorders>
              <w:top w:val="nil"/>
              <w:left w:val="nil"/>
              <w:bottom w:val="nil"/>
              <w:right w:val="nil"/>
            </w:tcBorders>
            <w:shd w:val="clear" w:color="auto" w:fill="auto"/>
          </w:tcPr>
          <w:p w14:paraId="2FC75863" w14:textId="77777777" w:rsidR="0023701B" w:rsidRPr="00F4226B" w:rsidRDefault="002674F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.159</w:t>
            </w:r>
          </w:p>
        </w:tc>
        <w:tc>
          <w:tcPr>
            <w:tcW w:w="660" w:type="dxa"/>
            <w:tcBorders>
              <w:top w:val="nil"/>
              <w:left w:val="nil"/>
              <w:bottom w:val="nil"/>
              <w:right w:val="nil"/>
            </w:tcBorders>
          </w:tcPr>
          <w:p w14:paraId="0D96A928" w14:textId="77777777" w:rsidR="0023701B" w:rsidRPr="00F4226B" w:rsidRDefault="002674F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.312</w:t>
            </w:r>
          </w:p>
        </w:tc>
        <w:tc>
          <w:tcPr>
            <w:tcW w:w="636" w:type="dxa"/>
            <w:tcBorders>
              <w:top w:val="nil"/>
              <w:left w:val="nil"/>
              <w:bottom w:val="nil"/>
              <w:right w:val="nil"/>
            </w:tcBorders>
          </w:tcPr>
          <w:p w14:paraId="67E4192E" w14:textId="77777777" w:rsidR="0023701B" w:rsidRPr="00F4226B" w:rsidRDefault="002674F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-.012</w:t>
            </w:r>
          </w:p>
        </w:tc>
        <w:tc>
          <w:tcPr>
            <w:tcW w:w="0" w:type="auto"/>
            <w:tcBorders>
              <w:top w:val="nil"/>
              <w:left w:val="nil"/>
              <w:bottom w:val="nil"/>
              <w:right w:val="nil"/>
            </w:tcBorders>
          </w:tcPr>
          <w:p w14:paraId="34A6D5A6" w14:textId="77777777" w:rsidR="0023701B" w:rsidRPr="00F4226B" w:rsidRDefault="002674F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2.35</w:t>
            </w:r>
          </w:p>
        </w:tc>
      </w:tr>
      <w:tr w:rsidR="00C7537C" w:rsidRPr="00F4226B" w14:paraId="61C48555" w14:textId="77777777" w:rsidTr="00E34861">
        <w:tc>
          <w:tcPr>
            <w:tcW w:w="2740" w:type="dxa"/>
            <w:tcBorders>
              <w:top w:val="nil"/>
              <w:left w:val="nil"/>
              <w:bottom w:val="nil"/>
              <w:right w:val="nil"/>
            </w:tcBorders>
            <w:shd w:val="clear" w:color="auto" w:fill="auto"/>
          </w:tcPr>
          <w:p w14:paraId="7DE65484" w14:textId="77777777" w:rsidR="0023701B" w:rsidRPr="00F4226B" w:rsidRDefault="0023701B"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High inflation period</w:t>
            </w:r>
          </w:p>
        </w:tc>
        <w:tc>
          <w:tcPr>
            <w:tcW w:w="1067" w:type="dxa"/>
            <w:tcBorders>
              <w:top w:val="nil"/>
              <w:left w:val="nil"/>
              <w:bottom w:val="nil"/>
              <w:right w:val="nil"/>
            </w:tcBorders>
            <w:shd w:val="clear" w:color="auto" w:fill="auto"/>
          </w:tcPr>
          <w:p w14:paraId="08454B1C" w14:textId="77777777" w:rsidR="0023701B" w:rsidRPr="00F4226B" w:rsidRDefault="004E7D8E"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w:t>
            </w:r>
            <w:r w:rsidR="00201D0E" w:rsidRPr="00F4226B">
              <w:rPr>
                <w:rFonts w:ascii="Times New Roman" w:hAnsi="Times New Roman"/>
                <w:sz w:val="18"/>
                <w:szCs w:val="18"/>
                <w:lang w:val="en-US"/>
              </w:rPr>
              <w:t>,</w:t>
            </w:r>
            <w:r w:rsidRPr="00F4226B">
              <w:rPr>
                <w:rFonts w:ascii="Times New Roman" w:hAnsi="Times New Roman"/>
                <w:sz w:val="18"/>
                <w:szCs w:val="18"/>
                <w:lang w:val="en-US"/>
              </w:rPr>
              <w:t>547</w:t>
            </w:r>
          </w:p>
        </w:tc>
        <w:tc>
          <w:tcPr>
            <w:tcW w:w="936" w:type="dxa"/>
            <w:tcBorders>
              <w:top w:val="nil"/>
              <w:left w:val="nil"/>
              <w:bottom w:val="nil"/>
              <w:right w:val="nil"/>
            </w:tcBorders>
            <w:shd w:val="clear" w:color="auto" w:fill="auto"/>
          </w:tcPr>
          <w:p w14:paraId="655F2E16" w14:textId="77777777" w:rsidR="0023701B" w:rsidRPr="00F4226B" w:rsidRDefault="004E7D8E"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w:t>
            </w:r>
            <w:r w:rsidR="00201D0E" w:rsidRPr="00F4226B">
              <w:rPr>
                <w:rFonts w:ascii="Times New Roman" w:hAnsi="Times New Roman"/>
                <w:sz w:val="18"/>
                <w:szCs w:val="18"/>
                <w:lang w:val="en-US"/>
              </w:rPr>
              <w:t>,</w:t>
            </w:r>
            <w:r w:rsidRPr="00F4226B">
              <w:rPr>
                <w:rFonts w:ascii="Times New Roman" w:hAnsi="Times New Roman"/>
                <w:sz w:val="18"/>
                <w:szCs w:val="18"/>
                <w:lang w:val="en-US"/>
              </w:rPr>
              <w:t>529</w:t>
            </w:r>
          </w:p>
        </w:tc>
        <w:tc>
          <w:tcPr>
            <w:tcW w:w="909" w:type="dxa"/>
            <w:tcBorders>
              <w:top w:val="nil"/>
              <w:left w:val="nil"/>
              <w:bottom w:val="nil"/>
              <w:right w:val="nil"/>
            </w:tcBorders>
            <w:shd w:val="clear" w:color="auto" w:fill="auto"/>
          </w:tcPr>
          <w:p w14:paraId="0F77F5AF" w14:textId="77777777" w:rsidR="0023701B" w:rsidRPr="00F4226B" w:rsidRDefault="004E7D8E"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-.73</w:t>
            </w:r>
          </w:p>
        </w:tc>
        <w:tc>
          <w:tcPr>
            <w:tcW w:w="1026" w:type="dxa"/>
            <w:tcBorders>
              <w:top w:val="nil"/>
              <w:left w:val="nil"/>
              <w:bottom w:val="nil"/>
              <w:right w:val="nil"/>
            </w:tcBorders>
            <w:shd w:val="clear" w:color="auto" w:fill="auto"/>
          </w:tcPr>
          <w:p w14:paraId="0818FF70" w14:textId="77777777" w:rsidR="0023701B" w:rsidRPr="00F4226B" w:rsidRDefault="004E7D8E"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46</w:t>
            </w:r>
            <w:r w:rsidR="00201D0E" w:rsidRPr="00F4226B">
              <w:rPr>
                <w:rFonts w:ascii="Times New Roman" w:hAnsi="Times New Roman"/>
                <w:sz w:val="18"/>
                <w:szCs w:val="18"/>
                <w:lang w:val="en-US"/>
              </w:rPr>
              <w:t>,</w:t>
            </w:r>
            <w:r w:rsidRPr="00F4226B">
              <w:rPr>
                <w:rFonts w:ascii="Times New Roman" w:hAnsi="Times New Roman"/>
                <w:sz w:val="18"/>
                <w:szCs w:val="18"/>
                <w:lang w:val="en-US"/>
              </w:rPr>
              <w:t>329</w:t>
            </w:r>
          </w:p>
        </w:tc>
        <w:tc>
          <w:tcPr>
            <w:tcW w:w="1011" w:type="dxa"/>
            <w:tcBorders>
              <w:top w:val="nil"/>
              <w:left w:val="nil"/>
              <w:bottom w:val="nil"/>
              <w:right w:val="nil"/>
            </w:tcBorders>
            <w:shd w:val="clear" w:color="auto" w:fill="auto"/>
          </w:tcPr>
          <w:p w14:paraId="420C1C64" w14:textId="77777777" w:rsidR="0023701B" w:rsidRPr="00F4226B" w:rsidRDefault="004E7D8E"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w:t>
            </w:r>
            <w:r w:rsidR="00201D0E" w:rsidRPr="00F4226B">
              <w:rPr>
                <w:rFonts w:ascii="Times New Roman" w:hAnsi="Times New Roman"/>
                <w:sz w:val="18"/>
                <w:szCs w:val="18"/>
                <w:lang w:val="en-US"/>
              </w:rPr>
              <w:t>2</w:t>
            </w:r>
            <w:r w:rsidRPr="00F4226B">
              <w:rPr>
                <w:rFonts w:ascii="Times New Roman" w:hAnsi="Times New Roman"/>
                <w:sz w:val="18"/>
                <w:szCs w:val="18"/>
                <w:lang w:val="en-US"/>
              </w:rPr>
              <w:t>6</w:t>
            </w:r>
          </w:p>
        </w:tc>
        <w:tc>
          <w:tcPr>
            <w:tcW w:w="660" w:type="dxa"/>
            <w:tcBorders>
              <w:top w:val="nil"/>
              <w:left w:val="nil"/>
              <w:bottom w:val="nil"/>
              <w:right w:val="nil"/>
            </w:tcBorders>
          </w:tcPr>
          <w:p w14:paraId="65AA04B6" w14:textId="77777777" w:rsidR="0023701B" w:rsidRPr="00F4226B" w:rsidRDefault="004E7D8E"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.010</w:t>
            </w:r>
          </w:p>
        </w:tc>
        <w:tc>
          <w:tcPr>
            <w:tcW w:w="636" w:type="dxa"/>
            <w:tcBorders>
              <w:top w:val="nil"/>
              <w:left w:val="nil"/>
              <w:bottom w:val="nil"/>
              <w:right w:val="nil"/>
            </w:tcBorders>
          </w:tcPr>
          <w:p w14:paraId="4683B8E5" w14:textId="77777777" w:rsidR="0023701B" w:rsidRPr="00F4226B" w:rsidRDefault="004E7D8E"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-.001</w:t>
            </w:r>
          </w:p>
        </w:tc>
        <w:tc>
          <w:tcPr>
            <w:tcW w:w="0" w:type="auto"/>
            <w:tcBorders>
              <w:top w:val="nil"/>
              <w:left w:val="nil"/>
              <w:bottom w:val="nil"/>
              <w:right w:val="nil"/>
            </w:tcBorders>
          </w:tcPr>
          <w:p w14:paraId="46590FEB" w14:textId="77777777" w:rsidR="0023701B" w:rsidRPr="00F4226B" w:rsidRDefault="004E7D8E"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w:t>
            </w:r>
            <w:r w:rsidR="00201D0E" w:rsidRPr="00F4226B">
              <w:rPr>
                <w:rFonts w:ascii="Times New Roman" w:hAnsi="Times New Roman"/>
                <w:sz w:val="18"/>
                <w:szCs w:val="18"/>
                <w:lang w:val="en-US"/>
              </w:rPr>
              <w:t>8</w:t>
            </w:r>
            <w:r w:rsidRPr="00F4226B">
              <w:rPr>
                <w:rFonts w:ascii="Times New Roman" w:hAnsi="Times New Roman"/>
                <w:sz w:val="18"/>
                <w:szCs w:val="18"/>
                <w:lang w:val="en-US"/>
              </w:rPr>
              <w:t>8</w:t>
            </w:r>
          </w:p>
        </w:tc>
      </w:tr>
      <w:tr w:rsidR="00C7537C" w:rsidRPr="00F4226B" w14:paraId="350C8053" w14:textId="77777777" w:rsidTr="00C7537C">
        <w:trPr>
          <w:trHeight w:val="59"/>
        </w:trPr>
        <w:tc>
          <w:tcPr>
            <w:tcW w:w="2740" w:type="dxa"/>
            <w:tcBorders>
              <w:top w:val="nil"/>
              <w:left w:val="nil"/>
              <w:bottom w:val="single" w:sz="4" w:space="0" w:color="auto"/>
              <w:right w:val="nil"/>
            </w:tcBorders>
            <w:shd w:val="clear" w:color="auto" w:fill="auto"/>
          </w:tcPr>
          <w:p w14:paraId="4B3BFB59" w14:textId="77777777" w:rsidR="0023701B" w:rsidRPr="00F4226B" w:rsidRDefault="0023701B" w:rsidP="00E34861">
            <w:pPr>
              <w:spacing w:after="0" w:line="240" w:lineRule="auto"/>
              <w:rPr>
                <w:rFonts w:ascii="Times New Roman" w:hAnsi="Times New Roman"/>
                <w:sz w:val="18"/>
                <w:szCs w:val="18"/>
                <w:lang w:val="en-US"/>
              </w:rPr>
            </w:pPr>
          </w:p>
        </w:tc>
        <w:tc>
          <w:tcPr>
            <w:tcW w:w="1067" w:type="dxa"/>
            <w:tcBorders>
              <w:top w:val="nil"/>
              <w:left w:val="nil"/>
              <w:bottom w:val="single" w:sz="4" w:space="0" w:color="auto"/>
              <w:right w:val="nil"/>
            </w:tcBorders>
            <w:shd w:val="clear" w:color="auto" w:fill="auto"/>
          </w:tcPr>
          <w:p w14:paraId="57266DA2" w14:textId="77777777" w:rsidR="0023701B" w:rsidRPr="00F4226B" w:rsidRDefault="0023701B" w:rsidP="00E34861">
            <w:pPr>
              <w:spacing w:after="0" w:line="240" w:lineRule="auto"/>
              <w:jc w:val="right"/>
              <w:rPr>
                <w:rFonts w:ascii="Times New Roman" w:hAnsi="Times New Roman"/>
                <w:sz w:val="18"/>
                <w:szCs w:val="18"/>
                <w:lang w:val="en-US"/>
              </w:rPr>
            </w:pPr>
          </w:p>
        </w:tc>
        <w:tc>
          <w:tcPr>
            <w:tcW w:w="936" w:type="dxa"/>
            <w:tcBorders>
              <w:top w:val="nil"/>
              <w:left w:val="nil"/>
              <w:bottom w:val="single" w:sz="4" w:space="0" w:color="auto"/>
              <w:right w:val="nil"/>
            </w:tcBorders>
            <w:shd w:val="clear" w:color="auto" w:fill="auto"/>
          </w:tcPr>
          <w:p w14:paraId="7848B3B1" w14:textId="77777777" w:rsidR="0023701B" w:rsidRPr="00F4226B" w:rsidRDefault="0023701B" w:rsidP="00E34861">
            <w:pPr>
              <w:spacing w:after="0" w:line="240" w:lineRule="auto"/>
              <w:jc w:val="right"/>
              <w:rPr>
                <w:rFonts w:ascii="Times New Roman" w:hAnsi="Times New Roman"/>
                <w:sz w:val="18"/>
                <w:szCs w:val="18"/>
                <w:lang w:val="en-US"/>
              </w:rPr>
            </w:pPr>
          </w:p>
        </w:tc>
        <w:tc>
          <w:tcPr>
            <w:tcW w:w="909" w:type="dxa"/>
            <w:tcBorders>
              <w:top w:val="nil"/>
              <w:left w:val="nil"/>
              <w:bottom w:val="single" w:sz="4" w:space="0" w:color="auto"/>
              <w:right w:val="nil"/>
            </w:tcBorders>
            <w:shd w:val="clear" w:color="auto" w:fill="auto"/>
          </w:tcPr>
          <w:p w14:paraId="18229752" w14:textId="77777777" w:rsidR="0023701B" w:rsidRPr="00F4226B" w:rsidRDefault="0023701B" w:rsidP="00E34861">
            <w:pPr>
              <w:spacing w:after="0" w:line="240" w:lineRule="auto"/>
              <w:jc w:val="right"/>
              <w:rPr>
                <w:rFonts w:ascii="Times New Roman" w:hAnsi="Times New Roman"/>
                <w:sz w:val="18"/>
                <w:szCs w:val="18"/>
                <w:lang w:val="en-US"/>
              </w:rPr>
            </w:pPr>
          </w:p>
        </w:tc>
        <w:tc>
          <w:tcPr>
            <w:tcW w:w="1026" w:type="dxa"/>
            <w:tcBorders>
              <w:top w:val="nil"/>
              <w:left w:val="nil"/>
              <w:bottom w:val="single" w:sz="4" w:space="0" w:color="auto"/>
              <w:right w:val="nil"/>
            </w:tcBorders>
            <w:shd w:val="clear" w:color="auto" w:fill="auto"/>
          </w:tcPr>
          <w:p w14:paraId="0213EEBF" w14:textId="77777777" w:rsidR="0023701B" w:rsidRPr="00F4226B" w:rsidRDefault="0023701B" w:rsidP="00E34861">
            <w:pPr>
              <w:spacing w:after="0" w:line="240" w:lineRule="auto"/>
              <w:jc w:val="right"/>
              <w:rPr>
                <w:rFonts w:ascii="Times New Roman" w:hAnsi="Times New Roman"/>
                <w:sz w:val="18"/>
                <w:szCs w:val="18"/>
                <w:lang w:val="en-US"/>
              </w:rPr>
            </w:pPr>
          </w:p>
        </w:tc>
        <w:tc>
          <w:tcPr>
            <w:tcW w:w="1011" w:type="dxa"/>
            <w:tcBorders>
              <w:top w:val="nil"/>
              <w:left w:val="nil"/>
              <w:bottom w:val="single" w:sz="4" w:space="0" w:color="auto"/>
              <w:right w:val="nil"/>
            </w:tcBorders>
            <w:shd w:val="clear" w:color="auto" w:fill="auto"/>
          </w:tcPr>
          <w:p w14:paraId="51BAD394" w14:textId="77777777" w:rsidR="0023701B" w:rsidRPr="00F4226B" w:rsidRDefault="0023701B" w:rsidP="00E34861">
            <w:pPr>
              <w:spacing w:after="0" w:line="240" w:lineRule="auto"/>
              <w:jc w:val="right"/>
              <w:rPr>
                <w:rFonts w:ascii="Times New Roman" w:hAnsi="Times New Roman"/>
                <w:sz w:val="18"/>
                <w:szCs w:val="18"/>
                <w:lang w:val="en-US"/>
              </w:rPr>
            </w:pPr>
          </w:p>
        </w:tc>
        <w:tc>
          <w:tcPr>
            <w:tcW w:w="660" w:type="dxa"/>
            <w:tcBorders>
              <w:top w:val="nil"/>
              <w:left w:val="nil"/>
              <w:bottom w:val="single" w:sz="4" w:space="0" w:color="auto"/>
              <w:right w:val="nil"/>
            </w:tcBorders>
          </w:tcPr>
          <w:p w14:paraId="0753A578" w14:textId="77777777" w:rsidR="0023701B" w:rsidRPr="00F4226B" w:rsidRDefault="0023701B" w:rsidP="00E34861">
            <w:pPr>
              <w:spacing w:after="0" w:line="240" w:lineRule="auto"/>
              <w:jc w:val="right"/>
              <w:rPr>
                <w:rFonts w:ascii="Times New Roman" w:hAnsi="Times New Roman"/>
                <w:sz w:val="18"/>
                <w:szCs w:val="18"/>
                <w:lang w:val="en-US"/>
              </w:rPr>
            </w:pPr>
          </w:p>
        </w:tc>
        <w:tc>
          <w:tcPr>
            <w:tcW w:w="636" w:type="dxa"/>
            <w:tcBorders>
              <w:top w:val="nil"/>
              <w:left w:val="nil"/>
              <w:bottom w:val="single" w:sz="4" w:space="0" w:color="auto"/>
              <w:right w:val="nil"/>
            </w:tcBorders>
          </w:tcPr>
          <w:p w14:paraId="2EFFA8C3" w14:textId="77777777" w:rsidR="0023701B" w:rsidRPr="00F4226B" w:rsidRDefault="0023701B" w:rsidP="00E34861">
            <w:pPr>
              <w:spacing w:after="0" w:line="240" w:lineRule="auto"/>
              <w:jc w:val="right"/>
              <w:rPr>
                <w:rFonts w:ascii="Times New Roman" w:hAnsi="Times New Roman"/>
                <w:sz w:val="18"/>
                <w:szCs w:val="18"/>
                <w:lang w:val="en-US"/>
              </w:rPr>
            </w:pPr>
          </w:p>
        </w:tc>
        <w:tc>
          <w:tcPr>
            <w:tcW w:w="0" w:type="auto"/>
            <w:tcBorders>
              <w:top w:val="nil"/>
              <w:left w:val="nil"/>
              <w:bottom w:val="single" w:sz="4" w:space="0" w:color="auto"/>
              <w:right w:val="nil"/>
            </w:tcBorders>
          </w:tcPr>
          <w:p w14:paraId="20FA1536" w14:textId="77777777" w:rsidR="0023701B" w:rsidRPr="00F4226B" w:rsidRDefault="0023701B" w:rsidP="00E34861">
            <w:pPr>
              <w:spacing w:after="0" w:line="240" w:lineRule="auto"/>
              <w:jc w:val="right"/>
              <w:rPr>
                <w:rFonts w:ascii="Times New Roman" w:hAnsi="Times New Roman"/>
                <w:sz w:val="18"/>
                <w:szCs w:val="18"/>
                <w:lang w:val="en-US"/>
              </w:rPr>
            </w:pPr>
          </w:p>
        </w:tc>
      </w:tr>
      <w:tr w:rsidR="00C7537C" w:rsidRPr="00F4226B" w14:paraId="17BE4857" w14:textId="77777777" w:rsidTr="00E34861">
        <w:tc>
          <w:tcPr>
            <w:tcW w:w="2740" w:type="dxa"/>
            <w:tcBorders>
              <w:top w:val="single" w:sz="4" w:space="0" w:color="auto"/>
              <w:left w:val="nil"/>
              <w:bottom w:val="single" w:sz="4" w:space="0" w:color="auto"/>
              <w:right w:val="nil"/>
            </w:tcBorders>
            <w:shd w:val="clear" w:color="auto" w:fill="auto"/>
          </w:tcPr>
          <w:p w14:paraId="3BA3C379" w14:textId="77777777" w:rsidR="0023701B" w:rsidRPr="00F4226B" w:rsidRDefault="0023701B" w:rsidP="00E34861">
            <w:pPr>
              <w:spacing w:after="0" w:line="240" w:lineRule="auto"/>
              <w:ind w:left="-108"/>
              <w:rPr>
                <w:rFonts w:ascii="Times New Roman" w:hAnsi="Times New Roman"/>
                <w:b/>
                <w:sz w:val="18"/>
                <w:szCs w:val="18"/>
                <w:lang w:val="en-US"/>
              </w:rPr>
            </w:pPr>
            <w:r w:rsidRPr="00F4226B">
              <w:rPr>
                <w:rFonts w:ascii="Times New Roman" w:hAnsi="Times New Roman"/>
                <w:b/>
                <w:sz w:val="18"/>
                <w:szCs w:val="18"/>
                <w:lang w:val="en-US"/>
              </w:rPr>
              <w:t>Panel B: Historical data</w:t>
            </w:r>
            <w:r w:rsidR="006E544C" w:rsidRPr="00F4226B">
              <w:rPr>
                <w:rFonts w:ascii="Times New Roman" w:hAnsi="Times New Roman"/>
                <w:b/>
                <w:sz w:val="18"/>
                <w:szCs w:val="18"/>
                <w:lang w:val="en-US"/>
              </w:rPr>
              <w:t xml:space="preserve"> ($)</w:t>
            </w:r>
          </w:p>
        </w:tc>
        <w:tc>
          <w:tcPr>
            <w:tcW w:w="1067" w:type="dxa"/>
            <w:tcBorders>
              <w:top w:val="single" w:sz="4" w:space="0" w:color="auto"/>
              <w:left w:val="nil"/>
              <w:bottom w:val="single" w:sz="4" w:space="0" w:color="auto"/>
              <w:right w:val="nil"/>
            </w:tcBorders>
            <w:shd w:val="clear" w:color="auto" w:fill="auto"/>
          </w:tcPr>
          <w:p w14:paraId="148ED233" w14:textId="77777777" w:rsidR="0023701B" w:rsidRPr="00F4226B" w:rsidRDefault="0023701B" w:rsidP="00E34861">
            <w:pPr>
              <w:spacing w:after="0" w:line="240" w:lineRule="auto"/>
              <w:jc w:val="right"/>
              <w:rPr>
                <w:rFonts w:ascii="Times New Roman" w:hAnsi="Times New Roman"/>
                <w:sz w:val="18"/>
                <w:szCs w:val="18"/>
                <w:lang w:val="en-US"/>
              </w:rPr>
            </w:pPr>
          </w:p>
        </w:tc>
        <w:tc>
          <w:tcPr>
            <w:tcW w:w="936" w:type="dxa"/>
            <w:tcBorders>
              <w:top w:val="single" w:sz="4" w:space="0" w:color="auto"/>
              <w:left w:val="nil"/>
              <w:bottom w:val="single" w:sz="4" w:space="0" w:color="auto"/>
              <w:right w:val="nil"/>
            </w:tcBorders>
            <w:shd w:val="clear" w:color="auto" w:fill="auto"/>
          </w:tcPr>
          <w:p w14:paraId="4622AED1" w14:textId="77777777" w:rsidR="0023701B" w:rsidRPr="00F4226B" w:rsidRDefault="0023701B" w:rsidP="00E34861">
            <w:pPr>
              <w:spacing w:after="0" w:line="240" w:lineRule="auto"/>
              <w:jc w:val="right"/>
              <w:rPr>
                <w:rFonts w:ascii="Times New Roman" w:hAnsi="Times New Roman"/>
                <w:sz w:val="18"/>
                <w:szCs w:val="18"/>
                <w:lang w:val="en-US"/>
              </w:rPr>
            </w:pPr>
          </w:p>
        </w:tc>
        <w:tc>
          <w:tcPr>
            <w:tcW w:w="909" w:type="dxa"/>
            <w:tcBorders>
              <w:top w:val="single" w:sz="4" w:space="0" w:color="auto"/>
              <w:left w:val="nil"/>
              <w:bottom w:val="single" w:sz="4" w:space="0" w:color="auto"/>
              <w:right w:val="nil"/>
            </w:tcBorders>
            <w:shd w:val="clear" w:color="auto" w:fill="auto"/>
          </w:tcPr>
          <w:p w14:paraId="3B995BEC" w14:textId="77777777" w:rsidR="0023701B" w:rsidRPr="00F4226B" w:rsidRDefault="0023701B" w:rsidP="00E34861">
            <w:pPr>
              <w:spacing w:after="0" w:line="240" w:lineRule="auto"/>
              <w:jc w:val="right"/>
              <w:rPr>
                <w:rFonts w:ascii="Times New Roman" w:hAnsi="Times New Roman"/>
                <w:sz w:val="18"/>
                <w:szCs w:val="18"/>
                <w:lang w:val="en-US"/>
              </w:rPr>
            </w:pPr>
          </w:p>
        </w:tc>
        <w:tc>
          <w:tcPr>
            <w:tcW w:w="1026" w:type="dxa"/>
            <w:tcBorders>
              <w:top w:val="single" w:sz="4" w:space="0" w:color="auto"/>
              <w:left w:val="nil"/>
              <w:bottom w:val="single" w:sz="4" w:space="0" w:color="auto"/>
              <w:right w:val="nil"/>
            </w:tcBorders>
            <w:shd w:val="clear" w:color="auto" w:fill="auto"/>
          </w:tcPr>
          <w:p w14:paraId="056837F7" w14:textId="77777777" w:rsidR="0023701B" w:rsidRPr="00F4226B" w:rsidRDefault="0023701B" w:rsidP="00E34861">
            <w:pPr>
              <w:spacing w:after="0" w:line="240" w:lineRule="auto"/>
              <w:jc w:val="right"/>
              <w:rPr>
                <w:rFonts w:ascii="Times New Roman" w:hAnsi="Times New Roman"/>
                <w:sz w:val="18"/>
                <w:szCs w:val="18"/>
                <w:lang w:val="en-US"/>
              </w:rPr>
            </w:pPr>
          </w:p>
        </w:tc>
        <w:tc>
          <w:tcPr>
            <w:tcW w:w="1011" w:type="dxa"/>
            <w:tcBorders>
              <w:top w:val="single" w:sz="4" w:space="0" w:color="auto"/>
              <w:left w:val="nil"/>
              <w:bottom w:val="single" w:sz="4" w:space="0" w:color="auto"/>
              <w:right w:val="nil"/>
            </w:tcBorders>
            <w:shd w:val="clear" w:color="auto" w:fill="auto"/>
          </w:tcPr>
          <w:p w14:paraId="0A37C04C" w14:textId="77777777" w:rsidR="0023701B" w:rsidRPr="00F4226B" w:rsidRDefault="0023701B" w:rsidP="00E34861">
            <w:pPr>
              <w:spacing w:after="0" w:line="240" w:lineRule="auto"/>
              <w:jc w:val="right"/>
              <w:rPr>
                <w:rFonts w:ascii="Times New Roman" w:hAnsi="Times New Roman"/>
                <w:sz w:val="18"/>
                <w:szCs w:val="18"/>
                <w:lang w:val="en-US"/>
              </w:rPr>
            </w:pPr>
          </w:p>
        </w:tc>
        <w:tc>
          <w:tcPr>
            <w:tcW w:w="660" w:type="dxa"/>
            <w:tcBorders>
              <w:top w:val="single" w:sz="4" w:space="0" w:color="auto"/>
              <w:left w:val="nil"/>
              <w:bottom w:val="single" w:sz="4" w:space="0" w:color="auto"/>
              <w:right w:val="nil"/>
            </w:tcBorders>
          </w:tcPr>
          <w:p w14:paraId="17D8D49E" w14:textId="77777777" w:rsidR="0023701B" w:rsidRPr="00F4226B" w:rsidRDefault="0023701B" w:rsidP="00E34861">
            <w:pPr>
              <w:spacing w:after="0" w:line="240" w:lineRule="auto"/>
              <w:jc w:val="right"/>
              <w:rPr>
                <w:rFonts w:ascii="Times New Roman" w:hAnsi="Times New Roman"/>
                <w:sz w:val="18"/>
                <w:szCs w:val="18"/>
                <w:lang w:val="en-US"/>
              </w:rPr>
            </w:pPr>
          </w:p>
        </w:tc>
        <w:tc>
          <w:tcPr>
            <w:tcW w:w="636" w:type="dxa"/>
            <w:tcBorders>
              <w:top w:val="single" w:sz="4" w:space="0" w:color="auto"/>
              <w:left w:val="nil"/>
              <w:bottom w:val="single" w:sz="4" w:space="0" w:color="auto"/>
              <w:right w:val="nil"/>
            </w:tcBorders>
          </w:tcPr>
          <w:p w14:paraId="74615CEE" w14:textId="77777777" w:rsidR="0023701B" w:rsidRPr="00F4226B" w:rsidRDefault="0023701B" w:rsidP="00E34861">
            <w:pPr>
              <w:spacing w:after="0" w:line="240" w:lineRule="auto"/>
              <w:jc w:val="right"/>
              <w:rPr>
                <w:rFonts w:ascii="Times New Roman" w:hAnsi="Times New Roman"/>
                <w:sz w:val="18"/>
                <w:szCs w:val="18"/>
                <w:lang w:val="en-US"/>
              </w:rPr>
            </w:pPr>
          </w:p>
        </w:tc>
        <w:tc>
          <w:tcPr>
            <w:tcW w:w="0" w:type="auto"/>
            <w:tcBorders>
              <w:top w:val="single" w:sz="4" w:space="0" w:color="auto"/>
              <w:left w:val="nil"/>
              <w:bottom w:val="single" w:sz="4" w:space="0" w:color="auto"/>
              <w:right w:val="nil"/>
            </w:tcBorders>
          </w:tcPr>
          <w:p w14:paraId="563704C1" w14:textId="77777777" w:rsidR="0023701B" w:rsidRPr="00F4226B" w:rsidRDefault="0023701B" w:rsidP="00E34861">
            <w:pPr>
              <w:spacing w:after="0" w:line="240" w:lineRule="auto"/>
              <w:jc w:val="right"/>
              <w:rPr>
                <w:rFonts w:ascii="Times New Roman" w:hAnsi="Times New Roman"/>
                <w:sz w:val="18"/>
                <w:szCs w:val="18"/>
                <w:lang w:val="en-US"/>
              </w:rPr>
            </w:pPr>
          </w:p>
        </w:tc>
      </w:tr>
      <w:tr w:rsidR="00C7537C" w:rsidRPr="00F4226B" w14:paraId="1F6483E9" w14:textId="77777777" w:rsidTr="00E34861">
        <w:tc>
          <w:tcPr>
            <w:tcW w:w="2740" w:type="dxa"/>
            <w:tcBorders>
              <w:top w:val="single" w:sz="4" w:space="0" w:color="auto"/>
              <w:left w:val="nil"/>
              <w:bottom w:val="nil"/>
              <w:right w:val="nil"/>
            </w:tcBorders>
            <w:shd w:val="clear" w:color="auto" w:fill="auto"/>
          </w:tcPr>
          <w:p w14:paraId="38950F87" w14:textId="77777777" w:rsidR="00D51A86" w:rsidRPr="00F4226B" w:rsidRDefault="0023701B"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Earnings: </w:t>
            </w:r>
          </w:p>
          <w:p w14:paraId="79E9FE7B" w14:textId="2CBF4D33" w:rsidR="0023701B" w:rsidRPr="00F4226B" w:rsidRDefault="00D51A86"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w:t>
            </w:r>
            <w:r w:rsidR="00F4226B">
              <w:rPr>
                <w:rFonts w:ascii="Times New Roman" w:hAnsi="Times New Roman"/>
                <w:sz w:val="18"/>
                <w:szCs w:val="18"/>
                <w:lang w:val="en-US"/>
              </w:rPr>
              <w:t xml:space="preserve">…. </w:t>
            </w:r>
            <w:r w:rsidRPr="00F4226B">
              <w:rPr>
                <w:rFonts w:ascii="Times New Roman" w:hAnsi="Times New Roman"/>
                <w:sz w:val="18"/>
                <w:szCs w:val="18"/>
                <w:lang w:val="en-US"/>
              </w:rPr>
              <w:t xml:space="preserve"> </w:t>
            </w:r>
            <w:r w:rsidR="0023701B" w:rsidRPr="00F4226B">
              <w:rPr>
                <w:rFonts w:ascii="Times New Roman" w:hAnsi="Times New Roman"/>
                <w:sz w:val="18"/>
                <w:szCs w:val="18"/>
                <w:lang w:val="en-US"/>
              </w:rPr>
              <w:t>Entire pooled sample</w:t>
            </w:r>
          </w:p>
        </w:tc>
        <w:tc>
          <w:tcPr>
            <w:tcW w:w="1067" w:type="dxa"/>
            <w:tcBorders>
              <w:top w:val="single" w:sz="4" w:space="0" w:color="auto"/>
              <w:left w:val="nil"/>
              <w:bottom w:val="nil"/>
              <w:right w:val="nil"/>
            </w:tcBorders>
            <w:shd w:val="clear" w:color="auto" w:fill="auto"/>
          </w:tcPr>
          <w:p w14:paraId="7157ED8F" w14:textId="77777777" w:rsidR="00D51A86" w:rsidRPr="00F4226B" w:rsidRDefault="00D51A86" w:rsidP="00E34861">
            <w:pPr>
              <w:spacing w:after="0" w:line="240" w:lineRule="auto"/>
              <w:jc w:val="right"/>
              <w:rPr>
                <w:rFonts w:ascii="Times New Roman" w:hAnsi="Times New Roman"/>
                <w:sz w:val="18"/>
                <w:szCs w:val="18"/>
                <w:lang w:val="en-US"/>
              </w:rPr>
            </w:pPr>
          </w:p>
          <w:p w14:paraId="20D49C76"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346.43</w:t>
            </w:r>
          </w:p>
        </w:tc>
        <w:tc>
          <w:tcPr>
            <w:tcW w:w="936" w:type="dxa"/>
            <w:tcBorders>
              <w:top w:val="single" w:sz="4" w:space="0" w:color="auto"/>
              <w:left w:val="nil"/>
              <w:bottom w:val="nil"/>
              <w:right w:val="nil"/>
            </w:tcBorders>
            <w:shd w:val="clear" w:color="auto" w:fill="auto"/>
          </w:tcPr>
          <w:p w14:paraId="55417757" w14:textId="77777777" w:rsidR="00D51A86" w:rsidRPr="00F4226B" w:rsidRDefault="00D51A86" w:rsidP="00E34861">
            <w:pPr>
              <w:spacing w:after="0" w:line="240" w:lineRule="auto"/>
              <w:jc w:val="right"/>
              <w:rPr>
                <w:rFonts w:ascii="Times New Roman" w:hAnsi="Times New Roman"/>
                <w:sz w:val="18"/>
                <w:szCs w:val="18"/>
                <w:lang w:val="en-US"/>
              </w:rPr>
            </w:pPr>
          </w:p>
          <w:p w14:paraId="17832460"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1,612.05</w:t>
            </w:r>
          </w:p>
        </w:tc>
        <w:tc>
          <w:tcPr>
            <w:tcW w:w="909" w:type="dxa"/>
            <w:tcBorders>
              <w:top w:val="single" w:sz="4" w:space="0" w:color="auto"/>
              <w:left w:val="nil"/>
              <w:bottom w:val="nil"/>
              <w:right w:val="nil"/>
            </w:tcBorders>
            <w:shd w:val="clear" w:color="auto" w:fill="auto"/>
          </w:tcPr>
          <w:p w14:paraId="4B8C3021" w14:textId="77777777" w:rsidR="00D51A86" w:rsidRPr="00F4226B" w:rsidRDefault="00D51A86" w:rsidP="00E34861">
            <w:pPr>
              <w:spacing w:after="0" w:line="240" w:lineRule="auto"/>
              <w:jc w:val="right"/>
              <w:rPr>
                <w:rFonts w:ascii="Times New Roman" w:hAnsi="Times New Roman"/>
                <w:sz w:val="18"/>
                <w:szCs w:val="18"/>
                <w:lang w:val="en-US"/>
              </w:rPr>
            </w:pPr>
          </w:p>
          <w:p w14:paraId="1D17319F"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-668.00</w:t>
            </w:r>
          </w:p>
        </w:tc>
        <w:tc>
          <w:tcPr>
            <w:tcW w:w="1026" w:type="dxa"/>
            <w:tcBorders>
              <w:top w:val="single" w:sz="4" w:space="0" w:color="auto"/>
              <w:left w:val="nil"/>
              <w:bottom w:val="nil"/>
              <w:right w:val="nil"/>
            </w:tcBorders>
            <w:shd w:val="clear" w:color="auto" w:fill="auto"/>
          </w:tcPr>
          <w:p w14:paraId="5C1F2E90" w14:textId="77777777" w:rsidR="00D51A86" w:rsidRPr="00F4226B" w:rsidRDefault="00D51A86" w:rsidP="00E34861">
            <w:pPr>
              <w:spacing w:after="0" w:line="240" w:lineRule="auto"/>
              <w:jc w:val="right"/>
              <w:rPr>
                <w:rFonts w:ascii="Times New Roman" w:hAnsi="Times New Roman"/>
                <w:sz w:val="18"/>
                <w:szCs w:val="18"/>
                <w:lang w:val="en-US"/>
              </w:rPr>
            </w:pPr>
          </w:p>
          <w:p w14:paraId="1DD763D3"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17,741.00</w:t>
            </w:r>
          </w:p>
        </w:tc>
        <w:tc>
          <w:tcPr>
            <w:tcW w:w="1011" w:type="dxa"/>
            <w:tcBorders>
              <w:top w:val="single" w:sz="4" w:space="0" w:color="auto"/>
              <w:left w:val="nil"/>
              <w:bottom w:val="nil"/>
              <w:right w:val="nil"/>
            </w:tcBorders>
            <w:shd w:val="clear" w:color="auto" w:fill="auto"/>
          </w:tcPr>
          <w:p w14:paraId="334A3C94" w14:textId="77777777" w:rsidR="00D51A86" w:rsidRPr="00F4226B" w:rsidRDefault="00D51A86" w:rsidP="00E34861">
            <w:pPr>
              <w:spacing w:after="0" w:line="240" w:lineRule="auto"/>
              <w:jc w:val="right"/>
              <w:rPr>
                <w:rFonts w:ascii="Times New Roman" w:hAnsi="Times New Roman"/>
                <w:sz w:val="18"/>
                <w:szCs w:val="18"/>
                <w:lang w:val="en-US"/>
              </w:rPr>
            </w:pPr>
          </w:p>
          <w:p w14:paraId="6B1D5EEE"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.125</w:t>
            </w:r>
          </w:p>
        </w:tc>
        <w:tc>
          <w:tcPr>
            <w:tcW w:w="660" w:type="dxa"/>
            <w:tcBorders>
              <w:top w:val="single" w:sz="4" w:space="0" w:color="auto"/>
              <w:left w:val="nil"/>
              <w:bottom w:val="nil"/>
              <w:right w:val="nil"/>
            </w:tcBorders>
          </w:tcPr>
          <w:p w14:paraId="4202D3AE" w14:textId="77777777" w:rsidR="00D51A86" w:rsidRPr="00F4226B" w:rsidRDefault="00D51A86" w:rsidP="00E34861">
            <w:pPr>
              <w:spacing w:after="0" w:line="240" w:lineRule="auto"/>
              <w:jc w:val="right"/>
              <w:rPr>
                <w:rFonts w:ascii="Times New Roman" w:hAnsi="Times New Roman"/>
                <w:sz w:val="18"/>
                <w:szCs w:val="18"/>
                <w:lang w:val="en-US"/>
              </w:rPr>
            </w:pPr>
          </w:p>
          <w:p w14:paraId="60CFC306"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.279</w:t>
            </w:r>
          </w:p>
        </w:tc>
        <w:tc>
          <w:tcPr>
            <w:tcW w:w="636" w:type="dxa"/>
            <w:tcBorders>
              <w:top w:val="single" w:sz="4" w:space="0" w:color="auto"/>
              <w:left w:val="nil"/>
              <w:bottom w:val="nil"/>
              <w:right w:val="nil"/>
            </w:tcBorders>
          </w:tcPr>
          <w:p w14:paraId="017F92DB" w14:textId="77777777" w:rsidR="00D51A86" w:rsidRPr="00F4226B" w:rsidRDefault="00D51A86" w:rsidP="00E34861">
            <w:pPr>
              <w:spacing w:after="0" w:line="240" w:lineRule="auto"/>
              <w:jc w:val="right"/>
              <w:rPr>
                <w:rFonts w:ascii="Times New Roman" w:hAnsi="Times New Roman"/>
                <w:sz w:val="18"/>
                <w:szCs w:val="18"/>
                <w:lang w:val="en-US"/>
              </w:rPr>
            </w:pPr>
          </w:p>
          <w:p w14:paraId="1D79B30B"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-.083</w:t>
            </w:r>
          </w:p>
        </w:tc>
        <w:tc>
          <w:tcPr>
            <w:tcW w:w="0" w:type="auto"/>
            <w:tcBorders>
              <w:top w:val="single" w:sz="4" w:space="0" w:color="auto"/>
              <w:left w:val="nil"/>
              <w:bottom w:val="nil"/>
              <w:right w:val="nil"/>
            </w:tcBorders>
          </w:tcPr>
          <w:p w14:paraId="16318A77" w14:textId="77777777" w:rsidR="00D51A86" w:rsidRPr="00F4226B" w:rsidRDefault="00D51A86" w:rsidP="00E34861">
            <w:pPr>
              <w:spacing w:after="0" w:line="240" w:lineRule="auto"/>
              <w:jc w:val="right"/>
              <w:rPr>
                <w:rFonts w:ascii="Times New Roman" w:hAnsi="Times New Roman"/>
                <w:sz w:val="18"/>
                <w:szCs w:val="18"/>
                <w:lang w:val="en-US"/>
              </w:rPr>
            </w:pPr>
          </w:p>
          <w:p w14:paraId="60D67C1E"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2.22</w:t>
            </w:r>
          </w:p>
        </w:tc>
      </w:tr>
      <w:tr w:rsidR="00C7537C" w:rsidRPr="00F4226B" w14:paraId="722852D5" w14:textId="77777777" w:rsidTr="00E34861">
        <w:trPr>
          <w:trHeight w:val="340"/>
        </w:trPr>
        <w:tc>
          <w:tcPr>
            <w:tcW w:w="2740" w:type="dxa"/>
            <w:tcBorders>
              <w:top w:val="nil"/>
              <w:left w:val="nil"/>
              <w:bottom w:val="nil"/>
              <w:right w:val="nil"/>
            </w:tcBorders>
            <w:shd w:val="clear" w:color="auto" w:fill="auto"/>
          </w:tcPr>
          <w:p w14:paraId="6E254288" w14:textId="77777777" w:rsidR="0023701B" w:rsidRPr="00F4226B" w:rsidRDefault="0023701B"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Low inflation period</w:t>
            </w:r>
          </w:p>
        </w:tc>
        <w:tc>
          <w:tcPr>
            <w:tcW w:w="1067" w:type="dxa"/>
            <w:tcBorders>
              <w:top w:val="nil"/>
              <w:left w:val="nil"/>
              <w:bottom w:val="nil"/>
              <w:right w:val="nil"/>
            </w:tcBorders>
            <w:shd w:val="clear" w:color="auto" w:fill="auto"/>
          </w:tcPr>
          <w:p w14:paraId="267640C9"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7.55</w:t>
            </w:r>
          </w:p>
        </w:tc>
        <w:tc>
          <w:tcPr>
            <w:tcW w:w="936" w:type="dxa"/>
            <w:tcBorders>
              <w:top w:val="nil"/>
              <w:left w:val="nil"/>
              <w:bottom w:val="nil"/>
              <w:right w:val="nil"/>
            </w:tcBorders>
            <w:shd w:val="clear" w:color="auto" w:fill="auto"/>
          </w:tcPr>
          <w:p w14:paraId="21A02FB8"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14.81</w:t>
            </w:r>
          </w:p>
        </w:tc>
        <w:tc>
          <w:tcPr>
            <w:tcW w:w="909" w:type="dxa"/>
            <w:tcBorders>
              <w:top w:val="nil"/>
              <w:left w:val="nil"/>
              <w:bottom w:val="nil"/>
              <w:right w:val="nil"/>
            </w:tcBorders>
            <w:shd w:val="clear" w:color="auto" w:fill="auto"/>
          </w:tcPr>
          <w:p w14:paraId="19537160"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-1.42</w:t>
            </w:r>
          </w:p>
        </w:tc>
        <w:tc>
          <w:tcPr>
            <w:tcW w:w="1026" w:type="dxa"/>
            <w:tcBorders>
              <w:top w:val="nil"/>
              <w:left w:val="nil"/>
              <w:bottom w:val="nil"/>
              <w:right w:val="nil"/>
            </w:tcBorders>
            <w:shd w:val="clear" w:color="auto" w:fill="auto"/>
          </w:tcPr>
          <w:p w14:paraId="313126F3"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108.67</w:t>
            </w:r>
          </w:p>
        </w:tc>
        <w:tc>
          <w:tcPr>
            <w:tcW w:w="1011" w:type="dxa"/>
            <w:tcBorders>
              <w:top w:val="nil"/>
              <w:left w:val="nil"/>
              <w:bottom w:val="nil"/>
              <w:right w:val="nil"/>
            </w:tcBorders>
            <w:shd w:val="clear" w:color="auto" w:fill="auto"/>
          </w:tcPr>
          <w:p w14:paraId="45AFFF29"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.139</w:t>
            </w:r>
          </w:p>
        </w:tc>
        <w:tc>
          <w:tcPr>
            <w:tcW w:w="660" w:type="dxa"/>
            <w:tcBorders>
              <w:top w:val="nil"/>
              <w:left w:val="nil"/>
              <w:bottom w:val="nil"/>
              <w:right w:val="nil"/>
            </w:tcBorders>
          </w:tcPr>
          <w:p w14:paraId="0BDC9B4B"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.271</w:t>
            </w:r>
          </w:p>
        </w:tc>
        <w:tc>
          <w:tcPr>
            <w:tcW w:w="636" w:type="dxa"/>
            <w:tcBorders>
              <w:top w:val="nil"/>
              <w:left w:val="nil"/>
              <w:bottom w:val="nil"/>
              <w:right w:val="nil"/>
            </w:tcBorders>
          </w:tcPr>
          <w:p w14:paraId="293E4618"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-.026</w:t>
            </w:r>
          </w:p>
        </w:tc>
        <w:tc>
          <w:tcPr>
            <w:tcW w:w="0" w:type="auto"/>
            <w:tcBorders>
              <w:top w:val="nil"/>
              <w:left w:val="nil"/>
              <w:bottom w:val="nil"/>
              <w:right w:val="nil"/>
            </w:tcBorders>
          </w:tcPr>
          <w:p w14:paraId="5513C2E3"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1.98</w:t>
            </w:r>
          </w:p>
        </w:tc>
      </w:tr>
      <w:tr w:rsidR="00C7537C" w:rsidRPr="00F4226B" w14:paraId="160A1155" w14:textId="77777777" w:rsidTr="00E34861">
        <w:trPr>
          <w:trHeight w:val="340"/>
        </w:trPr>
        <w:tc>
          <w:tcPr>
            <w:tcW w:w="2740" w:type="dxa"/>
            <w:tcBorders>
              <w:top w:val="nil"/>
              <w:left w:val="nil"/>
              <w:bottom w:val="nil"/>
              <w:right w:val="nil"/>
            </w:tcBorders>
            <w:shd w:val="clear" w:color="auto" w:fill="auto"/>
          </w:tcPr>
          <w:p w14:paraId="0FFEA374" w14:textId="77777777" w:rsidR="0023701B" w:rsidRPr="00F4226B" w:rsidRDefault="0023701B"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High inflation period</w:t>
            </w:r>
          </w:p>
        </w:tc>
        <w:tc>
          <w:tcPr>
            <w:tcW w:w="1067" w:type="dxa"/>
            <w:tcBorders>
              <w:top w:val="nil"/>
              <w:left w:val="nil"/>
              <w:bottom w:val="nil"/>
              <w:right w:val="nil"/>
            </w:tcBorders>
            <w:shd w:val="clear" w:color="auto" w:fill="auto"/>
          </w:tcPr>
          <w:p w14:paraId="36D1462C"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591.51</w:t>
            </w:r>
          </w:p>
        </w:tc>
        <w:tc>
          <w:tcPr>
            <w:tcW w:w="936" w:type="dxa"/>
            <w:tcBorders>
              <w:top w:val="nil"/>
              <w:left w:val="nil"/>
              <w:bottom w:val="nil"/>
              <w:right w:val="nil"/>
            </w:tcBorders>
            <w:shd w:val="clear" w:color="auto" w:fill="auto"/>
          </w:tcPr>
          <w:p w14:paraId="157DE632"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2,085.78</w:t>
            </w:r>
          </w:p>
        </w:tc>
        <w:tc>
          <w:tcPr>
            <w:tcW w:w="909" w:type="dxa"/>
            <w:tcBorders>
              <w:top w:val="nil"/>
              <w:left w:val="nil"/>
              <w:bottom w:val="nil"/>
              <w:right w:val="nil"/>
            </w:tcBorders>
            <w:shd w:val="clear" w:color="auto" w:fill="auto"/>
          </w:tcPr>
          <w:p w14:paraId="19F4C856"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-668.00</w:t>
            </w:r>
          </w:p>
        </w:tc>
        <w:tc>
          <w:tcPr>
            <w:tcW w:w="1026" w:type="dxa"/>
            <w:tcBorders>
              <w:top w:val="nil"/>
              <w:left w:val="nil"/>
              <w:bottom w:val="nil"/>
              <w:right w:val="nil"/>
            </w:tcBorders>
            <w:shd w:val="clear" w:color="auto" w:fill="auto"/>
          </w:tcPr>
          <w:p w14:paraId="5EB6393F"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17,741.00</w:t>
            </w:r>
          </w:p>
        </w:tc>
        <w:tc>
          <w:tcPr>
            <w:tcW w:w="1011" w:type="dxa"/>
            <w:tcBorders>
              <w:top w:val="nil"/>
              <w:left w:val="nil"/>
              <w:bottom w:val="nil"/>
              <w:right w:val="nil"/>
            </w:tcBorders>
            <w:shd w:val="clear" w:color="auto" w:fill="auto"/>
          </w:tcPr>
          <w:p w14:paraId="0FBF13F6"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.114</w:t>
            </w:r>
          </w:p>
        </w:tc>
        <w:tc>
          <w:tcPr>
            <w:tcW w:w="660" w:type="dxa"/>
            <w:tcBorders>
              <w:top w:val="nil"/>
              <w:left w:val="nil"/>
              <w:bottom w:val="nil"/>
              <w:right w:val="nil"/>
            </w:tcBorders>
          </w:tcPr>
          <w:p w14:paraId="306D7153"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.285</w:t>
            </w:r>
          </w:p>
        </w:tc>
        <w:tc>
          <w:tcPr>
            <w:tcW w:w="636" w:type="dxa"/>
            <w:tcBorders>
              <w:top w:val="nil"/>
              <w:left w:val="nil"/>
              <w:bottom w:val="nil"/>
              <w:right w:val="nil"/>
            </w:tcBorders>
          </w:tcPr>
          <w:p w14:paraId="71A15664"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-.084</w:t>
            </w:r>
          </w:p>
        </w:tc>
        <w:tc>
          <w:tcPr>
            <w:tcW w:w="0" w:type="auto"/>
            <w:tcBorders>
              <w:top w:val="nil"/>
              <w:left w:val="nil"/>
              <w:bottom w:val="nil"/>
              <w:right w:val="nil"/>
            </w:tcBorders>
          </w:tcPr>
          <w:p w14:paraId="557C20FB" w14:textId="77777777" w:rsidR="0023701B" w:rsidRPr="00F4226B" w:rsidRDefault="00327718"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2.22</w:t>
            </w:r>
          </w:p>
        </w:tc>
      </w:tr>
      <w:tr w:rsidR="00C7537C" w:rsidRPr="00F4226B" w14:paraId="155944BD" w14:textId="77777777" w:rsidTr="00E34861">
        <w:trPr>
          <w:trHeight w:val="340"/>
        </w:trPr>
        <w:tc>
          <w:tcPr>
            <w:tcW w:w="2740" w:type="dxa"/>
            <w:tcBorders>
              <w:top w:val="nil"/>
              <w:left w:val="nil"/>
              <w:bottom w:val="nil"/>
              <w:right w:val="nil"/>
            </w:tcBorders>
            <w:shd w:val="clear" w:color="auto" w:fill="auto"/>
          </w:tcPr>
          <w:p w14:paraId="0599C5D6" w14:textId="77777777" w:rsidR="00D51A86"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Book values: </w:t>
            </w:r>
          </w:p>
          <w:p w14:paraId="1B479CAF" w14:textId="3A5E3597" w:rsidR="007068C5" w:rsidRPr="00F4226B" w:rsidRDefault="00D51A86"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w:t>
            </w:r>
            <w:r w:rsidR="007068C5" w:rsidRPr="00F4226B">
              <w:rPr>
                <w:rFonts w:ascii="Times New Roman" w:hAnsi="Times New Roman"/>
                <w:sz w:val="18"/>
                <w:szCs w:val="18"/>
                <w:lang w:val="en-US"/>
              </w:rPr>
              <w:t>Entire pooled sample</w:t>
            </w:r>
          </w:p>
        </w:tc>
        <w:tc>
          <w:tcPr>
            <w:tcW w:w="1067" w:type="dxa"/>
            <w:tcBorders>
              <w:top w:val="nil"/>
              <w:left w:val="nil"/>
              <w:bottom w:val="nil"/>
              <w:right w:val="nil"/>
            </w:tcBorders>
            <w:shd w:val="clear" w:color="auto" w:fill="auto"/>
          </w:tcPr>
          <w:p w14:paraId="4B3AB21A" w14:textId="77777777" w:rsidR="00D51A86" w:rsidRPr="00F4226B" w:rsidRDefault="00D51A86" w:rsidP="00E34861">
            <w:pPr>
              <w:spacing w:after="0" w:line="240" w:lineRule="auto"/>
              <w:jc w:val="right"/>
              <w:rPr>
                <w:rFonts w:ascii="Times New Roman" w:hAnsi="Times New Roman"/>
                <w:sz w:val="18"/>
                <w:szCs w:val="18"/>
                <w:lang w:val="en-US"/>
              </w:rPr>
            </w:pPr>
          </w:p>
          <w:p w14:paraId="25529EE5"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900.61</w:t>
            </w:r>
          </w:p>
        </w:tc>
        <w:tc>
          <w:tcPr>
            <w:tcW w:w="936" w:type="dxa"/>
            <w:tcBorders>
              <w:top w:val="nil"/>
              <w:left w:val="nil"/>
              <w:bottom w:val="nil"/>
              <w:right w:val="nil"/>
            </w:tcBorders>
            <w:shd w:val="clear" w:color="auto" w:fill="auto"/>
          </w:tcPr>
          <w:p w14:paraId="25CF7DE4" w14:textId="77777777" w:rsidR="00D51A86" w:rsidRPr="00F4226B" w:rsidRDefault="00D51A86" w:rsidP="00E34861">
            <w:pPr>
              <w:spacing w:after="0" w:line="240" w:lineRule="auto"/>
              <w:jc w:val="right"/>
              <w:rPr>
                <w:rFonts w:ascii="Times New Roman" w:hAnsi="Times New Roman"/>
                <w:sz w:val="18"/>
                <w:szCs w:val="18"/>
                <w:lang w:val="en-US"/>
              </w:rPr>
            </w:pPr>
          </w:p>
          <w:p w14:paraId="6DA68F4E"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4,178.50</w:t>
            </w:r>
          </w:p>
        </w:tc>
        <w:tc>
          <w:tcPr>
            <w:tcW w:w="909" w:type="dxa"/>
            <w:tcBorders>
              <w:top w:val="nil"/>
              <w:left w:val="nil"/>
              <w:bottom w:val="nil"/>
              <w:right w:val="nil"/>
            </w:tcBorders>
            <w:shd w:val="clear" w:color="auto" w:fill="auto"/>
          </w:tcPr>
          <w:p w14:paraId="241D63A1" w14:textId="77777777" w:rsidR="00D51A86" w:rsidRPr="00F4226B" w:rsidRDefault="00D51A86" w:rsidP="00E34861">
            <w:pPr>
              <w:spacing w:after="0" w:line="240" w:lineRule="auto"/>
              <w:jc w:val="right"/>
              <w:rPr>
                <w:rFonts w:ascii="Times New Roman" w:hAnsi="Times New Roman"/>
                <w:sz w:val="18"/>
                <w:szCs w:val="18"/>
                <w:lang w:val="en-US"/>
              </w:rPr>
            </w:pPr>
          </w:p>
          <w:p w14:paraId="29D4948E"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-.557</w:t>
            </w:r>
          </w:p>
        </w:tc>
        <w:tc>
          <w:tcPr>
            <w:tcW w:w="1026" w:type="dxa"/>
            <w:tcBorders>
              <w:top w:val="nil"/>
              <w:left w:val="nil"/>
              <w:bottom w:val="nil"/>
              <w:right w:val="nil"/>
            </w:tcBorders>
            <w:shd w:val="clear" w:color="auto" w:fill="auto"/>
          </w:tcPr>
          <w:p w14:paraId="1683DC20" w14:textId="77777777" w:rsidR="00D51A86" w:rsidRPr="00F4226B" w:rsidRDefault="00D51A86" w:rsidP="00E34861">
            <w:pPr>
              <w:spacing w:after="0" w:line="240" w:lineRule="auto"/>
              <w:jc w:val="right"/>
              <w:rPr>
                <w:rFonts w:ascii="Times New Roman" w:hAnsi="Times New Roman"/>
                <w:sz w:val="18"/>
                <w:szCs w:val="18"/>
                <w:lang w:val="en-US"/>
              </w:rPr>
            </w:pPr>
          </w:p>
          <w:p w14:paraId="5B53D0BE"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47,730.44</w:t>
            </w:r>
          </w:p>
        </w:tc>
        <w:tc>
          <w:tcPr>
            <w:tcW w:w="1011" w:type="dxa"/>
            <w:tcBorders>
              <w:top w:val="nil"/>
              <w:left w:val="nil"/>
              <w:bottom w:val="nil"/>
              <w:right w:val="nil"/>
            </w:tcBorders>
            <w:shd w:val="clear" w:color="auto" w:fill="auto"/>
          </w:tcPr>
          <w:p w14:paraId="5BA079C9" w14:textId="77777777" w:rsidR="00D51A86" w:rsidRPr="00F4226B" w:rsidRDefault="00D51A86" w:rsidP="00E34861">
            <w:pPr>
              <w:spacing w:after="0" w:line="240" w:lineRule="auto"/>
              <w:jc w:val="right"/>
              <w:rPr>
                <w:rFonts w:ascii="Times New Roman" w:hAnsi="Times New Roman"/>
                <w:sz w:val="18"/>
                <w:szCs w:val="18"/>
                <w:lang w:val="en-US"/>
              </w:rPr>
            </w:pPr>
          </w:p>
          <w:p w14:paraId="397BFBF7"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.361</w:t>
            </w:r>
          </w:p>
        </w:tc>
        <w:tc>
          <w:tcPr>
            <w:tcW w:w="660" w:type="dxa"/>
            <w:tcBorders>
              <w:top w:val="nil"/>
              <w:left w:val="nil"/>
              <w:bottom w:val="nil"/>
              <w:right w:val="nil"/>
            </w:tcBorders>
          </w:tcPr>
          <w:p w14:paraId="366CFCC5" w14:textId="77777777" w:rsidR="00D51A86" w:rsidRPr="00F4226B" w:rsidRDefault="00D51A86" w:rsidP="00E34861">
            <w:pPr>
              <w:spacing w:after="0" w:line="240" w:lineRule="auto"/>
              <w:jc w:val="right"/>
              <w:rPr>
                <w:rFonts w:ascii="Times New Roman" w:hAnsi="Times New Roman"/>
                <w:sz w:val="18"/>
                <w:szCs w:val="18"/>
                <w:lang w:val="en-US"/>
              </w:rPr>
            </w:pPr>
          </w:p>
          <w:p w14:paraId="647DFEA2"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.864</w:t>
            </w:r>
          </w:p>
        </w:tc>
        <w:tc>
          <w:tcPr>
            <w:tcW w:w="636" w:type="dxa"/>
            <w:tcBorders>
              <w:top w:val="nil"/>
              <w:left w:val="nil"/>
              <w:bottom w:val="nil"/>
              <w:right w:val="nil"/>
            </w:tcBorders>
          </w:tcPr>
          <w:p w14:paraId="0E29E8DC" w14:textId="77777777" w:rsidR="00D51A86" w:rsidRPr="00F4226B" w:rsidRDefault="00D51A86" w:rsidP="00E34861">
            <w:pPr>
              <w:spacing w:after="0" w:line="240" w:lineRule="auto"/>
              <w:jc w:val="right"/>
              <w:rPr>
                <w:rFonts w:ascii="Times New Roman" w:hAnsi="Times New Roman"/>
                <w:sz w:val="18"/>
                <w:szCs w:val="18"/>
                <w:lang w:val="en-US"/>
              </w:rPr>
            </w:pPr>
          </w:p>
          <w:p w14:paraId="509E66C4"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-.01</w:t>
            </w:r>
          </w:p>
        </w:tc>
        <w:tc>
          <w:tcPr>
            <w:tcW w:w="0" w:type="auto"/>
            <w:tcBorders>
              <w:top w:val="nil"/>
              <w:left w:val="nil"/>
              <w:bottom w:val="nil"/>
              <w:right w:val="nil"/>
            </w:tcBorders>
          </w:tcPr>
          <w:p w14:paraId="78D70AD9" w14:textId="77777777" w:rsidR="00D51A86" w:rsidRPr="00F4226B" w:rsidRDefault="00D51A86" w:rsidP="00E34861">
            <w:pPr>
              <w:spacing w:after="0" w:line="240" w:lineRule="auto"/>
              <w:jc w:val="right"/>
              <w:rPr>
                <w:rFonts w:ascii="Times New Roman" w:hAnsi="Times New Roman"/>
                <w:sz w:val="18"/>
                <w:szCs w:val="18"/>
                <w:lang w:val="en-US"/>
              </w:rPr>
            </w:pPr>
          </w:p>
          <w:p w14:paraId="67D945D7"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6.54</w:t>
            </w:r>
          </w:p>
        </w:tc>
      </w:tr>
      <w:tr w:rsidR="00C7537C" w:rsidRPr="00F4226B" w14:paraId="0298E42C" w14:textId="77777777" w:rsidTr="00E34861">
        <w:trPr>
          <w:trHeight w:val="340"/>
        </w:trPr>
        <w:tc>
          <w:tcPr>
            <w:tcW w:w="2740" w:type="dxa"/>
            <w:tcBorders>
              <w:top w:val="nil"/>
              <w:left w:val="nil"/>
              <w:bottom w:val="nil"/>
              <w:right w:val="nil"/>
            </w:tcBorders>
            <w:shd w:val="clear" w:color="auto" w:fill="auto"/>
          </w:tcPr>
          <w:p w14:paraId="1CAED543" w14:textId="77777777" w:rsidR="007068C5"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Low inflation period</w:t>
            </w:r>
          </w:p>
        </w:tc>
        <w:tc>
          <w:tcPr>
            <w:tcW w:w="1067" w:type="dxa"/>
            <w:tcBorders>
              <w:top w:val="nil"/>
              <w:left w:val="nil"/>
              <w:bottom w:val="nil"/>
              <w:right w:val="nil"/>
            </w:tcBorders>
            <w:shd w:val="clear" w:color="auto" w:fill="auto"/>
          </w:tcPr>
          <w:p w14:paraId="7A383391"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26</w:t>
            </w:r>
            <w:r w:rsidR="00201D0E" w:rsidRPr="00F4226B">
              <w:rPr>
                <w:rFonts w:ascii="Times New Roman" w:hAnsi="Times New Roman"/>
                <w:sz w:val="18"/>
                <w:szCs w:val="18"/>
                <w:lang w:val="en-US"/>
              </w:rPr>
              <w:t>.</w:t>
            </w:r>
            <w:r w:rsidRPr="00F4226B">
              <w:rPr>
                <w:rFonts w:ascii="Times New Roman" w:hAnsi="Times New Roman"/>
                <w:sz w:val="18"/>
                <w:szCs w:val="18"/>
                <w:lang w:val="en-US"/>
              </w:rPr>
              <w:t>27</w:t>
            </w:r>
          </w:p>
        </w:tc>
        <w:tc>
          <w:tcPr>
            <w:tcW w:w="936" w:type="dxa"/>
            <w:tcBorders>
              <w:top w:val="nil"/>
              <w:left w:val="nil"/>
              <w:bottom w:val="nil"/>
              <w:right w:val="nil"/>
            </w:tcBorders>
            <w:shd w:val="clear" w:color="auto" w:fill="auto"/>
          </w:tcPr>
          <w:p w14:paraId="591F45C6"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55</w:t>
            </w:r>
            <w:r w:rsidR="00201D0E" w:rsidRPr="00F4226B">
              <w:rPr>
                <w:rFonts w:ascii="Times New Roman" w:hAnsi="Times New Roman"/>
                <w:sz w:val="18"/>
                <w:szCs w:val="18"/>
                <w:lang w:val="en-US"/>
              </w:rPr>
              <w:t>.</w:t>
            </w:r>
            <w:r w:rsidRPr="00F4226B">
              <w:rPr>
                <w:rFonts w:ascii="Times New Roman" w:hAnsi="Times New Roman"/>
                <w:sz w:val="18"/>
                <w:szCs w:val="18"/>
                <w:lang w:val="en-US"/>
              </w:rPr>
              <w:t>675</w:t>
            </w:r>
          </w:p>
        </w:tc>
        <w:tc>
          <w:tcPr>
            <w:tcW w:w="909" w:type="dxa"/>
            <w:tcBorders>
              <w:top w:val="nil"/>
              <w:left w:val="nil"/>
              <w:bottom w:val="nil"/>
              <w:right w:val="nil"/>
            </w:tcBorders>
            <w:shd w:val="clear" w:color="auto" w:fill="auto"/>
          </w:tcPr>
          <w:p w14:paraId="1FC49FC3"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-.557</w:t>
            </w:r>
          </w:p>
        </w:tc>
        <w:tc>
          <w:tcPr>
            <w:tcW w:w="1026" w:type="dxa"/>
            <w:tcBorders>
              <w:top w:val="nil"/>
              <w:left w:val="nil"/>
              <w:bottom w:val="nil"/>
              <w:right w:val="nil"/>
            </w:tcBorders>
            <w:shd w:val="clear" w:color="auto" w:fill="auto"/>
          </w:tcPr>
          <w:p w14:paraId="5531C5B8"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359</w:t>
            </w:r>
            <w:r w:rsidR="00201D0E" w:rsidRPr="00F4226B">
              <w:rPr>
                <w:rFonts w:ascii="Times New Roman" w:hAnsi="Times New Roman"/>
                <w:sz w:val="18"/>
                <w:szCs w:val="18"/>
                <w:lang w:val="en-US"/>
              </w:rPr>
              <w:t>.</w:t>
            </w:r>
            <w:r w:rsidRPr="00F4226B">
              <w:rPr>
                <w:rFonts w:ascii="Times New Roman" w:hAnsi="Times New Roman"/>
                <w:sz w:val="18"/>
                <w:szCs w:val="18"/>
                <w:lang w:val="en-US"/>
              </w:rPr>
              <w:t>62</w:t>
            </w:r>
          </w:p>
        </w:tc>
        <w:tc>
          <w:tcPr>
            <w:tcW w:w="1011" w:type="dxa"/>
            <w:tcBorders>
              <w:top w:val="nil"/>
              <w:left w:val="nil"/>
              <w:bottom w:val="nil"/>
              <w:right w:val="nil"/>
            </w:tcBorders>
            <w:shd w:val="clear" w:color="auto" w:fill="auto"/>
          </w:tcPr>
          <w:p w14:paraId="717B016D"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.488</w:t>
            </w:r>
          </w:p>
        </w:tc>
        <w:tc>
          <w:tcPr>
            <w:tcW w:w="660" w:type="dxa"/>
            <w:tcBorders>
              <w:top w:val="nil"/>
              <w:left w:val="nil"/>
              <w:bottom w:val="nil"/>
              <w:right w:val="nil"/>
            </w:tcBorders>
          </w:tcPr>
          <w:p w14:paraId="16F2ADC8"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1.017</w:t>
            </w:r>
          </w:p>
        </w:tc>
        <w:tc>
          <w:tcPr>
            <w:tcW w:w="636" w:type="dxa"/>
            <w:tcBorders>
              <w:top w:val="nil"/>
              <w:left w:val="nil"/>
              <w:bottom w:val="nil"/>
              <w:right w:val="nil"/>
            </w:tcBorders>
          </w:tcPr>
          <w:p w14:paraId="77019CCE"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-.01</w:t>
            </w:r>
          </w:p>
        </w:tc>
        <w:tc>
          <w:tcPr>
            <w:tcW w:w="0" w:type="auto"/>
            <w:tcBorders>
              <w:top w:val="nil"/>
              <w:left w:val="nil"/>
              <w:bottom w:val="nil"/>
              <w:right w:val="nil"/>
            </w:tcBorders>
          </w:tcPr>
          <w:p w14:paraId="13E99229"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6.54</w:t>
            </w:r>
          </w:p>
        </w:tc>
      </w:tr>
      <w:tr w:rsidR="00C7537C" w:rsidRPr="00F4226B" w14:paraId="7C83723B" w14:textId="77777777" w:rsidTr="00E34861">
        <w:trPr>
          <w:trHeight w:val="340"/>
        </w:trPr>
        <w:tc>
          <w:tcPr>
            <w:tcW w:w="2740" w:type="dxa"/>
            <w:tcBorders>
              <w:top w:val="nil"/>
              <w:left w:val="nil"/>
              <w:bottom w:val="nil"/>
              <w:right w:val="nil"/>
            </w:tcBorders>
            <w:shd w:val="clear" w:color="auto" w:fill="auto"/>
          </w:tcPr>
          <w:p w14:paraId="3E762515" w14:textId="77777777" w:rsidR="007068C5"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High inflation period</w:t>
            </w:r>
          </w:p>
        </w:tc>
        <w:tc>
          <w:tcPr>
            <w:tcW w:w="1067" w:type="dxa"/>
            <w:tcBorders>
              <w:top w:val="nil"/>
              <w:left w:val="nil"/>
              <w:bottom w:val="nil"/>
              <w:right w:val="nil"/>
            </w:tcBorders>
            <w:shd w:val="clear" w:color="auto" w:fill="auto"/>
          </w:tcPr>
          <w:p w14:paraId="557959D7"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1,532.94</w:t>
            </w:r>
          </w:p>
        </w:tc>
        <w:tc>
          <w:tcPr>
            <w:tcW w:w="936" w:type="dxa"/>
            <w:tcBorders>
              <w:top w:val="nil"/>
              <w:left w:val="nil"/>
              <w:bottom w:val="nil"/>
              <w:right w:val="nil"/>
            </w:tcBorders>
            <w:shd w:val="clear" w:color="auto" w:fill="auto"/>
          </w:tcPr>
          <w:p w14:paraId="2B787B54"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5,407.16</w:t>
            </w:r>
          </w:p>
        </w:tc>
        <w:tc>
          <w:tcPr>
            <w:tcW w:w="909" w:type="dxa"/>
            <w:tcBorders>
              <w:top w:val="nil"/>
              <w:left w:val="nil"/>
              <w:bottom w:val="nil"/>
              <w:right w:val="nil"/>
            </w:tcBorders>
            <w:shd w:val="clear" w:color="auto" w:fill="auto"/>
          </w:tcPr>
          <w:p w14:paraId="48200069"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-.228</w:t>
            </w:r>
          </w:p>
        </w:tc>
        <w:tc>
          <w:tcPr>
            <w:tcW w:w="1026" w:type="dxa"/>
            <w:tcBorders>
              <w:top w:val="nil"/>
              <w:left w:val="nil"/>
              <w:bottom w:val="nil"/>
              <w:right w:val="nil"/>
            </w:tcBorders>
            <w:shd w:val="clear" w:color="auto" w:fill="auto"/>
          </w:tcPr>
          <w:p w14:paraId="0EBC8D25"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47,730.44</w:t>
            </w:r>
          </w:p>
        </w:tc>
        <w:tc>
          <w:tcPr>
            <w:tcW w:w="1011" w:type="dxa"/>
            <w:tcBorders>
              <w:top w:val="nil"/>
              <w:left w:val="nil"/>
              <w:bottom w:val="nil"/>
              <w:right w:val="nil"/>
            </w:tcBorders>
            <w:shd w:val="clear" w:color="auto" w:fill="auto"/>
          </w:tcPr>
          <w:p w14:paraId="727F857A"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.268</w:t>
            </w:r>
          </w:p>
        </w:tc>
        <w:tc>
          <w:tcPr>
            <w:tcW w:w="660" w:type="dxa"/>
            <w:tcBorders>
              <w:top w:val="nil"/>
              <w:left w:val="nil"/>
              <w:bottom w:val="nil"/>
              <w:right w:val="nil"/>
            </w:tcBorders>
          </w:tcPr>
          <w:p w14:paraId="21308CA3"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.724</w:t>
            </w:r>
          </w:p>
        </w:tc>
        <w:tc>
          <w:tcPr>
            <w:tcW w:w="636" w:type="dxa"/>
            <w:tcBorders>
              <w:top w:val="nil"/>
              <w:left w:val="nil"/>
              <w:bottom w:val="nil"/>
              <w:right w:val="nil"/>
            </w:tcBorders>
          </w:tcPr>
          <w:p w14:paraId="5E9011AB"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.01</w:t>
            </w:r>
          </w:p>
        </w:tc>
        <w:tc>
          <w:tcPr>
            <w:tcW w:w="0" w:type="auto"/>
            <w:tcBorders>
              <w:top w:val="nil"/>
              <w:left w:val="nil"/>
              <w:bottom w:val="nil"/>
              <w:right w:val="nil"/>
            </w:tcBorders>
          </w:tcPr>
          <w:p w14:paraId="5802BFC3"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5.97</w:t>
            </w:r>
          </w:p>
        </w:tc>
      </w:tr>
      <w:tr w:rsidR="00C7537C" w:rsidRPr="00F4226B" w14:paraId="6D58BAEB" w14:textId="77777777" w:rsidTr="00E34861">
        <w:trPr>
          <w:trHeight w:val="340"/>
        </w:trPr>
        <w:tc>
          <w:tcPr>
            <w:tcW w:w="2740" w:type="dxa"/>
            <w:tcBorders>
              <w:top w:val="nil"/>
              <w:left w:val="nil"/>
              <w:bottom w:val="single" w:sz="4" w:space="0" w:color="auto"/>
              <w:right w:val="nil"/>
            </w:tcBorders>
            <w:shd w:val="clear" w:color="auto" w:fill="auto"/>
          </w:tcPr>
          <w:p w14:paraId="59C22BD5" w14:textId="77777777" w:rsidR="007068C5" w:rsidRPr="00F4226B" w:rsidRDefault="007068C5" w:rsidP="00E34861">
            <w:pPr>
              <w:spacing w:after="0" w:line="240" w:lineRule="auto"/>
              <w:ind w:left="-108"/>
              <w:rPr>
                <w:rFonts w:ascii="Times New Roman" w:hAnsi="Times New Roman"/>
                <w:sz w:val="18"/>
                <w:szCs w:val="18"/>
                <w:lang w:val="en-US"/>
              </w:rPr>
            </w:pPr>
          </w:p>
        </w:tc>
        <w:tc>
          <w:tcPr>
            <w:tcW w:w="1067" w:type="dxa"/>
            <w:tcBorders>
              <w:top w:val="nil"/>
              <w:left w:val="nil"/>
              <w:bottom w:val="single" w:sz="4" w:space="0" w:color="auto"/>
              <w:right w:val="nil"/>
            </w:tcBorders>
            <w:shd w:val="clear" w:color="auto" w:fill="auto"/>
          </w:tcPr>
          <w:p w14:paraId="09186186" w14:textId="77777777" w:rsidR="007068C5" w:rsidRPr="00F4226B" w:rsidRDefault="007068C5" w:rsidP="00E34861">
            <w:pPr>
              <w:spacing w:after="0" w:line="240" w:lineRule="auto"/>
              <w:jc w:val="center"/>
              <w:rPr>
                <w:rFonts w:ascii="Times New Roman" w:hAnsi="Times New Roman"/>
                <w:sz w:val="18"/>
                <w:szCs w:val="18"/>
                <w:lang w:val="en-US"/>
              </w:rPr>
            </w:pPr>
          </w:p>
        </w:tc>
        <w:tc>
          <w:tcPr>
            <w:tcW w:w="936" w:type="dxa"/>
            <w:tcBorders>
              <w:top w:val="nil"/>
              <w:left w:val="nil"/>
              <w:bottom w:val="single" w:sz="4" w:space="0" w:color="auto"/>
              <w:right w:val="nil"/>
            </w:tcBorders>
            <w:shd w:val="clear" w:color="auto" w:fill="auto"/>
          </w:tcPr>
          <w:p w14:paraId="07620EAD" w14:textId="77777777" w:rsidR="007068C5" w:rsidRPr="00F4226B" w:rsidRDefault="007068C5" w:rsidP="00E34861">
            <w:pPr>
              <w:spacing w:after="0" w:line="240" w:lineRule="auto"/>
              <w:jc w:val="center"/>
              <w:rPr>
                <w:rFonts w:ascii="Times New Roman" w:hAnsi="Times New Roman"/>
                <w:sz w:val="18"/>
                <w:szCs w:val="18"/>
                <w:lang w:val="en-US"/>
              </w:rPr>
            </w:pPr>
          </w:p>
        </w:tc>
        <w:tc>
          <w:tcPr>
            <w:tcW w:w="909" w:type="dxa"/>
            <w:tcBorders>
              <w:top w:val="nil"/>
              <w:left w:val="nil"/>
              <w:bottom w:val="single" w:sz="4" w:space="0" w:color="auto"/>
              <w:right w:val="nil"/>
            </w:tcBorders>
            <w:shd w:val="clear" w:color="auto" w:fill="auto"/>
          </w:tcPr>
          <w:p w14:paraId="57D9B0C7" w14:textId="77777777" w:rsidR="007068C5" w:rsidRPr="00F4226B" w:rsidRDefault="007068C5" w:rsidP="00E34861">
            <w:pPr>
              <w:spacing w:after="0" w:line="240" w:lineRule="auto"/>
              <w:jc w:val="center"/>
              <w:rPr>
                <w:rFonts w:ascii="Times New Roman" w:hAnsi="Times New Roman"/>
                <w:sz w:val="18"/>
                <w:szCs w:val="18"/>
                <w:lang w:val="en-US"/>
              </w:rPr>
            </w:pPr>
          </w:p>
        </w:tc>
        <w:tc>
          <w:tcPr>
            <w:tcW w:w="1026" w:type="dxa"/>
            <w:tcBorders>
              <w:top w:val="nil"/>
              <w:left w:val="nil"/>
              <w:bottom w:val="single" w:sz="4" w:space="0" w:color="auto"/>
              <w:right w:val="nil"/>
            </w:tcBorders>
            <w:shd w:val="clear" w:color="auto" w:fill="auto"/>
          </w:tcPr>
          <w:p w14:paraId="555FA965" w14:textId="77777777" w:rsidR="007068C5" w:rsidRPr="00F4226B" w:rsidRDefault="007068C5" w:rsidP="00E34861">
            <w:pPr>
              <w:spacing w:after="0" w:line="240" w:lineRule="auto"/>
              <w:jc w:val="center"/>
              <w:rPr>
                <w:rFonts w:ascii="Times New Roman" w:hAnsi="Times New Roman"/>
                <w:sz w:val="18"/>
                <w:szCs w:val="18"/>
                <w:lang w:val="en-US"/>
              </w:rPr>
            </w:pPr>
          </w:p>
        </w:tc>
        <w:tc>
          <w:tcPr>
            <w:tcW w:w="1011" w:type="dxa"/>
            <w:tcBorders>
              <w:top w:val="nil"/>
              <w:left w:val="nil"/>
              <w:bottom w:val="single" w:sz="4" w:space="0" w:color="auto"/>
              <w:right w:val="nil"/>
            </w:tcBorders>
            <w:shd w:val="clear" w:color="auto" w:fill="auto"/>
          </w:tcPr>
          <w:p w14:paraId="51F25F22" w14:textId="77777777" w:rsidR="007068C5" w:rsidRPr="00F4226B" w:rsidRDefault="007068C5" w:rsidP="00E34861">
            <w:pPr>
              <w:spacing w:after="0" w:line="240" w:lineRule="auto"/>
              <w:jc w:val="center"/>
              <w:rPr>
                <w:rFonts w:ascii="Times New Roman" w:hAnsi="Times New Roman"/>
                <w:sz w:val="18"/>
                <w:szCs w:val="18"/>
                <w:lang w:val="en-US"/>
              </w:rPr>
            </w:pPr>
          </w:p>
        </w:tc>
        <w:tc>
          <w:tcPr>
            <w:tcW w:w="660" w:type="dxa"/>
            <w:tcBorders>
              <w:top w:val="nil"/>
              <w:left w:val="nil"/>
              <w:bottom w:val="single" w:sz="4" w:space="0" w:color="auto"/>
              <w:right w:val="nil"/>
            </w:tcBorders>
          </w:tcPr>
          <w:p w14:paraId="5A387437" w14:textId="77777777" w:rsidR="007068C5" w:rsidRPr="00F4226B" w:rsidRDefault="007068C5" w:rsidP="00E34861">
            <w:pPr>
              <w:spacing w:after="0" w:line="240" w:lineRule="auto"/>
              <w:jc w:val="center"/>
              <w:rPr>
                <w:rFonts w:ascii="Times New Roman" w:hAnsi="Times New Roman"/>
                <w:sz w:val="18"/>
                <w:szCs w:val="18"/>
                <w:lang w:val="en-US"/>
              </w:rPr>
            </w:pPr>
          </w:p>
        </w:tc>
        <w:tc>
          <w:tcPr>
            <w:tcW w:w="636" w:type="dxa"/>
            <w:tcBorders>
              <w:top w:val="nil"/>
              <w:left w:val="nil"/>
              <w:bottom w:val="single" w:sz="4" w:space="0" w:color="auto"/>
              <w:right w:val="nil"/>
            </w:tcBorders>
          </w:tcPr>
          <w:p w14:paraId="42CF4C27" w14:textId="77777777" w:rsidR="007068C5" w:rsidRPr="00F4226B" w:rsidRDefault="007068C5" w:rsidP="00E34861">
            <w:pPr>
              <w:spacing w:after="0" w:line="240" w:lineRule="auto"/>
              <w:jc w:val="center"/>
              <w:rPr>
                <w:rFonts w:ascii="Times New Roman" w:hAnsi="Times New Roman"/>
                <w:sz w:val="18"/>
                <w:szCs w:val="18"/>
                <w:lang w:val="en-US"/>
              </w:rPr>
            </w:pPr>
          </w:p>
        </w:tc>
        <w:tc>
          <w:tcPr>
            <w:tcW w:w="0" w:type="auto"/>
            <w:tcBorders>
              <w:top w:val="nil"/>
              <w:left w:val="nil"/>
              <w:bottom w:val="single" w:sz="4" w:space="0" w:color="auto"/>
              <w:right w:val="nil"/>
            </w:tcBorders>
          </w:tcPr>
          <w:p w14:paraId="25A95CC5" w14:textId="77777777" w:rsidR="007068C5" w:rsidRPr="00F4226B" w:rsidRDefault="007068C5" w:rsidP="00E34861">
            <w:pPr>
              <w:spacing w:after="0" w:line="240" w:lineRule="auto"/>
              <w:jc w:val="center"/>
              <w:rPr>
                <w:rFonts w:ascii="Times New Roman" w:hAnsi="Times New Roman"/>
                <w:sz w:val="18"/>
                <w:szCs w:val="18"/>
                <w:lang w:val="en-US"/>
              </w:rPr>
            </w:pPr>
          </w:p>
        </w:tc>
      </w:tr>
      <w:tr w:rsidR="00C7537C" w:rsidRPr="00F4226B" w14:paraId="1E3F3AB9" w14:textId="77777777" w:rsidTr="00E34861">
        <w:trPr>
          <w:trHeight w:val="340"/>
        </w:trPr>
        <w:tc>
          <w:tcPr>
            <w:tcW w:w="2740" w:type="dxa"/>
            <w:tcBorders>
              <w:top w:val="single" w:sz="4" w:space="0" w:color="auto"/>
              <w:left w:val="nil"/>
              <w:bottom w:val="single" w:sz="4" w:space="0" w:color="auto"/>
              <w:right w:val="nil"/>
            </w:tcBorders>
            <w:shd w:val="clear" w:color="auto" w:fill="auto"/>
          </w:tcPr>
          <w:p w14:paraId="0007C2E9" w14:textId="77777777" w:rsidR="007068C5" w:rsidRPr="00F4226B" w:rsidRDefault="007068C5" w:rsidP="00E34861">
            <w:pPr>
              <w:spacing w:after="0" w:line="240" w:lineRule="auto"/>
              <w:ind w:left="-108"/>
              <w:rPr>
                <w:rFonts w:ascii="Times New Roman" w:hAnsi="Times New Roman"/>
                <w:b/>
                <w:sz w:val="18"/>
                <w:szCs w:val="18"/>
                <w:lang w:val="en-US"/>
              </w:rPr>
            </w:pPr>
            <w:r w:rsidRPr="00F4226B">
              <w:rPr>
                <w:rFonts w:ascii="Times New Roman" w:hAnsi="Times New Roman"/>
                <w:b/>
                <w:sz w:val="18"/>
                <w:szCs w:val="18"/>
                <w:lang w:val="en-US"/>
              </w:rPr>
              <w:t>Panel C: Inflation-adjusted data</w:t>
            </w:r>
            <w:r w:rsidR="006E544C" w:rsidRPr="00F4226B">
              <w:rPr>
                <w:rFonts w:ascii="Times New Roman" w:hAnsi="Times New Roman"/>
                <w:b/>
                <w:sz w:val="18"/>
                <w:szCs w:val="18"/>
                <w:lang w:val="en-US"/>
              </w:rPr>
              <w:t xml:space="preserve"> ($)</w:t>
            </w:r>
          </w:p>
        </w:tc>
        <w:tc>
          <w:tcPr>
            <w:tcW w:w="1067" w:type="dxa"/>
            <w:tcBorders>
              <w:top w:val="single" w:sz="4" w:space="0" w:color="auto"/>
              <w:left w:val="nil"/>
              <w:bottom w:val="single" w:sz="4" w:space="0" w:color="auto"/>
              <w:right w:val="nil"/>
            </w:tcBorders>
            <w:shd w:val="clear" w:color="auto" w:fill="auto"/>
          </w:tcPr>
          <w:p w14:paraId="44CD09BC" w14:textId="77777777" w:rsidR="007068C5" w:rsidRPr="00F4226B" w:rsidRDefault="007068C5" w:rsidP="00E34861">
            <w:pPr>
              <w:spacing w:after="0" w:line="240" w:lineRule="auto"/>
              <w:jc w:val="center"/>
              <w:rPr>
                <w:rFonts w:ascii="Times New Roman" w:hAnsi="Times New Roman"/>
                <w:sz w:val="18"/>
                <w:szCs w:val="18"/>
                <w:lang w:val="en-US"/>
              </w:rPr>
            </w:pPr>
          </w:p>
        </w:tc>
        <w:tc>
          <w:tcPr>
            <w:tcW w:w="936" w:type="dxa"/>
            <w:tcBorders>
              <w:top w:val="single" w:sz="4" w:space="0" w:color="auto"/>
              <w:left w:val="nil"/>
              <w:bottom w:val="single" w:sz="4" w:space="0" w:color="auto"/>
              <w:right w:val="nil"/>
            </w:tcBorders>
            <w:shd w:val="clear" w:color="auto" w:fill="auto"/>
          </w:tcPr>
          <w:p w14:paraId="08FB47C5" w14:textId="77777777" w:rsidR="007068C5" w:rsidRPr="00F4226B" w:rsidRDefault="007068C5" w:rsidP="00E34861">
            <w:pPr>
              <w:spacing w:after="0" w:line="240" w:lineRule="auto"/>
              <w:jc w:val="center"/>
              <w:rPr>
                <w:rFonts w:ascii="Times New Roman" w:hAnsi="Times New Roman"/>
                <w:sz w:val="18"/>
                <w:szCs w:val="18"/>
                <w:lang w:val="en-US"/>
              </w:rPr>
            </w:pPr>
          </w:p>
        </w:tc>
        <w:tc>
          <w:tcPr>
            <w:tcW w:w="909" w:type="dxa"/>
            <w:tcBorders>
              <w:top w:val="single" w:sz="4" w:space="0" w:color="auto"/>
              <w:left w:val="nil"/>
              <w:bottom w:val="single" w:sz="4" w:space="0" w:color="auto"/>
              <w:right w:val="nil"/>
            </w:tcBorders>
            <w:shd w:val="clear" w:color="auto" w:fill="auto"/>
          </w:tcPr>
          <w:p w14:paraId="2AFD02D8" w14:textId="77777777" w:rsidR="007068C5" w:rsidRPr="00F4226B" w:rsidRDefault="007068C5" w:rsidP="00E34861">
            <w:pPr>
              <w:spacing w:after="0" w:line="240" w:lineRule="auto"/>
              <w:jc w:val="center"/>
              <w:rPr>
                <w:rFonts w:ascii="Times New Roman" w:hAnsi="Times New Roman"/>
                <w:sz w:val="18"/>
                <w:szCs w:val="18"/>
                <w:lang w:val="en-US"/>
              </w:rPr>
            </w:pPr>
          </w:p>
        </w:tc>
        <w:tc>
          <w:tcPr>
            <w:tcW w:w="1026" w:type="dxa"/>
            <w:tcBorders>
              <w:top w:val="single" w:sz="4" w:space="0" w:color="auto"/>
              <w:left w:val="nil"/>
              <w:bottom w:val="single" w:sz="4" w:space="0" w:color="auto"/>
              <w:right w:val="nil"/>
            </w:tcBorders>
            <w:shd w:val="clear" w:color="auto" w:fill="auto"/>
          </w:tcPr>
          <w:p w14:paraId="4762EDBD" w14:textId="77777777" w:rsidR="007068C5" w:rsidRPr="00F4226B" w:rsidRDefault="007068C5" w:rsidP="00E34861">
            <w:pPr>
              <w:spacing w:after="0" w:line="240" w:lineRule="auto"/>
              <w:jc w:val="center"/>
              <w:rPr>
                <w:rFonts w:ascii="Times New Roman" w:hAnsi="Times New Roman"/>
                <w:sz w:val="18"/>
                <w:szCs w:val="18"/>
                <w:lang w:val="en-US"/>
              </w:rPr>
            </w:pPr>
          </w:p>
        </w:tc>
        <w:tc>
          <w:tcPr>
            <w:tcW w:w="1011" w:type="dxa"/>
            <w:tcBorders>
              <w:top w:val="single" w:sz="4" w:space="0" w:color="auto"/>
              <w:left w:val="nil"/>
              <w:bottom w:val="single" w:sz="4" w:space="0" w:color="auto"/>
              <w:right w:val="nil"/>
            </w:tcBorders>
            <w:shd w:val="clear" w:color="auto" w:fill="auto"/>
          </w:tcPr>
          <w:p w14:paraId="39473A43" w14:textId="77777777" w:rsidR="007068C5" w:rsidRPr="00F4226B" w:rsidRDefault="007068C5" w:rsidP="00E34861">
            <w:pPr>
              <w:spacing w:after="0" w:line="240" w:lineRule="auto"/>
              <w:jc w:val="center"/>
              <w:rPr>
                <w:rFonts w:ascii="Times New Roman" w:hAnsi="Times New Roman"/>
                <w:sz w:val="18"/>
                <w:szCs w:val="18"/>
                <w:lang w:val="en-US"/>
              </w:rPr>
            </w:pPr>
          </w:p>
        </w:tc>
        <w:tc>
          <w:tcPr>
            <w:tcW w:w="660" w:type="dxa"/>
            <w:tcBorders>
              <w:top w:val="single" w:sz="4" w:space="0" w:color="auto"/>
              <w:left w:val="nil"/>
              <w:bottom w:val="single" w:sz="4" w:space="0" w:color="auto"/>
              <w:right w:val="nil"/>
            </w:tcBorders>
          </w:tcPr>
          <w:p w14:paraId="7C92E491" w14:textId="77777777" w:rsidR="007068C5" w:rsidRPr="00F4226B" w:rsidRDefault="007068C5" w:rsidP="00E34861">
            <w:pPr>
              <w:spacing w:after="0" w:line="240" w:lineRule="auto"/>
              <w:jc w:val="center"/>
              <w:rPr>
                <w:rFonts w:ascii="Times New Roman" w:hAnsi="Times New Roman"/>
                <w:sz w:val="18"/>
                <w:szCs w:val="18"/>
                <w:lang w:val="en-US"/>
              </w:rPr>
            </w:pPr>
          </w:p>
        </w:tc>
        <w:tc>
          <w:tcPr>
            <w:tcW w:w="636" w:type="dxa"/>
            <w:tcBorders>
              <w:top w:val="single" w:sz="4" w:space="0" w:color="auto"/>
              <w:left w:val="nil"/>
              <w:bottom w:val="single" w:sz="4" w:space="0" w:color="auto"/>
              <w:right w:val="nil"/>
            </w:tcBorders>
          </w:tcPr>
          <w:p w14:paraId="2A5792C7" w14:textId="77777777" w:rsidR="007068C5" w:rsidRPr="00F4226B" w:rsidRDefault="007068C5" w:rsidP="00E34861">
            <w:pPr>
              <w:spacing w:after="0" w:line="240" w:lineRule="auto"/>
              <w:jc w:val="center"/>
              <w:rPr>
                <w:rFonts w:ascii="Times New Roman" w:hAnsi="Times New Roman"/>
                <w:sz w:val="18"/>
                <w:szCs w:val="18"/>
                <w:lang w:val="en-US"/>
              </w:rPr>
            </w:pPr>
          </w:p>
        </w:tc>
        <w:tc>
          <w:tcPr>
            <w:tcW w:w="0" w:type="auto"/>
            <w:tcBorders>
              <w:top w:val="single" w:sz="4" w:space="0" w:color="auto"/>
              <w:left w:val="nil"/>
              <w:bottom w:val="single" w:sz="4" w:space="0" w:color="auto"/>
              <w:right w:val="nil"/>
            </w:tcBorders>
          </w:tcPr>
          <w:p w14:paraId="7CA698C2" w14:textId="77777777" w:rsidR="007068C5" w:rsidRPr="00F4226B" w:rsidRDefault="007068C5" w:rsidP="00E34861">
            <w:pPr>
              <w:spacing w:after="0" w:line="240" w:lineRule="auto"/>
              <w:jc w:val="center"/>
              <w:rPr>
                <w:rFonts w:ascii="Times New Roman" w:hAnsi="Times New Roman"/>
                <w:sz w:val="18"/>
                <w:szCs w:val="18"/>
                <w:lang w:val="en-US"/>
              </w:rPr>
            </w:pPr>
          </w:p>
        </w:tc>
      </w:tr>
      <w:tr w:rsidR="00C7537C" w:rsidRPr="00F4226B" w14:paraId="51E9FAB1" w14:textId="77777777" w:rsidTr="00E34861">
        <w:trPr>
          <w:trHeight w:val="340"/>
        </w:trPr>
        <w:tc>
          <w:tcPr>
            <w:tcW w:w="2740" w:type="dxa"/>
            <w:tcBorders>
              <w:top w:val="single" w:sz="4" w:space="0" w:color="auto"/>
              <w:left w:val="nil"/>
              <w:bottom w:val="nil"/>
              <w:right w:val="nil"/>
            </w:tcBorders>
            <w:shd w:val="clear" w:color="auto" w:fill="auto"/>
          </w:tcPr>
          <w:p w14:paraId="0DEA9C02" w14:textId="77777777" w:rsidR="00C7537C"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Earnings: </w:t>
            </w:r>
          </w:p>
          <w:p w14:paraId="7ABC8293" w14:textId="07A5D87A" w:rsidR="007068C5" w:rsidRPr="00F4226B" w:rsidRDefault="00C7537C"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w:t>
            </w:r>
            <w:r w:rsidR="007068C5" w:rsidRPr="00F4226B">
              <w:rPr>
                <w:rFonts w:ascii="Times New Roman" w:hAnsi="Times New Roman"/>
                <w:sz w:val="18"/>
                <w:szCs w:val="18"/>
                <w:lang w:val="en-US"/>
              </w:rPr>
              <w:t>Entire pooled sample</w:t>
            </w:r>
          </w:p>
        </w:tc>
        <w:tc>
          <w:tcPr>
            <w:tcW w:w="1067" w:type="dxa"/>
            <w:tcBorders>
              <w:top w:val="single" w:sz="4" w:space="0" w:color="auto"/>
              <w:left w:val="nil"/>
              <w:bottom w:val="nil"/>
              <w:right w:val="nil"/>
            </w:tcBorders>
            <w:shd w:val="clear" w:color="auto" w:fill="auto"/>
          </w:tcPr>
          <w:p w14:paraId="19AD281C" w14:textId="77777777" w:rsidR="00C7537C" w:rsidRPr="00F4226B" w:rsidRDefault="00C7537C" w:rsidP="00E34861">
            <w:pPr>
              <w:spacing w:after="0" w:line="240" w:lineRule="auto"/>
              <w:jc w:val="right"/>
              <w:rPr>
                <w:rFonts w:ascii="Times New Roman" w:hAnsi="Times New Roman"/>
                <w:sz w:val="18"/>
                <w:szCs w:val="18"/>
                <w:lang w:val="en-US"/>
              </w:rPr>
            </w:pPr>
          </w:p>
          <w:p w14:paraId="2CEA4A86"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134.14</w:t>
            </w:r>
          </w:p>
        </w:tc>
        <w:tc>
          <w:tcPr>
            <w:tcW w:w="936" w:type="dxa"/>
            <w:tcBorders>
              <w:top w:val="single" w:sz="4" w:space="0" w:color="auto"/>
              <w:left w:val="nil"/>
              <w:bottom w:val="nil"/>
              <w:right w:val="nil"/>
            </w:tcBorders>
            <w:shd w:val="clear" w:color="auto" w:fill="auto"/>
          </w:tcPr>
          <w:p w14:paraId="22E8857A" w14:textId="77777777" w:rsidR="00C7537C" w:rsidRPr="00F4226B" w:rsidRDefault="00C7537C" w:rsidP="00E34861">
            <w:pPr>
              <w:spacing w:after="0" w:line="240" w:lineRule="auto"/>
              <w:jc w:val="right"/>
              <w:rPr>
                <w:rFonts w:ascii="Times New Roman" w:hAnsi="Times New Roman"/>
                <w:sz w:val="18"/>
                <w:szCs w:val="18"/>
                <w:lang w:val="en-US"/>
              </w:rPr>
            </w:pPr>
          </w:p>
          <w:p w14:paraId="3339B9BE"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1,270.07</w:t>
            </w:r>
          </w:p>
        </w:tc>
        <w:tc>
          <w:tcPr>
            <w:tcW w:w="909" w:type="dxa"/>
            <w:tcBorders>
              <w:top w:val="single" w:sz="4" w:space="0" w:color="auto"/>
              <w:left w:val="nil"/>
              <w:bottom w:val="nil"/>
              <w:right w:val="nil"/>
            </w:tcBorders>
            <w:shd w:val="clear" w:color="auto" w:fill="auto"/>
          </w:tcPr>
          <w:p w14:paraId="7AEA7BEE" w14:textId="77777777" w:rsidR="00C7537C" w:rsidRPr="00F4226B" w:rsidRDefault="00C7537C" w:rsidP="00E34861">
            <w:pPr>
              <w:spacing w:after="0" w:line="240" w:lineRule="auto"/>
              <w:jc w:val="right"/>
              <w:rPr>
                <w:rFonts w:ascii="Times New Roman" w:hAnsi="Times New Roman"/>
                <w:sz w:val="18"/>
                <w:szCs w:val="18"/>
                <w:lang w:val="en-US"/>
              </w:rPr>
            </w:pPr>
          </w:p>
          <w:p w14:paraId="4897774E"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-1,089.00</w:t>
            </w:r>
          </w:p>
        </w:tc>
        <w:tc>
          <w:tcPr>
            <w:tcW w:w="1026" w:type="dxa"/>
            <w:tcBorders>
              <w:top w:val="single" w:sz="4" w:space="0" w:color="auto"/>
              <w:left w:val="nil"/>
              <w:bottom w:val="nil"/>
              <w:right w:val="nil"/>
            </w:tcBorders>
            <w:shd w:val="clear" w:color="auto" w:fill="auto"/>
          </w:tcPr>
          <w:p w14:paraId="10A14E94" w14:textId="77777777" w:rsidR="00C7537C" w:rsidRPr="00F4226B" w:rsidRDefault="00C7537C" w:rsidP="00E34861">
            <w:pPr>
              <w:spacing w:after="0" w:line="240" w:lineRule="auto"/>
              <w:jc w:val="right"/>
              <w:rPr>
                <w:rFonts w:ascii="Times New Roman" w:hAnsi="Times New Roman"/>
                <w:sz w:val="18"/>
                <w:szCs w:val="18"/>
                <w:lang w:val="en-US"/>
              </w:rPr>
            </w:pPr>
          </w:p>
          <w:p w14:paraId="75C8B789"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17,128.00</w:t>
            </w:r>
          </w:p>
        </w:tc>
        <w:tc>
          <w:tcPr>
            <w:tcW w:w="1011" w:type="dxa"/>
            <w:tcBorders>
              <w:top w:val="single" w:sz="4" w:space="0" w:color="auto"/>
              <w:left w:val="nil"/>
              <w:bottom w:val="nil"/>
              <w:right w:val="nil"/>
            </w:tcBorders>
            <w:shd w:val="clear" w:color="auto" w:fill="auto"/>
          </w:tcPr>
          <w:p w14:paraId="175033A6" w14:textId="77777777" w:rsidR="00C7537C" w:rsidRPr="00F4226B" w:rsidRDefault="00C7537C" w:rsidP="00E34861">
            <w:pPr>
              <w:spacing w:after="0" w:line="240" w:lineRule="auto"/>
              <w:jc w:val="right"/>
              <w:rPr>
                <w:rFonts w:ascii="Times New Roman" w:hAnsi="Times New Roman"/>
                <w:sz w:val="18"/>
                <w:szCs w:val="18"/>
                <w:lang w:val="en-US"/>
              </w:rPr>
            </w:pPr>
          </w:p>
          <w:p w14:paraId="3035F88F"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.042</w:t>
            </w:r>
          </w:p>
        </w:tc>
        <w:tc>
          <w:tcPr>
            <w:tcW w:w="660" w:type="dxa"/>
            <w:tcBorders>
              <w:top w:val="single" w:sz="4" w:space="0" w:color="auto"/>
              <w:left w:val="nil"/>
              <w:bottom w:val="nil"/>
              <w:right w:val="nil"/>
            </w:tcBorders>
          </w:tcPr>
          <w:p w14:paraId="7ADA1D66" w14:textId="77777777" w:rsidR="00C7537C" w:rsidRPr="00F4226B" w:rsidRDefault="00C7537C" w:rsidP="00E34861">
            <w:pPr>
              <w:spacing w:after="0" w:line="240" w:lineRule="auto"/>
              <w:jc w:val="right"/>
              <w:rPr>
                <w:rFonts w:ascii="Times New Roman" w:hAnsi="Times New Roman"/>
                <w:sz w:val="18"/>
                <w:szCs w:val="18"/>
                <w:lang w:val="en-US"/>
              </w:rPr>
            </w:pPr>
          </w:p>
          <w:p w14:paraId="218D4E1B"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.225</w:t>
            </w:r>
          </w:p>
        </w:tc>
        <w:tc>
          <w:tcPr>
            <w:tcW w:w="636" w:type="dxa"/>
            <w:tcBorders>
              <w:top w:val="single" w:sz="4" w:space="0" w:color="auto"/>
              <w:left w:val="nil"/>
              <w:bottom w:val="nil"/>
              <w:right w:val="nil"/>
            </w:tcBorders>
          </w:tcPr>
          <w:p w14:paraId="1CA6D7CE" w14:textId="77777777" w:rsidR="00C7537C" w:rsidRPr="00F4226B" w:rsidRDefault="00C7537C" w:rsidP="00E34861">
            <w:pPr>
              <w:spacing w:after="0" w:line="240" w:lineRule="auto"/>
              <w:jc w:val="right"/>
              <w:rPr>
                <w:rFonts w:ascii="Times New Roman" w:hAnsi="Times New Roman"/>
                <w:sz w:val="18"/>
                <w:szCs w:val="18"/>
                <w:lang w:val="en-US"/>
              </w:rPr>
            </w:pPr>
          </w:p>
          <w:p w14:paraId="44FA3893"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-.641</w:t>
            </w:r>
          </w:p>
        </w:tc>
        <w:tc>
          <w:tcPr>
            <w:tcW w:w="0" w:type="auto"/>
            <w:tcBorders>
              <w:top w:val="single" w:sz="4" w:space="0" w:color="auto"/>
              <w:left w:val="nil"/>
              <w:bottom w:val="nil"/>
              <w:right w:val="nil"/>
            </w:tcBorders>
          </w:tcPr>
          <w:p w14:paraId="47B1B627" w14:textId="77777777" w:rsidR="00C7537C" w:rsidRPr="00F4226B" w:rsidRDefault="00C7537C" w:rsidP="00E34861">
            <w:pPr>
              <w:spacing w:after="0" w:line="240" w:lineRule="auto"/>
              <w:jc w:val="right"/>
              <w:rPr>
                <w:rFonts w:ascii="Times New Roman" w:hAnsi="Times New Roman"/>
                <w:sz w:val="18"/>
                <w:szCs w:val="18"/>
                <w:lang w:val="en-US"/>
              </w:rPr>
            </w:pPr>
          </w:p>
          <w:p w14:paraId="4E594647"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2.14</w:t>
            </w:r>
          </w:p>
        </w:tc>
      </w:tr>
      <w:tr w:rsidR="00C7537C" w:rsidRPr="00F4226B" w14:paraId="7DC09896" w14:textId="77777777" w:rsidTr="00E34861">
        <w:trPr>
          <w:trHeight w:val="340"/>
        </w:trPr>
        <w:tc>
          <w:tcPr>
            <w:tcW w:w="2740" w:type="dxa"/>
            <w:tcBorders>
              <w:top w:val="nil"/>
              <w:left w:val="nil"/>
              <w:bottom w:val="nil"/>
              <w:right w:val="nil"/>
            </w:tcBorders>
            <w:shd w:val="clear" w:color="auto" w:fill="auto"/>
          </w:tcPr>
          <w:p w14:paraId="18433D88" w14:textId="77777777" w:rsidR="007068C5"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Low inflation period</w:t>
            </w:r>
          </w:p>
        </w:tc>
        <w:tc>
          <w:tcPr>
            <w:tcW w:w="1067" w:type="dxa"/>
            <w:tcBorders>
              <w:top w:val="nil"/>
              <w:left w:val="nil"/>
              <w:bottom w:val="nil"/>
              <w:right w:val="nil"/>
            </w:tcBorders>
            <w:shd w:val="clear" w:color="auto" w:fill="auto"/>
          </w:tcPr>
          <w:p w14:paraId="669C4D17"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1.19</w:t>
            </w:r>
          </w:p>
        </w:tc>
        <w:tc>
          <w:tcPr>
            <w:tcW w:w="936" w:type="dxa"/>
            <w:tcBorders>
              <w:top w:val="nil"/>
              <w:left w:val="nil"/>
              <w:bottom w:val="nil"/>
              <w:right w:val="nil"/>
            </w:tcBorders>
            <w:shd w:val="clear" w:color="auto" w:fill="auto"/>
          </w:tcPr>
          <w:p w14:paraId="15465E86"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9.84</w:t>
            </w:r>
          </w:p>
        </w:tc>
        <w:tc>
          <w:tcPr>
            <w:tcW w:w="909" w:type="dxa"/>
            <w:tcBorders>
              <w:top w:val="nil"/>
              <w:left w:val="nil"/>
              <w:bottom w:val="nil"/>
              <w:right w:val="nil"/>
            </w:tcBorders>
            <w:shd w:val="clear" w:color="auto" w:fill="auto"/>
          </w:tcPr>
          <w:p w14:paraId="47A4F520"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-35.27</w:t>
            </w:r>
          </w:p>
        </w:tc>
        <w:tc>
          <w:tcPr>
            <w:tcW w:w="1026" w:type="dxa"/>
            <w:tcBorders>
              <w:top w:val="nil"/>
              <w:left w:val="nil"/>
              <w:bottom w:val="nil"/>
              <w:right w:val="nil"/>
            </w:tcBorders>
            <w:shd w:val="clear" w:color="auto" w:fill="auto"/>
          </w:tcPr>
          <w:p w14:paraId="1E5C9A2E"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28.51</w:t>
            </w:r>
          </w:p>
        </w:tc>
        <w:tc>
          <w:tcPr>
            <w:tcW w:w="1011" w:type="dxa"/>
            <w:tcBorders>
              <w:top w:val="nil"/>
              <w:left w:val="nil"/>
              <w:bottom w:val="nil"/>
              <w:right w:val="nil"/>
            </w:tcBorders>
            <w:shd w:val="clear" w:color="auto" w:fill="auto"/>
          </w:tcPr>
          <w:p w14:paraId="61938A1C"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.022</w:t>
            </w:r>
          </w:p>
        </w:tc>
        <w:tc>
          <w:tcPr>
            <w:tcW w:w="660" w:type="dxa"/>
            <w:tcBorders>
              <w:top w:val="nil"/>
              <w:left w:val="nil"/>
              <w:bottom w:val="nil"/>
              <w:right w:val="nil"/>
            </w:tcBorders>
          </w:tcPr>
          <w:p w14:paraId="7426453C"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.179</w:t>
            </w:r>
          </w:p>
        </w:tc>
        <w:tc>
          <w:tcPr>
            <w:tcW w:w="636" w:type="dxa"/>
            <w:tcBorders>
              <w:top w:val="nil"/>
              <w:left w:val="nil"/>
              <w:bottom w:val="nil"/>
              <w:right w:val="nil"/>
            </w:tcBorders>
          </w:tcPr>
          <w:p w14:paraId="7B3B12AB"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-.641</w:t>
            </w:r>
          </w:p>
        </w:tc>
        <w:tc>
          <w:tcPr>
            <w:tcW w:w="0" w:type="auto"/>
            <w:tcBorders>
              <w:top w:val="nil"/>
              <w:left w:val="nil"/>
              <w:bottom w:val="nil"/>
              <w:right w:val="nil"/>
            </w:tcBorders>
          </w:tcPr>
          <w:p w14:paraId="24481E56"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.518</w:t>
            </w:r>
          </w:p>
        </w:tc>
      </w:tr>
      <w:tr w:rsidR="00C7537C" w:rsidRPr="00F4226B" w14:paraId="63903C2F" w14:textId="77777777" w:rsidTr="00E34861">
        <w:trPr>
          <w:trHeight w:val="340"/>
        </w:trPr>
        <w:tc>
          <w:tcPr>
            <w:tcW w:w="2740" w:type="dxa"/>
            <w:tcBorders>
              <w:top w:val="nil"/>
              <w:left w:val="nil"/>
              <w:bottom w:val="nil"/>
              <w:right w:val="nil"/>
            </w:tcBorders>
            <w:shd w:val="clear" w:color="auto" w:fill="auto"/>
          </w:tcPr>
          <w:p w14:paraId="60AAC068" w14:textId="77777777" w:rsidR="007068C5"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High inflation period</w:t>
            </w:r>
          </w:p>
        </w:tc>
        <w:tc>
          <w:tcPr>
            <w:tcW w:w="1067" w:type="dxa"/>
            <w:tcBorders>
              <w:top w:val="nil"/>
              <w:left w:val="nil"/>
              <w:bottom w:val="nil"/>
              <w:right w:val="nil"/>
            </w:tcBorders>
            <w:shd w:val="clear" w:color="auto" w:fill="auto"/>
          </w:tcPr>
          <w:p w14:paraId="11A430D3"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230.29</w:t>
            </w:r>
          </w:p>
        </w:tc>
        <w:tc>
          <w:tcPr>
            <w:tcW w:w="936" w:type="dxa"/>
            <w:tcBorders>
              <w:top w:val="nil"/>
              <w:left w:val="nil"/>
              <w:bottom w:val="nil"/>
              <w:right w:val="nil"/>
            </w:tcBorders>
            <w:shd w:val="clear" w:color="auto" w:fill="auto"/>
          </w:tcPr>
          <w:p w14:paraId="62F1B65D"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1,663.70</w:t>
            </w:r>
          </w:p>
        </w:tc>
        <w:tc>
          <w:tcPr>
            <w:tcW w:w="909" w:type="dxa"/>
            <w:tcBorders>
              <w:top w:val="nil"/>
              <w:left w:val="nil"/>
              <w:bottom w:val="nil"/>
              <w:right w:val="nil"/>
            </w:tcBorders>
            <w:shd w:val="clear" w:color="auto" w:fill="auto"/>
          </w:tcPr>
          <w:p w14:paraId="6DEDF1F6"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-1,089.00</w:t>
            </w:r>
          </w:p>
        </w:tc>
        <w:tc>
          <w:tcPr>
            <w:tcW w:w="1026" w:type="dxa"/>
            <w:tcBorders>
              <w:top w:val="nil"/>
              <w:left w:val="nil"/>
              <w:bottom w:val="nil"/>
              <w:right w:val="nil"/>
            </w:tcBorders>
            <w:shd w:val="clear" w:color="auto" w:fill="auto"/>
          </w:tcPr>
          <w:p w14:paraId="5C6864F3"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17,128.00</w:t>
            </w:r>
          </w:p>
        </w:tc>
        <w:tc>
          <w:tcPr>
            <w:tcW w:w="1011" w:type="dxa"/>
            <w:tcBorders>
              <w:top w:val="nil"/>
              <w:left w:val="nil"/>
              <w:bottom w:val="nil"/>
              <w:right w:val="nil"/>
            </w:tcBorders>
            <w:shd w:val="clear" w:color="auto" w:fill="auto"/>
          </w:tcPr>
          <w:p w14:paraId="2BF59E69"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.056</w:t>
            </w:r>
          </w:p>
        </w:tc>
        <w:tc>
          <w:tcPr>
            <w:tcW w:w="660" w:type="dxa"/>
            <w:tcBorders>
              <w:top w:val="nil"/>
              <w:left w:val="nil"/>
              <w:bottom w:val="nil"/>
              <w:right w:val="nil"/>
            </w:tcBorders>
          </w:tcPr>
          <w:p w14:paraId="08CAFDB6"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.253</w:t>
            </w:r>
          </w:p>
        </w:tc>
        <w:tc>
          <w:tcPr>
            <w:tcW w:w="636" w:type="dxa"/>
            <w:tcBorders>
              <w:top w:val="nil"/>
              <w:left w:val="nil"/>
              <w:bottom w:val="nil"/>
              <w:right w:val="nil"/>
            </w:tcBorders>
          </w:tcPr>
          <w:p w14:paraId="6E73E13E"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-.174</w:t>
            </w:r>
          </w:p>
        </w:tc>
        <w:tc>
          <w:tcPr>
            <w:tcW w:w="0" w:type="auto"/>
            <w:tcBorders>
              <w:top w:val="nil"/>
              <w:left w:val="nil"/>
              <w:bottom w:val="nil"/>
              <w:right w:val="nil"/>
            </w:tcBorders>
          </w:tcPr>
          <w:p w14:paraId="6E94F537"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2.141</w:t>
            </w:r>
          </w:p>
        </w:tc>
      </w:tr>
      <w:tr w:rsidR="00C7537C" w:rsidRPr="00F4226B" w14:paraId="2DCB203C" w14:textId="77777777" w:rsidTr="00E34861">
        <w:trPr>
          <w:trHeight w:val="340"/>
        </w:trPr>
        <w:tc>
          <w:tcPr>
            <w:tcW w:w="2740" w:type="dxa"/>
            <w:tcBorders>
              <w:top w:val="nil"/>
              <w:left w:val="nil"/>
              <w:bottom w:val="nil"/>
              <w:right w:val="nil"/>
            </w:tcBorders>
            <w:shd w:val="clear" w:color="auto" w:fill="auto"/>
          </w:tcPr>
          <w:p w14:paraId="006E7FCA" w14:textId="77777777" w:rsidR="00C7537C"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Book values: </w:t>
            </w:r>
          </w:p>
          <w:p w14:paraId="2F61C4FF" w14:textId="42016994" w:rsidR="007068C5" w:rsidRPr="00F4226B" w:rsidRDefault="00C7537C"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w:t>
            </w:r>
            <w:r w:rsidR="00F4226B">
              <w:rPr>
                <w:rFonts w:ascii="Times New Roman" w:hAnsi="Times New Roman"/>
                <w:sz w:val="18"/>
                <w:szCs w:val="18"/>
                <w:lang w:val="en-US"/>
              </w:rPr>
              <w:t xml:space="preserve">…. </w:t>
            </w:r>
            <w:r w:rsidRPr="00F4226B">
              <w:rPr>
                <w:rFonts w:ascii="Times New Roman" w:hAnsi="Times New Roman"/>
                <w:sz w:val="18"/>
                <w:szCs w:val="18"/>
                <w:lang w:val="en-US"/>
              </w:rPr>
              <w:t xml:space="preserve"> </w:t>
            </w:r>
            <w:r w:rsidR="007068C5" w:rsidRPr="00F4226B">
              <w:rPr>
                <w:rFonts w:ascii="Times New Roman" w:hAnsi="Times New Roman"/>
                <w:sz w:val="18"/>
                <w:szCs w:val="18"/>
                <w:lang w:val="en-US"/>
              </w:rPr>
              <w:t>Entire pooled sample</w:t>
            </w:r>
          </w:p>
        </w:tc>
        <w:tc>
          <w:tcPr>
            <w:tcW w:w="1067" w:type="dxa"/>
            <w:tcBorders>
              <w:top w:val="nil"/>
              <w:left w:val="nil"/>
              <w:bottom w:val="nil"/>
              <w:right w:val="nil"/>
            </w:tcBorders>
            <w:shd w:val="clear" w:color="auto" w:fill="auto"/>
          </w:tcPr>
          <w:p w14:paraId="0123AF3F" w14:textId="77777777" w:rsidR="00C7537C" w:rsidRPr="00F4226B" w:rsidRDefault="00C7537C" w:rsidP="00E34861">
            <w:pPr>
              <w:spacing w:after="0" w:line="240" w:lineRule="auto"/>
              <w:jc w:val="right"/>
              <w:rPr>
                <w:rFonts w:ascii="Times New Roman" w:hAnsi="Times New Roman"/>
                <w:sz w:val="18"/>
                <w:szCs w:val="18"/>
                <w:lang w:val="en-US"/>
              </w:rPr>
            </w:pPr>
          </w:p>
          <w:p w14:paraId="54CF3005"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1,534.36</w:t>
            </w:r>
          </w:p>
        </w:tc>
        <w:tc>
          <w:tcPr>
            <w:tcW w:w="936" w:type="dxa"/>
            <w:tcBorders>
              <w:top w:val="nil"/>
              <w:left w:val="nil"/>
              <w:bottom w:val="nil"/>
              <w:right w:val="nil"/>
            </w:tcBorders>
            <w:shd w:val="clear" w:color="auto" w:fill="auto"/>
          </w:tcPr>
          <w:p w14:paraId="5106A24F" w14:textId="77777777" w:rsidR="00C7537C" w:rsidRPr="00F4226B" w:rsidRDefault="00C7537C" w:rsidP="00E34861">
            <w:pPr>
              <w:spacing w:after="0" w:line="240" w:lineRule="auto"/>
              <w:jc w:val="right"/>
              <w:rPr>
                <w:rFonts w:ascii="Times New Roman" w:hAnsi="Times New Roman"/>
                <w:sz w:val="18"/>
                <w:szCs w:val="18"/>
                <w:lang w:val="en-US"/>
              </w:rPr>
            </w:pPr>
          </w:p>
          <w:p w14:paraId="2B72114D"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6,012.54</w:t>
            </w:r>
          </w:p>
        </w:tc>
        <w:tc>
          <w:tcPr>
            <w:tcW w:w="909" w:type="dxa"/>
            <w:tcBorders>
              <w:top w:val="nil"/>
              <w:left w:val="nil"/>
              <w:bottom w:val="nil"/>
              <w:right w:val="nil"/>
            </w:tcBorders>
            <w:shd w:val="clear" w:color="auto" w:fill="auto"/>
          </w:tcPr>
          <w:p w14:paraId="068D80CD" w14:textId="77777777" w:rsidR="00C7537C" w:rsidRPr="00F4226B" w:rsidRDefault="00C7537C" w:rsidP="00E34861">
            <w:pPr>
              <w:spacing w:after="0" w:line="240" w:lineRule="auto"/>
              <w:jc w:val="right"/>
              <w:rPr>
                <w:rFonts w:ascii="Times New Roman" w:hAnsi="Times New Roman"/>
                <w:sz w:val="18"/>
                <w:szCs w:val="18"/>
                <w:lang w:val="en-US"/>
              </w:rPr>
            </w:pPr>
          </w:p>
          <w:p w14:paraId="520E7683"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.753</w:t>
            </w:r>
          </w:p>
        </w:tc>
        <w:tc>
          <w:tcPr>
            <w:tcW w:w="1026" w:type="dxa"/>
            <w:tcBorders>
              <w:top w:val="nil"/>
              <w:left w:val="nil"/>
              <w:bottom w:val="nil"/>
              <w:right w:val="nil"/>
            </w:tcBorders>
            <w:shd w:val="clear" w:color="auto" w:fill="auto"/>
          </w:tcPr>
          <w:p w14:paraId="7D92FE14" w14:textId="77777777" w:rsidR="00C7537C" w:rsidRPr="00F4226B" w:rsidRDefault="00C7537C" w:rsidP="00E34861">
            <w:pPr>
              <w:spacing w:after="0" w:line="240" w:lineRule="auto"/>
              <w:jc w:val="right"/>
              <w:rPr>
                <w:rFonts w:ascii="Times New Roman" w:hAnsi="Times New Roman"/>
                <w:sz w:val="18"/>
                <w:szCs w:val="18"/>
                <w:lang w:val="en-US"/>
              </w:rPr>
            </w:pPr>
          </w:p>
          <w:p w14:paraId="0FE55AA2"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53,436.41</w:t>
            </w:r>
          </w:p>
        </w:tc>
        <w:tc>
          <w:tcPr>
            <w:tcW w:w="1011" w:type="dxa"/>
            <w:tcBorders>
              <w:top w:val="nil"/>
              <w:left w:val="nil"/>
              <w:bottom w:val="nil"/>
              <w:right w:val="nil"/>
            </w:tcBorders>
            <w:shd w:val="clear" w:color="auto" w:fill="auto"/>
          </w:tcPr>
          <w:p w14:paraId="0B2A3BA8" w14:textId="77777777" w:rsidR="00C7537C" w:rsidRPr="00F4226B" w:rsidRDefault="00C7537C" w:rsidP="00E34861">
            <w:pPr>
              <w:spacing w:after="0" w:line="240" w:lineRule="auto"/>
              <w:jc w:val="right"/>
              <w:rPr>
                <w:rFonts w:ascii="Times New Roman" w:hAnsi="Times New Roman"/>
                <w:sz w:val="18"/>
                <w:szCs w:val="18"/>
                <w:lang w:val="en-US"/>
              </w:rPr>
            </w:pPr>
          </w:p>
          <w:p w14:paraId="6CD2A090"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.604</w:t>
            </w:r>
          </w:p>
        </w:tc>
        <w:tc>
          <w:tcPr>
            <w:tcW w:w="660" w:type="dxa"/>
            <w:tcBorders>
              <w:top w:val="nil"/>
              <w:left w:val="nil"/>
              <w:bottom w:val="nil"/>
              <w:right w:val="nil"/>
            </w:tcBorders>
          </w:tcPr>
          <w:p w14:paraId="6E3F4F34" w14:textId="77777777" w:rsidR="00C7537C" w:rsidRPr="00F4226B" w:rsidRDefault="00C7537C" w:rsidP="00E34861">
            <w:pPr>
              <w:spacing w:after="0" w:line="240" w:lineRule="auto"/>
              <w:jc w:val="right"/>
              <w:rPr>
                <w:rFonts w:ascii="Times New Roman" w:hAnsi="Times New Roman"/>
                <w:sz w:val="18"/>
                <w:szCs w:val="18"/>
                <w:lang w:val="en-US"/>
              </w:rPr>
            </w:pPr>
          </w:p>
          <w:p w14:paraId="6766987D" w14:textId="77777777" w:rsidR="007068C5" w:rsidRPr="00F4226B" w:rsidRDefault="007068C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1.152</w:t>
            </w:r>
          </w:p>
        </w:tc>
        <w:tc>
          <w:tcPr>
            <w:tcW w:w="636" w:type="dxa"/>
            <w:tcBorders>
              <w:top w:val="nil"/>
              <w:left w:val="nil"/>
              <w:bottom w:val="nil"/>
              <w:right w:val="nil"/>
            </w:tcBorders>
          </w:tcPr>
          <w:p w14:paraId="0DCE806B" w14:textId="77777777" w:rsidR="00C7537C" w:rsidRPr="00F4226B" w:rsidRDefault="00C7537C" w:rsidP="00E34861">
            <w:pPr>
              <w:spacing w:after="0" w:line="240" w:lineRule="auto"/>
              <w:jc w:val="right"/>
              <w:rPr>
                <w:rFonts w:ascii="Times New Roman" w:hAnsi="Times New Roman"/>
                <w:sz w:val="18"/>
                <w:szCs w:val="18"/>
                <w:lang w:val="en-US"/>
              </w:rPr>
            </w:pPr>
          </w:p>
          <w:p w14:paraId="65F4EE11"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.003</w:t>
            </w:r>
          </w:p>
        </w:tc>
        <w:tc>
          <w:tcPr>
            <w:tcW w:w="0" w:type="auto"/>
            <w:tcBorders>
              <w:top w:val="nil"/>
              <w:left w:val="nil"/>
              <w:bottom w:val="nil"/>
              <w:right w:val="nil"/>
            </w:tcBorders>
          </w:tcPr>
          <w:p w14:paraId="46214C88" w14:textId="77777777" w:rsidR="00C7537C" w:rsidRPr="00F4226B" w:rsidRDefault="00C7537C" w:rsidP="00E34861">
            <w:pPr>
              <w:spacing w:after="0" w:line="240" w:lineRule="auto"/>
              <w:jc w:val="right"/>
              <w:rPr>
                <w:rFonts w:ascii="Times New Roman" w:hAnsi="Times New Roman"/>
                <w:sz w:val="18"/>
                <w:szCs w:val="18"/>
                <w:lang w:val="en-US"/>
              </w:rPr>
            </w:pPr>
          </w:p>
          <w:p w14:paraId="005DE948"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8.756</w:t>
            </w:r>
          </w:p>
        </w:tc>
      </w:tr>
      <w:tr w:rsidR="00C7537C" w:rsidRPr="00F4226B" w14:paraId="418A0CE1" w14:textId="77777777" w:rsidTr="00E34861">
        <w:trPr>
          <w:trHeight w:val="340"/>
        </w:trPr>
        <w:tc>
          <w:tcPr>
            <w:tcW w:w="2740" w:type="dxa"/>
            <w:tcBorders>
              <w:top w:val="nil"/>
              <w:left w:val="nil"/>
              <w:bottom w:val="nil"/>
              <w:right w:val="nil"/>
            </w:tcBorders>
            <w:shd w:val="clear" w:color="auto" w:fill="auto"/>
          </w:tcPr>
          <w:p w14:paraId="64A076A9" w14:textId="77777777" w:rsidR="007068C5"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Low inflation period</w:t>
            </w:r>
          </w:p>
        </w:tc>
        <w:tc>
          <w:tcPr>
            <w:tcW w:w="1067" w:type="dxa"/>
            <w:tcBorders>
              <w:top w:val="nil"/>
              <w:left w:val="nil"/>
              <w:bottom w:val="nil"/>
              <w:right w:val="nil"/>
            </w:tcBorders>
            <w:shd w:val="clear" w:color="auto" w:fill="auto"/>
          </w:tcPr>
          <w:p w14:paraId="7AF529F3"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42.26</w:t>
            </w:r>
          </w:p>
        </w:tc>
        <w:tc>
          <w:tcPr>
            <w:tcW w:w="936" w:type="dxa"/>
            <w:tcBorders>
              <w:top w:val="nil"/>
              <w:left w:val="nil"/>
              <w:bottom w:val="nil"/>
              <w:right w:val="nil"/>
            </w:tcBorders>
            <w:shd w:val="clear" w:color="auto" w:fill="auto"/>
          </w:tcPr>
          <w:p w14:paraId="2A575972"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71.59</w:t>
            </w:r>
          </w:p>
        </w:tc>
        <w:tc>
          <w:tcPr>
            <w:tcW w:w="909" w:type="dxa"/>
            <w:tcBorders>
              <w:top w:val="nil"/>
              <w:left w:val="nil"/>
              <w:bottom w:val="nil"/>
              <w:right w:val="nil"/>
            </w:tcBorders>
            <w:shd w:val="clear" w:color="auto" w:fill="auto"/>
          </w:tcPr>
          <w:p w14:paraId="740F4227"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.753</w:t>
            </w:r>
          </w:p>
        </w:tc>
        <w:tc>
          <w:tcPr>
            <w:tcW w:w="1026" w:type="dxa"/>
            <w:tcBorders>
              <w:top w:val="nil"/>
              <w:left w:val="nil"/>
              <w:bottom w:val="nil"/>
              <w:right w:val="nil"/>
            </w:tcBorders>
            <w:shd w:val="clear" w:color="auto" w:fill="auto"/>
          </w:tcPr>
          <w:p w14:paraId="0869C6E9"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481.59</w:t>
            </w:r>
          </w:p>
        </w:tc>
        <w:tc>
          <w:tcPr>
            <w:tcW w:w="1011" w:type="dxa"/>
            <w:tcBorders>
              <w:top w:val="nil"/>
              <w:left w:val="nil"/>
              <w:bottom w:val="nil"/>
              <w:right w:val="nil"/>
            </w:tcBorders>
            <w:shd w:val="clear" w:color="auto" w:fill="auto"/>
          </w:tcPr>
          <w:p w14:paraId="5D008C1E"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.784</w:t>
            </w:r>
          </w:p>
        </w:tc>
        <w:tc>
          <w:tcPr>
            <w:tcW w:w="660" w:type="dxa"/>
            <w:tcBorders>
              <w:top w:val="nil"/>
              <w:left w:val="nil"/>
              <w:bottom w:val="nil"/>
              <w:right w:val="nil"/>
            </w:tcBorders>
          </w:tcPr>
          <w:p w14:paraId="790C52EE"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1.307</w:t>
            </w:r>
          </w:p>
        </w:tc>
        <w:tc>
          <w:tcPr>
            <w:tcW w:w="636" w:type="dxa"/>
            <w:tcBorders>
              <w:top w:val="nil"/>
              <w:left w:val="nil"/>
              <w:bottom w:val="nil"/>
              <w:right w:val="nil"/>
            </w:tcBorders>
          </w:tcPr>
          <w:p w14:paraId="68D67436"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.016</w:t>
            </w:r>
          </w:p>
        </w:tc>
        <w:tc>
          <w:tcPr>
            <w:tcW w:w="0" w:type="auto"/>
            <w:tcBorders>
              <w:top w:val="nil"/>
              <w:left w:val="nil"/>
              <w:bottom w:val="nil"/>
              <w:right w:val="nil"/>
            </w:tcBorders>
          </w:tcPr>
          <w:p w14:paraId="06353049"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8.756</w:t>
            </w:r>
          </w:p>
        </w:tc>
      </w:tr>
      <w:tr w:rsidR="00C7537C" w:rsidRPr="00F4226B" w14:paraId="6B9A83EA" w14:textId="77777777" w:rsidTr="00E34861">
        <w:trPr>
          <w:trHeight w:val="340"/>
        </w:trPr>
        <w:tc>
          <w:tcPr>
            <w:tcW w:w="2740" w:type="dxa"/>
            <w:tcBorders>
              <w:top w:val="nil"/>
              <w:left w:val="nil"/>
              <w:bottom w:val="nil"/>
              <w:right w:val="nil"/>
            </w:tcBorders>
            <w:shd w:val="clear" w:color="auto" w:fill="auto"/>
          </w:tcPr>
          <w:p w14:paraId="681CDB98" w14:textId="77777777" w:rsidR="007068C5"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High inflation period</w:t>
            </w:r>
          </w:p>
        </w:tc>
        <w:tc>
          <w:tcPr>
            <w:tcW w:w="1067" w:type="dxa"/>
            <w:tcBorders>
              <w:top w:val="nil"/>
              <w:left w:val="nil"/>
              <w:bottom w:val="nil"/>
              <w:right w:val="nil"/>
            </w:tcBorders>
            <w:shd w:val="clear" w:color="auto" w:fill="auto"/>
          </w:tcPr>
          <w:p w14:paraId="3621377A"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2,613.47</w:t>
            </w:r>
          </w:p>
        </w:tc>
        <w:tc>
          <w:tcPr>
            <w:tcW w:w="936" w:type="dxa"/>
            <w:tcBorders>
              <w:top w:val="nil"/>
              <w:left w:val="nil"/>
              <w:bottom w:val="nil"/>
              <w:right w:val="nil"/>
            </w:tcBorders>
            <w:shd w:val="clear" w:color="auto" w:fill="auto"/>
          </w:tcPr>
          <w:p w14:paraId="335A1452"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7,728.36</w:t>
            </w:r>
          </w:p>
        </w:tc>
        <w:tc>
          <w:tcPr>
            <w:tcW w:w="909" w:type="dxa"/>
            <w:tcBorders>
              <w:top w:val="nil"/>
              <w:left w:val="nil"/>
              <w:bottom w:val="nil"/>
              <w:right w:val="nil"/>
            </w:tcBorders>
            <w:shd w:val="clear" w:color="auto" w:fill="auto"/>
          </w:tcPr>
          <w:p w14:paraId="21CA4ED4"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2.264</w:t>
            </w:r>
          </w:p>
        </w:tc>
        <w:tc>
          <w:tcPr>
            <w:tcW w:w="1026" w:type="dxa"/>
            <w:tcBorders>
              <w:top w:val="nil"/>
              <w:left w:val="nil"/>
              <w:bottom w:val="nil"/>
              <w:right w:val="nil"/>
            </w:tcBorders>
            <w:shd w:val="clear" w:color="auto" w:fill="auto"/>
          </w:tcPr>
          <w:p w14:paraId="693EE7F7"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53,436.41</w:t>
            </w:r>
          </w:p>
        </w:tc>
        <w:tc>
          <w:tcPr>
            <w:tcW w:w="1011" w:type="dxa"/>
            <w:tcBorders>
              <w:top w:val="nil"/>
              <w:left w:val="nil"/>
              <w:bottom w:val="nil"/>
              <w:right w:val="nil"/>
            </w:tcBorders>
            <w:shd w:val="clear" w:color="auto" w:fill="auto"/>
          </w:tcPr>
          <w:p w14:paraId="2D55DD7A"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.473</w:t>
            </w:r>
          </w:p>
        </w:tc>
        <w:tc>
          <w:tcPr>
            <w:tcW w:w="660" w:type="dxa"/>
            <w:tcBorders>
              <w:top w:val="nil"/>
              <w:left w:val="nil"/>
              <w:bottom w:val="nil"/>
              <w:right w:val="nil"/>
            </w:tcBorders>
          </w:tcPr>
          <w:p w14:paraId="521E56A1"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1.012</w:t>
            </w:r>
          </w:p>
        </w:tc>
        <w:tc>
          <w:tcPr>
            <w:tcW w:w="636" w:type="dxa"/>
            <w:tcBorders>
              <w:top w:val="nil"/>
              <w:left w:val="nil"/>
              <w:bottom w:val="nil"/>
              <w:right w:val="nil"/>
            </w:tcBorders>
          </w:tcPr>
          <w:p w14:paraId="70EE3900"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.003</w:t>
            </w:r>
          </w:p>
        </w:tc>
        <w:tc>
          <w:tcPr>
            <w:tcW w:w="0" w:type="auto"/>
            <w:tcBorders>
              <w:top w:val="nil"/>
              <w:left w:val="nil"/>
              <w:bottom w:val="nil"/>
              <w:right w:val="nil"/>
            </w:tcBorders>
          </w:tcPr>
          <w:p w14:paraId="7E0D9F05" w14:textId="77777777" w:rsidR="007068C5" w:rsidRPr="00F4226B" w:rsidRDefault="00764A34"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6.679</w:t>
            </w:r>
          </w:p>
        </w:tc>
      </w:tr>
      <w:tr w:rsidR="00C7537C" w:rsidRPr="00F4226B" w14:paraId="625FE824" w14:textId="77777777" w:rsidTr="00E34861">
        <w:trPr>
          <w:trHeight w:val="340"/>
        </w:trPr>
        <w:tc>
          <w:tcPr>
            <w:tcW w:w="2740" w:type="dxa"/>
            <w:tcBorders>
              <w:top w:val="nil"/>
              <w:left w:val="nil"/>
              <w:bottom w:val="single" w:sz="4" w:space="0" w:color="auto"/>
              <w:right w:val="nil"/>
            </w:tcBorders>
            <w:shd w:val="clear" w:color="auto" w:fill="auto"/>
          </w:tcPr>
          <w:p w14:paraId="21C3A703" w14:textId="77777777" w:rsidR="007068C5" w:rsidRPr="00F4226B" w:rsidRDefault="007068C5" w:rsidP="00E34861">
            <w:pPr>
              <w:spacing w:after="0" w:line="240" w:lineRule="auto"/>
              <w:ind w:left="-108"/>
              <w:rPr>
                <w:rFonts w:ascii="Times New Roman" w:hAnsi="Times New Roman"/>
                <w:sz w:val="18"/>
                <w:szCs w:val="18"/>
                <w:lang w:val="en-US"/>
              </w:rPr>
            </w:pPr>
          </w:p>
        </w:tc>
        <w:tc>
          <w:tcPr>
            <w:tcW w:w="1067" w:type="dxa"/>
            <w:tcBorders>
              <w:top w:val="nil"/>
              <w:left w:val="nil"/>
              <w:bottom w:val="single" w:sz="4" w:space="0" w:color="auto"/>
              <w:right w:val="nil"/>
            </w:tcBorders>
            <w:shd w:val="clear" w:color="auto" w:fill="auto"/>
          </w:tcPr>
          <w:p w14:paraId="69EAF36E" w14:textId="77777777" w:rsidR="007068C5" w:rsidRPr="00F4226B" w:rsidRDefault="007068C5" w:rsidP="00E34861">
            <w:pPr>
              <w:spacing w:after="0" w:line="240" w:lineRule="auto"/>
              <w:jc w:val="right"/>
              <w:rPr>
                <w:rFonts w:ascii="Times New Roman" w:hAnsi="Times New Roman"/>
                <w:sz w:val="18"/>
                <w:szCs w:val="18"/>
                <w:lang w:val="en-US"/>
              </w:rPr>
            </w:pPr>
          </w:p>
        </w:tc>
        <w:tc>
          <w:tcPr>
            <w:tcW w:w="936" w:type="dxa"/>
            <w:tcBorders>
              <w:top w:val="nil"/>
              <w:left w:val="nil"/>
              <w:bottom w:val="single" w:sz="4" w:space="0" w:color="auto"/>
              <w:right w:val="nil"/>
            </w:tcBorders>
            <w:shd w:val="clear" w:color="auto" w:fill="auto"/>
          </w:tcPr>
          <w:p w14:paraId="7589BEE4" w14:textId="77777777" w:rsidR="007068C5" w:rsidRPr="00F4226B" w:rsidRDefault="007068C5" w:rsidP="00E34861">
            <w:pPr>
              <w:spacing w:after="0" w:line="240" w:lineRule="auto"/>
              <w:jc w:val="right"/>
              <w:rPr>
                <w:rFonts w:ascii="Times New Roman" w:hAnsi="Times New Roman"/>
                <w:sz w:val="18"/>
                <w:szCs w:val="18"/>
                <w:lang w:val="en-US"/>
              </w:rPr>
            </w:pPr>
          </w:p>
        </w:tc>
        <w:tc>
          <w:tcPr>
            <w:tcW w:w="909" w:type="dxa"/>
            <w:tcBorders>
              <w:top w:val="nil"/>
              <w:left w:val="nil"/>
              <w:bottom w:val="single" w:sz="4" w:space="0" w:color="auto"/>
              <w:right w:val="nil"/>
            </w:tcBorders>
            <w:shd w:val="clear" w:color="auto" w:fill="auto"/>
          </w:tcPr>
          <w:p w14:paraId="406D1B4D" w14:textId="77777777" w:rsidR="007068C5" w:rsidRPr="00F4226B" w:rsidRDefault="007068C5" w:rsidP="00E34861">
            <w:pPr>
              <w:spacing w:after="0" w:line="240" w:lineRule="auto"/>
              <w:jc w:val="right"/>
              <w:rPr>
                <w:rFonts w:ascii="Times New Roman" w:hAnsi="Times New Roman"/>
                <w:sz w:val="18"/>
                <w:szCs w:val="18"/>
                <w:lang w:val="en-US"/>
              </w:rPr>
            </w:pPr>
          </w:p>
        </w:tc>
        <w:tc>
          <w:tcPr>
            <w:tcW w:w="1026" w:type="dxa"/>
            <w:tcBorders>
              <w:top w:val="nil"/>
              <w:left w:val="nil"/>
              <w:bottom w:val="single" w:sz="4" w:space="0" w:color="auto"/>
              <w:right w:val="nil"/>
            </w:tcBorders>
            <w:shd w:val="clear" w:color="auto" w:fill="auto"/>
          </w:tcPr>
          <w:p w14:paraId="34BD3729" w14:textId="77777777" w:rsidR="007068C5" w:rsidRPr="00F4226B" w:rsidRDefault="007068C5" w:rsidP="00E34861">
            <w:pPr>
              <w:spacing w:after="0" w:line="240" w:lineRule="auto"/>
              <w:jc w:val="right"/>
              <w:rPr>
                <w:rFonts w:ascii="Times New Roman" w:hAnsi="Times New Roman"/>
                <w:sz w:val="18"/>
                <w:szCs w:val="18"/>
                <w:lang w:val="en-US"/>
              </w:rPr>
            </w:pPr>
          </w:p>
        </w:tc>
        <w:tc>
          <w:tcPr>
            <w:tcW w:w="1011" w:type="dxa"/>
            <w:tcBorders>
              <w:top w:val="nil"/>
              <w:left w:val="nil"/>
              <w:bottom w:val="single" w:sz="4" w:space="0" w:color="auto"/>
              <w:right w:val="nil"/>
            </w:tcBorders>
            <w:shd w:val="clear" w:color="auto" w:fill="auto"/>
          </w:tcPr>
          <w:p w14:paraId="59F9DFBB" w14:textId="77777777" w:rsidR="007068C5" w:rsidRPr="00F4226B" w:rsidRDefault="007068C5" w:rsidP="00E34861">
            <w:pPr>
              <w:spacing w:after="0" w:line="240" w:lineRule="auto"/>
              <w:jc w:val="right"/>
              <w:rPr>
                <w:rFonts w:ascii="Times New Roman" w:hAnsi="Times New Roman"/>
                <w:sz w:val="18"/>
                <w:szCs w:val="18"/>
                <w:lang w:val="en-US"/>
              </w:rPr>
            </w:pPr>
          </w:p>
        </w:tc>
        <w:tc>
          <w:tcPr>
            <w:tcW w:w="660" w:type="dxa"/>
            <w:tcBorders>
              <w:top w:val="nil"/>
              <w:left w:val="nil"/>
              <w:bottom w:val="single" w:sz="4" w:space="0" w:color="auto"/>
              <w:right w:val="nil"/>
            </w:tcBorders>
          </w:tcPr>
          <w:p w14:paraId="6208FFD8" w14:textId="77777777" w:rsidR="007068C5" w:rsidRPr="00F4226B" w:rsidRDefault="007068C5" w:rsidP="00E34861">
            <w:pPr>
              <w:spacing w:after="0" w:line="240" w:lineRule="auto"/>
              <w:jc w:val="right"/>
              <w:rPr>
                <w:rFonts w:ascii="Times New Roman" w:hAnsi="Times New Roman"/>
                <w:sz w:val="18"/>
                <w:szCs w:val="18"/>
                <w:lang w:val="en-US"/>
              </w:rPr>
            </w:pPr>
          </w:p>
        </w:tc>
        <w:tc>
          <w:tcPr>
            <w:tcW w:w="636" w:type="dxa"/>
            <w:tcBorders>
              <w:top w:val="nil"/>
              <w:left w:val="nil"/>
              <w:bottom w:val="single" w:sz="4" w:space="0" w:color="auto"/>
              <w:right w:val="nil"/>
            </w:tcBorders>
          </w:tcPr>
          <w:p w14:paraId="0E4BE56D" w14:textId="77777777" w:rsidR="007068C5" w:rsidRPr="00F4226B" w:rsidRDefault="007068C5" w:rsidP="00E34861">
            <w:pPr>
              <w:spacing w:after="0" w:line="240" w:lineRule="auto"/>
              <w:jc w:val="right"/>
              <w:rPr>
                <w:rFonts w:ascii="Times New Roman" w:hAnsi="Times New Roman"/>
                <w:sz w:val="18"/>
                <w:szCs w:val="18"/>
                <w:lang w:val="en-US"/>
              </w:rPr>
            </w:pPr>
          </w:p>
        </w:tc>
        <w:tc>
          <w:tcPr>
            <w:tcW w:w="0" w:type="auto"/>
            <w:tcBorders>
              <w:top w:val="nil"/>
              <w:left w:val="nil"/>
              <w:bottom w:val="single" w:sz="4" w:space="0" w:color="auto"/>
              <w:right w:val="nil"/>
            </w:tcBorders>
          </w:tcPr>
          <w:p w14:paraId="10AD45EA" w14:textId="77777777" w:rsidR="007068C5" w:rsidRPr="00F4226B" w:rsidRDefault="007068C5" w:rsidP="00E34861">
            <w:pPr>
              <w:spacing w:after="0" w:line="240" w:lineRule="auto"/>
              <w:jc w:val="right"/>
              <w:rPr>
                <w:rFonts w:ascii="Times New Roman" w:hAnsi="Times New Roman"/>
                <w:sz w:val="18"/>
                <w:szCs w:val="18"/>
                <w:lang w:val="en-US"/>
              </w:rPr>
            </w:pPr>
          </w:p>
        </w:tc>
      </w:tr>
      <w:tr w:rsidR="00C7537C" w:rsidRPr="00F4226B" w14:paraId="671564CD" w14:textId="77777777" w:rsidTr="00E34861">
        <w:trPr>
          <w:trHeight w:val="340"/>
        </w:trPr>
        <w:tc>
          <w:tcPr>
            <w:tcW w:w="3807" w:type="dxa"/>
            <w:gridSpan w:val="2"/>
            <w:tcBorders>
              <w:top w:val="single" w:sz="4" w:space="0" w:color="auto"/>
              <w:left w:val="nil"/>
              <w:bottom w:val="single" w:sz="4" w:space="0" w:color="auto"/>
              <w:right w:val="nil"/>
            </w:tcBorders>
            <w:shd w:val="clear" w:color="auto" w:fill="auto"/>
          </w:tcPr>
          <w:p w14:paraId="14598785" w14:textId="77777777" w:rsidR="007068C5" w:rsidRPr="00F4226B" w:rsidRDefault="007068C5" w:rsidP="00E34861">
            <w:pPr>
              <w:spacing w:after="0" w:line="240" w:lineRule="auto"/>
              <w:ind w:left="-108"/>
              <w:rPr>
                <w:rFonts w:ascii="Times New Roman" w:hAnsi="Times New Roman"/>
                <w:b/>
                <w:sz w:val="18"/>
                <w:szCs w:val="18"/>
                <w:lang w:val="en-US"/>
              </w:rPr>
            </w:pPr>
            <w:r w:rsidRPr="00F4226B">
              <w:rPr>
                <w:rFonts w:ascii="Times New Roman" w:hAnsi="Times New Roman"/>
                <w:b/>
                <w:sz w:val="18"/>
                <w:szCs w:val="18"/>
                <w:lang w:val="en-US"/>
              </w:rPr>
              <w:t>Mean differences (B-C): Pair-wise tests</w:t>
            </w:r>
          </w:p>
        </w:tc>
        <w:tc>
          <w:tcPr>
            <w:tcW w:w="936" w:type="dxa"/>
            <w:tcBorders>
              <w:top w:val="single" w:sz="4" w:space="0" w:color="auto"/>
              <w:left w:val="nil"/>
              <w:bottom w:val="single" w:sz="4" w:space="0" w:color="auto"/>
              <w:right w:val="nil"/>
            </w:tcBorders>
            <w:shd w:val="clear" w:color="auto" w:fill="auto"/>
          </w:tcPr>
          <w:p w14:paraId="49B0B602" w14:textId="77777777" w:rsidR="007068C5" w:rsidRPr="00F4226B" w:rsidRDefault="007068C5" w:rsidP="00E34861">
            <w:pPr>
              <w:spacing w:after="0" w:line="240" w:lineRule="auto"/>
              <w:jc w:val="right"/>
              <w:rPr>
                <w:rFonts w:ascii="Times New Roman" w:hAnsi="Times New Roman"/>
                <w:sz w:val="18"/>
                <w:szCs w:val="18"/>
                <w:lang w:val="en-US"/>
              </w:rPr>
            </w:pPr>
          </w:p>
        </w:tc>
        <w:tc>
          <w:tcPr>
            <w:tcW w:w="909" w:type="dxa"/>
            <w:tcBorders>
              <w:top w:val="single" w:sz="4" w:space="0" w:color="auto"/>
              <w:left w:val="nil"/>
              <w:bottom w:val="single" w:sz="4" w:space="0" w:color="auto"/>
              <w:right w:val="nil"/>
            </w:tcBorders>
            <w:shd w:val="clear" w:color="auto" w:fill="auto"/>
          </w:tcPr>
          <w:p w14:paraId="1B434983" w14:textId="77777777" w:rsidR="007068C5" w:rsidRPr="00F4226B" w:rsidRDefault="007068C5" w:rsidP="00E34861">
            <w:pPr>
              <w:spacing w:after="0" w:line="240" w:lineRule="auto"/>
              <w:jc w:val="right"/>
              <w:rPr>
                <w:rFonts w:ascii="Times New Roman" w:hAnsi="Times New Roman"/>
                <w:sz w:val="18"/>
                <w:szCs w:val="18"/>
                <w:lang w:val="en-US"/>
              </w:rPr>
            </w:pPr>
          </w:p>
        </w:tc>
        <w:tc>
          <w:tcPr>
            <w:tcW w:w="1026" w:type="dxa"/>
            <w:tcBorders>
              <w:top w:val="single" w:sz="4" w:space="0" w:color="auto"/>
              <w:left w:val="nil"/>
              <w:bottom w:val="single" w:sz="4" w:space="0" w:color="auto"/>
              <w:right w:val="nil"/>
            </w:tcBorders>
            <w:shd w:val="clear" w:color="auto" w:fill="auto"/>
          </w:tcPr>
          <w:p w14:paraId="7F67F7CF" w14:textId="77777777" w:rsidR="007068C5" w:rsidRPr="00F4226B" w:rsidRDefault="007068C5" w:rsidP="00E34861">
            <w:pPr>
              <w:spacing w:after="0" w:line="240" w:lineRule="auto"/>
              <w:jc w:val="right"/>
              <w:rPr>
                <w:rFonts w:ascii="Times New Roman" w:hAnsi="Times New Roman"/>
                <w:sz w:val="18"/>
                <w:szCs w:val="18"/>
                <w:lang w:val="en-US"/>
              </w:rPr>
            </w:pPr>
          </w:p>
        </w:tc>
        <w:tc>
          <w:tcPr>
            <w:tcW w:w="1011" w:type="dxa"/>
            <w:tcBorders>
              <w:top w:val="single" w:sz="4" w:space="0" w:color="auto"/>
              <w:left w:val="nil"/>
              <w:bottom w:val="single" w:sz="4" w:space="0" w:color="auto"/>
              <w:right w:val="nil"/>
            </w:tcBorders>
            <w:shd w:val="clear" w:color="auto" w:fill="auto"/>
          </w:tcPr>
          <w:p w14:paraId="529ABC81" w14:textId="77777777" w:rsidR="007068C5" w:rsidRPr="00F4226B" w:rsidRDefault="007068C5" w:rsidP="00E34861">
            <w:pPr>
              <w:spacing w:after="0" w:line="240" w:lineRule="auto"/>
              <w:jc w:val="right"/>
              <w:rPr>
                <w:rFonts w:ascii="Times New Roman" w:hAnsi="Times New Roman"/>
                <w:sz w:val="18"/>
                <w:szCs w:val="18"/>
                <w:lang w:val="en-US"/>
              </w:rPr>
            </w:pPr>
          </w:p>
        </w:tc>
        <w:tc>
          <w:tcPr>
            <w:tcW w:w="660" w:type="dxa"/>
            <w:tcBorders>
              <w:top w:val="single" w:sz="4" w:space="0" w:color="auto"/>
              <w:left w:val="nil"/>
              <w:bottom w:val="single" w:sz="4" w:space="0" w:color="auto"/>
              <w:right w:val="nil"/>
            </w:tcBorders>
          </w:tcPr>
          <w:p w14:paraId="153E87E5" w14:textId="77777777" w:rsidR="007068C5" w:rsidRPr="00F4226B" w:rsidRDefault="007068C5" w:rsidP="00E34861">
            <w:pPr>
              <w:spacing w:after="0" w:line="240" w:lineRule="auto"/>
              <w:jc w:val="right"/>
              <w:rPr>
                <w:rFonts w:ascii="Times New Roman" w:hAnsi="Times New Roman"/>
                <w:sz w:val="18"/>
                <w:szCs w:val="18"/>
                <w:lang w:val="en-US"/>
              </w:rPr>
            </w:pPr>
          </w:p>
        </w:tc>
        <w:tc>
          <w:tcPr>
            <w:tcW w:w="636" w:type="dxa"/>
            <w:tcBorders>
              <w:top w:val="single" w:sz="4" w:space="0" w:color="auto"/>
              <w:left w:val="nil"/>
              <w:bottom w:val="single" w:sz="4" w:space="0" w:color="auto"/>
              <w:right w:val="nil"/>
            </w:tcBorders>
          </w:tcPr>
          <w:p w14:paraId="1AF0064E" w14:textId="77777777" w:rsidR="007068C5" w:rsidRPr="00F4226B" w:rsidRDefault="007068C5" w:rsidP="00E34861">
            <w:pPr>
              <w:spacing w:after="0" w:line="240" w:lineRule="auto"/>
              <w:jc w:val="right"/>
              <w:rPr>
                <w:rFonts w:ascii="Times New Roman" w:hAnsi="Times New Roman"/>
                <w:sz w:val="18"/>
                <w:szCs w:val="18"/>
                <w:lang w:val="en-US"/>
              </w:rPr>
            </w:pPr>
          </w:p>
        </w:tc>
        <w:tc>
          <w:tcPr>
            <w:tcW w:w="0" w:type="auto"/>
            <w:tcBorders>
              <w:top w:val="single" w:sz="4" w:space="0" w:color="auto"/>
              <w:left w:val="nil"/>
              <w:bottom w:val="single" w:sz="4" w:space="0" w:color="auto"/>
              <w:right w:val="nil"/>
            </w:tcBorders>
          </w:tcPr>
          <w:p w14:paraId="052E94F6" w14:textId="77777777" w:rsidR="007068C5" w:rsidRPr="00F4226B" w:rsidRDefault="007068C5" w:rsidP="00E34861">
            <w:pPr>
              <w:spacing w:after="0" w:line="240" w:lineRule="auto"/>
              <w:jc w:val="right"/>
              <w:rPr>
                <w:rFonts w:ascii="Times New Roman" w:hAnsi="Times New Roman"/>
                <w:sz w:val="18"/>
                <w:szCs w:val="18"/>
                <w:lang w:val="en-US"/>
              </w:rPr>
            </w:pPr>
          </w:p>
        </w:tc>
      </w:tr>
      <w:tr w:rsidR="00C7537C" w:rsidRPr="00F4226B" w14:paraId="49E52DBD" w14:textId="77777777" w:rsidTr="00E34861">
        <w:trPr>
          <w:trHeight w:val="340"/>
        </w:trPr>
        <w:tc>
          <w:tcPr>
            <w:tcW w:w="2740" w:type="dxa"/>
            <w:tcBorders>
              <w:top w:val="single" w:sz="4" w:space="0" w:color="auto"/>
              <w:left w:val="nil"/>
              <w:bottom w:val="nil"/>
              <w:right w:val="nil"/>
            </w:tcBorders>
            <w:shd w:val="clear" w:color="auto" w:fill="auto"/>
          </w:tcPr>
          <w:p w14:paraId="7CD4E740" w14:textId="77777777" w:rsidR="00C7537C"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Earnings: </w:t>
            </w:r>
          </w:p>
          <w:p w14:paraId="3AC8F898" w14:textId="16CF2DEB" w:rsidR="007068C5" w:rsidRPr="00F4226B" w:rsidRDefault="00C7537C"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w:t>
            </w:r>
            <w:r w:rsidR="007068C5" w:rsidRPr="00F4226B">
              <w:rPr>
                <w:rFonts w:ascii="Times New Roman" w:hAnsi="Times New Roman"/>
                <w:sz w:val="18"/>
                <w:szCs w:val="18"/>
                <w:lang w:val="en-US"/>
              </w:rPr>
              <w:t>Entire pooled sample</w:t>
            </w:r>
          </w:p>
        </w:tc>
        <w:tc>
          <w:tcPr>
            <w:tcW w:w="1067" w:type="dxa"/>
            <w:tcBorders>
              <w:top w:val="single" w:sz="4" w:space="0" w:color="auto"/>
              <w:left w:val="nil"/>
              <w:bottom w:val="nil"/>
              <w:right w:val="nil"/>
            </w:tcBorders>
            <w:shd w:val="clear" w:color="auto" w:fill="auto"/>
          </w:tcPr>
          <w:p w14:paraId="252142A6" w14:textId="77777777" w:rsidR="00C7537C" w:rsidRPr="00F4226B" w:rsidRDefault="00C7537C" w:rsidP="00E34861">
            <w:pPr>
              <w:spacing w:after="0" w:line="240" w:lineRule="auto"/>
              <w:jc w:val="right"/>
              <w:rPr>
                <w:rFonts w:ascii="Times New Roman" w:hAnsi="Times New Roman"/>
                <w:sz w:val="18"/>
                <w:szCs w:val="18"/>
                <w:lang w:val="en-US"/>
              </w:rPr>
            </w:pPr>
          </w:p>
          <w:p w14:paraId="4AF5BD2E" w14:textId="77777777" w:rsidR="007068C5" w:rsidRPr="00F4226B" w:rsidRDefault="00B2068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3.164***</w:t>
            </w:r>
          </w:p>
        </w:tc>
        <w:tc>
          <w:tcPr>
            <w:tcW w:w="936" w:type="dxa"/>
            <w:tcBorders>
              <w:top w:val="single" w:sz="4" w:space="0" w:color="auto"/>
              <w:left w:val="nil"/>
              <w:bottom w:val="nil"/>
              <w:right w:val="nil"/>
            </w:tcBorders>
            <w:shd w:val="clear" w:color="auto" w:fill="auto"/>
          </w:tcPr>
          <w:p w14:paraId="50675F02" w14:textId="77777777" w:rsidR="007068C5" w:rsidRPr="00F4226B" w:rsidRDefault="007068C5" w:rsidP="00E34861">
            <w:pPr>
              <w:spacing w:after="0" w:line="240" w:lineRule="auto"/>
              <w:jc w:val="right"/>
              <w:rPr>
                <w:rFonts w:ascii="Times New Roman" w:hAnsi="Times New Roman"/>
                <w:sz w:val="18"/>
                <w:szCs w:val="18"/>
                <w:lang w:val="en-US"/>
              </w:rPr>
            </w:pPr>
          </w:p>
        </w:tc>
        <w:tc>
          <w:tcPr>
            <w:tcW w:w="909" w:type="dxa"/>
            <w:tcBorders>
              <w:top w:val="single" w:sz="4" w:space="0" w:color="auto"/>
              <w:left w:val="nil"/>
              <w:bottom w:val="nil"/>
              <w:right w:val="nil"/>
            </w:tcBorders>
            <w:shd w:val="clear" w:color="auto" w:fill="auto"/>
          </w:tcPr>
          <w:p w14:paraId="28B4ACA4" w14:textId="77777777" w:rsidR="007068C5" w:rsidRPr="00F4226B" w:rsidRDefault="007068C5" w:rsidP="00E34861">
            <w:pPr>
              <w:spacing w:after="0" w:line="240" w:lineRule="auto"/>
              <w:jc w:val="right"/>
              <w:rPr>
                <w:rFonts w:ascii="Times New Roman" w:hAnsi="Times New Roman"/>
                <w:sz w:val="18"/>
                <w:szCs w:val="18"/>
                <w:lang w:val="en-US"/>
              </w:rPr>
            </w:pPr>
          </w:p>
        </w:tc>
        <w:tc>
          <w:tcPr>
            <w:tcW w:w="1026" w:type="dxa"/>
            <w:tcBorders>
              <w:top w:val="single" w:sz="4" w:space="0" w:color="auto"/>
              <w:left w:val="nil"/>
              <w:bottom w:val="nil"/>
              <w:right w:val="nil"/>
            </w:tcBorders>
            <w:shd w:val="clear" w:color="auto" w:fill="auto"/>
          </w:tcPr>
          <w:p w14:paraId="364FCC0C" w14:textId="77777777" w:rsidR="007068C5" w:rsidRPr="00F4226B" w:rsidRDefault="007068C5" w:rsidP="00E34861">
            <w:pPr>
              <w:spacing w:after="0" w:line="240" w:lineRule="auto"/>
              <w:jc w:val="right"/>
              <w:rPr>
                <w:rFonts w:ascii="Times New Roman" w:hAnsi="Times New Roman"/>
                <w:sz w:val="18"/>
                <w:szCs w:val="18"/>
                <w:lang w:val="en-US"/>
              </w:rPr>
            </w:pPr>
          </w:p>
        </w:tc>
        <w:tc>
          <w:tcPr>
            <w:tcW w:w="1011" w:type="dxa"/>
            <w:tcBorders>
              <w:top w:val="single" w:sz="4" w:space="0" w:color="auto"/>
              <w:left w:val="nil"/>
              <w:bottom w:val="nil"/>
              <w:right w:val="nil"/>
            </w:tcBorders>
            <w:shd w:val="clear" w:color="auto" w:fill="auto"/>
          </w:tcPr>
          <w:p w14:paraId="0806AF94" w14:textId="77777777" w:rsidR="00C7537C" w:rsidRPr="00F4226B" w:rsidRDefault="00C7537C" w:rsidP="00E34861">
            <w:pPr>
              <w:spacing w:after="0" w:line="240" w:lineRule="auto"/>
              <w:jc w:val="right"/>
              <w:rPr>
                <w:rFonts w:ascii="Times New Roman" w:hAnsi="Times New Roman"/>
                <w:sz w:val="18"/>
                <w:szCs w:val="18"/>
                <w:lang w:val="en-US"/>
              </w:rPr>
            </w:pPr>
          </w:p>
          <w:p w14:paraId="2E53B23D" w14:textId="77777777" w:rsidR="007068C5" w:rsidRPr="00F4226B" w:rsidRDefault="00741CFA"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5.243</w:t>
            </w:r>
            <w:r w:rsidR="001F2F46" w:rsidRPr="00F4226B">
              <w:rPr>
                <w:rFonts w:ascii="Times New Roman" w:hAnsi="Times New Roman"/>
                <w:sz w:val="18"/>
                <w:szCs w:val="18"/>
                <w:lang w:val="en-US"/>
              </w:rPr>
              <w:t>***</w:t>
            </w:r>
          </w:p>
        </w:tc>
        <w:tc>
          <w:tcPr>
            <w:tcW w:w="660" w:type="dxa"/>
            <w:tcBorders>
              <w:top w:val="single" w:sz="4" w:space="0" w:color="auto"/>
              <w:left w:val="nil"/>
              <w:bottom w:val="nil"/>
              <w:right w:val="nil"/>
            </w:tcBorders>
          </w:tcPr>
          <w:p w14:paraId="5BE9ABBF" w14:textId="77777777" w:rsidR="007068C5" w:rsidRPr="00F4226B" w:rsidRDefault="007068C5" w:rsidP="00E34861">
            <w:pPr>
              <w:spacing w:after="0" w:line="240" w:lineRule="auto"/>
              <w:jc w:val="right"/>
              <w:rPr>
                <w:rFonts w:ascii="Times New Roman" w:hAnsi="Times New Roman"/>
                <w:sz w:val="18"/>
                <w:szCs w:val="18"/>
                <w:lang w:val="en-US"/>
              </w:rPr>
            </w:pPr>
          </w:p>
        </w:tc>
        <w:tc>
          <w:tcPr>
            <w:tcW w:w="636" w:type="dxa"/>
            <w:tcBorders>
              <w:top w:val="single" w:sz="4" w:space="0" w:color="auto"/>
              <w:left w:val="nil"/>
              <w:bottom w:val="nil"/>
              <w:right w:val="nil"/>
            </w:tcBorders>
          </w:tcPr>
          <w:p w14:paraId="2E6E9335" w14:textId="77777777" w:rsidR="007068C5" w:rsidRPr="00F4226B" w:rsidRDefault="007068C5" w:rsidP="00E34861">
            <w:pPr>
              <w:spacing w:after="0" w:line="240" w:lineRule="auto"/>
              <w:jc w:val="right"/>
              <w:rPr>
                <w:rFonts w:ascii="Times New Roman" w:hAnsi="Times New Roman"/>
                <w:sz w:val="18"/>
                <w:szCs w:val="18"/>
                <w:lang w:val="en-US"/>
              </w:rPr>
            </w:pPr>
          </w:p>
        </w:tc>
        <w:tc>
          <w:tcPr>
            <w:tcW w:w="0" w:type="auto"/>
            <w:tcBorders>
              <w:top w:val="single" w:sz="4" w:space="0" w:color="auto"/>
              <w:left w:val="nil"/>
              <w:bottom w:val="nil"/>
              <w:right w:val="nil"/>
            </w:tcBorders>
          </w:tcPr>
          <w:p w14:paraId="63122368" w14:textId="77777777" w:rsidR="007068C5" w:rsidRPr="00F4226B" w:rsidRDefault="007068C5" w:rsidP="00E34861">
            <w:pPr>
              <w:spacing w:after="0" w:line="240" w:lineRule="auto"/>
              <w:jc w:val="right"/>
              <w:rPr>
                <w:rFonts w:ascii="Times New Roman" w:hAnsi="Times New Roman"/>
                <w:sz w:val="18"/>
                <w:szCs w:val="18"/>
                <w:lang w:val="en-US"/>
              </w:rPr>
            </w:pPr>
          </w:p>
        </w:tc>
      </w:tr>
      <w:tr w:rsidR="00C7537C" w:rsidRPr="00F4226B" w14:paraId="52BF16B5" w14:textId="77777777" w:rsidTr="00E34861">
        <w:trPr>
          <w:trHeight w:val="180"/>
        </w:trPr>
        <w:tc>
          <w:tcPr>
            <w:tcW w:w="2740" w:type="dxa"/>
            <w:tcBorders>
              <w:top w:val="nil"/>
              <w:left w:val="nil"/>
              <w:bottom w:val="nil"/>
              <w:right w:val="nil"/>
            </w:tcBorders>
            <w:shd w:val="clear" w:color="auto" w:fill="auto"/>
          </w:tcPr>
          <w:p w14:paraId="78188725" w14:textId="77777777" w:rsidR="007068C5"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Low inflation period</w:t>
            </w:r>
          </w:p>
        </w:tc>
        <w:tc>
          <w:tcPr>
            <w:tcW w:w="1067" w:type="dxa"/>
            <w:tcBorders>
              <w:top w:val="nil"/>
              <w:left w:val="nil"/>
              <w:bottom w:val="nil"/>
              <w:right w:val="nil"/>
            </w:tcBorders>
            <w:shd w:val="clear" w:color="auto" w:fill="auto"/>
          </w:tcPr>
          <w:p w14:paraId="60058E53" w14:textId="77777777" w:rsidR="007068C5" w:rsidRPr="00F4226B" w:rsidRDefault="00B2068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3.905***</w:t>
            </w:r>
          </w:p>
        </w:tc>
        <w:tc>
          <w:tcPr>
            <w:tcW w:w="936" w:type="dxa"/>
            <w:tcBorders>
              <w:top w:val="nil"/>
              <w:left w:val="nil"/>
              <w:bottom w:val="nil"/>
              <w:right w:val="nil"/>
            </w:tcBorders>
            <w:shd w:val="clear" w:color="auto" w:fill="auto"/>
          </w:tcPr>
          <w:p w14:paraId="5031F7F8" w14:textId="77777777" w:rsidR="007068C5" w:rsidRPr="00F4226B" w:rsidRDefault="007068C5" w:rsidP="00E34861">
            <w:pPr>
              <w:spacing w:after="0" w:line="240" w:lineRule="auto"/>
              <w:jc w:val="right"/>
              <w:rPr>
                <w:rFonts w:ascii="Times New Roman" w:hAnsi="Times New Roman"/>
                <w:sz w:val="18"/>
                <w:szCs w:val="18"/>
                <w:lang w:val="en-US"/>
              </w:rPr>
            </w:pPr>
          </w:p>
        </w:tc>
        <w:tc>
          <w:tcPr>
            <w:tcW w:w="909" w:type="dxa"/>
            <w:tcBorders>
              <w:top w:val="nil"/>
              <w:left w:val="nil"/>
              <w:bottom w:val="nil"/>
              <w:right w:val="nil"/>
            </w:tcBorders>
            <w:shd w:val="clear" w:color="auto" w:fill="auto"/>
          </w:tcPr>
          <w:p w14:paraId="2802BB90" w14:textId="77777777" w:rsidR="007068C5" w:rsidRPr="00F4226B" w:rsidRDefault="007068C5" w:rsidP="00E34861">
            <w:pPr>
              <w:spacing w:after="0" w:line="240" w:lineRule="auto"/>
              <w:jc w:val="right"/>
              <w:rPr>
                <w:rFonts w:ascii="Times New Roman" w:hAnsi="Times New Roman"/>
                <w:sz w:val="18"/>
                <w:szCs w:val="18"/>
                <w:lang w:val="en-US"/>
              </w:rPr>
            </w:pPr>
          </w:p>
        </w:tc>
        <w:tc>
          <w:tcPr>
            <w:tcW w:w="1026" w:type="dxa"/>
            <w:tcBorders>
              <w:top w:val="nil"/>
              <w:left w:val="nil"/>
              <w:bottom w:val="nil"/>
              <w:right w:val="nil"/>
            </w:tcBorders>
            <w:shd w:val="clear" w:color="auto" w:fill="auto"/>
          </w:tcPr>
          <w:p w14:paraId="0BE24E52" w14:textId="77777777" w:rsidR="007068C5" w:rsidRPr="00F4226B" w:rsidRDefault="007068C5" w:rsidP="00E34861">
            <w:pPr>
              <w:spacing w:after="0" w:line="240" w:lineRule="auto"/>
              <w:jc w:val="right"/>
              <w:rPr>
                <w:rFonts w:ascii="Times New Roman" w:hAnsi="Times New Roman"/>
                <w:sz w:val="18"/>
                <w:szCs w:val="18"/>
                <w:lang w:val="en-US"/>
              </w:rPr>
            </w:pPr>
          </w:p>
        </w:tc>
        <w:tc>
          <w:tcPr>
            <w:tcW w:w="1011" w:type="dxa"/>
            <w:tcBorders>
              <w:top w:val="nil"/>
              <w:left w:val="nil"/>
              <w:bottom w:val="nil"/>
              <w:right w:val="nil"/>
            </w:tcBorders>
            <w:shd w:val="clear" w:color="auto" w:fill="auto"/>
          </w:tcPr>
          <w:p w14:paraId="03E34C73" w14:textId="77777777" w:rsidR="007068C5" w:rsidRPr="00F4226B" w:rsidRDefault="00EA2EFC"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3.952***</w:t>
            </w:r>
          </w:p>
        </w:tc>
        <w:tc>
          <w:tcPr>
            <w:tcW w:w="660" w:type="dxa"/>
            <w:tcBorders>
              <w:top w:val="nil"/>
              <w:left w:val="nil"/>
              <w:bottom w:val="nil"/>
              <w:right w:val="nil"/>
            </w:tcBorders>
          </w:tcPr>
          <w:p w14:paraId="41F89525" w14:textId="77777777" w:rsidR="007068C5" w:rsidRPr="00F4226B" w:rsidRDefault="007068C5" w:rsidP="00E34861">
            <w:pPr>
              <w:spacing w:after="0" w:line="240" w:lineRule="auto"/>
              <w:jc w:val="right"/>
              <w:rPr>
                <w:rFonts w:ascii="Times New Roman" w:hAnsi="Times New Roman"/>
                <w:sz w:val="18"/>
                <w:szCs w:val="18"/>
                <w:lang w:val="en-US"/>
              </w:rPr>
            </w:pPr>
          </w:p>
        </w:tc>
        <w:tc>
          <w:tcPr>
            <w:tcW w:w="636" w:type="dxa"/>
            <w:tcBorders>
              <w:top w:val="nil"/>
              <w:left w:val="nil"/>
              <w:bottom w:val="nil"/>
              <w:right w:val="nil"/>
            </w:tcBorders>
          </w:tcPr>
          <w:p w14:paraId="787E7D36" w14:textId="77777777" w:rsidR="007068C5" w:rsidRPr="00F4226B" w:rsidRDefault="007068C5" w:rsidP="00E34861">
            <w:pPr>
              <w:spacing w:after="0" w:line="240" w:lineRule="auto"/>
              <w:jc w:val="right"/>
              <w:rPr>
                <w:rFonts w:ascii="Times New Roman" w:hAnsi="Times New Roman"/>
                <w:sz w:val="18"/>
                <w:szCs w:val="18"/>
                <w:lang w:val="en-US"/>
              </w:rPr>
            </w:pPr>
          </w:p>
        </w:tc>
        <w:tc>
          <w:tcPr>
            <w:tcW w:w="0" w:type="auto"/>
            <w:tcBorders>
              <w:top w:val="nil"/>
              <w:left w:val="nil"/>
              <w:bottom w:val="nil"/>
              <w:right w:val="nil"/>
            </w:tcBorders>
          </w:tcPr>
          <w:p w14:paraId="2796797A" w14:textId="77777777" w:rsidR="007068C5" w:rsidRPr="00F4226B" w:rsidRDefault="007068C5" w:rsidP="00E34861">
            <w:pPr>
              <w:spacing w:after="0" w:line="240" w:lineRule="auto"/>
              <w:jc w:val="right"/>
              <w:rPr>
                <w:rFonts w:ascii="Times New Roman" w:hAnsi="Times New Roman"/>
                <w:sz w:val="18"/>
                <w:szCs w:val="18"/>
                <w:lang w:val="en-US"/>
              </w:rPr>
            </w:pPr>
          </w:p>
        </w:tc>
      </w:tr>
      <w:tr w:rsidR="00C7537C" w:rsidRPr="00F4226B" w14:paraId="54267F7C" w14:textId="77777777" w:rsidTr="00E34861">
        <w:trPr>
          <w:trHeight w:val="340"/>
        </w:trPr>
        <w:tc>
          <w:tcPr>
            <w:tcW w:w="2740" w:type="dxa"/>
            <w:tcBorders>
              <w:top w:val="nil"/>
              <w:left w:val="nil"/>
              <w:bottom w:val="nil"/>
              <w:right w:val="nil"/>
            </w:tcBorders>
            <w:shd w:val="clear" w:color="auto" w:fill="auto"/>
          </w:tcPr>
          <w:p w14:paraId="07D71259" w14:textId="77777777" w:rsidR="007068C5"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High inflation period</w:t>
            </w:r>
          </w:p>
        </w:tc>
        <w:tc>
          <w:tcPr>
            <w:tcW w:w="1067" w:type="dxa"/>
            <w:tcBorders>
              <w:top w:val="nil"/>
              <w:left w:val="nil"/>
              <w:bottom w:val="nil"/>
              <w:right w:val="nil"/>
            </w:tcBorders>
            <w:shd w:val="clear" w:color="auto" w:fill="auto"/>
          </w:tcPr>
          <w:p w14:paraId="60E785B8" w14:textId="77777777" w:rsidR="007068C5" w:rsidRPr="00F4226B" w:rsidRDefault="00B2068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3.175***</w:t>
            </w:r>
          </w:p>
        </w:tc>
        <w:tc>
          <w:tcPr>
            <w:tcW w:w="936" w:type="dxa"/>
            <w:tcBorders>
              <w:top w:val="nil"/>
              <w:left w:val="nil"/>
              <w:bottom w:val="nil"/>
              <w:right w:val="nil"/>
            </w:tcBorders>
            <w:shd w:val="clear" w:color="auto" w:fill="auto"/>
          </w:tcPr>
          <w:p w14:paraId="2D01D630" w14:textId="77777777" w:rsidR="007068C5" w:rsidRPr="00F4226B" w:rsidRDefault="007068C5" w:rsidP="00E34861">
            <w:pPr>
              <w:spacing w:after="0" w:line="240" w:lineRule="auto"/>
              <w:jc w:val="right"/>
              <w:rPr>
                <w:rFonts w:ascii="Times New Roman" w:hAnsi="Times New Roman"/>
                <w:sz w:val="18"/>
                <w:szCs w:val="18"/>
                <w:lang w:val="en-US"/>
              </w:rPr>
            </w:pPr>
          </w:p>
        </w:tc>
        <w:tc>
          <w:tcPr>
            <w:tcW w:w="909" w:type="dxa"/>
            <w:tcBorders>
              <w:top w:val="nil"/>
              <w:left w:val="nil"/>
              <w:bottom w:val="nil"/>
              <w:right w:val="nil"/>
            </w:tcBorders>
            <w:shd w:val="clear" w:color="auto" w:fill="auto"/>
          </w:tcPr>
          <w:p w14:paraId="3A82A9F5" w14:textId="77777777" w:rsidR="007068C5" w:rsidRPr="00F4226B" w:rsidRDefault="007068C5" w:rsidP="00E34861">
            <w:pPr>
              <w:spacing w:after="0" w:line="240" w:lineRule="auto"/>
              <w:jc w:val="right"/>
              <w:rPr>
                <w:rFonts w:ascii="Times New Roman" w:hAnsi="Times New Roman"/>
                <w:sz w:val="18"/>
                <w:szCs w:val="18"/>
                <w:lang w:val="en-US"/>
              </w:rPr>
            </w:pPr>
          </w:p>
        </w:tc>
        <w:tc>
          <w:tcPr>
            <w:tcW w:w="1026" w:type="dxa"/>
            <w:tcBorders>
              <w:top w:val="nil"/>
              <w:left w:val="nil"/>
              <w:bottom w:val="nil"/>
              <w:right w:val="nil"/>
            </w:tcBorders>
            <w:shd w:val="clear" w:color="auto" w:fill="auto"/>
          </w:tcPr>
          <w:p w14:paraId="41BEF086" w14:textId="77777777" w:rsidR="007068C5" w:rsidRPr="00F4226B" w:rsidRDefault="007068C5" w:rsidP="00E34861">
            <w:pPr>
              <w:spacing w:after="0" w:line="240" w:lineRule="auto"/>
              <w:jc w:val="right"/>
              <w:rPr>
                <w:rFonts w:ascii="Times New Roman" w:hAnsi="Times New Roman"/>
                <w:sz w:val="18"/>
                <w:szCs w:val="18"/>
                <w:lang w:val="en-US"/>
              </w:rPr>
            </w:pPr>
          </w:p>
        </w:tc>
        <w:tc>
          <w:tcPr>
            <w:tcW w:w="1011" w:type="dxa"/>
            <w:tcBorders>
              <w:top w:val="nil"/>
              <w:left w:val="nil"/>
              <w:bottom w:val="nil"/>
              <w:right w:val="nil"/>
            </w:tcBorders>
            <w:shd w:val="clear" w:color="auto" w:fill="auto"/>
          </w:tcPr>
          <w:p w14:paraId="551E1A52" w14:textId="77777777" w:rsidR="007068C5" w:rsidRPr="00F4226B" w:rsidRDefault="00741CFA"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3.514***</w:t>
            </w:r>
          </w:p>
        </w:tc>
        <w:tc>
          <w:tcPr>
            <w:tcW w:w="660" w:type="dxa"/>
            <w:tcBorders>
              <w:top w:val="nil"/>
              <w:left w:val="nil"/>
              <w:bottom w:val="nil"/>
              <w:right w:val="nil"/>
            </w:tcBorders>
          </w:tcPr>
          <w:p w14:paraId="7EE4AD3A" w14:textId="77777777" w:rsidR="007068C5" w:rsidRPr="00F4226B" w:rsidRDefault="007068C5" w:rsidP="00E34861">
            <w:pPr>
              <w:spacing w:after="0" w:line="240" w:lineRule="auto"/>
              <w:jc w:val="right"/>
              <w:rPr>
                <w:rFonts w:ascii="Times New Roman" w:hAnsi="Times New Roman"/>
                <w:sz w:val="18"/>
                <w:szCs w:val="18"/>
                <w:lang w:val="en-US"/>
              </w:rPr>
            </w:pPr>
          </w:p>
        </w:tc>
        <w:tc>
          <w:tcPr>
            <w:tcW w:w="636" w:type="dxa"/>
            <w:tcBorders>
              <w:top w:val="nil"/>
              <w:left w:val="nil"/>
              <w:bottom w:val="nil"/>
              <w:right w:val="nil"/>
            </w:tcBorders>
          </w:tcPr>
          <w:p w14:paraId="25D68A6D" w14:textId="77777777" w:rsidR="007068C5" w:rsidRPr="00F4226B" w:rsidRDefault="007068C5" w:rsidP="00E34861">
            <w:pPr>
              <w:spacing w:after="0" w:line="240" w:lineRule="auto"/>
              <w:jc w:val="right"/>
              <w:rPr>
                <w:rFonts w:ascii="Times New Roman" w:hAnsi="Times New Roman"/>
                <w:sz w:val="18"/>
                <w:szCs w:val="18"/>
                <w:lang w:val="en-US"/>
              </w:rPr>
            </w:pPr>
          </w:p>
        </w:tc>
        <w:tc>
          <w:tcPr>
            <w:tcW w:w="0" w:type="auto"/>
            <w:tcBorders>
              <w:top w:val="nil"/>
              <w:left w:val="nil"/>
              <w:bottom w:val="nil"/>
              <w:right w:val="nil"/>
            </w:tcBorders>
          </w:tcPr>
          <w:p w14:paraId="328930EB" w14:textId="77777777" w:rsidR="007068C5" w:rsidRPr="00F4226B" w:rsidRDefault="007068C5" w:rsidP="00E34861">
            <w:pPr>
              <w:spacing w:after="0" w:line="240" w:lineRule="auto"/>
              <w:jc w:val="right"/>
              <w:rPr>
                <w:rFonts w:ascii="Times New Roman" w:hAnsi="Times New Roman"/>
                <w:sz w:val="18"/>
                <w:szCs w:val="18"/>
                <w:lang w:val="en-US"/>
              </w:rPr>
            </w:pPr>
          </w:p>
        </w:tc>
      </w:tr>
      <w:tr w:rsidR="00C7537C" w:rsidRPr="00F4226B" w14:paraId="39878CD8" w14:textId="77777777" w:rsidTr="00E34861">
        <w:trPr>
          <w:trHeight w:val="340"/>
        </w:trPr>
        <w:tc>
          <w:tcPr>
            <w:tcW w:w="2740" w:type="dxa"/>
            <w:tcBorders>
              <w:top w:val="nil"/>
              <w:left w:val="nil"/>
              <w:bottom w:val="nil"/>
              <w:right w:val="nil"/>
            </w:tcBorders>
            <w:shd w:val="clear" w:color="auto" w:fill="auto"/>
          </w:tcPr>
          <w:p w14:paraId="038A6902" w14:textId="77777777" w:rsidR="00C7537C"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Book values: </w:t>
            </w:r>
          </w:p>
          <w:p w14:paraId="63F5A943" w14:textId="4B3C3A9E" w:rsidR="007068C5" w:rsidRPr="00F4226B" w:rsidRDefault="00C7537C"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w:t>
            </w:r>
            <w:r w:rsidR="00F4226B">
              <w:rPr>
                <w:rFonts w:ascii="Times New Roman" w:hAnsi="Times New Roman"/>
                <w:sz w:val="18"/>
                <w:szCs w:val="18"/>
                <w:lang w:val="en-US"/>
              </w:rPr>
              <w:t xml:space="preserve">. </w:t>
            </w:r>
            <w:r w:rsidRPr="00F4226B">
              <w:rPr>
                <w:rFonts w:ascii="Times New Roman" w:hAnsi="Times New Roman"/>
                <w:sz w:val="18"/>
                <w:szCs w:val="18"/>
                <w:lang w:val="en-US"/>
              </w:rPr>
              <w:t xml:space="preserve">  </w:t>
            </w:r>
            <w:r w:rsidR="007068C5" w:rsidRPr="00F4226B">
              <w:rPr>
                <w:rFonts w:ascii="Times New Roman" w:hAnsi="Times New Roman"/>
                <w:sz w:val="18"/>
                <w:szCs w:val="18"/>
                <w:lang w:val="en-US"/>
              </w:rPr>
              <w:t>Entire pooled sample</w:t>
            </w:r>
          </w:p>
        </w:tc>
        <w:tc>
          <w:tcPr>
            <w:tcW w:w="1067" w:type="dxa"/>
            <w:tcBorders>
              <w:top w:val="nil"/>
              <w:left w:val="nil"/>
              <w:bottom w:val="nil"/>
              <w:right w:val="nil"/>
            </w:tcBorders>
            <w:shd w:val="clear" w:color="auto" w:fill="auto"/>
          </w:tcPr>
          <w:p w14:paraId="1132D7F2" w14:textId="77777777" w:rsidR="00C7537C" w:rsidRPr="00F4226B" w:rsidRDefault="00C7537C" w:rsidP="00E34861">
            <w:pPr>
              <w:spacing w:after="0" w:line="240" w:lineRule="auto"/>
              <w:jc w:val="right"/>
              <w:rPr>
                <w:rFonts w:ascii="Times New Roman" w:hAnsi="Times New Roman"/>
                <w:sz w:val="18"/>
                <w:szCs w:val="18"/>
                <w:lang w:val="en-US"/>
              </w:rPr>
            </w:pPr>
          </w:p>
          <w:p w14:paraId="626B5AC9" w14:textId="77777777" w:rsidR="007068C5" w:rsidRPr="00F4226B" w:rsidRDefault="00B2068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-3.195***</w:t>
            </w:r>
          </w:p>
        </w:tc>
        <w:tc>
          <w:tcPr>
            <w:tcW w:w="936" w:type="dxa"/>
            <w:tcBorders>
              <w:top w:val="nil"/>
              <w:left w:val="nil"/>
              <w:bottom w:val="nil"/>
              <w:right w:val="nil"/>
            </w:tcBorders>
            <w:shd w:val="clear" w:color="auto" w:fill="auto"/>
          </w:tcPr>
          <w:p w14:paraId="4B86BCFE" w14:textId="77777777" w:rsidR="007068C5" w:rsidRPr="00F4226B" w:rsidRDefault="007068C5" w:rsidP="00E34861">
            <w:pPr>
              <w:spacing w:after="0" w:line="240" w:lineRule="auto"/>
              <w:jc w:val="right"/>
              <w:rPr>
                <w:rFonts w:ascii="Times New Roman" w:hAnsi="Times New Roman"/>
                <w:sz w:val="18"/>
                <w:szCs w:val="18"/>
                <w:lang w:val="en-US"/>
              </w:rPr>
            </w:pPr>
          </w:p>
        </w:tc>
        <w:tc>
          <w:tcPr>
            <w:tcW w:w="909" w:type="dxa"/>
            <w:tcBorders>
              <w:top w:val="nil"/>
              <w:left w:val="nil"/>
              <w:bottom w:val="nil"/>
              <w:right w:val="nil"/>
            </w:tcBorders>
            <w:shd w:val="clear" w:color="auto" w:fill="auto"/>
          </w:tcPr>
          <w:p w14:paraId="0B0D2C4D" w14:textId="77777777" w:rsidR="007068C5" w:rsidRPr="00F4226B" w:rsidRDefault="007068C5" w:rsidP="00E34861">
            <w:pPr>
              <w:spacing w:after="0" w:line="240" w:lineRule="auto"/>
              <w:jc w:val="right"/>
              <w:rPr>
                <w:rFonts w:ascii="Times New Roman" w:hAnsi="Times New Roman"/>
                <w:sz w:val="18"/>
                <w:szCs w:val="18"/>
                <w:lang w:val="en-US"/>
              </w:rPr>
            </w:pPr>
          </w:p>
        </w:tc>
        <w:tc>
          <w:tcPr>
            <w:tcW w:w="1026" w:type="dxa"/>
            <w:tcBorders>
              <w:top w:val="nil"/>
              <w:left w:val="nil"/>
              <w:bottom w:val="nil"/>
              <w:right w:val="nil"/>
            </w:tcBorders>
            <w:shd w:val="clear" w:color="auto" w:fill="auto"/>
          </w:tcPr>
          <w:p w14:paraId="13693927" w14:textId="77777777" w:rsidR="007068C5" w:rsidRPr="00F4226B" w:rsidRDefault="007068C5" w:rsidP="00E34861">
            <w:pPr>
              <w:spacing w:after="0" w:line="240" w:lineRule="auto"/>
              <w:jc w:val="right"/>
              <w:rPr>
                <w:rFonts w:ascii="Times New Roman" w:hAnsi="Times New Roman"/>
                <w:sz w:val="18"/>
                <w:szCs w:val="18"/>
                <w:lang w:val="en-US"/>
              </w:rPr>
            </w:pPr>
          </w:p>
        </w:tc>
        <w:tc>
          <w:tcPr>
            <w:tcW w:w="1011" w:type="dxa"/>
            <w:tcBorders>
              <w:top w:val="nil"/>
              <w:left w:val="nil"/>
              <w:bottom w:val="nil"/>
              <w:right w:val="nil"/>
            </w:tcBorders>
            <w:shd w:val="clear" w:color="auto" w:fill="auto"/>
          </w:tcPr>
          <w:p w14:paraId="66931802" w14:textId="77777777" w:rsidR="00C7537C" w:rsidRPr="00F4226B" w:rsidRDefault="00C7537C" w:rsidP="00E34861">
            <w:pPr>
              <w:spacing w:after="0" w:line="240" w:lineRule="auto"/>
              <w:jc w:val="right"/>
              <w:rPr>
                <w:rFonts w:ascii="Times New Roman" w:hAnsi="Times New Roman"/>
                <w:sz w:val="18"/>
                <w:szCs w:val="18"/>
                <w:lang w:val="en-US"/>
              </w:rPr>
            </w:pPr>
          </w:p>
          <w:p w14:paraId="46C242F7" w14:textId="77777777" w:rsidR="007068C5" w:rsidRPr="00F4226B" w:rsidRDefault="00741CFA"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-7.102</w:t>
            </w:r>
            <w:r w:rsidR="001F2F46" w:rsidRPr="00F4226B">
              <w:rPr>
                <w:rFonts w:ascii="Times New Roman" w:hAnsi="Times New Roman"/>
                <w:sz w:val="18"/>
                <w:szCs w:val="18"/>
                <w:lang w:val="en-US"/>
              </w:rPr>
              <w:t>***</w:t>
            </w:r>
          </w:p>
        </w:tc>
        <w:tc>
          <w:tcPr>
            <w:tcW w:w="660" w:type="dxa"/>
            <w:tcBorders>
              <w:top w:val="nil"/>
              <w:left w:val="nil"/>
              <w:bottom w:val="nil"/>
              <w:right w:val="nil"/>
            </w:tcBorders>
          </w:tcPr>
          <w:p w14:paraId="258FE79B" w14:textId="77777777" w:rsidR="007068C5" w:rsidRPr="00F4226B" w:rsidRDefault="007068C5" w:rsidP="00E34861">
            <w:pPr>
              <w:spacing w:after="0" w:line="240" w:lineRule="auto"/>
              <w:jc w:val="right"/>
              <w:rPr>
                <w:rFonts w:ascii="Times New Roman" w:hAnsi="Times New Roman"/>
                <w:sz w:val="18"/>
                <w:szCs w:val="18"/>
                <w:lang w:val="en-US"/>
              </w:rPr>
            </w:pPr>
          </w:p>
        </w:tc>
        <w:tc>
          <w:tcPr>
            <w:tcW w:w="636" w:type="dxa"/>
            <w:tcBorders>
              <w:top w:val="nil"/>
              <w:left w:val="nil"/>
              <w:bottom w:val="nil"/>
              <w:right w:val="nil"/>
            </w:tcBorders>
          </w:tcPr>
          <w:p w14:paraId="1CB4F20A" w14:textId="77777777" w:rsidR="007068C5" w:rsidRPr="00F4226B" w:rsidRDefault="007068C5" w:rsidP="00E34861">
            <w:pPr>
              <w:spacing w:after="0" w:line="240" w:lineRule="auto"/>
              <w:jc w:val="right"/>
              <w:rPr>
                <w:rFonts w:ascii="Times New Roman" w:hAnsi="Times New Roman"/>
                <w:sz w:val="18"/>
                <w:szCs w:val="18"/>
                <w:lang w:val="en-US"/>
              </w:rPr>
            </w:pPr>
          </w:p>
        </w:tc>
        <w:tc>
          <w:tcPr>
            <w:tcW w:w="0" w:type="auto"/>
            <w:tcBorders>
              <w:top w:val="nil"/>
              <w:left w:val="nil"/>
              <w:bottom w:val="nil"/>
              <w:right w:val="nil"/>
            </w:tcBorders>
          </w:tcPr>
          <w:p w14:paraId="64B61D1B" w14:textId="77777777" w:rsidR="007068C5" w:rsidRPr="00F4226B" w:rsidRDefault="007068C5" w:rsidP="00E34861">
            <w:pPr>
              <w:spacing w:after="0" w:line="240" w:lineRule="auto"/>
              <w:jc w:val="right"/>
              <w:rPr>
                <w:rFonts w:ascii="Times New Roman" w:hAnsi="Times New Roman"/>
                <w:sz w:val="18"/>
                <w:szCs w:val="18"/>
                <w:lang w:val="en-US"/>
              </w:rPr>
            </w:pPr>
          </w:p>
        </w:tc>
      </w:tr>
      <w:tr w:rsidR="00C7537C" w:rsidRPr="00F4226B" w14:paraId="2668E236" w14:textId="77777777" w:rsidTr="00E34861">
        <w:trPr>
          <w:trHeight w:val="166"/>
        </w:trPr>
        <w:tc>
          <w:tcPr>
            <w:tcW w:w="2740" w:type="dxa"/>
            <w:tcBorders>
              <w:top w:val="nil"/>
              <w:left w:val="nil"/>
              <w:bottom w:val="nil"/>
              <w:right w:val="nil"/>
            </w:tcBorders>
            <w:shd w:val="clear" w:color="auto" w:fill="auto"/>
          </w:tcPr>
          <w:p w14:paraId="203313DC" w14:textId="77777777" w:rsidR="007068C5"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Low inflation period</w:t>
            </w:r>
          </w:p>
        </w:tc>
        <w:tc>
          <w:tcPr>
            <w:tcW w:w="1067" w:type="dxa"/>
            <w:tcBorders>
              <w:top w:val="nil"/>
              <w:left w:val="nil"/>
              <w:bottom w:val="nil"/>
              <w:right w:val="nil"/>
            </w:tcBorders>
            <w:shd w:val="clear" w:color="auto" w:fill="auto"/>
          </w:tcPr>
          <w:p w14:paraId="628DAD25" w14:textId="77777777" w:rsidR="007068C5" w:rsidRPr="00F4226B" w:rsidRDefault="00B2068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-5.455***</w:t>
            </w:r>
          </w:p>
        </w:tc>
        <w:tc>
          <w:tcPr>
            <w:tcW w:w="936" w:type="dxa"/>
            <w:tcBorders>
              <w:top w:val="nil"/>
              <w:left w:val="nil"/>
              <w:bottom w:val="nil"/>
              <w:right w:val="nil"/>
            </w:tcBorders>
            <w:shd w:val="clear" w:color="auto" w:fill="auto"/>
          </w:tcPr>
          <w:p w14:paraId="7038568E" w14:textId="77777777" w:rsidR="007068C5" w:rsidRPr="00F4226B" w:rsidRDefault="007068C5" w:rsidP="00E34861">
            <w:pPr>
              <w:spacing w:after="0" w:line="240" w:lineRule="auto"/>
              <w:jc w:val="right"/>
              <w:rPr>
                <w:rFonts w:ascii="Times New Roman" w:hAnsi="Times New Roman"/>
                <w:sz w:val="18"/>
                <w:szCs w:val="18"/>
                <w:lang w:val="en-US"/>
              </w:rPr>
            </w:pPr>
          </w:p>
        </w:tc>
        <w:tc>
          <w:tcPr>
            <w:tcW w:w="909" w:type="dxa"/>
            <w:tcBorders>
              <w:top w:val="nil"/>
              <w:left w:val="nil"/>
              <w:bottom w:val="nil"/>
              <w:right w:val="nil"/>
            </w:tcBorders>
            <w:shd w:val="clear" w:color="auto" w:fill="auto"/>
          </w:tcPr>
          <w:p w14:paraId="3C5D77ED" w14:textId="77777777" w:rsidR="007068C5" w:rsidRPr="00F4226B" w:rsidRDefault="007068C5" w:rsidP="00E34861">
            <w:pPr>
              <w:spacing w:after="0" w:line="240" w:lineRule="auto"/>
              <w:jc w:val="right"/>
              <w:rPr>
                <w:rFonts w:ascii="Times New Roman" w:hAnsi="Times New Roman"/>
                <w:sz w:val="18"/>
                <w:szCs w:val="18"/>
                <w:lang w:val="en-US"/>
              </w:rPr>
            </w:pPr>
          </w:p>
        </w:tc>
        <w:tc>
          <w:tcPr>
            <w:tcW w:w="1026" w:type="dxa"/>
            <w:tcBorders>
              <w:top w:val="nil"/>
              <w:left w:val="nil"/>
              <w:bottom w:val="nil"/>
              <w:right w:val="nil"/>
            </w:tcBorders>
            <w:shd w:val="clear" w:color="auto" w:fill="auto"/>
          </w:tcPr>
          <w:p w14:paraId="68CEA021" w14:textId="77777777" w:rsidR="007068C5" w:rsidRPr="00F4226B" w:rsidRDefault="007068C5" w:rsidP="00E34861">
            <w:pPr>
              <w:spacing w:after="0" w:line="240" w:lineRule="auto"/>
              <w:jc w:val="right"/>
              <w:rPr>
                <w:rFonts w:ascii="Times New Roman" w:hAnsi="Times New Roman"/>
                <w:sz w:val="18"/>
                <w:szCs w:val="18"/>
                <w:lang w:val="en-US"/>
              </w:rPr>
            </w:pPr>
          </w:p>
        </w:tc>
        <w:tc>
          <w:tcPr>
            <w:tcW w:w="1011" w:type="dxa"/>
            <w:tcBorders>
              <w:top w:val="nil"/>
              <w:left w:val="nil"/>
              <w:bottom w:val="nil"/>
              <w:right w:val="nil"/>
            </w:tcBorders>
            <w:shd w:val="clear" w:color="auto" w:fill="auto"/>
          </w:tcPr>
          <w:p w14:paraId="59E1F471" w14:textId="77777777" w:rsidR="007068C5" w:rsidRPr="00F4226B" w:rsidRDefault="00EA2EFC"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-5.546***</w:t>
            </w:r>
          </w:p>
        </w:tc>
        <w:tc>
          <w:tcPr>
            <w:tcW w:w="660" w:type="dxa"/>
            <w:tcBorders>
              <w:top w:val="nil"/>
              <w:left w:val="nil"/>
              <w:bottom w:val="nil"/>
              <w:right w:val="nil"/>
            </w:tcBorders>
          </w:tcPr>
          <w:p w14:paraId="4C6B86D1" w14:textId="77777777" w:rsidR="007068C5" w:rsidRPr="00F4226B" w:rsidRDefault="007068C5" w:rsidP="00E34861">
            <w:pPr>
              <w:spacing w:after="0" w:line="240" w:lineRule="auto"/>
              <w:jc w:val="right"/>
              <w:rPr>
                <w:rFonts w:ascii="Times New Roman" w:hAnsi="Times New Roman"/>
                <w:sz w:val="18"/>
                <w:szCs w:val="18"/>
                <w:lang w:val="en-US"/>
              </w:rPr>
            </w:pPr>
          </w:p>
        </w:tc>
        <w:tc>
          <w:tcPr>
            <w:tcW w:w="636" w:type="dxa"/>
            <w:tcBorders>
              <w:top w:val="nil"/>
              <w:left w:val="nil"/>
              <w:bottom w:val="nil"/>
              <w:right w:val="nil"/>
            </w:tcBorders>
          </w:tcPr>
          <w:p w14:paraId="541FCBC1" w14:textId="77777777" w:rsidR="007068C5" w:rsidRPr="00F4226B" w:rsidRDefault="007068C5" w:rsidP="00E34861">
            <w:pPr>
              <w:spacing w:after="0" w:line="240" w:lineRule="auto"/>
              <w:jc w:val="right"/>
              <w:rPr>
                <w:rFonts w:ascii="Times New Roman" w:hAnsi="Times New Roman"/>
                <w:sz w:val="18"/>
                <w:szCs w:val="18"/>
                <w:lang w:val="en-US"/>
              </w:rPr>
            </w:pPr>
          </w:p>
        </w:tc>
        <w:tc>
          <w:tcPr>
            <w:tcW w:w="0" w:type="auto"/>
            <w:tcBorders>
              <w:top w:val="nil"/>
              <w:left w:val="nil"/>
              <w:bottom w:val="nil"/>
              <w:right w:val="nil"/>
            </w:tcBorders>
          </w:tcPr>
          <w:p w14:paraId="62D87E0F" w14:textId="77777777" w:rsidR="007068C5" w:rsidRPr="00F4226B" w:rsidRDefault="007068C5" w:rsidP="00E34861">
            <w:pPr>
              <w:spacing w:after="0" w:line="240" w:lineRule="auto"/>
              <w:jc w:val="right"/>
              <w:rPr>
                <w:rFonts w:ascii="Times New Roman" w:hAnsi="Times New Roman"/>
                <w:sz w:val="18"/>
                <w:szCs w:val="18"/>
                <w:lang w:val="en-US"/>
              </w:rPr>
            </w:pPr>
          </w:p>
        </w:tc>
      </w:tr>
      <w:tr w:rsidR="00C7537C" w:rsidRPr="00F4226B" w14:paraId="1C5CAD6E" w14:textId="77777777" w:rsidTr="00E34861">
        <w:trPr>
          <w:trHeight w:val="340"/>
        </w:trPr>
        <w:tc>
          <w:tcPr>
            <w:tcW w:w="2740" w:type="dxa"/>
            <w:tcBorders>
              <w:top w:val="nil"/>
              <w:left w:val="nil"/>
              <w:bottom w:val="single" w:sz="12" w:space="0" w:color="auto"/>
              <w:right w:val="nil"/>
            </w:tcBorders>
            <w:shd w:val="clear" w:color="auto" w:fill="auto"/>
          </w:tcPr>
          <w:p w14:paraId="20BB0683" w14:textId="77777777" w:rsidR="007068C5" w:rsidRPr="00F4226B" w:rsidRDefault="007068C5" w:rsidP="00E34861">
            <w:pPr>
              <w:spacing w:after="0" w:line="240" w:lineRule="auto"/>
              <w:ind w:left="-108"/>
              <w:rPr>
                <w:rFonts w:ascii="Times New Roman" w:hAnsi="Times New Roman"/>
                <w:sz w:val="18"/>
                <w:szCs w:val="18"/>
                <w:lang w:val="en-US"/>
              </w:rPr>
            </w:pPr>
            <w:r w:rsidRPr="00F4226B">
              <w:rPr>
                <w:rFonts w:ascii="Times New Roman" w:hAnsi="Times New Roman"/>
                <w:sz w:val="18"/>
                <w:szCs w:val="18"/>
                <w:lang w:val="en-US"/>
              </w:rPr>
              <w:t xml:space="preserve">                High inflation period</w:t>
            </w:r>
          </w:p>
        </w:tc>
        <w:tc>
          <w:tcPr>
            <w:tcW w:w="1067" w:type="dxa"/>
            <w:tcBorders>
              <w:top w:val="nil"/>
              <w:left w:val="nil"/>
              <w:bottom w:val="single" w:sz="12" w:space="0" w:color="auto"/>
              <w:right w:val="nil"/>
            </w:tcBorders>
            <w:shd w:val="clear" w:color="auto" w:fill="auto"/>
          </w:tcPr>
          <w:p w14:paraId="41F5A1B6" w14:textId="77777777" w:rsidR="007068C5" w:rsidRPr="00F4226B" w:rsidRDefault="00B20685"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-3.215***</w:t>
            </w:r>
          </w:p>
        </w:tc>
        <w:tc>
          <w:tcPr>
            <w:tcW w:w="936" w:type="dxa"/>
            <w:tcBorders>
              <w:top w:val="nil"/>
              <w:left w:val="nil"/>
              <w:bottom w:val="single" w:sz="12" w:space="0" w:color="auto"/>
              <w:right w:val="nil"/>
            </w:tcBorders>
            <w:shd w:val="clear" w:color="auto" w:fill="auto"/>
          </w:tcPr>
          <w:p w14:paraId="07499FF5" w14:textId="77777777" w:rsidR="007068C5" w:rsidRPr="00F4226B" w:rsidRDefault="007068C5" w:rsidP="00E34861">
            <w:pPr>
              <w:spacing w:after="0" w:line="240" w:lineRule="auto"/>
              <w:jc w:val="right"/>
              <w:rPr>
                <w:rFonts w:ascii="Times New Roman" w:hAnsi="Times New Roman"/>
                <w:sz w:val="18"/>
                <w:szCs w:val="18"/>
                <w:lang w:val="en-US"/>
              </w:rPr>
            </w:pPr>
          </w:p>
        </w:tc>
        <w:tc>
          <w:tcPr>
            <w:tcW w:w="909" w:type="dxa"/>
            <w:tcBorders>
              <w:top w:val="nil"/>
              <w:left w:val="nil"/>
              <w:bottom w:val="single" w:sz="12" w:space="0" w:color="auto"/>
              <w:right w:val="nil"/>
            </w:tcBorders>
            <w:shd w:val="clear" w:color="auto" w:fill="auto"/>
          </w:tcPr>
          <w:p w14:paraId="2E8A2F81" w14:textId="77777777" w:rsidR="007068C5" w:rsidRPr="00F4226B" w:rsidRDefault="007068C5" w:rsidP="00E34861">
            <w:pPr>
              <w:spacing w:after="0" w:line="240" w:lineRule="auto"/>
              <w:jc w:val="right"/>
              <w:rPr>
                <w:rFonts w:ascii="Times New Roman" w:hAnsi="Times New Roman"/>
                <w:sz w:val="18"/>
                <w:szCs w:val="18"/>
                <w:lang w:val="en-US"/>
              </w:rPr>
            </w:pPr>
          </w:p>
        </w:tc>
        <w:tc>
          <w:tcPr>
            <w:tcW w:w="1026" w:type="dxa"/>
            <w:tcBorders>
              <w:top w:val="nil"/>
              <w:left w:val="nil"/>
              <w:bottom w:val="single" w:sz="12" w:space="0" w:color="auto"/>
              <w:right w:val="nil"/>
            </w:tcBorders>
            <w:shd w:val="clear" w:color="auto" w:fill="auto"/>
          </w:tcPr>
          <w:p w14:paraId="064D35DE" w14:textId="77777777" w:rsidR="007068C5" w:rsidRPr="00F4226B" w:rsidRDefault="007068C5" w:rsidP="00E34861">
            <w:pPr>
              <w:spacing w:after="0" w:line="240" w:lineRule="auto"/>
              <w:jc w:val="right"/>
              <w:rPr>
                <w:rFonts w:ascii="Times New Roman" w:hAnsi="Times New Roman"/>
                <w:sz w:val="18"/>
                <w:szCs w:val="18"/>
                <w:lang w:val="en-US"/>
              </w:rPr>
            </w:pPr>
          </w:p>
        </w:tc>
        <w:tc>
          <w:tcPr>
            <w:tcW w:w="1011" w:type="dxa"/>
            <w:tcBorders>
              <w:top w:val="nil"/>
              <w:left w:val="nil"/>
              <w:bottom w:val="single" w:sz="12" w:space="0" w:color="auto"/>
              <w:right w:val="nil"/>
            </w:tcBorders>
            <w:shd w:val="clear" w:color="auto" w:fill="auto"/>
          </w:tcPr>
          <w:p w14:paraId="5B183C7F" w14:textId="77777777" w:rsidR="007068C5" w:rsidRPr="00F4226B" w:rsidRDefault="00741CFA" w:rsidP="00E34861">
            <w:pPr>
              <w:spacing w:after="0" w:line="240" w:lineRule="auto"/>
              <w:jc w:val="right"/>
              <w:rPr>
                <w:rFonts w:ascii="Times New Roman" w:hAnsi="Times New Roman"/>
                <w:sz w:val="18"/>
                <w:szCs w:val="18"/>
                <w:lang w:val="en-US"/>
              </w:rPr>
            </w:pPr>
            <w:r w:rsidRPr="00F4226B">
              <w:rPr>
                <w:rFonts w:ascii="Times New Roman" w:hAnsi="Times New Roman"/>
                <w:sz w:val="18"/>
                <w:szCs w:val="18"/>
                <w:lang w:val="en-US"/>
              </w:rPr>
              <w:t>-4.608***</w:t>
            </w:r>
          </w:p>
        </w:tc>
        <w:tc>
          <w:tcPr>
            <w:tcW w:w="660" w:type="dxa"/>
            <w:tcBorders>
              <w:top w:val="nil"/>
              <w:left w:val="nil"/>
              <w:bottom w:val="single" w:sz="12" w:space="0" w:color="auto"/>
              <w:right w:val="nil"/>
            </w:tcBorders>
          </w:tcPr>
          <w:p w14:paraId="4BD5AC7A" w14:textId="77777777" w:rsidR="007068C5" w:rsidRPr="00F4226B" w:rsidRDefault="007068C5" w:rsidP="00E34861">
            <w:pPr>
              <w:spacing w:after="0" w:line="240" w:lineRule="auto"/>
              <w:jc w:val="right"/>
              <w:rPr>
                <w:rFonts w:ascii="Times New Roman" w:hAnsi="Times New Roman"/>
                <w:sz w:val="18"/>
                <w:szCs w:val="18"/>
                <w:lang w:val="en-US"/>
              </w:rPr>
            </w:pPr>
          </w:p>
        </w:tc>
        <w:tc>
          <w:tcPr>
            <w:tcW w:w="636" w:type="dxa"/>
            <w:tcBorders>
              <w:top w:val="nil"/>
              <w:left w:val="nil"/>
              <w:bottom w:val="single" w:sz="12" w:space="0" w:color="auto"/>
              <w:right w:val="nil"/>
            </w:tcBorders>
          </w:tcPr>
          <w:p w14:paraId="5F46A414" w14:textId="77777777" w:rsidR="007068C5" w:rsidRPr="00F4226B" w:rsidRDefault="007068C5" w:rsidP="00E34861">
            <w:pPr>
              <w:spacing w:after="0" w:line="240" w:lineRule="auto"/>
              <w:jc w:val="right"/>
              <w:rPr>
                <w:rFonts w:ascii="Times New Roman" w:hAnsi="Times New Roman"/>
                <w:sz w:val="18"/>
                <w:szCs w:val="18"/>
                <w:lang w:val="en-US"/>
              </w:rPr>
            </w:pPr>
          </w:p>
        </w:tc>
        <w:tc>
          <w:tcPr>
            <w:tcW w:w="0" w:type="auto"/>
            <w:tcBorders>
              <w:top w:val="nil"/>
              <w:left w:val="nil"/>
              <w:bottom w:val="single" w:sz="12" w:space="0" w:color="auto"/>
              <w:right w:val="nil"/>
            </w:tcBorders>
          </w:tcPr>
          <w:p w14:paraId="3411725A" w14:textId="77777777" w:rsidR="007068C5" w:rsidRPr="00F4226B" w:rsidRDefault="007068C5" w:rsidP="00E34861">
            <w:pPr>
              <w:spacing w:after="0" w:line="240" w:lineRule="auto"/>
              <w:jc w:val="right"/>
              <w:rPr>
                <w:rFonts w:ascii="Times New Roman" w:hAnsi="Times New Roman"/>
                <w:sz w:val="18"/>
                <w:szCs w:val="18"/>
                <w:lang w:val="en-US"/>
              </w:rPr>
            </w:pPr>
          </w:p>
        </w:tc>
      </w:tr>
    </w:tbl>
    <w:p w14:paraId="2A761A6C" w14:textId="77777777" w:rsidR="00C75934" w:rsidRPr="00F4226B" w:rsidRDefault="00C75934" w:rsidP="00C7537C">
      <w:pPr>
        <w:pBdr>
          <w:top w:val="single" w:sz="4" w:space="1" w:color="auto"/>
        </w:pBdr>
        <w:spacing w:after="0" w:line="240" w:lineRule="auto"/>
        <w:ind w:left="540" w:hanging="540"/>
        <w:jc w:val="both"/>
        <w:rPr>
          <w:rFonts w:ascii="Times New Roman" w:hAnsi="Times New Roman"/>
          <w:b/>
          <w:sz w:val="18"/>
          <w:szCs w:val="18"/>
          <w:lang w:val="en-US"/>
        </w:rPr>
      </w:pPr>
    </w:p>
    <w:p w14:paraId="0FE06353" w14:textId="76DF7CA5" w:rsidR="00C75934" w:rsidRPr="00F4226B" w:rsidRDefault="00741CFA" w:rsidP="00E34861">
      <w:pPr>
        <w:spacing w:after="0" w:line="240" w:lineRule="auto"/>
        <w:jc w:val="both"/>
        <w:rPr>
          <w:rFonts w:ascii="Times New Roman" w:hAnsi="Times New Roman"/>
          <w:sz w:val="18"/>
          <w:szCs w:val="18"/>
          <w:lang w:val="en-US"/>
        </w:rPr>
      </w:pPr>
      <w:r w:rsidRPr="00F4226B">
        <w:rPr>
          <w:rFonts w:ascii="Times New Roman" w:hAnsi="Times New Roman"/>
          <w:bCs/>
          <w:sz w:val="18"/>
          <w:szCs w:val="18"/>
          <w:lang w:val="en-US"/>
        </w:rPr>
        <w:t>***Significant at the 1% level</w:t>
      </w:r>
      <w:r w:rsidR="00711B7B">
        <w:rPr>
          <w:rFonts w:ascii="Times New Roman" w:hAnsi="Times New Roman"/>
          <w:bCs/>
          <w:sz w:val="18"/>
          <w:szCs w:val="18"/>
          <w:lang w:val="en-US"/>
        </w:rPr>
        <w:t>.</w:t>
      </w:r>
      <w:r w:rsidRPr="00F4226B">
        <w:rPr>
          <w:rFonts w:ascii="Times New Roman" w:hAnsi="Times New Roman"/>
          <w:bCs/>
          <w:sz w:val="18"/>
          <w:szCs w:val="18"/>
          <w:lang w:val="en-US"/>
        </w:rPr>
        <w:t xml:space="preserve"> </w:t>
      </w:r>
      <w:r w:rsidR="00700423" w:rsidRPr="00F4226B">
        <w:rPr>
          <w:rFonts w:ascii="Times New Roman" w:hAnsi="Times New Roman"/>
          <w:bCs/>
          <w:i/>
          <w:sz w:val="18"/>
          <w:szCs w:val="18"/>
          <w:lang w:val="en-US"/>
        </w:rPr>
        <w:t xml:space="preserve">Stock </w:t>
      </w:r>
      <w:r w:rsidR="001F1DF4" w:rsidRPr="00F4226B">
        <w:rPr>
          <w:rFonts w:ascii="Times New Roman" w:hAnsi="Times New Roman"/>
          <w:bCs/>
          <w:i/>
          <w:sz w:val="18"/>
          <w:szCs w:val="18"/>
          <w:lang w:val="en-US"/>
        </w:rPr>
        <w:t>p</w:t>
      </w:r>
      <w:r w:rsidR="00700423" w:rsidRPr="00F4226B">
        <w:rPr>
          <w:rFonts w:ascii="Times New Roman" w:hAnsi="Times New Roman"/>
          <w:bCs/>
          <w:i/>
          <w:sz w:val="18"/>
          <w:szCs w:val="18"/>
          <w:lang w:val="en-US"/>
        </w:rPr>
        <w:t>rices</w:t>
      </w:r>
      <w:r w:rsidR="00C75934" w:rsidRPr="00F4226B">
        <w:rPr>
          <w:rFonts w:ascii="Times New Roman" w:hAnsi="Times New Roman"/>
          <w:bCs/>
          <w:i/>
          <w:sz w:val="18"/>
          <w:szCs w:val="18"/>
          <w:lang w:val="en-US"/>
        </w:rPr>
        <w:t xml:space="preserve"> </w:t>
      </w:r>
      <w:r w:rsidR="00C75934" w:rsidRPr="00F4226B">
        <w:rPr>
          <w:rFonts w:ascii="Times New Roman" w:hAnsi="Times New Roman"/>
          <w:bCs/>
          <w:sz w:val="18"/>
          <w:szCs w:val="18"/>
          <w:lang w:val="en-US"/>
        </w:rPr>
        <w:t>is the share price of the firm at the end of the fourth</w:t>
      </w:r>
      <w:r w:rsidR="00F4226B">
        <w:rPr>
          <w:rFonts w:ascii="Times New Roman" w:hAnsi="Times New Roman"/>
          <w:bCs/>
          <w:sz w:val="18"/>
          <w:szCs w:val="18"/>
          <w:lang w:val="en-US"/>
        </w:rPr>
        <w:t xml:space="preserve"> </w:t>
      </w:r>
      <w:r w:rsidR="00C75934" w:rsidRPr="00F4226B">
        <w:rPr>
          <w:rFonts w:ascii="Times New Roman" w:hAnsi="Times New Roman"/>
          <w:bCs/>
          <w:sz w:val="18"/>
          <w:szCs w:val="18"/>
          <w:lang w:val="en-US"/>
        </w:rPr>
        <w:t xml:space="preserve">month after fiscal year-end. </w:t>
      </w:r>
      <w:r w:rsidR="00700423" w:rsidRPr="00F4226B">
        <w:rPr>
          <w:rFonts w:ascii="Times New Roman" w:hAnsi="Times New Roman"/>
          <w:i/>
          <w:sz w:val="18"/>
          <w:szCs w:val="18"/>
          <w:lang w:val="en-US"/>
        </w:rPr>
        <w:t xml:space="preserve">Stock </w:t>
      </w:r>
      <w:r w:rsidR="001F1DF4" w:rsidRPr="00F4226B">
        <w:rPr>
          <w:rFonts w:ascii="Times New Roman" w:hAnsi="Times New Roman"/>
          <w:i/>
          <w:sz w:val="18"/>
          <w:szCs w:val="18"/>
          <w:lang w:val="en-US"/>
        </w:rPr>
        <w:t>r</w:t>
      </w:r>
      <w:r w:rsidR="00700423" w:rsidRPr="00F4226B">
        <w:rPr>
          <w:rFonts w:ascii="Times New Roman" w:hAnsi="Times New Roman"/>
          <w:i/>
          <w:sz w:val="18"/>
          <w:szCs w:val="18"/>
          <w:lang w:val="en-US"/>
        </w:rPr>
        <w:t>eturn</w:t>
      </w:r>
      <w:r w:rsidR="00C75934" w:rsidRPr="00F4226B">
        <w:rPr>
          <w:rFonts w:ascii="Times New Roman" w:hAnsi="Times New Roman"/>
          <w:sz w:val="18"/>
          <w:szCs w:val="18"/>
          <w:vertAlign w:val="subscript"/>
          <w:lang w:val="en-US"/>
        </w:rPr>
        <w:t xml:space="preserve"> </w:t>
      </w:r>
      <w:r w:rsidR="00C75934" w:rsidRPr="00F4226B">
        <w:rPr>
          <w:rFonts w:ascii="Times New Roman" w:hAnsi="Times New Roman"/>
          <w:sz w:val="18"/>
          <w:szCs w:val="18"/>
          <w:lang w:val="en-US"/>
        </w:rPr>
        <w:t xml:space="preserve">is </w:t>
      </w:r>
      <w:r w:rsidR="00C75934" w:rsidRPr="00F4226B">
        <w:rPr>
          <w:rFonts w:ascii="Times New Roman" w:hAnsi="Times New Roman"/>
          <w:bCs/>
          <w:sz w:val="18"/>
          <w:szCs w:val="18"/>
          <w:lang w:val="en-US"/>
        </w:rPr>
        <w:t xml:space="preserve">the share return of the firm over the 12-month period ending </w:t>
      </w:r>
      <w:r w:rsidR="00D73423">
        <w:rPr>
          <w:rFonts w:ascii="Times New Roman" w:hAnsi="Times New Roman"/>
          <w:bCs/>
          <w:sz w:val="18"/>
          <w:szCs w:val="18"/>
          <w:lang w:val="en-US"/>
        </w:rPr>
        <w:t xml:space="preserve">four </w:t>
      </w:r>
      <w:r w:rsidR="00C75934" w:rsidRPr="00F4226B">
        <w:rPr>
          <w:rFonts w:ascii="Times New Roman" w:hAnsi="Times New Roman"/>
          <w:bCs/>
          <w:sz w:val="18"/>
          <w:szCs w:val="18"/>
          <w:lang w:val="en-US"/>
        </w:rPr>
        <w:t xml:space="preserve">months after the fiscal year-end (measured as the change in price plus dividend per share for the year and scaled by the beginning share price). </w:t>
      </w:r>
      <w:r w:rsidR="00C75934" w:rsidRPr="00F4226B">
        <w:rPr>
          <w:rFonts w:ascii="Times New Roman" w:hAnsi="Times New Roman"/>
          <w:i/>
          <w:sz w:val="18"/>
          <w:szCs w:val="18"/>
          <w:lang w:val="en-US"/>
        </w:rPr>
        <w:t>E</w:t>
      </w:r>
      <w:r w:rsidR="00D9269B" w:rsidRPr="00F4226B">
        <w:rPr>
          <w:rFonts w:ascii="Times New Roman" w:hAnsi="Times New Roman"/>
          <w:i/>
          <w:sz w:val="18"/>
          <w:szCs w:val="18"/>
          <w:lang w:val="en-US"/>
        </w:rPr>
        <w:t>arnings</w:t>
      </w:r>
      <w:r w:rsidR="00C75934" w:rsidRPr="00F4226B">
        <w:rPr>
          <w:rFonts w:ascii="Times New Roman" w:hAnsi="Times New Roman"/>
          <w:sz w:val="18"/>
          <w:szCs w:val="18"/>
          <w:lang w:val="en-US"/>
        </w:rPr>
        <w:t xml:space="preserve"> is the reported basic earnings per share, calculated in accordance with IAS 33 – </w:t>
      </w:r>
      <w:r w:rsidR="00C75934" w:rsidRPr="00F4226B">
        <w:rPr>
          <w:rFonts w:ascii="Times New Roman" w:hAnsi="Times New Roman"/>
          <w:i/>
          <w:sz w:val="18"/>
          <w:szCs w:val="18"/>
          <w:lang w:val="en-US"/>
        </w:rPr>
        <w:t>Earnings per share.</w:t>
      </w:r>
      <w:r w:rsidR="00C75934" w:rsidRPr="00F4226B">
        <w:rPr>
          <w:rFonts w:ascii="Times New Roman" w:hAnsi="Times New Roman"/>
          <w:sz w:val="18"/>
          <w:szCs w:val="18"/>
          <w:lang w:val="en-US"/>
        </w:rPr>
        <w:t xml:space="preserve"> </w:t>
      </w:r>
      <w:r w:rsidR="00C75934" w:rsidRPr="00F4226B">
        <w:rPr>
          <w:rFonts w:ascii="Times New Roman" w:hAnsi="Times New Roman"/>
          <w:i/>
          <w:sz w:val="18"/>
          <w:szCs w:val="18"/>
          <w:lang w:val="en-US"/>
        </w:rPr>
        <w:t>B</w:t>
      </w:r>
      <w:r w:rsidR="00D9269B" w:rsidRPr="00F4226B">
        <w:rPr>
          <w:rFonts w:ascii="Times New Roman" w:hAnsi="Times New Roman"/>
          <w:i/>
          <w:sz w:val="18"/>
          <w:szCs w:val="18"/>
          <w:lang w:val="en-US"/>
        </w:rPr>
        <w:t>ook values</w:t>
      </w:r>
      <w:r w:rsidR="00D9269B" w:rsidRPr="00F4226B">
        <w:rPr>
          <w:rFonts w:ascii="Times New Roman" w:hAnsi="Times New Roman"/>
          <w:sz w:val="18"/>
          <w:szCs w:val="18"/>
          <w:lang w:val="en-US"/>
        </w:rPr>
        <w:t xml:space="preserve"> </w:t>
      </w:r>
      <w:r w:rsidR="00C75934" w:rsidRPr="00F4226B">
        <w:rPr>
          <w:rFonts w:ascii="Times New Roman" w:hAnsi="Times New Roman"/>
          <w:sz w:val="18"/>
          <w:szCs w:val="18"/>
          <w:lang w:val="en-US"/>
        </w:rPr>
        <w:t xml:space="preserve">is the reported book value of equity per share. </w:t>
      </w:r>
      <w:r w:rsidR="00C75934" w:rsidRPr="00F4226B">
        <w:rPr>
          <w:rFonts w:ascii="Times New Roman" w:hAnsi="Times New Roman"/>
          <w:i/>
          <w:sz w:val="18"/>
          <w:szCs w:val="18"/>
          <w:lang w:val="en-US"/>
        </w:rPr>
        <w:t>Z$</w:t>
      </w:r>
      <w:r w:rsidR="00C75934" w:rsidRPr="00F4226B">
        <w:rPr>
          <w:rFonts w:ascii="Times New Roman" w:hAnsi="Times New Roman"/>
          <w:sz w:val="18"/>
          <w:szCs w:val="18"/>
          <w:lang w:val="en-US"/>
        </w:rPr>
        <w:t xml:space="preserve"> refers to the Zimbabwe</w:t>
      </w:r>
      <w:r w:rsidR="00D73423">
        <w:rPr>
          <w:rFonts w:ascii="Times New Roman" w:hAnsi="Times New Roman"/>
          <w:sz w:val="18"/>
          <w:szCs w:val="18"/>
          <w:lang w:val="en-US"/>
        </w:rPr>
        <w:t>an</w:t>
      </w:r>
      <w:r w:rsidR="00C75934" w:rsidRPr="00F4226B">
        <w:rPr>
          <w:rFonts w:ascii="Times New Roman" w:hAnsi="Times New Roman"/>
          <w:sz w:val="18"/>
          <w:szCs w:val="18"/>
          <w:lang w:val="en-US"/>
        </w:rPr>
        <w:t xml:space="preserve"> dollar.</w:t>
      </w:r>
    </w:p>
    <w:p w14:paraId="2E4F2292" w14:textId="77777777" w:rsidR="006D3344" w:rsidRPr="00F4226B" w:rsidRDefault="006D3344" w:rsidP="00E92F64">
      <w:pPr>
        <w:spacing w:after="120" w:line="240" w:lineRule="auto"/>
        <w:jc w:val="center"/>
        <w:rPr>
          <w:rFonts w:ascii="Times New Roman" w:hAnsi="Times New Roman"/>
          <w:b/>
          <w:sz w:val="20"/>
          <w:szCs w:val="20"/>
          <w:lang w:val="en-US"/>
        </w:rPr>
      </w:pPr>
    </w:p>
    <w:p w14:paraId="32ACBF65" w14:textId="77777777" w:rsidR="00C7537C" w:rsidRPr="00F4226B" w:rsidRDefault="00C7537C" w:rsidP="00E34861">
      <w:pPr>
        <w:spacing w:after="120" w:line="240" w:lineRule="auto"/>
        <w:rPr>
          <w:rFonts w:ascii="Times New Roman" w:hAnsi="Times New Roman"/>
          <w:b/>
          <w:sz w:val="20"/>
          <w:szCs w:val="20"/>
          <w:lang w:val="en-US"/>
        </w:rPr>
      </w:pPr>
    </w:p>
    <w:p w14:paraId="068814E6" w14:textId="77777777" w:rsidR="00C7537C" w:rsidRPr="00F4226B" w:rsidRDefault="00C7537C" w:rsidP="00E34861">
      <w:pPr>
        <w:spacing w:after="120" w:line="240" w:lineRule="auto"/>
        <w:rPr>
          <w:rFonts w:ascii="Times New Roman" w:hAnsi="Times New Roman"/>
          <w:b/>
          <w:sz w:val="20"/>
          <w:szCs w:val="20"/>
          <w:lang w:val="en-US"/>
        </w:rPr>
      </w:pPr>
    </w:p>
    <w:p w14:paraId="2D967FD1" w14:textId="77777777" w:rsidR="00C7537C" w:rsidRPr="00F4226B" w:rsidRDefault="00C7537C" w:rsidP="00E92F64">
      <w:pPr>
        <w:spacing w:after="120" w:line="240" w:lineRule="auto"/>
        <w:jc w:val="center"/>
        <w:rPr>
          <w:rFonts w:ascii="Times New Roman" w:hAnsi="Times New Roman"/>
          <w:b/>
          <w:sz w:val="20"/>
          <w:szCs w:val="20"/>
          <w:lang w:val="en-US"/>
        </w:rPr>
      </w:pPr>
    </w:p>
    <w:p w14:paraId="44E02AB2" w14:textId="77777777" w:rsidR="00130429" w:rsidRPr="00F4226B" w:rsidRDefault="00130429" w:rsidP="00130429">
      <w:pPr>
        <w:spacing w:after="120" w:line="240" w:lineRule="auto"/>
        <w:jc w:val="center"/>
        <w:rPr>
          <w:rFonts w:ascii="Times New Roman" w:hAnsi="Times New Roman"/>
          <w:b/>
          <w:color w:val="000000"/>
          <w:highlight w:val="green"/>
          <w:lang w:val="en-US"/>
        </w:rPr>
      </w:pPr>
      <w:r w:rsidRPr="00F4226B">
        <w:rPr>
          <w:rFonts w:ascii="Times New Roman" w:hAnsi="Times New Roman"/>
          <w:b/>
          <w:lang w:val="en-US"/>
        </w:rPr>
        <w:t>Table 5: Results of pooled regression tests on the relative and incremental value relevance of HC and IA amounts with respect to stock returns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276"/>
        <w:gridCol w:w="1276"/>
        <w:gridCol w:w="1418"/>
        <w:gridCol w:w="849"/>
      </w:tblGrid>
      <w:tr w:rsidR="00130429" w:rsidRPr="00F4226B" w14:paraId="48EB8C23" w14:textId="77777777" w:rsidTr="0008368E">
        <w:trPr>
          <w:trHeight w:val="70"/>
        </w:trPr>
        <w:tc>
          <w:tcPr>
            <w:tcW w:w="9180" w:type="dxa"/>
            <w:gridSpan w:val="5"/>
            <w:tcBorders>
              <w:top w:val="single" w:sz="12" w:space="0" w:color="auto"/>
              <w:left w:val="nil"/>
              <w:bottom w:val="single" w:sz="4" w:space="0" w:color="auto"/>
              <w:right w:val="nil"/>
            </w:tcBorders>
            <w:shd w:val="clear" w:color="auto" w:fill="auto"/>
            <w:vAlign w:val="bottom"/>
          </w:tcPr>
          <w:p w14:paraId="66D2BE3C" w14:textId="77777777" w:rsidR="00130429" w:rsidRPr="00F4226B" w:rsidRDefault="00130429" w:rsidP="00130429">
            <w:pPr>
              <w:spacing w:after="0" w:line="240" w:lineRule="auto"/>
              <w:ind w:firstLine="284"/>
              <w:jc w:val="center"/>
              <w:rPr>
                <w:rFonts w:ascii="Times New Roman" w:hAnsi="Times New Roman"/>
                <w:bCs/>
                <w:i/>
                <w:sz w:val="18"/>
                <w:szCs w:val="18"/>
                <w:lang w:val="en-US"/>
              </w:rPr>
            </w:pPr>
            <w:r w:rsidRPr="00F4226B">
              <w:rPr>
                <w:rFonts w:ascii="Times New Roman" w:hAnsi="Times New Roman"/>
                <w:i/>
                <w:sz w:val="18"/>
                <w:szCs w:val="18"/>
                <w:lang w:val="en-US"/>
              </w:rPr>
              <w:t>RETURN</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0</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 xml:space="preserve">1 </w:t>
            </w:r>
            <w:r w:rsidRPr="00F4226B">
              <w:rPr>
                <w:rFonts w:ascii="Times New Roman" w:hAnsi="Times New Roman"/>
                <w:i/>
                <w:sz w:val="18"/>
                <w:szCs w:val="18"/>
                <w:lang w:val="en-US"/>
              </w:rPr>
              <w:t>EARNINGS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2</w:t>
            </w:r>
            <w:r w:rsidRPr="00F4226B">
              <w:rPr>
                <w:rFonts w:ascii="Times New Roman" w:hAnsi="Times New Roman"/>
                <w:i/>
                <w:sz w:val="18"/>
                <w:szCs w:val="18"/>
                <w:lang w:val="en-US"/>
              </w:rPr>
              <w:t>YearDummies + ε</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ab/>
              <w:t xml:space="preserve">  </w:t>
            </w:r>
            <w:r w:rsidRPr="00F4226B">
              <w:rPr>
                <w:rFonts w:ascii="Times New Roman" w:hAnsi="Times New Roman"/>
                <w:i/>
                <w:sz w:val="18"/>
                <w:szCs w:val="18"/>
                <w:lang w:val="en-US"/>
              </w:rPr>
              <w:tab/>
            </w:r>
            <w:r w:rsidRPr="00F4226B">
              <w:rPr>
                <w:rFonts w:ascii="Times New Roman" w:hAnsi="Times New Roman"/>
                <w:i/>
                <w:sz w:val="18"/>
                <w:szCs w:val="18"/>
                <w:lang w:val="en-US"/>
              </w:rPr>
              <w:tab/>
              <w:t xml:space="preserve"> </w:t>
            </w:r>
            <w:r w:rsidRPr="00F4226B">
              <w:rPr>
                <w:rFonts w:ascii="Times New Roman" w:hAnsi="Times New Roman"/>
                <w:bCs/>
                <w:i/>
                <w:sz w:val="18"/>
                <w:szCs w:val="18"/>
                <w:lang w:val="en-US"/>
              </w:rPr>
              <w:t>(1)</w:t>
            </w:r>
          </w:p>
          <w:p w14:paraId="3DD90041" w14:textId="77777777" w:rsidR="00130429" w:rsidRPr="00F4226B" w:rsidRDefault="00130429" w:rsidP="00130429">
            <w:pPr>
              <w:spacing w:after="120" w:line="240" w:lineRule="auto"/>
              <w:ind w:firstLine="284"/>
              <w:jc w:val="center"/>
              <w:rPr>
                <w:rFonts w:ascii="Times New Roman" w:hAnsi="Times New Roman"/>
                <w:b/>
                <w:color w:val="000000"/>
                <w:sz w:val="18"/>
                <w:szCs w:val="18"/>
                <w:lang w:val="en-US"/>
              </w:rPr>
            </w:pPr>
            <w:r w:rsidRPr="00F4226B">
              <w:rPr>
                <w:rFonts w:ascii="Times New Roman" w:hAnsi="Times New Roman"/>
                <w:i/>
                <w:sz w:val="18"/>
                <w:szCs w:val="18"/>
                <w:lang w:val="en-US"/>
              </w:rPr>
              <w:t>RETURN</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0</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 xml:space="preserve">1 </w:t>
            </w:r>
            <w:r w:rsidRPr="00F4226B">
              <w:rPr>
                <w:rFonts w:ascii="Times New Roman" w:hAnsi="Times New Roman"/>
                <w:i/>
                <w:sz w:val="18"/>
                <w:szCs w:val="18"/>
                <w:lang w:val="en-US"/>
              </w:rPr>
              <w:t>EARNINGS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 xml:space="preserve">2 </w:t>
            </w:r>
            <w:r w:rsidRPr="00F4226B">
              <w:rPr>
                <w:rFonts w:ascii="Times New Roman" w:hAnsi="Times New Roman"/>
                <w:i/>
                <w:sz w:val="18"/>
                <w:szCs w:val="18"/>
                <w:lang w:val="en-US"/>
              </w:rPr>
              <w:t>EIGLS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3</w:t>
            </w:r>
            <w:r w:rsidRPr="00F4226B">
              <w:rPr>
                <w:rFonts w:ascii="Times New Roman" w:hAnsi="Times New Roman"/>
                <w:i/>
                <w:sz w:val="18"/>
                <w:szCs w:val="18"/>
                <w:lang w:val="en-US"/>
              </w:rPr>
              <w:t>YearDummies + ε</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w:t>
            </w:r>
            <w:r w:rsidRPr="00F4226B">
              <w:rPr>
                <w:rFonts w:ascii="Times New Roman" w:hAnsi="Times New Roman"/>
                <w:i/>
                <w:sz w:val="18"/>
                <w:szCs w:val="18"/>
                <w:lang w:val="en-US"/>
              </w:rPr>
              <w:tab/>
              <w:t xml:space="preserve">       </w:t>
            </w:r>
            <w:r w:rsidRPr="00F4226B">
              <w:rPr>
                <w:rFonts w:ascii="Times New Roman" w:hAnsi="Times New Roman"/>
                <w:i/>
                <w:sz w:val="18"/>
                <w:szCs w:val="18"/>
                <w:lang w:val="en-US"/>
              </w:rPr>
              <w:tab/>
              <w:t xml:space="preserve"> </w:t>
            </w:r>
            <w:r w:rsidRPr="00F4226B">
              <w:rPr>
                <w:rFonts w:ascii="Times New Roman" w:hAnsi="Times New Roman"/>
                <w:bCs/>
                <w:i/>
                <w:sz w:val="18"/>
                <w:szCs w:val="18"/>
                <w:lang w:val="en-US"/>
              </w:rPr>
              <w:t>(2)</w:t>
            </w:r>
          </w:p>
        </w:tc>
      </w:tr>
      <w:tr w:rsidR="00130429" w:rsidRPr="00F4226B" w14:paraId="1F9E057D" w14:textId="77777777" w:rsidTr="0008368E">
        <w:trPr>
          <w:trHeight w:val="70"/>
        </w:trPr>
        <w:tc>
          <w:tcPr>
            <w:tcW w:w="4361" w:type="dxa"/>
            <w:tcBorders>
              <w:left w:val="nil"/>
              <w:bottom w:val="single" w:sz="4" w:space="0" w:color="auto"/>
              <w:right w:val="nil"/>
            </w:tcBorders>
            <w:shd w:val="clear" w:color="auto" w:fill="auto"/>
            <w:vAlign w:val="bottom"/>
          </w:tcPr>
          <w:p w14:paraId="0F6C0258"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b/>
                <w:color w:val="000000"/>
                <w:sz w:val="18"/>
                <w:szCs w:val="18"/>
                <w:lang w:val="en-US"/>
              </w:rPr>
              <w:t>Variables</w:t>
            </w:r>
          </w:p>
          <w:p w14:paraId="3DA2A576" w14:textId="77777777" w:rsidR="00130429" w:rsidRPr="00F4226B" w:rsidRDefault="00130429" w:rsidP="00130429">
            <w:pPr>
              <w:spacing w:after="0" w:line="240" w:lineRule="auto"/>
              <w:jc w:val="center"/>
              <w:rPr>
                <w:rFonts w:ascii="Times New Roman" w:hAnsi="Times New Roman"/>
                <w:b/>
                <w:color w:val="000000"/>
                <w:sz w:val="18"/>
                <w:szCs w:val="18"/>
                <w:lang w:val="en-US"/>
              </w:rPr>
            </w:pPr>
          </w:p>
        </w:tc>
        <w:tc>
          <w:tcPr>
            <w:tcW w:w="1276" w:type="dxa"/>
            <w:tcBorders>
              <w:left w:val="nil"/>
              <w:bottom w:val="single" w:sz="4" w:space="0" w:color="auto"/>
              <w:right w:val="nil"/>
            </w:tcBorders>
            <w:shd w:val="clear" w:color="auto" w:fill="auto"/>
            <w:vAlign w:val="bottom"/>
          </w:tcPr>
          <w:p w14:paraId="23B28240" w14:textId="77777777" w:rsidR="00130429" w:rsidRPr="00F4226B" w:rsidRDefault="00130429" w:rsidP="00130429">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1</w:t>
            </w:r>
          </w:p>
          <w:p w14:paraId="123B97B0" w14:textId="77777777" w:rsidR="00130429" w:rsidRPr="00F4226B" w:rsidRDefault="00130429" w:rsidP="00130429">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 xml:space="preserve"> HC</w:t>
            </w:r>
          </w:p>
        </w:tc>
        <w:tc>
          <w:tcPr>
            <w:tcW w:w="1276" w:type="dxa"/>
            <w:tcBorders>
              <w:left w:val="nil"/>
              <w:bottom w:val="single" w:sz="4" w:space="0" w:color="auto"/>
              <w:right w:val="nil"/>
            </w:tcBorders>
            <w:shd w:val="clear" w:color="auto" w:fill="auto"/>
            <w:vAlign w:val="bottom"/>
          </w:tcPr>
          <w:p w14:paraId="1336E487" w14:textId="77777777" w:rsidR="00130429" w:rsidRPr="00F4226B" w:rsidRDefault="00130429" w:rsidP="00130429">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2</w:t>
            </w:r>
          </w:p>
          <w:p w14:paraId="3BE9BB40" w14:textId="77777777" w:rsidR="00130429" w:rsidRPr="00F4226B" w:rsidRDefault="00130429" w:rsidP="00130429">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IA</w:t>
            </w:r>
          </w:p>
        </w:tc>
        <w:tc>
          <w:tcPr>
            <w:tcW w:w="1418" w:type="dxa"/>
            <w:tcBorders>
              <w:left w:val="nil"/>
              <w:bottom w:val="single" w:sz="4" w:space="0" w:color="auto"/>
              <w:right w:val="nil"/>
            </w:tcBorders>
            <w:shd w:val="clear" w:color="auto" w:fill="auto"/>
            <w:vAlign w:val="bottom"/>
          </w:tcPr>
          <w:p w14:paraId="10C16689" w14:textId="77777777" w:rsidR="00130429" w:rsidRPr="00F4226B" w:rsidRDefault="00130429" w:rsidP="00130429">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3</w:t>
            </w:r>
          </w:p>
          <w:p w14:paraId="668758E7" w14:textId="77777777" w:rsidR="00130429" w:rsidRPr="00F4226B" w:rsidRDefault="00130429" w:rsidP="00130429">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Incremental</w:t>
            </w:r>
          </w:p>
        </w:tc>
        <w:tc>
          <w:tcPr>
            <w:tcW w:w="849" w:type="dxa"/>
            <w:tcBorders>
              <w:left w:val="nil"/>
              <w:bottom w:val="single" w:sz="4" w:space="0" w:color="auto"/>
              <w:right w:val="nil"/>
            </w:tcBorders>
            <w:shd w:val="clear" w:color="auto" w:fill="auto"/>
            <w:vAlign w:val="bottom"/>
          </w:tcPr>
          <w:p w14:paraId="716A8C87" w14:textId="77777777" w:rsidR="00130429" w:rsidRPr="00F4226B" w:rsidRDefault="00130429" w:rsidP="00130429">
            <w:pPr>
              <w:spacing w:after="0" w:line="240" w:lineRule="auto"/>
              <w:rPr>
                <w:rFonts w:ascii="Times New Roman" w:hAnsi="Times New Roman"/>
                <w:b/>
                <w:color w:val="000000"/>
                <w:sz w:val="18"/>
                <w:szCs w:val="18"/>
                <w:lang w:val="en-US"/>
              </w:rPr>
            </w:pPr>
          </w:p>
        </w:tc>
      </w:tr>
      <w:tr w:rsidR="00130429" w:rsidRPr="00F4226B" w14:paraId="1B781E9B" w14:textId="77777777" w:rsidTr="0008368E">
        <w:trPr>
          <w:trHeight w:val="70"/>
        </w:trPr>
        <w:tc>
          <w:tcPr>
            <w:tcW w:w="4361" w:type="dxa"/>
            <w:tcBorders>
              <w:left w:val="nil"/>
              <w:bottom w:val="single" w:sz="4" w:space="0" w:color="auto"/>
              <w:right w:val="nil"/>
            </w:tcBorders>
            <w:shd w:val="clear" w:color="auto" w:fill="auto"/>
            <w:vAlign w:val="bottom"/>
          </w:tcPr>
          <w:p w14:paraId="0C455C5D" w14:textId="76BDC6E4" w:rsidR="00130429" w:rsidRPr="00F4226B" w:rsidRDefault="00130429" w:rsidP="00130429">
            <w:pPr>
              <w:spacing w:before="120" w:after="120" w:line="240" w:lineRule="auto"/>
              <w:rPr>
                <w:rFonts w:ascii="Times New Roman" w:hAnsi="Times New Roman"/>
                <w:b/>
                <w:color w:val="000000"/>
                <w:sz w:val="18"/>
                <w:szCs w:val="18"/>
                <w:lang w:val="en-US"/>
              </w:rPr>
            </w:pPr>
            <w:r w:rsidRPr="00F4226B">
              <w:rPr>
                <w:rFonts w:ascii="Times New Roman" w:hAnsi="Times New Roman"/>
                <w:b/>
                <w:color w:val="000000"/>
                <w:sz w:val="18"/>
                <w:szCs w:val="18"/>
                <w:lang w:val="en-US"/>
              </w:rPr>
              <w:lastRenderedPageBreak/>
              <w:t>Panel A: Entire sample period (2000</w:t>
            </w:r>
            <w:r w:rsidR="00D73423">
              <w:rPr>
                <w:rFonts w:ascii="Times New Roman" w:hAnsi="Times New Roman"/>
                <w:b/>
                <w:color w:val="000000"/>
                <w:sz w:val="18"/>
                <w:szCs w:val="18"/>
                <w:lang w:val="en-US"/>
              </w:rPr>
              <w:t>–</w:t>
            </w:r>
            <w:r w:rsidRPr="00F4226B">
              <w:rPr>
                <w:rFonts w:ascii="Times New Roman" w:hAnsi="Times New Roman"/>
                <w:b/>
                <w:color w:val="000000"/>
                <w:sz w:val="18"/>
                <w:szCs w:val="18"/>
                <w:lang w:val="en-US"/>
              </w:rPr>
              <w:t>2005)</w:t>
            </w:r>
          </w:p>
        </w:tc>
        <w:tc>
          <w:tcPr>
            <w:tcW w:w="1276" w:type="dxa"/>
            <w:tcBorders>
              <w:left w:val="nil"/>
              <w:bottom w:val="single" w:sz="4" w:space="0" w:color="auto"/>
              <w:right w:val="nil"/>
            </w:tcBorders>
            <w:shd w:val="clear" w:color="auto" w:fill="auto"/>
            <w:vAlign w:val="bottom"/>
          </w:tcPr>
          <w:p w14:paraId="5BF507FE" w14:textId="77777777" w:rsidR="00130429" w:rsidRPr="00F4226B" w:rsidRDefault="00130429" w:rsidP="00692C1D">
            <w:pPr>
              <w:spacing w:after="0" w:line="240" w:lineRule="auto"/>
              <w:jc w:val="center"/>
              <w:rPr>
                <w:rFonts w:ascii="Times New Roman" w:hAnsi="Times New Roman"/>
                <w:b/>
                <w:color w:val="000000"/>
                <w:sz w:val="18"/>
                <w:szCs w:val="18"/>
                <w:lang w:val="en-US"/>
              </w:rPr>
            </w:pPr>
          </w:p>
        </w:tc>
        <w:tc>
          <w:tcPr>
            <w:tcW w:w="1276" w:type="dxa"/>
            <w:tcBorders>
              <w:left w:val="nil"/>
              <w:bottom w:val="single" w:sz="4" w:space="0" w:color="auto"/>
              <w:right w:val="nil"/>
            </w:tcBorders>
            <w:shd w:val="clear" w:color="auto" w:fill="auto"/>
            <w:vAlign w:val="bottom"/>
          </w:tcPr>
          <w:p w14:paraId="62407B8E" w14:textId="77777777" w:rsidR="00130429" w:rsidRPr="00F4226B" w:rsidRDefault="00130429" w:rsidP="00582332">
            <w:pPr>
              <w:spacing w:after="0" w:line="240" w:lineRule="auto"/>
              <w:jc w:val="center"/>
              <w:rPr>
                <w:rFonts w:ascii="Times New Roman" w:hAnsi="Times New Roman"/>
                <w:b/>
                <w:color w:val="000000"/>
                <w:sz w:val="18"/>
                <w:szCs w:val="18"/>
                <w:lang w:val="en-US"/>
              </w:rPr>
            </w:pPr>
          </w:p>
        </w:tc>
        <w:tc>
          <w:tcPr>
            <w:tcW w:w="1418" w:type="dxa"/>
            <w:tcBorders>
              <w:left w:val="nil"/>
              <w:bottom w:val="single" w:sz="4" w:space="0" w:color="auto"/>
              <w:right w:val="nil"/>
            </w:tcBorders>
            <w:shd w:val="clear" w:color="auto" w:fill="auto"/>
            <w:vAlign w:val="bottom"/>
          </w:tcPr>
          <w:p w14:paraId="5ED0E015" w14:textId="77777777" w:rsidR="00130429" w:rsidRPr="00F4226B" w:rsidRDefault="00130429" w:rsidP="00582332">
            <w:pPr>
              <w:spacing w:after="0" w:line="240" w:lineRule="auto"/>
              <w:jc w:val="center"/>
              <w:rPr>
                <w:rFonts w:ascii="Times New Roman" w:hAnsi="Times New Roman"/>
                <w:b/>
                <w:color w:val="000000"/>
                <w:sz w:val="18"/>
                <w:szCs w:val="18"/>
                <w:lang w:val="en-US"/>
              </w:rPr>
            </w:pPr>
          </w:p>
        </w:tc>
        <w:tc>
          <w:tcPr>
            <w:tcW w:w="849" w:type="dxa"/>
            <w:tcBorders>
              <w:left w:val="nil"/>
              <w:bottom w:val="single" w:sz="4" w:space="0" w:color="auto"/>
              <w:right w:val="nil"/>
            </w:tcBorders>
            <w:shd w:val="clear" w:color="auto" w:fill="auto"/>
            <w:vAlign w:val="bottom"/>
          </w:tcPr>
          <w:p w14:paraId="0E317C3E" w14:textId="77777777" w:rsidR="00130429" w:rsidRPr="00F4226B" w:rsidRDefault="00130429" w:rsidP="00130429">
            <w:pPr>
              <w:spacing w:after="0" w:line="240" w:lineRule="auto"/>
              <w:rPr>
                <w:rFonts w:ascii="Times New Roman" w:hAnsi="Times New Roman"/>
                <w:b/>
                <w:color w:val="000000"/>
                <w:sz w:val="18"/>
                <w:szCs w:val="18"/>
                <w:lang w:val="en-US"/>
              </w:rPr>
            </w:pPr>
          </w:p>
        </w:tc>
      </w:tr>
      <w:tr w:rsidR="00130429" w:rsidRPr="00F4226B" w14:paraId="1FCEF7B1" w14:textId="77777777" w:rsidTr="0008368E">
        <w:trPr>
          <w:trHeight w:val="427"/>
        </w:trPr>
        <w:tc>
          <w:tcPr>
            <w:tcW w:w="4361" w:type="dxa"/>
            <w:tcBorders>
              <w:left w:val="nil"/>
              <w:bottom w:val="nil"/>
              <w:right w:val="nil"/>
            </w:tcBorders>
            <w:shd w:val="clear" w:color="auto" w:fill="auto"/>
          </w:tcPr>
          <w:p w14:paraId="6A3AF01B"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Intercept</w:t>
            </w:r>
          </w:p>
        </w:tc>
        <w:tc>
          <w:tcPr>
            <w:tcW w:w="1276" w:type="dxa"/>
            <w:tcBorders>
              <w:left w:val="nil"/>
              <w:bottom w:val="nil"/>
              <w:right w:val="nil"/>
            </w:tcBorders>
            <w:shd w:val="clear" w:color="auto" w:fill="auto"/>
          </w:tcPr>
          <w:p w14:paraId="721A26CE"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0.392</w:t>
            </w:r>
          </w:p>
          <w:p w14:paraId="704F955C"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(0.04)</w:t>
            </w:r>
          </w:p>
        </w:tc>
        <w:tc>
          <w:tcPr>
            <w:tcW w:w="1276" w:type="dxa"/>
            <w:tcBorders>
              <w:left w:val="nil"/>
              <w:bottom w:val="nil"/>
              <w:right w:val="nil"/>
            </w:tcBorders>
            <w:shd w:val="clear" w:color="auto" w:fill="auto"/>
          </w:tcPr>
          <w:p w14:paraId="3821D33F"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2.535</w:t>
            </w:r>
          </w:p>
          <w:p w14:paraId="04B1F63A"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(0.23)</w:t>
            </w:r>
          </w:p>
        </w:tc>
        <w:tc>
          <w:tcPr>
            <w:tcW w:w="1418" w:type="dxa"/>
            <w:tcBorders>
              <w:left w:val="nil"/>
              <w:bottom w:val="nil"/>
              <w:right w:val="nil"/>
            </w:tcBorders>
            <w:shd w:val="clear" w:color="auto" w:fill="auto"/>
          </w:tcPr>
          <w:p w14:paraId="3A3FB67C"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0.957</w:t>
            </w:r>
          </w:p>
          <w:p w14:paraId="39487B5A"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(0.11)</w:t>
            </w:r>
          </w:p>
        </w:tc>
        <w:tc>
          <w:tcPr>
            <w:tcW w:w="849" w:type="dxa"/>
            <w:tcBorders>
              <w:left w:val="nil"/>
              <w:bottom w:val="nil"/>
              <w:right w:val="nil"/>
            </w:tcBorders>
            <w:shd w:val="clear" w:color="auto" w:fill="auto"/>
          </w:tcPr>
          <w:p w14:paraId="2CB11067"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4FF93181" w14:textId="77777777" w:rsidTr="0008368E">
        <w:trPr>
          <w:trHeight w:val="405"/>
        </w:trPr>
        <w:tc>
          <w:tcPr>
            <w:tcW w:w="4361" w:type="dxa"/>
            <w:tcBorders>
              <w:top w:val="nil"/>
              <w:left w:val="nil"/>
              <w:bottom w:val="nil"/>
              <w:right w:val="nil"/>
            </w:tcBorders>
            <w:shd w:val="clear" w:color="auto" w:fill="auto"/>
          </w:tcPr>
          <w:p w14:paraId="62010496"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EARNINGS</w:t>
            </w:r>
          </w:p>
        </w:tc>
        <w:tc>
          <w:tcPr>
            <w:tcW w:w="1276" w:type="dxa"/>
            <w:tcBorders>
              <w:top w:val="nil"/>
              <w:left w:val="nil"/>
              <w:bottom w:val="nil"/>
              <w:right w:val="nil"/>
            </w:tcBorders>
            <w:shd w:val="clear" w:color="auto" w:fill="auto"/>
          </w:tcPr>
          <w:p w14:paraId="5C19CCAD"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6.894 (14.68***)</w:t>
            </w:r>
          </w:p>
        </w:tc>
        <w:tc>
          <w:tcPr>
            <w:tcW w:w="1276" w:type="dxa"/>
            <w:tcBorders>
              <w:top w:val="nil"/>
              <w:left w:val="nil"/>
              <w:bottom w:val="nil"/>
              <w:right w:val="nil"/>
            </w:tcBorders>
            <w:shd w:val="clear" w:color="auto" w:fill="auto"/>
          </w:tcPr>
          <w:p w14:paraId="64CDEF0C"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7.203</w:t>
            </w:r>
          </w:p>
          <w:p w14:paraId="4B589645"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(9.15***)</w:t>
            </w:r>
          </w:p>
        </w:tc>
        <w:tc>
          <w:tcPr>
            <w:tcW w:w="1418" w:type="dxa"/>
            <w:tcBorders>
              <w:top w:val="nil"/>
              <w:left w:val="nil"/>
              <w:bottom w:val="nil"/>
              <w:right w:val="nil"/>
            </w:tcBorders>
            <w:shd w:val="clear" w:color="auto" w:fill="auto"/>
          </w:tcPr>
          <w:p w14:paraId="2089B906"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8.166</w:t>
            </w:r>
          </w:p>
          <w:p w14:paraId="5E8BDA7E"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(12.76***)</w:t>
            </w:r>
          </w:p>
        </w:tc>
        <w:tc>
          <w:tcPr>
            <w:tcW w:w="849" w:type="dxa"/>
            <w:tcBorders>
              <w:top w:val="nil"/>
              <w:left w:val="nil"/>
              <w:bottom w:val="nil"/>
              <w:right w:val="nil"/>
            </w:tcBorders>
            <w:shd w:val="clear" w:color="auto" w:fill="auto"/>
          </w:tcPr>
          <w:p w14:paraId="364A0045"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569574B6" w14:textId="77777777" w:rsidTr="0008368E">
        <w:trPr>
          <w:trHeight w:val="420"/>
        </w:trPr>
        <w:tc>
          <w:tcPr>
            <w:tcW w:w="4361" w:type="dxa"/>
            <w:tcBorders>
              <w:top w:val="nil"/>
              <w:left w:val="nil"/>
              <w:bottom w:val="nil"/>
              <w:right w:val="nil"/>
            </w:tcBorders>
            <w:shd w:val="clear" w:color="auto" w:fill="auto"/>
          </w:tcPr>
          <w:p w14:paraId="25ED04EC"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EIGLS</w:t>
            </w:r>
          </w:p>
        </w:tc>
        <w:tc>
          <w:tcPr>
            <w:tcW w:w="1276" w:type="dxa"/>
            <w:tcBorders>
              <w:top w:val="nil"/>
              <w:left w:val="nil"/>
              <w:bottom w:val="nil"/>
              <w:right w:val="nil"/>
            </w:tcBorders>
            <w:shd w:val="clear" w:color="auto" w:fill="auto"/>
          </w:tcPr>
          <w:p w14:paraId="10E28A29" w14:textId="77777777" w:rsidR="00130429" w:rsidRPr="00F4226B" w:rsidRDefault="00130429" w:rsidP="00582332">
            <w:pPr>
              <w:spacing w:after="0" w:line="240" w:lineRule="auto"/>
              <w:jc w:val="center"/>
              <w:rPr>
                <w:rFonts w:ascii="Times New Roman" w:hAnsi="Times New Roman"/>
                <w:color w:val="000000"/>
                <w:sz w:val="18"/>
                <w:szCs w:val="18"/>
                <w:lang w:val="en-US"/>
              </w:rPr>
            </w:pPr>
          </w:p>
          <w:p w14:paraId="5DDAF1C1" w14:textId="77777777" w:rsidR="00130429" w:rsidRPr="00F4226B" w:rsidRDefault="00130429" w:rsidP="00582332">
            <w:pPr>
              <w:spacing w:after="0" w:line="240" w:lineRule="auto"/>
              <w:jc w:val="center"/>
              <w:rPr>
                <w:rFonts w:ascii="Times New Roman" w:hAnsi="Times New Roman"/>
                <w:b/>
                <w:color w:val="000000"/>
                <w:sz w:val="18"/>
                <w:szCs w:val="18"/>
                <w:lang w:val="en-US"/>
              </w:rPr>
            </w:pPr>
          </w:p>
        </w:tc>
        <w:tc>
          <w:tcPr>
            <w:tcW w:w="1276" w:type="dxa"/>
            <w:tcBorders>
              <w:top w:val="nil"/>
              <w:left w:val="nil"/>
              <w:bottom w:val="nil"/>
              <w:right w:val="nil"/>
            </w:tcBorders>
            <w:shd w:val="clear" w:color="auto" w:fill="auto"/>
          </w:tcPr>
          <w:p w14:paraId="33794F0F" w14:textId="77777777" w:rsidR="00130429" w:rsidRPr="00F4226B" w:rsidRDefault="00130429" w:rsidP="00582332">
            <w:pPr>
              <w:spacing w:after="0" w:line="240" w:lineRule="auto"/>
              <w:jc w:val="center"/>
              <w:rPr>
                <w:rFonts w:ascii="Times New Roman" w:hAnsi="Times New Roman"/>
                <w:b/>
                <w:color w:val="000000"/>
                <w:sz w:val="18"/>
                <w:szCs w:val="18"/>
                <w:lang w:val="en-US"/>
              </w:rPr>
            </w:pPr>
          </w:p>
        </w:tc>
        <w:tc>
          <w:tcPr>
            <w:tcW w:w="1418" w:type="dxa"/>
            <w:tcBorders>
              <w:top w:val="nil"/>
              <w:left w:val="nil"/>
              <w:bottom w:val="nil"/>
              <w:right w:val="nil"/>
            </w:tcBorders>
            <w:shd w:val="clear" w:color="auto" w:fill="auto"/>
          </w:tcPr>
          <w:p w14:paraId="4FDAB309"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-2.285</w:t>
            </w:r>
          </w:p>
          <w:p w14:paraId="14135024"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(-2.87***)</w:t>
            </w:r>
          </w:p>
        </w:tc>
        <w:tc>
          <w:tcPr>
            <w:tcW w:w="849" w:type="dxa"/>
            <w:tcBorders>
              <w:top w:val="nil"/>
              <w:left w:val="nil"/>
              <w:bottom w:val="nil"/>
              <w:right w:val="nil"/>
            </w:tcBorders>
            <w:shd w:val="clear" w:color="auto" w:fill="auto"/>
          </w:tcPr>
          <w:p w14:paraId="43F62FD2"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5995D898" w14:textId="77777777" w:rsidTr="0008368E">
        <w:trPr>
          <w:trHeight w:val="405"/>
        </w:trPr>
        <w:tc>
          <w:tcPr>
            <w:tcW w:w="4361" w:type="dxa"/>
            <w:tcBorders>
              <w:top w:val="nil"/>
              <w:left w:val="nil"/>
              <w:bottom w:val="nil"/>
              <w:right w:val="nil"/>
            </w:tcBorders>
            <w:shd w:val="clear" w:color="auto" w:fill="auto"/>
          </w:tcPr>
          <w:p w14:paraId="3EAB59C3"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Fixed time effects</w:t>
            </w:r>
          </w:p>
        </w:tc>
        <w:tc>
          <w:tcPr>
            <w:tcW w:w="1276" w:type="dxa"/>
            <w:tcBorders>
              <w:top w:val="nil"/>
              <w:left w:val="nil"/>
              <w:bottom w:val="nil"/>
              <w:right w:val="nil"/>
            </w:tcBorders>
            <w:shd w:val="clear" w:color="auto" w:fill="auto"/>
          </w:tcPr>
          <w:p w14:paraId="4E9F5A0B"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276" w:type="dxa"/>
            <w:tcBorders>
              <w:top w:val="nil"/>
              <w:left w:val="nil"/>
              <w:bottom w:val="nil"/>
              <w:right w:val="nil"/>
            </w:tcBorders>
            <w:shd w:val="clear" w:color="auto" w:fill="auto"/>
          </w:tcPr>
          <w:p w14:paraId="524E276B"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1418" w:type="dxa"/>
            <w:tcBorders>
              <w:top w:val="nil"/>
              <w:left w:val="nil"/>
              <w:bottom w:val="nil"/>
              <w:right w:val="nil"/>
            </w:tcBorders>
            <w:shd w:val="clear" w:color="auto" w:fill="auto"/>
          </w:tcPr>
          <w:p w14:paraId="1B4B2265"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849" w:type="dxa"/>
            <w:tcBorders>
              <w:top w:val="nil"/>
              <w:left w:val="nil"/>
              <w:bottom w:val="nil"/>
              <w:right w:val="nil"/>
            </w:tcBorders>
            <w:shd w:val="clear" w:color="auto" w:fill="auto"/>
          </w:tcPr>
          <w:p w14:paraId="2C732D19"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7E3DB415" w14:textId="77777777" w:rsidTr="0008368E">
        <w:trPr>
          <w:trHeight w:val="240"/>
        </w:trPr>
        <w:tc>
          <w:tcPr>
            <w:tcW w:w="4361" w:type="dxa"/>
            <w:tcBorders>
              <w:top w:val="nil"/>
              <w:left w:val="nil"/>
              <w:bottom w:val="nil"/>
              <w:right w:val="nil"/>
            </w:tcBorders>
            <w:shd w:val="clear" w:color="auto" w:fill="auto"/>
          </w:tcPr>
          <w:p w14:paraId="64A3281E" w14:textId="77777777" w:rsidR="00130429" w:rsidRPr="00F4226B" w:rsidRDefault="00130429" w:rsidP="00130429">
            <w:pPr>
              <w:spacing w:after="0" w:line="240" w:lineRule="auto"/>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Number of observations</w:t>
            </w:r>
          </w:p>
        </w:tc>
        <w:tc>
          <w:tcPr>
            <w:tcW w:w="1276" w:type="dxa"/>
            <w:tcBorders>
              <w:top w:val="nil"/>
              <w:left w:val="nil"/>
              <w:bottom w:val="nil"/>
              <w:right w:val="nil"/>
            </w:tcBorders>
            <w:shd w:val="clear" w:color="auto" w:fill="auto"/>
          </w:tcPr>
          <w:p w14:paraId="6246EC20"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193</w:t>
            </w:r>
          </w:p>
        </w:tc>
        <w:tc>
          <w:tcPr>
            <w:tcW w:w="1276" w:type="dxa"/>
            <w:tcBorders>
              <w:top w:val="nil"/>
              <w:left w:val="nil"/>
              <w:bottom w:val="nil"/>
              <w:right w:val="nil"/>
            </w:tcBorders>
            <w:shd w:val="clear" w:color="auto" w:fill="auto"/>
          </w:tcPr>
          <w:p w14:paraId="55DD70AC"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193</w:t>
            </w:r>
          </w:p>
        </w:tc>
        <w:tc>
          <w:tcPr>
            <w:tcW w:w="1418" w:type="dxa"/>
            <w:tcBorders>
              <w:top w:val="nil"/>
              <w:left w:val="nil"/>
              <w:bottom w:val="nil"/>
              <w:right w:val="nil"/>
            </w:tcBorders>
            <w:shd w:val="clear" w:color="auto" w:fill="auto"/>
          </w:tcPr>
          <w:p w14:paraId="2B3869A7"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193</w:t>
            </w:r>
          </w:p>
        </w:tc>
        <w:tc>
          <w:tcPr>
            <w:tcW w:w="849" w:type="dxa"/>
            <w:tcBorders>
              <w:top w:val="nil"/>
              <w:left w:val="nil"/>
              <w:bottom w:val="nil"/>
              <w:right w:val="nil"/>
            </w:tcBorders>
            <w:shd w:val="clear" w:color="auto" w:fill="auto"/>
          </w:tcPr>
          <w:p w14:paraId="2E39E61D" w14:textId="77777777" w:rsidR="00130429" w:rsidRPr="00F4226B" w:rsidRDefault="00130429" w:rsidP="00130429">
            <w:pPr>
              <w:spacing w:after="0" w:line="240" w:lineRule="auto"/>
              <w:jc w:val="right"/>
              <w:rPr>
                <w:rFonts w:ascii="Times New Roman" w:hAnsi="Times New Roman"/>
                <w:color w:val="000000"/>
                <w:sz w:val="18"/>
                <w:szCs w:val="18"/>
                <w:lang w:val="en-US"/>
              </w:rPr>
            </w:pPr>
          </w:p>
        </w:tc>
      </w:tr>
      <w:tr w:rsidR="00130429" w:rsidRPr="00F4226B" w14:paraId="520246E6" w14:textId="77777777" w:rsidTr="0008368E">
        <w:trPr>
          <w:trHeight w:val="240"/>
        </w:trPr>
        <w:tc>
          <w:tcPr>
            <w:tcW w:w="4361" w:type="dxa"/>
            <w:tcBorders>
              <w:top w:val="nil"/>
              <w:left w:val="nil"/>
              <w:bottom w:val="nil"/>
              <w:right w:val="nil"/>
            </w:tcBorders>
            <w:shd w:val="clear" w:color="auto" w:fill="auto"/>
          </w:tcPr>
          <w:p w14:paraId="203289C2"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F-ratio</w:t>
            </w:r>
          </w:p>
        </w:tc>
        <w:tc>
          <w:tcPr>
            <w:tcW w:w="1276" w:type="dxa"/>
            <w:tcBorders>
              <w:top w:val="nil"/>
              <w:left w:val="nil"/>
              <w:bottom w:val="nil"/>
              <w:right w:val="nil"/>
            </w:tcBorders>
            <w:shd w:val="clear" w:color="auto" w:fill="auto"/>
          </w:tcPr>
          <w:p w14:paraId="4DDBA254"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54.18***</w:t>
            </w:r>
          </w:p>
        </w:tc>
        <w:tc>
          <w:tcPr>
            <w:tcW w:w="1276" w:type="dxa"/>
            <w:tcBorders>
              <w:top w:val="nil"/>
              <w:left w:val="nil"/>
              <w:bottom w:val="nil"/>
              <w:right w:val="nil"/>
            </w:tcBorders>
            <w:shd w:val="clear" w:color="auto" w:fill="auto"/>
          </w:tcPr>
          <w:p w14:paraId="7DEF5BF6"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26.23***</w:t>
            </w:r>
          </w:p>
        </w:tc>
        <w:tc>
          <w:tcPr>
            <w:tcW w:w="1418" w:type="dxa"/>
            <w:tcBorders>
              <w:top w:val="nil"/>
              <w:left w:val="nil"/>
              <w:bottom w:val="nil"/>
              <w:right w:val="nil"/>
            </w:tcBorders>
            <w:shd w:val="clear" w:color="auto" w:fill="auto"/>
          </w:tcPr>
          <w:p w14:paraId="62A7D856"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49.41***</w:t>
            </w:r>
          </w:p>
        </w:tc>
        <w:tc>
          <w:tcPr>
            <w:tcW w:w="849" w:type="dxa"/>
            <w:tcBorders>
              <w:top w:val="nil"/>
              <w:left w:val="nil"/>
              <w:bottom w:val="nil"/>
              <w:right w:val="nil"/>
            </w:tcBorders>
            <w:shd w:val="clear" w:color="auto" w:fill="auto"/>
          </w:tcPr>
          <w:p w14:paraId="5C2351B4"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2F190BD5" w14:textId="77777777" w:rsidTr="0008368E">
        <w:trPr>
          <w:trHeight w:val="240"/>
        </w:trPr>
        <w:tc>
          <w:tcPr>
            <w:tcW w:w="4361" w:type="dxa"/>
            <w:tcBorders>
              <w:top w:val="nil"/>
              <w:left w:val="nil"/>
              <w:bottom w:val="nil"/>
              <w:right w:val="nil"/>
            </w:tcBorders>
            <w:shd w:val="clear" w:color="auto" w:fill="auto"/>
          </w:tcPr>
          <w:p w14:paraId="3C66BD99"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Adjusted R</w:t>
            </w:r>
            <w:r w:rsidRPr="00F4226B">
              <w:rPr>
                <w:rFonts w:ascii="Times New Roman" w:hAnsi="Times New Roman"/>
                <w:bCs/>
                <w:color w:val="000000"/>
                <w:sz w:val="18"/>
                <w:szCs w:val="18"/>
                <w:vertAlign w:val="superscript"/>
                <w:lang w:val="en-US" w:eastAsia="es-ES"/>
              </w:rPr>
              <w:t>2</w:t>
            </w:r>
          </w:p>
        </w:tc>
        <w:tc>
          <w:tcPr>
            <w:tcW w:w="1276" w:type="dxa"/>
            <w:tcBorders>
              <w:top w:val="nil"/>
              <w:left w:val="nil"/>
              <w:bottom w:val="nil"/>
              <w:right w:val="nil"/>
            </w:tcBorders>
            <w:shd w:val="clear" w:color="auto" w:fill="auto"/>
          </w:tcPr>
          <w:p w14:paraId="4C845A77"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0.624</w:t>
            </w:r>
          </w:p>
        </w:tc>
        <w:tc>
          <w:tcPr>
            <w:tcW w:w="1276" w:type="dxa"/>
            <w:tcBorders>
              <w:top w:val="nil"/>
              <w:left w:val="nil"/>
              <w:bottom w:val="nil"/>
              <w:right w:val="nil"/>
            </w:tcBorders>
            <w:shd w:val="clear" w:color="auto" w:fill="auto"/>
          </w:tcPr>
          <w:p w14:paraId="0C8F76CD"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0.441</w:t>
            </w:r>
          </w:p>
        </w:tc>
        <w:tc>
          <w:tcPr>
            <w:tcW w:w="1418" w:type="dxa"/>
            <w:tcBorders>
              <w:top w:val="nil"/>
              <w:left w:val="nil"/>
              <w:bottom w:val="nil"/>
              <w:right w:val="nil"/>
            </w:tcBorders>
            <w:shd w:val="clear" w:color="auto" w:fill="auto"/>
          </w:tcPr>
          <w:p w14:paraId="76CD5BB4"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0.638</w:t>
            </w:r>
          </w:p>
        </w:tc>
        <w:tc>
          <w:tcPr>
            <w:tcW w:w="849" w:type="dxa"/>
            <w:tcBorders>
              <w:top w:val="nil"/>
              <w:left w:val="nil"/>
              <w:bottom w:val="nil"/>
              <w:right w:val="nil"/>
            </w:tcBorders>
            <w:shd w:val="clear" w:color="auto" w:fill="auto"/>
          </w:tcPr>
          <w:p w14:paraId="3F44024D"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0A681CB2" w14:textId="77777777" w:rsidTr="0008368E">
        <w:trPr>
          <w:trHeight w:val="240"/>
        </w:trPr>
        <w:tc>
          <w:tcPr>
            <w:tcW w:w="4361" w:type="dxa"/>
            <w:tcBorders>
              <w:top w:val="nil"/>
              <w:left w:val="nil"/>
              <w:bottom w:val="nil"/>
              <w:right w:val="nil"/>
            </w:tcBorders>
            <w:shd w:val="clear" w:color="auto" w:fill="auto"/>
          </w:tcPr>
          <w:p w14:paraId="6EE7A545"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Vuong’s Z-statistics: HC vs IA Model                  </w:t>
            </w:r>
          </w:p>
        </w:tc>
        <w:tc>
          <w:tcPr>
            <w:tcW w:w="1276" w:type="dxa"/>
            <w:tcBorders>
              <w:top w:val="nil"/>
              <w:left w:val="nil"/>
              <w:bottom w:val="nil"/>
              <w:right w:val="nil"/>
            </w:tcBorders>
            <w:shd w:val="clear" w:color="auto" w:fill="auto"/>
          </w:tcPr>
          <w:p w14:paraId="47BC3F6D"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nil"/>
              <w:right w:val="nil"/>
            </w:tcBorders>
            <w:shd w:val="clear" w:color="auto" w:fill="auto"/>
          </w:tcPr>
          <w:p w14:paraId="1BDA2013"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2.349**</w:t>
            </w:r>
          </w:p>
        </w:tc>
        <w:tc>
          <w:tcPr>
            <w:tcW w:w="1418" w:type="dxa"/>
            <w:tcBorders>
              <w:top w:val="nil"/>
              <w:left w:val="nil"/>
              <w:bottom w:val="nil"/>
              <w:right w:val="nil"/>
            </w:tcBorders>
            <w:shd w:val="clear" w:color="auto" w:fill="auto"/>
          </w:tcPr>
          <w:p w14:paraId="1A0D4CD3" w14:textId="77777777" w:rsidR="00130429" w:rsidRPr="00F4226B" w:rsidRDefault="00130429" w:rsidP="00582332">
            <w:pPr>
              <w:spacing w:after="0" w:line="240" w:lineRule="auto"/>
              <w:jc w:val="center"/>
              <w:rPr>
                <w:rFonts w:ascii="Times New Roman" w:hAnsi="Times New Roman"/>
                <w:color w:val="000000"/>
                <w:sz w:val="18"/>
                <w:szCs w:val="18"/>
                <w:lang w:val="en-US"/>
              </w:rPr>
            </w:pPr>
          </w:p>
        </w:tc>
        <w:tc>
          <w:tcPr>
            <w:tcW w:w="849" w:type="dxa"/>
            <w:tcBorders>
              <w:top w:val="nil"/>
              <w:left w:val="nil"/>
              <w:bottom w:val="nil"/>
              <w:right w:val="nil"/>
            </w:tcBorders>
            <w:shd w:val="clear" w:color="auto" w:fill="auto"/>
          </w:tcPr>
          <w:p w14:paraId="0B48FEEA"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4F9F33F6" w14:textId="77777777" w:rsidTr="0008368E">
        <w:trPr>
          <w:trHeight w:val="240"/>
        </w:trPr>
        <w:tc>
          <w:tcPr>
            <w:tcW w:w="4361" w:type="dxa"/>
            <w:tcBorders>
              <w:top w:val="nil"/>
              <w:left w:val="nil"/>
              <w:bottom w:val="nil"/>
              <w:right w:val="nil"/>
            </w:tcBorders>
            <w:shd w:val="clear" w:color="auto" w:fill="auto"/>
          </w:tcPr>
          <w:p w14:paraId="5721894B"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Incremental Model</w:t>
            </w:r>
          </w:p>
        </w:tc>
        <w:tc>
          <w:tcPr>
            <w:tcW w:w="1276" w:type="dxa"/>
            <w:tcBorders>
              <w:top w:val="nil"/>
              <w:left w:val="nil"/>
              <w:bottom w:val="nil"/>
              <w:right w:val="nil"/>
            </w:tcBorders>
            <w:shd w:val="clear" w:color="auto" w:fill="auto"/>
          </w:tcPr>
          <w:p w14:paraId="3C9CD7AA"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nil"/>
              <w:right w:val="nil"/>
            </w:tcBorders>
            <w:shd w:val="clear" w:color="auto" w:fill="auto"/>
          </w:tcPr>
          <w:p w14:paraId="680A714B"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bottom w:val="nil"/>
              <w:right w:val="nil"/>
            </w:tcBorders>
            <w:shd w:val="clear" w:color="auto" w:fill="auto"/>
          </w:tcPr>
          <w:p w14:paraId="73A93098"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0.283</w:t>
            </w:r>
          </w:p>
        </w:tc>
        <w:tc>
          <w:tcPr>
            <w:tcW w:w="849" w:type="dxa"/>
            <w:tcBorders>
              <w:top w:val="nil"/>
              <w:left w:val="nil"/>
              <w:bottom w:val="nil"/>
              <w:right w:val="nil"/>
            </w:tcBorders>
            <w:shd w:val="clear" w:color="auto" w:fill="auto"/>
          </w:tcPr>
          <w:p w14:paraId="3CBA3C11"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53BE9983" w14:textId="77777777" w:rsidTr="0008368E">
        <w:trPr>
          <w:trHeight w:val="240"/>
        </w:trPr>
        <w:tc>
          <w:tcPr>
            <w:tcW w:w="4361" w:type="dxa"/>
            <w:tcBorders>
              <w:top w:val="nil"/>
              <w:left w:val="nil"/>
              <w:bottom w:val="single" w:sz="4" w:space="0" w:color="auto"/>
              <w:right w:val="nil"/>
            </w:tcBorders>
            <w:shd w:val="clear" w:color="auto" w:fill="auto"/>
          </w:tcPr>
          <w:p w14:paraId="299951C4"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IA vs Incremental Model</w:t>
            </w:r>
          </w:p>
        </w:tc>
        <w:tc>
          <w:tcPr>
            <w:tcW w:w="1276" w:type="dxa"/>
            <w:tcBorders>
              <w:top w:val="nil"/>
              <w:left w:val="nil"/>
              <w:bottom w:val="single" w:sz="4" w:space="0" w:color="auto"/>
              <w:right w:val="nil"/>
            </w:tcBorders>
            <w:shd w:val="clear" w:color="auto" w:fill="auto"/>
          </w:tcPr>
          <w:p w14:paraId="79E2872B"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single" w:sz="4" w:space="0" w:color="auto"/>
              <w:right w:val="nil"/>
            </w:tcBorders>
            <w:shd w:val="clear" w:color="auto" w:fill="auto"/>
          </w:tcPr>
          <w:p w14:paraId="02687AF4"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bottom w:val="single" w:sz="4" w:space="0" w:color="auto"/>
              <w:right w:val="nil"/>
            </w:tcBorders>
            <w:shd w:val="clear" w:color="auto" w:fill="auto"/>
          </w:tcPr>
          <w:p w14:paraId="7D419FB4"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2.426**</w:t>
            </w:r>
          </w:p>
        </w:tc>
        <w:tc>
          <w:tcPr>
            <w:tcW w:w="849" w:type="dxa"/>
            <w:tcBorders>
              <w:top w:val="nil"/>
              <w:left w:val="nil"/>
              <w:bottom w:val="single" w:sz="4" w:space="0" w:color="auto"/>
              <w:right w:val="nil"/>
            </w:tcBorders>
            <w:shd w:val="clear" w:color="auto" w:fill="auto"/>
          </w:tcPr>
          <w:p w14:paraId="5998BE05"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20CB92FD" w14:textId="77777777" w:rsidTr="0008368E">
        <w:trPr>
          <w:trHeight w:val="240"/>
        </w:trPr>
        <w:tc>
          <w:tcPr>
            <w:tcW w:w="4361" w:type="dxa"/>
            <w:tcBorders>
              <w:top w:val="single" w:sz="4" w:space="0" w:color="auto"/>
              <w:left w:val="nil"/>
              <w:bottom w:val="single" w:sz="4" w:space="0" w:color="auto"/>
              <w:right w:val="nil"/>
            </w:tcBorders>
            <w:shd w:val="clear" w:color="auto" w:fill="auto"/>
          </w:tcPr>
          <w:p w14:paraId="52140C4F" w14:textId="698409E5" w:rsidR="00130429" w:rsidRPr="00F4226B" w:rsidRDefault="00130429" w:rsidP="00130429">
            <w:pPr>
              <w:spacing w:before="120" w:after="120" w:line="240" w:lineRule="auto"/>
              <w:rPr>
                <w:rFonts w:ascii="Times New Roman" w:hAnsi="Times New Roman"/>
                <w:bCs/>
                <w:color w:val="000000"/>
                <w:sz w:val="18"/>
                <w:szCs w:val="18"/>
                <w:lang w:val="en-US" w:eastAsia="es-ES"/>
              </w:rPr>
            </w:pPr>
            <w:r w:rsidRPr="00F4226B">
              <w:rPr>
                <w:rFonts w:ascii="Times New Roman" w:hAnsi="Times New Roman"/>
                <w:b/>
                <w:color w:val="000000"/>
                <w:sz w:val="18"/>
                <w:szCs w:val="18"/>
                <w:lang w:val="en-US"/>
              </w:rPr>
              <w:t>Panel B: Low inflation period (2000</w:t>
            </w:r>
            <w:r w:rsidR="00D73423">
              <w:rPr>
                <w:rFonts w:ascii="Times New Roman" w:hAnsi="Times New Roman"/>
                <w:b/>
                <w:color w:val="000000"/>
                <w:sz w:val="18"/>
                <w:szCs w:val="18"/>
                <w:lang w:val="en-US"/>
              </w:rPr>
              <w:t>–</w:t>
            </w:r>
            <w:r w:rsidRPr="00F4226B">
              <w:rPr>
                <w:rFonts w:ascii="Times New Roman" w:hAnsi="Times New Roman"/>
                <w:b/>
                <w:color w:val="000000"/>
                <w:sz w:val="18"/>
                <w:szCs w:val="18"/>
                <w:lang w:val="en-US"/>
              </w:rPr>
              <w:t>2002)</w:t>
            </w:r>
          </w:p>
        </w:tc>
        <w:tc>
          <w:tcPr>
            <w:tcW w:w="1276" w:type="dxa"/>
            <w:tcBorders>
              <w:top w:val="single" w:sz="4" w:space="0" w:color="auto"/>
              <w:left w:val="nil"/>
              <w:bottom w:val="single" w:sz="4" w:space="0" w:color="auto"/>
              <w:right w:val="nil"/>
            </w:tcBorders>
            <w:shd w:val="clear" w:color="auto" w:fill="auto"/>
          </w:tcPr>
          <w:p w14:paraId="662904BE"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single" w:sz="4" w:space="0" w:color="auto"/>
              <w:left w:val="nil"/>
              <w:bottom w:val="single" w:sz="4" w:space="0" w:color="auto"/>
              <w:right w:val="nil"/>
            </w:tcBorders>
            <w:shd w:val="clear" w:color="auto" w:fill="auto"/>
          </w:tcPr>
          <w:p w14:paraId="4EA7E941"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single" w:sz="4" w:space="0" w:color="auto"/>
              <w:left w:val="nil"/>
              <w:bottom w:val="single" w:sz="4" w:space="0" w:color="auto"/>
              <w:right w:val="nil"/>
            </w:tcBorders>
            <w:shd w:val="clear" w:color="auto" w:fill="auto"/>
          </w:tcPr>
          <w:p w14:paraId="1AAC4299" w14:textId="77777777" w:rsidR="00130429" w:rsidRPr="00F4226B" w:rsidRDefault="00130429" w:rsidP="00582332">
            <w:pPr>
              <w:spacing w:after="0" w:line="240" w:lineRule="auto"/>
              <w:jc w:val="center"/>
              <w:rPr>
                <w:rFonts w:ascii="Times New Roman" w:hAnsi="Times New Roman"/>
                <w:color w:val="000000"/>
                <w:sz w:val="18"/>
                <w:szCs w:val="18"/>
                <w:lang w:val="en-US"/>
              </w:rPr>
            </w:pPr>
          </w:p>
        </w:tc>
        <w:tc>
          <w:tcPr>
            <w:tcW w:w="849" w:type="dxa"/>
            <w:tcBorders>
              <w:top w:val="single" w:sz="4" w:space="0" w:color="auto"/>
              <w:left w:val="nil"/>
              <w:bottom w:val="single" w:sz="4" w:space="0" w:color="auto"/>
              <w:right w:val="nil"/>
            </w:tcBorders>
            <w:shd w:val="clear" w:color="auto" w:fill="auto"/>
          </w:tcPr>
          <w:p w14:paraId="5D83B535"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654E1889" w14:textId="77777777" w:rsidTr="0008368E">
        <w:tc>
          <w:tcPr>
            <w:tcW w:w="4361" w:type="dxa"/>
            <w:tcBorders>
              <w:top w:val="single" w:sz="4" w:space="0" w:color="auto"/>
              <w:left w:val="nil"/>
              <w:bottom w:val="nil"/>
              <w:right w:val="nil"/>
            </w:tcBorders>
            <w:shd w:val="clear" w:color="auto" w:fill="auto"/>
          </w:tcPr>
          <w:p w14:paraId="3CD2BA7E"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Intercept</w:t>
            </w:r>
          </w:p>
        </w:tc>
        <w:tc>
          <w:tcPr>
            <w:tcW w:w="1276" w:type="dxa"/>
            <w:tcBorders>
              <w:top w:val="single" w:sz="4" w:space="0" w:color="auto"/>
              <w:left w:val="nil"/>
              <w:bottom w:val="nil"/>
              <w:right w:val="nil"/>
            </w:tcBorders>
            <w:shd w:val="clear" w:color="auto" w:fill="auto"/>
          </w:tcPr>
          <w:p w14:paraId="7B4951A8"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0.442</w:t>
            </w:r>
          </w:p>
          <w:p w14:paraId="46CE8AB9"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(0.11)</w:t>
            </w:r>
          </w:p>
        </w:tc>
        <w:tc>
          <w:tcPr>
            <w:tcW w:w="1276" w:type="dxa"/>
            <w:tcBorders>
              <w:top w:val="single" w:sz="4" w:space="0" w:color="auto"/>
              <w:left w:val="nil"/>
              <w:bottom w:val="nil"/>
              <w:right w:val="nil"/>
            </w:tcBorders>
            <w:shd w:val="clear" w:color="auto" w:fill="auto"/>
          </w:tcPr>
          <w:p w14:paraId="7CACBC3C"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1.252</w:t>
            </w:r>
          </w:p>
          <w:p w14:paraId="09BE529F"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(0.26)</w:t>
            </w:r>
          </w:p>
        </w:tc>
        <w:tc>
          <w:tcPr>
            <w:tcW w:w="1418" w:type="dxa"/>
            <w:tcBorders>
              <w:top w:val="single" w:sz="4" w:space="0" w:color="auto"/>
              <w:left w:val="nil"/>
              <w:bottom w:val="nil"/>
              <w:right w:val="nil"/>
            </w:tcBorders>
            <w:shd w:val="clear" w:color="auto" w:fill="auto"/>
          </w:tcPr>
          <w:p w14:paraId="657444F2"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0.493</w:t>
            </w:r>
          </w:p>
          <w:p w14:paraId="3885F80B"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(0.12)</w:t>
            </w:r>
          </w:p>
        </w:tc>
        <w:tc>
          <w:tcPr>
            <w:tcW w:w="849" w:type="dxa"/>
            <w:tcBorders>
              <w:top w:val="single" w:sz="4" w:space="0" w:color="auto"/>
              <w:left w:val="nil"/>
              <w:bottom w:val="nil"/>
              <w:right w:val="nil"/>
            </w:tcBorders>
            <w:shd w:val="clear" w:color="auto" w:fill="auto"/>
          </w:tcPr>
          <w:p w14:paraId="068988B4"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2F26E8AA" w14:textId="77777777" w:rsidTr="0008368E">
        <w:tc>
          <w:tcPr>
            <w:tcW w:w="4361" w:type="dxa"/>
            <w:tcBorders>
              <w:top w:val="nil"/>
              <w:left w:val="nil"/>
              <w:bottom w:val="nil"/>
              <w:right w:val="nil"/>
            </w:tcBorders>
            <w:shd w:val="clear" w:color="auto" w:fill="auto"/>
          </w:tcPr>
          <w:p w14:paraId="001033FD"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EARNINGS</w:t>
            </w:r>
          </w:p>
        </w:tc>
        <w:tc>
          <w:tcPr>
            <w:tcW w:w="1276" w:type="dxa"/>
            <w:tcBorders>
              <w:top w:val="nil"/>
              <w:left w:val="nil"/>
              <w:bottom w:val="nil"/>
              <w:right w:val="nil"/>
            </w:tcBorders>
            <w:shd w:val="clear" w:color="auto" w:fill="auto"/>
          </w:tcPr>
          <w:p w14:paraId="08A719D3"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6.390                 (5.18***)</w:t>
            </w:r>
          </w:p>
        </w:tc>
        <w:tc>
          <w:tcPr>
            <w:tcW w:w="1276" w:type="dxa"/>
            <w:tcBorders>
              <w:top w:val="nil"/>
              <w:left w:val="nil"/>
              <w:bottom w:val="nil"/>
              <w:right w:val="nil"/>
            </w:tcBorders>
            <w:shd w:val="clear" w:color="auto" w:fill="auto"/>
          </w:tcPr>
          <w:p w14:paraId="0D966DE0"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0.892</w:t>
            </w:r>
          </w:p>
          <w:p w14:paraId="5F01F0AD"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(1.26)</w:t>
            </w:r>
          </w:p>
        </w:tc>
        <w:tc>
          <w:tcPr>
            <w:tcW w:w="1418" w:type="dxa"/>
            <w:tcBorders>
              <w:top w:val="nil"/>
              <w:left w:val="nil"/>
              <w:bottom w:val="nil"/>
              <w:right w:val="nil"/>
            </w:tcBorders>
            <w:shd w:val="clear" w:color="auto" w:fill="auto"/>
          </w:tcPr>
          <w:p w14:paraId="687AFD5F"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6.507</w:t>
            </w:r>
          </w:p>
          <w:p w14:paraId="51571C0C" w14:textId="77777777" w:rsidR="00130429" w:rsidRPr="00F4226B" w:rsidRDefault="00130429" w:rsidP="001E78F5">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w:t>
            </w:r>
            <w:r w:rsidR="001E78F5" w:rsidRPr="00F4226B">
              <w:rPr>
                <w:rFonts w:ascii="Times New Roman" w:hAnsi="Times New Roman"/>
                <w:color w:val="000000"/>
                <w:sz w:val="18"/>
                <w:szCs w:val="18"/>
                <w:lang w:val="en-US"/>
              </w:rPr>
              <w:t>4</w:t>
            </w:r>
            <w:r w:rsidRPr="00F4226B">
              <w:rPr>
                <w:rFonts w:ascii="Times New Roman" w:hAnsi="Times New Roman"/>
                <w:color w:val="000000"/>
                <w:sz w:val="18"/>
                <w:szCs w:val="18"/>
                <w:lang w:val="en-US"/>
              </w:rPr>
              <w:t>.04***)</w:t>
            </w:r>
          </w:p>
        </w:tc>
        <w:tc>
          <w:tcPr>
            <w:tcW w:w="849" w:type="dxa"/>
            <w:tcBorders>
              <w:top w:val="nil"/>
              <w:left w:val="nil"/>
              <w:bottom w:val="nil"/>
              <w:right w:val="nil"/>
            </w:tcBorders>
            <w:shd w:val="clear" w:color="auto" w:fill="auto"/>
          </w:tcPr>
          <w:p w14:paraId="15DBDFD7"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59D8E462" w14:textId="77777777" w:rsidTr="0008368E">
        <w:tc>
          <w:tcPr>
            <w:tcW w:w="4361" w:type="dxa"/>
            <w:tcBorders>
              <w:top w:val="nil"/>
              <w:left w:val="nil"/>
              <w:bottom w:val="nil"/>
              <w:right w:val="nil"/>
            </w:tcBorders>
            <w:shd w:val="clear" w:color="auto" w:fill="auto"/>
          </w:tcPr>
          <w:p w14:paraId="02B88606"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EIGLS</w:t>
            </w:r>
          </w:p>
        </w:tc>
        <w:tc>
          <w:tcPr>
            <w:tcW w:w="1276" w:type="dxa"/>
            <w:tcBorders>
              <w:top w:val="nil"/>
              <w:left w:val="nil"/>
              <w:bottom w:val="nil"/>
              <w:right w:val="nil"/>
            </w:tcBorders>
            <w:shd w:val="clear" w:color="auto" w:fill="auto"/>
          </w:tcPr>
          <w:p w14:paraId="7BFA337F" w14:textId="77777777" w:rsidR="00130429" w:rsidRPr="00F4226B" w:rsidRDefault="00130429" w:rsidP="00582332">
            <w:pPr>
              <w:spacing w:after="0" w:line="240" w:lineRule="auto"/>
              <w:jc w:val="center"/>
              <w:rPr>
                <w:rFonts w:ascii="Times New Roman" w:hAnsi="Times New Roman"/>
                <w:color w:val="000000"/>
                <w:sz w:val="18"/>
                <w:szCs w:val="18"/>
                <w:lang w:val="en-US"/>
              </w:rPr>
            </w:pPr>
          </w:p>
          <w:p w14:paraId="48968C7E" w14:textId="77777777" w:rsidR="00130429" w:rsidRPr="00F4226B" w:rsidRDefault="00130429" w:rsidP="00582332">
            <w:pPr>
              <w:spacing w:after="0" w:line="240" w:lineRule="auto"/>
              <w:jc w:val="center"/>
              <w:rPr>
                <w:rFonts w:ascii="Times New Roman" w:hAnsi="Times New Roman"/>
                <w:b/>
                <w:color w:val="000000"/>
                <w:sz w:val="18"/>
                <w:szCs w:val="18"/>
                <w:lang w:val="en-US"/>
              </w:rPr>
            </w:pPr>
          </w:p>
        </w:tc>
        <w:tc>
          <w:tcPr>
            <w:tcW w:w="1276" w:type="dxa"/>
            <w:tcBorders>
              <w:top w:val="nil"/>
              <w:left w:val="nil"/>
              <w:bottom w:val="nil"/>
              <w:right w:val="nil"/>
            </w:tcBorders>
            <w:shd w:val="clear" w:color="auto" w:fill="auto"/>
          </w:tcPr>
          <w:p w14:paraId="5298AA32" w14:textId="77777777" w:rsidR="00130429" w:rsidRPr="00F4226B" w:rsidRDefault="00130429" w:rsidP="00582332">
            <w:pPr>
              <w:spacing w:after="0" w:line="240" w:lineRule="auto"/>
              <w:jc w:val="center"/>
              <w:rPr>
                <w:rFonts w:ascii="Times New Roman" w:hAnsi="Times New Roman"/>
                <w:b/>
                <w:color w:val="000000"/>
                <w:sz w:val="18"/>
                <w:szCs w:val="18"/>
                <w:lang w:val="en-US"/>
              </w:rPr>
            </w:pPr>
          </w:p>
        </w:tc>
        <w:tc>
          <w:tcPr>
            <w:tcW w:w="1418" w:type="dxa"/>
            <w:tcBorders>
              <w:top w:val="nil"/>
              <w:left w:val="nil"/>
              <w:bottom w:val="nil"/>
              <w:right w:val="nil"/>
            </w:tcBorders>
            <w:shd w:val="clear" w:color="auto" w:fill="auto"/>
          </w:tcPr>
          <w:p w14:paraId="45C613A2"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w:t>
            </w:r>
            <w:r w:rsidR="001E78F5" w:rsidRPr="00F4226B">
              <w:rPr>
                <w:rFonts w:ascii="Times New Roman" w:hAnsi="Times New Roman"/>
                <w:color w:val="000000"/>
                <w:sz w:val="18"/>
                <w:szCs w:val="18"/>
                <w:lang w:val="en-US"/>
              </w:rPr>
              <w:t>2</w:t>
            </w:r>
            <w:r w:rsidRPr="00F4226B">
              <w:rPr>
                <w:rFonts w:ascii="Times New Roman" w:hAnsi="Times New Roman"/>
                <w:color w:val="000000"/>
                <w:sz w:val="18"/>
                <w:szCs w:val="18"/>
                <w:lang w:val="en-US"/>
              </w:rPr>
              <w:t>.2</w:t>
            </w:r>
            <w:r w:rsidR="001E78F5" w:rsidRPr="00F4226B">
              <w:rPr>
                <w:rFonts w:ascii="Times New Roman" w:hAnsi="Times New Roman"/>
                <w:color w:val="000000"/>
                <w:sz w:val="18"/>
                <w:szCs w:val="18"/>
                <w:lang w:val="en-US"/>
              </w:rPr>
              <w:t>11</w:t>
            </w:r>
          </w:p>
          <w:p w14:paraId="5AEC1507" w14:textId="77777777" w:rsidR="00130429" w:rsidRPr="00F4226B" w:rsidRDefault="00130429" w:rsidP="001E78F5">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w:t>
            </w:r>
            <w:r w:rsidR="001E78F5" w:rsidRPr="00F4226B">
              <w:rPr>
                <w:rFonts w:ascii="Times New Roman" w:hAnsi="Times New Roman"/>
                <w:color w:val="000000"/>
                <w:sz w:val="18"/>
                <w:szCs w:val="18"/>
                <w:lang w:val="en-US"/>
              </w:rPr>
              <w:t>2</w:t>
            </w:r>
            <w:r w:rsidRPr="00F4226B">
              <w:rPr>
                <w:rFonts w:ascii="Times New Roman" w:hAnsi="Times New Roman"/>
                <w:color w:val="000000"/>
                <w:sz w:val="18"/>
                <w:szCs w:val="18"/>
                <w:lang w:val="en-US"/>
              </w:rPr>
              <w:t>.33</w:t>
            </w:r>
            <w:r w:rsidR="001E78F5" w:rsidRPr="00F4226B">
              <w:rPr>
                <w:rFonts w:ascii="Times New Roman" w:hAnsi="Times New Roman"/>
                <w:color w:val="000000"/>
                <w:sz w:val="18"/>
                <w:szCs w:val="18"/>
                <w:lang w:val="en-US"/>
              </w:rPr>
              <w:t>**</w:t>
            </w:r>
            <w:r w:rsidRPr="00F4226B">
              <w:rPr>
                <w:rFonts w:ascii="Times New Roman" w:hAnsi="Times New Roman"/>
                <w:color w:val="000000"/>
                <w:sz w:val="18"/>
                <w:szCs w:val="18"/>
                <w:lang w:val="en-US"/>
              </w:rPr>
              <w:t>)</w:t>
            </w:r>
          </w:p>
        </w:tc>
        <w:tc>
          <w:tcPr>
            <w:tcW w:w="849" w:type="dxa"/>
            <w:tcBorders>
              <w:top w:val="nil"/>
              <w:left w:val="nil"/>
              <w:bottom w:val="nil"/>
              <w:right w:val="nil"/>
            </w:tcBorders>
            <w:shd w:val="clear" w:color="auto" w:fill="auto"/>
          </w:tcPr>
          <w:p w14:paraId="2DEF8BF4"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52660B08" w14:textId="77777777" w:rsidTr="0008368E">
        <w:tc>
          <w:tcPr>
            <w:tcW w:w="4361" w:type="dxa"/>
            <w:tcBorders>
              <w:top w:val="nil"/>
              <w:left w:val="nil"/>
              <w:bottom w:val="nil"/>
              <w:right w:val="nil"/>
            </w:tcBorders>
            <w:shd w:val="clear" w:color="auto" w:fill="auto"/>
          </w:tcPr>
          <w:p w14:paraId="70BE6E26"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Fixed time effects</w:t>
            </w:r>
          </w:p>
        </w:tc>
        <w:tc>
          <w:tcPr>
            <w:tcW w:w="1276" w:type="dxa"/>
            <w:tcBorders>
              <w:top w:val="nil"/>
              <w:left w:val="nil"/>
              <w:bottom w:val="nil"/>
              <w:right w:val="nil"/>
            </w:tcBorders>
            <w:shd w:val="clear" w:color="auto" w:fill="auto"/>
          </w:tcPr>
          <w:p w14:paraId="54948CE2"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276" w:type="dxa"/>
            <w:tcBorders>
              <w:top w:val="nil"/>
              <w:left w:val="nil"/>
              <w:bottom w:val="nil"/>
              <w:right w:val="nil"/>
            </w:tcBorders>
            <w:shd w:val="clear" w:color="auto" w:fill="auto"/>
          </w:tcPr>
          <w:p w14:paraId="61ED954A"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1418" w:type="dxa"/>
            <w:tcBorders>
              <w:top w:val="nil"/>
              <w:left w:val="nil"/>
              <w:bottom w:val="nil"/>
              <w:right w:val="nil"/>
            </w:tcBorders>
            <w:shd w:val="clear" w:color="auto" w:fill="auto"/>
          </w:tcPr>
          <w:p w14:paraId="728513E4"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849" w:type="dxa"/>
            <w:tcBorders>
              <w:top w:val="nil"/>
              <w:left w:val="nil"/>
              <w:bottom w:val="nil"/>
              <w:right w:val="nil"/>
            </w:tcBorders>
            <w:shd w:val="clear" w:color="auto" w:fill="auto"/>
          </w:tcPr>
          <w:p w14:paraId="76591420"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51010CF8" w14:textId="77777777" w:rsidTr="0008368E">
        <w:tc>
          <w:tcPr>
            <w:tcW w:w="4361" w:type="dxa"/>
            <w:tcBorders>
              <w:top w:val="nil"/>
              <w:left w:val="nil"/>
              <w:bottom w:val="nil"/>
              <w:right w:val="nil"/>
            </w:tcBorders>
            <w:shd w:val="clear" w:color="auto" w:fill="auto"/>
          </w:tcPr>
          <w:p w14:paraId="2FC2120A" w14:textId="77777777" w:rsidR="00130429" w:rsidRPr="00F4226B" w:rsidRDefault="00130429" w:rsidP="00130429">
            <w:pPr>
              <w:spacing w:after="0" w:line="240" w:lineRule="auto"/>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Number of observations</w:t>
            </w:r>
          </w:p>
        </w:tc>
        <w:tc>
          <w:tcPr>
            <w:tcW w:w="1276" w:type="dxa"/>
            <w:tcBorders>
              <w:top w:val="nil"/>
              <w:left w:val="nil"/>
              <w:bottom w:val="nil"/>
              <w:right w:val="nil"/>
            </w:tcBorders>
            <w:shd w:val="clear" w:color="auto" w:fill="auto"/>
          </w:tcPr>
          <w:p w14:paraId="433AE532"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81</w:t>
            </w:r>
          </w:p>
        </w:tc>
        <w:tc>
          <w:tcPr>
            <w:tcW w:w="1276" w:type="dxa"/>
            <w:tcBorders>
              <w:top w:val="nil"/>
              <w:left w:val="nil"/>
              <w:bottom w:val="nil"/>
              <w:right w:val="nil"/>
            </w:tcBorders>
            <w:shd w:val="clear" w:color="auto" w:fill="auto"/>
          </w:tcPr>
          <w:p w14:paraId="457787A8"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81</w:t>
            </w:r>
          </w:p>
        </w:tc>
        <w:tc>
          <w:tcPr>
            <w:tcW w:w="1418" w:type="dxa"/>
            <w:tcBorders>
              <w:top w:val="nil"/>
              <w:left w:val="nil"/>
              <w:bottom w:val="nil"/>
              <w:right w:val="nil"/>
            </w:tcBorders>
            <w:shd w:val="clear" w:color="auto" w:fill="auto"/>
          </w:tcPr>
          <w:p w14:paraId="159BFF5E"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81</w:t>
            </w:r>
          </w:p>
        </w:tc>
        <w:tc>
          <w:tcPr>
            <w:tcW w:w="849" w:type="dxa"/>
            <w:tcBorders>
              <w:top w:val="nil"/>
              <w:left w:val="nil"/>
              <w:bottom w:val="nil"/>
              <w:right w:val="nil"/>
            </w:tcBorders>
            <w:shd w:val="clear" w:color="auto" w:fill="auto"/>
          </w:tcPr>
          <w:p w14:paraId="1CA069A1" w14:textId="77777777" w:rsidR="00130429" w:rsidRPr="00F4226B" w:rsidRDefault="00130429" w:rsidP="00130429">
            <w:pPr>
              <w:spacing w:after="0" w:line="240" w:lineRule="auto"/>
              <w:jc w:val="right"/>
              <w:rPr>
                <w:rFonts w:ascii="Times New Roman" w:hAnsi="Times New Roman"/>
                <w:color w:val="000000"/>
                <w:sz w:val="18"/>
                <w:szCs w:val="18"/>
                <w:lang w:val="en-US"/>
              </w:rPr>
            </w:pPr>
          </w:p>
        </w:tc>
      </w:tr>
      <w:tr w:rsidR="00130429" w:rsidRPr="00F4226B" w14:paraId="6A2B719B" w14:textId="77777777" w:rsidTr="0008368E">
        <w:tc>
          <w:tcPr>
            <w:tcW w:w="4361" w:type="dxa"/>
            <w:tcBorders>
              <w:top w:val="nil"/>
              <w:left w:val="nil"/>
              <w:bottom w:val="nil"/>
              <w:right w:val="nil"/>
            </w:tcBorders>
            <w:shd w:val="clear" w:color="auto" w:fill="auto"/>
          </w:tcPr>
          <w:p w14:paraId="305B6AE0"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F-ratio</w:t>
            </w:r>
          </w:p>
        </w:tc>
        <w:tc>
          <w:tcPr>
            <w:tcW w:w="1276" w:type="dxa"/>
            <w:tcBorders>
              <w:top w:val="nil"/>
              <w:left w:val="nil"/>
              <w:bottom w:val="nil"/>
              <w:right w:val="nil"/>
            </w:tcBorders>
            <w:shd w:val="clear" w:color="auto" w:fill="auto"/>
          </w:tcPr>
          <w:p w14:paraId="3E1FD29D"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12.82***</w:t>
            </w:r>
          </w:p>
        </w:tc>
        <w:tc>
          <w:tcPr>
            <w:tcW w:w="1276" w:type="dxa"/>
            <w:tcBorders>
              <w:top w:val="nil"/>
              <w:left w:val="nil"/>
              <w:bottom w:val="nil"/>
              <w:right w:val="nil"/>
            </w:tcBorders>
            <w:shd w:val="clear" w:color="auto" w:fill="auto"/>
          </w:tcPr>
          <w:p w14:paraId="65DFB690"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3.45***</w:t>
            </w:r>
          </w:p>
        </w:tc>
        <w:tc>
          <w:tcPr>
            <w:tcW w:w="1418" w:type="dxa"/>
            <w:tcBorders>
              <w:top w:val="nil"/>
              <w:left w:val="nil"/>
              <w:bottom w:val="nil"/>
              <w:right w:val="nil"/>
            </w:tcBorders>
            <w:shd w:val="clear" w:color="auto" w:fill="auto"/>
          </w:tcPr>
          <w:p w14:paraId="526B90DF"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9.53***</w:t>
            </w:r>
          </w:p>
        </w:tc>
        <w:tc>
          <w:tcPr>
            <w:tcW w:w="849" w:type="dxa"/>
            <w:tcBorders>
              <w:top w:val="nil"/>
              <w:left w:val="nil"/>
              <w:bottom w:val="nil"/>
              <w:right w:val="nil"/>
            </w:tcBorders>
            <w:shd w:val="clear" w:color="auto" w:fill="auto"/>
          </w:tcPr>
          <w:p w14:paraId="03A19DB2" w14:textId="77777777" w:rsidR="00130429" w:rsidRPr="00F4226B" w:rsidRDefault="00130429" w:rsidP="00130429">
            <w:pPr>
              <w:spacing w:after="0" w:line="240" w:lineRule="auto"/>
              <w:jc w:val="right"/>
              <w:rPr>
                <w:rFonts w:ascii="Times New Roman" w:hAnsi="Times New Roman"/>
                <w:color w:val="000000"/>
                <w:sz w:val="18"/>
                <w:szCs w:val="18"/>
                <w:lang w:val="en-US"/>
              </w:rPr>
            </w:pPr>
          </w:p>
        </w:tc>
      </w:tr>
      <w:tr w:rsidR="00130429" w:rsidRPr="00F4226B" w14:paraId="735A5E36" w14:textId="77777777" w:rsidTr="0008368E">
        <w:tc>
          <w:tcPr>
            <w:tcW w:w="4361" w:type="dxa"/>
            <w:tcBorders>
              <w:top w:val="nil"/>
              <w:left w:val="nil"/>
              <w:bottom w:val="nil"/>
              <w:right w:val="nil"/>
            </w:tcBorders>
            <w:shd w:val="clear" w:color="auto" w:fill="auto"/>
          </w:tcPr>
          <w:p w14:paraId="1FB22D23"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Adjusted R</w:t>
            </w:r>
            <w:r w:rsidRPr="00F4226B">
              <w:rPr>
                <w:rFonts w:ascii="Times New Roman" w:hAnsi="Times New Roman"/>
                <w:bCs/>
                <w:color w:val="000000"/>
                <w:sz w:val="18"/>
                <w:szCs w:val="18"/>
                <w:vertAlign w:val="superscript"/>
                <w:lang w:val="en-US" w:eastAsia="es-ES"/>
              </w:rPr>
              <w:t>2</w:t>
            </w:r>
          </w:p>
        </w:tc>
        <w:tc>
          <w:tcPr>
            <w:tcW w:w="1276" w:type="dxa"/>
            <w:tcBorders>
              <w:top w:val="nil"/>
              <w:left w:val="nil"/>
              <w:bottom w:val="nil"/>
              <w:right w:val="nil"/>
            </w:tcBorders>
            <w:shd w:val="clear" w:color="auto" w:fill="auto"/>
          </w:tcPr>
          <w:p w14:paraId="117A6BCA"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0.307</w:t>
            </w:r>
          </w:p>
        </w:tc>
        <w:tc>
          <w:tcPr>
            <w:tcW w:w="1276" w:type="dxa"/>
            <w:tcBorders>
              <w:top w:val="nil"/>
              <w:left w:val="nil"/>
              <w:bottom w:val="nil"/>
              <w:right w:val="nil"/>
            </w:tcBorders>
            <w:shd w:val="clear" w:color="auto" w:fill="auto"/>
          </w:tcPr>
          <w:p w14:paraId="2085D038"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0.084</w:t>
            </w:r>
          </w:p>
        </w:tc>
        <w:tc>
          <w:tcPr>
            <w:tcW w:w="1418" w:type="dxa"/>
            <w:tcBorders>
              <w:top w:val="nil"/>
              <w:left w:val="nil"/>
              <w:bottom w:val="nil"/>
              <w:right w:val="nil"/>
            </w:tcBorders>
            <w:shd w:val="clear" w:color="auto" w:fill="auto"/>
          </w:tcPr>
          <w:p w14:paraId="4891B1C9"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0.299</w:t>
            </w:r>
          </w:p>
        </w:tc>
        <w:tc>
          <w:tcPr>
            <w:tcW w:w="849" w:type="dxa"/>
            <w:tcBorders>
              <w:top w:val="nil"/>
              <w:left w:val="nil"/>
              <w:bottom w:val="nil"/>
              <w:right w:val="nil"/>
            </w:tcBorders>
            <w:shd w:val="clear" w:color="auto" w:fill="auto"/>
          </w:tcPr>
          <w:p w14:paraId="185E43C3" w14:textId="77777777" w:rsidR="00130429" w:rsidRPr="00F4226B" w:rsidRDefault="00130429" w:rsidP="00130429">
            <w:pPr>
              <w:spacing w:after="0" w:line="240" w:lineRule="auto"/>
              <w:jc w:val="right"/>
              <w:rPr>
                <w:rFonts w:ascii="Times New Roman" w:hAnsi="Times New Roman"/>
                <w:color w:val="000000"/>
                <w:sz w:val="18"/>
                <w:szCs w:val="18"/>
                <w:lang w:val="en-US"/>
              </w:rPr>
            </w:pPr>
          </w:p>
        </w:tc>
      </w:tr>
      <w:tr w:rsidR="00130429" w:rsidRPr="00F4226B" w14:paraId="5DB78B11" w14:textId="77777777" w:rsidTr="0008368E">
        <w:tc>
          <w:tcPr>
            <w:tcW w:w="4361" w:type="dxa"/>
            <w:tcBorders>
              <w:top w:val="nil"/>
              <w:left w:val="nil"/>
              <w:bottom w:val="nil"/>
              <w:right w:val="nil"/>
            </w:tcBorders>
            <w:shd w:val="clear" w:color="auto" w:fill="auto"/>
          </w:tcPr>
          <w:p w14:paraId="6CDD3DAB"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Vuong’s Z-statistics: HC vs IA Model                  </w:t>
            </w:r>
          </w:p>
        </w:tc>
        <w:tc>
          <w:tcPr>
            <w:tcW w:w="1276" w:type="dxa"/>
            <w:tcBorders>
              <w:top w:val="nil"/>
              <w:left w:val="nil"/>
              <w:bottom w:val="nil"/>
              <w:right w:val="nil"/>
            </w:tcBorders>
            <w:shd w:val="clear" w:color="auto" w:fill="auto"/>
          </w:tcPr>
          <w:p w14:paraId="7E93B34A"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nil"/>
              <w:right w:val="nil"/>
            </w:tcBorders>
            <w:shd w:val="clear" w:color="auto" w:fill="auto"/>
          </w:tcPr>
          <w:p w14:paraId="03522CED"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4.229***</w:t>
            </w:r>
          </w:p>
        </w:tc>
        <w:tc>
          <w:tcPr>
            <w:tcW w:w="1418" w:type="dxa"/>
            <w:tcBorders>
              <w:top w:val="nil"/>
              <w:left w:val="nil"/>
              <w:bottom w:val="nil"/>
              <w:right w:val="nil"/>
            </w:tcBorders>
            <w:shd w:val="clear" w:color="auto" w:fill="auto"/>
          </w:tcPr>
          <w:p w14:paraId="02922A23" w14:textId="77777777" w:rsidR="00130429" w:rsidRPr="00F4226B" w:rsidRDefault="00130429" w:rsidP="00582332">
            <w:pPr>
              <w:spacing w:after="0" w:line="240" w:lineRule="auto"/>
              <w:jc w:val="center"/>
              <w:rPr>
                <w:rFonts w:ascii="Times New Roman" w:hAnsi="Times New Roman"/>
                <w:color w:val="000000"/>
                <w:sz w:val="18"/>
                <w:szCs w:val="18"/>
                <w:lang w:val="en-US"/>
              </w:rPr>
            </w:pPr>
          </w:p>
        </w:tc>
        <w:tc>
          <w:tcPr>
            <w:tcW w:w="849" w:type="dxa"/>
            <w:tcBorders>
              <w:top w:val="nil"/>
              <w:left w:val="nil"/>
              <w:bottom w:val="nil"/>
              <w:right w:val="nil"/>
            </w:tcBorders>
            <w:shd w:val="clear" w:color="auto" w:fill="auto"/>
          </w:tcPr>
          <w:p w14:paraId="3C67305F"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19811837" w14:textId="77777777" w:rsidTr="0008368E">
        <w:tc>
          <w:tcPr>
            <w:tcW w:w="4361" w:type="dxa"/>
            <w:tcBorders>
              <w:top w:val="nil"/>
              <w:left w:val="nil"/>
              <w:bottom w:val="nil"/>
              <w:right w:val="nil"/>
            </w:tcBorders>
            <w:shd w:val="clear" w:color="auto" w:fill="auto"/>
          </w:tcPr>
          <w:p w14:paraId="655EE636"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Incremental Model</w:t>
            </w:r>
          </w:p>
        </w:tc>
        <w:tc>
          <w:tcPr>
            <w:tcW w:w="1276" w:type="dxa"/>
            <w:tcBorders>
              <w:top w:val="nil"/>
              <w:left w:val="nil"/>
              <w:bottom w:val="nil"/>
              <w:right w:val="nil"/>
            </w:tcBorders>
            <w:shd w:val="clear" w:color="auto" w:fill="auto"/>
          </w:tcPr>
          <w:p w14:paraId="04B29A0F"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nil"/>
              <w:right w:val="nil"/>
            </w:tcBorders>
            <w:shd w:val="clear" w:color="auto" w:fill="auto"/>
          </w:tcPr>
          <w:p w14:paraId="52CCEF44"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bottom w:val="nil"/>
              <w:right w:val="nil"/>
            </w:tcBorders>
            <w:shd w:val="clear" w:color="auto" w:fill="auto"/>
          </w:tcPr>
          <w:p w14:paraId="1B03D7ED"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0.748</w:t>
            </w:r>
          </w:p>
        </w:tc>
        <w:tc>
          <w:tcPr>
            <w:tcW w:w="849" w:type="dxa"/>
            <w:tcBorders>
              <w:top w:val="nil"/>
              <w:left w:val="nil"/>
              <w:bottom w:val="nil"/>
              <w:right w:val="nil"/>
            </w:tcBorders>
            <w:shd w:val="clear" w:color="auto" w:fill="auto"/>
          </w:tcPr>
          <w:p w14:paraId="7D7F58DD"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764E93D1" w14:textId="77777777" w:rsidTr="0008368E">
        <w:tc>
          <w:tcPr>
            <w:tcW w:w="4361" w:type="dxa"/>
            <w:tcBorders>
              <w:top w:val="nil"/>
              <w:left w:val="nil"/>
              <w:right w:val="nil"/>
            </w:tcBorders>
            <w:shd w:val="clear" w:color="auto" w:fill="auto"/>
          </w:tcPr>
          <w:p w14:paraId="088AA843"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IA vs Incremental Model</w:t>
            </w:r>
          </w:p>
        </w:tc>
        <w:tc>
          <w:tcPr>
            <w:tcW w:w="1276" w:type="dxa"/>
            <w:tcBorders>
              <w:top w:val="nil"/>
              <w:left w:val="nil"/>
              <w:right w:val="nil"/>
            </w:tcBorders>
            <w:shd w:val="clear" w:color="auto" w:fill="auto"/>
          </w:tcPr>
          <w:p w14:paraId="4A65C13F"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right w:val="nil"/>
            </w:tcBorders>
            <w:shd w:val="clear" w:color="auto" w:fill="auto"/>
          </w:tcPr>
          <w:p w14:paraId="3CB35C7D"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right w:val="nil"/>
            </w:tcBorders>
            <w:shd w:val="clear" w:color="auto" w:fill="auto"/>
          </w:tcPr>
          <w:p w14:paraId="47EFEFA4"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3.636***</w:t>
            </w:r>
          </w:p>
        </w:tc>
        <w:tc>
          <w:tcPr>
            <w:tcW w:w="849" w:type="dxa"/>
            <w:tcBorders>
              <w:top w:val="nil"/>
              <w:left w:val="nil"/>
              <w:right w:val="nil"/>
            </w:tcBorders>
            <w:shd w:val="clear" w:color="auto" w:fill="auto"/>
          </w:tcPr>
          <w:p w14:paraId="5AC94450"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05A3728F" w14:textId="77777777" w:rsidTr="0008368E">
        <w:tc>
          <w:tcPr>
            <w:tcW w:w="4361" w:type="dxa"/>
            <w:tcBorders>
              <w:top w:val="nil"/>
              <w:left w:val="nil"/>
              <w:right w:val="nil"/>
            </w:tcBorders>
            <w:shd w:val="clear" w:color="auto" w:fill="auto"/>
          </w:tcPr>
          <w:p w14:paraId="3F89A233" w14:textId="097C73C8" w:rsidR="00130429" w:rsidRPr="00F4226B" w:rsidRDefault="00130429" w:rsidP="00130429">
            <w:pPr>
              <w:spacing w:before="120" w:after="120" w:line="240" w:lineRule="auto"/>
              <w:rPr>
                <w:rFonts w:ascii="Times New Roman" w:hAnsi="Times New Roman"/>
                <w:bCs/>
                <w:color w:val="000000"/>
                <w:sz w:val="18"/>
                <w:szCs w:val="18"/>
                <w:lang w:val="en-US" w:eastAsia="es-ES"/>
              </w:rPr>
            </w:pPr>
            <w:r w:rsidRPr="00F4226B">
              <w:rPr>
                <w:rFonts w:ascii="Times New Roman" w:hAnsi="Times New Roman"/>
                <w:b/>
                <w:color w:val="000000"/>
                <w:sz w:val="18"/>
                <w:szCs w:val="18"/>
                <w:lang w:val="en-US"/>
              </w:rPr>
              <w:t>Panel C: High inflation period (2003</w:t>
            </w:r>
            <w:r w:rsidR="00D73423">
              <w:rPr>
                <w:rFonts w:ascii="Times New Roman" w:hAnsi="Times New Roman"/>
                <w:b/>
                <w:color w:val="000000"/>
                <w:sz w:val="18"/>
                <w:szCs w:val="18"/>
                <w:lang w:val="en-US"/>
              </w:rPr>
              <w:t>–</w:t>
            </w:r>
            <w:r w:rsidRPr="00F4226B">
              <w:rPr>
                <w:rFonts w:ascii="Times New Roman" w:hAnsi="Times New Roman"/>
                <w:b/>
                <w:color w:val="000000"/>
                <w:sz w:val="18"/>
                <w:szCs w:val="18"/>
                <w:lang w:val="en-US"/>
              </w:rPr>
              <w:t>2005)</w:t>
            </w:r>
          </w:p>
        </w:tc>
        <w:tc>
          <w:tcPr>
            <w:tcW w:w="1276" w:type="dxa"/>
            <w:tcBorders>
              <w:top w:val="nil"/>
              <w:left w:val="nil"/>
              <w:right w:val="nil"/>
            </w:tcBorders>
            <w:shd w:val="clear" w:color="auto" w:fill="auto"/>
          </w:tcPr>
          <w:p w14:paraId="1E206050"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right w:val="nil"/>
            </w:tcBorders>
            <w:shd w:val="clear" w:color="auto" w:fill="auto"/>
          </w:tcPr>
          <w:p w14:paraId="5B1B921C"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right w:val="nil"/>
            </w:tcBorders>
            <w:shd w:val="clear" w:color="auto" w:fill="auto"/>
          </w:tcPr>
          <w:p w14:paraId="4BC12D17" w14:textId="77777777" w:rsidR="00130429" w:rsidRPr="00F4226B" w:rsidRDefault="00130429" w:rsidP="00582332">
            <w:pPr>
              <w:spacing w:after="0" w:line="240" w:lineRule="auto"/>
              <w:jc w:val="center"/>
              <w:rPr>
                <w:rFonts w:ascii="Times New Roman" w:hAnsi="Times New Roman"/>
                <w:color w:val="000000"/>
                <w:sz w:val="18"/>
                <w:szCs w:val="18"/>
                <w:lang w:val="en-US"/>
              </w:rPr>
            </w:pPr>
          </w:p>
        </w:tc>
        <w:tc>
          <w:tcPr>
            <w:tcW w:w="849" w:type="dxa"/>
            <w:tcBorders>
              <w:top w:val="nil"/>
              <w:left w:val="nil"/>
              <w:right w:val="nil"/>
            </w:tcBorders>
            <w:shd w:val="clear" w:color="auto" w:fill="auto"/>
          </w:tcPr>
          <w:p w14:paraId="4CEB9AEE"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5E944A64" w14:textId="77777777" w:rsidTr="0008368E">
        <w:tc>
          <w:tcPr>
            <w:tcW w:w="4361" w:type="dxa"/>
            <w:tcBorders>
              <w:left w:val="nil"/>
              <w:bottom w:val="nil"/>
              <w:right w:val="nil"/>
            </w:tcBorders>
            <w:shd w:val="clear" w:color="auto" w:fill="auto"/>
          </w:tcPr>
          <w:p w14:paraId="6A6E801C"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Intercept</w:t>
            </w:r>
          </w:p>
        </w:tc>
        <w:tc>
          <w:tcPr>
            <w:tcW w:w="1276" w:type="dxa"/>
            <w:tcBorders>
              <w:left w:val="nil"/>
              <w:bottom w:val="nil"/>
              <w:right w:val="nil"/>
            </w:tcBorders>
            <w:shd w:val="clear" w:color="auto" w:fill="auto"/>
          </w:tcPr>
          <w:p w14:paraId="2C3599CD"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-4.552</w:t>
            </w:r>
          </w:p>
          <w:p w14:paraId="1F5A08F8"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(-0.68)</w:t>
            </w:r>
          </w:p>
        </w:tc>
        <w:tc>
          <w:tcPr>
            <w:tcW w:w="1276" w:type="dxa"/>
            <w:tcBorders>
              <w:left w:val="nil"/>
              <w:bottom w:val="nil"/>
              <w:right w:val="nil"/>
            </w:tcBorders>
            <w:shd w:val="clear" w:color="auto" w:fill="auto"/>
          </w:tcPr>
          <w:p w14:paraId="5C16CE1C"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-3.707</w:t>
            </w:r>
          </w:p>
          <w:p w14:paraId="71EDF4F7"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(-0.48)</w:t>
            </w:r>
          </w:p>
        </w:tc>
        <w:tc>
          <w:tcPr>
            <w:tcW w:w="1418" w:type="dxa"/>
            <w:tcBorders>
              <w:left w:val="nil"/>
              <w:bottom w:val="nil"/>
              <w:right w:val="nil"/>
            </w:tcBorders>
            <w:shd w:val="clear" w:color="auto" w:fill="auto"/>
          </w:tcPr>
          <w:p w14:paraId="50DB9E0B"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-5.895</w:t>
            </w:r>
          </w:p>
          <w:p w14:paraId="144ADEA5"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(-0.907)</w:t>
            </w:r>
          </w:p>
        </w:tc>
        <w:tc>
          <w:tcPr>
            <w:tcW w:w="849" w:type="dxa"/>
            <w:tcBorders>
              <w:left w:val="nil"/>
              <w:bottom w:val="nil"/>
              <w:right w:val="nil"/>
            </w:tcBorders>
            <w:shd w:val="clear" w:color="auto" w:fill="auto"/>
          </w:tcPr>
          <w:p w14:paraId="174C20D5"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4DBA93ED" w14:textId="77777777" w:rsidTr="0008368E">
        <w:tc>
          <w:tcPr>
            <w:tcW w:w="4361" w:type="dxa"/>
            <w:tcBorders>
              <w:top w:val="nil"/>
              <w:left w:val="nil"/>
              <w:bottom w:val="nil"/>
              <w:right w:val="nil"/>
            </w:tcBorders>
            <w:shd w:val="clear" w:color="auto" w:fill="auto"/>
          </w:tcPr>
          <w:p w14:paraId="79F6D550"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EARNINGS</w:t>
            </w:r>
          </w:p>
        </w:tc>
        <w:tc>
          <w:tcPr>
            <w:tcW w:w="1276" w:type="dxa"/>
            <w:tcBorders>
              <w:top w:val="nil"/>
              <w:left w:val="nil"/>
              <w:bottom w:val="nil"/>
              <w:right w:val="nil"/>
            </w:tcBorders>
            <w:shd w:val="clear" w:color="auto" w:fill="auto"/>
          </w:tcPr>
          <w:p w14:paraId="0D6248FD"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6.909    (11.55***)</w:t>
            </w:r>
          </w:p>
        </w:tc>
        <w:tc>
          <w:tcPr>
            <w:tcW w:w="1276" w:type="dxa"/>
            <w:tcBorders>
              <w:top w:val="nil"/>
              <w:left w:val="nil"/>
              <w:bottom w:val="nil"/>
              <w:right w:val="nil"/>
            </w:tcBorders>
            <w:shd w:val="clear" w:color="auto" w:fill="auto"/>
          </w:tcPr>
          <w:p w14:paraId="0E96CD2F"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9.018</w:t>
            </w:r>
          </w:p>
          <w:p w14:paraId="4A4A2B30"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(8.47***)</w:t>
            </w:r>
          </w:p>
        </w:tc>
        <w:tc>
          <w:tcPr>
            <w:tcW w:w="1418" w:type="dxa"/>
            <w:tcBorders>
              <w:top w:val="nil"/>
              <w:left w:val="nil"/>
              <w:bottom w:val="nil"/>
              <w:right w:val="nil"/>
            </w:tcBorders>
            <w:shd w:val="clear" w:color="auto" w:fill="auto"/>
          </w:tcPr>
          <w:p w14:paraId="1A67A33C"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8.771</w:t>
            </w:r>
          </w:p>
          <w:p w14:paraId="14EE03A0"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(9.82***)</w:t>
            </w:r>
          </w:p>
        </w:tc>
        <w:tc>
          <w:tcPr>
            <w:tcW w:w="849" w:type="dxa"/>
            <w:tcBorders>
              <w:top w:val="nil"/>
              <w:left w:val="nil"/>
              <w:bottom w:val="nil"/>
              <w:right w:val="nil"/>
            </w:tcBorders>
            <w:shd w:val="clear" w:color="auto" w:fill="auto"/>
          </w:tcPr>
          <w:p w14:paraId="0A0DC7E7"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0BBE52AF" w14:textId="77777777" w:rsidTr="0008368E">
        <w:tc>
          <w:tcPr>
            <w:tcW w:w="4361" w:type="dxa"/>
            <w:tcBorders>
              <w:top w:val="nil"/>
              <w:left w:val="nil"/>
              <w:bottom w:val="nil"/>
              <w:right w:val="nil"/>
            </w:tcBorders>
            <w:shd w:val="clear" w:color="auto" w:fill="auto"/>
          </w:tcPr>
          <w:p w14:paraId="09C9CEFB"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EIGLS</w:t>
            </w:r>
          </w:p>
        </w:tc>
        <w:tc>
          <w:tcPr>
            <w:tcW w:w="1276" w:type="dxa"/>
            <w:tcBorders>
              <w:top w:val="nil"/>
              <w:left w:val="nil"/>
              <w:bottom w:val="nil"/>
              <w:right w:val="nil"/>
            </w:tcBorders>
            <w:shd w:val="clear" w:color="auto" w:fill="auto"/>
          </w:tcPr>
          <w:p w14:paraId="1E162B88" w14:textId="77777777" w:rsidR="00130429" w:rsidRPr="00F4226B" w:rsidRDefault="00130429" w:rsidP="00582332">
            <w:pPr>
              <w:spacing w:after="0" w:line="240" w:lineRule="auto"/>
              <w:jc w:val="center"/>
              <w:rPr>
                <w:rFonts w:ascii="Times New Roman" w:hAnsi="Times New Roman"/>
                <w:color w:val="000000"/>
                <w:sz w:val="18"/>
                <w:szCs w:val="18"/>
                <w:lang w:val="en-US"/>
              </w:rPr>
            </w:pPr>
          </w:p>
          <w:p w14:paraId="5390CAA9" w14:textId="77777777" w:rsidR="00130429" w:rsidRPr="00F4226B" w:rsidRDefault="00130429" w:rsidP="00582332">
            <w:pPr>
              <w:spacing w:after="0" w:line="240" w:lineRule="auto"/>
              <w:jc w:val="center"/>
              <w:rPr>
                <w:rFonts w:ascii="Times New Roman" w:hAnsi="Times New Roman"/>
                <w:b/>
                <w:color w:val="000000"/>
                <w:sz w:val="18"/>
                <w:szCs w:val="18"/>
                <w:lang w:val="en-US"/>
              </w:rPr>
            </w:pPr>
          </w:p>
        </w:tc>
        <w:tc>
          <w:tcPr>
            <w:tcW w:w="1276" w:type="dxa"/>
            <w:tcBorders>
              <w:top w:val="nil"/>
              <w:left w:val="nil"/>
              <w:bottom w:val="nil"/>
              <w:right w:val="nil"/>
            </w:tcBorders>
            <w:shd w:val="clear" w:color="auto" w:fill="auto"/>
          </w:tcPr>
          <w:p w14:paraId="74BB8F75" w14:textId="77777777" w:rsidR="00130429" w:rsidRPr="00F4226B" w:rsidRDefault="00130429" w:rsidP="00582332">
            <w:pPr>
              <w:spacing w:after="0" w:line="240" w:lineRule="auto"/>
              <w:jc w:val="center"/>
              <w:rPr>
                <w:rFonts w:ascii="Times New Roman" w:hAnsi="Times New Roman"/>
                <w:b/>
                <w:color w:val="000000"/>
                <w:sz w:val="18"/>
                <w:szCs w:val="18"/>
                <w:lang w:val="en-US"/>
              </w:rPr>
            </w:pPr>
          </w:p>
        </w:tc>
        <w:tc>
          <w:tcPr>
            <w:tcW w:w="1418" w:type="dxa"/>
            <w:tcBorders>
              <w:top w:val="nil"/>
              <w:left w:val="nil"/>
              <w:bottom w:val="nil"/>
              <w:right w:val="nil"/>
            </w:tcBorders>
            <w:shd w:val="clear" w:color="auto" w:fill="auto"/>
          </w:tcPr>
          <w:p w14:paraId="5A7B6214"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-3.347</w:t>
            </w:r>
          </w:p>
          <w:p w14:paraId="4A6E8CBB"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(-2.75***)</w:t>
            </w:r>
          </w:p>
        </w:tc>
        <w:tc>
          <w:tcPr>
            <w:tcW w:w="849" w:type="dxa"/>
            <w:tcBorders>
              <w:top w:val="nil"/>
              <w:left w:val="nil"/>
              <w:bottom w:val="nil"/>
              <w:right w:val="nil"/>
            </w:tcBorders>
            <w:shd w:val="clear" w:color="auto" w:fill="auto"/>
          </w:tcPr>
          <w:p w14:paraId="0E19B841"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441DEF69" w14:textId="77777777" w:rsidTr="0008368E">
        <w:tc>
          <w:tcPr>
            <w:tcW w:w="4361" w:type="dxa"/>
            <w:tcBorders>
              <w:top w:val="nil"/>
              <w:left w:val="nil"/>
              <w:bottom w:val="nil"/>
              <w:right w:val="nil"/>
            </w:tcBorders>
            <w:shd w:val="clear" w:color="auto" w:fill="auto"/>
          </w:tcPr>
          <w:p w14:paraId="1F76B87A" w14:textId="77777777" w:rsidR="00130429" w:rsidRPr="00F4226B" w:rsidRDefault="00130429" w:rsidP="00130429">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Fixed time effects</w:t>
            </w:r>
          </w:p>
        </w:tc>
        <w:tc>
          <w:tcPr>
            <w:tcW w:w="1276" w:type="dxa"/>
            <w:tcBorders>
              <w:top w:val="nil"/>
              <w:left w:val="nil"/>
              <w:bottom w:val="nil"/>
              <w:right w:val="nil"/>
            </w:tcBorders>
            <w:shd w:val="clear" w:color="auto" w:fill="auto"/>
          </w:tcPr>
          <w:p w14:paraId="288FDCF0"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276" w:type="dxa"/>
            <w:tcBorders>
              <w:top w:val="nil"/>
              <w:left w:val="nil"/>
              <w:bottom w:val="nil"/>
              <w:right w:val="nil"/>
            </w:tcBorders>
            <w:shd w:val="clear" w:color="auto" w:fill="auto"/>
          </w:tcPr>
          <w:p w14:paraId="321BBB01"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1418" w:type="dxa"/>
            <w:tcBorders>
              <w:top w:val="nil"/>
              <w:left w:val="nil"/>
              <w:bottom w:val="nil"/>
              <w:right w:val="nil"/>
            </w:tcBorders>
            <w:shd w:val="clear" w:color="auto" w:fill="auto"/>
          </w:tcPr>
          <w:p w14:paraId="6CE1EAB4" w14:textId="77777777" w:rsidR="00130429" w:rsidRPr="00F4226B" w:rsidRDefault="00130429"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849" w:type="dxa"/>
            <w:tcBorders>
              <w:top w:val="nil"/>
              <w:left w:val="nil"/>
              <w:bottom w:val="nil"/>
              <w:right w:val="nil"/>
            </w:tcBorders>
            <w:shd w:val="clear" w:color="auto" w:fill="auto"/>
          </w:tcPr>
          <w:p w14:paraId="31F5F753"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3F709870" w14:textId="77777777" w:rsidTr="0008368E">
        <w:tc>
          <w:tcPr>
            <w:tcW w:w="4361" w:type="dxa"/>
            <w:tcBorders>
              <w:top w:val="nil"/>
              <w:left w:val="nil"/>
              <w:bottom w:val="nil"/>
              <w:right w:val="nil"/>
            </w:tcBorders>
            <w:shd w:val="clear" w:color="auto" w:fill="auto"/>
          </w:tcPr>
          <w:p w14:paraId="4B767B31" w14:textId="77777777" w:rsidR="00130429" w:rsidRPr="00F4226B" w:rsidRDefault="00130429" w:rsidP="00130429">
            <w:pPr>
              <w:spacing w:after="0" w:line="240" w:lineRule="auto"/>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Number of observations</w:t>
            </w:r>
          </w:p>
        </w:tc>
        <w:tc>
          <w:tcPr>
            <w:tcW w:w="1276" w:type="dxa"/>
            <w:tcBorders>
              <w:top w:val="nil"/>
              <w:left w:val="nil"/>
              <w:bottom w:val="nil"/>
              <w:right w:val="nil"/>
            </w:tcBorders>
            <w:shd w:val="clear" w:color="auto" w:fill="auto"/>
          </w:tcPr>
          <w:p w14:paraId="1B60DDCC"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112</w:t>
            </w:r>
          </w:p>
        </w:tc>
        <w:tc>
          <w:tcPr>
            <w:tcW w:w="1276" w:type="dxa"/>
            <w:tcBorders>
              <w:top w:val="nil"/>
              <w:left w:val="nil"/>
              <w:bottom w:val="nil"/>
              <w:right w:val="nil"/>
            </w:tcBorders>
            <w:shd w:val="clear" w:color="auto" w:fill="auto"/>
          </w:tcPr>
          <w:p w14:paraId="6E298A29"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112</w:t>
            </w:r>
          </w:p>
        </w:tc>
        <w:tc>
          <w:tcPr>
            <w:tcW w:w="1418" w:type="dxa"/>
            <w:tcBorders>
              <w:top w:val="nil"/>
              <w:left w:val="nil"/>
              <w:bottom w:val="nil"/>
              <w:right w:val="nil"/>
            </w:tcBorders>
            <w:shd w:val="clear" w:color="auto" w:fill="auto"/>
          </w:tcPr>
          <w:p w14:paraId="4AA649CB"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112</w:t>
            </w:r>
          </w:p>
        </w:tc>
        <w:tc>
          <w:tcPr>
            <w:tcW w:w="849" w:type="dxa"/>
            <w:tcBorders>
              <w:top w:val="nil"/>
              <w:left w:val="nil"/>
              <w:bottom w:val="nil"/>
              <w:right w:val="nil"/>
            </w:tcBorders>
            <w:shd w:val="clear" w:color="auto" w:fill="auto"/>
          </w:tcPr>
          <w:p w14:paraId="6869D72C" w14:textId="77777777" w:rsidR="00130429" w:rsidRPr="00F4226B" w:rsidRDefault="00130429" w:rsidP="00130429">
            <w:pPr>
              <w:spacing w:after="0" w:line="240" w:lineRule="auto"/>
              <w:jc w:val="right"/>
              <w:rPr>
                <w:rFonts w:ascii="Times New Roman" w:hAnsi="Times New Roman"/>
                <w:color w:val="000000"/>
                <w:sz w:val="18"/>
                <w:szCs w:val="18"/>
                <w:lang w:val="en-US"/>
              </w:rPr>
            </w:pPr>
          </w:p>
        </w:tc>
      </w:tr>
      <w:tr w:rsidR="00130429" w:rsidRPr="00F4226B" w14:paraId="2371508A" w14:textId="77777777" w:rsidTr="0008368E">
        <w:tc>
          <w:tcPr>
            <w:tcW w:w="4361" w:type="dxa"/>
            <w:tcBorders>
              <w:top w:val="nil"/>
              <w:left w:val="nil"/>
              <w:bottom w:val="nil"/>
              <w:right w:val="nil"/>
            </w:tcBorders>
            <w:shd w:val="clear" w:color="auto" w:fill="auto"/>
          </w:tcPr>
          <w:p w14:paraId="5D94D847"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F-ratio</w:t>
            </w:r>
          </w:p>
        </w:tc>
        <w:tc>
          <w:tcPr>
            <w:tcW w:w="1276" w:type="dxa"/>
            <w:tcBorders>
              <w:top w:val="nil"/>
              <w:left w:val="nil"/>
              <w:bottom w:val="nil"/>
              <w:right w:val="nil"/>
            </w:tcBorders>
            <w:shd w:val="clear" w:color="auto" w:fill="auto"/>
          </w:tcPr>
          <w:p w14:paraId="323A0299"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64.29***</w:t>
            </w:r>
          </w:p>
        </w:tc>
        <w:tc>
          <w:tcPr>
            <w:tcW w:w="1276" w:type="dxa"/>
            <w:tcBorders>
              <w:top w:val="nil"/>
              <w:left w:val="nil"/>
              <w:bottom w:val="nil"/>
              <w:right w:val="nil"/>
            </w:tcBorders>
            <w:shd w:val="clear" w:color="auto" w:fill="auto"/>
          </w:tcPr>
          <w:p w14:paraId="76826326"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38.72***</w:t>
            </w:r>
          </w:p>
        </w:tc>
        <w:tc>
          <w:tcPr>
            <w:tcW w:w="1418" w:type="dxa"/>
            <w:tcBorders>
              <w:top w:val="nil"/>
              <w:left w:val="nil"/>
              <w:bottom w:val="nil"/>
              <w:right w:val="nil"/>
            </w:tcBorders>
            <w:shd w:val="clear" w:color="auto" w:fill="auto"/>
          </w:tcPr>
          <w:p w14:paraId="03229228"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53.02***</w:t>
            </w:r>
          </w:p>
        </w:tc>
        <w:tc>
          <w:tcPr>
            <w:tcW w:w="849" w:type="dxa"/>
            <w:tcBorders>
              <w:top w:val="nil"/>
              <w:left w:val="nil"/>
              <w:bottom w:val="nil"/>
              <w:right w:val="nil"/>
            </w:tcBorders>
            <w:shd w:val="clear" w:color="auto" w:fill="auto"/>
          </w:tcPr>
          <w:p w14:paraId="604DCAFE" w14:textId="77777777" w:rsidR="00130429" w:rsidRPr="00F4226B" w:rsidRDefault="00130429" w:rsidP="00130429">
            <w:pPr>
              <w:spacing w:after="0" w:line="240" w:lineRule="auto"/>
              <w:jc w:val="right"/>
              <w:rPr>
                <w:rFonts w:ascii="Times New Roman" w:hAnsi="Times New Roman"/>
                <w:color w:val="000000"/>
                <w:sz w:val="18"/>
                <w:szCs w:val="18"/>
                <w:lang w:val="en-US"/>
              </w:rPr>
            </w:pPr>
          </w:p>
        </w:tc>
      </w:tr>
      <w:tr w:rsidR="00130429" w:rsidRPr="00F4226B" w14:paraId="07368C79" w14:textId="77777777" w:rsidTr="0008368E">
        <w:tc>
          <w:tcPr>
            <w:tcW w:w="4361" w:type="dxa"/>
            <w:tcBorders>
              <w:top w:val="nil"/>
              <w:left w:val="nil"/>
              <w:bottom w:val="nil"/>
              <w:right w:val="nil"/>
            </w:tcBorders>
            <w:shd w:val="clear" w:color="auto" w:fill="auto"/>
          </w:tcPr>
          <w:p w14:paraId="4D2B7594"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Adjusted R</w:t>
            </w:r>
            <w:r w:rsidRPr="00F4226B">
              <w:rPr>
                <w:rFonts w:ascii="Times New Roman" w:hAnsi="Times New Roman"/>
                <w:bCs/>
                <w:color w:val="000000"/>
                <w:sz w:val="18"/>
                <w:szCs w:val="18"/>
                <w:vertAlign w:val="superscript"/>
                <w:lang w:val="en-US" w:eastAsia="es-ES"/>
              </w:rPr>
              <w:t>2</w:t>
            </w:r>
          </w:p>
        </w:tc>
        <w:tc>
          <w:tcPr>
            <w:tcW w:w="1276" w:type="dxa"/>
            <w:tcBorders>
              <w:top w:val="nil"/>
              <w:left w:val="nil"/>
              <w:bottom w:val="nil"/>
              <w:right w:val="nil"/>
            </w:tcBorders>
            <w:shd w:val="clear" w:color="auto" w:fill="auto"/>
          </w:tcPr>
          <w:p w14:paraId="174A987E"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0.631</w:t>
            </w:r>
          </w:p>
        </w:tc>
        <w:tc>
          <w:tcPr>
            <w:tcW w:w="1276" w:type="dxa"/>
            <w:tcBorders>
              <w:top w:val="nil"/>
              <w:left w:val="nil"/>
              <w:bottom w:val="nil"/>
              <w:right w:val="nil"/>
            </w:tcBorders>
            <w:shd w:val="clear" w:color="auto" w:fill="auto"/>
          </w:tcPr>
          <w:p w14:paraId="23C8D891"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0.505</w:t>
            </w:r>
          </w:p>
        </w:tc>
        <w:tc>
          <w:tcPr>
            <w:tcW w:w="1418" w:type="dxa"/>
            <w:tcBorders>
              <w:top w:val="nil"/>
              <w:left w:val="nil"/>
              <w:bottom w:val="nil"/>
              <w:right w:val="nil"/>
            </w:tcBorders>
            <w:shd w:val="clear" w:color="auto" w:fill="auto"/>
          </w:tcPr>
          <w:p w14:paraId="6B28EE64" w14:textId="77777777" w:rsidR="00130429" w:rsidRPr="00F4226B" w:rsidRDefault="00130429"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0.652</w:t>
            </w:r>
          </w:p>
        </w:tc>
        <w:tc>
          <w:tcPr>
            <w:tcW w:w="849" w:type="dxa"/>
            <w:tcBorders>
              <w:top w:val="nil"/>
              <w:left w:val="nil"/>
              <w:bottom w:val="nil"/>
              <w:right w:val="nil"/>
            </w:tcBorders>
            <w:shd w:val="clear" w:color="auto" w:fill="auto"/>
          </w:tcPr>
          <w:p w14:paraId="1C4E699E" w14:textId="77777777" w:rsidR="00130429" w:rsidRPr="00F4226B" w:rsidRDefault="00130429" w:rsidP="00130429">
            <w:pPr>
              <w:spacing w:after="0" w:line="240" w:lineRule="auto"/>
              <w:jc w:val="right"/>
              <w:rPr>
                <w:rFonts w:ascii="Times New Roman" w:hAnsi="Times New Roman"/>
                <w:color w:val="000000"/>
                <w:sz w:val="18"/>
                <w:szCs w:val="18"/>
                <w:lang w:val="en-US"/>
              </w:rPr>
            </w:pPr>
          </w:p>
        </w:tc>
      </w:tr>
      <w:tr w:rsidR="00130429" w:rsidRPr="00F4226B" w14:paraId="096E28B7" w14:textId="77777777" w:rsidTr="0008368E">
        <w:tc>
          <w:tcPr>
            <w:tcW w:w="4361" w:type="dxa"/>
            <w:tcBorders>
              <w:top w:val="nil"/>
              <w:left w:val="nil"/>
              <w:bottom w:val="nil"/>
              <w:right w:val="nil"/>
            </w:tcBorders>
            <w:shd w:val="clear" w:color="auto" w:fill="auto"/>
          </w:tcPr>
          <w:p w14:paraId="52B7A8AA"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Vuong’s Z-statistics: HC vs IA Model                  </w:t>
            </w:r>
          </w:p>
        </w:tc>
        <w:tc>
          <w:tcPr>
            <w:tcW w:w="1276" w:type="dxa"/>
            <w:tcBorders>
              <w:top w:val="nil"/>
              <w:left w:val="nil"/>
              <w:bottom w:val="nil"/>
              <w:right w:val="nil"/>
            </w:tcBorders>
            <w:shd w:val="clear" w:color="auto" w:fill="auto"/>
          </w:tcPr>
          <w:p w14:paraId="6ACE7020"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nil"/>
              <w:right w:val="nil"/>
            </w:tcBorders>
            <w:shd w:val="clear" w:color="auto" w:fill="auto"/>
          </w:tcPr>
          <w:p w14:paraId="0CB06AD2"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1.458</w:t>
            </w:r>
          </w:p>
        </w:tc>
        <w:tc>
          <w:tcPr>
            <w:tcW w:w="1418" w:type="dxa"/>
            <w:tcBorders>
              <w:top w:val="nil"/>
              <w:left w:val="nil"/>
              <w:bottom w:val="nil"/>
              <w:right w:val="nil"/>
            </w:tcBorders>
            <w:shd w:val="clear" w:color="auto" w:fill="auto"/>
          </w:tcPr>
          <w:p w14:paraId="66FEC30B" w14:textId="77777777" w:rsidR="00130429" w:rsidRPr="00F4226B" w:rsidRDefault="00130429" w:rsidP="00582332">
            <w:pPr>
              <w:spacing w:after="0" w:line="240" w:lineRule="auto"/>
              <w:jc w:val="center"/>
              <w:rPr>
                <w:rFonts w:ascii="Times New Roman" w:hAnsi="Times New Roman"/>
                <w:color w:val="000000"/>
                <w:sz w:val="18"/>
                <w:szCs w:val="18"/>
                <w:lang w:val="en-US"/>
              </w:rPr>
            </w:pPr>
          </w:p>
        </w:tc>
        <w:tc>
          <w:tcPr>
            <w:tcW w:w="849" w:type="dxa"/>
            <w:tcBorders>
              <w:top w:val="nil"/>
              <w:left w:val="nil"/>
              <w:bottom w:val="nil"/>
              <w:right w:val="nil"/>
            </w:tcBorders>
            <w:shd w:val="clear" w:color="auto" w:fill="auto"/>
          </w:tcPr>
          <w:p w14:paraId="568D6525"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4678D392" w14:textId="77777777" w:rsidTr="0008368E">
        <w:tc>
          <w:tcPr>
            <w:tcW w:w="4361" w:type="dxa"/>
            <w:tcBorders>
              <w:top w:val="nil"/>
              <w:left w:val="nil"/>
              <w:bottom w:val="nil"/>
              <w:right w:val="nil"/>
            </w:tcBorders>
            <w:shd w:val="clear" w:color="auto" w:fill="auto"/>
          </w:tcPr>
          <w:p w14:paraId="621CBA03"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Incremental Model</w:t>
            </w:r>
          </w:p>
        </w:tc>
        <w:tc>
          <w:tcPr>
            <w:tcW w:w="1276" w:type="dxa"/>
            <w:tcBorders>
              <w:top w:val="nil"/>
              <w:left w:val="nil"/>
              <w:bottom w:val="nil"/>
              <w:right w:val="nil"/>
            </w:tcBorders>
            <w:shd w:val="clear" w:color="auto" w:fill="auto"/>
          </w:tcPr>
          <w:p w14:paraId="0318F483"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nil"/>
              <w:right w:val="nil"/>
            </w:tcBorders>
            <w:shd w:val="clear" w:color="auto" w:fill="auto"/>
          </w:tcPr>
          <w:p w14:paraId="6F68FCE2"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bottom w:val="nil"/>
              <w:right w:val="nil"/>
            </w:tcBorders>
            <w:shd w:val="clear" w:color="auto" w:fill="auto"/>
          </w:tcPr>
          <w:p w14:paraId="29BA6C42" w14:textId="77777777" w:rsidR="00130429" w:rsidRPr="00F4226B" w:rsidRDefault="00130429" w:rsidP="00662F5F">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w:t>
            </w:r>
            <w:r w:rsidR="00662F5F" w:rsidRPr="00F4226B">
              <w:rPr>
                <w:rFonts w:ascii="Times New Roman" w:hAnsi="Times New Roman"/>
                <w:color w:val="000000"/>
                <w:sz w:val="18"/>
                <w:szCs w:val="18"/>
                <w:lang w:val="en-US"/>
              </w:rPr>
              <w:t>4</w:t>
            </w:r>
            <w:r w:rsidRPr="00F4226B">
              <w:rPr>
                <w:rFonts w:ascii="Times New Roman" w:hAnsi="Times New Roman"/>
                <w:color w:val="000000"/>
                <w:sz w:val="18"/>
                <w:szCs w:val="18"/>
                <w:lang w:val="en-US"/>
              </w:rPr>
              <w:t>99</w:t>
            </w:r>
          </w:p>
        </w:tc>
        <w:tc>
          <w:tcPr>
            <w:tcW w:w="849" w:type="dxa"/>
            <w:tcBorders>
              <w:top w:val="nil"/>
              <w:left w:val="nil"/>
              <w:bottom w:val="nil"/>
              <w:right w:val="nil"/>
            </w:tcBorders>
            <w:shd w:val="clear" w:color="auto" w:fill="auto"/>
          </w:tcPr>
          <w:p w14:paraId="6FD7D7A5" w14:textId="77777777" w:rsidR="00130429" w:rsidRPr="00F4226B" w:rsidRDefault="00130429" w:rsidP="00130429">
            <w:pPr>
              <w:spacing w:after="0" w:line="240" w:lineRule="auto"/>
              <w:jc w:val="right"/>
              <w:rPr>
                <w:rFonts w:ascii="Times New Roman" w:hAnsi="Times New Roman"/>
                <w:b/>
                <w:color w:val="000000"/>
                <w:sz w:val="18"/>
                <w:szCs w:val="18"/>
                <w:lang w:val="en-US"/>
              </w:rPr>
            </w:pPr>
          </w:p>
        </w:tc>
      </w:tr>
      <w:tr w:rsidR="00130429" w:rsidRPr="00F4226B" w14:paraId="6B1FAB80" w14:textId="77777777" w:rsidTr="0008368E">
        <w:tc>
          <w:tcPr>
            <w:tcW w:w="4361" w:type="dxa"/>
            <w:tcBorders>
              <w:top w:val="nil"/>
              <w:left w:val="nil"/>
              <w:bottom w:val="single" w:sz="12" w:space="0" w:color="auto"/>
              <w:right w:val="nil"/>
            </w:tcBorders>
            <w:shd w:val="clear" w:color="auto" w:fill="auto"/>
          </w:tcPr>
          <w:p w14:paraId="245960FB" w14:textId="77777777" w:rsidR="00130429" w:rsidRPr="00F4226B" w:rsidRDefault="00130429" w:rsidP="00130429">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IA vs Incremental Model</w:t>
            </w:r>
          </w:p>
        </w:tc>
        <w:tc>
          <w:tcPr>
            <w:tcW w:w="1276" w:type="dxa"/>
            <w:tcBorders>
              <w:top w:val="nil"/>
              <w:left w:val="nil"/>
              <w:bottom w:val="single" w:sz="12" w:space="0" w:color="auto"/>
              <w:right w:val="nil"/>
            </w:tcBorders>
            <w:shd w:val="clear" w:color="auto" w:fill="auto"/>
          </w:tcPr>
          <w:p w14:paraId="13EA47F7" w14:textId="77777777" w:rsidR="00130429" w:rsidRPr="00F4226B" w:rsidRDefault="00130429" w:rsidP="00692C1D">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single" w:sz="12" w:space="0" w:color="auto"/>
              <w:right w:val="nil"/>
            </w:tcBorders>
            <w:shd w:val="clear" w:color="auto" w:fill="auto"/>
          </w:tcPr>
          <w:p w14:paraId="1DD78CD9" w14:textId="77777777" w:rsidR="00130429" w:rsidRPr="00F4226B" w:rsidRDefault="00130429"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bottom w:val="single" w:sz="12" w:space="0" w:color="auto"/>
              <w:right w:val="nil"/>
            </w:tcBorders>
            <w:shd w:val="clear" w:color="auto" w:fill="auto"/>
          </w:tcPr>
          <w:p w14:paraId="71432A8F" w14:textId="77777777" w:rsidR="00130429" w:rsidRPr="00F4226B" w:rsidRDefault="00130429" w:rsidP="001E78F5">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w:t>
            </w:r>
            <w:r w:rsidR="001E78F5" w:rsidRPr="00F4226B">
              <w:rPr>
                <w:rFonts w:ascii="Times New Roman" w:hAnsi="Times New Roman"/>
                <w:color w:val="000000"/>
                <w:sz w:val="18"/>
                <w:szCs w:val="18"/>
                <w:lang w:val="en-US"/>
              </w:rPr>
              <w:t>7</w:t>
            </w:r>
            <w:r w:rsidRPr="00F4226B">
              <w:rPr>
                <w:rFonts w:ascii="Times New Roman" w:hAnsi="Times New Roman"/>
                <w:color w:val="000000"/>
                <w:sz w:val="18"/>
                <w:szCs w:val="18"/>
                <w:lang w:val="en-US"/>
              </w:rPr>
              <w:t>07</w:t>
            </w:r>
            <w:r w:rsidR="00625FF6" w:rsidRPr="00F4226B">
              <w:rPr>
                <w:rFonts w:ascii="Times New Roman" w:hAnsi="Times New Roman"/>
                <w:color w:val="000000"/>
                <w:sz w:val="18"/>
                <w:szCs w:val="18"/>
                <w:lang w:val="en-US"/>
              </w:rPr>
              <w:t>*</w:t>
            </w:r>
          </w:p>
        </w:tc>
        <w:tc>
          <w:tcPr>
            <w:tcW w:w="849" w:type="dxa"/>
            <w:tcBorders>
              <w:top w:val="nil"/>
              <w:left w:val="nil"/>
              <w:bottom w:val="single" w:sz="12" w:space="0" w:color="auto"/>
              <w:right w:val="nil"/>
            </w:tcBorders>
            <w:shd w:val="clear" w:color="auto" w:fill="auto"/>
          </w:tcPr>
          <w:p w14:paraId="38C4A5F6" w14:textId="77777777" w:rsidR="00130429" w:rsidRPr="00F4226B" w:rsidRDefault="00130429" w:rsidP="00130429">
            <w:pPr>
              <w:spacing w:after="0" w:line="240" w:lineRule="auto"/>
              <w:jc w:val="center"/>
              <w:rPr>
                <w:rFonts w:ascii="Times New Roman" w:hAnsi="Times New Roman"/>
                <w:b/>
                <w:color w:val="000000"/>
                <w:sz w:val="18"/>
                <w:szCs w:val="18"/>
                <w:lang w:val="en-US"/>
              </w:rPr>
            </w:pPr>
          </w:p>
        </w:tc>
      </w:tr>
    </w:tbl>
    <w:p w14:paraId="3903453C" w14:textId="06726E1E" w:rsidR="00130429" w:rsidRPr="00F4226B" w:rsidRDefault="00130429" w:rsidP="00130429">
      <w:pPr>
        <w:spacing w:after="120" w:line="240" w:lineRule="auto"/>
        <w:jc w:val="both"/>
        <w:rPr>
          <w:rFonts w:ascii="Times New Roman" w:hAnsi="Times New Roman"/>
          <w:bCs/>
          <w:sz w:val="18"/>
          <w:szCs w:val="18"/>
          <w:lang w:val="en-US"/>
        </w:rPr>
      </w:pPr>
      <w:r w:rsidRPr="00F4226B">
        <w:rPr>
          <w:rFonts w:ascii="Times New Roman" w:hAnsi="Times New Roman"/>
          <w:sz w:val="18"/>
          <w:szCs w:val="18"/>
          <w:lang w:val="en-US"/>
        </w:rPr>
        <w:lastRenderedPageBreak/>
        <w:t xml:space="preserve">*** Significant at 1% level; ** Significant at 5% level; * Significant at 10% level. </w:t>
      </w:r>
      <w:r w:rsidRPr="00F4226B">
        <w:rPr>
          <w:rFonts w:ascii="Times New Roman" w:hAnsi="Times New Roman"/>
          <w:i/>
          <w:sz w:val="18"/>
          <w:szCs w:val="18"/>
          <w:lang w:val="en-US"/>
        </w:rPr>
        <w:t>RETURN</w:t>
      </w:r>
      <w:r w:rsidRPr="00F4226B">
        <w:rPr>
          <w:rFonts w:ascii="Times New Roman" w:hAnsi="Times New Roman"/>
          <w:i/>
          <w:sz w:val="18"/>
          <w:szCs w:val="18"/>
          <w:vertAlign w:val="subscript"/>
          <w:lang w:val="en-US"/>
        </w:rPr>
        <w:t>it</w:t>
      </w:r>
      <w:r w:rsidRPr="00F4226B">
        <w:rPr>
          <w:rFonts w:ascii="Times New Roman" w:hAnsi="Times New Roman"/>
          <w:sz w:val="18"/>
          <w:szCs w:val="18"/>
          <w:vertAlign w:val="subscript"/>
          <w:lang w:val="en-US"/>
        </w:rPr>
        <w:t xml:space="preserve"> </w:t>
      </w:r>
      <w:r w:rsidRPr="00F4226B">
        <w:rPr>
          <w:rFonts w:ascii="Times New Roman" w:hAnsi="Times New Roman"/>
          <w:sz w:val="18"/>
          <w:szCs w:val="18"/>
          <w:lang w:val="en-US"/>
        </w:rPr>
        <w:t xml:space="preserve">denotes </w:t>
      </w:r>
      <w:r w:rsidRPr="00F4226B">
        <w:rPr>
          <w:rFonts w:ascii="Times New Roman" w:hAnsi="Times New Roman"/>
          <w:bCs/>
          <w:sz w:val="18"/>
          <w:szCs w:val="18"/>
          <w:lang w:val="en-US"/>
        </w:rPr>
        <w:t xml:space="preserve">the share return of firm over the 12-month period ending </w:t>
      </w:r>
      <w:r w:rsidR="00D73423">
        <w:rPr>
          <w:rFonts w:ascii="Times New Roman" w:hAnsi="Times New Roman"/>
          <w:bCs/>
          <w:sz w:val="18"/>
          <w:szCs w:val="18"/>
          <w:lang w:val="en-US"/>
        </w:rPr>
        <w:t xml:space="preserve">four </w:t>
      </w:r>
      <w:r w:rsidRPr="00F4226B">
        <w:rPr>
          <w:rFonts w:ascii="Times New Roman" w:hAnsi="Times New Roman"/>
          <w:bCs/>
          <w:sz w:val="18"/>
          <w:szCs w:val="18"/>
          <w:lang w:val="en-US"/>
        </w:rPr>
        <w:t>months after the fiscal year-end (measured as the change in price plus dividend per share for the year and scaled by the beginning share price).</w:t>
      </w:r>
      <w:r w:rsidRPr="00F4226B">
        <w:rPr>
          <w:rFonts w:ascii="Times New Roman" w:hAnsi="Times New Roman"/>
          <w:bCs/>
          <w:i/>
          <w:sz w:val="18"/>
          <w:szCs w:val="18"/>
          <w:lang w:val="en-US"/>
        </w:rPr>
        <w:t xml:space="preserve"> </w:t>
      </w:r>
      <w:r w:rsidRPr="00F4226B">
        <w:rPr>
          <w:rFonts w:ascii="Times New Roman" w:hAnsi="Times New Roman"/>
          <w:i/>
          <w:sz w:val="18"/>
          <w:szCs w:val="18"/>
          <w:lang w:val="en-US"/>
        </w:rPr>
        <w:t>EARNINGS</w:t>
      </w:r>
      <w:r w:rsidRPr="00F4226B">
        <w:rPr>
          <w:rFonts w:ascii="Times New Roman" w:hAnsi="Times New Roman"/>
          <w:sz w:val="18"/>
          <w:szCs w:val="18"/>
          <w:lang w:val="en-US"/>
        </w:rPr>
        <w:t xml:space="preserve"> is the reported basic earnings per share, calculated in accordance with IAS 33 – </w:t>
      </w:r>
      <w:r w:rsidRPr="00F4226B">
        <w:rPr>
          <w:rFonts w:ascii="Times New Roman" w:hAnsi="Times New Roman"/>
          <w:i/>
          <w:sz w:val="18"/>
          <w:szCs w:val="18"/>
          <w:lang w:val="en-US"/>
        </w:rPr>
        <w:t>Earnings per share</w:t>
      </w:r>
      <w:r w:rsidRPr="00F4226B">
        <w:rPr>
          <w:rFonts w:ascii="Times New Roman" w:hAnsi="Times New Roman"/>
          <w:sz w:val="18"/>
          <w:szCs w:val="18"/>
          <w:lang w:val="en-US"/>
        </w:rPr>
        <w:t xml:space="preserve"> for HC and IA amounts and </w:t>
      </w:r>
      <w:r w:rsidRPr="00F4226B">
        <w:rPr>
          <w:rFonts w:ascii="Times New Roman" w:hAnsi="Times New Roman"/>
          <w:i/>
          <w:sz w:val="18"/>
          <w:szCs w:val="18"/>
          <w:lang w:val="en-US"/>
        </w:rPr>
        <w:t xml:space="preserve">EIGLS </w:t>
      </w:r>
      <w:r w:rsidRPr="00F4226B">
        <w:rPr>
          <w:rFonts w:ascii="Times New Roman" w:hAnsi="Times New Roman"/>
          <w:sz w:val="18"/>
          <w:szCs w:val="18"/>
          <w:lang w:val="en-US"/>
        </w:rPr>
        <w:t xml:space="preserve">is the </w:t>
      </w:r>
      <w:r w:rsidR="00F4226B" w:rsidRPr="00F4226B">
        <w:rPr>
          <w:rFonts w:ascii="Times New Roman" w:hAnsi="Times New Roman"/>
          <w:sz w:val="18"/>
          <w:szCs w:val="18"/>
          <w:lang w:val="en-US"/>
        </w:rPr>
        <w:t>recognized</w:t>
      </w:r>
      <w:r w:rsidRPr="00F4226B">
        <w:rPr>
          <w:rFonts w:ascii="Times New Roman" w:hAnsi="Times New Roman"/>
          <w:sz w:val="18"/>
          <w:szCs w:val="18"/>
          <w:lang w:val="en-US"/>
        </w:rPr>
        <w:t xml:space="preserve"> inflation gains and losses in earnings (i.e., difference between HC and IA earnings).</w:t>
      </w:r>
      <w:r w:rsidRPr="00F4226B">
        <w:rPr>
          <w:rFonts w:ascii="Times New Roman" w:hAnsi="Times New Roman"/>
          <w:i/>
          <w:sz w:val="18"/>
          <w:szCs w:val="18"/>
          <w:lang w:val="en-US"/>
        </w:rPr>
        <w:t xml:space="preserve"> </w:t>
      </w:r>
      <w:r w:rsidR="00F4226B">
        <w:rPr>
          <w:rFonts w:ascii="Times New Roman" w:hAnsi="Times New Roman"/>
          <w:sz w:val="18"/>
          <w:szCs w:val="18"/>
          <w:lang w:val="en-US"/>
        </w:rPr>
        <w:t>To</w:t>
      </w:r>
      <w:r w:rsidRPr="00F4226B">
        <w:rPr>
          <w:rFonts w:ascii="Times New Roman" w:hAnsi="Times New Roman"/>
          <w:sz w:val="18"/>
          <w:szCs w:val="18"/>
          <w:lang w:val="en-US"/>
        </w:rPr>
        <w:t xml:space="preserve"> mitigate the size or scale effects, we deflate EARNINGS and EIGLS</w:t>
      </w:r>
      <w:r w:rsidRPr="00F4226B">
        <w:rPr>
          <w:rFonts w:ascii="Times New Roman" w:hAnsi="Times New Roman"/>
          <w:bCs/>
          <w:sz w:val="18"/>
          <w:szCs w:val="18"/>
          <w:lang w:val="en-US"/>
        </w:rPr>
        <w:t xml:space="preserve"> by the share prices at the beginning of the returns annual window.</w:t>
      </w:r>
    </w:p>
    <w:p w14:paraId="4D83F2D3" w14:textId="77777777" w:rsidR="00860322" w:rsidRPr="00F4226B" w:rsidRDefault="00860322" w:rsidP="00130429">
      <w:pPr>
        <w:spacing w:after="120" w:line="240" w:lineRule="auto"/>
        <w:jc w:val="both"/>
        <w:rPr>
          <w:rFonts w:ascii="Times New Roman" w:hAnsi="Times New Roman"/>
          <w:bCs/>
          <w:sz w:val="18"/>
          <w:szCs w:val="18"/>
          <w:lang w:val="en-US"/>
        </w:rPr>
      </w:pPr>
    </w:p>
    <w:p w14:paraId="5A07754C" w14:textId="77777777" w:rsidR="008C5004" w:rsidRPr="00F4226B" w:rsidRDefault="008C5004" w:rsidP="008C5004">
      <w:pPr>
        <w:spacing w:after="120" w:line="240" w:lineRule="auto"/>
        <w:jc w:val="center"/>
        <w:rPr>
          <w:rFonts w:ascii="Times New Roman" w:hAnsi="Times New Roman"/>
          <w:b/>
          <w:color w:val="000000"/>
          <w:highlight w:val="green"/>
          <w:lang w:val="en-US"/>
        </w:rPr>
      </w:pPr>
      <w:r w:rsidRPr="00F4226B">
        <w:rPr>
          <w:rFonts w:ascii="Times New Roman" w:hAnsi="Times New Roman"/>
          <w:b/>
          <w:lang w:val="en-US"/>
        </w:rPr>
        <w:t>Table 6: Results of pooled regression tests on the relative and incremental value relevance of HC and IA amounts with respect to share prices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6"/>
        <w:gridCol w:w="1115"/>
        <w:gridCol w:w="1418"/>
        <w:gridCol w:w="868"/>
      </w:tblGrid>
      <w:tr w:rsidR="008C5004" w:rsidRPr="00F4226B" w14:paraId="2EF13AF5" w14:textId="77777777" w:rsidTr="0008368E">
        <w:trPr>
          <w:trHeight w:val="409"/>
        </w:trPr>
        <w:tc>
          <w:tcPr>
            <w:tcW w:w="9180" w:type="dxa"/>
            <w:gridSpan w:val="5"/>
            <w:tcBorders>
              <w:top w:val="single" w:sz="12" w:space="0" w:color="auto"/>
              <w:left w:val="nil"/>
              <w:bottom w:val="single" w:sz="4" w:space="0" w:color="auto"/>
              <w:right w:val="nil"/>
            </w:tcBorders>
            <w:shd w:val="clear" w:color="auto" w:fill="auto"/>
            <w:vAlign w:val="bottom"/>
          </w:tcPr>
          <w:p w14:paraId="6B2BCCFB" w14:textId="77777777" w:rsidR="008C5004" w:rsidRPr="00F4226B" w:rsidRDefault="008C5004" w:rsidP="008C5004">
            <w:pPr>
              <w:spacing w:after="0" w:line="240" w:lineRule="auto"/>
              <w:ind w:firstLine="284"/>
              <w:jc w:val="both"/>
              <w:rPr>
                <w:rFonts w:ascii="Times New Roman" w:hAnsi="Times New Roman"/>
                <w:i/>
                <w:sz w:val="18"/>
                <w:szCs w:val="18"/>
                <w:lang w:val="en-US"/>
              </w:rPr>
            </w:pPr>
            <w:r w:rsidRPr="00F4226B">
              <w:rPr>
                <w:rFonts w:ascii="Times New Roman" w:hAnsi="Times New Roman"/>
                <w:i/>
                <w:sz w:val="18"/>
                <w:szCs w:val="18"/>
                <w:lang w:val="en-US"/>
              </w:rPr>
              <w:t>PRICE</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0</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1</w:t>
            </w:r>
            <w:r w:rsidRPr="00F4226B">
              <w:rPr>
                <w:rFonts w:ascii="Times New Roman" w:hAnsi="Times New Roman"/>
                <w:i/>
                <w:sz w:val="18"/>
                <w:szCs w:val="18"/>
                <w:lang w:val="en-US"/>
              </w:rPr>
              <w:t>EARNINGS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2</w:t>
            </w:r>
            <w:r w:rsidRPr="00F4226B">
              <w:rPr>
                <w:rFonts w:ascii="Times New Roman" w:hAnsi="Times New Roman"/>
                <w:i/>
                <w:sz w:val="18"/>
                <w:szCs w:val="18"/>
                <w:lang w:val="en-US"/>
              </w:rPr>
              <w:t>BOOK VALUES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3</w:t>
            </w:r>
            <w:r w:rsidRPr="00F4226B">
              <w:rPr>
                <w:rFonts w:ascii="Times New Roman" w:hAnsi="Times New Roman"/>
                <w:i/>
                <w:sz w:val="18"/>
                <w:szCs w:val="18"/>
                <w:lang w:val="en-US"/>
              </w:rPr>
              <w:t>YearDummies + ε</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ab/>
              <w:t xml:space="preserve">    </w:t>
            </w:r>
            <w:r w:rsidRPr="00F4226B">
              <w:rPr>
                <w:rFonts w:ascii="Times New Roman" w:hAnsi="Times New Roman"/>
                <w:i/>
                <w:sz w:val="18"/>
                <w:szCs w:val="18"/>
                <w:lang w:val="en-US"/>
              </w:rPr>
              <w:tab/>
              <w:t xml:space="preserve">                      </w:t>
            </w:r>
            <w:r w:rsidRPr="00F4226B">
              <w:rPr>
                <w:rFonts w:ascii="Times New Roman" w:hAnsi="Times New Roman"/>
                <w:bCs/>
                <w:i/>
                <w:sz w:val="18"/>
                <w:szCs w:val="18"/>
                <w:lang w:val="en-US"/>
              </w:rPr>
              <w:t>(3)</w:t>
            </w:r>
          </w:p>
          <w:p w14:paraId="0A63BA5D" w14:textId="77777777" w:rsidR="008C5004" w:rsidRPr="00F4226B" w:rsidRDefault="008C5004" w:rsidP="008C5004">
            <w:pPr>
              <w:spacing w:after="120" w:line="240" w:lineRule="auto"/>
              <w:ind w:firstLine="284"/>
              <w:jc w:val="both"/>
              <w:rPr>
                <w:rFonts w:ascii="Times New Roman" w:hAnsi="Times New Roman"/>
                <w:b/>
                <w:color w:val="000000"/>
                <w:sz w:val="20"/>
                <w:szCs w:val="20"/>
                <w:lang w:val="en-US"/>
              </w:rPr>
            </w:pPr>
            <w:r w:rsidRPr="00F4226B">
              <w:rPr>
                <w:rFonts w:ascii="Times New Roman" w:hAnsi="Times New Roman"/>
                <w:i/>
                <w:sz w:val="18"/>
                <w:szCs w:val="18"/>
                <w:lang w:val="en-US"/>
              </w:rPr>
              <w:t>PRICE</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0</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1</w:t>
            </w:r>
            <w:r w:rsidRPr="00F4226B">
              <w:rPr>
                <w:rFonts w:ascii="Times New Roman" w:hAnsi="Times New Roman"/>
                <w:i/>
                <w:sz w:val="18"/>
                <w:szCs w:val="18"/>
                <w:lang w:val="en-US"/>
              </w:rPr>
              <w:t>EARNINGS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2</w:t>
            </w:r>
            <w:r w:rsidRPr="00F4226B">
              <w:rPr>
                <w:rFonts w:ascii="Times New Roman" w:hAnsi="Times New Roman"/>
                <w:i/>
                <w:sz w:val="18"/>
                <w:szCs w:val="18"/>
                <w:lang w:val="en-US"/>
              </w:rPr>
              <w:t>BOOK VALUES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 xml:space="preserve">3 </w:t>
            </w:r>
            <w:r w:rsidRPr="00F4226B">
              <w:rPr>
                <w:rFonts w:ascii="Times New Roman" w:hAnsi="Times New Roman"/>
                <w:i/>
                <w:sz w:val="18"/>
                <w:szCs w:val="18"/>
                <w:lang w:val="en-US"/>
              </w:rPr>
              <w:t>EIGLS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4</w:t>
            </w:r>
            <w:r w:rsidRPr="00F4226B">
              <w:rPr>
                <w:rFonts w:ascii="Times New Roman" w:hAnsi="Times New Roman"/>
                <w:i/>
                <w:sz w:val="18"/>
                <w:szCs w:val="18"/>
                <w:lang w:val="en-US"/>
              </w:rPr>
              <w:t>BVIGLS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5</w:t>
            </w:r>
            <w:r w:rsidRPr="00F4226B">
              <w:rPr>
                <w:rFonts w:ascii="Times New Roman" w:hAnsi="Times New Roman"/>
                <w:i/>
                <w:sz w:val="18"/>
                <w:szCs w:val="18"/>
                <w:lang w:val="en-US"/>
              </w:rPr>
              <w:t>YearDummies + ε</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w:t>
            </w:r>
            <w:r w:rsidRPr="00F4226B">
              <w:rPr>
                <w:rFonts w:ascii="Times New Roman" w:hAnsi="Times New Roman"/>
                <w:bCs/>
                <w:i/>
                <w:sz w:val="18"/>
                <w:szCs w:val="18"/>
                <w:lang w:val="en-US"/>
              </w:rPr>
              <w:t>(4)</w:t>
            </w:r>
          </w:p>
        </w:tc>
      </w:tr>
      <w:tr w:rsidR="008C5004" w:rsidRPr="00F4226B" w14:paraId="0636D5B6" w14:textId="77777777" w:rsidTr="0008368E">
        <w:trPr>
          <w:trHeight w:val="409"/>
        </w:trPr>
        <w:tc>
          <w:tcPr>
            <w:tcW w:w="4503" w:type="dxa"/>
            <w:tcBorders>
              <w:left w:val="nil"/>
              <w:bottom w:val="single" w:sz="4" w:space="0" w:color="auto"/>
              <w:right w:val="nil"/>
            </w:tcBorders>
            <w:shd w:val="clear" w:color="auto" w:fill="auto"/>
            <w:vAlign w:val="bottom"/>
          </w:tcPr>
          <w:p w14:paraId="776F932E"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b/>
                <w:color w:val="000000"/>
                <w:sz w:val="20"/>
                <w:szCs w:val="20"/>
                <w:lang w:val="en-US"/>
              </w:rPr>
              <w:t>Variables</w:t>
            </w:r>
          </w:p>
          <w:p w14:paraId="0E6E452C"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c>
          <w:tcPr>
            <w:tcW w:w="1276" w:type="dxa"/>
            <w:tcBorders>
              <w:left w:val="nil"/>
              <w:bottom w:val="single" w:sz="4" w:space="0" w:color="auto"/>
              <w:right w:val="nil"/>
            </w:tcBorders>
            <w:shd w:val="clear" w:color="auto" w:fill="auto"/>
            <w:vAlign w:val="bottom"/>
          </w:tcPr>
          <w:p w14:paraId="37606D65" w14:textId="77777777" w:rsidR="008C5004" w:rsidRPr="00F4226B" w:rsidRDefault="008C5004" w:rsidP="008C5004">
            <w:pPr>
              <w:spacing w:after="0" w:line="240" w:lineRule="auto"/>
              <w:jc w:val="center"/>
              <w:rPr>
                <w:rFonts w:ascii="Times New Roman" w:hAnsi="Times New Roman"/>
                <w:b/>
                <w:color w:val="000000"/>
                <w:sz w:val="20"/>
                <w:szCs w:val="20"/>
                <w:lang w:val="en-US"/>
              </w:rPr>
            </w:pPr>
            <w:r w:rsidRPr="00F4226B">
              <w:rPr>
                <w:rFonts w:ascii="Times New Roman" w:hAnsi="Times New Roman"/>
                <w:b/>
                <w:color w:val="000000"/>
                <w:sz w:val="20"/>
                <w:szCs w:val="20"/>
                <w:lang w:val="en-US"/>
              </w:rPr>
              <w:t xml:space="preserve">Model 1 </w:t>
            </w:r>
          </w:p>
          <w:p w14:paraId="09518F51" w14:textId="77777777" w:rsidR="008C5004" w:rsidRPr="00F4226B" w:rsidRDefault="008C5004" w:rsidP="008C5004">
            <w:pPr>
              <w:spacing w:after="0" w:line="240" w:lineRule="auto"/>
              <w:jc w:val="center"/>
              <w:rPr>
                <w:rFonts w:ascii="Times New Roman" w:hAnsi="Times New Roman"/>
                <w:b/>
                <w:color w:val="000000"/>
                <w:sz w:val="20"/>
                <w:szCs w:val="20"/>
                <w:lang w:val="en-US"/>
              </w:rPr>
            </w:pPr>
            <w:r w:rsidRPr="00F4226B">
              <w:rPr>
                <w:rFonts w:ascii="Times New Roman" w:hAnsi="Times New Roman"/>
                <w:b/>
                <w:color w:val="000000"/>
                <w:sz w:val="20"/>
                <w:szCs w:val="20"/>
                <w:lang w:val="en-US"/>
              </w:rPr>
              <w:t>HC</w:t>
            </w:r>
          </w:p>
        </w:tc>
        <w:tc>
          <w:tcPr>
            <w:tcW w:w="1115" w:type="dxa"/>
            <w:tcBorders>
              <w:left w:val="nil"/>
              <w:bottom w:val="single" w:sz="4" w:space="0" w:color="auto"/>
              <w:right w:val="nil"/>
            </w:tcBorders>
            <w:shd w:val="clear" w:color="auto" w:fill="auto"/>
            <w:vAlign w:val="bottom"/>
          </w:tcPr>
          <w:p w14:paraId="18F3BED1" w14:textId="77777777" w:rsidR="008C5004" w:rsidRPr="00F4226B" w:rsidRDefault="008C5004" w:rsidP="008C5004">
            <w:pPr>
              <w:spacing w:after="0" w:line="240" w:lineRule="auto"/>
              <w:jc w:val="center"/>
              <w:rPr>
                <w:rFonts w:ascii="Times New Roman" w:hAnsi="Times New Roman"/>
                <w:b/>
                <w:color w:val="000000"/>
                <w:sz w:val="20"/>
                <w:szCs w:val="20"/>
                <w:lang w:val="en-US"/>
              </w:rPr>
            </w:pPr>
            <w:r w:rsidRPr="00F4226B">
              <w:rPr>
                <w:rFonts w:ascii="Times New Roman" w:hAnsi="Times New Roman"/>
                <w:b/>
                <w:color w:val="000000"/>
                <w:sz w:val="20"/>
                <w:szCs w:val="20"/>
                <w:lang w:val="en-US"/>
              </w:rPr>
              <w:t>Model 2</w:t>
            </w:r>
          </w:p>
          <w:p w14:paraId="59EC07BB" w14:textId="77777777" w:rsidR="008C5004" w:rsidRPr="00F4226B" w:rsidRDefault="008C5004" w:rsidP="008C5004">
            <w:pPr>
              <w:spacing w:after="0" w:line="240" w:lineRule="auto"/>
              <w:jc w:val="center"/>
              <w:rPr>
                <w:rFonts w:ascii="Times New Roman" w:hAnsi="Times New Roman"/>
                <w:b/>
                <w:color w:val="000000"/>
                <w:sz w:val="20"/>
                <w:szCs w:val="20"/>
                <w:lang w:val="en-US"/>
              </w:rPr>
            </w:pPr>
            <w:r w:rsidRPr="00F4226B">
              <w:rPr>
                <w:rFonts w:ascii="Times New Roman" w:hAnsi="Times New Roman"/>
                <w:b/>
                <w:color w:val="000000"/>
                <w:sz w:val="20"/>
                <w:szCs w:val="20"/>
                <w:lang w:val="en-US"/>
              </w:rPr>
              <w:t>IA</w:t>
            </w:r>
          </w:p>
        </w:tc>
        <w:tc>
          <w:tcPr>
            <w:tcW w:w="1418" w:type="dxa"/>
            <w:tcBorders>
              <w:left w:val="nil"/>
              <w:bottom w:val="single" w:sz="4" w:space="0" w:color="auto"/>
              <w:right w:val="nil"/>
            </w:tcBorders>
            <w:shd w:val="clear" w:color="auto" w:fill="auto"/>
            <w:vAlign w:val="bottom"/>
          </w:tcPr>
          <w:p w14:paraId="4EF1666D" w14:textId="77777777" w:rsidR="008C5004" w:rsidRPr="00F4226B" w:rsidRDefault="008C5004" w:rsidP="008C5004">
            <w:pPr>
              <w:spacing w:after="0" w:line="240" w:lineRule="auto"/>
              <w:jc w:val="center"/>
              <w:rPr>
                <w:rFonts w:ascii="Times New Roman" w:hAnsi="Times New Roman"/>
                <w:b/>
                <w:color w:val="000000"/>
                <w:sz w:val="20"/>
                <w:szCs w:val="20"/>
                <w:lang w:val="en-US"/>
              </w:rPr>
            </w:pPr>
            <w:r w:rsidRPr="00F4226B">
              <w:rPr>
                <w:rFonts w:ascii="Times New Roman" w:hAnsi="Times New Roman"/>
                <w:b/>
                <w:color w:val="000000"/>
                <w:sz w:val="20"/>
                <w:szCs w:val="20"/>
                <w:lang w:val="en-US"/>
              </w:rPr>
              <w:t>Model 3</w:t>
            </w:r>
          </w:p>
          <w:p w14:paraId="1DF3471B" w14:textId="77777777" w:rsidR="008C5004" w:rsidRPr="00F4226B" w:rsidRDefault="008C5004" w:rsidP="008C5004">
            <w:pPr>
              <w:spacing w:after="0" w:line="240" w:lineRule="auto"/>
              <w:jc w:val="center"/>
              <w:rPr>
                <w:rFonts w:ascii="Times New Roman" w:hAnsi="Times New Roman"/>
                <w:b/>
                <w:color w:val="000000"/>
                <w:sz w:val="20"/>
                <w:szCs w:val="20"/>
                <w:lang w:val="en-US"/>
              </w:rPr>
            </w:pPr>
            <w:r w:rsidRPr="00F4226B">
              <w:rPr>
                <w:rFonts w:ascii="Times New Roman" w:hAnsi="Times New Roman"/>
                <w:b/>
                <w:color w:val="000000"/>
                <w:sz w:val="20"/>
                <w:szCs w:val="20"/>
                <w:lang w:val="en-US"/>
              </w:rPr>
              <w:t>Incremental</w:t>
            </w:r>
          </w:p>
        </w:tc>
        <w:tc>
          <w:tcPr>
            <w:tcW w:w="868" w:type="dxa"/>
            <w:tcBorders>
              <w:left w:val="nil"/>
              <w:bottom w:val="single" w:sz="4" w:space="0" w:color="auto"/>
              <w:right w:val="nil"/>
            </w:tcBorders>
            <w:shd w:val="clear" w:color="auto" w:fill="auto"/>
            <w:vAlign w:val="bottom"/>
          </w:tcPr>
          <w:p w14:paraId="18FB92AE"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r>
      <w:tr w:rsidR="008C5004" w:rsidRPr="00F4226B" w14:paraId="51D1C210" w14:textId="77777777" w:rsidTr="0008368E">
        <w:trPr>
          <w:trHeight w:val="153"/>
        </w:trPr>
        <w:tc>
          <w:tcPr>
            <w:tcW w:w="4503" w:type="dxa"/>
            <w:tcBorders>
              <w:left w:val="nil"/>
              <w:bottom w:val="single" w:sz="4" w:space="0" w:color="auto"/>
              <w:right w:val="nil"/>
            </w:tcBorders>
            <w:shd w:val="clear" w:color="auto" w:fill="auto"/>
            <w:vAlign w:val="bottom"/>
          </w:tcPr>
          <w:p w14:paraId="00B158F3" w14:textId="6EF719B0" w:rsidR="008C5004" w:rsidRPr="00F4226B" w:rsidRDefault="008C5004" w:rsidP="008C5004">
            <w:pPr>
              <w:spacing w:before="120" w:after="120" w:line="240" w:lineRule="auto"/>
              <w:rPr>
                <w:rFonts w:ascii="Times New Roman" w:hAnsi="Times New Roman"/>
                <w:b/>
                <w:color w:val="000000"/>
                <w:sz w:val="20"/>
                <w:szCs w:val="20"/>
                <w:lang w:val="en-US"/>
              </w:rPr>
            </w:pPr>
            <w:r w:rsidRPr="00F4226B">
              <w:rPr>
                <w:rFonts w:ascii="Times New Roman" w:hAnsi="Times New Roman"/>
                <w:b/>
                <w:color w:val="000000"/>
                <w:sz w:val="20"/>
                <w:szCs w:val="20"/>
                <w:lang w:val="en-US"/>
              </w:rPr>
              <w:t>Panel A: Entire sample period (2000</w:t>
            </w:r>
            <w:r w:rsidR="00D73423">
              <w:rPr>
                <w:rFonts w:ascii="Times New Roman" w:hAnsi="Times New Roman"/>
                <w:b/>
                <w:color w:val="000000"/>
                <w:sz w:val="20"/>
                <w:szCs w:val="20"/>
                <w:lang w:val="en-US"/>
              </w:rPr>
              <w:t>–</w:t>
            </w:r>
            <w:r w:rsidRPr="00F4226B">
              <w:rPr>
                <w:rFonts w:ascii="Times New Roman" w:hAnsi="Times New Roman"/>
                <w:b/>
                <w:color w:val="000000"/>
                <w:sz w:val="20"/>
                <w:szCs w:val="20"/>
                <w:lang w:val="en-US"/>
              </w:rPr>
              <w:t>2005)</w:t>
            </w:r>
          </w:p>
        </w:tc>
        <w:tc>
          <w:tcPr>
            <w:tcW w:w="1276" w:type="dxa"/>
            <w:tcBorders>
              <w:left w:val="nil"/>
              <w:bottom w:val="single" w:sz="4" w:space="0" w:color="auto"/>
              <w:right w:val="nil"/>
            </w:tcBorders>
            <w:shd w:val="clear" w:color="auto" w:fill="auto"/>
            <w:vAlign w:val="bottom"/>
          </w:tcPr>
          <w:p w14:paraId="2EAE0DBD" w14:textId="77777777" w:rsidR="008C5004" w:rsidRPr="00F4226B" w:rsidRDefault="008C5004" w:rsidP="00692C1D">
            <w:pPr>
              <w:spacing w:after="0" w:line="240" w:lineRule="auto"/>
              <w:jc w:val="center"/>
              <w:rPr>
                <w:rFonts w:ascii="Times New Roman" w:hAnsi="Times New Roman"/>
                <w:b/>
                <w:color w:val="000000"/>
                <w:sz w:val="20"/>
                <w:szCs w:val="20"/>
                <w:lang w:val="en-US"/>
              </w:rPr>
            </w:pPr>
          </w:p>
        </w:tc>
        <w:tc>
          <w:tcPr>
            <w:tcW w:w="1115" w:type="dxa"/>
            <w:tcBorders>
              <w:left w:val="nil"/>
              <w:bottom w:val="single" w:sz="4" w:space="0" w:color="auto"/>
              <w:right w:val="nil"/>
            </w:tcBorders>
            <w:shd w:val="clear" w:color="auto" w:fill="auto"/>
            <w:vAlign w:val="bottom"/>
          </w:tcPr>
          <w:p w14:paraId="6651CC9F"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418" w:type="dxa"/>
            <w:tcBorders>
              <w:left w:val="nil"/>
              <w:bottom w:val="single" w:sz="4" w:space="0" w:color="auto"/>
              <w:right w:val="nil"/>
            </w:tcBorders>
            <w:shd w:val="clear" w:color="auto" w:fill="auto"/>
            <w:vAlign w:val="bottom"/>
          </w:tcPr>
          <w:p w14:paraId="6B23E79B"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868" w:type="dxa"/>
            <w:tcBorders>
              <w:left w:val="nil"/>
              <w:bottom w:val="single" w:sz="4" w:space="0" w:color="auto"/>
              <w:right w:val="nil"/>
            </w:tcBorders>
            <w:shd w:val="clear" w:color="auto" w:fill="auto"/>
            <w:vAlign w:val="bottom"/>
          </w:tcPr>
          <w:p w14:paraId="5B7926C9"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r>
      <w:tr w:rsidR="008C5004" w:rsidRPr="00F4226B" w14:paraId="60378FB2" w14:textId="77777777" w:rsidTr="0008368E">
        <w:trPr>
          <w:trHeight w:val="499"/>
        </w:trPr>
        <w:tc>
          <w:tcPr>
            <w:tcW w:w="4503" w:type="dxa"/>
            <w:tcBorders>
              <w:left w:val="nil"/>
              <w:bottom w:val="nil"/>
              <w:right w:val="nil"/>
            </w:tcBorders>
            <w:shd w:val="clear" w:color="auto" w:fill="auto"/>
          </w:tcPr>
          <w:p w14:paraId="770EBFDE"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Intercept</w:t>
            </w:r>
          </w:p>
        </w:tc>
        <w:tc>
          <w:tcPr>
            <w:tcW w:w="1276" w:type="dxa"/>
            <w:tcBorders>
              <w:left w:val="nil"/>
              <w:bottom w:val="nil"/>
              <w:right w:val="nil"/>
            </w:tcBorders>
            <w:shd w:val="clear" w:color="auto" w:fill="auto"/>
          </w:tcPr>
          <w:p w14:paraId="0BE3A29C"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0.918</w:t>
            </w:r>
          </w:p>
          <w:p w14:paraId="36E1F0FF"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(0.10)</w:t>
            </w:r>
          </w:p>
        </w:tc>
        <w:tc>
          <w:tcPr>
            <w:tcW w:w="1115" w:type="dxa"/>
            <w:tcBorders>
              <w:left w:val="nil"/>
              <w:bottom w:val="nil"/>
              <w:right w:val="nil"/>
            </w:tcBorders>
            <w:shd w:val="clear" w:color="auto" w:fill="auto"/>
          </w:tcPr>
          <w:p w14:paraId="14E73491"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-0.396</w:t>
            </w:r>
          </w:p>
          <w:p w14:paraId="04D84E8F"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(-0.04)</w:t>
            </w:r>
          </w:p>
        </w:tc>
        <w:tc>
          <w:tcPr>
            <w:tcW w:w="1418" w:type="dxa"/>
            <w:tcBorders>
              <w:left w:val="nil"/>
              <w:bottom w:val="nil"/>
              <w:right w:val="nil"/>
            </w:tcBorders>
            <w:shd w:val="clear" w:color="auto" w:fill="auto"/>
          </w:tcPr>
          <w:p w14:paraId="794A7A0B"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1.369</w:t>
            </w:r>
          </w:p>
          <w:p w14:paraId="3938FDBE"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(0.15)</w:t>
            </w:r>
          </w:p>
        </w:tc>
        <w:tc>
          <w:tcPr>
            <w:tcW w:w="868" w:type="dxa"/>
            <w:tcBorders>
              <w:left w:val="nil"/>
              <w:bottom w:val="nil"/>
              <w:right w:val="nil"/>
            </w:tcBorders>
            <w:shd w:val="clear" w:color="auto" w:fill="auto"/>
          </w:tcPr>
          <w:p w14:paraId="5A6B44B4"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22DB7194" w14:textId="77777777" w:rsidTr="0008368E">
        <w:trPr>
          <w:trHeight w:val="405"/>
        </w:trPr>
        <w:tc>
          <w:tcPr>
            <w:tcW w:w="4503" w:type="dxa"/>
            <w:tcBorders>
              <w:top w:val="nil"/>
              <w:left w:val="nil"/>
              <w:bottom w:val="nil"/>
              <w:right w:val="nil"/>
            </w:tcBorders>
            <w:shd w:val="clear" w:color="auto" w:fill="auto"/>
          </w:tcPr>
          <w:p w14:paraId="4E90857E"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EARNINGS</w:t>
            </w:r>
          </w:p>
        </w:tc>
        <w:tc>
          <w:tcPr>
            <w:tcW w:w="1276" w:type="dxa"/>
            <w:tcBorders>
              <w:top w:val="nil"/>
              <w:left w:val="nil"/>
              <w:bottom w:val="nil"/>
              <w:right w:val="nil"/>
            </w:tcBorders>
            <w:shd w:val="clear" w:color="auto" w:fill="auto"/>
          </w:tcPr>
          <w:p w14:paraId="195E06D8"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6.186      (7.45***)</w:t>
            </w:r>
          </w:p>
        </w:tc>
        <w:tc>
          <w:tcPr>
            <w:tcW w:w="1115" w:type="dxa"/>
            <w:tcBorders>
              <w:top w:val="nil"/>
              <w:left w:val="nil"/>
              <w:bottom w:val="nil"/>
              <w:right w:val="nil"/>
            </w:tcBorders>
            <w:shd w:val="clear" w:color="auto" w:fill="auto"/>
          </w:tcPr>
          <w:p w14:paraId="47395EAA"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5.143</w:t>
            </w:r>
          </w:p>
          <w:p w14:paraId="7EF1838F"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(7.12***)</w:t>
            </w:r>
          </w:p>
        </w:tc>
        <w:tc>
          <w:tcPr>
            <w:tcW w:w="1418" w:type="dxa"/>
            <w:tcBorders>
              <w:top w:val="nil"/>
              <w:left w:val="nil"/>
              <w:bottom w:val="nil"/>
              <w:right w:val="nil"/>
            </w:tcBorders>
            <w:shd w:val="clear" w:color="auto" w:fill="auto"/>
          </w:tcPr>
          <w:p w14:paraId="1251030F"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7.517</w:t>
            </w:r>
          </w:p>
          <w:p w14:paraId="48EEFE89"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(7.76***)</w:t>
            </w:r>
          </w:p>
        </w:tc>
        <w:tc>
          <w:tcPr>
            <w:tcW w:w="868" w:type="dxa"/>
            <w:tcBorders>
              <w:top w:val="nil"/>
              <w:left w:val="nil"/>
              <w:bottom w:val="nil"/>
              <w:right w:val="nil"/>
            </w:tcBorders>
            <w:shd w:val="clear" w:color="auto" w:fill="auto"/>
          </w:tcPr>
          <w:p w14:paraId="13A7AE6E"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76A72B44" w14:textId="77777777" w:rsidTr="0008368E">
        <w:trPr>
          <w:trHeight w:val="405"/>
        </w:trPr>
        <w:tc>
          <w:tcPr>
            <w:tcW w:w="4503" w:type="dxa"/>
            <w:tcBorders>
              <w:top w:val="nil"/>
              <w:left w:val="nil"/>
              <w:bottom w:val="nil"/>
              <w:right w:val="nil"/>
            </w:tcBorders>
            <w:shd w:val="clear" w:color="auto" w:fill="auto"/>
          </w:tcPr>
          <w:p w14:paraId="57A0F668"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BOOK VALUES</w:t>
            </w:r>
          </w:p>
        </w:tc>
        <w:tc>
          <w:tcPr>
            <w:tcW w:w="1276" w:type="dxa"/>
            <w:tcBorders>
              <w:top w:val="nil"/>
              <w:left w:val="nil"/>
              <w:bottom w:val="nil"/>
              <w:right w:val="nil"/>
            </w:tcBorders>
            <w:shd w:val="clear" w:color="auto" w:fill="auto"/>
          </w:tcPr>
          <w:p w14:paraId="5519E419"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0.249</w:t>
            </w:r>
          </w:p>
          <w:p w14:paraId="5D5077A2"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(1.00)</w:t>
            </w:r>
          </w:p>
        </w:tc>
        <w:tc>
          <w:tcPr>
            <w:tcW w:w="1115" w:type="dxa"/>
            <w:tcBorders>
              <w:top w:val="nil"/>
              <w:left w:val="nil"/>
              <w:bottom w:val="nil"/>
              <w:right w:val="nil"/>
            </w:tcBorders>
            <w:shd w:val="clear" w:color="auto" w:fill="auto"/>
          </w:tcPr>
          <w:p w14:paraId="730A78E9"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0.921</w:t>
            </w:r>
          </w:p>
          <w:p w14:paraId="73CD7488"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(8.02***)</w:t>
            </w:r>
          </w:p>
        </w:tc>
        <w:tc>
          <w:tcPr>
            <w:tcW w:w="1418" w:type="dxa"/>
            <w:tcBorders>
              <w:top w:val="nil"/>
              <w:left w:val="nil"/>
              <w:bottom w:val="nil"/>
              <w:right w:val="nil"/>
            </w:tcBorders>
            <w:shd w:val="clear" w:color="auto" w:fill="auto"/>
          </w:tcPr>
          <w:p w14:paraId="2BFC8935"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0.215</w:t>
            </w:r>
          </w:p>
          <w:p w14:paraId="12287D37"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(0.86)</w:t>
            </w:r>
          </w:p>
        </w:tc>
        <w:tc>
          <w:tcPr>
            <w:tcW w:w="868" w:type="dxa"/>
            <w:tcBorders>
              <w:top w:val="nil"/>
              <w:left w:val="nil"/>
              <w:bottom w:val="nil"/>
              <w:right w:val="nil"/>
            </w:tcBorders>
            <w:shd w:val="clear" w:color="auto" w:fill="auto"/>
          </w:tcPr>
          <w:p w14:paraId="36585AFB"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6FC18F21" w14:textId="77777777" w:rsidTr="0008368E">
        <w:trPr>
          <w:trHeight w:val="420"/>
        </w:trPr>
        <w:tc>
          <w:tcPr>
            <w:tcW w:w="4503" w:type="dxa"/>
            <w:tcBorders>
              <w:top w:val="nil"/>
              <w:left w:val="nil"/>
              <w:bottom w:val="nil"/>
              <w:right w:val="nil"/>
            </w:tcBorders>
            <w:shd w:val="clear" w:color="auto" w:fill="auto"/>
          </w:tcPr>
          <w:p w14:paraId="0633D8FA"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EIGLS</w:t>
            </w:r>
          </w:p>
        </w:tc>
        <w:tc>
          <w:tcPr>
            <w:tcW w:w="1276" w:type="dxa"/>
            <w:tcBorders>
              <w:top w:val="nil"/>
              <w:left w:val="nil"/>
              <w:bottom w:val="nil"/>
              <w:right w:val="nil"/>
            </w:tcBorders>
            <w:shd w:val="clear" w:color="auto" w:fill="auto"/>
          </w:tcPr>
          <w:p w14:paraId="0E17994F" w14:textId="77777777" w:rsidR="008C5004" w:rsidRPr="00F4226B" w:rsidRDefault="008C5004" w:rsidP="00582332">
            <w:pPr>
              <w:spacing w:after="0" w:line="240" w:lineRule="auto"/>
              <w:jc w:val="center"/>
              <w:rPr>
                <w:rFonts w:ascii="Times New Roman" w:hAnsi="Times New Roman"/>
                <w:color w:val="000000"/>
                <w:sz w:val="20"/>
                <w:szCs w:val="20"/>
                <w:lang w:val="en-US"/>
              </w:rPr>
            </w:pPr>
          </w:p>
          <w:p w14:paraId="3A611ECD"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115" w:type="dxa"/>
            <w:tcBorders>
              <w:top w:val="nil"/>
              <w:left w:val="nil"/>
              <w:bottom w:val="nil"/>
              <w:right w:val="nil"/>
            </w:tcBorders>
            <w:shd w:val="clear" w:color="auto" w:fill="auto"/>
          </w:tcPr>
          <w:p w14:paraId="3AE773AB"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418" w:type="dxa"/>
            <w:tcBorders>
              <w:top w:val="nil"/>
              <w:left w:val="nil"/>
              <w:bottom w:val="nil"/>
              <w:right w:val="nil"/>
            </w:tcBorders>
            <w:shd w:val="clear" w:color="auto" w:fill="auto"/>
          </w:tcPr>
          <w:p w14:paraId="5C4D2EC0" w14:textId="77777777" w:rsidR="0076397A" w:rsidRPr="00F4226B" w:rsidRDefault="0076397A"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-0.118</w:t>
            </w:r>
          </w:p>
          <w:p w14:paraId="18076E78" w14:textId="77777777" w:rsidR="008C5004" w:rsidRPr="00F4226B" w:rsidRDefault="0076397A"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(-0.55)</w:t>
            </w:r>
          </w:p>
        </w:tc>
        <w:tc>
          <w:tcPr>
            <w:tcW w:w="868" w:type="dxa"/>
            <w:tcBorders>
              <w:top w:val="nil"/>
              <w:left w:val="nil"/>
              <w:bottom w:val="nil"/>
              <w:right w:val="nil"/>
            </w:tcBorders>
            <w:shd w:val="clear" w:color="auto" w:fill="auto"/>
          </w:tcPr>
          <w:p w14:paraId="7025A897"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5C4EB029" w14:textId="77777777" w:rsidTr="0008368E">
        <w:trPr>
          <w:trHeight w:val="420"/>
        </w:trPr>
        <w:tc>
          <w:tcPr>
            <w:tcW w:w="4503" w:type="dxa"/>
            <w:tcBorders>
              <w:top w:val="nil"/>
              <w:left w:val="nil"/>
              <w:bottom w:val="nil"/>
              <w:right w:val="nil"/>
            </w:tcBorders>
            <w:shd w:val="clear" w:color="auto" w:fill="auto"/>
          </w:tcPr>
          <w:p w14:paraId="6F9CE2F1"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BVIGLS</w:t>
            </w:r>
          </w:p>
        </w:tc>
        <w:tc>
          <w:tcPr>
            <w:tcW w:w="1276" w:type="dxa"/>
            <w:tcBorders>
              <w:top w:val="nil"/>
              <w:left w:val="nil"/>
              <w:bottom w:val="nil"/>
              <w:right w:val="nil"/>
            </w:tcBorders>
            <w:shd w:val="clear" w:color="auto" w:fill="auto"/>
          </w:tcPr>
          <w:p w14:paraId="70BB1E6D" w14:textId="77777777" w:rsidR="008C5004" w:rsidRPr="00F4226B" w:rsidRDefault="008C5004" w:rsidP="00582332">
            <w:pPr>
              <w:spacing w:after="0" w:line="240" w:lineRule="auto"/>
              <w:jc w:val="center"/>
              <w:rPr>
                <w:rFonts w:ascii="Times New Roman" w:hAnsi="Times New Roman"/>
                <w:color w:val="000000"/>
                <w:sz w:val="20"/>
                <w:szCs w:val="20"/>
                <w:lang w:val="en-US"/>
              </w:rPr>
            </w:pPr>
          </w:p>
          <w:p w14:paraId="558B2492"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115" w:type="dxa"/>
            <w:tcBorders>
              <w:top w:val="nil"/>
              <w:left w:val="nil"/>
              <w:bottom w:val="nil"/>
              <w:right w:val="nil"/>
            </w:tcBorders>
            <w:shd w:val="clear" w:color="auto" w:fill="auto"/>
          </w:tcPr>
          <w:p w14:paraId="5606E14F"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418" w:type="dxa"/>
            <w:tcBorders>
              <w:top w:val="nil"/>
              <w:left w:val="nil"/>
              <w:bottom w:val="nil"/>
              <w:right w:val="nil"/>
            </w:tcBorders>
            <w:shd w:val="clear" w:color="auto" w:fill="auto"/>
          </w:tcPr>
          <w:p w14:paraId="60FE7F98" w14:textId="77777777" w:rsidR="0076397A" w:rsidRPr="00F4226B" w:rsidRDefault="0076397A"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-2.420</w:t>
            </w:r>
          </w:p>
          <w:p w14:paraId="1E71D9A4" w14:textId="77777777" w:rsidR="008C5004" w:rsidRPr="00F4226B" w:rsidRDefault="0076397A"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(-2.79***)</w:t>
            </w:r>
          </w:p>
        </w:tc>
        <w:tc>
          <w:tcPr>
            <w:tcW w:w="868" w:type="dxa"/>
            <w:tcBorders>
              <w:top w:val="nil"/>
              <w:left w:val="nil"/>
              <w:bottom w:val="nil"/>
              <w:right w:val="nil"/>
            </w:tcBorders>
            <w:shd w:val="clear" w:color="auto" w:fill="auto"/>
          </w:tcPr>
          <w:p w14:paraId="10B71FE1"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73BD3FA1" w14:textId="77777777" w:rsidTr="0008368E">
        <w:trPr>
          <w:trHeight w:val="405"/>
        </w:trPr>
        <w:tc>
          <w:tcPr>
            <w:tcW w:w="4503" w:type="dxa"/>
            <w:tcBorders>
              <w:top w:val="nil"/>
              <w:left w:val="nil"/>
              <w:bottom w:val="nil"/>
              <w:right w:val="nil"/>
            </w:tcBorders>
            <w:shd w:val="clear" w:color="auto" w:fill="auto"/>
          </w:tcPr>
          <w:p w14:paraId="51C9024A"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Fixed time effects</w:t>
            </w:r>
          </w:p>
        </w:tc>
        <w:tc>
          <w:tcPr>
            <w:tcW w:w="1276" w:type="dxa"/>
            <w:tcBorders>
              <w:top w:val="nil"/>
              <w:left w:val="nil"/>
              <w:bottom w:val="nil"/>
              <w:right w:val="nil"/>
            </w:tcBorders>
            <w:shd w:val="clear" w:color="auto" w:fill="auto"/>
          </w:tcPr>
          <w:p w14:paraId="2769B237" w14:textId="77777777" w:rsidR="008C5004" w:rsidRPr="00F4226B" w:rsidRDefault="008C5004" w:rsidP="00582332">
            <w:pPr>
              <w:spacing w:after="0" w:line="240" w:lineRule="auto"/>
              <w:ind w:right="-89"/>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Included</w:t>
            </w:r>
          </w:p>
        </w:tc>
        <w:tc>
          <w:tcPr>
            <w:tcW w:w="1115" w:type="dxa"/>
            <w:tcBorders>
              <w:top w:val="nil"/>
              <w:left w:val="nil"/>
              <w:bottom w:val="nil"/>
              <w:right w:val="nil"/>
            </w:tcBorders>
            <w:shd w:val="clear" w:color="auto" w:fill="auto"/>
          </w:tcPr>
          <w:p w14:paraId="1CE6BFF3"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Included</w:t>
            </w:r>
          </w:p>
        </w:tc>
        <w:tc>
          <w:tcPr>
            <w:tcW w:w="1418" w:type="dxa"/>
            <w:tcBorders>
              <w:top w:val="nil"/>
              <w:left w:val="nil"/>
              <w:bottom w:val="nil"/>
              <w:right w:val="nil"/>
            </w:tcBorders>
            <w:shd w:val="clear" w:color="auto" w:fill="auto"/>
          </w:tcPr>
          <w:p w14:paraId="5B5E8A31"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Included</w:t>
            </w:r>
          </w:p>
        </w:tc>
        <w:tc>
          <w:tcPr>
            <w:tcW w:w="868" w:type="dxa"/>
            <w:tcBorders>
              <w:top w:val="nil"/>
              <w:left w:val="nil"/>
              <w:bottom w:val="nil"/>
              <w:right w:val="nil"/>
            </w:tcBorders>
            <w:shd w:val="clear" w:color="auto" w:fill="auto"/>
          </w:tcPr>
          <w:p w14:paraId="54E86D7D"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4E306A91" w14:textId="77777777" w:rsidTr="0008368E">
        <w:trPr>
          <w:trHeight w:val="240"/>
        </w:trPr>
        <w:tc>
          <w:tcPr>
            <w:tcW w:w="4503" w:type="dxa"/>
            <w:tcBorders>
              <w:top w:val="nil"/>
              <w:left w:val="nil"/>
              <w:bottom w:val="nil"/>
              <w:right w:val="nil"/>
            </w:tcBorders>
            <w:shd w:val="clear" w:color="auto" w:fill="auto"/>
          </w:tcPr>
          <w:p w14:paraId="3E3F00EB"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F-ratio</w:t>
            </w:r>
          </w:p>
        </w:tc>
        <w:tc>
          <w:tcPr>
            <w:tcW w:w="1276" w:type="dxa"/>
            <w:tcBorders>
              <w:top w:val="nil"/>
              <w:left w:val="nil"/>
              <w:bottom w:val="nil"/>
              <w:right w:val="nil"/>
            </w:tcBorders>
            <w:shd w:val="clear" w:color="auto" w:fill="auto"/>
          </w:tcPr>
          <w:p w14:paraId="121313E9"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46.88***</w:t>
            </w:r>
          </w:p>
        </w:tc>
        <w:tc>
          <w:tcPr>
            <w:tcW w:w="1115" w:type="dxa"/>
            <w:tcBorders>
              <w:top w:val="nil"/>
              <w:left w:val="nil"/>
              <w:bottom w:val="nil"/>
              <w:right w:val="nil"/>
            </w:tcBorders>
            <w:shd w:val="clear" w:color="auto" w:fill="auto"/>
          </w:tcPr>
          <w:p w14:paraId="00EF91A3"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39.50***</w:t>
            </w:r>
          </w:p>
        </w:tc>
        <w:tc>
          <w:tcPr>
            <w:tcW w:w="1418" w:type="dxa"/>
            <w:tcBorders>
              <w:top w:val="nil"/>
              <w:left w:val="nil"/>
              <w:bottom w:val="nil"/>
              <w:right w:val="nil"/>
            </w:tcBorders>
            <w:shd w:val="clear" w:color="auto" w:fill="auto"/>
          </w:tcPr>
          <w:p w14:paraId="01B2D257"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38.58***</w:t>
            </w:r>
          </w:p>
        </w:tc>
        <w:tc>
          <w:tcPr>
            <w:tcW w:w="868" w:type="dxa"/>
            <w:tcBorders>
              <w:top w:val="nil"/>
              <w:left w:val="nil"/>
              <w:bottom w:val="nil"/>
              <w:right w:val="nil"/>
            </w:tcBorders>
            <w:shd w:val="clear" w:color="auto" w:fill="auto"/>
          </w:tcPr>
          <w:p w14:paraId="443C08F5" w14:textId="77777777" w:rsidR="008C5004" w:rsidRPr="00F4226B" w:rsidRDefault="008C5004" w:rsidP="008C5004">
            <w:pPr>
              <w:spacing w:after="0" w:line="240" w:lineRule="auto"/>
              <w:jc w:val="right"/>
              <w:rPr>
                <w:rFonts w:ascii="Times New Roman" w:hAnsi="Times New Roman"/>
                <w:color w:val="000000"/>
                <w:sz w:val="20"/>
                <w:szCs w:val="20"/>
                <w:lang w:val="en-US"/>
              </w:rPr>
            </w:pPr>
          </w:p>
        </w:tc>
      </w:tr>
      <w:tr w:rsidR="008C5004" w:rsidRPr="00F4226B" w14:paraId="53963D17" w14:textId="77777777" w:rsidTr="0008368E">
        <w:trPr>
          <w:trHeight w:val="240"/>
        </w:trPr>
        <w:tc>
          <w:tcPr>
            <w:tcW w:w="4503" w:type="dxa"/>
            <w:tcBorders>
              <w:top w:val="nil"/>
              <w:left w:val="nil"/>
              <w:bottom w:val="nil"/>
              <w:right w:val="nil"/>
            </w:tcBorders>
            <w:shd w:val="clear" w:color="auto" w:fill="auto"/>
          </w:tcPr>
          <w:p w14:paraId="327519D0"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Adjusted R</w:t>
            </w:r>
            <w:r w:rsidRPr="00F4226B">
              <w:rPr>
                <w:rFonts w:ascii="Times New Roman" w:hAnsi="Times New Roman"/>
                <w:bCs/>
                <w:color w:val="000000"/>
                <w:sz w:val="20"/>
                <w:szCs w:val="20"/>
                <w:vertAlign w:val="superscript"/>
                <w:lang w:val="en-US" w:eastAsia="es-ES"/>
              </w:rPr>
              <w:t>2</w:t>
            </w:r>
          </w:p>
        </w:tc>
        <w:tc>
          <w:tcPr>
            <w:tcW w:w="1276" w:type="dxa"/>
            <w:tcBorders>
              <w:top w:val="nil"/>
              <w:left w:val="nil"/>
              <w:bottom w:val="nil"/>
              <w:right w:val="nil"/>
            </w:tcBorders>
            <w:shd w:val="clear" w:color="auto" w:fill="auto"/>
          </w:tcPr>
          <w:p w14:paraId="516C11EF"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0.626</w:t>
            </w:r>
          </w:p>
        </w:tc>
        <w:tc>
          <w:tcPr>
            <w:tcW w:w="1115" w:type="dxa"/>
            <w:tcBorders>
              <w:top w:val="nil"/>
              <w:left w:val="nil"/>
              <w:bottom w:val="nil"/>
              <w:right w:val="nil"/>
            </w:tcBorders>
            <w:shd w:val="clear" w:color="auto" w:fill="auto"/>
          </w:tcPr>
          <w:p w14:paraId="39F8E1B4"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0.584</w:t>
            </w:r>
          </w:p>
        </w:tc>
        <w:tc>
          <w:tcPr>
            <w:tcW w:w="1418" w:type="dxa"/>
            <w:tcBorders>
              <w:top w:val="nil"/>
              <w:left w:val="nil"/>
              <w:bottom w:val="nil"/>
              <w:right w:val="nil"/>
            </w:tcBorders>
            <w:shd w:val="clear" w:color="auto" w:fill="auto"/>
          </w:tcPr>
          <w:p w14:paraId="1BF7951A"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0.638</w:t>
            </w:r>
          </w:p>
        </w:tc>
        <w:tc>
          <w:tcPr>
            <w:tcW w:w="868" w:type="dxa"/>
            <w:tcBorders>
              <w:top w:val="nil"/>
              <w:left w:val="nil"/>
              <w:bottom w:val="nil"/>
              <w:right w:val="nil"/>
            </w:tcBorders>
            <w:shd w:val="clear" w:color="auto" w:fill="auto"/>
          </w:tcPr>
          <w:p w14:paraId="041FD0B4" w14:textId="77777777" w:rsidR="008C5004" w:rsidRPr="00F4226B" w:rsidRDefault="008C5004" w:rsidP="008C5004">
            <w:pPr>
              <w:spacing w:after="0" w:line="240" w:lineRule="auto"/>
              <w:jc w:val="right"/>
              <w:rPr>
                <w:rFonts w:ascii="Times New Roman" w:hAnsi="Times New Roman"/>
                <w:color w:val="000000"/>
                <w:sz w:val="20"/>
                <w:szCs w:val="20"/>
                <w:lang w:val="en-US"/>
              </w:rPr>
            </w:pPr>
          </w:p>
        </w:tc>
      </w:tr>
      <w:tr w:rsidR="008C5004" w:rsidRPr="00F4226B" w14:paraId="4DD0E426" w14:textId="77777777" w:rsidTr="0008368E">
        <w:trPr>
          <w:trHeight w:val="240"/>
        </w:trPr>
        <w:tc>
          <w:tcPr>
            <w:tcW w:w="4503" w:type="dxa"/>
            <w:tcBorders>
              <w:top w:val="nil"/>
              <w:left w:val="nil"/>
              <w:bottom w:val="nil"/>
              <w:right w:val="nil"/>
            </w:tcBorders>
            <w:shd w:val="clear" w:color="auto" w:fill="auto"/>
          </w:tcPr>
          <w:p w14:paraId="45B281EF"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 xml:space="preserve">Vuong’s Z-statistics: HC vs IA Model                  </w:t>
            </w:r>
          </w:p>
        </w:tc>
        <w:tc>
          <w:tcPr>
            <w:tcW w:w="1276" w:type="dxa"/>
            <w:tcBorders>
              <w:top w:val="nil"/>
              <w:left w:val="nil"/>
              <w:bottom w:val="nil"/>
              <w:right w:val="nil"/>
            </w:tcBorders>
            <w:shd w:val="clear" w:color="auto" w:fill="auto"/>
          </w:tcPr>
          <w:p w14:paraId="6C2F7AD9"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nil"/>
              <w:left w:val="nil"/>
              <w:bottom w:val="nil"/>
              <w:right w:val="nil"/>
            </w:tcBorders>
            <w:shd w:val="clear" w:color="auto" w:fill="auto"/>
          </w:tcPr>
          <w:p w14:paraId="7488CC8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0.717</w:t>
            </w:r>
          </w:p>
        </w:tc>
        <w:tc>
          <w:tcPr>
            <w:tcW w:w="1418" w:type="dxa"/>
            <w:tcBorders>
              <w:top w:val="nil"/>
              <w:left w:val="nil"/>
              <w:bottom w:val="nil"/>
              <w:right w:val="nil"/>
            </w:tcBorders>
            <w:shd w:val="clear" w:color="auto" w:fill="auto"/>
          </w:tcPr>
          <w:p w14:paraId="3F1BD81F" w14:textId="77777777" w:rsidR="008C5004" w:rsidRPr="00F4226B" w:rsidRDefault="008C5004" w:rsidP="00582332">
            <w:pPr>
              <w:spacing w:after="0" w:line="240" w:lineRule="auto"/>
              <w:jc w:val="center"/>
              <w:rPr>
                <w:rFonts w:ascii="Times New Roman" w:hAnsi="Times New Roman"/>
                <w:color w:val="000000"/>
                <w:sz w:val="20"/>
                <w:szCs w:val="20"/>
                <w:lang w:val="en-US"/>
              </w:rPr>
            </w:pPr>
          </w:p>
        </w:tc>
        <w:tc>
          <w:tcPr>
            <w:tcW w:w="868" w:type="dxa"/>
            <w:tcBorders>
              <w:top w:val="nil"/>
              <w:left w:val="nil"/>
              <w:bottom w:val="nil"/>
              <w:right w:val="nil"/>
            </w:tcBorders>
            <w:shd w:val="clear" w:color="auto" w:fill="auto"/>
          </w:tcPr>
          <w:p w14:paraId="2A3EFF32"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20F86C3C" w14:textId="77777777" w:rsidTr="0008368E">
        <w:trPr>
          <w:trHeight w:val="240"/>
        </w:trPr>
        <w:tc>
          <w:tcPr>
            <w:tcW w:w="4503" w:type="dxa"/>
            <w:tcBorders>
              <w:top w:val="nil"/>
              <w:left w:val="nil"/>
              <w:bottom w:val="nil"/>
              <w:right w:val="nil"/>
            </w:tcBorders>
            <w:shd w:val="clear" w:color="auto" w:fill="auto"/>
          </w:tcPr>
          <w:p w14:paraId="61CD6E7A"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 xml:space="preserve">                                  HC vs Incremental Model</w:t>
            </w:r>
          </w:p>
        </w:tc>
        <w:tc>
          <w:tcPr>
            <w:tcW w:w="1276" w:type="dxa"/>
            <w:tcBorders>
              <w:top w:val="nil"/>
              <w:left w:val="nil"/>
              <w:bottom w:val="nil"/>
              <w:right w:val="nil"/>
            </w:tcBorders>
            <w:shd w:val="clear" w:color="auto" w:fill="auto"/>
          </w:tcPr>
          <w:p w14:paraId="21143502" w14:textId="77777777" w:rsidR="008C5004" w:rsidRPr="00F4226B" w:rsidRDefault="008C5004" w:rsidP="00692C1D">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nil"/>
              <w:left w:val="nil"/>
              <w:bottom w:val="nil"/>
              <w:right w:val="nil"/>
            </w:tcBorders>
            <w:shd w:val="clear" w:color="auto" w:fill="auto"/>
          </w:tcPr>
          <w:p w14:paraId="1F425CC7"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20"/>
                <w:szCs w:val="20"/>
                <w:lang w:val="en-US" w:eastAsia="es-ES"/>
              </w:rPr>
            </w:pPr>
          </w:p>
        </w:tc>
        <w:tc>
          <w:tcPr>
            <w:tcW w:w="1418" w:type="dxa"/>
            <w:tcBorders>
              <w:top w:val="nil"/>
              <w:left w:val="nil"/>
              <w:bottom w:val="nil"/>
              <w:right w:val="nil"/>
            </w:tcBorders>
            <w:shd w:val="clear" w:color="auto" w:fill="auto"/>
          </w:tcPr>
          <w:p w14:paraId="4FEE09F8"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-0.229</w:t>
            </w:r>
          </w:p>
        </w:tc>
        <w:tc>
          <w:tcPr>
            <w:tcW w:w="868" w:type="dxa"/>
            <w:tcBorders>
              <w:top w:val="nil"/>
              <w:left w:val="nil"/>
              <w:bottom w:val="nil"/>
              <w:right w:val="nil"/>
            </w:tcBorders>
            <w:shd w:val="clear" w:color="auto" w:fill="auto"/>
          </w:tcPr>
          <w:p w14:paraId="7A015A76"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r>
      <w:tr w:rsidR="008C5004" w:rsidRPr="00F4226B" w14:paraId="22F99A6D" w14:textId="77777777" w:rsidTr="0008368E">
        <w:trPr>
          <w:trHeight w:val="240"/>
        </w:trPr>
        <w:tc>
          <w:tcPr>
            <w:tcW w:w="4503" w:type="dxa"/>
            <w:tcBorders>
              <w:top w:val="nil"/>
              <w:left w:val="nil"/>
              <w:bottom w:val="single" w:sz="4" w:space="0" w:color="auto"/>
              <w:right w:val="nil"/>
            </w:tcBorders>
            <w:shd w:val="clear" w:color="auto" w:fill="auto"/>
          </w:tcPr>
          <w:p w14:paraId="755D0DF0"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 xml:space="preserve">                                  IA vs Incremental Model</w:t>
            </w:r>
          </w:p>
        </w:tc>
        <w:tc>
          <w:tcPr>
            <w:tcW w:w="1276" w:type="dxa"/>
            <w:tcBorders>
              <w:top w:val="nil"/>
              <w:left w:val="nil"/>
              <w:bottom w:val="single" w:sz="4" w:space="0" w:color="auto"/>
              <w:right w:val="nil"/>
            </w:tcBorders>
            <w:shd w:val="clear" w:color="auto" w:fill="auto"/>
          </w:tcPr>
          <w:p w14:paraId="0DECAFB8" w14:textId="77777777" w:rsidR="008C5004" w:rsidRPr="00F4226B" w:rsidRDefault="008C5004" w:rsidP="00692C1D">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nil"/>
              <w:left w:val="nil"/>
              <w:bottom w:val="single" w:sz="4" w:space="0" w:color="auto"/>
              <w:right w:val="nil"/>
            </w:tcBorders>
            <w:shd w:val="clear" w:color="auto" w:fill="auto"/>
          </w:tcPr>
          <w:p w14:paraId="4C1DDF50"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20"/>
                <w:szCs w:val="20"/>
                <w:lang w:val="en-US" w:eastAsia="es-ES"/>
              </w:rPr>
            </w:pPr>
          </w:p>
        </w:tc>
        <w:tc>
          <w:tcPr>
            <w:tcW w:w="1418" w:type="dxa"/>
            <w:tcBorders>
              <w:top w:val="nil"/>
              <w:left w:val="nil"/>
              <w:bottom w:val="single" w:sz="4" w:space="0" w:color="auto"/>
              <w:right w:val="nil"/>
            </w:tcBorders>
            <w:shd w:val="clear" w:color="auto" w:fill="auto"/>
          </w:tcPr>
          <w:p w14:paraId="310CE61E"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0.751</w:t>
            </w:r>
          </w:p>
        </w:tc>
        <w:tc>
          <w:tcPr>
            <w:tcW w:w="868" w:type="dxa"/>
            <w:tcBorders>
              <w:top w:val="nil"/>
              <w:left w:val="nil"/>
              <w:bottom w:val="single" w:sz="4" w:space="0" w:color="auto"/>
              <w:right w:val="nil"/>
            </w:tcBorders>
            <w:shd w:val="clear" w:color="auto" w:fill="auto"/>
          </w:tcPr>
          <w:p w14:paraId="56E4CF82"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r>
      <w:tr w:rsidR="008C5004" w:rsidRPr="00F4226B" w14:paraId="5C7007BF" w14:textId="77777777" w:rsidTr="0008368E">
        <w:trPr>
          <w:trHeight w:val="240"/>
        </w:trPr>
        <w:tc>
          <w:tcPr>
            <w:tcW w:w="4503" w:type="dxa"/>
            <w:tcBorders>
              <w:top w:val="single" w:sz="4" w:space="0" w:color="auto"/>
              <w:left w:val="nil"/>
              <w:bottom w:val="single" w:sz="4" w:space="0" w:color="auto"/>
              <w:right w:val="nil"/>
            </w:tcBorders>
            <w:shd w:val="clear" w:color="auto" w:fill="auto"/>
          </w:tcPr>
          <w:p w14:paraId="5CA60629" w14:textId="18A155E6" w:rsidR="008C5004" w:rsidRPr="00F4226B" w:rsidRDefault="008C5004" w:rsidP="008C5004">
            <w:pPr>
              <w:spacing w:before="120" w:after="120" w:line="240" w:lineRule="auto"/>
              <w:rPr>
                <w:rFonts w:ascii="Times New Roman" w:hAnsi="Times New Roman"/>
                <w:bCs/>
                <w:color w:val="000000"/>
                <w:sz w:val="20"/>
                <w:szCs w:val="20"/>
                <w:lang w:val="en-US" w:eastAsia="es-ES"/>
              </w:rPr>
            </w:pPr>
            <w:r w:rsidRPr="00F4226B">
              <w:rPr>
                <w:rFonts w:ascii="Times New Roman" w:hAnsi="Times New Roman"/>
                <w:b/>
                <w:color w:val="000000"/>
                <w:sz w:val="20"/>
                <w:szCs w:val="20"/>
                <w:lang w:val="en-US"/>
              </w:rPr>
              <w:lastRenderedPageBreak/>
              <w:t>Panel B: Low inflation period (2000</w:t>
            </w:r>
            <w:r w:rsidR="00D73423">
              <w:rPr>
                <w:rFonts w:ascii="Times New Roman" w:hAnsi="Times New Roman"/>
                <w:b/>
                <w:color w:val="000000"/>
                <w:sz w:val="20"/>
                <w:szCs w:val="20"/>
                <w:lang w:val="en-US"/>
              </w:rPr>
              <w:t>–</w:t>
            </w:r>
            <w:r w:rsidRPr="00F4226B">
              <w:rPr>
                <w:rFonts w:ascii="Times New Roman" w:hAnsi="Times New Roman"/>
                <w:b/>
                <w:color w:val="000000"/>
                <w:sz w:val="20"/>
                <w:szCs w:val="20"/>
                <w:lang w:val="en-US"/>
              </w:rPr>
              <w:t>2002)</w:t>
            </w:r>
          </w:p>
        </w:tc>
        <w:tc>
          <w:tcPr>
            <w:tcW w:w="1276" w:type="dxa"/>
            <w:tcBorders>
              <w:top w:val="single" w:sz="4" w:space="0" w:color="auto"/>
              <w:left w:val="nil"/>
              <w:bottom w:val="single" w:sz="4" w:space="0" w:color="auto"/>
              <w:right w:val="nil"/>
            </w:tcBorders>
            <w:shd w:val="clear" w:color="auto" w:fill="auto"/>
          </w:tcPr>
          <w:p w14:paraId="6847466F" w14:textId="77777777" w:rsidR="008C5004" w:rsidRPr="00F4226B" w:rsidRDefault="008C5004" w:rsidP="00692C1D">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single" w:sz="4" w:space="0" w:color="auto"/>
              <w:left w:val="nil"/>
              <w:bottom w:val="single" w:sz="4" w:space="0" w:color="auto"/>
              <w:right w:val="nil"/>
            </w:tcBorders>
            <w:shd w:val="clear" w:color="auto" w:fill="auto"/>
          </w:tcPr>
          <w:p w14:paraId="1165ED9D"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20"/>
                <w:szCs w:val="20"/>
                <w:lang w:val="en-US" w:eastAsia="es-ES"/>
              </w:rPr>
            </w:pPr>
          </w:p>
        </w:tc>
        <w:tc>
          <w:tcPr>
            <w:tcW w:w="1418" w:type="dxa"/>
            <w:tcBorders>
              <w:top w:val="single" w:sz="4" w:space="0" w:color="auto"/>
              <w:left w:val="nil"/>
              <w:bottom w:val="single" w:sz="4" w:space="0" w:color="auto"/>
              <w:right w:val="nil"/>
            </w:tcBorders>
            <w:shd w:val="clear" w:color="auto" w:fill="auto"/>
          </w:tcPr>
          <w:p w14:paraId="0E5958FC" w14:textId="77777777" w:rsidR="008C5004" w:rsidRPr="00F4226B" w:rsidRDefault="008C5004" w:rsidP="00582332">
            <w:pPr>
              <w:spacing w:after="0" w:line="240" w:lineRule="auto"/>
              <w:jc w:val="center"/>
              <w:rPr>
                <w:rFonts w:ascii="Times New Roman" w:hAnsi="Times New Roman"/>
                <w:color w:val="000000"/>
                <w:sz w:val="20"/>
                <w:szCs w:val="20"/>
                <w:lang w:val="en-US"/>
              </w:rPr>
            </w:pPr>
          </w:p>
        </w:tc>
        <w:tc>
          <w:tcPr>
            <w:tcW w:w="868" w:type="dxa"/>
            <w:tcBorders>
              <w:top w:val="single" w:sz="4" w:space="0" w:color="auto"/>
              <w:left w:val="nil"/>
              <w:bottom w:val="single" w:sz="4" w:space="0" w:color="auto"/>
              <w:right w:val="nil"/>
            </w:tcBorders>
            <w:shd w:val="clear" w:color="auto" w:fill="auto"/>
          </w:tcPr>
          <w:p w14:paraId="14B770D3"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r>
      <w:tr w:rsidR="008C5004" w:rsidRPr="00F4226B" w14:paraId="5CA2DE72" w14:textId="77777777" w:rsidTr="0008368E">
        <w:trPr>
          <w:trHeight w:val="433"/>
        </w:trPr>
        <w:tc>
          <w:tcPr>
            <w:tcW w:w="4503" w:type="dxa"/>
            <w:tcBorders>
              <w:top w:val="single" w:sz="4" w:space="0" w:color="auto"/>
              <w:left w:val="nil"/>
              <w:bottom w:val="nil"/>
              <w:right w:val="nil"/>
            </w:tcBorders>
            <w:shd w:val="clear" w:color="auto" w:fill="auto"/>
          </w:tcPr>
          <w:p w14:paraId="50E613F6"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Intercept</w:t>
            </w:r>
          </w:p>
        </w:tc>
        <w:tc>
          <w:tcPr>
            <w:tcW w:w="1276" w:type="dxa"/>
            <w:tcBorders>
              <w:top w:val="single" w:sz="4" w:space="0" w:color="auto"/>
              <w:left w:val="nil"/>
              <w:bottom w:val="nil"/>
              <w:right w:val="nil"/>
            </w:tcBorders>
            <w:shd w:val="clear" w:color="auto" w:fill="auto"/>
          </w:tcPr>
          <w:p w14:paraId="25989B96"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2.205</w:t>
            </w:r>
          </w:p>
          <w:p w14:paraId="6A958D73"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(0.53)</w:t>
            </w:r>
          </w:p>
        </w:tc>
        <w:tc>
          <w:tcPr>
            <w:tcW w:w="1115" w:type="dxa"/>
            <w:tcBorders>
              <w:top w:val="single" w:sz="4" w:space="0" w:color="auto"/>
              <w:left w:val="nil"/>
              <w:bottom w:val="nil"/>
              <w:right w:val="nil"/>
            </w:tcBorders>
            <w:shd w:val="clear" w:color="auto" w:fill="auto"/>
          </w:tcPr>
          <w:p w14:paraId="06606B51"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-0.411</w:t>
            </w:r>
          </w:p>
          <w:p w14:paraId="3C01C38A"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(-0.10)</w:t>
            </w:r>
          </w:p>
        </w:tc>
        <w:tc>
          <w:tcPr>
            <w:tcW w:w="1418" w:type="dxa"/>
            <w:tcBorders>
              <w:top w:val="single" w:sz="4" w:space="0" w:color="auto"/>
              <w:left w:val="nil"/>
              <w:bottom w:val="nil"/>
              <w:right w:val="nil"/>
            </w:tcBorders>
            <w:shd w:val="clear" w:color="auto" w:fill="auto"/>
          </w:tcPr>
          <w:p w14:paraId="2AB7590E"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1.146</w:t>
            </w:r>
          </w:p>
          <w:p w14:paraId="56E03258"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(0.28)</w:t>
            </w:r>
          </w:p>
        </w:tc>
        <w:tc>
          <w:tcPr>
            <w:tcW w:w="868" w:type="dxa"/>
            <w:tcBorders>
              <w:top w:val="single" w:sz="4" w:space="0" w:color="auto"/>
              <w:left w:val="nil"/>
              <w:bottom w:val="nil"/>
              <w:right w:val="nil"/>
            </w:tcBorders>
            <w:shd w:val="clear" w:color="auto" w:fill="auto"/>
          </w:tcPr>
          <w:p w14:paraId="71F84603"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6E2C645C" w14:textId="77777777" w:rsidTr="0008368E">
        <w:trPr>
          <w:trHeight w:val="405"/>
        </w:trPr>
        <w:tc>
          <w:tcPr>
            <w:tcW w:w="4503" w:type="dxa"/>
            <w:tcBorders>
              <w:top w:val="nil"/>
              <w:left w:val="nil"/>
              <w:bottom w:val="nil"/>
              <w:right w:val="nil"/>
            </w:tcBorders>
            <w:shd w:val="clear" w:color="auto" w:fill="auto"/>
          </w:tcPr>
          <w:p w14:paraId="6F3C90E8"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EARNINGS</w:t>
            </w:r>
          </w:p>
        </w:tc>
        <w:tc>
          <w:tcPr>
            <w:tcW w:w="1276" w:type="dxa"/>
            <w:tcBorders>
              <w:top w:val="nil"/>
              <w:left w:val="nil"/>
              <w:bottom w:val="nil"/>
              <w:right w:val="nil"/>
            </w:tcBorders>
            <w:shd w:val="clear" w:color="auto" w:fill="auto"/>
          </w:tcPr>
          <w:p w14:paraId="018FF7CA"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8.483      (4.33***)</w:t>
            </w:r>
          </w:p>
        </w:tc>
        <w:tc>
          <w:tcPr>
            <w:tcW w:w="1115" w:type="dxa"/>
            <w:tcBorders>
              <w:top w:val="nil"/>
              <w:left w:val="nil"/>
              <w:bottom w:val="nil"/>
              <w:right w:val="nil"/>
            </w:tcBorders>
            <w:shd w:val="clear" w:color="auto" w:fill="auto"/>
          </w:tcPr>
          <w:p w14:paraId="0B21BC41"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1.155</w:t>
            </w:r>
          </w:p>
          <w:p w14:paraId="283FC21D"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(1.79*)</w:t>
            </w:r>
          </w:p>
        </w:tc>
        <w:tc>
          <w:tcPr>
            <w:tcW w:w="1418" w:type="dxa"/>
            <w:tcBorders>
              <w:top w:val="nil"/>
              <w:left w:val="nil"/>
              <w:bottom w:val="nil"/>
              <w:right w:val="nil"/>
            </w:tcBorders>
            <w:shd w:val="clear" w:color="auto" w:fill="auto"/>
          </w:tcPr>
          <w:p w14:paraId="31068FDD"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7.699</w:t>
            </w:r>
          </w:p>
          <w:p w14:paraId="63C9F1C1"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(3.93***)</w:t>
            </w:r>
          </w:p>
        </w:tc>
        <w:tc>
          <w:tcPr>
            <w:tcW w:w="868" w:type="dxa"/>
            <w:tcBorders>
              <w:top w:val="nil"/>
              <w:left w:val="nil"/>
              <w:bottom w:val="nil"/>
              <w:right w:val="nil"/>
            </w:tcBorders>
            <w:shd w:val="clear" w:color="auto" w:fill="auto"/>
          </w:tcPr>
          <w:p w14:paraId="554C60DA"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7D417EB6" w14:textId="77777777" w:rsidTr="0008368E">
        <w:trPr>
          <w:trHeight w:val="405"/>
        </w:trPr>
        <w:tc>
          <w:tcPr>
            <w:tcW w:w="4503" w:type="dxa"/>
            <w:tcBorders>
              <w:top w:val="nil"/>
              <w:left w:val="nil"/>
              <w:bottom w:val="nil"/>
              <w:right w:val="nil"/>
            </w:tcBorders>
            <w:shd w:val="clear" w:color="auto" w:fill="auto"/>
          </w:tcPr>
          <w:p w14:paraId="3812FD1B"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BOOK VALUES</w:t>
            </w:r>
          </w:p>
        </w:tc>
        <w:tc>
          <w:tcPr>
            <w:tcW w:w="1276" w:type="dxa"/>
            <w:tcBorders>
              <w:top w:val="nil"/>
              <w:left w:val="nil"/>
              <w:bottom w:val="nil"/>
              <w:right w:val="nil"/>
            </w:tcBorders>
            <w:shd w:val="clear" w:color="auto" w:fill="auto"/>
          </w:tcPr>
          <w:p w14:paraId="4B84CD00"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-0.533</w:t>
            </w:r>
          </w:p>
          <w:p w14:paraId="40B94AD2"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(-1.42)</w:t>
            </w:r>
          </w:p>
        </w:tc>
        <w:tc>
          <w:tcPr>
            <w:tcW w:w="1115" w:type="dxa"/>
            <w:tcBorders>
              <w:top w:val="nil"/>
              <w:left w:val="nil"/>
              <w:bottom w:val="nil"/>
              <w:right w:val="nil"/>
            </w:tcBorders>
            <w:shd w:val="clear" w:color="auto" w:fill="auto"/>
          </w:tcPr>
          <w:p w14:paraId="1F78419E"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0.709</w:t>
            </w:r>
          </w:p>
          <w:p w14:paraId="637A1061"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(4.21***)</w:t>
            </w:r>
          </w:p>
        </w:tc>
        <w:tc>
          <w:tcPr>
            <w:tcW w:w="1418" w:type="dxa"/>
            <w:tcBorders>
              <w:top w:val="nil"/>
              <w:left w:val="nil"/>
              <w:bottom w:val="nil"/>
              <w:right w:val="nil"/>
            </w:tcBorders>
            <w:shd w:val="clear" w:color="auto" w:fill="auto"/>
          </w:tcPr>
          <w:p w14:paraId="5CD34C1A"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-0.472</w:t>
            </w:r>
          </w:p>
          <w:p w14:paraId="311B6CBE"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(-1.21)</w:t>
            </w:r>
          </w:p>
        </w:tc>
        <w:tc>
          <w:tcPr>
            <w:tcW w:w="868" w:type="dxa"/>
            <w:tcBorders>
              <w:top w:val="nil"/>
              <w:left w:val="nil"/>
              <w:bottom w:val="nil"/>
              <w:right w:val="nil"/>
            </w:tcBorders>
            <w:shd w:val="clear" w:color="auto" w:fill="auto"/>
          </w:tcPr>
          <w:p w14:paraId="04279310"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03ADA93D" w14:textId="77777777" w:rsidTr="0008368E">
        <w:trPr>
          <w:trHeight w:val="420"/>
        </w:trPr>
        <w:tc>
          <w:tcPr>
            <w:tcW w:w="4503" w:type="dxa"/>
            <w:tcBorders>
              <w:top w:val="nil"/>
              <w:left w:val="nil"/>
              <w:bottom w:val="nil"/>
              <w:right w:val="nil"/>
            </w:tcBorders>
            <w:shd w:val="clear" w:color="auto" w:fill="auto"/>
          </w:tcPr>
          <w:p w14:paraId="54A70B45"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EIGLS</w:t>
            </w:r>
          </w:p>
        </w:tc>
        <w:tc>
          <w:tcPr>
            <w:tcW w:w="1276" w:type="dxa"/>
            <w:tcBorders>
              <w:top w:val="nil"/>
              <w:left w:val="nil"/>
              <w:bottom w:val="nil"/>
              <w:right w:val="nil"/>
            </w:tcBorders>
            <w:shd w:val="clear" w:color="auto" w:fill="auto"/>
          </w:tcPr>
          <w:p w14:paraId="27683959" w14:textId="77777777" w:rsidR="008C5004" w:rsidRPr="00F4226B" w:rsidRDefault="008C5004" w:rsidP="00582332">
            <w:pPr>
              <w:spacing w:after="0" w:line="240" w:lineRule="auto"/>
              <w:jc w:val="center"/>
              <w:rPr>
                <w:rFonts w:ascii="Times New Roman" w:hAnsi="Times New Roman"/>
                <w:color w:val="000000"/>
                <w:sz w:val="20"/>
                <w:szCs w:val="20"/>
                <w:lang w:val="en-US"/>
              </w:rPr>
            </w:pPr>
          </w:p>
          <w:p w14:paraId="646CD8A8"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115" w:type="dxa"/>
            <w:tcBorders>
              <w:top w:val="nil"/>
              <w:left w:val="nil"/>
              <w:bottom w:val="nil"/>
              <w:right w:val="nil"/>
            </w:tcBorders>
            <w:shd w:val="clear" w:color="auto" w:fill="auto"/>
          </w:tcPr>
          <w:p w14:paraId="3EC09041"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418" w:type="dxa"/>
            <w:tcBorders>
              <w:top w:val="nil"/>
              <w:left w:val="nil"/>
              <w:bottom w:val="nil"/>
              <w:right w:val="nil"/>
            </w:tcBorders>
            <w:shd w:val="clear" w:color="auto" w:fill="auto"/>
          </w:tcPr>
          <w:p w14:paraId="7C6AE4AD"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-0.233</w:t>
            </w:r>
          </w:p>
          <w:p w14:paraId="2BD3C399"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(-0.35)</w:t>
            </w:r>
          </w:p>
        </w:tc>
        <w:tc>
          <w:tcPr>
            <w:tcW w:w="868" w:type="dxa"/>
            <w:tcBorders>
              <w:top w:val="nil"/>
              <w:left w:val="nil"/>
              <w:bottom w:val="nil"/>
              <w:right w:val="nil"/>
            </w:tcBorders>
            <w:shd w:val="clear" w:color="auto" w:fill="auto"/>
          </w:tcPr>
          <w:p w14:paraId="76039D12"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1A226EDB" w14:textId="77777777" w:rsidTr="0008368E">
        <w:trPr>
          <w:trHeight w:val="420"/>
        </w:trPr>
        <w:tc>
          <w:tcPr>
            <w:tcW w:w="4503" w:type="dxa"/>
            <w:tcBorders>
              <w:top w:val="nil"/>
              <w:left w:val="nil"/>
              <w:bottom w:val="nil"/>
              <w:right w:val="nil"/>
            </w:tcBorders>
            <w:shd w:val="clear" w:color="auto" w:fill="auto"/>
          </w:tcPr>
          <w:p w14:paraId="384239A4"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BVIGLS</w:t>
            </w:r>
          </w:p>
        </w:tc>
        <w:tc>
          <w:tcPr>
            <w:tcW w:w="1276" w:type="dxa"/>
            <w:tcBorders>
              <w:top w:val="nil"/>
              <w:left w:val="nil"/>
              <w:bottom w:val="nil"/>
              <w:right w:val="nil"/>
            </w:tcBorders>
            <w:shd w:val="clear" w:color="auto" w:fill="auto"/>
          </w:tcPr>
          <w:p w14:paraId="5FAA100F" w14:textId="77777777" w:rsidR="008C5004" w:rsidRPr="00F4226B" w:rsidRDefault="008C5004" w:rsidP="00582332">
            <w:pPr>
              <w:spacing w:after="0" w:line="240" w:lineRule="auto"/>
              <w:jc w:val="center"/>
              <w:rPr>
                <w:rFonts w:ascii="Times New Roman" w:hAnsi="Times New Roman"/>
                <w:color w:val="000000"/>
                <w:sz w:val="20"/>
                <w:szCs w:val="20"/>
                <w:lang w:val="en-US"/>
              </w:rPr>
            </w:pPr>
          </w:p>
          <w:p w14:paraId="1A36F43B"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115" w:type="dxa"/>
            <w:tcBorders>
              <w:top w:val="nil"/>
              <w:left w:val="nil"/>
              <w:bottom w:val="nil"/>
              <w:right w:val="nil"/>
            </w:tcBorders>
            <w:shd w:val="clear" w:color="auto" w:fill="auto"/>
          </w:tcPr>
          <w:p w14:paraId="49443AAC"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418" w:type="dxa"/>
            <w:tcBorders>
              <w:top w:val="nil"/>
              <w:left w:val="nil"/>
              <w:bottom w:val="nil"/>
              <w:right w:val="nil"/>
            </w:tcBorders>
            <w:shd w:val="clear" w:color="auto" w:fill="auto"/>
          </w:tcPr>
          <w:p w14:paraId="598BBE03"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-0.599</w:t>
            </w:r>
          </w:p>
          <w:p w14:paraId="610557A6"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(-2.26**)</w:t>
            </w:r>
          </w:p>
        </w:tc>
        <w:tc>
          <w:tcPr>
            <w:tcW w:w="868" w:type="dxa"/>
            <w:tcBorders>
              <w:top w:val="nil"/>
              <w:left w:val="nil"/>
              <w:bottom w:val="nil"/>
              <w:right w:val="nil"/>
            </w:tcBorders>
            <w:shd w:val="clear" w:color="auto" w:fill="auto"/>
          </w:tcPr>
          <w:p w14:paraId="25005DFD"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15F7495F" w14:textId="77777777" w:rsidTr="0008368E">
        <w:trPr>
          <w:trHeight w:val="405"/>
        </w:trPr>
        <w:tc>
          <w:tcPr>
            <w:tcW w:w="4503" w:type="dxa"/>
            <w:tcBorders>
              <w:top w:val="nil"/>
              <w:left w:val="nil"/>
              <w:bottom w:val="nil"/>
              <w:right w:val="nil"/>
            </w:tcBorders>
            <w:shd w:val="clear" w:color="auto" w:fill="auto"/>
          </w:tcPr>
          <w:p w14:paraId="36038706"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Fixed time effects</w:t>
            </w:r>
          </w:p>
        </w:tc>
        <w:tc>
          <w:tcPr>
            <w:tcW w:w="1276" w:type="dxa"/>
            <w:tcBorders>
              <w:top w:val="nil"/>
              <w:left w:val="nil"/>
              <w:bottom w:val="nil"/>
              <w:right w:val="nil"/>
            </w:tcBorders>
            <w:shd w:val="clear" w:color="auto" w:fill="auto"/>
          </w:tcPr>
          <w:p w14:paraId="405FC540" w14:textId="77777777" w:rsidR="008C5004" w:rsidRPr="00F4226B" w:rsidRDefault="008C5004" w:rsidP="00582332">
            <w:pPr>
              <w:spacing w:after="0" w:line="240" w:lineRule="auto"/>
              <w:ind w:right="-89"/>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Included</w:t>
            </w:r>
          </w:p>
        </w:tc>
        <w:tc>
          <w:tcPr>
            <w:tcW w:w="1115" w:type="dxa"/>
            <w:tcBorders>
              <w:top w:val="nil"/>
              <w:left w:val="nil"/>
              <w:bottom w:val="nil"/>
              <w:right w:val="nil"/>
            </w:tcBorders>
            <w:shd w:val="clear" w:color="auto" w:fill="auto"/>
          </w:tcPr>
          <w:p w14:paraId="351EFA73"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Included</w:t>
            </w:r>
          </w:p>
        </w:tc>
        <w:tc>
          <w:tcPr>
            <w:tcW w:w="1418" w:type="dxa"/>
            <w:tcBorders>
              <w:top w:val="nil"/>
              <w:left w:val="nil"/>
              <w:bottom w:val="nil"/>
              <w:right w:val="nil"/>
            </w:tcBorders>
            <w:shd w:val="clear" w:color="auto" w:fill="auto"/>
          </w:tcPr>
          <w:p w14:paraId="007ACB39"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Included</w:t>
            </w:r>
          </w:p>
        </w:tc>
        <w:tc>
          <w:tcPr>
            <w:tcW w:w="868" w:type="dxa"/>
            <w:tcBorders>
              <w:top w:val="nil"/>
              <w:left w:val="nil"/>
              <w:bottom w:val="nil"/>
              <w:right w:val="nil"/>
            </w:tcBorders>
            <w:shd w:val="clear" w:color="auto" w:fill="auto"/>
          </w:tcPr>
          <w:p w14:paraId="01D2FB17"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3D3E8960" w14:textId="77777777" w:rsidTr="0008368E">
        <w:trPr>
          <w:trHeight w:val="240"/>
        </w:trPr>
        <w:tc>
          <w:tcPr>
            <w:tcW w:w="4503" w:type="dxa"/>
            <w:tcBorders>
              <w:top w:val="nil"/>
              <w:left w:val="nil"/>
              <w:bottom w:val="nil"/>
              <w:right w:val="nil"/>
            </w:tcBorders>
            <w:shd w:val="clear" w:color="auto" w:fill="auto"/>
          </w:tcPr>
          <w:p w14:paraId="4AC68056"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F-ratio</w:t>
            </w:r>
          </w:p>
        </w:tc>
        <w:tc>
          <w:tcPr>
            <w:tcW w:w="1276" w:type="dxa"/>
            <w:tcBorders>
              <w:top w:val="nil"/>
              <w:left w:val="nil"/>
              <w:bottom w:val="nil"/>
              <w:right w:val="nil"/>
            </w:tcBorders>
            <w:shd w:val="clear" w:color="auto" w:fill="auto"/>
          </w:tcPr>
          <w:p w14:paraId="3C3644FD"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10.04***</w:t>
            </w:r>
          </w:p>
        </w:tc>
        <w:tc>
          <w:tcPr>
            <w:tcW w:w="1115" w:type="dxa"/>
            <w:tcBorders>
              <w:top w:val="nil"/>
              <w:left w:val="nil"/>
              <w:bottom w:val="nil"/>
              <w:right w:val="nil"/>
            </w:tcBorders>
            <w:shd w:val="clear" w:color="auto" w:fill="auto"/>
          </w:tcPr>
          <w:p w14:paraId="090162B3"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7.57***</w:t>
            </w:r>
          </w:p>
        </w:tc>
        <w:tc>
          <w:tcPr>
            <w:tcW w:w="1418" w:type="dxa"/>
            <w:tcBorders>
              <w:top w:val="nil"/>
              <w:left w:val="nil"/>
              <w:bottom w:val="nil"/>
              <w:right w:val="nil"/>
            </w:tcBorders>
            <w:shd w:val="clear" w:color="auto" w:fill="auto"/>
          </w:tcPr>
          <w:p w14:paraId="153416C4"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7.83***</w:t>
            </w:r>
          </w:p>
        </w:tc>
        <w:tc>
          <w:tcPr>
            <w:tcW w:w="868" w:type="dxa"/>
            <w:tcBorders>
              <w:top w:val="nil"/>
              <w:left w:val="nil"/>
              <w:bottom w:val="nil"/>
              <w:right w:val="nil"/>
            </w:tcBorders>
            <w:shd w:val="clear" w:color="auto" w:fill="auto"/>
          </w:tcPr>
          <w:p w14:paraId="0A5A175A" w14:textId="77777777" w:rsidR="008C5004" w:rsidRPr="00F4226B" w:rsidRDefault="008C5004" w:rsidP="008C5004">
            <w:pPr>
              <w:spacing w:after="0" w:line="240" w:lineRule="auto"/>
              <w:jc w:val="right"/>
              <w:rPr>
                <w:rFonts w:ascii="Times New Roman" w:hAnsi="Times New Roman"/>
                <w:color w:val="000000"/>
                <w:sz w:val="20"/>
                <w:szCs w:val="20"/>
                <w:lang w:val="en-US"/>
              </w:rPr>
            </w:pPr>
          </w:p>
        </w:tc>
      </w:tr>
      <w:tr w:rsidR="008C5004" w:rsidRPr="00F4226B" w14:paraId="4BEC5BD6" w14:textId="77777777" w:rsidTr="0008368E">
        <w:trPr>
          <w:trHeight w:val="240"/>
        </w:trPr>
        <w:tc>
          <w:tcPr>
            <w:tcW w:w="4503" w:type="dxa"/>
            <w:tcBorders>
              <w:top w:val="nil"/>
              <w:left w:val="nil"/>
              <w:bottom w:val="nil"/>
              <w:right w:val="nil"/>
            </w:tcBorders>
            <w:shd w:val="clear" w:color="auto" w:fill="auto"/>
          </w:tcPr>
          <w:p w14:paraId="2328EBC3"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Adjusted R</w:t>
            </w:r>
            <w:r w:rsidRPr="00F4226B">
              <w:rPr>
                <w:rFonts w:ascii="Times New Roman" w:hAnsi="Times New Roman"/>
                <w:bCs/>
                <w:color w:val="000000"/>
                <w:sz w:val="20"/>
                <w:szCs w:val="20"/>
                <w:vertAlign w:val="superscript"/>
                <w:lang w:val="en-US" w:eastAsia="es-ES"/>
              </w:rPr>
              <w:t>2</w:t>
            </w:r>
          </w:p>
        </w:tc>
        <w:tc>
          <w:tcPr>
            <w:tcW w:w="1276" w:type="dxa"/>
            <w:tcBorders>
              <w:top w:val="nil"/>
              <w:left w:val="nil"/>
              <w:bottom w:val="nil"/>
              <w:right w:val="nil"/>
            </w:tcBorders>
            <w:shd w:val="clear" w:color="auto" w:fill="auto"/>
          </w:tcPr>
          <w:p w14:paraId="73E9610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0.311</w:t>
            </w:r>
          </w:p>
        </w:tc>
        <w:tc>
          <w:tcPr>
            <w:tcW w:w="1115" w:type="dxa"/>
            <w:tcBorders>
              <w:top w:val="nil"/>
              <w:left w:val="nil"/>
              <w:bottom w:val="nil"/>
              <w:right w:val="nil"/>
            </w:tcBorders>
            <w:shd w:val="clear" w:color="auto" w:fill="auto"/>
          </w:tcPr>
          <w:p w14:paraId="5B3CCE97"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0.247</w:t>
            </w:r>
          </w:p>
        </w:tc>
        <w:tc>
          <w:tcPr>
            <w:tcW w:w="1418" w:type="dxa"/>
            <w:tcBorders>
              <w:top w:val="nil"/>
              <w:left w:val="nil"/>
              <w:bottom w:val="nil"/>
              <w:right w:val="nil"/>
            </w:tcBorders>
            <w:shd w:val="clear" w:color="auto" w:fill="auto"/>
          </w:tcPr>
          <w:p w14:paraId="46CE70C4"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0.339</w:t>
            </w:r>
          </w:p>
        </w:tc>
        <w:tc>
          <w:tcPr>
            <w:tcW w:w="868" w:type="dxa"/>
            <w:tcBorders>
              <w:top w:val="nil"/>
              <w:left w:val="nil"/>
              <w:bottom w:val="nil"/>
              <w:right w:val="nil"/>
            </w:tcBorders>
            <w:shd w:val="clear" w:color="auto" w:fill="auto"/>
          </w:tcPr>
          <w:p w14:paraId="78C8D6FB" w14:textId="77777777" w:rsidR="008C5004" w:rsidRPr="00F4226B" w:rsidRDefault="008C5004" w:rsidP="008C5004">
            <w:pPr>
              <w:spacing w:after="0" w:line="240" w:lineRule="auto"/>
              <w:jc w:val="right"/>
              <w:rPr>
                <w:rFonts w:ascii="Times New Roman" w:hAnsi="Times New Roman"/>
                <w:color w:val="000000"/>
                <w:sz w:val="20"/>
                <w:szCs w:val="20"/>
                <w:lang w:val="en-US"/>
              </w:rPr>
            </w:pPr>
          </w:p>
        </w:tc>
      </w:tr>
      <w:tr w:rsidR="008C5004" w:rsidRPr="00F4226B" w14:paraId="297FE87D" w14:textId="77777777" w:rsidTr="0008368E">
        <w:trPr>
          <w:trHeight w:val="240"/>
        </w:trPr>
        <w:tc>
          <w:tcPr>
            <w:tcW w:w="4503" w:type="dxa"/>
            <w:tcBorders>
              <w:top w:val="nil"/>
              <w:left w:val="nil"/>
              <w:bottom w:val="nil"/>
              <w:right w:val="nil"/>
            </w:tcBorders>
            <w:shd w:val="clear" w:color="auto" w:fill="auto"/>
          </w:tcPr>
          <w:p w14:paraId="458BF5F0"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 xml:space="preserve">Vuong’s Z-statistics: HC vs IA Model                  </w:t>
            </w:r>
          </w:p>
        </w:tc>
        <w:tc>
          <w:tcPr>
            <w:tcW w:w="1276" w:type="dxa"/>
            <w:tcBorders>
              <w:top w:val="nil"/>
              <w:left w:val="nil"/>
              <w:bottom w:val="nil"/>
              <w:right w:val="nil"/>
            </w:tcBorders>
            <w:shd w:val="clear" w:color="auto" w:fill="auto"/>
          </w:tcPr>
          <w:p w14:paraId="2566BFD2"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nil"/>
              <w:left w:val="nil"/>
              <w:bottom w:val="nil"/>
              <w:right w:val="nil"/>
            </w:tcBorders>
            <w:shd w:val="clear" w:color="auto" w:fill="auto"/>
          </w:tcPr>
          <w:p w14:paraId="71D9A7A3"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0.686</w:t>
            </w:r>
          </w:p>
        </w:tc>
        <w:tc>
          <w:tcPr>
            <w:tcW w:w="1418" w:type="dxa"/>
            <w:tcBorders>
              <w:top w:val="nil"/>
              <w:left w:val="nil"/>
              <w:bottom w:val="nil"/>
              <w:right w:val="nil"/>
            </w:tcBorders>
            <w:shd w:val="clear" w:color="auto" w:fill="auto"/>
          </w:tcPr>
          <w:p w14:paraId="46011BF0" w14:textId="77777777" w:rsidR="008C5004" w:rsidRPr="00F4226B" w:rsidRDefault="008C5004" w:rsidP="00582332">
            <w:pPr>
              <w:spacing w:after="0" w:line="240" w:lineRule="auto"/>
              <w:jc w:val="center"/>
              <w:rPr>
                <w:rFonts w:ascii="Times New Roman" w:hAnsi="Times New Roman"/>
                <w:color w:val="000000"/>
                <w:sz w:val="20"/>
                <w:szCs w:val="20"/>
                <w:lang w:val="en-US"/>
              </w:rPr>
            </w:pPr>
          </w:p>
        </w:tc>
        <w:tc>
          <w:tcPr>
            <w:tcW w:w="868" w:type="dxa"/>
            <w:tcBorders>
              <w:top w:val="nil"/>
              <w:left w:val="nil"/>
              <w:bottom w:val="nil"/>
              <w:right w:val="nil"/>
            </w:tcBorders>
            <w:shd w:val="clear" w:color="auto" w:fill="auto"/>
          </w:tcPr>
          <w:p w14:paraId="3399AC9E"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62B5F210" w14:textId="77777777" w:rsidTr="0008368E">
        <w:trPr>
          <w:trHeight w:val="240"/>
        </w:trPr>
        <w:tc>
          <w:tcPr>
            <w:tcW w:w="4503" w:type="dxa"/>
            <w:tcBorders>
              <w:top w:val="nil"/>
              <w:left w:val="nil"/>
              <w:bottom w:val="nil"/>
              <w:right w:val="nil"/>
            </w:tcBorders>
            <w:shd w:val="clear" w:color="auto" w:fill="auto"/>
          </w:tcPr>
          <w:p w14:paraId="2B06DB01"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 xml:space="preserve">                                  HC vs Incremental Model</w:t>
            </w:r>
          </w:p>
        </w:tc>
        <w:tc>
          <w:tcPr>
            <w:tcW w:w="1276" w:type="dxa"/>
            <w:tcBorders>
              <w:top w:val="nil"/>
              <w:left w:val="nil"/>
              <w:bottom w:val="nil"/>
              <w:right w:val="nil"/>
            </w:tcBorders>
            <w:shd w:val="clear" w:color="auto" w:fill="auto"/>
          </w:tcPr>
          <w:p w14:paraId="410C75CD" w14:textId="77777777" w:rsidR="008C5004" w:rsidRPr="00F4226B" w:rsidRDefault="008C5004" w:rsidP="00692C1D">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nil"/>
              <w:left w:val="nil"/>
              <w:bottom w:val="nil"/>
              <w:right w:val="nil"/>
            </w:tcBorders>
            <w:shd w:val="clear" w:color="auto" w:fill="auto"/>
          </w:tcPr>
          <w:p w14:paraId="16101B68"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20"/>
                <w:szCs w:val="20"/>
                <w:lang w:val="en-US" w:eastAsia="es-ES"/>
              </w:rPr>
            </w:pPr>
          </w:p>
        </w:tc>
        <w:tc>
          <w:tcPr>
            <w:tcW w:w="1418" w:type="dxa"/>
            <w:tcBorders>
              <w:top w:val="nil"/>
              <w:left w:val="nil"/>
              <w:bottom w:val="nil"/>
              <w:right w:val="nil"/>
            </w:tcBorders>
            <w:shd w:val="clear" w:color="auto" w:fill="auto"/>
          </w:tcPr>
          <w:p w14:paraId="02F827C5"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0.359</w:t>
            </w:r>
          </w:p>
        </w:tc>
        <w:tc>
          <w:tcPr>
            <w:tcW w:w="868" w:type="dxa"/>
            <w:tcBorders>
              <w:top w:val="nil"/>
              <w:left w:val="nil"/>
              <w:bottom w:val="nil"/>
              <w:right w:val="nil"/>
            </w:tcBorders>
            <w:shd w:val="clear" w:color="auto" w:fill="auto"/>
          </w:tcPr>
          <w:p w14:paraId="051A72E2"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r>
      <w:tr w:rsidR="008C5004" w:rsidRPr="00F4226B" w14:paraId="4AFEF970" w14:textId="77777777" w:rsidTr="0008368E">
        <w:trPr>
          <w:trHeight w:val="240"/>
        </w:trPr>
        <w:tc>
          <w:tcPr>
            <w:tcW w:w="4503" w:type="dxa"/>
            <w:tcBorders>
              <w:top w:val="nil"/>
              <w:left w:val="nil"/>
              <w:bottom w:val="single" w:sz="4" w:space="0" w:color="auto"/>
              <w:right w:val="nil"/>
            </w:tcBorders>
            <w:shd w:val="clear" w:color="auto" w:fill="auto"/>
          </w:tcPr>
          <w:p w14:paraId="791435DA"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 xml:space="preserve">                                  IA vs Incremental Model</w:t>
            </w:r>
          </w:p>
        </w:tc>
        <w:tc>
          <w:tcPr>
            <w:tcW w:w="1276" w:type="dxa"/>
            <w:tcBorders>
              <w:top w:val="nil"/>
              <w:left w:val="nil"/>
              <w:bottom w:val="single" w:sz="4" w:space="0" w:color="auto"/>
              <w:right w:val="nil"/>
            </w:tcBorders>
            <w:shd w:val="clear" w:color="auto" w:fill="auto"/>
          </w:tcPr>
          <w:p w14:paraId="1762EC40" w14:textId="77777777" w:rsidR="008C5004" w:rsidRPr="00F4226B" w:rsidRDefault="008C5004" w:rsidP="00692C1D">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nil"/>
              <w:left w:val="nil"/>
              <w:bottom w:val="single" w:sz="4" w:space="0" w:color="auto"/>
              <w:right w:val="nil"/>
            </w:tcBorders>
            <w:shd w:val="clear" w:color="auto" w:fill="auto"/>
          </w:tcPr>
          <w:p w14:paraId="490E170F"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20"/>
                <w:szCs w:val="20"/>
                <w:lang w:val="en-US" w:eastAsia="es-ES"/>
              </w:rPr>
            </w:pPr>
          </w:p>
        </w:tc>
        <w:tc>
          <w:tcPr>
            <w:tcW w:w="1418" w:type="dxa"/>
            <w:tcBorders>
              <w:top w:val="nil"/>
              <w:left w:val="nil"/>
              <w:bottom w:val="single" w:sz="4" w:space="0" w:color="auto"/>
              <w:right w:val="nil"/>
            </w:tcBorders>
            <w:shd w:val="clear" w:color="auto" w:fill="auto"/>
          </w:tcPr>
          <w:p w14:paraId="3C97830D"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0.493</w:t>
            </w:r>
          </w:p>
        </w:tc>
        <w:tc>
          <w:tcPr>
            <w:tcW w:w="868" w:type="dxa"/>
            <w:tcBorders>
              <w:top w:val="nil"/>
              <w:left w:val="nil"/>
              <w:bottom w:val="single" w:sz="4" w:space="0" w:color="auto"/>
              <w:right w:val="nil"/>
            </w:tcBorders>
            <w:shd w:val="clear" w:color="auto" w:fill="auto"/>
          </w:tcPr>
          <w:p w14:paraId="1B8B5314"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r>
      <w:tr w:rsidR="008C5004" w:rsidRPr="00F4226B" w14:paraId="76A02D22" w14:textId="77777777" w:rsidTr="0008368E">
        <w:trPr>
          <w:trHeight w:val="240"/>
        </w:trPr>
        <w:tc>
          <w:tcPr>
            <w:tcW w:w="4503" w:type="dxa"/>
            <w:tcBorders>
              <w:top w:val="single" w:sz="4" w:space="0" w:color="auto"/>
              <w:left w:val="nil"/>
              <w:bottom w:val="single" w:sz="4" w:space="0" w:color="auto"/>
              <w:right w:val="nil"/>
            </w:tcBorders>
            <w:shd w:val="clear" w:color="auto" w:fill="auto"/>
          </w:tcPr>
          <w:p w14:paraId="32B408FE" w14:textId="00690DD5" w:rsidR="008C5004" w:rsidRPr="00F4226B" w:rsidRDefault="008C5004" w:rsidP="008C5004">
            <w:pPr>
              <w:spacing w:before="120" w:after="120" w:line="240" w:lineRule="auto"/>
              <w:rPr>
                <w:rFonts w:ascii="Times New Roman" w:hAnsi="Times New Roman"/>
                <w:bCs/>
                <w:color w:val="000000"/>
                <w:sz w:val="20"/>
                <w:szCs w:val="20"/>
                <w:lang w:val="en-US" w:eastAsia="es-ES"/>
              </w:rPr>
            </w:pPr>
            <w:r w:rsidRPr="00F4226B">
              <w:rPr>
                <w:rFonts w:ascii="Times New Roman" w:hAnsi="Times New Roman"/>
                <w:b/>
                <w:color w:val="000000"/>
                <w:sz w:val="20"/>
                <w:szCs w:val="20"/>
                <w:lang w:val="en-US"/>
              </w:rPr>
              <w:t>Panel C: High Inflation Period (2003</w:t>
            </w:r>
            <w:r w:rsidR="00D73423">
              <w:rPr>
                <w:rFonts w:ascii="Times New Roman" w:hAnsi="Times New Roman"/>
                <w:b/>
                <w:color w:val="000000"/>
                <w:sz w:val="20"/>
                <w:szCs w:val="20"/>
                <w:lang w:val="en-US"/>
              </w:rPr>
              <w:t>–</w:t>
            </w:r>
            <w:r w:rsidRPr="00F4226B">
              <w:rPr>
                <w:rFonts w:ascii="Times New Roman" w:hAnsi="Times New Roman"/>
                <w:b/>
                <w:color w:val="000000"/>
                <w:sz w:val="20"/>
                <w:szCs w:val="20"/>
                <w:lang w:val="en-US"/>
              </w:rPr>
              <w:t>2005)</w:t>
            </w:r>
          </w:p>
        </w:tc>
        <w:tc>
          <w:tcPr>
            <w:tcW w:w="1276" w:type="dxa"/>
            <w:tcBorders>
              <w:top w:val="single" w:sz="4" w:space="0" w:color="auto"/>
              <w:left w:val="nil"/>
              <w:bottom w:val="single" w:sz="4" w:space="0" w:color="auto"/>
              <w:right w:val="nil"/>
            </w:tcBorders>
            <w:shd w:val="clear" w:color="auto" w:fill="auto"/>
          </w:tcPr>
          <w:p w14:paraId="3FC9C0CE" w14:textId="77777777" w:rsidR="008C5004" w:rsidRPr="00F4226B" w:rsidRDefault="008C5004" w:rsidP="00692C1D">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single" w:sz="4" w:space="0" w:color="auto"/>
              <w:left w:val="nil"/>
              <w:bottom w:val="single" w:sz="4" w:space="0" w:color="auto"/>
              <w:right w:val="nil"/>
            </w:tcBorders>
            <w:shd w:val="clear" w:color="auto" w:fill="auto"/>
          </w:tcPr>
          <w:p w14:paraId="39F67215"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20"/>
                <w:szCs w:val="20"/>
                <w:lang w:val="en-US" w:eastAsia="es-ES"/>
              </w:rPr>
            </w:pPr>
          </w:p>
        </w:tc>
        <w:tc>
          <w:tcPr>
            <w:tcW w:w="1418" w:type="dxa"/>
            <w:tcBorders>
              <w:top w:val="single" w:sz="4" w:space="0" w:color="auto"/>
              <w:left w:val="nil"/>
              <w:bottom w:val="single" w:sz="4" w:space="0" w:color="auto"/>
              <w:right w:val="nil"/>
            </w:tcBorders>
            <w:shd w:val="clear" w:color="auto" w:fill="auto"/>
          </w:tcPr>
          <w:p w14:paraId="3E8361E7" w14:textId="77777777" w:rsidR="008C5004" w:rsidRPr="00F4226B" w:rsidRDefault="008C5004" w:rsidP="00582332">
            <w:pPr>
              <w:spacing w:after="0" w:line="240" w:lineRule="auto"/>
              <w:jc w:val="center"/>
              <w:rPr>
                <w:rFonts w:ascii="Times New Roman" w:hAnsi="Times New Roman"/>
                <w:color w:val="000000"/>
                <w:sz w:val="20"/>
                <w:szCs w:val="20"/>
                <w:lang w:val="en-US"/>
              </w:rPr>
            </w:pPr>
          </w:p>
        </w:tc>
        <w:tc>
          <w:tcPr>
            <w:tcW w:w="868" w:type="dxa"/>
            <w:tcBorders>
              <w:top w:val="single" w:sz="4" w:space="0" w:color="auto"/>
              <w:left w:val="nil"/>
              <w:bottom w:val="single" w:sz="4" w:space="0" w:color="auto"/>
              <w:right w:val="nil"/>
            </w:tcBorders>
            <w:shd w:val="clear" w:color="auto" w:fill="auto"/>
          </w:tcPr>
          <w:p w14:paraId="514F9F54"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r>
      <w:tr w:rsidR="008C5004" w:rsidRPr="00F4226B" w14:paraId="5ADF91BA" w14:textId="77777777" w:rsidTr="0008368E">
        <w:trPr>
          <w:trHeight w:val="423"/>
        </w:trPr>
        <w:tc>
          <w:tcPr>
            <w:tcW w:w="4503" w:type="dxa"/>
            <w:tcBorders>
              <w:top w:val="single" w:sz="4" w:space="0" w:color="auto"/>
              <w:left w:val="nil"/>
              <w:bottom w:val="nil"/>
              <w:right w:val="nil"/>
            </w:tcBorders>
            <w:shd w:val="clear" w:color="auto" w:fill="auto"/>
          </w:tcPr>
          <w:p w14:paraId="79F06676"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Intercept</w:t>
            </w:r>
          </w:p>
        </w:tc>
        <w:tc>
          <w:tcPr>
            <w:tcW w:w="1276" w:type="dxa"/>
            <w:tcBorders>
              <w:top w:val="single" w:sz="4" w:space="0" w:color="auto"/>
              <w:left w:val="nil"/>
              <w:bottom w:val="nil"/>
              <w:right w:val="nil"/>
            </w:tcBorders>
            <w:shd w:val="clear" w:color="auto" w:fill="auto"/>
          </w:tcPr>
          <w:p w14:paraId="1697B97A"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-0.852</w:t>
            </w:r>
          </w:p>
          <w:p w14:paraId="55B3337E"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(-0.13)</w:t>
            </w:r>
          </w:p>
        </w:tc>
        <w:tc>
          <w:tcPr>
            <w:tcW w:w="1115" w:type="dxa"/>
            <w:tcBorders>
              <w:top w:val="single" w:sz="4" w:space="0" w:color="auto"/>
              <w:left w:val="nil"/>
              <w:bottom w:val="nil"/>
              <w:right w:val="nil"/>
            </w:tcBorders>
            <w:shd w:val="clear" w:color="auto" w:fill="auto"/>
          </w:tcPr>
          <w:p w14:paraId="56CB4F20"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29.740</w:t>
            </w:r>
          </w:p>
          <w:p w14:paraId="50A75D1C"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(3.67***)</w:t>
            </w:r>
          </w:p>
        </w:tc>
        <w:tc>
          <w:tcPr>
            <w:tcW w:w="1418" w:type="dxa"/>
            <w:tcBorders>
              <w:top w:val="single" w:sz="4" w:space="0" w:color="auto"/>
              <w:left w:val="nil"/>
              <w:bottom w:val="nil"/>
              <w:right w:val="nil"/>
            </w:tcBorders>
            <w:shd w:val="clear" w:color="auto" w:fill="auto"/>
          </w:tcPr>
          <w:p w14:paraId="3FABD6E2"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27.159</w:t>
            </w:r>
          </w:p>
          <w:p w14:paraId="3E5F8287"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(3.50***)</w:t>
            </w:r>
          </w:p>
        </w:tc>
        <w:tc>
          <w:tcPr>
            <w:tcW w:w="868" w:type="dxa"/>
            <w:tcBorders>
              <w:top w:val="single" w:sz="4" w:space="0" w:color="auto"/>
              <w:left w:val="nil"/>
              <w:bottom w:val="nil"/>
              <w:right w:val="nil"/>
            </w:tcBorders>
            <w:shd w:val="clear" w:color="auto" w:fill="auto"/>
          </w:tcPr>
          <w:p w14:paraId="711F5A7E"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20098013" w14:textId="77777777" w:rsidTr="0008368E">
        <w:trPr>
          <w:trHeight w:val="405"/>
        </w:trPr>
        <w:tc>
          <w:tcPr>
            <w:tcW w:w="4503" w:type="dxa"/>
            <w:tcBorders>
              <w:top w:val="nil"/>
              <w:left w:val="nil"/>
              <w:bottom w:val="nil"/>
              <w:right w:val="nil"/>
            </w:tcBorders>
            <w:shd w:val="clear" w:color="auto" w:fill="auto"/>
          </w:tcPr>
          <w:p w14:paraId="4DE67372"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EARNINGS</w:t>
            </w:r>
          </w:p>
        </w:tc>
        <w:tc>
          <w:tcPr>
            <w:tcW w:w="1276" w:type="dxa"/>
            <w:tcBorders>
              <w:top w:val="nil"/>
              <w:left w:val="nil"/>
              <w:bottom w:val="nil"/>
              <w:right w:val="nil"/>
            </w:tcBorders>
            <w:shd w:val="clear" w:color="auto" w:fill="auto"/>
          </w:tcPr>
          <w:p w14:paraId="1CE7C551"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5.966      (5.54***)</w:t>
            </w:r>
          </w:p>
        </w:tc>
        <w:tc>
          <w:tcPr>
            <w:tcW w:w="1115" w:type="dxa"/>
            <w:tcBorders>
              <w:top w:val="nil"/>
              <w:left w:val="nil"/>
              <w:bottom w:val="nil"/>
              <w:right w:val="nil"/>
            </w:tcBorders>
            <w:shd w:val="clear" w:color="auto" w:fill="auto"/>
          </w:tcPr>
          <w:p w14:paraId="0289734B" w14:textId="77777777" w:rsidR="008C5004" w:rsidRPr="00F4226B" w:rsidRDefault="005D4AA3"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5</w:t>
            </w:r>
            <w:r w:rsidR="008C5004" w:rsidRPr="00F4226B">
              <w:rPr>
                <w:rFonts w:ascii="Times New Roman" w:hAnsi="Times New Roman"/>
                <w:color w:val="000000"/>
                <w:sz w:val="20"/>
                <w:szCs w:val="20"/>
                <w:lang w:val="en-US"/>
              </w:rPr>
              <w:t>.491</w:t>
            </w:r>
          </w:p>
          <w:p w14:paraId="6E18C6EE"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w:t>
            </w:r>
            <w:r w:rsidR="005D4AA3" w:rsidRPr="00F4226B">
              <w:rPr>
                <w:rFonts w:ascii="Times New Roman" w:hAnsi="Times New Roman"/>
                <w:color w:val="000000"/>
                <w:sz w:val="20"/>
                <w:szCs w:val="20"/>
                <w:lang w:val="en-US"/>
              </w:rPr>
              <w:t>5.5</w:t>
            </w:r>
            <w:r w:rsidRPr="00F4226B">
              <w:rPr>
                <w:rFonts w:ascii="Times New Roman" w:hAnsi="Times New Roman"/>
                <w:color w:val="000000"/>
                <w:sz w:val="20"/>
                <w:szCs w:val="20"/>
                <w:lang w:val="en-US"/>
              </w:rPr>
              <w:t>6***)</w:t>
            </w:r>
          </w:p>
        </w:tc>
        <w:tc>
          <w:tcPr>
            <w:tcW w:w="1418" w:type="dxa"/>
            <w:tcBorders>
              <w:top w:val="nil"/>
              <w:left w:val="nil"/>
              <w:bottom w:val="nil"/>
              <w:right w:val="nil"/>
            </w:tcBorders>
            <w:shd w:val="clear" w:color="auto" w:fill="auto"/>
          </w:tcPr>
          <w:p w14:paraId="47948BA1"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8.155</w:t>
            </w:r>
          </w:p>
          <w:p w14:paraId="28BD70F0"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(6.01***)</w:t>
            </w:r>
          </w:p>
        </w:tc>
        <w:tc>
          <w:tcPr>
            <w:tcW w:w="868" w:type="dxa"/>
            <w:tcBorders>
              <w:top w:val="nil"/>
              <w:left w:val="nil"/>
              <w:bottom w:val="nil"/>
              <w:right w:val="nil"/>
            </w:tcBorders>
            <w:shd w:val="clear" w:color="auto" w:fill="auto"/>
          </w:tcPr>
          <w:p w14:paraId="06A26BAD"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69326848" w14:textId="77777777" w:rsidTr="0008368E">
        <w:trPr>
          <w:trHeight w:val="405"/>
        </w:trPr>
        <w:tc>
          <w:tcPr>
            <w:tcW w:w="4503" w:type="dxa"/>
            <w:tcBorders>
              <w:top w:val="nil"/>
              <w:left w:val="nil"/>
              <w:bottom w:val="nil"/>
              <w:right w:val="nil"/>
            </w:tcBorders>
            <w:shd w:val="clear" w:color="auto" w:fill="auto"/>
          </w:tcPr>
          <w:p w14:paraId="27832388"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BOOK VALUES</w:t>
            </w:r>
          </w:p>
        </w:tc>
        <w:tc>
          <w:tcPr>
            <w:tcW w:w="1276" w:type="dxa"/>
            <w:tcBorders>
              <w:top w:val="nil"/>
              <w:left w:val="nil"/>
              <w:bottom w:val="nil"/>
              <w:right w:val="nil"/>
            </w:tcBorders>
            <w:shd w:val="clear" w:color="auto" w:fill="auto"/>
          </w:tcPr>
          <w:p w14:paraId="6CF6EEF2"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0.341      (1.03)</w:t>
            </w:r>
          </w:p>
        </w:tc>
        <w:tc>
          <w:tcPr>
            <w:tcW w:w="1115" w:type="dxa"/>
            <w:tcBorders>
              <w:top w:val="nil"/>
              <w:left w:val="nil"/>
              <w:bottom w:val="nil"/>
              <w:right w:val="nil"/>
            </w:tcBorders>
            <w:shd w:val="clear" w:color="auto" w:fill="auto"/>
          </w:tcPr>
          <w:p w14:paraId="5839B23F"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0.845</w:t>
            </w:r>
          </w:p>
          <w:p w14:paraId="3878104D"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w:t>
            </w:r>
            <w:r w:rsidR="005D4AA3" w:rsidRPr="00F4226B">
              <w:rPr>
                <w:rFonts w:ascii="Times New Roman" w:hAnsi="Times New Roman"/>
                <w:color w:val="000000"/>
                <w:sz w:val="20"/>
                <w:szCs w:val="20"/>
                <w:lang w:val="en-US"/>
              </w:rPr>
              <w:t>6.25</w:t>
            </w:r>
            <w:r w:rsidRPr="00F4226B">
              <w:rPr>
                <w:rFonts w:ascii="Times New Roman" w:hAnsi="Times New Roman"/>
                <w:color w:val="000000"/>
                <w:sz w:val="20"/>
                <w:szCs w:val="20"/>
                <w:lang w:val="en-US"/>
              </w:rPr>
              <w:t>***)</w:t>
            </w:r>
          </w:p>
        </w:tc>
        <w:tc>
          <w:tcPr>
            <w:tcW w:w="1418" w:type="dxa"/>
            <w:tcBorders>
              <w:top w:val="nil"/>
              <w:left w:val="nil"/>
              <w:bottom w:val="nil"/>
              <w:right w:val="nil"/>
            </w:tcBorders>
            <w:shd w:val="clear" w:color="auto" w:fill="auto"/>
          </w:tcPr>
          <w:p w14:paraId="711625A6"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0.207</w:t>
            </w:r>
          </w:p>
          <w:p w14:paraId="79AF3CAC"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(0.62)</w:t>
            </w:r>
          </w:p>
        </w:tc>
        <w:tc>
          <w:tcPr>
            <w:tcW w:w="868" w:type="dxa"/>
            <w:tcBorders>
              <w:top w:val="nil"/>
              <w:left w:val="nil"/>
              <w:bottom w:val="nil"/>
              <w:right w:val="nil"/>
            </w:tcBorders>
            <w:shd w:val="clear" w:color="auto" w:fill="auto"/>
          </w:tcPr>
          <w:p w14:paraId="52B79DED"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2D9029B9" w14:textId="77777777" w:rsidTr="0008368E">
        <w:trPr>
          <w:trHeight w:val="420"/>
        </w:trPr>
        <w:tc>
          <w:tcPr>
            <w:tcW w:w="4503" w:type="dxa"/>
            <w:tcBorders>
              <w:top w:val="nil"/>
              <w:left w:val="nil"/>
              <w:bottom w:val="nil"/>
              <w:right w:val="nil"/>
            </w:tcBorders>
            <w:shd w:val="clear" w:color="auto" w:fill="auto"/>
          </w:tcPr>
          <w:p w14:paraId="4DD79488"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EIGLS</w:t>
            </w:r>
          </w:p>
        </w:tc>
        <w:tc>
          <w:tcPr>
            <w:tcW w:w="1276" w:type="dxa"/>
            <w:tcBorders>
              <w:top w:val="nil"/>
              <w:left w:val="nil"/>
              <w:bottom w:val="nil"/>
              <w:right w:val="nil"/>
            </w:tcBorders>
            <w:shd w:val="clear" w:color="auto" w:fill="auto"/>
          </w:tcPr>
          <w:p w14:paraId="626A0157" w14:textId="77777777" w:rsidR="008C5004" w:rsidRPr="00F4226B" w:rsidRDefault="008C5004" w:rsidP="00582332">
            <w:pPr>
              <w:spacing w:after="0" w:line="240" w:lineRule="auto"/>
              <w:jc w:val="center"/>
              <w:rPr>
                <w:rFonts w:ascii="Times New Roman" w:hAnsi="Times New Roman"/>
                <w:color w:val="000000"/>
                <w:sz w:val="20"/>
                <w:szCs w:val="20"/>
                <w:lang w:val="en-US"/>
              </w:rPr>
            </w:pPr>
          </w:p>
          <w:p w14:paraId="17C261F1"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115" w:type="dxa"/>
            <w:tcBorders>
              <w:top w:val="nil"/>
              <w:left w:val="nil"/>
              <w:bottom w:val="nil"/>
              <w:right w:val="nil"/>
            </w:tcBorders>
            <w:shd w:val="clear" w:color="auto" w:fill="auto"/>
          </w:tcPr>
          <w:p w14:paraId="17340D48"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418" w:type="dxa"/>
            <w:tcBorders>
              <w:top w:val="nil"/>
              <w:left w:val="nil"/>
              <w:bottom w:val="nil"/>
              <w:right w:val="nil"/>
            </w:tcBorders>
            <w:shd w:val="clear" w:color="auto" w:fill="auto"/>
          </w:tcPr>
          <w:p w14:paraId="42EE3582" w14:textId="77777777" w:rsidR="0076397A" w:rsidRPr="00F4226B" w:rsidRDefault="0076397A"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-0.143</w:t>
            </w:r>
          </w:p>
          <w:p w14:paraId="47879877" w14:textId="77777777" w:rsidR="008C5004" w:rsidRPr="00F4226B" w:rsidRDefault="0076397A"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(-0.49)</w:t>
            </w:r>
          </w:p>
        </w:tc>
        <w:tc>
          <w:tcPr>
            <w:tcW w:w="868" w:type="dxa"/>
            <w:tcBorders>
              <w:top w:val="nil"/>
              <w:left w:val="nil"/>
              <w:bottom w:val="nil"/>
              <w:right w:val="nil"/>
            </w:tcBorders>
            <w:shd w:val="clear" w:color="auto" w:fill="auto"/>
          </w:tcPr>
          <w:p w14:paraId="37F0D7B6"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0E351B02" w14:textId="77777777" w:rsidTr="0008368E">
        <w:trPr>
          <w:trHeight w:val="420"/>
        </w:trPr>
        <w:tc>
          <w:tcPr>
            <w:tcW w:w="4503" w:type="dxa"/>
            <w:tcBorders>
              <w:top w:val="nil"/>
              <w:left w:val="nil"/>
              <w:bottom w:val="nil"/>
              <w:right w:val="nil"/>
            </w:tcBorders>
            <w:shd w:val="clear" w:color="auto" w:fill="auto"/>
          </w:tcPr>
          <w:p w14:paraId="0E9D786D"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BVIGLS</w:t>
            </w:r>
          </w:p>
        </w:tc>
        <w:tc>
          <w:tcPr>
            <w:tcW w:w="1276" w:type="dxa"/>
            <w:tcBorders>
              <w:top w:val="nil"/>
              <w:left w:val="nil"/>
              <w:bottom w:val="nil"/>
              <w:right w:val="nil"/>
            </w:tcBorders>
            <w:shd w:val="clear" w:color="auto" w:fill="auto"/>
          </w:tcPr>
          <w:p w14:paraId="4A219562" w14:textId="77777777" w:rsidR="008C5004" w:rsidRPr="00F4226B" w:rsidRDefault="008C5004" w:rsidP="00582332">
            <w:pPr>
              <w:spacing w:after="0" w:line="240" w:lineRule="auto"/>
              <w:jc w:val="center"/>
              <w:rPr>
                <w:rFonts w:ascii="Times New Roman" w:hAnsi="Times New Roman"/>
                <w:color w:val="000000"/>
                <w:sz w:val="20"/>
                <w:szCs w:val="20"/>
                <w:lang w:val="en-US"/>
              </w:rPr>
            </w:pPr>
          </w:p>
          <w:p w14:paraId="056CBBC1"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115" w:type="dxa"/>
            <w:tcBorders>
              <w:top w:val="nil"/>
              <w:left w:val="nil"/>
              <w:bottom w:val="nil"/>
              <w:right w:val="nil"/>
            </w:tcBorders>
            <w:shd w:val="clear" w:color="auto" w:fill="auto"/>
          </w:tcPr>
          <w:p w14:paraId="376B84D9" w14:textId="77777777" w:rsidR="008C5004" w:rsidRPr="00F4226B" w:rsidRDefault="008C5004" w:rsidP="00582332">
            <w:pPr>
              <w:spacing w:after="0" w:line="240" w:lineRule="auto"/>
              <w:jc w:val="center"/>
              <w:rPr>
                <w:rFonts w:ascii="Times New Roman" w:hAnsi="Times New Roman"/>
                <w:b/>
                <w:color w:val="000000"/>
                <w:sz w:val="20"/>
                <w:szCs w:val="20"/>
                <w:lang w:val="en-US"/>
              </w:rPr>
            </w:pPr>
          </w:p>
        </w:tc>
        <w:tc>
          <w:tcPr>
            <w:tcW w:w="1418" w:type="dxa"/>
            <w:tcBorders>
              <w:top w:val="nil"/>
              <w:left w:val="nil"/>
              <w:bottom w:val="nil"/>
              <w:right w:val="nil"/>
            </w:tcBorders>
            <w:shd w:val="clear" w:color="auto" w:fill="auto"/>
          </w:tcPr>
          <w:p w14:paraId="32D45957" w14:textId="77777777" w:rsidR="0076397A" w:rsidRPr="00F4226B" w:rsidRDefault="0076397A"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-3.524</w:t>
            </w:r>
          </w:p>
          <w:p w14:paraId="177436A6" w14:textId="77777777" w:rsidR="008C5004" w:rsidRPr="00F4226B" w:rsidRDefault="0076397A"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(-2.54***)</w:t>
            </w:r>
          </w:p>
        </w:tc>
        <w:tc>
          <w:tcPr>
            <w:tcW w:w="868" w:type="dxa"/>
            <w:tcBorders>
              <w:top w:val="nil"/>
              <w:left w:val="nil"/>
              <w:bottom w:val="nil"/>
              <w:right w:val="nil"/>
            </w:tcBorders>
            <w:shd w:val="clear" w:color="auto" w:fill="auto"/>
          </w:tcPr>
          <w:p w14:paraId="60614230"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62B1C8D7" w14:textId="77777777" w:rsidTr="0008368E">
        <w:trPr>
          <w:trHeight w:val="405"/>
        </w:trPr>
        <w:tc>
          <w:tcPr>
            <w:tcW w:w="4503" w:type="dxa"/>
            <w:tcBorders>
              <w:top w:val="nil"/>
              <w:left w:val="nil"/>
              <w:bottom w:val="nil"/>
              <w:right w:val="nil"/>
            </w:tcBorders>
            <w:shd w:val="clear" w:color="auto" w:fill="auto"/>
          </w:tcPr>
          <w:p w14:paraId="2659E0F6" w14:textId="77777777" w:rsidR="008C5004" w:rsidRPr="00F4226B" w:rsidRDefault="008C5004" w:rsidP="008C5004">
            <w:pPr>
              <w:spacing w:after="0" w:line="240" w:lineRule="auto"/>
              <w:rPr>
                <w:rFonts w:ascii="Times New Roman" w:hAnsi="Times New Roman"/>
                <w:b/>
                <w:color w:val="000000"/>
                <w:sz w:val="20"/>
                <w:szCs w:val="20"/>
                <w:lang w:val="en-US"/>
              </w:rPr>
            </w:pPr>
            <w:r w:rsidRPr="00F4226B">
              <w:rPr>
                <w:rFonts w:ascii="Times New Roman" w:hAnsi="Times New Roman"/>
                <w:color w:val="000000"/>
                <w:sz w:val="20"/>
                <w:szCs w:val="20"/>
                <w:lang w:val="en-US"/>
              </w:rPr>
              <w:t>Fixed time effects</w:t>
            </w:r>
          </w:p>
        </w:tc>
        <w:tc>
          <w:tcPr>
            <w:tcW w:w="1276" w:type="dxa"/>
            <w:tcBorders>
              <w:top w:val="nil"/>
              <w:left w:val="nil"/>
              <w:bottom w:val="nil"/>
              <w:right w:val="nil"/>
            </w:tcBorders>
            <w:shd w:val="clear" w:color="auto" w:fill="auto"/>
          </w:tcPr>
          <w:p w14:paraId="611810E9" w14:textId="77777777" w:rsidR="008C5004" w:rsidRPr="00F4226B" w:rsidRDefault="008C5004" w:rsidP="00582332">
            <w:pPr>
              <w:spacing w:after="0" w:line="240" w:lineRule="auto"/>
              <w:ind w:right="-89"/>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Included</w:t>
            </w:r>
          </w:p>
        </w:tc>
        <w:tc>
          <w:tcPr>
            <w:tcW w:w="1115" w:type="dxa"/>
            <w:tcBorders>
              <w:top w:val="nil"/>
              <w:left w:val="nil"/>
              <w:bottom w:val="nil"/>
              <w:right w:val="nil"/>
            </w:tcBorders>
            <w:shd w:val="clear" w:color="auto" w:fill="auto"/>
          </w:tcPr>
          <w:p w14:paraId="734DA8C9"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Included</w:t>
            </w:r>
          </w:p>
        </w:tc>
        <w:tc>
          <w:tcPr>
            <w:tcW w:w="1418" w:type="dxa"/>
            <w:tcBorders>
              <w:top w:val="nil"/>
              <w:left w:val="nil"/>
              <w:bottom w:val="nil"/>
              <w:right w:val="nil"/>
            </w:tcBorders>
            <w:shd w:val="clear" w:color="auto" w:fill="auto"/>
          </w:tcPr>
          <w:p w14:paraId="055127AD" w14:textId="77777777" w:rsidR="008C5004" w:rsidRPr="00F4226B" w:rsidRDefault="008C5004" w:rsidP="00582332">
            <w:pPr>
              <w:spacing w:after="0" w:line="240" w:lineRule="auto"/>
              <w:jc w:val="center"/>
              <w:rPr>
                <w:rFonts w:ascii="Times New Roman" w:hAnsi="Times New Roman"/>
                <w:b/>
                <w:color w:val="000000"/>
                <w:sz w:val="20"/>
                <w:szCs w:val="20"/>
                <w:lang w:val="en-US"/>
              </w:rPr>
            </w:pPr>
            <w:r w:rsidRPr="00F4226B">
              <w:rPr>
                <w:rFonts w:ascii="Times New Roman" w:hAnsi="Times New Roman"/>
                <w:color w:val="000000"/>
                <w:sz w:val="20"/>
                <w:szCs w:val="20"/>
                <w:lang w:val="en-US"/>
              </w:rPr>
              <w:t>Included</w:t>
            </w:r>
          </w:p>
        </w:tc>
        <w:tc>
          <w:tcPr>
            <w:tcW w:w="868" w:type="dxa"/>
            <w:tcBorders>
              <w:top w:val="nil"/>
              <w:left w:val="nil"/>
              <w:bottom w:val="nil"/>
              <w:right w:val="nil"/>
            </w:tcBorders>
            <w:shd w:val="clear" w:color="auto" w:fill="auto"/>
          </w:tcPr>
          <w:p w14:paraId="156BC6AE"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263A96FC" w14:textId="77777777" w:rsidTr="0008368E">
        <w:trPr>
          <w:trHeight w:val="240"/>
        </w:trPr>
        <w:tc>
          <w:tcPr>
            <w:tcW w:w="4503" w:type="dxa"/>
            <w:tcBorders>
              <w:top w:val="nil"/>
              <w:left w:val="nil"/>
              <w:bottom w:val="nil"/>
              <w:right w:val="nil"/>
            </w:tcBorders>
            <w:shd w:val="clear" w:color="auto" w:fill="auto"/>
          </w:tcPr>
          <w:p w14:paraId="5972D2D2"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F-ratio</w:t>
            </w:r>
          </w:p>
        </w:tc>
        <w:tc>
          <w:tcPr>
            <w:tcW w:w="1276" w:type="dxa"/>
            <w:tcBorders>
              <w:top w:val="nil"/>
              <w:left w:val="nil"/>
              <w:bottom w:val="nil"/>
              <w:right w:val="nil"/>
            </w:tcBorders>
            <w:shd w:val="clear" w:color="auto" w:fill="auto"/>
          </w:tcPr>
          <w:p w14:paraId="250E9FA7"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48.91***</w:t>
            </w:r>
          </w:p>
        </w:tc>
        <w:tc>
          <w:tcPr>
            <w:tcW w:w="1115" w:type="dxa"/>
            <w:tcBorders>
              <w:top w:val="nil"/>
              <w:left w:val="nil"/>
              <w:bottom w:val="nil"/>
              <w:right w:val="nil"/>
            </w:tcBorders>
            <w:shd w:val="clear" w:color="auto" w:fill="auto"/>
          </w:tcPr>
          <w:p w14:paraId="3D0F8995"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45.09***</w:t>
            </w:r>
          </w:p>
        </w:tc>
        <w:tc>
          <w:tcPr>
            <w:tcW w:w="1418" w:type="dxa"/>
            <w:tcBorders>
              <w:top w:val="nil"/>
              <w:left w:val="nil"/>
              <w:bottom w:val="nil"/>
              <w:right w:val="nil"/>
            </w:tcBorders>
            <w:shd w:val="clear" w:color="auto" w:fill="auto"/>
          </w:tcPr>
          <w:p w14:paraId="181DF0A6"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35.29***</w:t>
            </w:r>
          </w:p>
        </w:tc>
        <w:tc>
          <w:tcPr>
            <w:tcW w:w="868" w:type="dxa"/>
            <w:tcBorders>
              <w:top w:val="nil"/>
              <w:left w:val="nil"/>
              <w:bottom w:val="nil"/>
              <w:right w:val="nil"/>
            </w:tcBorders>
            <w:shd w:val="clear" w:color="auto" w:fill="auto"/>
          </w:tcPr>
          <w:p w14:paraId="4FA5C9C6" w14:textId="77777777" w:rsidR="008C5004" w:rsidRPr="00F4226B" w:rsidRDefault="008C5004" w:rsidP="008C5004">
            <w:pPr>
              <w:spacing w:after="0" w:line="240" w:lineRule="auto"/>
              <w:jc w:val="right"/>
              <w:rPr>
                <w:rFonts w:ascii="Times New Roman" w:hAnsi="Times New Roman"/>
                <w:color w:val="000000"/>
                <w:sz w:val="20"/>
                <w:szCs w:val="20"/>
                <w:lang w:val="en-US"/>
              </w:rPr>
            </w:pPr>
          </w:p>
        </w:tc>
      </w:tr>
      <w:tr w:rsidR="008C5004" w:rsidRPr="00F4226B" w14:paraId="6AD9FEA8" w14:textId="77777777" w:rsidTr="0008368E">
        <w:trPr>
          <w:trHeight w:val="240"/>
        </w:trPr>
        <w:tc>
          <w:tcPr>
            <w:tcW w:w="4503" w:type="dxa"/>
            <w:tcBorders>
              <w:top w:val="nil"/>
              <w:left w:val="nil"/>
              <w:bottom w:val="nil"/>
              <w:right w:val="nil"/>
            </w:tcBorders>
            <w:shd w:val="clear" w:color="auto" w:fill="auto"/>
          </w:tcPr>
          <w:p w14:paraId="30BF0429"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Adjusted R</w:t>
            </w:r>
            <w:r w:rsidRPr="00F4226B">
              <w:rPr>
                <w:rFonts w:ascii="Times New Roman" w:hAnsi="Times New Roman"/>
                <w:bCs/>
                <w:color w:val="000000"/>
                <w:sz w:val="20"/>
                <w:szCs w:val="20"/>
                <w:vertAlign w:val="superscript"/>
                <w:lang w:val="en-US" w:eastAsia="es-ES"/>
              </w:rPr>
              <w:t>2</w:t>
            </w:r>
          </w:p>
        </w:tc>
        <w:tc>
          <w:tcPr>
            <w:tcW w:w="1276" w:type="dxa"/>
            <w:tcBorders>
              <w:top w:val="nil"/>
              <w:left w:val="nil"/>
              <w:bottom w:val="nil"/>
              <w:right w:val="nil"/>
            </w:tcBorders>
            <w:shd w:val="clear" w:color="auto" w:fill="auto"/>
          </w:tcPr>
          <w:p w14:paraId="2B0F5EB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0.633</w:t>
            </w:r>
          </w:p>
        </w:tc>
        <w:tc>
          <w:tcPr>
            <w:tcW w:w="1115" w:type="dxa"/>
            <w:tcBorders>
              <w:top w:val="nil"/>
              <w:left w:val="nil"/>
              <w:bottom w:val="nil"/>
              <w:right w:val="nil"/>
            </w:tcBorders>
            <w:shd w:val="clear" w:color="auto" w:fill="auto"/>
          </w:tcPr>
          <w:p w14:paraId="07B1EA81"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0.614</w:t>
            </w:r>
          </w:p>
        </w:tc>
        <w:tc>
          <w:tcPr>
            <w:tcW w:w="1418" w:type="dxa"/>
            <w:tcBorders>
              <w:top w:val="nil"/>
              <w:left w:val="nil"/>
              <w:bottom w:val="nil"/>
              <w:right w:val="nil"/>
            </w:tcBorders>
            <w:shd w:val="clear" w:color="auto" w:fill="auto"/>
          </w:tcPr>
          <w:p w14:paraId="4F7DFDAD"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0.650</w:t>
            </w:r>
          </w:p>
        </w:tc>
        <w:tc>
          <w:tcPr>
            <w:tcW w:w="868" w:type="dxa"/>
            <w:tcBorders>
              <w:top w:val="nil"/>
              <w:left w:val="nil"/>
              <w:bottom w:val="nil"/>
              <w:right w:val="nil"/>
            </w:tcBorders>
            <w:shd w:val="clear" w:color="auto" w:fill="auto"/>
          </w:tcPr>
          <w:p w14:paraId="2F79B322" w14:textId="77777777" w:rsidR="008C5004" w:rsidRPr="00F4226B" w:rsidRDefault="008C5004" w:rsidP="008C5004">
            <w:pPr>
              <w:spacing w:after="0" w:line="240" w:lineRule="auto"/>
              <w:jc w:val="right"/>
              <w:rPr>
                <w:rFonts w:ascii="Times New Roman" w:hAnsi="Times New Roman"/>
                <w:color w:val="000000"/>
                <w:sz w:val="20"/>
                <w:szCs w:val="20"/>
                <w:lang w:val="en-US"/>
              </w:rPr>
            </w:pPr>
          </w:p>
        </w:tc>
      </w:tr>
      <w:tr w:rsidR="008C5004" w:rsidRPr="00F4226B" w14:paraId="3421A475" w14:textId="77777777" w:rsidTr="0008368E">
        <w:trPr>
          <w:trHeight w:val="240"/>
        </w:trPr>
        <w:tc>
          <w:tcPr>
            <w:tcW w:w="4503" w:type="dxa"/>
            <w:tcBorders>
              <w:top w:val="nil"/>
              <w:left w:val="nil"/>
              <w:bottom w:val="nil"/>
              <w:right w:val="nil"/>
            </w:tcBorders>
            <w:shd w:val="clear" w:color="auto" w:fill="auto"/>
          </w:tcPr>
          <w:p w14:paraId="480B7508"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 xml:space="preserve">Vuong’s Z-statistics: HC vs IA Model                  </w:t>
            </w:r>
          </w:p>
        </w:tc>
        <w:tc>
          <w:tcPr>
            <w:tcW w:w="1276" w:type="dxa"/>
            <w:tcBorders>
              <w:top w:val="nil"/>
              <w:left w:val="nil"/>
              <w:bottom w:val="nil"/>
              <w:right w:val="nil"/>
            </w:tcBorders>
            <w:shd w:val="clear" w:color="auto" w:fill="auto"/>
          </w:tcPr>
          <w:p w14:paraId="7A959370"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nil"/>
              <w:left w:val="nil"/>
              <w:bottom w:val="nil"/>
              <w:right w:val="nil"/>
            </w:tcBorders>
            <w:shd w:val="clear" w:color="auto" w:fill="auto"/>
          </w:tcPr>
          <w:p w14:paraId="5746203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r w:rsidRPr="00F4226B">
              <w:rPr>
                <w:rFonts w:ascii="Times New Roman" w:hAnsi="Times New Roman"/>
                <w:bCs/>
                <w:color w:val="000000"/>
                <w:sz w:val="20"/>
                <w:szCs w:val="20"/>
                <w:lang w:val="en-US" w:eastAsia="es-ES"/>
              </w:rPr>
              <w:t>0.313</w:t>
            </w:r>
          </w:p>
        </w:tc>
        <w:tc>
          <w:tcPr>
            <w:tcW w:w="1418" w:type="dxa"/>
            <w:tcBorders>
              <w:top w:val="nil"/>
              <w:left w:val="nil"/>
              <w:bottom w:val="nil"/>
              <w:right w:val="nil"/>
            </w:tcBorders>
            <w:shd w:val="clear" w:color="auto" w:fill="auto"/>
          </w:tcPr>
          <w:p w14:paraId="384F4AAE" w14:textId="77777777" w:rsidR="008C5004" w:rsidRPr="00F4226B" w:rsidRDefault="008C5004" w:rsidP="00582332">
            <w:pPr>
              <w:spacing w:after="0" w:line="240" w:lineRule="auto"/>
              <w:jc w:val="center"/>
              <w:rPr>
                <w:rFonts w:ascii="Times New Roman" w:hAnsi="Times New Roman"/>
                <w:color w:val="000000"/>
                <w:sz w:val="20"/>
                <w:szCs w:val="20"/>
                <w:lang w:val="en-US"/>
              </w:rPr>
            </w:pPr>
          </w:p>
        </w:tc>
        <w:tc>
          <w:tcPr>
            <w:tcW w:w="868" w:type="dxa"/>
            <w:tcBorders>
              <w:top w:val="nil"/>
              <w:left w:val="nil"/>
              <w:bottom w:val="nil"/>
              <w:right w:val="nil"/>
            </w:tcBorders>
            <w:shd w:val="clear" w:color="auto" w:fill="auto"/>
          </w:tcPr>
          <w:p w14:paraId="54F0C77B" w14:textId="77777777" w:rsidR="008C5004" w:rsidRPr="00F4226B" w:rsidRDefault="008C5004" w:rsidP="008C5004">
            <w:pPr>
              <w:spacing w:after="0" w:line="240" w:lineRule="auto"/>
              <w:jc w:val="right"/>
              <w:rPr>
                <w:rFonts w:ascii="Times New Roman" w:hAnsi="Times New Roman"/>
                <w:b/>
                <w:color w:val="000000"/>
                <w:sz w:val="20"/>
                <w:szCs w:val="20"/>
                <w:lang w:val="en-US"/>
              </w:rPr>
            </w:pPr>
          </w:p>
        </w:tc>
      </w:tr>
      <w:tr w:rsidR="008C5004" w:rsidRPr="00F4226B" w14:paraId="1FE6F33E" w14:textId="77777777" w:rsidTr="0008368E">
        <w:trPr>
          <w:trHeight w:val="240"/>
        </w:trPr>
        <w:tc>
          <w:tcPr>
            <w:tcW w:w="4503" w:type="dxa"/>
            <w:tcBorders>
              <w:top w:val="nil"/>
              <w:left w:val="nil"/>
              <w:bottom w:val="nil"/>
              <w:right w:val="nil"/>
            </w:tcBorders>
            <w:shd w:val="clear" w:color="auto" w:fill="auto"/>
          </w:tcPr>
          <w:p w14:paraId="09AEF021"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 xml:space="preserve">                                  HC vs Incremental Model</w:t>
            </w:r>
          </w:p>
        </w:tc>
        <w:tc>
          <w:tcPr>
            <w:tcW w:w="1276" w:type="dxa"/>
            <w:tcBorders>
              <w:top w:val="nil"/>
              <w:left w:val="nil"/>
              <w:bottom w:val="nil"/>
              <w:right w:val="nil"/>
            </w:tcBorders>
            <w:shd w:val="clear" w:color="auto" w:fill="auto"/>
          </w:tcPr>
          <w:p w14:paraId="173ECA61" w14:textId="77777777" w:rsidR="008C5004" w:rsidRPr="00F4226B" w:rsidRDefault="008C5004" w:rsidP="00692C1D">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nil"/>
              <w:left w:val="nil"/>
              <w:bottom w:val="nil"/>
              <w:right w:val="nil"/>
            </w:tcBorders>
            <w:shd w:val="clear" w:color="auto" w:fill="auto"/>
          </w:tcPr>
          <w:p w14:paraId="5EE69B0A"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20"/>
                <w:szCs w:val="20"/>
                <w:lang w:val="en-US" w:eastAsia="es-ES"/>
              </w:rPr>
            </w:pPr>
          </w:p>
        </w:tc>
        <w:tc>
          <w:tcPr>
            <w:tcW w:w="1418" w:type="dxa"/>
            <w:tcBorders>
              <w:top w:val="nil"/>
              <w:left w:val="nil"/>
              <w:bottom w:val="nil"/>
              <w:right w:val="nil"/>
            </w:tcBorders>
            <w:shd w:val="clear" w:color="auto" w:fill="auto"/>
          </w:tcPr>
          <w:p w14:paraId="4FD6CA7D"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0.299</w:t>
            </w:r>
          </w:p>
        </w:tc>
        <w:tc>
          <w:tcPr>
            <w:tcW w:w="868" w:type="dxa"/>
            <w:tcBorders>
              <w:top w:val="nil"/>
              <w:left w:val="nil"/>
              <w:bottom w:val="nil"/>
              <w:right w:val="nil"/>
            </w:tcBorders>
            <w:shd w:val="clear" w:color="auto" w:fill="auto"/>
          </w:tcPr>
          <w:p w14:paraId="7E2300E9"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r>
      <w:tr w:rsidR="008C5004" w:rsidRPr="00F4226B" w14:paraId="7F05FBC9" w14:textId="77777777" w:rsidTr="0008368E">
        <w:trPr>
          <w:trHeight w:val="240"/>
        </w:trPr>
        <w:tc>
          <w:tcPr>
            <w:tcW w:w="4503" w:type="dxa"/>
            <w:tcBorders>
              <w:top w:val="nil"/>
              <w:left w:val="nil"/>
              <w:bottom w:val="single" w:sz="12" w:space="0" w:color="auto"/>
              <w:right w:val="nil"/>
            </w:tcBorders>
            <w:shd w:val="clear" w:color="auto" w:fill="auto"/>
          </w:tcPr>
          <w:p w14:paraId="7A0E4A17" w14:textId="77777777" w:rsidR="008C5004" w:rsidRPr="00F4226B" w:rsidRDefault="008C5004" w:rsidP="008C5004">
            <w:pPr>
              <w:spacing w:after="0" w:line="240" w:lineRule="auto"/>
              <w:rPr>
                <w:rFonts w:ascii="Times New Roman" w:hAnsi="Times New Roman"/>
                <w:bCs/>
                <w:color w:val="000000"/>
                <w:sz w:val="20"/>
                <w:szCs w:val="20"/>
                <w:lang w:val="en-US" w:eastAsia="es-ES"/>
              </w:rPr>
            </w:pPr>
            <w:r w:rsidRPr="00F4226B">
              <w:rPr>
                <w:rFonts w:ascii="Times New Roman" w:hAnsi="Times New Roman"/>
                <w:bCs/>
                <w:color w:val="000000"/>
                <w:sz w:val="20"/>
                <w:szCs w:val="20"/>
                <w:lang w:val="en-US" w:eastAsia="es-ES"/>
              </w:rPr>
              <w:t xml:space="preserve">                                  IA vs Incremental Model</w:t>
            </w:r>
          </w:p>
        </w:tc>
        <w:tc>
          <w:tcPr>
            <w:tcW w:w="1276" w:type="dxa"/>
            <w:tcBorders>
              <w:top w:val="nil"/>
              <w:left w:val="nil"/>
              <w:bottom w:val="single" w:sz="12" w:space="0" w:color="auto"/>
              <w:right w:val="nil"/>
            </w:tcBorders>
            <w:shd w:val="clear" w:color="auto" w:fill="auto"/>
          </w:tcPr>
          <w:p w14:paraId="113D59E2" w14:textId="77777777" w:rsidR="008C5004" w:rsidRPr="00F4226B" w:rsidRDefault="008C5004" w:rsidP="00692C1D">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20"/>
                <w:szCs w:val="20"/>
                <w:lang w:val="en-US"/>
              </w:rPr>
            </w:pPr>
          </w:p>
        </w:tc>
        <w:tc>
          <w:tcPr>
            <w:tcW w:w="1115" w:type="dxa"/>
            <w:tcBorders>
              <w:top w:val="nil"/>
              <w:left w:val="nil"/>
              <w:bottom w:val="single" w:sz="12" w:space="0" w:color="auto"/>
              <w:right w:val="nil"/>
            </w:tcBorders>
            <w:shd w:val="clear" w:color="auto" w:fill="auto"/>
          </w:tcPr>
          <w:p w14:paraId="79ADDA96"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20"/>
                <w:szCs w:val="20"/>
                <w:lang w:val="en-US" w:eastAsia="es-ES"/>
              </w:rPr>
            </w:pPr>
          </w:p>
        </w:tc>
        <w:tc>
          <w:tcPr>
            <w:tcW w:w="1418" w:type="dxa"/>
            <w:tcBorders>
              <w:top w:val="nil"/>
              <w:left w:val="nil"/>
              <w:bottom w:val="single" w:sz="12" w:space="0" w:color="auto"/>
              <w:right w:val="nil"/>
            </w:tcBorders>
            <w:shd w:val="clear" w:color="auto" w:fill="auto"/>
          </w:tcPr>
          <w:p w14:paraId="1DA7A222" w14:textId="77777777" w:rsidR="008C5004" w:rsidRPr="00F4226B" w:rsidRDefault="008C5004" w:rsidP="00582332">
            <w:pPr>
              <w:spacing w:after="0" w:line="240" w:lineRule="auto"/>
              <w:jc w:val="center"/>
              <w:rPr>
                <w:rFonts w:ascii="Times New Roman" w:hAnsi="Times New Roman"/>
                <w:color w:val="000000"/>
                <w:sz w:val="20"/>
                <w:szCs w:val="20"/>
                <w:lang w:val="en-US"/>
              </w:rPr>
            </w:pPr>
            <w:r w:rsidRPr="00F4226B">
              <w:rPr>
                <w:rFonts w:ascii="Times New Roman" w:hAnsi="Times New Roman"/>
                <w:color w:val="000000"/>
                <w:sz w:val="20"/>
                <w:szCs w:val="20"/>
                <w:lang w:val="en-US"/>
              </w:rPr>
              <w:t>0.244</w:t>
            </w:r>
          </w:p>
        </w:tc>
        <w:tc>
          <w:tcPr>
            <w:tcW w:w="868" w:type="dxa"/>
            <w:tcBorders>
              <w:top w:val="nil"/>
              <w:left w:val="nil"/>
              <w:bottom w:val="single" w:sz="12" w:space="0" w:color="auto"/>
              <w:right w:val="nil"/>
            </w:tcBorders>
            <w:shd w:val="clear" w:color="auto" w:fill="auto"/>
          </w:tcPr>
          <w:p w14:paraId="4303ACB9" w14:textId="77777777" w:rsidR="008C5004" w:rsidRPr="00F4226B" w:rsidRDefault="008C5004" w:rsidP="008C5004">
            <w:pPr>
              <w:spacing w:after="0" w:line="240" w:lineRule="auto"/>
              <w:jc w:val="center"/>
              <w:rPr>
                <w:rFonts w:ascii="Times New Roman" w:hAnsi="Times New Roman"/>
                <w:b/>
                <w:color w:val="000000"/>
                <w:sz w:val="20"/>
                <w:szCs w:val="20"/>
                <w:lang w:val="en-US"/>
              </w:rPr>
            </w:pPr>
          </w:p>
        </w:tc>
      </w:tr>
    </w:tbl>
    <w:p w14:paraId="23995245" w14:textId="6ACDA865" w:rsidR="008C5004" w:rsidRPr="00F4226B" w:rsidRDefault="008C5004" w:rsidP="00582332">
      <w:pPr>
        <w:spacing w:after="0" w:line="240" w:lineRule="auto"/>
        <w:jc w:val="both"/>
        <w:rPr>
          <w:rFonts w:ascii="Times New Roman" w:hAnsi="Times New Roman"/>
          <w:sz w:val="16"/>
          <w:szCs w:val="16"/>
          <w:lang w:val="en-US"/>
        </w:rPr>
      </w:pPr>
      <w:r w:rsidRPr="00F4226B">
        <w:rPr>
          <w:rFonts w:ascii="Times New Roman" w:hAnsi="Times New Roman"/>
          <w:sz w:val="16"/>
          <w:szCs w:val="16"/>
          <w:lang w:val="en-US"/>
        </w:rPr>
        <w:t xml:space="preserve">*** Significant at 1% level; ** </w:t>
      </w:r>
      <w:r w:rsidR="00711B7B">
        <w:rPr>
          <w:rFonts w:ascii="Times New Roman" w:hAnsi="Times New Roman"/>
          <w:sz w:val="16"/>
          <w:szCs w:val="16"/>
          <w:lang w:val="en-US"/>
        </w:rPr>
        <w:t>s</w:t>
      </w:r>
      <w:r w:rsidR="00711B7B" w:rsidRPr="00F4226B">
        <w:rPr>
          <w:rFonts w:ascii="Times New Roman" w:hAnsi="Times New Roman"/>
          <w:sz w:val="16"/>
          <w:szCs w:val="16"/>
          <w:lang w:val="en-US"/>
        </w:rPr>
        <w:t xml:space="preserve">ignificant </w:t>
      </w:r>
      <w:r w:rsidRPr="00F4226B">
        <w:rPr>
          <w:rFonts w:ascii="Times New Roman" w:hAnsi="Times New Roman"/>
          <w:sz w:val="16"/>
          <w:szCs w:val="16"/>
          <w:lang w:val="en-US"/>
        </w:rPr>
        <w:t xml:space="preserve">at 5% level; * </w:t>
      </w:r>
      <w:r w:rsidR="00711B7B">
        <w:rPr>
          <w:rFonts w:ascii="Times New Roman" w:hAnsi="Times New Roman"/>
          <w:sz w:val="16"/>
          <w:szCs w:val="16"/>
          <w:lang w:val="en-US"/>
        </w:rPr>
        <w:t>s</w:t>
      </w:r>
      <w:r w:rsidR="00711B7B" w:rsidRPr="00F4226B">
        <w:rPr>
          <w:rFonts w:ascii="Times New Roman" w:hAnsi="Times New Roman"/>
          <w:sz w:val="16"/>
          <w:szCs w:val="16"/>
          <w:lang w:val="en-US"/>
        </w:rPr>
        <w:t xml:space="preserve">ignificant </w:t>
      </w:r>
      <w:r w:rsidRPr="00F4226B">
        <w:rPr>
          <w:rFonts w:ascii="Times New Roman" w:hAnsi="Times New Roman"/>
          <w:sz w:val="16"/>
          <w:szCs w:val="16"/>
          <w:lang w:val="en-US"/>
        </w:rPr>
        <w:t xml:space="preserve">at 10% level. </w:t>
      </w:r>
      <w:r w:rsidRPr="00F4226B">
        <w:rPr>
          <w:rFonts w:ascii="Times New Roman" w:hAnsi="Times New Roman"/>
          <w:bCs/>
          <w:i/>
          <w:sz w:val="16"/>
          <w:szCs w:val="16"/>
          <w:lang w:val="en-US"/>
        </w:rPr>
        <w:t xml:space="preserve">PRICE </w:t>
      </w:r>
      <w:r w:rsidRPr="00F4226B">
        <w:rPr>
          <w:rFonts w:ascii="Times New Roman" w:hAnsi="Times New Roman"/>
          <w:bCs/>
          <w:sz w:val="16"/>
          <w:szCs w:val="16"/>
          <w:lang w:val="en-US"/>
        </w:rPr>
        <w:t>denotes the price per share at the end of the fourth month after the fiscal year-end.</w:t>
      </w:r>
      <w:r w:rsidRPr="00F4226B">
        <w:rPr>
          <w:rFonts w:ascii="Times New Roman" w:hAnsi="Times New Roman"/>
          <w:bCs/>
          <w:i/>
          <w:sz w:val="16"/>
          <w:szCs w:val="16"/>
          <w:lang w:val="en-US"/>
        </w:rPr>
        <w:t xml:space="preserve"> EARNINGS</w:t>
      </w:r>
      <w:r w:rsidRPr="00F4226B">
        <w:rPr>
          <w:rFonts w:ascii="Times New Roman" w:hAnsi="Times New Roman"/>
          <w:bCs/>
          <w:sz w:val="16"/>
          <w:szCs w:val="16"/>
          <w:lang w:val="en-US"/>
        </w:rPr>
        <w:t xml:space="preserve"> is the reported basic earnings per share, calculated in accordance with IAS 33 – </w:t>
      </w:r>
      <w:r w:rsidRPr="00F4226B">
        <w:rPr>
          <w:rFonts w:ascii="Times New Roman" w:hAnsi="Times New Roman"/>
          <w:bCs/>
          <w:i/>
          <w:sz w:val="16"/>
          <w:szCs w:val="16"/>
          <w:lang w:val="en-US"/>
        </w:rPr>
        <w:t>Earnings per share</w:t>
      </w:r>
      <w:r w:rsidRPr="00F4226B">
        <w:rPr>
          <w:rFonts w:ascii="Times New Roman" w:hAnsi="Times New Roman"/>
          <w:bCs/>
          <w:sz w:val="16"/>
          <w:szCs w:val="16"/>
          <w:lang w:val="en-US"/>
        </w:rPr>
        <w:t xml:space="preserve"> for HC and IA amounts</w:t>
      </w:r>
      <w:r w:rsidR="00711B7B">
        <w:rPr>
          <w:rFonts w:ascii="Times New Roman" w:hAnsi="Times New Roman"/>
          <w:bCs/>
          <w:sz w:val="16"/>
          <w:szCs w:val="16"/>
          <w:lang w:val="en-US"/>
        </w:rPr>
        <w:t>,</w:t>
      </w:r>
      <w:r w:rsidRPr="00F4226B">
        <w:rPr>
          <w:rFonts w:ascii="Times New Roman" w:hAnsi="Times New Roman"/>
          <w:bCs/>
          <w:sz w:val="16"/>
          <w:szCs w:val="16"/>
          <w:lang w:val="en-US"/>
        </w:rPr>
        <w:t xml:space="preserve"> and </w:t>
      </w:r>
      <w:r w:rsidRPr="00F4226B">
        <w:rPr>
          <w:rFonts w:ascii="Times New Roman" w:hAnsi="Times New Roman"/>
          <w:bCs/>
          <w:i/>
          <w:sz w:val="16"/>
          <w:szCs w:val="16"/>
          <w:lang w:val="en-US"/>
        </w:rPr>
        <w:t xml:space="preserve">EIGLS </w:t>
      </w:r>
      <w:r w:rsidRPr="00F4226B">
        <w:rPr>
          <w:rFonts w:ascii="Times New Roman" w:hAnsi="Times New Roman"/>
          <w:bCs/>
          <w:sz w:val="16"/>
          <w:szCs w:val="16"/>
          <w:lang w:val="en-US"/>
        </w:rPr>
        <w:t xml:space="preserve">is the </w:t>
      </w:r>
      <w:r w:rsidR="00F4226B" w:rsidRPr="00F4226B">
        <w:rPr>
          <w:rFonts w:ascii="Times New Roman" w:hAnsi="Times New Roman"/>
          <w:bCs/>
          <w:sz w:val="16"/>
          <w:szCs w:val="16"/>
          <w:lang w:val="en-US"/>
        </w:rPr>
        <w:t>recognized</w:t>
      </w:r>
      <w:r w:rsidRPr="00F4226B">
        <w:rPr>
          <w:rFonts w:ascii="Times New Roman" w:hAnsi="Times New Roman"/>
          <w:bCs/>
          <w:sz w:val="16"/>
          <w:szCs w:val="16"/>
          <w:lang w:val="en-US"/>
        </w:rPr>
        <w:t xml:space="preserve"> inflation gains and losses in earnings (i.e., difference between HC and IA earnings).</w:t>
      </w:r>
      <w:r w:rsidRPr="00F4226B">
        <w:rPr>
          <w:rFonts w:ascii="Times New Roman" w:hAnsi="Times New Roman"/>
          <w:bCs/>
          <w:i/>
          <w:sz w:val="16"/>
          <w:szCs w:val="16"/>
          <w:lang w:val="en-US"/>
        </w:rPr>
        <w:t xml:space="preserve"> </w:t>
      </w:r>
      <w:r w:rsidRPr="00F4226B">
        <w:rPr>
          <w:rFonts w:ascii="Times New Roman" w:hAnsi="Times New Roman"/>
          <w:i/>
          <w:sz w:val="16"/>
          <w:szCs w:val="16"/>
          <w:lang w:val="en-US"/>
        </w:rPr>
        <w:t>BOOK VALUES</w:t>
      </w:r>
      <w:r w:rsidRPr="00F4226B">
        <w:rPr>
          <w:rFonts w:ascii="Times New Roman" w:hAnsi="Times New Roman"/>
          <w:sz w:val="16"/>
          <w:szCs w:val="16"/>
          <w:lang w:val="en-US"/>
        </w:rPr>
        <w:t xml:space="preserve"> is the reported book values of equity per share for HC and IA amounts</w:t>
      </w:r>
      <w:r w:rsidR="00711B7B">
        <w:rPr>
          <w:rFonts w:ascii="Times New Roman" w:hAnsi="Times New Roman"/>
          <w:sz w:val="16"/>
          <w:szCs w:val="16"/>
          <w:lang w:val="en-US"/>
        </w:rPr>
        <w:t>,</w:t>
      </w:r>
      <w:r w:rsidRPr="00F4226B">
        <w:rPr>
          <w:rFonts w:ascii="Times New Roman" w:hAnsi="Times New Roman"/>
          <w:sz w:val="16"/>
          <w:szCs w:val="16"/>
          <w:lang w:val="en-US"/>
        </w:rPr>
        <w:t xml:space="preserve"> and </w:t>
      </w:r>
      <w:r w:rsidRPr="00F4226B">
        <w:rPr>
          <w:rFonts w:ascii="Times New Roman" w:hAnsi="Times New Roman"/>
          <w:i/>
          <w:sz w:val="16"/>
          <w:szCs w:val="16"/>
          <w:lang w:val="en-US"/>
        </w:rPr>
        <w:t>BVIGLS</w:t>
      </w:r>
      <w:r w:rsidRPr="00F4226B">
        <w:rPr>
          <w:rFonts w:ascii="Times New Roman" w:hAnsi="Times New Roman"/>
          <w:sz w:val="16"/>
          <w:szCs w:val="16"/>
          <w:lang w:val="en-US"/>
        </w:rPr>
        <w:t xml:space="preserve"> is the</w:t>
      </w:r>
      <w:r w:rsidRPr="00F4226B">
        <w:rPr>
          <w:rFonts w:ascii="Times New Roman" w:hAnsi="Times New Roman"/>
          <w:i/>
          <w:sz w:val="16"/>
          <w:szCs w:val="16"/>
          <w:lang w:val="en-US"/>
        </w:rPr>
        <w:t xml:space="preserve"> </w:t>
      </w:r>
      <w:r w:rsidR="00F4226B" w:rsidRPr="00F4226B">
        <w:rPr>
          <w:rFonts w:ascii="Times New Roman" w:hAnsi="Times New Roman"/>
          <w:sz w:val="16"/>
          <w:szCs w:val="16"/>
          <w:lang w:val="en-US"/>
        </w:rPr>
        <w:t>recognized</w:t>
      </w:r>
      <w:r w:rsidRPr="00F4226B">
        <w:rPr>
          <w:rFonts w:ascii="Times New Roman" w:hAnsi="Times New Roman"/>
          <w:sz w:val="16"/>
          <w:szCs w:val="16"/>
          <w:lang w:val="en-US"/>
        </w:rPr>
        <w:t xml:space="preserve"> inflation </w:t>
      </w:r>
      <w:r w:rsidRPr="00F4226B">
        <w:rPr>
          <w:rFonts w:ascii="Times New Roman" w:hAnsi="Times New Roman"/>
          <w:sz w:val="16"/>
          <w:szCs w:val="16"/>
          <w:lang w:val="en-US"/>
        </w:rPr>
        <w:lastRenderedPageBreak/>
        <w:t xml:space="preserve">gains and losses in </w:t>
      </w:r>
      <w:r w:rsidR="0082417A">
        <w:rPr>
          <w:rFonts w:ascii="Times New Roman" w:hAnsi="Times New Roman"/>
          <w:sz w:val="16"/>
          <w:szCs w:val="16"/>
          <w:lang w:val="en-US"/>
        </w:rPr>
        <w:t xml:space="preserve">equity </w:t>
      </w:r>
      <w:r w:rsidRPr="00F4226B">
        <w:rPr>
          <w:rFonts w:ascii="Times New Roman" w:hAnsi="Times New Roman"/>
          <w:sz w:val="16"/>
          <w:szCs w:val="16"/>
          <w:lang w:val="en-US"/>
        </w:rPr>
        <w:t>book values (i.e., difference between HC and IA book values</w:t>
      </w:r>
      <w:r w:rsidR="00652C2D">
        <w:rPr>
          <w:rFonts w:ascii="Times New Roman" w:hAnsi="Times New Roman"/>
          <w:sz w:val="16"/>
          <w:szCs w:val="16"/>
          <w:lang w:val="en-US"/>
        </w:rPr>
        <w:t xml:space="preserve"> of equity</w:t>
      </w:r>
      <w:r w:rsidRPr="00F4226B">
        <w:rPr>
          <w:rFonts w:ascii="Times New Roman" w:hAnsi="Times New Roman"/>
          <w:sz w:val="16"/>
          <w:szCs w:val="16"/>
          <w:lang w:val="en-US"/>
        </w:rPr>
        <w:t>)</w:t>
      </w:r>
      <w:r w:rsidRPr="00F4226B">
        <w:rPr>
          <w:rFonts w:ascii="Times New Roman" w:hAnsi="Times New Roman"/>
          <w:i/>
          <w:sz w:val="16"/>
          <w:szCs w:val="16"/>
          <w:lang w:val="en-US"/>
        </w:rPr>
        <w:t xml:space="preserve">. </w:t>
      </w:r>
      <w:r w:rsidRPr="00F4226B">
        <w:rPr>
          <w:rFonts w:ascii="Times New Roman" w:hAnsi="Times New Roman"/>
          <w:sz w:val="16"/>
          <w:szCs w:val="16"/>
          <w:lang w:val="en-US"/>
        </w:rPr>
        <w:t>We deflate all variables with the share price at the close of the previous year.</w:t>
      </w:r>
    </w:p>
    <w:p w14:paraId="4BF5EB78" w14:textId="77777777" w:rsidR="008C5004" w:rsidRPr="00F4226B" w:rsidRDefault="008C5004" w:rsidP="00E92F64">
      <w:pPr>
        <w:spacing w:after="120" w:line="240" w:lineRule="auto"/>
        <w:jc w:val="center"/>
        <w:rPr>
          <w:rFonts w:ascii="Times New Roman" w:hAnsi="Times New Roman"/>
          <w:b/>
          <w:sz w:val="20"/>
          <w:szCs w:val="20"/>
          <w:lang w:val="en-US"/>
        </w:rPr>
      </w:pPr>
    </w:p>
    <w:p w14:paraId="34574298" w14:textId="77777777" w:rsidR="00FB51D1" w:rsidRPr="00F4226B" w:rsidRDefault="00FB51D1" w:rsidP="00E92F64">
      <w:pPr>
        <w:spacing w:after="120" w:line="240" w:lineRule="auto"/>
        <w:jc w:val="center"/>
        <w:rPr>
          <w:rFonts w:ascii="Times New Roman" w:hAnsi="Times New Roman"/>
          <w:b/>
          <w:sz w:val="20"/>
          <w:szCs w:val="20"/>
          <w:lang w:val="en-US"/>
        </w:rPr>
      </w:pPr>
    </w:p>
    <w:p w14:paraId="12A29F8E" w14:textId="77777777" w:rsidR="008C5004" w:rsidRPr="00F4226B" w:rsidRDefault="00860322" w:rsidP="008C5004">
      <w:pPr>
        <w:spacing w:after="120" w:line="240" w:lineRule="auto"/>
        <w:jc w:val="center"/>
        <w:rPr>
          <w:rFonts w:ascii="Times New Roman" w:hAnsi="Times New Roman"/>
          <w:b/>
          <w:color w:val="000000"/>
          <w:highlight w:val="green"/>
          <w:lang w:val="en-US"/>
        </w:rPr>
      </w:pPr>
      <w:r w:rsidRPr="00F4226B">
        <w:rPr>
          <w:rFonts w:ascii="Times New Roman" w:hAnsi="Times New Roman"/>
          <w:b/>
          <w:sz w:val="20"/>
          <w:szCs w:val="20"/>
          <w:lang w:val="en-US"/>
        </w:rPr>
        <w:br w:type="page"/>
      </w:r>
      <w:r w:rsidR="008C5004" w:rsidRPr="00F4226B">
        <w:rPr>
          <w:rFonts w:ascii="Times New Roman" w:hAnsi="Times New Roman"/>
          <w:b/>
          <w:lang w:val="en-US"/>
        </w:rPr>
        <w:lastRenderedPageBreak/>
        <w:t>Table 7: Results of pooled regression tests on the ability of HC and IA amounts to predict future cash flows from operations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1103"/>
        <w:gridCol w:w="1153"/>
        <w:gridCol w:w="1156"/>
        <w:gridCol w:w="260"/>
        <w:gridCol w:w="1107"/>
        <w:gridCol w:w="1116"/>
        <w:gridCol w:w="1134"/>
      </w:tblGrid>
      <w:tr w:rsidR="008C5004" w:rsidRPr="00F4226B" w14:paraId="32EE3447" w14:textId="77777777" w:rsidTr="0008368E">
        <w:trPr>
          <w:trHeight w:val="246"/>
        </w:trPr>
        <w:tc>
          <w:tcPr>
            <w:tcW w:w="9180" w:type="dxa"/>
            <w:gridSpan w:val="8"/>
            <w:tcBorders>
              <w:top w:val="single" w:sz="12" w:space="0" w:color="auto"/>
              <w:left w:val="nil"/>
              <w:bottom w:val="nil"/>
              <w:right w:val="nil"/>
            </w:tcBorders>
            <w:shd w:val="clear" w:color="auto" w:fill="auto"/>
            <w:vAlign w:val="bottom"/>
          </w:tcPr>
          <w:p w14:paraId="03CFD85E" w14:textId="77777777" w:rsidR="008C5004" w:rsidRPr="00F4226B" w:rsidRDefault="008C5004" w:rsidP="008C5004">
            <w:pPr>
              <w:spacing w:before="120" w:after="0" w:line="240" w:lineRule="auto"/>
              <w:jc w:val="center"/>
              <w:rPr>
                <w:rFonts w:ascii="Times New Roman" w:hAnsi="Times New Roman"/>
                <w:b/>
                <w:bCs/>
                <w:i/>
                <w:color w:val="000000"/>
                <w:sz w:val="18"/>
                <w:szCs w:val="18"/>
                <w:lang w:val="en-US"/>
              </w:rPr>
            </w:pPr>
            <w:r w:rsidRPr="00F4226B">
              <w:rPr>
                <w:rFonts w:ascii="Times New Roman" w:hAnsi="Times New Roman"/>
                <w:b/>
                <w:i/>
                <w:color w:val="000000"/>
                <w:sz w:val="18"/>
                <w:szCs w:val="18"/>
                <w:lang w:val="en-US"/>
              </w:rPr>
              <w:t>CASHFOW</w:t>
            </w:r>
            <w:r w:rsidRPr="00F4226B">
              <w:rPr>
                <w:rFonts w:ascii="Times New Roman" w:hAnsi="Times New Roman"/>
                <w:b/>
                <w:i/>
                <w:color w:val="000000"/>
                <w:sz w:val="18"/>
                <w:szCs w:val="18"/>
                <w:vertAlign w:val="subscript"/>
                <w:lang w:val="en-US"/>
              </w:rPr>
              <w:t>it+1</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0</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1</w:t>
            </w:r>
            <w:r w:rsidRPr="00F4226B">
              <w:rPr>
                <w:rFonts w:ascii="Times New Roman" w:hAnsi="Times New Roman"/>
                <w:b/>
                <w:i/>
                <w:color w:val="000000"/>
                <w:sz w:val="18"/>
                <w:szCs w:val="18"/>
                <w:lang w:val="en-US"/>
              </w:rPr>
              <w:t>EARNINGS</w:t>
            </w:r>
            <w:r w:rsidRPr="00F4226B">
              <w:rPr>
                <w:rFonts w:ascii="Times New Roman" w:hAnsi="Times New Roman"/>
                <w:b/>
                <w:i/>
                <w:color w:val="000000"/>
                <w:sz w:val="18"/>
                <w:szCs w:val="18"/>
                <w:vertAlign w:val="subscript"/>
                <w:lang w:val="en-US"/>
              </w:rPr>
              <w:t>it</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2</w:t>
            </w:r>
            <w:r w:rsidRPr="00F4226B">
              <w:rPr>
                <w:rFonts w:ascii="Times New Roman" w:hAnsi="Times New Roman"/>
                <w:b/>
                <w:i/>
                <w:color w:val="000000"/>
                <w:sz w:val="18"/>
                <w:szCs w:val="18"/>
                <w:lang w:val="en-US"/>
              </w:rPr>
              <w:t>YearDummies + ε</w:t>
            </w:r>
            <w:r w:rsidRPr="00F4226B">
              <w:rPr>
                <w:rFonts w:ascii="Times New Roman" w:hAnsi="Times New Roman"/>
                <w:b/>
                <w:i/>
                <w:color w:val="000000"/>
                <w:sz w:val="18"/>
                <w:szCs w:val="18"/>
                <w:vertAlign w:val="subscript"/>
                <w:lang w:val="en-US"/>
              </w:rPr>
              <w:t>it</w:t>
            </w:r>
            <w:r w:rsidRPr="00F4226B">
              <w:rPr>
                <w:rFonts w:ascii="Times New Roman" w:hAnsi="Times New Roman"/>
                <w:b/>
                <w:i/>
                <w:color w:val="000000"/>
                <w:sz w:val="18"/>
                <w:szCs w:val="18"/>
                <w:lang w:val="en-US"/>
              </w:rPr>
              <w:tab/>
              <w:t xml:space="preserve">       </w:t>
            </w:r>
            <w:r w:rsidRPr="00F4226B">
              <w:rPr>
                <w:rFonts w:ascii="Times New Roman" w:hAnsi="Times New Roman"/>
                <w:b/>
                <w:i/>
                <w:color w:val="000000"/>
                <w:sz w:val="18"/>
                <w:szCs w:val="18"/>
                <w:lang w:val="en-US"/>
              </w:rPr>
              <w:tab/>
            </w:r>
            <w:r w:rsidRPr="00F4226B">
              <w:rPr>
                <w:rFonts w:ascii="Times New Roman" w:hAnsi="Times New Roman"/>
                <w:b/>
                <w:i/>
                <w:color w:val="000000"/>
                <w:sz w:val="18"/>
                <w:szCs w:val="18"/>
                <w:lang w:val="en-US"/>
              </w:rPr>
              <w:tab/>
            </w:r>
            <w:r w:rsidRPr="00F4226B">
              <w:rPr>
                <w:rFonts w:ascii="Times New Roman" w:hAnsi="Times New Roman"/>
                <w:b/>
                <w:i/>
                <w:color w:val="000000"/>
                <w:sz w:val="18"/>
                <w:szCs w:val="18"/>
                <w:lang w:val="en-US"/>
              </w:rPr>
              <w:tab/>
            </w:r>
            <w:r w:rsidRPr="00F4226B">
              <w:rPr>
                <w:rFonts w:ascii="Times New Roman" w:hAnsi="Times New Roman"/>
                <w:b/>
                <w:bCs/>
                <w:i/>
                <w:color w:val="000000"/>
                <w:sz w:val="18"/>
                <w:szCs w:val="18"/>
                <w:lang w:val="en-US"/>
              </w:rPr>
              <w:t>(5)</w:t>
            </w:r>
          </w:p>
          <w:p w14:paraId="57AC3017" w14:textId="77777777" w:rsidR="008C5004" w:rsidRPr="00F4226B" w:rsidRDefault="008C5004" w:rsidP="008C5004">
            <w:pPr>
              <w:spacing w:after="0" w:line="240" w:lineRule="auto"/>
              <w:jc w:val="center"/>
              <w:rPr>
                <w:rFonts w:ascii="Times New Roman" w:hAnsi="Times New Roman"/>
                <w:b/>
                <w:bCs/>
                <w:i/>
                <w:color w:val="000000"/>
                <w:sz w:val="18"/>
                <w:szCs w:val="18"/>
                <w:lang w:val="en-US"/>
              </w:rPr>
            </w:pPr>
            <w:r w:rsidRPr="00F4226B">
              <w:rPr>
                <w:rFonts w:ascii="Times New Roman" w:hAnsi="Times New Roman"/>
                <w:b/>
                <w:i/>
                <w:color w:val="000000"/>
                <w:sz w:val="18"/>
                <w:szCs w:val="18"/>
                <w:lang w:val="en-US"/>
              </w:rPr>
              <w:t>CASHFOW</w:t>
            </w:r>
            <w:r w:rsidRPr="00F4226B">
              <w:rPr>
                <w:rFonts w:ascii="Times New Roman" w:hAnsi="Times New Roman"/>
                <w:b/>
                <w:i/>
                <w:color w:val="000000"/>
                <w:sz w:val="18"/>
                <w:szCs w:val="18"/>
                <w:vertAlign w:val="subscript"/>
                <w:lang w:val="en-US"/>
              </w:rPr>
              <w:t>it+1</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0</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1</w:t>
            </w:r>
            <w:r w:rsidRPr="00F4226B">
              <w:rPr>
                <w:rFonts w:ascii="Times New Roman" w:hAnsi="Times New Roman"/>
                <w:b/>
                <w:i/>
                <w:color w:val="000000"/>
                <w:sz w:val="18"/>
                <w:szCs w:val="18"/>
                <w:lang w:val="en-US"/>
              </w:rPr>
              <w:t>CASHFLOW</w:t>
            </w:r>
            <w:r w:rsidRPr="00F4226B">
              <w:rPr>
                <w:rFonts w:ascii="Times New Roman" w:hAnsi="Times New Roman"/>
                <w:b/>
                <w:i/>
                <w:color w:val="000000"/>
                <w:sz w:val="18"/>
                <w:szCs w:val="18"/>
                <w:vertAlign w:val="subscript"/>
                <w:lang w:val="en-US"/>
              </w:rPr>
              <w:t>it</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2</w:t>
            </w:r>
            <w:r w:rsidRPr="00F4226B">
              <w:rPr>
                <w:rFonts w:ascii="Times New Roman" w:hAnsi="Times New Roman"/>
                <w:b/>
                <w:i/>
                <w:color w:val="000000"/>
                <w:sz w:val="18"/>
                <w:szCs w:val="18"/>
                <w:lang w:val="en-US"/>
              </w:rPr>
              <w:t>YearDummies + ε</w:t>
            </w:r>
            <w:r w:rsidRPr="00F4226B">
              <w:rPr>
                <w:rFonts w:ascii="Times New Roman" w:hAnsi="Times New Roman"/>
                <w:b/>
                <w:i/>
                <w:color w:val="000000"/>
                <w:sz w:val="18"/>
                <w:szCs w:val="18"/>
                <w:vertAlign w:val="subscript"/>
                <w:lang w:val="en-US"/>
              </w:rPr>
              <w:t>it</w:t>
            </w:r>
            <w:r w:rsidRPr="00F4226B">
              <w:rPr>
                <w:rFonts w:ascii="Times New Roman" w:hAnsi="Times New Roman"/>
                <w:b/>
                <w:i/>
                <w:color w:val="000000"/>
                <w:sz w:val="18"/>
                <w:szCs w:val="18"/>
                <w:lang w:val="en-US"/>
              </w:rPr>
              <w:tab/>
              <w:t xml:space="preserve">       </w:t>
            </w:r>
            <w:r w:rsidRPr="00F4226B">
              <w:rPr>
                <w:rFonts w:ascii="Times New Roman" w:hAnsi="Times New Roman"/>
                <w:b/>
                <w:i/>
                <w:color w:val="000000"/>
                <w:sz w:val="18"/>
                <w:szCs w:val="18"/>
                <w:lang w:val="en-US"/>
              </w:rPr>
              <w:tab/>
            </w:r>
            <w:r w:rsidRPr="00F4226B">
              <w:rPr>
                <w:rFonts w:ascii="Times New Roman" w:hAnsi="Times New Roman"/>
                <w:b/>
                <w:i/>
                <w:color w:val="000000"/>
                <w:sz w:val="18"/>
                <w:szCs w:val="18"/>
                <w:lang w:val="en-US"/>
              </w:rPr>
              <w:tab/>
            </w:r>
            <w:r w:rsidRPr="00F4226B">
              <w:rPr>
                <w:rFonts w:ascii="Times New Roman" w:hAnsi="Times New Roman"/>
                <w:b/>
                <w:i/>
                <w:color w:val="000000"/>
                <w:sz w:val="18"/>
                <w:szCs w:val="18"/>
                <w:lang w:val="en-US"/>
              </w:rPr>
              <w:tab/>
            </w:r>
            <w:r w:rsidRPr="00F4226B">
              <w:rPr>
                <w:rFonts w:ascii="Times New Roman" w:hAnsi="Times New Roman"/>
                <w:b/>
                <w:bCs/>
                <w:i/>
                <w:color w:val="000000"/>
                <w:sz w:val="18"/>
                <w:szCs w:val="18"/>
                <w:lang w:val="en-US"/>
              </w:rPr>
              <w:t>(6)</w:t>
            </w:r>
          </w:p>
          <w:p w14:paraId="03BDC710" w14:textId="77777777" w:rsidR="008C5004" w:rsidRPr="00F4226B" w:rsidRDefault="008C5004" w:rsidP="008C5004">
            <w:pPr>
              <w:spacing w:after="0" w:line="240" w:lineRule="auto"/>
              <w:jc w:val="center"/>
              <w:rPr>
                <w:rFonts w:ascii="Times New Roman" w:hAnsi="Times New Roman"/>
                <w:b/>
                <w:bCs/>
                <w:i/>
                <w:color w:val="000000"/>
                <w:sz w:val="18"/>
                <w:szCs w:val="18"/>
                <w:lang w:val="en-US"/>
              </w:rPr>
            </w:pPr>
            <w:r w:rsidRPr="00F4226B">
              <w:rPr>
                <w:rFonts w:ascii="Times New Roman" w:hAnsi="Times New Roman"/>
                <w:b/>
                <w:i/>
                <w:color w:val="000000"/>
                <w:sz w:val="18"/>
                <w:szCs w:val="18"/>
                <w:lang w:val="en-US"/>
              </w:rPr>
              <w:t>CASHFLOW</w:t>
            </w:r>
            <w:r w:rsidRPr="00F4226B">
              <w:rPr>
                <w:rFonts w:ascii="Times New Roman" w:hAnsi="Times New Roman"/>
                <w:b/>
                <w:i/>
                <w:color w:val="000000"/>
                <w:sz w:val="18"/>
                <w:szCs w:val="18"/>
                <w:vertAlign w:val="subscript"/>
                <w:lang w:val="en-US"/>
              </w:rPr>
              <w:t>it+1</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0</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 xml:space="preserve">1 </w:t>
            </w:r>
            <w:r w:rsidRPr="00F4226B">
              <w:rPr>
                <w:rFonts w:ascii="Times New Roman" w:hAnsi="Times New Roman"/>
                <w:b/>
                <w:i/>
                <w:color w:val="000000"/>
                <w:sz w:val="18"/>
                <w:szCs w:val="18"/>
                <w:lang w:val="en-US"/>
              </w:rPr>
              <w:t>EARNINGS</w:t>
            </w:r>
            <w:r w:rsidRPr="00F4226B">
              <w:rPr>
                <w:rFonts w:ascii="Times New Roman" w:hAnsi="Times New Roman"/>
                <w:b/>
                <w:i/>
                <w:color w:val="000000"/>
                <w:sz w:val="18"/>
                <w:szCs w:val="18"/>
                <w:vertAlign w:val="subscript"/>
                <w:lang w:val="en-US"/>
              </w:rPr>
              <w:t>it</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2</w:t>
            </w:r>
            <w:r w:rsidRPr="00F4226B">
              <w:rPr>
                <w:rFonts w:ascii="Times New Roman" w:hAnsi="Times New Roman"/>
                <w:b/>
                <w:i/>
                <w:color w:val="000000"/>
                <w:sz w:val="18"/>
                <w:szCs w:val="18"/>
                <w:lang w:val="en-US"/>
              </w:rPr>
              <w:t>EIGLS</w:t>
            </w:r>
            <w:r w:rsidRPr="00F4226B">
              <w:rPr>
                <w:rFonts w:ascii="Times New Roman" w:hAnsi="Times New Roman"/>
                <w:b/>
                <w:i/>
                <w:color w:val="000000"/>
                <w:sz w:val="18"/>
                <w:szCs w:val="18"/>
                <w:vertAlign w:val="subscript"/>
                <w:lang w:val="en-US"/>
              </w:rPr>
              <w:t>it</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3</w:t>
            </w:r>
            <w:r w:rsidRPr="00F4226B">
              <w:rPr>
                <w:rFonts w:ascii="Times New Roman" w:hAnsi="Times New Roman"/>
                <w:b/>
                <w:i/>
                <w:color w:val="000000"/>
                <w:sz w:val="18"/>
                <w:szCs w:val="18"/>
                <w:lang w:val="en-US"/>
              </w:rPr>
              <w:t>YearDummies + ε</w:t>
            </w:r>
            <w:r w:rsidRPr="00F4226B">
              <w:rPr>
                <w:rFonts w:ascii="Times New Roman" w:hAnsi="Times New Roman"/>
                <w:b/>
                <w:i/>
                <w:color w:val="000000"/>
                <w:sz w:val="18"/>
                <w:szCs w:val="18"/>
                <w:vertAlign w:val="subscript"/>
                <w:lang w:val="en-US"/>
              </w:rPr>
              <w:t>it</w:t>
            </w:r>
            <w:r w:rsidRPr="00F4226B">
              <w:rPr>
                <w:rFonts w:ascii="Times New Roman" w:hAnsi="Times New Roman"/>
                <w:b/>
                <w:i/>
                <w:color w:val="000000"/>
                <w:sz w:val="18"/>
                <w:szCs w:val="18"/>
                <w:lang w:val="en-US"/>
              </w:rPr>
              <w:tab/>
              <w:t xml:space="preserve">                                </w:t>
            </w:r>
            <w:r w:rsidRPr="00F4226B">
              <w:rPr>
                <w:rFonts w:ascii="Times New Roman" w:hAnsi="Times New Roman"/>
                <w:b/>
                <w:bCs/>
                <w:i/>
                <w:color w:val="000000"/>
                <w:sz w:val="18"/>
                <w:szCs w:val="18"/>
                <w:lang w:val="en-US"/>
              </w:rPr>
              <w:t>(7)</w:t>
            </w:r>
          </w:p>
          <w:p w14:paraId="228A6916" w14:textId="77777777" w:rsidR="008C5004" w:rsidRPr="00F4226B" w:rsidRDefault="008C5004" w:rsidP="008C5004">
            <w:pPr>
              <w:spacing w:after="120" w:line="240" w:lineRule="auto"/>
              <w:jc w:val="center"/>
              <w:rPr>
                <w:rFonts w:ascii="Times New Roman" w:hAnsi="Times New Roman"/>
                <w:b/>
                <w:color w:val="000000"/>
                <w:sz w:val="18"/>
                <w:szCs w:val="18"/>
                <w:lang w:val="en-US"/>
              </w:rPr>
            </w:pPr>
            <w:r w:rsidRPr="00F4226B">
              <w:rPr>
                <w:rFonts w:ascii="Times New Roman" w:hAnsi="Times New Roman"/>
                <w:b/>
                <w:i/>
                <w:color w:val="000000"/>
                <w:sz w:val="18"/>
                <w:szCs w:val="18"/>
                <w:lang w:val="en-US"/>
              </w:rPr>
              <w:t>CASHFLOW</w:t>
            </w:r>
            <w:r w:rsidRPr="00F4226B">
              <w:rPr>
                <w:rFonts w:ascii="Times New Roman" w:hAnsi="Times New Roman"/>
                <w:b/>
                <w:i/>
                <w:color w:val="000000"/>
                <w:sz w:val="18"/>
                <w:szCs w:val="18"/>
                <w:vertAlign w:val="subscript"/>
                <w:lang w:val="en-US"/>
              </w:rPr>
              <w:t>it+1</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0</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 xml:space="preserve">1 </w:t>
            </w:r>
            <w:r w:rsidRPr="00F4226B">
              <w:rPr>
                <w:rFonts w:ascii="Times New Roman" w:hAnsi="Times New Roman"/>
                <w:b/>
                <w:i/>
                <w:color w:val="000000"/>
                <w:sz w:val="18"/>
                <w:szCs w:val="18"/>
                <w:lang w:val="en-US"/>
              </w:rPr>
              <w:t>CASHFLOW</w:t>
            </w:r>
            <w:r w:rsidRPr="00F4226B">
              <w:rPr>
                <w:rFonts w:ascii="Times New Roman" w:hAnsi="Times New Roman"/>
                <w:b/>
                <w:i/>
                <w:color w:val="000000"/>
                <w:sz w:val="18"/>
                <w:szCs w:val="18"/>
                <w:vertAlign w:val="subscript"/>
                <w:lang w:val="en-US"/>
              </w:rPr>
              <w:t>it</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2</w:t>
            </w:r>
            <w:r w:rsidRPr="00F4226B">
              <w:rPr>
                <w:rFonts w:ascii="Times New Roman" w:hAnsi="Times New Roman"/>
                <w:b/>
                <w:i/>
                <w:color w:val="000000"/>
                <w:sz w:val="18"/>
                <w:szCs w:val="18"/>
                <w:lang w:val="en-US"/>
              </w:rPr>
              <w:t>CASHIGLS</w:t>
            </w:r>
            <w:r w:rsidRPr="00F4226B">
              <w:rPr>
                <w:rFonts w:ascii="Times New Roman" w:hAnsi="Times New Roman"/>
                <w:b/>
                <w:i/>
                <w:color w:val="000000"/>
                <w:sz w:val="18"/>
                <w:szCs w:val="18"/>
                <w:vertAlign w:val="subscript"/>
                <w:lang w:val="en-US"/>
              </w:rPr>
              <w:t>it</w:t>
            </w:r>
            <w:r w:rsidRPr="00F4226B">
              <w:rPr>
                <w:rFonts w:ascii="Times New Roman" w:hAnsi="Times New Roman"/>
                <w:b/>
                <w:i/>
                <w:color w:val="000000"/>
                <w:sz w:val="18"/>
                <w:szCs w:val="18"/>
                <w:lang w:val="en-US"/>
              </w:rPr>
              <w:t xml:space="preserve"> + α</w:t>
            </w:r>
            <w:r w:rsidRPr="00F4226B">
              <w:rPr>
                <w:rFonts w:ascii="Times New Roman" w:hAnsi="Times New Roman"/>
                <w:b/>
                <w:i/>
                <w:color w:val="000000"/>
                <w:sz w:val="18"/>
                <w:szCs w:val="18"/>
                <w:vertAlign w:val="subscript"/>
                <w:lang w:val="en-US"/>
              </w:rPr>
              <w:t>3</w:t>
            </w:r>
            <w:r w:rsidRPr="00F4226B">
              <w:rPr>
                <w:rFonts w:ascii="Times New Roman" w:hAnsi="Times New Roman"/>
                <w:b/>
                <w:i/>
                <w:color w:val="000000"/>
                <w:sz w:val="18"/>
                <w:szCs w:val="18"/>
                <w:lang w:val="en-US"/>
              </w:rPr>
              <w:t>YearDummies + ε</w:t>
            </w:r>
            <w:r w:rsidRPr="00F4226B">
              <w:rPr>
                <w:rFonts w:ascii="Times New Roman" w:hAnsi="Times New Roman"/>
                <w:b/>
                <w:i/>
                <w:color w:val="000000"/>
                <w:sz w:val="18"/>
                <w:szCs w:val="18"/>
                <w:vertAlign w:val="subscript"/>
                <w:lang w:val="en-US"/>
              </w:rPr>
              <w:t>it</w:t>
            </w:r>
            <w:r w:rsidRPr="00F4226B">
              <w:rPr>
                <w:rFonts w:ascii="Times New Roman" w:hAnsi="Times New Roman"/>
                <w:b/>
                <w:i/>
                <w:color w:val="000000"/>
                <w:sz w:val="18"/>
                <w:szCs w:val="18"/>
                <w:lang w:val="en-US"/>
              </w:rPr>
              <w:t xml:space="preserve"> </w:t>
            </w:r>
            <w:r w:rsidRPr="00F4226B">
              <w:rPr>
                <w:rFonts w:ascii="Times New Roman" w:hAnsi="Times New Roman"/>
                <w:b/>
                <w:i/>
                <w:color w:val="000000"/>
                <w:sz w:val="18"/>
                <w:szCs w:val="18"/>
                <w:lang w:val="en-US"/>
              </w:rPr>
              <w:tab/>
              <w:t xml:space="preserve">                </w:t>
            </w:r>
            <w:r w:rsidRPr="00F4226B">
              <w:rPr>
                <w:rFonts w:ascii="Times New Roman" w:hAnsi="Times New Roman"/>
                <w:b/>
                <w:bCs/>
                <w:i/>
                <w:color w:val="000000"/>
                <w:sz w:val="18"/>
                <w:szCs w:val="18"/>
                <w:lang w:val="en-US"/>
              </w:rPr>
              <w:t>(8)</w:t>
            </w:r>
          </w:p>
        </w:tc>
      </w:tr>
      <w:tr w:rsidR="008C5004" w:rsidRPr="00F4226B" w14:paraId="5474FD5B" w14:textId="77777777" w:rsidTr="0008368E">
        <w:trPr>
          <w:trHeight w:val="246"/>
        </w:trPr>
        <w:tc>
          <w:tcPr>
            <w:tcW w:w="2151" w:type="dxa"/>
            <w:tcBorders>
              <w:top w:val="single" w:sz="4" w:space="0" w:color="auto"/>
              <w:left w:val="nil"/>
              <w:bottom w:val="nil"/>
              <w:right w:val="nil"/>
            </w:tcBorders>
            <w:shd w:val="clear" w:color="auto" w:fill="auto"/>
            <w:vAlign w:val="bottom"/>
          </w:tcPr>
          <w:p w14:paraId="775865FA" w14:textId="77777777" w:rsidR="008C5004" w:rsidRPr="00F4226B" w:rsidRDefault="008C5004" w:rsidP="008C5004">
            <w:pPr>
              <w:spacing w:after="0" w:line="240" w:lineRule="auto"/>
              <w:jc w:val="center"/>
              <w:rPr>
                <w:rFonts w:ascii="Times New Roman" w:hAnsi="Times New Roman"/>
                <w:b/>
                <w:color w:val="000000"/>
                <w:sz w:val="18"/>
                <w:szCs w:val="18"/>
                <w:lang w:val="en-US"/>
              </w:rPr>
            </w:pPr>
          </w:p>
        </w:tc>
        <w:tc>
          <w:tcPr>
            <w:tcW w:w="3412" w:type="dxa"/>
            <w:gridSpan w:val="3"/>
            <w:tcBorders>
              <w:top w:val="single" w:sz="4" w:space="0" w:color="auto"/>
              <w:left w:val="nil"/>
              <w:bottom w:val="single" w:sz="4" w:space="0" w:color="auto"/>
              <w:right w:val="nil"/>
            </w:tcBorders>
            <w:shd w:val="clear" w:color="auto" w:fill="auto"/>
            <w:vAlign w:val="bottom"/>
          </w:tcPr>
          <w:p w14:paraId="154D0E07"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Earnings models</w:t>
            </w:r>
          </w:p>
        </w:tc>
        <w:tc>
          <w:tcPr>
            <w:tcW w:w="260" w:type="dxa"/>
            <w:tcBorders>
              <w:left w:val="nil"/>
              <w:bottom w:val="nil"/>
              <w:right w:val="nil"/>
            </w:tcBorders>
            <w:shd w:val="clear" w:color="auto" w:fill="auto"/>
          </w:tcPr>
          <w:p w14:paraId="481FCCBA" w14:textId="77777777" w:rsidR="008C5004" w:rsidRPr="00F4226B" w:rsidRDefault="008C5004" w:rsidP="008C5004">
            <w:pPr>
              <w:spacing w:after="0" w:line="240" w:lineRule="auto"/>
              <w:jc w:val="center"/>
              <w:rPr>
                <w:rFonts w:ascii="Times New Roman" w:hAnsi="Times New Roman"/>
                <w:b/>
                <w:color w:val="000000"/>
                <w:sz w:val="18"/>
                <w:szCs w:val="18"/>
                <w:lang w:val="en-US"/>
              </w:rPr>
            </w:pPr>
          </w:p>
        </w:tc>
        <w:tc>
          <w:tcPr>
            <w:tcW w:w="3357" w:type="dxa"/>
            <w:gridSpan w:val="3"/>
            <w:tcBorders>
              <w:left w:val="nil"/>
              <w:bottom w:val="single" w:sz="4" w:space="0" w:color="auto"/>
              <w:right w:val="nil"/>
            </w:tcBorders>
            <w:shd w:val="clear" w:color="auto" w:fill="auto"/>
            <w:vAlign w:val="bottom"/>
          </w:tcPr>
          <w:p w14:paraId="06FDDF87"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Current cash flow models</w:t>
            </w:r>
          </w:p>
        </w:tc>
      </w:tr>
      <w:tr w:rsidR="008C5004" w:rsidRPr="00F4226B" w14:paraId="795D837A" w14:textId="77777777" w:rsidTr="0008368E">
        <w:trPr>
          <w:trHeight w:val="344"/>
        </w:trPr>
        <w:tc>
          <w:tcPr>
            <w:tcW w:w="2151" w:type="dxa"/>
            <w:tcBorders>
              <w:top w:val="nil"/>
              <w:left w:val="nil"/>
              <w:bottom w:val="single" w:sz="4" w:space="0" w:color="auto"/>
              <w:right w:val="nil"/>
            </w:tcBorders>
            <w:shd w:val="clear" w:color="auto" w:fill="auto"/>
            <w:vAlign w:val="bottom"/>
          </w:tcPr>
          <w:p w14:paraId="2728788E"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Variables</w:t>
            </w:r>
          </w:p>
          <w:p w14:paraId="56A5BA06" w14:textId="77777777" w:rsidR="008C5004" w:rsidRPr="00F4226B" w:rsidRDefault="008C5004" w:rsidP="008C5004">
            <w:pPr>
              <w:spacing w:after="0" w:line="240" w:lineRule="auto"/>
              <w:jc w:val="center"/>
              <w:rPr>
                <w:rFonts w:ascii="Times New Roman" w:hAnsi="Times New Roman"/>
                <w:b/>
                <w:color w:val="000000"/>
                <w:sz w:val="18"/>
                <w:szCs w:val="18"/>
                <w:lang w:val="en-US"/>
              </w:rPr>
            </w:pPr>
          </w:p>
        </w:tc>
        <w:tc>
          <w:tcPr>
            <w:tcW w:w="1103" w:type="dxa"/>
            <w:tcBorders>
              <w:top w:val="single" w:sz="4" w:space="0" w:color="auto"/>
              <w:left w:val="nil"/>
              <w:bottom w:val="single" w:sz="4" w:space="0" w:color="auto"/>
              <w:right w:val="nil"/>
            </w:tcBorders>
            <w:shd w:val="clear" w:color="auto" w:fill="auto"/>
            <w:vAlign w:val="bottom"/>
          </w:tcPr>
          <w:p w14:paraId="2EDE5B3C" w14:textId="77777777" w:rsidR="008C5004" w:rsidRPr="00F4226B" w:rsidRDefault="008C5004" w:rsidP="008C5004">
            <w:pPr>
              <w:spacing w:after="0" w:line="240" w:lineRule="auto"/>
              <w:jc w:val="center"/>
              <w:rPr>
                <w:rFonts w:ascii="Times New Roman" w:hAnsi="Times New Roman"/>
                <w:b/>
                <w:color w:val="000000"/>
                <w:sz w:val="18"/>
                <w:szCs w:val="18"/>
                <w:lang w:val="en-US"/>
              </w:rPr>
            </w:pPr>
          </w:p>
          <w:p w14:paraId="235EEB95"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1</w:t>
            </w:r>
          </w:p>
          <w:p w14:paraId="0B80845B"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HC</w:t>
            </w:r>
          </w:p>
        </w:tc>
        <w:tc>
          <w:tcPr>
            <w:tcW w:w="1153" w:type="dxa"/>
            <w:tcBorders>
              <w:top w:val="single" w:sz="4" w:space="0" w:color="auto"/>
              <w:left w:val="nil"/>
              <w:bottom w:val="single" w:sz="4" w:space="0" w:color="auto"/>
              <w:right w:val="nil"/>
            </w:tcBorders>
            <w:shd w:val="clear" w:color="auto" w:fill="auto"/>
          </w:tcPr>
          <w:p w14:paraId="5C6246A3" w14:textId="77777777" w:rsidR="008C5004" w:rsidRPr="00F4226B" w:rsidRDefault="008C5004" w:rsidP="008C5004">
            <w:pPr>
              <w:spacing w:after="0" w:line="240" w:lineRule="auto"/>
              <w:jc w:val="center"/>
              <w:rPr>
                <w:rFonts w:ascii="Times New Roman" w:hAnsi="Times New Roman"/>
                <w:b/>
                <w:color w:val="000000"/>
                <w:sz w:val="18"/>
                <w:szCs w:val="18"/>
                <w:lang w:val="en-US"/>
              </w:rPr>
            </w:pPr>
          </w:p>
          <w:p w14:paraId="413CC22B"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2</w:t>
            </w:r>
          </w:p>
          <w:p w14:paraId="52F1B520"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IA</w:t>
            </w:r>
          </w:p>
        </w:tc>
        <w:tc>
          <w:tcPr>
            <w:tcW w:w="1156" w:type="dxa"/>
            <w:tcBorders>
              <w:top w:val="single" w:sz="4" w:space="0" w:color="auto"/>
              <w:left w:val="nil"/>
              <w:bottom w:val="single" w:sz="4" w:space="0" w:color="auto"/>
              <w:right w:val="nil"/>
            </w:tcBorders>
            <w:shd w:val="clear" w:color="auto" w:fill="auto"/>
            <w:vAlign w:val="bottom"/>
          </w:tcPr>
          <w:p w14:paraId="1DBE6DBC"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3</w:t>
            </w:r>
          </w:p>
          <w:p w14:paraId="2D84885C"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Incremental</w:t>
            </w:r>
          </w:p>
        </w:tc>
        <w:tc>
          <w:tcPr>
            <w:tcW w:w="260" w:type="dxa"/>
            <w:tcBorders>
              <w:top w:val="nil"/>
              <w:left w:val="nil"/>
              <w:bottom w:val="single" w:sz="4" w:space="0" w:color="auto"/>
              <w:right w:val="nil"/>
            </w:tcBorders>
            <w:shd w:val="clear" w:color="auto" w:fill="auto"/>
          </w:tcPr>
          <w:p w14:paraId="506FFAB3" w14:textId="77777777" w:rsidR="008C5004" w:rsidRPr="00F4226B" w:rsidRDefault="008C5004" w:rsidP="008C5004">
            <w:pPr>
              <w:spacing w:after="0" w:line="240" w:lineRule="auto"/>
              <w:jc w:val="center"/>
              <w:rPr>
                <w:rFonts w:ascii="Times New Roman" w:hAnsi="Times New Roman"/>
                <w:b/>
                <w:color w:val="000000"/>
                <w:sz w:val="18"/>
                <w:szCs w:val="18"/>
                <w:lang w:val="en-US"/>
              </w:rPr>
            </w:pPr>
          </w:p>
          <w:p w14:paraId="72F19797" w14:textId="77777777" w:rsidR="008C5004" w:rsidRPr="00F4226B" w:rsidRDefault="008C5004" w:rsidP="008C5004">
            <w:pPr>
              <w:spacing w:after="0" w:line="240" w:lineRule="auto"/>
              <w:jc w:val="center"/>
              <w:rPr>
                <w:rFonts w:ascii="Times New Roman" w:hAnsi="Times New Roman"/>
                <w:b/>
                <w:color w:val="000000"/>
                <w:sz w:val="18"/>
                <w:szCs w:val="18"/>
                <w:lang w:val="en-US"/>
              </w:rPr>
            </w:pPr>
          </w:p>
        </w:tc>
        <w:tc>
          <w:tcPr>
            <w:tcW w:w="1107" w:type="dxa"/>
            <w:tcBorders>
              <w:top w:val="single" w:sz="4" w:space="0" w:color="auto"/>
              <w:left w:val="nil"/>
              <w:bottom w:val="single" w:sz="4" w:space="0" w:color="auto"/>
              <w:right w:val="nil"/>
            </w:tcBorders>
            <w:shd w:val="clear" w:color="auto" w:fill="auto"/>
            <w:vAlign w:val="bottom"/>
          </w:tcPr>
          <w:p w14:paraId="395171A5" w14:textId="77777777" w:rsidR="008C5004" w:rsidRPr="00F4226B" w:rsidRDefault="008C5004" w:rsidP="008C5004">
            <w:pPr>
              <w:spacing w:after="0" w:line="240" w:lineRule="auto"/>
              <w:jc w:val="center"/>
              <w:rPr>
                <w:rFonts w:ascii="Times New Roman" w:hAnsi="Times New Roman"/>
                <w:b/>
                <w:color w:val="000000"/>
                <w:sz w:val="18"/>
                <w:szCs w:val="18"/>
                <w:lang w:val="en-US"/>
              </w:rPr>
            </w:pPr>
          </w:p>
          <w:p w14:paraId="04818F1A"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4</w:t>
            </w:r>
          </w:p>
          <w:p w14:paraId="795B88D9"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HC</w:t>
            </w:r>
          </w:p>
        </w:tc>
        <w:tc>
          <w:tcPr>
            <w:tcW w:w="1116" w:type="dxa"/>
            <w:tcBorders>
              <w:top w:val="single" w:sz="4" w:space="0" w:color="auto"/>
              <w:left w:val="nil"/>
              <w:bottom w:val="single" w:sz="4" w:space="0" w:color="auto"/>
              <w:right w:val="nil"/>
            </w:tcBorders>
            <w:shd w:val="clear" w:color="auto" w:fill="auto"/>
          </w:tcPr>
          <w:p w14:paraId="479DD3B5" w14:textId="77777777" w:rsidR="008C5004" w:rsidRPr="00F4226B" w:rsidRDefault="008C5004" w:rsidP="008C5004">
            <w:pPr>
              <w:spacing w:after="0" w:line="240" w:lineRule="auto"/>
              <w:jc w:val="center"/>
              <w:rPr>
                <w:rFonts w:ascii="Times New Roman" w:hAnsi="Times New Roman"/>
                <w:b/>
                <w:color w:val="000000"/>
                <w:sz w:val="18"/>
                <w:szCs w:val="18"/>
                <w:lang w:val="en-US"/>
              </w:rPr>
            </w:pPr>
          </w:p>
          <w:p w14:paraId="0CCFAFBB"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5</w:t>
            </w:r>
          </w:p>
          <w:p w14:paraId="16955EC5"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IA</w:t>
            </w:r>
          </w:p>
        </w:tc>
        <w:tc>
          <w:tcPr>
            <w:tcW w:w="1134" w:type="dxa"/>
            <w:tcBorders>
              <w:top w:val="single" w:sz="4" w:space="0" w:color="auto"/>
              <w:left w:val="nil"/>
              <w:bottom w:val="single" w:sz="4" w:space="0" w:color="auto"/>
              <w:right w:val="nil"/>
            </w:tcBorders>
            <w:shd w:val="clear" w:color="auto" w:fill="auto"/>
            <w:vAlign w:val="bottom"/>
          </w:tcPr>
          <w:p w14:paraId="7B616A21"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6</w:t>
            </w:r>
          </w:p>
          <w:p w14:paraId="63316787"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Incremental</w:t>
            </w:r>
          </w:p>
        </w:tc>
      </w:tr>
      <w:tr w:rsidR="008C5004" w:rsidRPr="00F4226B" w14:paraId="2879AA39" w14:textId="77777777" w:rsidTr="0008368E">
        <w:trPr>
          <w:trHeight w:val="214"/>
        </w:trPr>
        <w:tc>
          <w:tcPr>
            <w:tcW w:w="9180" w:type="dxa"/>
            <w:gridSpan w:val="8"/>
            <w:tcBorders>
              <w:left w:val="nil"/>
              <w:bottom w:val="single" w:sz="4" w:space="0" w:color="auto"/>
              <w:right w:val="nil"/>
            </w:tcBorders>
            <w:shd w:val="clear" w:color="auto" w:fill="auto"/>
          </w:tcPr>
          <w:p w14:paraId="1389CC92" w14:textId="77777777" w:rsidR="008C5004" w:rsidRPr="00F4226B" w:rsidRDefault="008C5004" w:rsidP="008C5004">
            <w:pPr>
              <w:spacing w:before="120" w:after="120" w:line="240" w:lineRule="auto"/>
              <w:rPr>
                <w:rFonts w:ascii="Times New Roman" w:hAnsi="Times New Roman"/>
                <w:color w:val="000000"/>
                <w:sz w:val="18"/>
                <w:szCs w:val="18"/>
                <w:lang w:val="en-US"/>
              </w:rPr>
            </w:pPr>
            <w:r w:rsidRPr="00F4226B">
              <w:rPr>
                <w:rFonts w:ascii="Times New Roman" w:hAnsi="Times New Roman"/>
                <w:b/>
                <w:color w:val="000000"/>
                <w:sz w:val="18"/>
                <w:szCs w:val="18"/>
                <w:lang w:val="en-US"/>
              </w:rPr>
              <w:t>Panel A: Entire sample period (2000-2005) (=132 obs)</w:t>
            </w:r>
          </w:p>
        </w:tc>
      </w:tr>
      <w:tr w:rsidR="008C5004" w:rsidRPr="00F4226B" w14:paraId="45638DFA" w14:textId="77777777" w:rsidTr="0008368E">
        <w:trPr>
          <w:trHeight w:val="437"/>
        </w:trPr>
        <w:tc>
          <w:tcPr>
            <w:tcW w:w="2151" w:type="dxa"/>
            <w:tcBorders>
              <w:top w:val="single" w:sz="4" w:space="0" w:color="auto"/>
              <w:left w:val="nil"/>
              <w:bottom w:val="nil"/>
              <w:right w:val="nil"/>
            </w:tcBorders>
            <w:shd w:val="clear" w:color="auto" w:fill="auto"/>
          </w:tcPr>
          <w:p w14:paraId="5E84147D"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Intercept</w:t>
            </w:r>
          </w:p>
        </w:tc>
        <w:tc>
          <w:tcPr>
            <w:tcW w:w="1103" w:type="dxa"/>
            <w:tcBorders>
              <w:top w:val="single" w:sz="4" w:space="0" w:color="auto"/>
              <w:left w:val="nil"/>
              <w:bottom w:val="nil"/>
              <w:right w:val="nil"/>
            </w:tcBorders>
            <w:shd w:val="clear" w:color="auto" w:fill="auto"/>
          </w:tcPr>
          <w:p w14:paraId="0C12D9B4"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-2.627</w:t>
            </w:r>
          </w:p>
          <w:p w14:paraId="4A367D2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(-11.78***)</w:t>
            </w:r>
          </w:p>
        </w:tc>
        <w:tc>
          <w:tcPr>
            <w:tcW w:w="1153" w:type="dxa"/>
            <w:tcBorders>
              <w:top w:val="single" w:sz="4" w:space="0" w:color="auto"/>
              <w:left w:val="nil"/>
              <w:bottom w:val="nil"/>
              <w:right w:val="nil"/>
            </w:tcBorders>
            <w:shd w:val="clear" w:color="auto" w:fill="auto"/>
          </w:tcPr>
          <w:p w14:paraId="276BDB78"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-2.258</w:t>
            </w:r>
          </w:p>
          <w:p w14:paraId="6FCF5B10"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(-10.12***)</w:t>
            </w:r>
          </w:p>
        </w:tc>
        <w:tc>
          <w:tcPr>
            <w:tcW w:w="1156" w:type="dxa"/>
            <w:tcBorders>
              <w:top w:val="single" w:sz="4" w:space="0" w:color="auto"/>
              <w:left w:val="nil"/>
              <w:bottom w:val="nil"/>
              <w:right w:val="nil"/>
            </w:tcBorders>
            <w:shd w:val="clear" w:color="auto" w:fill="auto"/>
          </w:tcPr>
          <w:p w14:paraId="00E5782A"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-2.613</w:t>
            </w:r>
          </w:p>
          <w:p w14:paraId="7E3FA6C4"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(-11.84***)</w:t>
            </w:r>
          </w:p>
        </w:tc>
        <w:tc>
          <w:tcPr>
            <w:tcW w:w="260" w:type="dxa"/>
            <w:tcBorders>
              <w:top w:val="single" w:sz="4" w:space="0" w:color="auto"/>
              <w:left w:val="nil"/>
              <w:bottom w:val="nil"/>
              <w:right w:val="nil"/>
            </w:tcBorders>
            <w:shd w:val="clear" w:color="auto" w:fill="auto"/>
          </w:tcPr>
          <w:p w14:paraId="6AEDA04B"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single" w:sz="4" w:space="0" w:color="auto"/>
              <w:left w:val="nil"/>
              <w:bottom w:val="nil"/>
              <w:right w:val="nil"/>
            </w:tcBorders>
            <w:shd w:val="clear" w:color="auto" w:fill="auto"/>
          </w:tcPr>
          <w:p w14:paraId="392B42A0"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-2.264</w:t>
            </w:r>
          </w:p>
          <w:p w14:paraId="4BA7C4D3"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(-10.18***)</w:t>
            </w:r>
          </w:p>
        </w:tc>
        <w:tc>
          <w:tcPr>
            <w:tcW w:w="1116" w:type="dxa"/>
            <w:tcBorders>
              <w:top w:val="single" w:sz="4" w:space="0" w:color="auto"/>
              <w:left w:val="nil"/>
              <w:bottom w:val="nil"/>
              <w:right w:val="nil"/>
            </w:tcBorders>
            <w:shd w:val="clear" w:color="auto" w:fill="auto"/>
          </w:tcPr>
          <w:p w14:paraId="7E369E2D"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-2.153</w:t>
            </w:r>
          </w:p>
          <w:p w14:paraId="105F2826"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(-8.95***)</w:t>
            </w:r>
          </w:p>
        </w:tc>
        <w:tc>
          <w:tcPr>
            <w:tcW w:w="1134" w:type="dxa"/>
            <w:tcBorders>
              <w:top w:val="single" w:sz="4" w:space="0" w:color="auto"/>
              <w:left w:val="nil"/>
              <w:bottom w:val="nil"/>
              <w:right w:val="nil"/>
            </w:tcBorders>
            <w:shd w:val="clear" w:color="auto" w:fill="auto"/>
          </w:tcPr>
          <w:p w14:paraId="2D9400C3"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-2.205</w:t>
            </w:r>
          </w:p>
          <w:p w14:paraId="21EE1335"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(-9.57***)</w:t>
            </w:r>
          </w:p>
        </w:tc>
      </w:tr>
      <w:tr w:rsidR="008C5004" w:rsidRPr="00F4226B" w14:paraId="2F19632B" w14:textId="77777777" w:rsidTr="0008368E">
        <w:trPr>
          <w:trHeight w:val="509"/>
        </w:trPr>
        <w:tc>
          <w:tcPr>
            <w:tcW w:w="2151" w:type="dxa"/>
            <w:tcBorders>
              <w:top w:val="nil"/>
              <w:left w:val="nil"/>
              <w:bottom w:val="nil"/>
              <w:right w:val="nil"/>
            </w:tcBorders>
            <w:shd w:val="clear" w:color="auto" w:fill="auto"/>
          </w:tcPr>
          <w:p w14:paraId="174A92BA" w14:textId="77777777" w:rsidR="008C5004" w:rsidRPr="00F4226B" w:rsidRDefault="008C5004" w:rsidP="008C5004">
            <w:pPr>
              <w:spacing w:after="0" w:line="240" w:lineRule="auto"/>
              <w:rPr>
                <w:rFonts w:ascii="Times New Roman" w:hAnsi="Times New Roman"/>
                <w:color w:val="000000"/>
                <w:sz w:val="18"/>
                <w:szCs w:val="18"/>
                <w:lang w:val="en-US"/>
              </w:rPr>
            </w:pPr>
            <w:r w:rsidRPr="00F4226B">
              <w:rPr>
                <w:rFonts w:ascii="Times New Roman" w:hAnsi="Times New Roman"/>
                <w:color w:val="000000"/>
                <w:sz w:val="18"/>
                <w:szCs w:val="18"/>
                <w:lang w:val="en-US"/>
              </w:rPr>
              <w:t>EARNINGS</w:t>
            </w:r>
          </w:p>
        </w:tc>
        <w:tc>
          <w:tcPr>
            <w:tcW w:w="1103" w:type="dxa"/>
            <w:tcBorders>
              <w:top w:val="nil"/>
              <w:left w:val="nil"/>
              <w:bottom w:val="nil"/>
              <w:right w:val="nil"/>
            </w:tcBorders>
            <w:shd w:val="clear" w:color="auto" w:fill="auto"/>
          </w:tcPr>
          <w:p w14:paraId="22EBBA6C"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2.034</w:t>
            </w:r>
          </w:p>
          <w:p w14:paraId="485B7456"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(5.73***)</w:t>
            </w:r>
          </w:p>
        </w:tc>
        <w:tc>
          <w:tcPr>
            <w:tcW w:w="1153" w:type="dxa"/>
            <w:tcBorders>
              <w:top w:val="nil"/>
              <w:left w:val="nil"/>
              <w:bottom w:val="nil"/>
              <w:right w:val="nil"/>
            </w:tcBorders>
            <w:shd w:val="clear" w:color="auto" w:fill="auto"/>
          </w:tcPr>
          <w:p w14:paraId="778ADC6F"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2.092</w:t>
            </w:r>
          </w:p>
          <w:p w14:paraId="25377C52"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(3.42***)</w:t>
            </w:r>
          </w:p>
        </w:tc>
        <w:tc>
          <w:tcPr>
            <w:tcW w:w="1156" w:type="dxa"/>
            <w:tcBorders>
              <w:top w:val="nil"/>
              <w:left w:val="nil"/>
              <w:bottom w:val="nil"/>
              <w:right w:val="nil"/>
            </w:tcBorders>
            <w:shd w:val="clear" w:color="auto" w:fill="auto"/>
          </w:tcPr>
          <w:p w14:paraId="5CA92224"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2.866</w:t>
            </w:r>
          </w:p>
          <w:p w14:paraId="5F8F9C70"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(5.20***)</w:t>
            </w:r>
          </w:p>
        </w:tc>
        <w:tc>
          <w:tcPr>
            <w:tcW w:w="260" w:type="dxa"/>
            <w:tcBorders>
              <w:top w:val="nil"/>
              <w:left w:val="nil"/>
              <w:bottom w:val="nil"/>
              <w:right w:val="nil"/>
            </w:tcBorders>
            <w:shd w:val="clear" w:color="auto" w:fill="auto"/>
          </w:tcPr>
          <w:p w14:paraId="23715AF7"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4EBB8D3F"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nil"/>
              <w:right w:val="nil"/>
            </w:tcBorders>
            <w:shd w:val="clear" w:color="auto" w:fill="auto"/>
          </w:tcPr>
          <w:p w14:paraId="0C2689B9"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34" w:type="dxa"/>
            <w:tcBorders>
              <w:top w:val="nil"/>
              <w:left w:val="nil"/>
              <w:bottom w:val="nil"/>
              <w:right w:val="nil"/>
            </w:tcBorders>
            <w:shd w:val="clear" w:color="auto" w:fill="auto"/>
          </w:tcPr>
          <w:p w14:paraId="3D7E3DE6"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r>
      <w:tr w:rsidR="008C5004" w:rsidRPr="00F4226B" w14:paraId="03AD1998" w14:textId="77777777" w:rsidTr="0008368E">
        <w:trPr>
          <w:trHeight w:val="405"/>
        </w:trPr>
        <w:tc>
          <w:tcPr>
            <w:tcW w:w="2151" w:type="dxa"/>
            <w:tcBorders>
              <w:top w:val="nil"/>
              <w:left w:val="nil"/>
              <w:bottom w:val="nil"/>
              <w:right w:val="nil"/>
            </w:tcBorders>
            <w:shd w:val="clear" w:color="auto" w:fill="auto"/>
          </w:tcPr>
          <w:p w14:paraId="7BFE2E73"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CASH FLOWS</w:t>
            </w:r>
          </w:p>
        </w:tc>
        <w:tc>
          <w:tcPr>
            <w:tcW w:w="1103" w:type="dxa"/>
            <w:tcBorders>
              <w:top w:val="nil"/>
              <w:left w:val="nil"/>
              <w:bottom w:val="nil"/>
              <w:right w:val="nil"/>
            </w:tcBorders>
            <w:shd w:val="clear" w:color="auto" w:fill="auto"/>
          </w:tcPr>
          <w:p w14:paraId="6148FD11"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53" w:type="dxa"/>
            <w:tcBorders>
              <w:top w:val="nil"/>
              <w:left w:val="nil"/>
              <w:bottom w:val="nil"/>
              <w:right w:val="nil"/>
            </w:tcBorders>
            <w:shd w:val="clear" w:color="auto" w:fill="auto"/>
          </w:tcPr>
          <w:p w14:paraId="482168CA"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56" w:type="dxa"/>
            <w:tcBorders>
              <w:top w:val="nil"/>
              <w:left w:val="nil"/>
              <w:bottom w:val="nil"/>
              <w:right w:val="nil"/>
            </w:tcBorders>
            <w:shd w:val="clear" w:color="auto" w:fill="auto"/>
          </w:tcPr>
          <w:p w14:paraId="44BDF1A3"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45EBD567"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260" w:type="dxa"/>
            <w:tcBorders>
              <w:top w:val="nil"/>
              <w:left w:val="nil"/>
              <w:bottom w:val="nil"/>
              <w:right w:val="nil"/>
            </w:tcBorders>
            <w:shd w:val="clear" w:color="auto" w:fill="auto"/>
          </w:tcPr>
          <w:p w14:paraId="0366AC6F"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14F1D3E7"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1.405</w:t>
            </w:r>
          </w:p>
          <w:p w14:paraId="1C5AF387"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(3.54***)</w:t>
            </w:r>
          </w:p>
        </w:tc>
        <w:tc>
          <w:tcPr>
            <w:tcW w:w="1116" w:type="dxa"/>
            <w:tcBorders>
              <w:top w:val="nil"/>
              <w:left w:val="nil"/>
              <w:bottom w:val="nil"/>
              <w:right w:val="nil"/>
            </w:tcBorders>
            <w:shd w:val="clear" w:color="auto" w:fill="auto"/>
          </w:tcPr>
          <w:p w14:paraId="683D34C4"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0.484</w:t>
            </w:r>
          </w:p>
          <w:p w14:paraId="0F1E4249"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(0.469)</w:t>
            </w:r>
          </w:p>
        </w:tc>
        <w:tc>
          <w:tcPr>
            <w:tcW w:w="1134" w:type="dxa"/>
            <w:tcBorders>
              <w:top w:val="nil"/>
              <w:left w:val="nil"/>
              <w:bottom w:val="nil"/>
              <w:right w:val="nil"/>
            </w:tcBorders>
            <w:shd w:val="clear" w:color="auto" w:fill="auto"/>
          </w:tcPr>
          <w:p w14:paraId="16E1A06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0.898</w:t>
            </w:r>
          </w:p>
          <w:p w14:paraId="68D30D2B"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(1.39)</w:t>
            </w:r>
          </w:p>
        </w:tc>
      </w:tr>
      <w:tr w:rsidR="008C5004" w:rsidRPr="00F4226B" w14:paraId="206EFE9F" w14:textId="77777777" w:rsidTr="0008368E">
        <w:trPr>
          <w:trHeight w:val="420"/>
        </w:trPr>
        <w:tc>
          <w:tcPr>
            <w:tcW w:w="2151" w:type="dxa"/>
            <w:tcBorders>
              <w:top w:val="nil"/>
              <w:left w:val="nil"/>
              <w:bottom w:val="nil"/>
              <w:right w:val="nil"/>
            </w:tcBorders>
            <w:shd w:val="clear" w:color="auto" w:fill="auto"/>
          </w:tcPr>
          <w:p w14:paraId="22BB9012"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EIGLS</w:t>
            </w:r>
          </w:p>
        </w:tc>
        <w:tc>
          <w:tcPr>
            <w:tcW w:w="1103" w:type="dxa"/>
            <w:tcBorders>
              <w:top w:val="nil"/>
              <w:left w:val="nil"/>
              <w:bottom w:val="nil"/>
              <w:right w:val="nil"/>
            </w:tcBorders>
            <w:shd w:val="clear" w:color="auto" w:fill="auto"/>
          </w:tcPr>
          <w:p w14:paraId="1092D0B1"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6B5CDB15"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53" w:type="dxa"/>
            <w:tcBorders>
              <w:top w:val="nil"/>
              <w:left w:val="nil"/>
              <w:bottom w:val="nil"/>
              <w:right w:val="nil"/>
            </w:tcBorders>
            <w:shd w:val="clear" w:color="auto" w:fill="auto"/>
          </w:tcPr>
          <w:p w14:paraId="644DAB17"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12A971F1"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56" w:type="dxa"/>
            <w:tcBorders>
              <w:top w:val="nil"/>
              <w:left w:val="nil"/>
              <w:bottom w:val="nil"/>
              <w:right w:val="nil"/>
            </w:tcBorders>
            <w:shd w:val="clear" w:color="auto" w:fill="auto"/>
          </w:tcPr>
          <w:p w14:paraId="0984E333"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1.257</w:t>
            </w:r>
          </w:p>
          <w:p w14:paraId="4A0CDB4B"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(1.96**)</w:t>
            </w:r>
          </w:p>
        </w:tc>
        <w:tc>
          <w:tcPr>
            <w:tcW w:w="260" w:type="dxa"/>
            <w:tcBorders>
              <w:top w:val="nil"/>
              <w:left w:val="nil"/>
              <w:bottom w:val="nil"/>
              <w:right w:val="nil"/>
            </w:tcBorders>
            <w:shd w:val="clear" w:color="auto" w:fill="auto"/>
          </w:tcPr>
          <w:p w14:paraId="6A4595D3"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0A91A7BB"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10DC6FE0"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16" w:type="dxa"/>
            <w:tcBorders>
              <w:top w:val="nil"/>
              <w:left w:val="nil"/>
              <w:bottom w:val="nil"/>
              <w:right w:val="nil"/>
            </w:tcBorders>
            <w:shd w:val="clear" w:color="auto" w:fill="auto"/>
          </w:tcPr>
          <w:p w14:paraId="73BCAE07"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286D3197"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34" w:type="dxa"/>
            <w:tcBorders>
              <w:top w:val="nil"/>
              <w:left w:val="nil"/>
              <w:bottom w:val="nil"/>
              <w:right w:val="nil"/>
            </w:tcBorders>
            <w:shd w:val="clear" w:color="auto" w:fill="auto"/>
          </w:tcPr>
          <w:p w14:paraId="001428D4"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r>
      <w:tr w:rsidR="008C5004" w:rsidRPr="00F4226B" w14:paraId="20EAC301" w14:textId="77777777" w:rsidTr="0008368E">
        <w:trPr>
          <w:trHeight w:val="405"/>
        </w:trPr>
        <w:tc>
          <w:tcPr>
            <w:tcW w:w="2151" w:type="dxa"/>
            <w:tcBorders>
              <w:top w:val="nil"/>
              <w:left w:val="nil"/>
              <w:bottom w:val="nil"/>
              <w:right w:val="nil"/>
            </w:tcBorders>
            <w:shd w:val="clear" w:color="auto" w:fill="auto"/>
          </w:tcPr>
          <w:p w14:paraId="5D2AD6AE" w14:textId="77777777" w:rsidR="008C5004" w:rsidRPr="00F4226B" w:rsidRDefault="008C5004" w:rsidP="008C5004">
            <w:pPr>
              <w:spacing w:after="0" w:line="240" w:lineRule="auto"/>
              <w:rPr>
                <w:rFonts w:ascii="Times New Roman" w:hAnsi="Times New Roman"/>
                <w:color w:val="000000"/>
                <w:sz w:val="18"/>
                <w:szCs w:val="18"/>
                <w:lang w:val="en-US"/>
              </w:rPr>
            </w:pPr>
            <w:r w:rsidRPr="00F4226B">
              <w:rPr>
                <w:rFonts w:ascii="Times New Roman" w:hAnsi="Times New Roman"/>
                <w:color w:val="000000"/>
                <w:sz w:val="18"/>
                <w:szCs w:val="18"/>
                <w:lang w:val="en-US"/>
              </w:rPr>
              <w:t>CASHIGLS</w:t>
            </w:r>
          </w:p>
        </w:tc>
        <w:tc>
          <w:tcPr>
            <w:tcW w:w="1103" w:type="dxa"/>
            <w:tcBorders>
              <w:top w:val="nil"/>
              <w:left w:val="nil"/>
              <w:bottom w:val="nil"/>
              <w:right w:val="nil"/>
            </w:tcBorders>
            <w:shd w:val="clear" w:color="auto" w:fill="auto"/>
          </w:tcPr>
          <w:p w14:paraId="4F7AAC2C"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302C0175"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56" w:type="dxa"/>
            <w:tcBorders>
              <w:top w:val="nil"/>
              <w:left w:val="nil"/>
              <w:bottom w:val="nil"/>
              <w:right w:val="nil"/>
            </w:tcBorders>
            <w:shd w:val="clear" w:color="auto" w:fill="auto"/>
          </w:tcPr>
          <w:p w14:paraId="2340A771"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260" w:type="dxa"/>
            <w:tcBorders>
              <w:top w:val="nil"/>
              <w:left w:val="nil"/>
              <w:bottom w:val="nil"/>
              <w:right w:val="nil"/>
            </w:tcBorders>
            <w:shd w:val="clear" w:color="auto" w:fill="auto"/>
          </w:tcPr>
          <w:p w14:paraId="02646DE6"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61D8CDD8"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nil"/>
              <w:right w:val="nil"/>
            </w:tcBorders>
            <w:shd w:val="clear" w:color="auto" w:fill="auto"/>
          </w:tcPr>
          <w:p w14:paraId="555DC7A3"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34" w:type="dxa"/>
            <w:tcBorders>
              <w:top w:val="nil"/>
              <w:left w:val="nil"/>
              <w:bottom w:val="nil"/>
              <w:right w:val="nil"/>
            </w:tcBorders>
            <w:shd w:val="clear" w:color="auto" w:fill="auto"/>
          </w:tcPr>
          <w:p w14:paraId="09C0A5D7"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-0.713</w:t>
            </w:r>
          </w:p>
          <w:p w14:paraId="3EA6D29E"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(-0.99)</w:t>
            </w:r>
          </w:p>
        </w:tc>
      </w:tr>
      <w:tr w:rsidR="008C5004" w:rsidRPr="00F4226B" w14:paraId="210C8669" w14:textId="77777777" w:rsidTr="0008368E">
        <w:trPr>
          <w:trHeight w:val="405"/>
        </w:trPr>
        <w:tc>
          <w:tcPr>
            <w:tcW w:w="2151" w:type="dxa"/>
            <w:tcBorders>
              <w:top w:val="nil"/>
              <w:left w:val="nil"/>
              <w:bottom w:val="nil"/>
              <w:right w:val="nil"/>
            </w:tcBorders>
            <w:shd w:val="clear" w:color="auto" w:fill="auto"/>
          </w:tcPr>
          <w:p w14:paraId="6947BB67"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Fixed time effects</w:t>
            </w:r>
          </w:p>
        </w:tc>
        <w:tc>
          <w:tcPr>
            <w:tcW w:w="1103" w:type="dxa"/>
            <w:tcBorders>
              <w:top w:val="nil"/>
              <w:left w:val="nil"/>
              <w:bottom w:val="nil"/>
              <w:right w:val="nil"/>
            </w:tcBorders>
            <w:shd w:val="clear" w:color="auto" w:fill="auto"/>
          </w:tcPr>
          <w:p w14:paraId="7FED478A"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153" w:type="dxa"/>
            <w:tcBorders>
              <w:top w:val="nil"/>
              <w:left w:val="nil"/>
              <w:bottom w:val="nil"/>
              <w:right w:val="nil"/>
            </w:tcBorders>
            <w:shd w:val="clear" w:color="auto" w:fill="auto"/>
          </w:tcPr>
          <w:p w14:paraId="4CDE7344"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156" w:type="dxa"/>
            <w:tcBorders>
              <w:top w:val="nil"/>
              <w:left w:val="nil"/>
              <w:bottom w:val="nil"/>
              <w:right w:val="nil"/>
            </w:tcBorders>
            <w:shd w:val="clear" w:color="auto" w:fill="auto"/>
          </w:tcPr>
          <w:p w14:paraId="0CF8D48B"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260" w:type="dxa"/>
            <w:tcBorders>
              <w:top w:val="nil"/>
              <w:left w:val="nil"/>
              <w:bottom w:val="nil"/>
              <w:right w:val="nil"/>
            </w:tcBorders>
            <w:shd w:val="clear" w:color="auto" w:fill="auto"/>
          </w:tcPr>
          <w:p w14:paraId="40FE8DFF"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009A3DA4"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116" w:type="dxa"/>
            <w:tcBorders>
              <w:top w:val="nil"/>
              <w:left w:val="nil"/>
              <w:bottom w:val="nil"/>
              <w:right w:val="nil"/>
            </w:tcBorders>
            <w:shd w:val="clear" w:color="auto" w:fill="auto"/>
          </w:tcPr>
          <w:p w14:paraId="383B736D"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134" w:type="dxa"/>
            <w:tcBorders>
              <w:top w:val="nil"/>
              <w:left w:val="nil"/>
              <w:bottom w:val="nil"/>
              <w:right w:val="nil"/>
            </w:tcBorders>
            <w:shd w:val="clear" w:color="auto" w:fill="auto"/>
          </w:tcPr>
          <w:p w14:paraId="5BC7F4F0"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r>
      <w:tr w:rsidR="008C5004" w:rsidRPr="00F4226B" w14:paraId="7E184981" w14:textId="77777777" w:rsidTr="0008368E">
        <w:trPr>
          <w:trHeight w:val="240"/>
        </w:trPr>
        <w:tc>
          <w:tcPr>
            <w:tcW w:w="2151" w:type="dxa"/>
            <w:tcBorders>
              <w:top w:val="nil"/>
              <w:left w:val="nil"/>
              <w:bottom w:val="nil"/>
              <w:right w:val="nil"/>
            </w:tcBorders>
            <w:shd w:val="clear" w:color="auto" w:fill="auto"/>
          </w:tcPr>
          <w:p w14:paraId="788D4135" w14:textId="77777777" w:rsidR="008C5004" w:rsidRPr="00F4226B" w:rsidRDefault="008C5004" w:rsidP="008C5004">
            <w:pPr>
              <w:spacing w:after="0" w:line="240" w:lineRule="auto"/>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Number of observations</w:t>
            </w:r>
          </w:p>
        </w:tc>
        <w:tc>
          <w:tcPr>
            <w:tcW w:w="1103" w:type="dxa"/>
            <w:tcBorders>
              <w:top w:val="nil"/>
              <w:left w:val="nil"/>
              <w:bottom w:val="nil"/>
              <w:right w:val="nil"/>
            </w:tcBorders>
            <w:shd w:val="clear" w:color="auto" w:fill="auto"/>
          </w:tcPr>
          <w:p w14:paraId="5E0B9101"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132</w:t>
            </w:r>
          </w:p>
        </w:tc>
        <w:tc>
          <w:tcPr>
            <w:tcW w:w="1153" w:type="dxa"/>
            <w:tcBorders>
              <w:top w:val="nil"/>
              <w:left w:val="nil"/>
              <w:bottom w:val="nil"/>
              <w:right w:val="nil"/>
            </w:tcBorders>
            <w:shd w:val="clear" w:color="auto" w:fill="auto"/>
          </w:tcPr>
          <w:p w14:paraId="7CC6ABDA"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132</w:t>
            </w:r>
          </w:p>
        </w:tc>
        <w:tc>
          <w:tcPr>
            <w:tcW w:w="1156" w:type="dxa"/>
            <w:tcBorders>
              <w:top w:val="nil"/>
              <w:left w:val="nil"/>
              <w:bottom w:val="nil"/>
              <w:right w:val="nil"/>
            </w:tcBorders>
            <w:shd w:val="clear" w:color="auto" w:fill="auto"/>
          </w:tcPr>
          <w:p w14:paraId="6CBBB7E3"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132</w:t>
            </w:r>
          </w:p>
        </w:tc>
        <w:tc>
          <w:tcPr>
            <w:tcW w:w="260" w:type="dxa"/>
            <w:tcBorders>
              <w:top w:val="nil"/>
              <w:left w:val="nil"/>
              <w:bottom w:val="nil"/>
              <w:right w:val="nil"/>
            </w:tcBorders>
            <w:shd w:val="clear" w:color="auto" w:fill="auto"/>
          </w:tcPr>
          <w:p w14:paraId="788A7CAB"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73DD9A0A"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132</w:t>
            </w:r>
          </w:p>
        </w:tc>
        <w:tc>
          <w:tcPr>
            <w:tcW w:w="1116" w:type="dxa"/>
            <w:tcBorders>
              <w:top w:val="nil"/>
              <w:left w:val="nil"/>
              <w:bottom w:val="nil"/>
              <w:right w:val="nil"/>
            </w:tcBorders>
            <w:shd w:val="clear" w:color="auto" w:fill="auto"/>
          </w:tcPr>
          <w:p w14:paraId="176B5D75"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132</w:t>
            </w:r>
          </w:p>
        </w:tc>
        <w:tc>
          <w:tcPr>
            <w:tcW w:w="1134" w:type="dxa"/>
            <w:tcBorders>
              <w:top w:val="nil"/>
              <w:left w:val="nil"/>
              <w:bottom w:val="nil"/>
              <w:right w:val="nil"/>
            </w:tcBorders>
            <w:shd w:val="clear" w:color="auto" w:fill="auto"/>
          </w:tcPr>
          <w:p w14:paraId="0CED13AB"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132</w:t>
            </w:r>
          </w:p>
        </w:tc>
      </w:tr>
      <w:tr w:rsidR="008C5004" w:rsidRPr="00F4226B" w14:paraId="55FC68E9" w14:textId="77777777" w:rsidTr="0008368E">
        <w:trPr>
          <w:trHeight w:val="240"/>
        </w:trPr>
        <w:tc>
          <w:tcPr>
            <w:tcW w:w="2151" w:type="dxa"/>
            <w:tcBorders>
              <w:top w:val="nil"/>
              <w:left w:val="nil"/>
              <w:bottom w:val="nil"/>
              <w:right w:val="nil"/>
            </w:tcBorders>
            <w:shd w:val="clear" w:color="auto" w:fill="auto"/>
          </w:tcPr>
          <w:p w14:paraId="04C8D786"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F-ratio</w:t>
            </w:r>
          </w:p>
        </w:tc>
        <w:tc>
          <w:tcPr>
            <w:tcW w:w="1103" w:type="dxa"/>
            <w:tcBorders>
              <w:top w:val="nil"/>
              <w:left w:val="nil"/>
              <w:bottom w:val="nil"/>
              <w:right w:val="nil"/>
            </w:tcBorders>
            <w:shd w:val="clear" w:color="auto" w:fill="auto"/>
          </w:tcPr>
          <w:p w14:paraId="2800D452"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10.17***</w:t>
            </w:r>
          </w:p>
        </w:tc>
        <w:tc>
          <w:tcPr>
            <w:tcW w:w="1153" w:type="dxa"/>
            <w:tcBorders>
              <w:top w:val="nil"/>
              <w:left w:val="nil"/>
              <w:bottom w:val="nil"/>
              <w:right w:val="nil"/>
            </w:tcBorders>
            <w:shd w:val="clear" w:color="auto" w:fill="auto"/>
          </w:tcPr>
          <w:p w14:paraId="42DE20CF"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5.46***</w:t>
            </w:r>
          </w:p>
        </w:tc>
        <w:tc>
          <w:tcPr>
            <w:tcW w:w="1156" w:type="dxa"/>
            <w:tcBorders>
              <w:top w:val="nil"/>
              <w:left w:val="nil"/>
              <w:bottom w:val="nil"/>
              <w:right w:val="nil"/>
            </w:tcBorders>
            <w:shd w:val="clear" w:color="auto" w:fill="auto"/>
          </w:tcPr>
          <w:p w14:paraId="5E9D88ED"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9.31***</w:t>
            </w:r>
          </w:p>
        </w:tc>
        <w:tc>
          <w:tcPr>
            <w:tcW w:w="260" w:type="dxa"/>
            <w:tcBorders>
              <w:top w:val="nil"/>
              <w:left w:val="nil"/>
              <w:bottom w:val="nil"/>
              <w:right w:val="nil"/>
            </w:tcBorders>
            <w:shd w:val="clear" w:color="auto" w:fill="auto"/>
          </w:tcPr>
          <w:p w14:paraId="5C9AE33B" w14:textId="77777777" w:rsidR="008C5004" w:rsidRPr="00F4226B" w:rsidRDefault="008C5004" w:rsidP="00582332">
            <w:pPr>
              <w:spacing w:after="0" w:line="240" w:lineRule="auto"/>
              <w:jc w:val="center"/>
              <w:rPr>
                <w:rFonts w:ascii="Times New Roman" w:hAnsi="Times New Roman"/>
                <w:bCs/>
                <w:color w:val="000000"/>
                <w:sz w:val="18"/>
                <w:szCs w:val="18"/>
                <w:lang w:val="en-US" w:eastAsia="es-ES"/>
              </w:rPr>
            </w:pPr>
          </w:p>
        </w:tc>
        <w:tc>
          <w:tcPr>
            <w:tcW w:w="1107" w:type="dxa"/>
            <w:tcBorders>
              <w:top w:val="nil"/>
              <w:left w:val="nil"/>
              <w:bottom w:val="nil"/>
              <w:right w:val="nil"/>
            </w:tcBorders>
            <w:shd w:val="clear" w:color="auto" w:fill="auto"/>
          </w:tcPr>
          <w:p w14:paraId="3D0C474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5.64***</w:t>
            </w:r>
          </w:p>
        </w:tc>
        <w:tc>
          <w:tcPr>
            <w:tcW w:w="1116" w:type="dxa"/>
            <w:tcBorders>
              <w:top w:val="nil"/>
              <w:left w:val="nil"/>
              <w:bottom w:val="nil"/>
              <w:right w:val="nil"/>
            </w:tcBorders>
            <w:shd w:val="clear" w:color="auto" w:fill="auto"/>
          </w:tcPr>
          <w:p w14:paraId="1B17E190"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2.97**</w:t>
            </w:r>
          </w:p>
        </w:tc>
        <w:tc>
          <w:tcPr>
            <w:tcW w:w="1134" w:type="dxa"/>
            <w:tcBorders>
              <w:top w:val="nil"/>
              <w:left w:val="nil"/>
              <w:bottom w:val="nil"/>
              <w:right w:val="nil"/>
            </w:tcBorders>
            <w:shd w:val="clear" w:color="auto" w:fill="auto"/>
          </w:tcPr>
          <w:p w14:paraId="7E351891"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bCs/>
                <w:color w:val="000000"/>
                <w:sz w:val="18"/>
                <w:szCs w:val="18"/>
                <w:lang w:val="en-US" w:eastAsia="es-ES"/>
              </w:rPr>
              <w:t>4.86***</w:t>
            </w:r>
          </w:p>
        </w:tc>
      </w:tr>
      <w:tr w:rsidR="008C5004" w:rsidRPr="00F4226B" w14:paraId="52FE0D34" w14:textId="77777777" w:rsidTr="0008368E">
        <w:trPr>
          <w:trHeight w:val="240"/>
        </w:trPr>
        <w:tc>
          <w:tcPr>
            <w:tcW w:w="2151" w:type="dxa"/>
            <w:tcBorders>
              <w:top w:val="nil"/>
              <w:left w:val="nil"/>
              <w:bottom w:val="nil"/>
              <w:right w:val="nil"/>
            </w:tcBorders>
            <w:shd w:val="clear" w:color="auto" w:fill="auto"/>
          </w:tcPr>
          <w:p w14:paraId="4F51A4C2"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Adjusted R</w:t>
            </w:r>
            <w:r w:rsidRPr="00F4226B">
              <w:rPr>
                <w:rFonts w:ascii="Times New Roman" w:hAnsi="Times New Roman"/>
                <w:bCs/>
                <w:color w:val="000000"/>
                <w:sz w:val="18"/>
                <w:szCs w:val="18"/>
                <w:vertAlign w:val="superscript"/>
                <w:lang w:val="en-US" w:eastAsia="es-ES"/>
              </w:rPr>
              <w:t>2</w:t>
            </w:r>
          </w:p>
        </w:tc>
        <w:tc>
          <w:tcPr>
            <w:tcW w:w="1103" w:type="dxa"/>
            <w:tcBorders>
              <w:top w:val="nil"/>
              <w:left w:val="nil"/>
              <w:bottom w:val="nil"/>
              <w:right w:val="nil"/>
            </w:tcBorders>
            <w:shd w:val="clear" w:color="auto" w:fill="auto"/>
          </w:tcPr>
          <w:p w14:paraId="0A2A98D2"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0.259</w:t>
            </w:r>
          </w:p>
        </w:tc>
        <w:tc>
          <w:tcPr>
            <w:tcW w:w="1153" w:type="dxa"/>
            <w:tcBorders>
              <w:top w:val="nil"/>
              <w:left w:val="nil"/>
              <w:bottom w:val="nil"/>
              <w:right w:val="nil"/>
            </w:tcBorders>
            <w:shd w:val="clear" w:color="auto" w:fill="auto"/>
          </w:tcPr>
          <w:p w14:paraId="1F356ACF"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0.145</w:t>
            </w:r>
          </w:p>
        </w:tc>
        <w:tc>
          <w:tcPr>
            <w:tcW w:w="1156" w:type="dxa"/>
            <w:tcBorders>
              <w:top w:val="nil"/>
              <w:left w:val="nil"/>
              <w:bottom w:val="nil"/>
              <w:right w:val="nil"/>
            </w:tcBorders>
            <w:shd w:val="clear" w:color="auto" w:fill="auto"/>
          </w:tcPr>
          <w:p w14:paraId="5F4F5BB7"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0.276</w:t>
            </w:r>
          </w:p>
        </w:tc>
        <w:tc>
          <w:tcPr>
            <w:tcW w:w="260" w:type="dxa"/>
            <w:tcBorders>
              <w:top w:val="nil"/>
              <w:left w:val="nil"/>
              <w:bottom w:val="nil"/>
              <w:right w:val="nil"/>
            </w:tcBorders>
            <w:shd w:val="clear" w:color="auto" w:fill="auto"/>
          </w:tcPr>
          <w:p w14:paraId="027E777E" w14:textId="77777777" w:rsidR="008C5004" w:rsidRPr="00F4226B" w:rsidRDefault="008C5004" w:rsidP="00582332">
            <w:pPr>
              <w:spacing w:after="0" w:line="240" w:lineRule="auto"/>
              <w:jc w:val="center"/>
              <w:rPr>
                <w:rFonts w:ascii="Times New Roman" w:hAnsi="Times New Roman"/>
                <w:bCs/>
                <w:color w:val="000000"/>
                <w:sz w:val="18"/>
                <w:szCs w:val="18"/>
                <w:lang w:val="en-US" w:eastAsia="es-ES"/>
              </w:rPr>
            </w:pPr>
          </w:p>
        </w:tc>
        <w:tc>
          <w:tcPr>
            <w:tcW w:w="1107" w:type="dxa"/>
            <w:tcBorders>
              <w:top w:val="nil"/>
              <w:left w:val="nil"/>
              <w:bottom w:val="nil"/>
              <w:right w:val="nil"/>
            </w:tcBorders>
            <w:shd w:val="clear" w:color="auto" w:fill="auto"/>
          </w:tcPr>
          <w:p w14:paraId="48BAC17D"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0.154</w:t>
            </w:r>
          </w:p>
        </w:tc>
        <w:tc>
          <w:tcPr>
            <w:tcW w:w="1116" w:type="dxa"/>
            <w:tcBorders>
              <w:top w:val="nil"/>
              <w:left w:val="nil"/>
              <w:bottom w:val="nil"/>
              <w:right w:val="nil"/>
            </w:tcBorders>
            <w:shd w:val="clear" w:color="auto" w:fill="auto"/>
          </w:tcPr>
          <w:p w14:paraId="3F9DB267"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0.069</w:t>
            </w:r>
          </w:p>
        </w:tc>
        <w:tc>
          <w:tcPr>
            <w:tcW w:w="1134" w:type="dxa"/>
            <w:tcBorders>
              <w:top w:val="nil"/>
              <w:left w:val="nil"/>
              <w:bottom w:val="nil"/>
              <w:right w:val="nil"/>
            </w:tcBorders>
            <w:shd w:val="clear" w:color="auto" w:fill="auto"/>
          </w:tcPr>
          <w:p w14:paraId="1FD1E9AB"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bCs/>
                <w:color w:val="000000"/>
                <w:sz w:val="18"/>
                <w:szCs w:val="18"/>
                <w:lang w:val="en-US" w:eastAsia="es-ES"/>
              </w:rPr>
              <w:t>0.150</w:t>
            </w:r>
          </w:p>
        </w:tc>
      </w:tr>
      <w:tr w:rsidR="008C5004" w:rsidRPr="00F4226B" w14:paraId="4444D50A" w14:textId="77777777" w:rsidTr="0008368E">
        <w:trPr>
          <w:trHeight w:val="240"/>
        </w:trPr>
        <w:tc>
          <w:tcPr>
            <w:tcW w:w="2151" w:type="dxa"/>
            <w:tcBorders>
              <w:top w:val="nil"/>
              <w:left w:val="nil"/>
              <w:bottom w:val="nil"/>
              <w:right w:val="nil"/>
            </w:tcBorders>
            <w:shd w:val="clear" w:color="auto" w:fill="auto"/>
          </w:tcPr>
          <w:p w14:paraId="774D53B0"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Vuong’s Z-statistics:</w:t>
            </w:r>
          </w:p>
          <w:p w14:paraId="6C9071EF"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IA data                  </w:t>
            </w:r>
          </w:p>
        </w:tc>
        <w:tc>
          <w:tcPr>
            <w:tcW w:w="1103" w:type="dxa"/>
            <w:tcBorders>
              <w:top w:val="nil"/>
              <w:left w:val="nil"/>
              <w:bottom w:val="nil"/>
              <w:right w:val="nil"/>
            </w:tcBorders>
            <w:shd w:val="clear" w:color="auto" w:fill="auto"/>
          </w:tcPr>
          <w:p w14:paraId="7C6FC659"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67192D28"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p w14:paraId="4BE635DE"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2.438**</w:t>
            </w:r>
          </w:p>
        </w:tc>
        <w:tc>
          <w:tcPr>
            <w:tcW w:w="1156" w:type="dxa"/>
            <w:tcBorders>
              <w:top w:val="nil"/>
              <w:left w:val="nil"/>
              <w:bottom w:val="nil"/>
              <w:right w:val="nil"/>
            </w:tcBorders>
            <w:shd w:val="clear" w:color="auto" w:fill="auto"/>
          </w:tcPr>
          <w:p w14:paraId="59AD536C"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p w14:paraId="696644E7"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260" w:type="dxa"/>
            <w:tcBorders>
              <w:top w:val="nil"/>
              <w:left w:val="nil"/>
              <w:bottom w:val="nil"/>
              <w:right w:val="nil"/>
            </w:tcBorders>
            <w:shd w:val="clear" w:color="auto" w:fill="auto"/>
          </w:tcPr>
          <w:p w14:paraId="136E36A0"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06325066"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nil"/>
              <w:right w:val="nil"/>
            </w:tcBorders>
            <w:shd w:val="clear" w:color="auto" w:fill="auto"/>
          </w:tcPr>
          <w:p w14:paraId="53431C57"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50A313CA"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3.098***</w:t>
            </w:r>
          </w:p>
        </w:tc>
        <w:tc>
          <w:tcPr>
            <w:tcW w:w="1134" w:type="dxa"/>
            <w:tcBorders>
              <w:top w:val="nil"/>
              <w:left w:val="nil"/>
              <w:bottom w:val="nil"/>
              <w:right w:val="nil"/>
            </w:tcBorders>
            <w:shd w:val="clear" w:color="auto" w:fill="auto"/>
          </w:tcPr>
          <w:p w14:paraId="1B3B1296"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r>
      <w:tr w:rsidR="008C5004" w:rsidRPr="00F4226B" w14:paraId="43B1513B" w14:textId="77777777" w:rsidTr="0008368E">
        <w:trPr>
          <w:trHeight w:val="240"/>
        </w:trPr>
        <w:tc>
          <w:tcPr>
            <w:tcW w:w="2151" w:type="dxa"/>
            <w:tcBorders>
              <w:top w:val="nil"/>
              <w:left w:val="nil"/>
              <w:bottom w:val="nil"/>
              <w:right w:val="nil"/>
            </w:tcBorders>
            <w:shd w:val="clear" w:color="auto" w:fill="auto"/>
          </w:tcPr>
          <w:p w14:paraId="1FADC497"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Incremental data                            </w:t>
            </w:r>
          </w:p>
        </w:tc>
        <w:tc>
          <w:tcPr>
            <w:tcW w:w="1103" w:type="dxa"/>
            <w:tcBorders>
              <w:top w:val="nil"/>
              <w:left w:val="nil"/>
              <w:bottom w:val="nil"/>
              <w:right w:val="nil"/>
            </w:tcBorders>
            <w:shd w:val="clear" w:color="auto" w:fill="auto"/>
          </w:tcPr>
          <w:p w14:paraId="685B942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1C50221F"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156" w:type="dxa"/>
            <w:tcBorders>
              <w:top w:val="nil"/>
              <w:left w:val="nil"/>
              <w:bottom w:val="nil"/>
              <w:right w:val="nil"/>
            </w:tcBorders>
            <w:shd w:val="clear" w:color="auto" w:fill="auto"/>
          </w:tcPr>
          <w:p w14:paraId="4939B356"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-0.247</w:t>
            </w:r>
          </w:p>
        </w:tc>
        <w:tc>
          <w:tcPr>
            <w:tcW w:w="260" w:type="dxa"/>
            <w:tcBorders>
              <w:top w:val="nil"/>
              <w:left w:val="nil"/>
              <w:bottom w:val="nil"/>
              <w:right w:val="nil"/>
            </w:tcBorders>
            <w:shd w:val="clear" w:color="auto" w:fill="auto"/>
          </w:tcPr>
          <w:p w14:paraId="45A1CD4C"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6B4DBB64"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nil"/>
              <w:right w:val="nil"/>
            </w:tcBorders>
            <w:shd w:val="clear" w:color="auto" w:fill="auto"/>
          </w:tcPr>
          <w:p w14:paraId="201AE2EA"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34" w:type="dxa"/>
            <w:tcBorders>
              <w:top w:val="nil"/>
              <w:left w:val="nil"/>
              <w:bottom w:val="nil"/>
              <w:right w:val="nil"/>
            </w:tcBorders>
            <w:shd w:val="clear" w:color="auto" w:fill="auto"/>
          </w:tcPr>
          <w:p w14:paraId="428000F3"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-0.736</w:t>
            </w:r>
          </w:p>
        </w:tc>
      </w:tr>
      <w:tr w:rsidR="008C5004" w:rsidRPr="00F4226B" w14:paraId="3E6ADD42" w14:textId="77777777" w:rsidTr="0008368E">
        <w:trPr>
          <w:trHeight w:val="240"/>
        </w:trPr>
        <w:tc>
          <w:tcPr>
            <w:tcW w:w="2151" w:type="dxa"/>
            <w:tcBorders>
              <w:top w:val="nil"/>
              <w:left w:val="nil"/>
              <w:bottom w:val="single" w:sz="4" w:space="0" w:color="auto"/>
              <w:right w:val="nil"/>
            </w:tcBorders>
            <w:shd w:val="clear" w:color="auto" w:fill="auto"/>
          </w:tcPr>
          <w:p w14:paraId="04860DF1"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IA vs Incremental data                         </w:t>
            </w:r>
          </w:p>
        </w:tc>
        <w:tc>
          <w:tcPr>
            <w:tcW w:w="1103" w:type="dxa"/>
            <w:tcBorders>
              <w:top w:val="nil"/>
              <w:left w:val="nil"/>
              <w:bottom w:val="single" w:sz="4" w:space="0" w:color="auto"/>
              <w:right w:val="nil"/>
            </w:tcBorders>
            <w:shd w:val="clear" w:color="auto" w:fill="auto"/>
          </w:tcPr>
          <w:p w14:paraId="25D1914C"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153" w:type="dxa"/>
            <w:tcBorders>
              <w:top w:val="nil"/>
              <w:left w:val="nil"/>
              <w:bottom w:val="single" w:sz="4" w:space="0" w:color="auto"/>
              <w:right w:val="nil"/>
            </w:tcBorders>
            <w:shd w:val="clear" w:color="auto" w:fill="auto"/>
          </w:tcPr>
          <w:p w14:paraId="73BFD3A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156" w:type="dxa"/>
            <w:tcBorders>
              <w:top w:val="nil"/>
              <w:left w:val="nil"/>
              <w:bottom w:val="single" w:sz="4" w:space="0" w:color="auto"/>
              <w:right w:val="nil"/>
            </w:tcBorders>
            <w:shd w:val="clear" w:color="auto" w:fill="auto"/>
          </w:tcPr>
          <w:p w14:paraId="212836C4"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2.633**</w:t>
            </w:r>
          </w:p>
        </w:tc>
        <w:tc>
          <w:tcPr>
            <w:tcW w:w="260" w:type="dxa"/>
            <w:tcBorders>
              <w:top w:val="nil"/>
              <w:left w:val="nil"/>
              <w:bottom w:val="single" w:sz="4" w:space="0" w:color="auto"/>
              <w:right w:val="nil"/>
            </w:tcBorders>
            <w:shd w:val="clear" w:color="auto" w:fill="auto"/>
          </w:tcPr>
          <w:p w14:paraId="1EC9C98F"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single" w:sz="4" w:space="0" w:color="auto"/>
              <w:right w:val="nil"/>
            </w:tcBorders>
            <w:shd w:val="clear" w:color="auto" w:fill="auto"/>
          </w:tcPr>
          <w:p w14:paraId="3E4629F2"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single" w:sz="4" w:space="0" w:color="auto"/>
              <w:right w:val="nil"/>
            </w:tcBorders>
            <w:shd w:val="clear" w:color="auto" w:fill="auto"/>
          </w:tcPr>
          <w:p w14:paraId="24C40F31"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34" w:type="dxa"/>
            <w:tcBorders>
              <w:top w:val="nil"/>
              <w:left w:val="nil"/>
              <w:bottom w:val="single" w:sz="4" w:space="0" w:color="auto"/>
              <w:right w:val="nil"/>
            </w:tcBorders>
            <w:shd w:val="clear" w:color="auto" w:fill="auto"/>
          </w:tcPr>
          <w:p w14:paraId="1087A252"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2.517**</w:t>
            </w:r>
          </w:p>
        </w:tc>
      </w:tr>
      <w:tr w:rsidR="008C5004" w:rsidRPr="00F4226B" w14:paraId="1E61DC85" w14:textId="77777777" w:rsidTr="0008368E">
        <w:tc>
          <w:tcPr>
            <w:tcW w:w="9180" w:type="dxa"/>
            <w:gridSpan w:val="8"/>
            <w:tcBorders>
              <w:left w:val="nil"/>
              <w:bottom w:val="single" w:sz="4" w:space="0" w:color="auto"/>
              <w:right w:val="nil"/>
            </w:tcBorders>
            <w:shd w:val="clear" w:color="auto" w:fill="auto"/>
          </w:tcPr>
          <w:p w14:paraId="24B71308" w14:textId="59445D79" w:rsidR="008C5004" w:rsidRPr="00F4226B" w:rsidRDefault="008C5004" w:rsidP="008C5004">
            <w:pPr>
              <w:spacing w:before="120" w:after="120" w:line="240" w:lineRule="auto"/>
              <w:rPr>
                <w:rFonts w:ascii="Times New Roman" w:hAnsi="Times New Roman"/>
                <w:color w:val="000000"/>
                <w:sz w:val="18"/>
                <w:szCs w:val="18"/>
                <w:lang w:val="en-US"/>
              </w:rPr>
            </w:pPr>
            <w:r w:rsidRPr="00F4226B">
              <w:rPr>
                <w:rFonts w:ascii="Times New Roman" w:hAnsi="Times New Roman"/>
                <w:b/>
                <w:color w:val="000000"/>
                <w:sz w:val="18"/>
                <w:szCs w:val="18"/>
                <w:lang w:val="en-US"/>
              </w:rPr>
              <w:t>Panel B: Low inflation period (2000</w:t>
            </w:r>
            <w:r w:rsidR="00D73423">
              <w:rPr>
                <w:rFonts w:ascii="Times New Roman" w:hAnsi="Times New Roman"/>
                <w:b/>
                <w:color w:val="000000"/>
                <w:sz w:val="18"/>
                <w:szCs w:val="18"/>
                <w:lang w:val="en-US"/>
              </w:rPr>
              <w:t>–</w:t>
            </w:r>
            <w:r w:rsidRPr="00F4226B">
              <w:rPr>
                <w:rFonts w:ascii="Times New Roman" w:hAnsi="Times New Roman"/>
                <w:b/>
                <w:color w:val="000000"/>
                <w:sz w:val="18"/>
                <w:szCs w:val="18"/>
                <w:lang w:val="en-US"/>
              </w:rPr>
              <w:t>2002) (=66 obs)</w:t>
            </w:r>
          </w:p>
        </w:tc>
      </w:tr>
      <w:tr w:rsidR="008C5004" w:rsidRPr="00F4226B" w14:paraId="248DC53B" w14:textId="77777777" w:rsidTr="0008368E">
        <w:tc>
          <w:tcPr>
            <w:tcW w:w="2151" w:type="dxa"/>
            <w:tcBorders>
              <w:top w:val="single" w:sz="4" w:space="0" w:color="auto"/>
              <w:left w:val="nil"/>
              <w:bottom w:val="nil"/>
              <w:right w:val="nil"/>
            </w:tcBorders>
            <w:shd w:val="clear" w:color="auto" w:fill="auto"/>
          </w:tcPr>
          <w:p w14:paraId="2B55A027"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Intercept</w:t>
            </w:r>
          </w:p>
        </w:tc>
        <w:tc>
          <w:tcPr>
            <w:tcW w:w="1103" w:type="dxa"/>
            <w:tcBorders>
              <w:top w:val="single" w:sz="4" w:space="0" w:color="auto"/>
              <w:left w:val="nil"/>
              <w:bottom w:val="nil"/>
              <w:right w:val="nil"/>
            </w:tcBorders>
            <w:shd w:val="clear" w:color="auto" w:fill="auto"/>
          </w:tcPr>
          <w:p w14:paraId="0EEDB6BD"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-2.795</w:t>
            </w:r>
          </w:p>
          <w:p w14:paraId="50881779"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(-9.00***)</w:t>
            </w:r>
          </w:p>
        </w:tc>
        <w:tc>
          <w:tcPr>
            <w:tcW w:w="1153" w:type="dxa"/>
            <w:tcBorders>
              <w:top w:val="single" w:sz="4" w:space="0" w:color="auto"/>
              <w:left w:val="nil"/>
              <w:bottom w:val="nil"/>
              <w:right w:val="nil"/>
            </w:tcBorders>
            <w:shd w:val="clear" w:color="auto" w:fill="auto"/>
          </w:tcPr>
          <w:p w14:paraId="0FF95A3F"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-1.991</w:t>
            </w:r>
          </w:p>
          <w:p w14:paraId="6C07DBD4"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(-8.62***)</w:t>
            </w:r>
          </w:p>
        </w:tc>
        <w:tc>
          <w:tcPr>
            <w:tcW w:w="1156" w:type="dxa"/>
            <w:tcBorders>
              <w:top w:val="single" w:sz="4" w:space="0" w:color="auto"/>
              <w:left w:val="nil"/>
              <w:bottom w:val="nil"/>
              <w:right w:val="nil"/>
            </w:tcBorders>
            <w:shd w:val="clear" w:color="auto" w:fill="auto"/>
          </w:tcPr>
          <w:p w14:paraId="0489560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-2.704</w:t>
            </w:r>
          </w:p>
          <w:p w14:paraId="23B5B6FD"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(-8.66***)</w:t>
            </w:r>
          </w:p>
        </w:tc>
        <w:tc>
          <w:tcPr>
            <w:tcW w:w="260" w:type="dxa"/>
            <w:tcBorders>
              <w:top w:val="single" w:sz="4" w:space="0" w:color="auto"/>
              <w:left w:val="nil"/>
              <w:bottom w:val="nil"/>
              <w:right w:val="nil"/>
            </w:tcBorders>
            <w:shd w:val="clear" w:color="auto" w:fill="auto"/>
          </w:tcPr>
          <w:p w14:paraId="0D39D218"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single" w:sz="4" w:space="0" w:color="auto"/>
              <w:left w:val="nil"/>
              <w:bottom w:val="nil"/>
              <w:right w:val="nil"/>
            </w:tcBorders>
            <w:shd w:val="clear" w:color="auto" w:fill="auto"/>
          </w:tcPr>
          <w:p w14:paraId="7E3D8F73"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-2.028</w:t>
            </w:r>
          </w:p>
          <w:p w14:paraId="1AB5197A"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(-8.23***)</w:t>
            </w:r>
          </w:p>
        </w:tc>
        <w:tc>
          <w:tcPr>
            <w:tcW w:w="1116" w:type="dxa"/>
            <w:tcBorders>
              <w:top w:val="single" w:sz="4" w:space="0" w:color="auto"/>
              <w:left w:val="nil"/>
              <w:bottom w:val="nil"/>
              <w:right w:val="nil"/>
            </w:tcBorders>
            <w:shd w:val="clear" w:color="auto" w:fill="auto"/>
          </w:tcPr>
          <w:p w14:paraId="309F29F9"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-1.831</w:t>
            </w:r>
          </w:p>
          <w:p w14:paraId="651A0853"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(-7.26***)</w:t>
            </w:r>
          </w:p>
        </w:tc>
        <w:tc>
          <w:tcPr>
            <w:tcW w:w="1134" w:type="dxa"/>
            <w:tcBorders>
              <w:top w:val="single" w:sz="4" w:space="0" w:color="auto"/>
              <w:left w:val="nil"/>
              <w:bottom w:val="nil"/>
              <w:right w:val="nil"/>
            </w:tcBorders>
            <w:shd w:val="clear" w:color="auto" w:fill="auto"/>
          </w:tcPr>
          <w:p w14:paraId="32BE544F"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-1.996</w:t>
            </w:r>
          </w:p>
          <w:p w14:paraId="4AB533B7"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(-7.91***)</w:t>
            </w:r>
          </w:p>
        </w:tc>
      </w:tr>
      <w:tr w:rsidR="008C5004" w:rsidRPr="00F4226B" w14:paraId="14690BAB" w14:textId="77777777" w:rsidTr="0008368E">
        <w:tc>
          <w:tcPr>
            <w:tcW w:w="2151" w:type="dxa"/>
            <w:tcBorders>
              <w:top w:val="nil"/>
              <w:left w:val="nil"/>
              <w:bottom w:val="nil"/>
              <w:right w:val="nil"/>
            </w:tcBorders>
            <w:shd w:val="clear" w:color="auto" w:fill="auto"/>
          </w:tcPr>
          <w:p w14:paraId="6DD4226D"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EARNINGS</w:t>
            </w:r>
          </w:p>
        </w:tc>
        <w:tc>
          <w:tcPr>
            <w:tcW w:w="1103" w:type="dxa"/>
            <w:tcBorders>
              <w:top w:val="nil"/>
              <w:left w:val="nil"/>
              <w:bottom w:val="nil"/>
              <w:right w:val="nil"/>
            </w:tcBorders>
            <w:shd w:val="clear" w:color="auto" w:fill="auto"/>
          </w:tcPr>
          <w:p w14:paraId="7E39A010"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2.552                 (4.48***)</w:t>
            </w:r>
          </w:p>
        </w:tc>
        <w:tc>
          <w:tcPr>
            <w:tcW w:w="1153" w:type="dxa"/>
            <w:tcBorders>
              <w:top w:val="nil"/>
              <w:left w:val="nil"/>
              <w:bottom w:val="nil"/>
              <w:right w:val="nil"/>
            </w:tcBorders>
            <w:shd w:val="clear" w:color="auto" w:fill="auto"/>
          </w:tcPr>
          <w:p w14:paraId="03BE7862"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2.213                 (2.93***)</w:t>
            </w:r>
          </w:p>
        </w:tc>
        <w:tc>
          <w:tcPr>
            <w:tcW w:w="1156" w:type="dxa"/>
            <w:tcBorders>
              <w:top w:val="nil"/>
              <w:left w:val="nil"/>
              <w:bottom w:val="nil"/>
              <w:right w:val="nil"/>
            </w:tcBorders>
            <w:shd w:val="clear" w:color="auto" w:fill="auto"/>
          </w:tcPr>
          <w:p w14:paraId="3D1CF0BD"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3.219</w:t>
            </w:r>
          </w:p>
          <w:p w14:paraId="1A4C51C9"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(4.58***)</w:t>
            </w:r>
          </w:p>
        </w:tc>
        <w:tc>
          <w:tcPr>
            <w:tcW w:w="260" w:type="dxa"/>
            <w:tcBorders>
              <w:top w:val="nil"/>
              <w:left w:val="nil"/>
              <w:bottom w:val="nil"/>
              <w:right w:val="nil"/>
            </w:tcBorders>
            <w:shd w:val="clear" w:color="auto" w:fill="auto"/>
          </w:tcPr>
          <w:p w14:paraId="7CEA5EA9"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463E8702"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16" w:type="dxa"/>
            <w:tcBorders>
              <w:top w:val="nil"/>
              <w:left w:val="nil"/>
              <w:bottom w:val="nil"/>
              <w:right w:val="nil"/>
            </w:tcBorders>
            <w:shd w:val="clear" w:color="auto" w:fill="auto"/>
          </w:tcPr>
          <w:p w14:paraId="67CE3D41"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34" w:type="dxa"/>
            <w:tcBorders>
              <w:top w:val="nil"/>
              <w:left w:val="nil"/>
              <w:bottom w:val="nil"/>
              <w:right w:val="nil"/>
            </w:tcBorders>
            <w:shd w:val="clear" w:color="auto" w:fill="auto"/>
          </w:tcPr>
          <w:p w14:paraId="6E10C52C"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r>
      <w:tr w:rsidR="008C5004" w:rsidRPr="00F4226B" w14:paraId="1313413F" w14:textId="77777777" w:rsidTr="0008368E">
        <w:tc>
          <w:tcPr>
            <w:tcW w:w="2151" w:type="dxa"/>
            <w:tcBorders>
              <w:top w:val="nil"/>
              <w:left w:val="nil"/>
              <w:bottom w:val="nil"/>
              <w:right w:val="nil"/>
            </w:tcBorders>
            <w:shd w:val="clear" w:color="auto" w:fill="auto"/>
          </w:tcPr>
          <w:p w14:paraId="1CF15B24" w14:textId="77777777" w:rsidR="008C5004" w:rsidRPr="00F4226B" w:rsidRDefault="008C5004" w:rsidP="008C5004">
            <w:pPr>
              <w:spacing w:after="0" w:line="240" w:lineRule="auto"/>
              <w:rPr>
                <w:rFonts w:ascii="Times New Roman" w:hAnsi="Times New Roman"/>
                <w:color w:val="000000"/>
                <w:sz w:val="18"/>
                <w:szCs w:val="18"/>
                <w:lang w:val="en-US"/>
              </w:rPr>
            </w:pPr>
            <w:r w:rsidRPr="00F4226B">
              <w:rPr>
                <w:rFonts w:ascii="Times New Roman" w:hAnsi="Times New Roman"/>
                <w:color w:val="000000"/>
                <w:sz w:val="18"/>
                <w:szCs w:val="18"/>
                <w:lang w:val="en-US"/>
              </w:rPr>
              <w:t>CASH FLOWS</w:t>
            </w:r>
          </w:p>
        </w:tc>
        <w:tc>
          <w:tcPr>
            <w:tcW w:w="1103" w:type="dxa"/>
            <w:tcBorders>
              <w:top w:val="nil"/>
              <w:left w:val="nil"/>
              <w:bottom w:val="nil"/>
              <w:right w:val="nil"/>
            </w:tcBorders>
            <w:shd w:val="clear" w:color="auto" w:fill="auto"/>
          </w:tcPr>
          <w:p w14:paraId="72423A82"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71CB8389"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56" w:type="dxa"/>
            <w:tcBorders>
              <w:top w:val="nil"/>
              <w:left w:val="nil"/>
              <w:bottom w:val="nil"/>
              <w:right w:val="nil"/>
            </w:tcBorders>
            <w:shd w:val="clear" w:color="auto" w:fill="auto"/>
          </w:tcPr>
          <w:p w14:paraId="278217C8"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260" w:type="dxa"/>
            <w:tcBorders>
              <w:top w:val="nil"/>
              <w:left w:val="nil"/>
              <w:bottom w:val="nil"/>
              <w:right w:val="nil"/>
            </w:tcBorders>
            <w:shd w:val="clear" w:color="auto" w:fill="auto"/>
          </w:tcPr>
          <w:p w14:paraId="44D7149E"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0A3EDDC0"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2.062</w:t>
            </w:r>
          </w:p>
          <w:p w14:paraId="28CDB4E4"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(2.57**)</w:t>
            </w:r>
          </w:p>
        </w:tc>
        <w:tc>
          <w:tcPr>
            <w:tcW w:w="1116" w:type="dxa"/>
            <w:tcBorders>
              <w:top w:val="nil"/>
              <w:left w:val="nil"/>
              <w:bottom w:val="nil"/>
              <w:right w:val="nil"/>
            </w:tcBorders>
            <w:shd w:val="clear" w:color="auto" w:fill="auto"/>
          </w:tcPr>
          <w:p w14:paraId="76A153C2"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0.819</w:t>
            </w:r>
          </w:p>
          <w:p w14:paraId="26173DE0"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(1.29)</w:t>
            </w:r>
          </w:p>
        </w:tc>
        <w:tc>
          <w:tcPr>
            <w:tcW w:w="1134" w:type="dxa"/>
            <w:tcBorders>
              <w:top w:val="nil"/>
              <w:left w:val="nil"/>
              <w:bottom w:val="nil"/>
              <w:right w:val="nil"/>
            </w:tcBorders>
            <w:shd w:val="clear" w:color="auto" w:fill="auto"/>
          </w:tcPr>
          <w:p w14:paraId="64AD92B7"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1.808</w:t>
            </w:r>
          </w:p>
          <w:p w14:paraId="71E2563C"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(2.03**)</w:t>
            </w:r>
          </w:p>
        </w:tc>
      </w:tr>
      <w:tr w:rsidR="008C5004" w:rsidRPr="00F4226B" w14:paraId="4B9D0A3A" w14:textId="77777777" w:rsidTr="0008368E">
        <w:tc>
          <w:tcPr>
            <w:tcW w:w="2151" w:type="dxa"/>
            <w:tcBorders>
              <w:top w:val="nil"/>
              <w:left w:val="nil"/>
              <w:bottom w:val="nil"/>
              <w:right w:val="nil"/>
            </w:tcBorders>
            <w:shd w:val="clear" w:color="auto" w:fill="auto"/>
          </w:tcPr>
          <w:p w14:paraId="64BAD4B1"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EIGLS</w:t>
            </w:r>
          </w:p>
        </w:tc>
        <w:tc>
          <w:tcPr>
            <w:tcW w:w="1103" w:type="dxa"/>
            <w:tcBorders>
              <w:top w:val="nil"/>
              <w:left w:val="nil"/>
              <w:bottom w:val="nil"/>
              <w:right w:val="nil"/>
            </w:tcBorders>
            <w:shd w:val="clear" w:color="auto" w:fill="auto"/>
          </w:tcPr>
          <w:p w14:paraId="6E7E7D17"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0591BFB0"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53" w:type="dxa"/>
            <w:tcBorders>
              <w:top w:val="nil"/>
              <w:left w:val="nil"/>
              <w:bottom w:val="nil"/>
              <w:right w:val="nil"/>
            </w:tcBorders>
            <w:shd w:val="clear" w:color="auto" w:fill="auto"/>
          </w:tcPr>
          <w:p w14:paraId="43737ECE"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40D483B2"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56" w:type="dxa"/>
            <w:tcBorders>
              <w:top w:val="nil"/>
              <w:left w:val="nil"/>
              <w:bottom w:val="nil"/>
              <w:right w:val="nil"/>
            </w:tcBorders>
            <w:shd w:val="clear" w:color="auto" w:fill="auto"/>
          </w:tcPr>
          <w:p w14:paraId="33CD1BDB"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1.249</w:t>
            </w:r>
          </w:p>
          <w:p w14:paraId="5EB27261" w14:textId="77777777" w:rsidR="008C5004" w:rsidRPr="00F4226B" w:rsidRDefault="008C5004" w:rsidP="001E78F5">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w:t>
            </w:r>
            <w:r w:rsidR="001E78F5" w:rsidRPr="00F4226B">
              <w:rPr>
                <w:rFonts w:ascii="Times New Roman" w:hAnsi="Times New Roman"/>
                <w:color w:val="000000"/>
                <w:sz w:val="18"/>
                <w:szCs w:val="18"/>
                <w:lang w:val="en-US"/>
              </w:rPr>
              <w:t>6</w:t>
            </w:r>
            <w:r w:rsidRPr="00F4226B">
              <w:rPr>
                <w:rFonts w:ascii="Times New Roman" w:hAnsi="Times New Roman"/>
                <w:color w:val="000000"/>
                <w:sz w:val="18"/>
                <w:szCs w:val="18"/>
                <w:lang w:val="en-US"/>
              </w:rPr>
              <w:t>8</w:t>
            </w:r>
            <w:r w:rsidR="001E78F5" w:rsidRPr="00F4226B">
              <w:rPr>
                <w:rFonts w:ascii="Times New Roman" w:hAnsi="Times New Roman"/>
                <w:color w:val="000000"/>
                <w:sz w:val="18"/>
                <w:szCs w:val="18"/>
                <w:lang w:val="en-US"/>
              </w:rPr>
              <w:t>*</w:t>
            </w:r>
            <w:r w:rsidRPr="00F4226B">
              <w:rPr>
                <w:rFonts w:ascii="Times New Roman" w:hAnsi="Times New Roman"/>
                <w:color w:val="000000"/>
                <w:sz w:val="18"/>
                <w:szCs w:val="18"/>
                <w:lang w:val="en-US"/>
              </w:rPr>
              <w:t>)</w:t>
            </w:r>
          </w:p>
        </w:tc>
        <w:tc>
          <w:tcPr>
            <w:tcW w:w="260" w:type="dxa"/>
            <w:tcBorders>
              <w:top w:val="nil"/>
              <w:left w:val="nil"/>
              <w:bottom w:val="nil"/>
              <w:right w:val="nil"/>
            </w:tcBorders>
            <w:shd w:val="clear" w:color="auto" w:fill="auto"/>
          </w:tcPr>
          <w:p w14:paraId="7EDADA90"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2CFFB2A9"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16" w:type="dxa"/>
            <w:tcBorders>
              <w:top w:val="nil"/>
              <w:left w:val="nil"/>
              <w:bottom w:val="nil"/>
              <w:right w:val="nil"/>
            </w:tcBorders>
            <w:shd w:val="clear" w:color="auto" w:fill="auto"/>
          </w:tcPr>
          <w:p w14:paraId="6875CA0B"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34" w:type="dxa"/>
            <w:tcBorders>
              <w:top w:val="nil"/>
              <w:left w:val="nil"/>
              <w:bottom w:val="nil"/>
              <w:right w:val="nil"/>
            </w:tcBorders>
            <w:shd w:val="clear" w:color="auto" w:fill="auto"/>
          </w:tcPr>
          <w:p w14:paraId="09D5013C"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r>
      <w:tr w:rsidR="008C5004" w:rsidRPr="00F4226B" w14:paraId="7E480E55" w14:textId="77777777" w:rsidTr="0008368E">
        <w:tc>
          <w:tcPr>
            <w:tcW w:w="2151" w:type="dxa"/>
            <w:tcBorders>
              <w:top w:val="nil"/>
              <w:left w:val="nil"/>
              <w:bottom w:val="nil"/>
              <w:right w:val="nil"/>
            </w:tcBorders>
            <w:shd w:val="clear" w:color="auto" w:fill="auto"/>
          </w:tcPr>
          <w:p w14:paraId="629E2C15" w14:textId="77777777" w:rsidR="008C5004" w:rsidRPr="00F4226B" w:rsidRDefault="008C5004" w:rsidP="008C5004">
            <w:pPr>
              <w:spacing w:after="0" w:line="240" w:lineRule="auto"/>
              <w:rPr>
                <w:rFonts w:ascii="Times New Roman" w:hAnsi="Times New Roman"/>
                <w:color w:val="000000"/>
                <w:sz w:val="18"/>
                <w:szCs w:val="18"/>
                <w:lang w:val="en-US"/>
              </w:rPr>
            </w:pPr>
            <w:r w:rsidRPr="00F4226B">
              <w:rPr>
                <w:rFonts w:ascii="Times New Roman" w:hAnsi="Times New Roman"/>
                <w:color w:val="000000"/>
                <w:sz w:val="18"/>
                <w:szCs w:val="18"/>
                <w:lang w:val="en-US"/>
              </w:rPr>
              <w:t>CASHIGLS</w:t>
            </w:r>
          </w:p>
          <w:p w14:paraId="690E19BD" w14:textId="77777777" w:rsidR="008C5004" w:rsidRPr="00F4226B" w:rsidRDefault="008C5004" w:rsidP="008C5004">
            <w:pPr>
              <w:spacing w:after="0" w:line="240" w:lineRule="auto"/>
              <w:rPr>
                <w:rFonts w:ascii="Times New Roman" w:hAnsi="Times New Roman"/>
                <w:color w:val="000000"/>
                <w:sz w:val="18"/>
                <w:szCs w:val="18"/>
                <w:lang w:val="en-US"/>
              </w:rPr>
            </w:pPr>
          </w:p>
        </w:tc>
        <w:tc>
          <w:tcPr>
            <w:tcW w:w="1103" w:type="dxa"/>
            <w:tcBorders>
              <w:top w:val="nil"/>
              <w:left w:val="nil"/>
              <w:bottom w:val="nil"/>
              <w:right w:val="nil"/>
            </w:tcBorders>
            <w:shd w:val="clear" w:color="auto" w:fill="auto"/>
          </w:tcPr>
          <w:p w14:paraId="5CFE4804"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221DB1EC"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56" w:type="dxa"/>
            <w:tcBorders>
              <w:top w:val="nil"/>
              <w:left w:val="nil"/>
              <w:bottom w:val="nil"/>
              <w:right w:val="nil"/>
            </w:tcBorders>
            <w:shd w:val="clear" w:color="auto" w:fill="auto"/>
          </w:tcPr>
          <w:p w14:paraId="683F76DC"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260" w:type="dxa"/>
            <w:tcBorders>
              <w:top w:val="nil"/>
              <w:left w:val="nil"/>
              <w:bottom w:val="nil"/>
              <w:right w:val="nil"/>
            </w:tcBorders>
            <w:shd w:val="clear" w:color="auto" w:fill="auto"/>
          </w:tcPr>
          <w:p w14:paraId="65BFC4BD"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08EB794E"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nil"/>
              <w:right w:val="nil"/>
            </w:tcBorders>
            <w:shd w:val="clear" w:color="auto" w:fill="auto"/>
          </w:tcPr>
          <w:p w14:paraId="4C99555D"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34" w:type="dxa"/>
            <w:tcBorders>
              <w:top w:val="nil"/>
              <w:left w:val="nil"/>
              <w:bottom w:val="nil"/>
              <w:right w:val="nil"/>
            </w:tcBorders>
            <w:shd w:val="clear" w:color="auto" w:fill="auto"/>
          </w:tcPr>
          <w:p w14:paraId="316CBB2F" w14:textId="77777777" w:rsidR="00A01BF1" w:rsidRPr="00F4226B" w:rsidRDefault="007B330D"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 xml:space="preserve">-0.661   </w:t>
            </w:r>
          </w:p>
          <w:p w14:paraId="3355D138" w14:textId="77777777" w:rsidR="008C5004" w:rsidRPr="00F4226B" w:rsidRDefault="007B330D"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lastRenderedPageBreak/>
              <w:t xml:space="preserve">    (-0.66)</w:t>
            </w:r>
          </w:p>
        </w:tc>
      </w:tr>
      <w:tr w:rsidR="008C5004" w:rsidRPr="00F4226B" w14:paraId="43C57C97" w14:textId="77777777" w:rsidTr="0008368E">
        <w:tc>
          <w:tcPr>
            <w:tcW w:w="2151" w:type="dxa"/>
            <w:tcBorders>
              <w:top w:val="nil"/>
              <w:left w:val="nil"/>
              <w:bottom w:val="nil"/>
              <w:right w:val="nil"/>
            </w:tcBorders>
            <w:shd w:val="clear" w:color="auto" w:fill="auto"/>
          </w:tcPr>
          <w:p w14:paraId="2D5ACD8A"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lastRenderedPageBreak/>
              <w:t>Fixed time effects</w:t>
            </w:r>
          </w:p>
        </w:tc>
        <w:tc>
          <w:tcPr>
            <w:tcW w:w="1103" w:type="dxa"/>
            <w:tcBorders>
              <w:top w:val="nil"/>
              <w:left w:val="nil"/>
              <w:bottom w:val="nil"/>
              <w:right w:val="nil"/>
            </w:tcBorders>
            <w:shd w:val="clear" w:color="auto" w:fill="auto"/>
          </w:tcPr>
          <w:p w14:paraId="0F8BE7F3"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153" w:type="dxa"/>
            <w:tcBorders>
              <w:top w:val="nil"/>
              <w:left w:val="nil"/>
              <w:bottom w:val="nil"/>
              <w:right w:val="nil"/>
            </w:tcBorders>
            <w:shd w:val="clear" w:color="auto" w:fill="auto"/>
          </w:tcPr>
          <w:p w14:paraId="054E0D54"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156" w:type="dxa"/>
            <w:tcBorders>
              <w:top w:val="nil"/>
              <w:left w:val="nil"/>
              <w:bottom w:val="nil"/>
              <w:right w:val="nil"/>
            </w:tcBorders>
            <w:shd w:val="clear" w:color="auto" w:fill="auto"/>
          </w:tcPr>
          <w:p w14:paraId="1E61FDE6"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260" w:type="dxa"/>
            <w:tcBorders>
              <w:top w:val="nil"/>
              <w:left w:val="nil"/>
              <w:bottom w:val="nil"/>
              <w:right w:val="nil"/>
            </w:tcBorders>
            <w:shd w:val="clear" w:color="auto" w:fill="auto"/>
          </w:tcPr>
          <w:p w14:paraId="305624BE"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73CC4BBC"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116" w:type="dxa"/>
            <w:tcBorders>
              <w:top w:val="nil"/>
              <w:left w:val="nil"/>
              <w:bottom w:val="nil"/>
              <w:right w:val="nil"/>
            </w:tcBorders>
            <w:shd w:val="clear" w:color="auto" w:fill="auto"/>
          </w:tcPr>
          <w:p w14:paraId="7F826CC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1134" w:type="dxa"/>
            <w:tcBorders>
              <w:top w:val="nil"/>
              <w:left w:val="nil"/>
              <w:bottom w:val="nil"/>
              <w:right w:val="nil"/>
            </w:tcBorders>
            <w:shd w:val="clear" w:color="auto" w:fill="auto"/>
          </w:tcPr>
          <w:p w14:paraId="4993BCF9"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r>
      <w:tr w:rsidR="008C5004" w:rsidRPr="00F4226B" w14:paraId="02294FB9" w14:textId="77777777" w:rsidTr="0008368E">
        <w:trPr>
          <w:trHeight w:val="111"/>
        </w:trPr>
        <w:tc>
          <w:tcPr>
            <w:tcW w:w="2151" w:type="dxa"/>
            <w:tcBorders>
              <w:top w:val="nil"/>
              <w:left w:val="nil"/>
              <w:bottom w:val="nil"/>
              <w:right w:val="nil"/>
            </w:tcBorders>
            <w:shd w:val="clear" w:color="auto" w:fill="auto"/>
          </w:tcPr>
          <w:p w14:paraId="0A49886C"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F-ratio</w:t>
            </w:r>
          </w:p>
        </w:tc>
        <w:tc>
          <w:tcPr>
            <w:tcW w:w="1103" w:type="dxa"/>
            <w:tcBorders>
              <w:top w:val="nil"/>
              <w:left w:val="nil"/>
              <w:bottom w:val="nil"/>
              <w:right w:val="nil"/>
            </w:tcBorders>
            <w:shd w:val="clear" w:color="auto" w:fill="auto"/>
          </w:tcPr>
          <w:p w14:paraId="4203495D"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10.31***</w:t>
            </w:r>
          </w:p>
        </w:tc>
        <w:tc>
          <w:tcPr>
            <w:tcW w:w="1153" w:type="dxa"/>
            <w:tcBorders>
              <w:top w:val="nil"/>
              <w:left w:val="nil"/>
              <w:bottom w:val="nil"/>
              <w:right w:val="nil"/>
            </w:tcBorders>
            <w:shd w:val="clear" w:color="auto" w:fill="auto"/>
          </w:tcPr>
          <w:p w14:paraId="13223C1F"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4.54**</w:t>
            </w:r>
          </w:p>
        </w:tc>
        <w:tc>
          <w:tcPr>
            <w:tcW w:w="1156" w:type="dxa"/>
            <w:tcBorders>
              <w:top w:val="nil"/>
              <w:left w:val="nil"/>
              <w:bottom w:val="nil"/>
              <w:right w:val="nil"/>
            </w:tcBorders>
            <w:shd w:val="clear" w:color="auto" w:fill="auto"/>
          </w:tcPr>
          <w:p w14:paraId="236921BE"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7.87***</w:t>
            </w:r>
          </w:p>
        </w:tc>
        <w:tc>
          <w:tcPr>
            <w:tcW w:w="260" w:type="dxa"/>
            <w:tcBorders>
              <w:top w:val="nil"/>
              <w:left w:val="nil"/>
              <w:bottom w:val="nil"/>
              <w:right w:val="nil"/>
            </w:tcBorders>
            <w:shd w:val="clear" w:color="auto" w:fill="auto"/>
          </w:tcPr>
          <w:p w14:paraId="13403D82" w14:textId="77777777" w:rsidR="008C5004" w:rsidRPr="00F4226B" w:rsidRDefault="008C5004" w:rsidP="00582332">
            <w:pPr>
              <w:spacing w:after="0" w:line="240" w:lineRule="auto"/>
              <w:jc w:val="center"/>
              <w:rPr>
                <w:rFonts w:ascii="Times New Roman" w:hAnsi="Times New Roman"/>
                <w:bCs/>
                <w:color w:val="000000"/>
                <w:sz w:val="18"/>
                <w:szCs w:val="18"/>
                <w:lang w:val="en-US" w:eastAsia="es-ES"/>
              </w:rPr>
            </w:pPr>
          </w:p>
        </w:tc>
        <w:tc>
          <w:tcPr>
            <w:tcW w:w="1107" w:type="dxa"/>
            <w:tcBorders>
              <w:top w:val="nil"/>
              <w:left w:val="nil"/>
              <w:bottom w:val="nil"/>
              <w:right w:val="nil"/>
            </w:tcBorders>
            <w:shd w:val="clear" w:color="auto" w:fill="auto"/>
          </w:tcPr>
          <w:p w14:paraId="228462A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3.53**</w:t>
            </w:r>
          </w:p>
        </w:tc>
        <w:tc>
          <w:tcPr>
            <w:tcW w:w="1116" w:type="dxa"/>
            <w:tcBorders>
              <w:top w:val="nil"/>
              <w:left w:val="nil"/>
              <w:bottom w:val="nil"/>
              <w:right w:val="nil"/>
            </w:tcBorders>
            <w:shd w:val="clear" w:color="auto" w:fill="auto"/>
          </w:tcPr>
          <w:p w14:paraId="4BC9132E" w14:textId="77777777" w:rsidR="008C5004" w:rsidRPr="00F4226B" w:rsidRDefault="008C5004" w:rsidP="00582332">
            <w:pPr>
              <w:spacing w:after="0" w:line="240" w:lineRule="auto"/>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1.70</w:t>
            </w:r>
          </w:p>
        </w:tc>
        <w:tc>
          <w:tcPr>
            <w:tcW w:w="1134" w:type="dxa"/>
            <w:tcBorders>
              <w:top w:val="nil"/>
              <w:left w:val="nil"/>
              <w:bottom w:val="nil"/>
              <w:right w:val="nil"/>
            </w:tcBorders>
            <w:shd w:val="clear" w:color="auto" w:fill="auto"/>
          </w:tcPr>
          <w:p w14:paraId="7BF1B13C"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2.48*</w:t>
            </w:r>
          </w:p>
        </w:tc>
      </w:tr>
      <w:tr w:rsidR="008C5004" w:rsidRPr="00F4226B" w14:paraId="7A103BC7" w14:textId="77777777" w:rsidTr="0008368E">
        <w:tc>
          <w:tcPr>
            <w:tcW w:w="2151" w:type="dxa"/>
            <w:tcBorders>
              <w:top w:val="nil"/>
              <w:left w:val="nil"/>
              <w:bottom w:val="nil"/>
              <w:right w:val="nil"/>
            </w:tcBorders>
            <w:shd w:val="clear" w:color="auto" w:fill="auto"/>
          </w:tcPr>
          <w:p w14:paraId="05E428AE"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Adjusted R</w:t>
            </w:r>
            <w:r w:rsidRPr="00F4226B">
              <w:rPr>
                <w:rFonts w:ascii="Times New Roman" w:hAnsi="Times New Roman"/>
                <w:bCs/>
                <w:color w:val="000000"/>
                <w:sz w:val="18"/>
                <w:szCs w:val="18"/>
                <w:vertAlign w:val="superscript"/>
                <w:lang w:val="en-US" w:eastAsia="es-ES"/>
              </w:rPr>
              <w:t>2</w:t>
            </w:r>
          </w:p>
        </w:tc>
        <w:tc>
          <w:tcPr>
            <w:tcW w:w="1103" w:type="dxa"/>
            <w:tcBorders>
              <w:top w:val="nil"/>
              <w:left w:val="nil"/>
              <w:bottom w:val="nil"/>
              <w:right w:val="nil"/>
            </w:tcBorders>
            <w:shd w:val="clear" w:color="auto" w:fill="auto"/>
          </w:tcPr>
          <w:p w14:paraId="1CF93EB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0.223</w:t>
            </w:r>
          </w:p>
        </w:tc>
        <w:tc>
          <w:tcPr>
            <w:tcW w:w="1153" w:type="dxa"/>
            <w:tcBorders>
              <w:top w:val="nil"/>
              <w:left w:val="nil"/>
              <w:bottom w:val="nil"/>
              <w:right w:val="nil"/>
            </w:tcBorders>
            <w:shd w:val="clear" w:color="auto" w:fill="auto"/>
          </w:tcPr>
          <w:p w14:paraId="20E85A27"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0.098</w:t>
            </w:r>
          </w:p>
        </w:tc>
        <w:tc>
          <w:tcPr>
            <w:tcW w:w="1156" w:type="dxa"/>
            <w:tcBorders>
              <w:top w:val="nil"/>
              <w:left w:val="nil"/>
              <w:bottom w:val="nil"/>
              <w:right w:val="nil"/>
            </w:tcBorders>
            <w:shd w:val="clear" w:color="auto" w:fill="auto"/>
          </w:tcPr>
          <w:p w14:paraId="0CD746AD"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0.241</w:t>
            </w:r>
          </w:p>
        </w:tc>
        <w:tc>
          <w:tcPr>
            <w:tcW w:w="260" w:type="dxa"/>
            <w:tcBorders>
              <w:top w:val="nil"/>
              <w:left w:val="nil"/>
              <w:bottom w:val="nil"/>
              <w:right w:val="nil"/>
            </w:tcBorders>
            <w:shd w:val="clear" w:color="auto" w:fill="auto"/>
          </w:tcPr>
          <w:p w14:paraId="39BF1508" w14:textId="77777777" w:rsidR="008C5004" w:rsidRPr="00F4226B" w:rsidRDefault="008C5004" w:rsidP="00582332">
            <w:pPr>
              <w:spacing w:after="0" w:line="240" w:lineRule="auto"/>
              <w:jc w:val="center"/>
              <w:rPr>
                <w:rFonts w:ascii="Times New Roman" w:hAnsi="Times New Roman"/>
                <w:bCs/>
                <w:color w:val="000000"/>
                <w:sz w:val="18"/>
                <w:szCs w:val="18"/>
                <w:lang w:val="en-US" w:eastAsia="es-ES"/>
              </w:rPr>
            </w:pPr>
          </w:p>
        </w:tc>
        <w:tc>
          <w:tcPr>
            <w:tcW w:w="1107" w:type="dxa"/>
            <w:tcBorders>
              <w:top w:val="nil"/>
              <w:left w:val="nil"/>
              <w:bottom w:val="nil"/>
              <w:right w:val="nil"/>
            </w:tcBorders>
            <w:shd w:val="clear" w:color="auto" w:fill="auto"/>
          </w:tcPr>
          <w:p w14:paraId="72969C3F"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0.072</w:t>
            </w:r>
          </w:p>
        </w:tc>
        <w:tc>
          <w:tcPr>
            <w:tcW w:w="1116" w:type="dxa"/>
            <w:tcBorders>
              <w:top w:val="nil"/>
              <w:left w:val="nil"/>
              <w:bottom w:val="nil"/>
              <w:right w:val="nil"/>
            </w:tcBorders>
            <w:shd w:val="clear" w:color="auto" w:fill="auto"/>
          </w:tcPr>
          <w:p w14:paraId="16F51839" w14:textId="77777777" w:rsidR="008C5004" w:rsidRPr="00F4226B" w:rsidRDefault="008C5004" w:rsidP="00582332">
            <w:pPr>
              <w:spacing w:after="0" w:line="240" w:lineRule="auto"/>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0.019</w:t>
            </w:r>
          </w:p>
        </w:tc>
        <w:tc>
          <w:tcPr>
            <w:tcW w:w="1134" w:type="dxa"/>
            <w:tcBorders>
              <w:top w:val="nil"/>
              <w:left w:val="nil"/>
              <w:bottom w:val="nil"/>
              <w:right w:val="nil"/>
            </w:tcBorders>
            <w:shd w:val="clear" w:color="auto" w:fill="auto"/>
          </w:tcPr>
          <w:p w14:paraId="53AEF59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0.064</w:t>
            </w:r>
          </w:p>
        </w:tc>
      </w:tr>
      <w:tr w:rsidR="008C5004" w:rsidRPr="00F4226B" w14:paraId="41624E13" w14:textId="77777777" w:rsidTr="0008368E">
        <w:tc>
          <w:tcPr>
            <w:tcW w:w="2151" w:type="dxa"/>
            <w:tcBorders>
              <w:top w:val="nil"/>
              <w:left w:val="nil"/>
              <w:bottom w:val="nil"/>
              <w:right w:val="nil"/>
            </w:tcBorders>
            <w:shd w:val="clear" w:color="auto" w:fill="auto"/>
          </w:tcPr>
          <w:p w14:paraId="5BD23BA6"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Vuong’s Z-statistics:</w:t>
            </w:r>
          </w:p>
          <w:p w14:paraId="2B4740F9"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IA data                  </w:t>
            </w:r>
          </w:p>
        </w:tc>
        <w:tc>
          <w:tcPr>
            <w:tcW w:w="1103" w:type="dxa"/>
            <w:tcBorders>
              <w:top w:val="nil"/>
              <w:left w:val="nil"/>
              <w:bottom w:val="nil"/>
              <w:right w:val="nil"/>
            </w:tcBorders>
            <w:shd w:val="clear" w:color="auto" w:fill="auto"/>
          </w:tcPr>
          <w:p w14:paraId="679458FC"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4126B528"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p w14:paraId="050091CE"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3.144***</w:t>
            </w:r>
          </w:p>
        </w:tc>
        <w:tc>
          <w:tcPr>
            <w:tcW w:w="1156" w:type="dxa"/>
            <w:tcBorders>
              <w:top w:val="nil"/>
              <w:left w:val="nil"/>
              <w:bottom w:val="nil"/>
              <w:right w:val="nil"/>
            </w:tcBorders>
            <w:shd w:val="clear" w:color="auto" w:fill="auto"/>
          </w:tcPr>
          <w:p w14:paraId="01E65040"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p w14:paraId="7BA15481"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260" w:type="dxa"/>
            <w:tcBorders>
              <w:top w:val="nil"/>
              <w:left w:val="nil"/>
              <w:bottom w:val="nil"/>
              <w:right w:val="nil"/>
            </w:tcBorders>
            <w:shd w:val="clear" w:color="auto" w:fill="auto"/>
          </w:tcPr>
          <w:p w14:paraId="7733CDFA"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1971DCFE"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nil"/>
              <w:right w:val="nil"/>
            </w:tcBorders>
            <w:shd w:val="clear" w:color="auto" w:fill="auto"/>
          </w:tcPr>
          <w:p w14:paraId="4037C8C7"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371E3F3A"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4.651***</w:t>
            </w:r>
          </w:p>
        </w:tc>
        <w:tc>
          <w:tcPr>
            <w:tcW w:w="1134" w:type="dxa"/>
            <w:tcBorders>
              <w:top w:val="nil"/>
              <w:left w:val="nil"/>
              <w:bottom w:val="nil"/>
              <w:right w:val="nil"/>
            </w:tcBorders>
            <w:shd w:val="clear" w:color="auto" w:fill="auto"/>
          </w:tcPr>
          <w:p w14:paraId="1E6C721C"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r>
      <w:tr w:rsidR="008C5004" w:rsidRPr="00F4226B" w14:paraId="2806E29F" w14:textId="77777777" w:rsidTr="0008368E">
        <w:tc>
          <w:tcPr>
            <w:tcW w:w="2151" w:type="dxa"/>
            <w:tcBorders>
              <w:top w:val="nil"/>
              <w:left w:val="nil"/>
              <w:bottom w:val="nil"/>
              <w:right w:val="nil"/>
            </w:tcBorders>
            <w:shd w:val="clear" w:color="auto" w:fill="auto"/>
          </w:tcPr>
          <w:p w14:paraId="735A07B1"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Incremental data                            </w:t>
            </w:r>
          </w:p>
        </w:tc>
        <w:tc>
          <w:tcPr>
            <w:tcW w:w="1103" w:type="dxa"/>
            <w:tcBorders>
              <w:top w:val="nil"/>
              <w:left w:val="nil"/>
              <w:bottom w:val="nil"/>
              <w:right w:val="nil"/>
            </w:tcBorders>
            <w:shd w:val="clear" w:color="auto" w:fill="auto"/>
          </w:tcPr>
          <w:p w14:paraId="5FE5F481"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13E1E596"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156" w:type="dxa"/>
            <w:tcBorders>
              <w:top w:val="nil"/>
              <w:left w:val="nil"/>
              <w:bottom w:val="nil"/>
              <w:right w:val="nil"/>
            </w:tcBorders>
            <w:shd w:val="clear" w:color="auto" w:fill="auto"/>
          </w:tcPr>
          <w:p w14:paraId="5C317479"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-0.506</w:t>
            </w:r>
          </w:p>
        </w:tc>
        <w:tc>
          <w:tcPr>
            <w:tcW w:w="260" w:type="dxa"/>
            <w:tcBorders>
              <w:top w:val="nil"/>
              <w:left w:val="nil"/>
              <w:bottom w:val="nil"/>
              <w:right w:val="nil"/>
            </w:tcBorders>
            <w:shd w:val="clear" w:color="auto" w:fill="auto"/>
          </w:tcPr>
          <w:p w14:paraId="704E1CA5"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7FADEC36"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nil"/>
              <w:right w:val="nil"/>
            </w:tcBorders>
            <w:shd w:val="clear" w:color="auto" w:fill="auto"/>
          </w:tcPr>
          <w:p w14:paraId="4E4BC0A3"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34" w:type="dxa"/>
            <w:tcBorders>
              <w:top w:val="nil"/>
              <w:left w:val="nil"/>
              <w:bottom w:val="nil"/>
              <w:right w:val="nil"/>
            </w:tcBorders>
            <w:shd w:val="clear" w:color="auto" w:fill="auto"/>
          </w:tcPr>
          <w:p w14:paraId="4B2A122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-0.690</w:t>
            </w:r>
          </w:p>
        </w:tc>
      </w:tr>
      <w:tr w:rsidR="008C5004" w:rsidRPr="00F4226B" w14:paraId="7ED39D39" w14:textId="77777777" w:rsidTr="0008368E">
        <w:tc>
          <w:tcPr>
            <w:tcW w:w="2151" w:type="dxa"/>
            <w:tcBorders>
              <w:top w:val="nil"/>
              <w:left w:val="nil"/>
              <w:bottom w:val="single" w:sz="4" w:space="0" w:color="auto"/>
              <w:right w:val="nil"/>
            </w:tcBorders>
            <w:shd w:val="clear" w:color="auto" w:fill="auto"/>
          </w:tcPr>
          <w:p w14:paraId="2B30A4B0"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IA vs Incremental data                         </w:t>
            </w:r>
          </w:p>
        </w:tc>
        <w:tc>
          <w:tcPr>
            <w:tcW w:w="1103" w:type="dxa"/>
            <w:tcBorders>
              <w:top w:val="nil"/>
              <w:left w:val="nil"/>
              <w:bottom w:val="single" w:sz="4" w:space="0" w:color="auto"/>
              <w:right w:val="nil"/>
            </w:tcBorders>
            <w:shd w:val="clear" w:color="auto" w:fill="auto"/>
          </w:tcPr>
          <w:p w14:paraId="042AACE3"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153" w:type="dxa"/>
            <w:tcBorders>
              <w:top w:val="nil"/>
              <w:left w:val="nil"/>
              <w:bottom w:val="single" w:sz="4" w:space="0" w:color="auto"/>
              <w:right w:val="nil"/>
            </w:tcBorders>
            <w:shd w:val="clear" w:color="auto" w:fill="auto"/>
          </w:tcPr>
          <w:p w14:paraId="743735BC"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156" w:type="dxa"/>
            <w:tcBorders>
              <w:top w:val="nil"/>
              <w:left w:val="nil"/>
              <w:bottom w:val="single" w:sz="4" w:space="0" w:color="auto"/>
              <w:right w:val="nil"/>
            </w:tcBorders>
            <w:shd w:val="clear" w:color="auto" w:fill="auto"/>
          </w:tcPr>
          <w:p w14:paraId="0515731F"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3.230***</w:t>
            </w:r>
          </w:p>
        </w:tc>
        <w:tc>
          <w:tcPr>
            <w:tcW w:w="260" w:type="dxa"/>
            <w:tcBorders>
              <w:top w:val="nil"/>
              <w:left w:val="nil"/>
              <w:bottom w:val="single" w:sz="4" w:space="0" w:color="auto"/>
              <w:right w:val="nil"/>
            </w:tcBorders>
            <w:shd w:val="clear" w:color="auto" w:fill="auto"/>
          </w:tcPr>
          <w:p w14:paraId="22EE2FA0"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single" w:sz="4" w:space="0" w:color="auto"/>
              <w:right w:val="nil"/>
            </w:tcBorders>
            <w:shd w:val="clear" w:color="auto" w:fill="auto"/>
          </w:tcPr>
          <w:p w14:paraId="26A5CBEB"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single" w:sz="4" w:space="0" w:color="auto"/>
              <w:right w:val="nil"/>
            </w:tcBorders>
            <w:shd w:val="clear" w:color="auto" w:fill="auto"/>
          </w:tcPr>
          <w:p w14:paraId="418CB217"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34" w:type="dxa"/>
            <w:tcBorders>
              <w:top w:val="nil"/>
              <w:left w:val="nil"/>
              <w:bottom w:val="single" w:sz="4" w:space="0" w:color="auto"/>
              <w:right w:val="nil"/>
            </w:tcBorders>
            <w:shd w:val="clear" w:color="auto" w:fill="auto"/>
          </w:tcPr>
          <w:p w14:paraId="4D98ED47"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3.474***</w:t>
            </w:r>
          </w:p>
        </w:tc>
      </w:tr>
      <w:tr w:rsidR="008C5004" w:rsidRPr="00F4226B" w14:paraId="153DD29A" w14:textId="77777777" w:rsidTr="0008368E">
        <w:tc>
          <w:tcPr>
            <w:tcW w:w="9180" w:type="dxa"/>
            <w:gridSpan w:val="8"/>
            <w:tcBorders>
              <w:left w:val="nil"/>
              <w:bottom w:val="single" w:sz="4" w:space="0" w:color="auto"/>
              <w:right w:val="nil"/>
            </w:tcBorders>
            <w:shd w:val="clear" w:color="auto" w:fill="auto"/>
          </w:tcPr>
          <w:p w14:paraId="17438B25" w14:textId="2EC2D489" w:rsidR="008C5004" w:rsidRPr="00F4226B" w:rsidRDefault="008C5004" w:rsidP="008C5004">
            <w:pPr>
              <w:spacing w:before="120" w:after="120" w:line="240" w:lineRule="auto"/>
              <w:rPr>
                <w:rFonts w:ascii="Times New Roman" w:hAnsi="Times New Roman"/>
                <w:color w:val="000000"/>
                <w:sz w:val="18"/>
                <w:szCs w:val="18"/>
                <w:lang w:val="en-US"/>
              </w:rPr>
            </w:pPr>
            <w:r w:rsidRPr="00F4226B">
              <w:rPr>
                <w:rFonts w:ascii="Times New Roman" w:hAnsi="Times New Roman"/>
                <w:b/>
                <w:color w:val="000000"/>
                <w:sz w:val="18"/>
                <w:szCs w:val="18"/>
                <w:lang w:val="en-US"/>
              </w:rPr>
              <w:t>Panel C: High inflation period (2003</w:t>
            </w:r>
            <w:r w:rsidR="00D73423">
              <w:rPr>
                <w:rFonts w:ascii="Times New Roman" w:hAnsi="Times New Roman"/>
                <w:b/>
                <w:color w:val="000000"/>
                <w:sz w:val="18"/>
                <w:szCs w:val="18"/>
                <w:lang w:val="en-US"/>
              </w:rPr>
              <w:t>–</w:t>
            </w:r>
            <w:r w:rsidRPr="00F4226B">
              <w:rPr>
                <w:rFonts w:ascii="Times New Roman" w:hAnsi="Times New Roman"/>
                <w:b/>
                <w:color w:val="000000"/>
                <w:sz w:val="18"/>
                <w:szCs w:val="18"/>
                <w:lang w:val="en-US"/>
              </w:rPr>
              <w:t>2005) (=66 obs)</w:t>
            </w:r>
          </w:p>
        </w:tc>
      </w:tr>
      <w:tr w:rsidR="008C5004" w:rsidRPr="00F4226B" w14:paraId="26DE7609" w14:textId="77777777" w:rsidTr="0008368E">
        <w:tc>
          <w:tcPr>
            <w:tcW w:w="2151" w:type="dxa"/>
            <w:tcBorders>
              <w:top w:val="single" w:sz="4" w:space="0" w:color="auto"/>
              <w:left w:val="nil"/>
              <w:bottom w:val="nil"/>
              <w:right w:val="nil"/>
            </w:tcBorders>
            <w:shd w:val="clear" w:color="auto" w:fill="auto"/>
          </w:tcPr>
          <w:p w14:paraId="7FC50E58"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Intercept</w:t>
            </w:r>
          </w:p>
        </w:tc>
        <w:tc>
          <w:tcPr>
            <w:tcW w:w="1103" w:type="dxa"/>
            <w:tcBorders>
              <w:top w:val="single" w:sz="4" w:space="0" w:color="auto"/>
              <w:left w:val="nil"/>
              <w:bottom w:val="nil"/>
              <w:right w:val="nil"/>
            </w:tcBorders>
            <w:shd w:val="clear" w:color="auto" w:fill="auto"/>
          </w:tcPr>
          <w:p w14:paraId="45C4533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-2.563</w:t>
            </w:r>
          </w:p>
          <w:p w14:paraId="17B9013B"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(-11.01***)</w:t>
            </w:r>
          </w:p>
        </w:tc>
        <w:tc>
          <w:tcPr>
            <w:tcW w:w="1153" w:type="dxa"/>
            <w:tcBorders>
              <w:top w:val="single" w:sz="4" w:space="0" w:color="auto"/>
              <w:left w:val="nil"/>
              <w:bottom w:val="nil"/>
              <w:right w:val="nil"/>
            </w:tcBorders>
            <w:shd w:val="clear" w:color="auto" w:fill="auto"/>
          </w:tcPr>
          <w:p w14:paraId="2F70FA4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-2.339</w:t>
            </w:r>
          </w:p>
          <w:p w14:paraId="1C3DE7A2"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(-10.40***)</w:t>
            </w:r>
          </w:p>
        </w:tc>
        <w:tc>
          <w:tcPr>
            <w:tcW w:w="1156" w:type="dxa"/>
            <w:tcBorders>
              <w:top w:val="single" w:sz="4" w:space="0" w:color="auto"/>
              <w:left w:val="nil"/>
              <w:bottom w:val="nil"/>
              <w:right w:val="nil"/>
            </w:tcBorders>
            <w:shd w:val="clear" w:color="auto" w:fill="auto"/>
          </w:tcPr>
          <w:p w14:paraId="0DEBFF08"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-2.593</w:t>
            </w:r>
          </w:p>
          <w:p w14:paraId="31A38CD4"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(-11.45***)</w:t>
            </w:r>
          </w:p>
        </w:tc>
        <w:tc>
          <w:tcPr>
            <w:tcW w:w="260" w:type="dxa"/>
            <w:tcBorders>
              <w:top w:val="single" w:sz="4" w:space="0" w:color="auto"/>
              <w:left w:val="nil"/>
              <w:bottom w:val="nil"/>
              <w:right w:val="nil"/>
            </w:tcBorders>
            <w:shd w:val="clear" w:color="auto" w:fill="auto"/>
          </w:tcPr>
          <w:p w14:paraId="6A5E8052"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single" w:sz="4" w:space="0" w:color="auto"/>
              <w:left w:val="nil"/>
              <w:bottom w:val="nil"/>
              <w:right w:val="nil"/>
            </w:tcBorders>
            <w:shd w:val="clear" w:color="auto" w:fill="auto"/>
          </w:tcPr>
          <w:p w14:paraId="466DCBCA"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-2.239</w:t>
            </w:r>
          </w:p>
          <w:p w14:paraId="7D2FE3D7"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(-10.21***)</w:t>
            </w:r>
          </w:p>
        </w:tc>
        <w:tc>
          <w:tcPr>
            <w:tcW w:w="1116" w:type="dxa"/>
            <w:tcBorders>
              <w:top w:val="single" w:sz="4" w:space="0" w:color="auto"/>
              <w:left w:val="nil"/>
              <w:bottom w:val="nil"/>
              <w:right w:val="nil"/>
            </w:tcBorders>
            <w:shd w:val="clear" w:color="auto" w:fill="auto"/>
          </w:tcPr>
          <w:p w14:paraId="314498AE"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-2.132</w:t>
            </w:r>
          </w:p>
          <w:p w14:paraId="2FA22281"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(-8.06***)</w:t>
            </w:r>
          </w:p>
        </w:tc>
        <w:tc>
          <w:tcPr>
            <w:tcW w:w="1134" w:type="dxa"/>
            <w:tcBorders>
              <w:top w:val="single" w:sz="4" w:space="0" w:color="auto"/>
              <w:left w:val="nil"/>
              <w:bottom w:val="nil"/>
              <w:right w:val="nil"/>
            </w:tcBorders>
            <w:shd w:val="clear" w:color="auto" w:fill="auto"/>
          </w:tcPr>
          <w:p w14:paraId="7A1279CA"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-2.124</w:t>
            </w:r>
          </w:p>
          <w:p w14:paraId="31D72CCD"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(-8.46***)</w:t>
            </w:r>
          </w:p>
        </w:tc>
      </w:tr>
      <w:tr w:rsidR="008C5004" w:rsidRPr="00F4226B" w14:paraId="1550EFEF" w14:textId="77777777" w:rsidTr="0008368E">
        <w:tc>
          <w:tcPr>
            <w:tcW w:w="2151" w:type="dxa"/>
            <w:tcBorders>
              <w:top w:val="nil"/>
              <w:left w:val="nil"/>
              <w:bottom w:val="nil"/>
              <w:right w:val="nil"/>
            </w:tcBorders>
            <w:shd w:val="clear" w:color="auto" w:fill="auto"/>
          </w:tcPr>
          <w:p w14:paraId="3F630EA3"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EARNINGS</w:t>
            </w:r>
          </w:p>
        </w:tc>
        <w:tc>
          <w:tcPr>
            <w:tcW w:w="1103" w:type="dxa"/>
            <w:tcBorders>
              <w:top w:val="nil"/>
              <w:left w:val="nil"/>
              <w:bottom w:val="nil"/>
              <w:right w:val="nil"/>
            </w:tcBorders>
            <w:shd w:val="clear" w:color="auto" w:fill="auto"/>
          </w:tcPr>
          <w:p w14:paraId="5635551C"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1.791    (3.95***)</w:t>
            </w:r>
          </w:p>
        </w:tc>
        <w:tc>
          <w:tcPr>
            <w:tcW w:w="1153" w:type="dxa"/>
            <w:tcBorders>
              <w:top w:val="nil"/>
              <w:left w:val="nil"/>
              <w:bottom w:val="nil"/>
              <w:right w:val="nil"/>
            </w:tcBorders>
            <w:shd w:val="clear" w:color="auto" w:fill="auto"/>
          </w:tcPr>
          <w:p w14:paraId="570F0177"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3.137</w:t>
            </w:r>
          </w:p>
          <w:p w14:paraId="75B81A74"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(3.00***)</w:t>
            </w:r>
          </w:p>
        </w:tc>
        <w:tc>
          <w:tcPr>
            <w:tcW w:w="1156" w:type="dxa"/>
            <w:tcBorders>
              <w:top w:val="nil"/>
              <w:left w:val="nil"/>
              <w:bottom w:val="nil"/>
              <w:right w:val="nil"/>
            </w:tcBorders>
            <w:shd w:val="clear" w:color="auto" w:fill="auto"/>
          </w:tcPr>
          <w:p w14:paraId="32DBC762"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3.721</w:t>
            </w:r>
          </w:p>
          <w:p w14:paraId="347CBC2A"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(3.77***)</w:t>
            </w:r>
          </w:p>
        </w:tc>
        <w:tc>
          <w:tcPr>
            <w:tcW w:w="260" w:type="dxa"/>
            <w:tcBorders>
              <w:top w:val="nil"/>
              <w:left w:val="nil"/>
              <w:bottom w:val="nil"/>
              <w:right w:val="nil"/>
            </w:tcBorders>
            <w:shd w:val="clear" w:color="auto" w:fill="auto"/>
          </w:tcPr>
          <w:p w14:paraId="304B6EA0"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58DFC205"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16" w:type="dxa"/>
            <w:tcBorders>
              <w:top w:val="nil"/>
              <w:left w:val="nil"/>
              <w:bottom w:val="nil"/>
              <w:right w:val="nil"/>
            </w:tcBorders>
            <w:shd w:val="clear" w:color="auto" w:fill="auto"/>
          </w:tcPr>
          <w:p w14:paraId="1B23281D"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34" w:type="dxa"/>
            <w:tcBorders>
              <w:top w:val="nil"/>
              <w:left w:val="nil"/>
              <w:bottom w:val="nil"/>
              <w:right w:val="nil"/>
            </w:tcBorders>
            <w:shd w:val="clear" w:color="auto" w:fill="auto"/>
          </w:tcPr>
          <w:p w14:paraId="2EC6A266"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r>
      <w:tr w:rsidR="008C5004" w:rsidRPr="00F4226B" w14:paraId="64F48036" w14:textId="77777777" w:rsidTr="0008368E">
        <w:tc>
          <w:tcPr>
            <w:tcW w:w="2151" w:type="dxa"/>
            <w:tcBorders>
              <w:top w:val="nil"/>
              <w:left w:val="nil"/>
              <w:bottom w:val="nil"/>
              <w:right w:val="nil"/>
            </w:tcBorders>
            <w:shd w:val="clear" w:color="auto" w:fill="auto"/>
          </w:tcPr>
          <w:p w14:paraId="5D11653C" w14:textId="77777777" w:rsidR="008C5004" w:rsidRPr="00F4226B" w:rsidRDefault="008C5004" w:rsidP="008C5004">
            <w:pPr>
              <w:spacing w:after="0" w:line="240" w:lineRule="auto"/>
              <w:rPr>
                <w:rFonts w:ascii="Times New Roman" w:hAnsi="Times New Roman"/>
                <w:color w:val="000000"/>
                <w:sz w:val="18"/>
                <w:szCs w:val="18"/>
                <w:lang w:val="en-US"/>
              </w:rPr>
            </w:pPr>
            <w:r w:rsidRPr="00F4226B">
              <w:rPr>
                <w:rFonts w:ascii="Times New Roman" w:hAnsi="Times New Roman"/>
                <w:color w:val="000000"/>
                <w:sz w:val="18"/>
                <w:szCs w:val="18"/>
                <w:lang w:val="en-US"/>
              </w:rPr>
              <w:t>CASH FLOWS</w:t>
            </w:r>
          </w:p>
        </w:tc>
        <w:tc>
          <w:tcPr>
            <w:tcW w:w="1103" w:type="dxa"/>
            <w:tcBorders>
              <w:top w:val="nil"/>
              <w:left w:val="nil"/>
              <w:bottom w:val="nil"/>
              <w:right w:val="nil"/>
            </w:tcBorders>
            <w:shd w:val="clear" w:color="auto" w:fill="auto"/>
          </w:tcPr>
          <w:p w14:paraId="7F659E96"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7881E0FE"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56" w:type="dxa"/>
            <w:tcBorders>
              <w:top w:val="nil"/>
              <w:left w:val="nil"/>
              <w:bottom w:val="nil"/>
              <w:right w:val="nil"/>
            </w:tcBorders>
            <w:shd w:val="clear" w:color="auto" w:fill="auto"/>
          </w:tcPr>
          <w:p w14:paraId="29A15DE5"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260" w:type="dxa"/>
            <w:tcBorders>
              <w:top w:val="nil"/>
              <w:left w:val="nil"/>
              <w:bottom w:val="nil"/>
              <w:right w:val="nil"/>
            </w:tcBorders>
            <w:shd w:val="clear" w:color="auto" w:fill="auto"/>
          </w:tcPr>
          <w:p w14:paraId="2E9BEA24"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2E7239A7"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1.204</w:t>
            </w:r>
          </w:p>
          <w:p w14:paraId="6F1A7596"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(2.66**)</w:t>
            </w:r>
          </w:p>
        </w:tc>
        <w:tc>
          <w:tcPr>
            <w:tcW w:w="1116" w:type="dxa"/>
            <w:tcBorders>
              <w:top w:val="nil"/>
              <w:left w:val="nil"/>
              <w:bottom w:val="nil"/>
              <w:right w:val="nil"/>
            </w:tcBorders>
            <w:shd w:val="clear" w:color="auto" w:fill="auto"/>
          </w:tcPr>
          <w:p w14:paraId="651DE4FD"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0.311</w:t>
            </w:r>
          </w:p>
          <w:p w14:paraId="46E6B486"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(0.26)</w:t>
            </w:r>
          </w:p>
        </w:tc>
        <w:tc>
          <w:tcPr>
            <w:tcW w:w="1134" w:type="dxa"/>
            <w:tcBorders>
              <w:top w:val="nil"/>
              <w:left w:val="nil"/>
              <w:bottom w:val="nil"/>
              <w:right w:val="nil"/>
            </w:tcBorders>
            <w:shd w:val="clear" w:color="auto" w:fill="auto"/>
          </w:tcPr>
          <w:p w14:paraId="1BA840C3"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0.209</w:t>
            </w:r>
          </w:p>
          <w:p w14:paraId="20C948A4"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(0.19)</w:t>
            </w:r>
          </w:p>
        </w:tc>
      </w:tr>
      <w:tr w:rsidR="008C5004" w:rsidRPr="00F4226B" w14:paraId="520B0807" w14:textId="77777777" w:rsidTr="0008368E">
        <w:tc>
          <w:tcPr>
            <w:tcW w:w="2151" w:type="dxa"/>
            <w:tcBorders>
              <w:top w:val="nil"/>
              <w:left w:val="nil"/>
              <w:bottom w:val="nil"/>
              <w:right w:val="nil"/>
            </w:tcBorders>
            <w:shd w:val="clear" w:color="auto" w:fill="auto"/>
          </w:tcPr>
          <w:p w14:paraId="12E78025"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EIGLS</w:t>
            </w:r>
          </w:p>
        </w:tc>
        <w:tc>
          <w:tcPr>
            <w:tcW w:w="1103" w:type="dxa"/>
            <w:tcBorders>
              <w:top w:val="nil"/>
              <w:left w:val="nil"/>
              <w:bottom w:val="nil"/>
              <w:right w:val="nil"/>
            </w:tcBorders>
            <w:shd w:val="clear" w:color="auto" w:fill="auto"/>
          </w:tcPr>
          <w:p w14:paraId="562BCDD4"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6984154E"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53" w:type="dxa"/>
            <w:tcBorders>
              <w:top w:val="nil"/>
              <w:left w:val="nil"/>
              <w:bottom w:val="nil"/>
              <w:right w:val="nil"/>
            </w:tcBorders>
            <w:shd w:val="clear" w:color="auto" w:fill="auto"/>
          </w:tcPr>
          <w:p w14:paraId="0B3242A2"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56" w:type="dxa"/>
            <w:tcBorders>
              <w:top w:val="nil"/>
              <w:left w:val="nil"/>
              <w:bottom w:val="nil"/>
              <w:right w:val="nil"/>
            </w:tcBorders>
            <w:shd w:val="clear" w:color="auto" w:fill="auto"/>
          </w:tcPr>
          <w:p w14:paraId="2232E68B"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2.584</w:t>
            </w:r>
          </w:p>
          <w:p w14:paraId="15C323FC"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(2.19**)</w:t>
            </w:r>
          </w:p>
        </w:tc>
        <w:tc>
          <w:tcPr>
            <w:tcW w:w="260" w:type="dxa"/>
            <w:tcBorders>
              <w:top w:val="nil"/>
              <w:left w:val="nil"/>
              <w:bottom w:val="nil"/>
              <w:right w:val="nil"/>
            </w:tcBorders>
            <w:shd w:val="clear" w:color="auto" w:fill="auto"/>
          </w:tcPr>
          <w:p w14:paraId="7A484AF1"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426FFBEF"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16" w:type="dxa"/>
            <w:tcBorders>
              <w:top w:val="nil"/>
              <w:left w:val="nil"/>
              <w:bottom w:val="nil"/>
              <w:right w:val="nil"/>
            </w:tcBorders>
            <w:shd w:val="clear" w:color="auto" w:fill="auto"/>
          </w:tcPr>
          <w:p w14:paraId="5D20C761"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34" w:type="dxa"/>
            <w:tcBorders>
              <w:top w:val="nil"/>
              <w:left w:val="nil"/>
              <w:bottom w:val="nil"/>
              <w:right w:val="nil"/>
            </w:tcBorders>
            <w:shd w:val="clear" w:color="auto" w:fill="auto"/>
          </w:tcPr>
          <w:p w14:paraId="4D8DBFFC"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r>
      <w:tr w:rsidR="008C5004" w:rsidRPr="00F4226B" w14:paraId="12C4C2F1" w14:textId="77777777" w:rsidTr="0008368E">
        <w:tc>
          <w:tcPr>
            <w:tcW w:w="2151" w:type="dxa"/>
            <w:tcBorders>
              <w:top w:val="nil"/>
              <w:left w:val="nil"/>
              <w:bottom w:val="nil"/>
              <w:right w:val="nil"/>
            </w:tcBorders>
            <w:shd w:val="clear" w:color="auto" w:fill="auto"/>
          </w:tcPr>
          <w:p w14:paraId="0C3FDA73" w14:textId="77777777" w:rsidR="008C5004" w:rsidRPr="00F4226B" w:rsidRDefault="008C5004" w:rsidP="008C5004">
            <w:pPr>
              <w:spacing w:after="0" w:line="240" w:lineRule="auto"/>
              <w:rPr>
                <w:rFonts w:ascii="Times New Roman" w:hAnsi="Times New Roman"/>
                <w:color w:val="000000"/>
                <w:sz w:val="18"/>
                <w:szCs w:val="18"/>
                <w:lang w:val="en-US"/>
              </w:rPr>
            </w:pPr>
            <w:r w:rsidRPr="00F4226B">
              <w:rPr>
                <w:rFonts w:ascii="Times New Roman" w:hAnsi="Times New Roman"/>
                <w:color w:val="000000"/>
                <w:sz w:val="18"/>
                <w:szCs w:val="18"/>
                <w:lang w:val="en-US"/>
              </w:rPr>
              <w:t>CASHIGLS</w:t>
            </w:r>
          </w:p>
        </w:tc>
        <w:tc>
          <w:tcPr>
            <w:tcW w:w="1103" w:type="dxa"/>
            <w:tcBorders>
              <w:top w:val="nil"/>
              <w:left w:val="nil"/>
              <w:bottom w:val="nil"/>
              <w:right w:val="nil"/>
            </w:tcBorders>
            <w:shd w:val="clear" w:color="auto" w:fill="auto"/>
          </w:tcPr>
          <w:p w14:paraId="08AC2275"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4EB28A37"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56" w:type="dxa"/>
            <w:tcBorders>
              <w:top w:val="nil"/>
              <w:left w:val="nil"/>
              <w:bottom w:val="nil"/>
              <w:right w:val="nil"/>
            </w:tcBorders>
            <w:shd w:val="clear" w:color="auto" w:fill="auto"/>
          </w:tcPr>
          <w:p w14:paraId="326D4429"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260" w:type="dxa"/>
            <w:tcBorders>
              <w:top w:val="nil"/>
              <w:left w:val="nil"/>
              <w:bottom w:val="nil"/>
              <w:right w:val="nil"/>
            </w:tcBorders>
            <w:shd w:val="clear" w:color="auto" w:fill="auto"/>
          </w:tcPr>
          <w:p w14:paraId="24DCAD1E"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40EA11AB"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nil"/>
              <w:right w:val="nil"/>
            </w:tcBorders>
            <w:shd w:val="clear" w:color="auto" w:fill="auto"/>
          </w:tcPr>
          <w:p w14:paraId="6EB4A8AE"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34" w:type="dxa"/>
            <w:tcBorders>
              <w:top w:val="nil"/>
              <w:left w:val="nil"/>
              <w:bottom w:val="nil"/>
              <w:right w:val="nil"/>
            </w:tcBorders>
            <w:shd w:val="clear" w:color="auto" w:fill="auto"/>
          </w:tcPr>
          <w:p w14:paraId="23B81A11"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-1.201</w:t>
            </w:r>
          </w:p>
          <w:p w14:paraId="68CCC59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(-0.96)</w:t>
            </w:r>
          </w:p>
        </w:tc>
      </w:tr>
      <w:tr w:rsidR="008C5004" w:rsidRPr="00F4226B" w14:paraId="7368D5C3" w14:textId="77777777" w:rsidTr="0008368E">
        <w:tc>
          <w:tcPr>
            <w:tcW w:w="2151" w:type="dxa"/>
            <w:tcBorders>
              <w:top w:val="nil"/>
              <w:left w:val="nil"/>
              <w:bottom w:val="nil"/>
              <w:right w:val="nil"/>
            </w:tcBorders>
            <w:shd w:val="clear" w:color="auto" w:fill="auto"/>
          </w:tcPr>
          <w:p w14:paraId="21775AEA"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Fixed time effects</w:t>
            </w:r>
          </w:p>
        </w:tc>
        <w:tc>
          <w:tcPr>
            <w:tcW w:w="1103" w:type="dxa"/>
            <w:tcBorders>
              <w:top w:val="nil"/>
              <w:left w:val="nil"/>
              <w:bottom w:val="nil"/>
              <w:right w:val="nil"/>
            </w:tcBorders>
            <w:shd w:val="clear" w:color="auto" w:fill="auto"/>
          </w:tcPr>
          <w:p w14:paraId="7AE781CB"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153" w:type="dxa"/>
            <w:tcBorders>
              <w:top w:val="nil"/>
              <w:left w:val="nil"/>
              <w:bottom w:val="nil"/>
              <w:right w:val="nil"/>
            </w:tcBorders>
            <w:shd w:val="clear" w:color="auto" w:fill="auto"/>
          </w:tcPr>
          <w:p w14:paraId="1E6B5131"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1156" w:type="dxa"/>
            <w:tcBorders>
              <w:top w:val="nil"/>
              <w:left w:val="nil"/>
              <w:bottom w:val="nil"/>
              <w:right w:val="nil"/>
            </w:tcBorders>
            <w:shd w:val="clear" w:color="auto" w:fill="auto"/>
          </w:tcPr>
          <w:p w14:paraId="161695CD"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260" w:type="dxa"/>
            <w:tcBorders>
              <w:top w:val="nil"/>
              <w:left w:val="nil"/>
              <w:bottom w:val="nil"/>
              <w:right w:val="nil"/>
            </w:tcBorders>
            <w:shd w:val="clear" w:color="auto" w:fill="auto"/>
          </w:tcPr>
          <w:p w14:paraId="7B7D9A82"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1C9D608B"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116" w:type="dxa"/>
            <w:tcBorders>
              <w:top w:val="nil"/>
              <w:left w:val="nil"/>
              <w:bottom w:val="nil"/>
              <w:right w:val="nil"/>
            </w:tcBorders>
            <w:shd w:val="clear" w:color="auto" w:fill="auto"/>
          </w:tcPr>
          <w:p w14:paraId="5C8D7CF3"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1134" w:type="dxa"/>
            <w:tcBorders>
              <w:top w:val="nil"/>
              <w:left w:val="nil"/>
              <w:bottom w:val="nil"/>
              <w:right w:val="nil"/>
            </w:tcBorders>
            <w:shd w:val="clear" w:color="auto" w:fill="auto"/>
          </w:tcPr>
          <w:p w14:paraId="3AFF68EB"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r>
      <w:tr w:rsidR="008C5004" w:rsidRPr="00F4226B" w14:paraId="223C8D8C" w14:textId="77777777" w:rsidTr="0008368E">
        <w:tc>
          <w:tcPr>
            <w:tcW w:w="2151" w:type="dxa"/>
            <w:tcBorders>
              <w:top w:val="nil"/>
              <w:left w:val="nil"/>
              <w:bottom w:val="nil"/>
              <w:right w:val="nil"/>
            </w:tcBorders>
            <w:shd w:val="clear" w:color="auto" w:fill="auto"/>
          </w:tcPr>
          <w:p w14:paraId="17DD843E"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F-ratio</w:t>
            </w:r>
          </w:p>
        </w:tc>
        <w:tc>
          <w:tcPr>
            <w:tcW w:w="1103" w:type="dxa"/>
            <w:tcBorders>
              <w:top w:val="nil"/>
              <w:left w:val="nil"/>
              <w:bottom w:val="nil"/>
              <w:right w:val="nil"/>
            </w:tcBorders>
            <w:shd w:val="clear" w:color="auto" w:fill="auto"/>
          </w:tcPr>
          <w:p w14:paraId="2826EF4E"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7.71***</w:t>
            </w:r>
          </w:p>
        </w:tc>
        <w:tc>
          <w:tcPr>
            <w:tcW w:w="1153" w:type="dxa"/>
            <w:tcBorders>
              <w:top w:val="nil"/>
              <w:left w:val="nil"/>
              <w:bottom w:val="nil"/>
              <w:right w:val="nil"/>
            </w:tcBorders>
            <w:shd w:val="clear" w:color="auto" w:fill="auto"/>
          </w:tcPr>
          <w:p w14:paraId="78B74053"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5.28***</w:t>
            </w:r>
          </w:p>
        </w:tc>
        <w:tc>
          <w:tcPr>
            <w:tcW w:w="1156" w:type="dxa"/>
            <w:tcBorders>
              <w:top w:val="nil"/>
              <w:left w:val="nil"/>
              <w:bottom w:val="nil"/>
              <w:right w:val="nil"/>
            </w:tcBorders>
            <w:shd w:val="clear" w:color="auto" w:fill="auto"/>
          </w:tcPr>
          <w:p w14:paraId="292BAAD0"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7.33***</w:t>
            </w:r>
          </w:p>
        </w:tc>
        <w:tc>
          <w:tcPr>
            <w:tcW w:w="260" w:type="dxa"/>
            <w:tcBorders>
              <w:top w:val="nil"/>
              <w:left w:val="nil"/>
              <w:bottom w:val="nil"/>
              <w:right w:val="nil"/>
            </w:tcBorders>
            <w:shd w:val="clear" w:color="auto" w:fill="auto"/>
          </w:tcPr>
          <w:p w14:paraId="0B44AE61" w14:textId="77777777" w:rsidR="008C5004" w:rsidRPr="00F4226B" w:rsidRDefault="008C5004" w:rsidP="00582332">
            <w:pPr>
              <w:spacing w:after="0" w:line="240" w:lineRule="auto"/>
              <w:jc w:val="center"/>
              <w:rPr>
                <w:rFonts w:ascii="Times New Roman" w:hAnsi="Times New Roman"/>
                <w:bCs/>
                <w:color w:val="000000"/>
                <w:sz w:val="18"/>
                <w:szCs w:val="18"/>
                <w:lang w:val="en-US" w:eastAsia="es-ES"/>
              </w:rPr>
            </w:pPr>
          </w:p>
        </w:tc>
        <w:tc>
          <w:tcPr>
            <w:tcW w:w="1107" w:type="dxa"/>
            <w:tcBorders>
              <w:top w:val="nil"/>
              <w:left w:val="nil"/>
              <w:bottom w:val="nil"/>
              <w:right w:val="nil"/>
            </w:tcBorders>
            <w:shd w:val="clear" w:color="auto" w:fill="auto"/>
          </w:tcPr>
          <w:p w14:paraId="64E27748"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4.58***</w:t>
            </w:r>
          </w:p>
        </w:tc>
        <w:tc>
          <w:tcPr>
            <w:tcW w:w="1116" w:type="dxa"/>
            <w:tcBorders>
              <w:top w:val="nil"/>
              <w:left w:val="nil"/>
              <w:bottom w:val="nil"/>
              <w:right w:val="nil"/>
            </w:tcBorders>
            <w:shd w:val="clear" w:color="auto" w:fill="auto"/>
          </w:tcPr>
          <w:p w14:paraId="5F070043" w14:textId="77777777" w:rsidR="008C5004" w:rsidRPr="00F4226B" w:rsidRDefault="008C5004" w:rsidP="00582332">
            <w:pPr>
              <w:spacing w:after="0" w:line="240" w:lineRule="auto"/>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2.02</w:t>
            </w:r>
          </w:p>
        </w:tc>
        <w:tc>
          <w:tcPr>
            <w:tcW w:w="1134" w:type="dxa"/>
            <w:tcBorders>
              <w:top w:val="nil"/>
              <w:left w:val="nil"/>
              <w:bottom w:val="nil"/>
              <w:right w:val="nil"/>
            </w:tcBorders>
            <w:shd w:val="clear" w:color="auto" w:fill="auto"/>
          </w:tcPr>
          <w:p w14:paraId="2AA1F4E4"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3.66***</w:t>
            </w:r>
          </w:p>
        </w:tc>
      </w:tr>
      <w:tr w:rsidR="008C5004" w:rsidRPr="00F4226B" w14:paraId="07AC1427" w14:textId="77777777" w:rsidTr="0008368E">
        <w:tc>
          <w:tcPr>
            <w:tcW w:w="2151" w:type="dxa"/>
            <w:tcBorders>
              <w:top w:val="nil"/>
              <w:left w:val="nil"/>
              <w:bottom w:val="nil"/>
              <w:right w:val="nil"/>
            </w:tcBorders>
            <w:shd w:val="clear" w:color="auto" w:fill="auto"/>
          </w:tcPr>
          <w:p w14:paraId="080EE89D"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Adjusted R</w:t>
            </w:r>
            <w:r w:rsidRPr="00F4226B">
              <w:rPr>
                <w:rFonts w:ascii="Times New Roman" w:hAnsi="Times New Roman"/>
                <w:bCs/>
                <w:color w:val="000000"/>
                <w:sz w:val="18"/>
                <w:szCs w:val="18"/>
                <w:vertAlign w:val="superscript"/>
                <w:lang w:val="en-US" w:eastAsia="es-ES"/>
              </w:rPr>
              <w:t>2</w:t>
            </w:r>
          </w:p>
        </w:tc>
        <w:tc>
          <w:tcPr>
            <w:tcW w:w="1103" w:type="dxa"/>
            <w:tcBorders>
              <w:top w:val="nil"/>
              <w:left w:val="nil"/>
              <w:bottom w:val="nil"/>
              <w:right w:val="nil"/>
            </w:tcBorders>
            <w:shd w:val="clear" w:color="auto" w:fill="auto"/>
          </w:tcPr>
          <w:p w14:paraId="3EFE7DB7"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0.236</w:t>
            </w:r>
          </w:p>
        </w:tc>
        <w:tc>
          <w:tcPr>
            <w:tcW w:w="1153" w:type="dxa"/>
            <w:tcBorders>
              <w:top w:val="nil"/>
              <w:left w:val="nil"/>
              <w:bottom w:val="nil"/>
              <w:right w:val="nil"/>
            </w:tcBorders>
            <w:shd w:val="clear" w:color="auto" w:fill="auto"/>
          </w:tcPr>
          <w:p w14:paraId="4429B58A"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0.165</w:t>
            </w:r>
          </w:p>
        </w:tc>
        <w:tc>
          <w:tcPr>
            <w:tcW w:w="1156" w:type="dxa"/>
            <w:tcBorders>
              <w:top w:val="nil"/>
              <w:left w:val="nil"/>
              <w:bottom w:val="nil"/>
              <w:right w:val="nil"/>
            </w:tcBorders>
            <w:shd w:val="clear" w:color="auto" w:fill="auto"/>
          </w:tcPr>
          <w:p w14:paraId="0F2643B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0.280</w:t>
            </w:r>
          </w:p>
        </w:tc>
        <w:tc>
          <w:tcPr>
            <w:tcW w:w="260" w:type="dxa"/>
            <w:tcBorders>
              <w:top w:val="nil"/>
              <w:left w:val="nil"/>
              <w:bottom w:val="nil"/>
              <w:right w:val="nil"/>
            </w:tcBorders>
            <w:shd w:val="clear" w:color="auto" w:fill="auto"/>
          </w:tcPr>
          <w:p w14:paraId="4A01132E" w14:textId="77777777" w:rsidR="008C5004" w:rsidRPr="00F4226B" w:rsidRDefault="008C5004" w:rsidP="00582332">
            <w:pPr>
              <w:spacing w:after="0" w:line="240" w:lineRule="auto"/>
              <w:jc w:val="center"/>
              <w:rPr>
                <w:rFonts w:ascii="Times New Roman" w:hAnsi="Times New Roman"/>
                <w:bCs/>
                <w:color w:val="000000"/>
                <w:sz w:val="18"/>
                <w:szCs w:val="18"/>
                <w:lang w:val="en-US" w:eastAsia="es-ES"/>
              </w:rPr>
            </w:pPr>
          </w:p>
        </w:tc>
        <w:tc>
          <w:tcPr>
            <w:tcW w:w="1107" w:type="dxa"/>
            <w:tcBorders>
              <w:top w:val="nil"/>
              <w:left w:val="nil"/>
              <w:bottom w:val="nil"/>
              <w:right w:val="nil"/>
            </w:tcBorders>
            <w:shd w:val="clear" w:color="auto" w:fill="auto"/>
          </w:tcPr>
          <w:p w14:paraId="2649B909"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0.142</w:t>
            </w:r>
          </w:p>
        </w:tc>
        <w:tc>
          <w:tcPr>
            <w:tcW w:w="1116" w:type="dxa"/>
            <w:tcBorders>
              <w:top w:val="nil"/>
              <w:left w:val="nil"/>
              <w:bottom w:val="nil"/>
              <w:right w:val="nil"/>
            </w:tcBorders>
            <w:shd w:val="clear" w:color="auto" w:fill="auto"/>
          </w:tcPr>
          <w:p w14:paraId="754C4244" w14:textId="77777777" w:rsidR="008C5004" w:rsidRPr="00F4226B" w:rsidRDefault="008C5004" w:rsidP="00582332">
            <w:pPr>
              <w:spacing w:after="0" w:line="240" w:lineRule="auto"/>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0.045</w:t>
            </w:r>
          </w:p>
        </w:tc>
        <w:tc>
          <w:tcPr>
            <w:tcW w:w="1134" w:type="dxa"/>
            <w:tcBorders>
              <w:top w:val="nil"/>
              <w:left w:val="nil"/>
              <w:bottom w:val="nil"/>
              <w:right w:val="nil"/>
            </w:tcBorders>
            <w:shd w:val="clear" w:color="auto" w:fill="auto"/>
          </w:tcPr>
          <w:p w14:paraId="09972D28"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0.141</w:t>
            </w:r>
          </w:p>
        </w:tc>
      </w:tr>
      <w:tr w:rsidR="008C5004" w:rsidRPr="00F4226B" w14:paraId="017B7FBC" w14:textId="77777777" w:rsidTr="0008368E">
        <w:tc>
          <w:tcPr>
            <w:tcW w:w="2151" w:type="dxa"/>
            <w:tcBorders>
              <w:top w:val="nil"/>
              <w:left w:val="nil"/>
              <w:bottom w:val="nil"/>
              <w:right w:val="nil"/>
            </w:tcBorders>
            <w:shd w:val="clear" w:color="auto" w:fill="auto"/>
          </w:tcPr>
          <w:p w14:paraId="6F8DCD9E"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Vuong’s Z-statistics:</w:t>
            </w:r>
          </w:p>
          <w:p w14:paraId="2E16221B"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IA data                  </w:t>
            </w:r>
          </w:p>
        </w:tc>
        <w:tc>
          <w:tcPr>
            <w:tcW w:w="1103" w:type="dxa"/>
            <w:tcBorders>
              <w:top w:val="nil"/>
              <w:left w:val="nil"/>
              <w:bottom w:val="nil"/>
              <w:right w:val="nil"/>
            </w:tcBorders>
            <w:shd w:val="clear" w:color="auto" w:fill="auto"/>
          </w:tcPr>
          <w:p w14:paraId="22273B74"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56209C38"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p w14:paraId="3C15EA55"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1.895*</w:t>
            </w:r>
          </w:p>
        </w:tc>
        <w:tc>
          <w:tcPr>
            <w:tcW w:w="1156" w:type="dxa"/>
            <w:tcBorders>
              <w:top w:val="nil"/>
              <w:left w:val="nil"/>
              <w:bottom w:val="nil"/>
              <w:right w:val="nil"/>
            </w:tcBorders>
            <w:shd w:val="clear" w:color="auto" w:fill="auto"/>
          </w:tcPr>
          <w:p w14:paraId="2FCB9E7D"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p w14:paraId="318BF28F"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260" w:type="dxa"/>
            <w:tcBorders>
              <w:top w:val="nil"/>
              <w:left w:val="nil"/>
              <w:bottom w:val="nil"/>
              <w:right w:val="nil"/>
            </w:tcBorders>
            <w:shd w:val="clear" w:color="auto" w:fill="auto"/>
          </w:tcPr>
          <w:p w14:paraId="60E526EC"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521316CE"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nil"/>
              <w:right w:val="nil"/>
            </w:tcBorders>
            <w:shd w:val="clear" w:color="auto" w:fill="auto"/>
          </w:tcPr>
          <w:p w14:paraId="415ECC54"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6CD19724"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2.878**</w:t>
            </w:r>
          </w:p>
        </w:tc>
        <w:tc>
          <w:tcPr>
            <w:tcW w:w="1134" w:type="dxa"/>
            <w:tcBorders>
              <w:top w:val="nil"/>
              <w:left w:val="nil"/>
              <w:bottom w:val="nil"/>
              <w:right w:val="nil"/>
            </w:tcBorders>
            <w:shd w:val="clear" w:color="auto" w:fill="auto"/>
          </w:tcPr>
          <w:p w14:paraId="3FA03E1C"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r>
      <w:tr w:rsidR="008C5004" w:rsidRPr="00F4226B" w14:paraId="1198DC16" w14:textId="77777777" w:rsidTr="0008368E">
        <w:tc>
          <w:tcPr>
            <w:tcW w:w="2151" w:type="dxa"/>
            <w:tcBorders>
              <w:top w:val="nil"/>
              <w:left w:val="nil"/>
              <w:bottom w:val="nil"/>
              <w:right w:val="nil"/>
            </w:tcBorders>
            <w:shd w:val="clear" w:color="auto" w:fill="auto"/>
          </w:tcPr>
          <w:p w14:paraId="79DFEE50"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Incremental data                           </w:t>
            </w:r>
          </w:p>
        </w:tc>
        <w:tc>
          <w:tcPr>
            <w:tcW w:w="1103" w:type="dxa"/>
            <w:tcBorders>
              <w:top w:val="nil"/>
              <w:left w:val="nil"/>
              <w:bottom w:val="nil"/>
              <w:right w:val="nil"/>
            </w:tcBorders>
            <w:shd w:val="clear" w:color="auto" w:fill="auto"/>
          </w:tcPr>
          <w:p w14:paraId="1EC67AE9"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153" w:type="dxa"/>
            <w:tcBorders>
              <w:top w:val="nil"/>
              <w:left w:val="nil"/>
              <w:bottom w:val="nil"/>
              <w:right w:val="nil"/>
            </w:tcBorders>
            <w:shd w:val="clear" w:color="auto" w:fill="auto"/>
          </w:tcPr>
          <w:p w14:paraId="3F6607CC"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156" w:type="dxa"/>
            <w:tcBorders>
              <w:top w:val="nil"/>
              <w:left w:val="nil"/>
              <w:bottom w:val="nil"/>
              <w:right w:val="nil"/>
            </w:tcBorders>
            <w:shd w:val="clear" w:color="auto" w:fill="auto"/>
          </w:tcPr>
          <w:p w14:paraId="4845FE11"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-0.236</w:t>
            </w:r>
          </w:p>
        </w:tc>
        <w:tc>
          <w:tcPr>
            <w:tcW w:w="260" w:type="dxa"/>
            <w:tcBorders>
              <w:top w:val="nil"/>
              <w:left w:val="nil"/>
              <w:bottom w:val="nil"/>
              <w:right w:val="nil"/>
            </w:tcBorders>
            <w:shd w:val="clear" w:color="auto" w:fill="auto"/>
          </w:tcPr>
          <w:p w14:paraId="4030ADAA"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nil"/>
              <w:right w:val="nil"/>
            </w:tcBorders>
            <w:shd w:val="clear" w:color="auto" w:fill="auto"/>
          </w:tcPr>
          <w:p w14:paraId="26832448"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nil"/>
              <w:right w:val="nil"/>
            </w:tcBorders>
            <w:shd w:val="clear" w:color="auto" w:fill="auto"/>
          </w:tcPr>
          <w:p w14:paraId="1013A99D"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34" w:type="dxa"/>
            <w:tcBorders>
              <w:top w:val="nil"/>
              <w:left w:val="nil"/>
              <w:bottom w:val="nil"/>
              <w:right w:val="nil"/>
            </w:tcBorders>
            <w:shd w:val="clear" w:color="auto" w:fill="auto"/>
          </w:tcPr>
          <w:p w14:paraId="5D5E9C23"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-0.950</w:t>
            </w:r>
          </w:p>
        </w:tc>
      </w:tr>
      <w:tr w:rsidR="008C5004" w:rsidRPr="00F4226B" w14:paraId="709D6B4A" w14:textId="77777777" w:rsidTr="0008368E">
        <w:tc>
          <w:tcPr>
            <w:tcW w:w="2151" w:type="dxa"/>
            <w:tcBorders>
              <w:top w:val="nil"/>
              <w:left w:val="nil"/>
              <w:bottom w:val="single" w:sz="12" w:space="0" w:color="auto"/>
              <w:right w:val="nil"/>
            </w:tcBorders>
            <w:shd w:val="clear" w:color="auto" w:fill="auto"/>
          </w:tcPr>
          <w:p w14:paraId="303FE4A7"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IA vs Incremental data                          </w:t>
            </w:r>
          </w:p>
        </w:tc>
        <w:tc>
          <w:tcPr>
            <w:tcW w:w="1103" w:type="dxa"/>
            <w:tcBorders>
              <w:top w:val="nil"/>
              <w:left w:val="nil"/>
              <w:bottom w:val="single" w:sz="12" w:space="0" w:color="auto"/>
              <w:right w:val="nil"/>
            </w:tcBorders>
            <w:shd w:val="clear" w:color="auto" w:fill="auto"/>
          </w:tcPr>
          <w:p w14:paraId="1E339809"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153" w:type="dxa"/>
            <w:tcBorders>
              <w:top w:val="nil"/>
              <w:left w:val="nil"/>
              <w:bottom w:val="single" w:sz="12" w:space="0" w:color="auto"/>
              <w:right w:val="nil"/>
            </w:tcBorders>
            <w:shd w:val="clear" w:color="auto" w:fill="auto"/>
          </w:tcPr>
          <w:p w14:paraId="3C5C620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156" w:type="dxa"/>
            <w:tcBorders>
              <w:top w:val="nil"/>
              <w:left w:val="nil"/>
              <w:bottom w:val="single" w:sz="12" w:space="0" w:color="auto"/>
              <w:right w:val="nil"/>
            </w:tcBorders>
            <w:shd w:val="clear" w:color="auto" w:fill="auto"/>
          </w:tcPr>
          <w:p w14:paraId="3F2A127E"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2.182*</w:t>
            </w:r>
          </w:p>
        </w:tc>
        <w:tc>
          <w:tcPr>
            <w:tcW w:w="260" w:type="dxa"/>
            <w:tcBorders>
              <w:top w:val="nil"/>
              <w:left w:val="nil"/>
              <w:bottom w:val="single" w:sz="12" w:space="0" w:color="auto"/>
              <w:right w:val="nil"/>
            </w:tcBorders>
            <w:shd w:val="clear" w:color="auto" w:fill="auto"/>
          </w:tcPr>
          <w:p w14:paraId="4C144516"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07" w:type="dxa"/>
            <w:tcBorders>
              <w:top w:val="nil"/>
              <w:left w:val="nil"/>
              <w:bottom w:val="single" w:sz="12" w:space="0" w:color="auto"/>
              <w:right w:val="nil"/>
            </w:tcBorders>
            <w:shd w:val="clear" w:color="auto" w:fill="auto"/>
          </w:tcPr>
          <w:p w14:paraId="40AB4A9D"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1116" w:type="dxa"/>
            <w:tcBorders>
              <w:top w:val="nil"/>
              <w:left w:val="nil"/>
              <w:bottom w:val="single" w:sz="12" w:space="0" w:color="auto"/>
              <w:right w:val="nil"/>
            </w:tcBorders>
            <w:shd w:val="clear" w:color="auto" w:fill="auto"/>
          </w:tcPr>
          <w:p w14:paraId="065A38EA"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134" w:type="dxa"/>
            <w:tcBorders>
              <w:top w:val="nil"/>
              <w:left w:val="nil"/>
              <w:bottom w:val="single" w:sz="12" w:space="0" w:color="auto"/>
              <w:right w:val="nil"/>
            </w:tcBorders>
            <w:shd w:val="clear" w:color="auto" w:fill="auto"/>
          </w:tcPr>
          <w:p w14:paraId="4E460E3F"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2.785**</w:t>
            </w:r>
          </w:p>
        </w:tc>
      </w:tr>
    </w:tbl>
    <w:p w14:paraId="6229DF01" w14:textId="17A65F68" w:rsidR="008C5004" w:rsidRPr="00F4226B" w:rsidRDefault="008C5004" w:rsidP="00582332">
      <w:pPr>
        <w:spacing w:after="120" w:line="240" w:lineRule="auto"/>
        <w:jc w:val="both"/>
        <w:rPr>
          <w:rFonts w:ascii="Times New Roman" w:hAnsi="Times New Roman"/>
          <w:bCs/>
          <w:sz w:val="18"/>
          <w:szCs w:val="18"/>
          <w:lang w:val="en-US"/>
        </w:rPr>
      </w:pPr>
      <w:r w:rsidRPr="00F4226B">
        <w:rPr>
          <w:rFonts w:ascii="Times New Roman" w:hAnsi="Times New Roman"/>
          <w:sz w:val="18"/>
          <w:szCs w:val="18"/>
          <w:lang w:val="en-US"/>
        </w:rPr>
        <w:t xml:space="preserve">*** Significant at 1% level; ** </w:t>
      </w:r>
      <w:r w:rsidR="008C7C16">
        <w:rPr>
          <w:rFonts w:ascii="Times New Roman" w:hAnsi="Times New Roman"/>
          <w:sz w:val="18"/>
          <w:szCs w:val="18"/>
          <w:lang w:val="en-US"/>
        </w:rPr>
        <w:t>s</w:t>
      </w:r>
      <w:r w:rsidRPr="00F4226B">
        <w:rPr>
          <w:rFonts w:ascii="Times New Roman" w:hAnsi="Times New Roman"/>
          <w:sz w:val="18"/>
          <w:szCs w:val="18"/>
          <w:lang w:val="en-US"/>
        </w:rPr>
        <w:t xml:space="preserve">ignificant at 5% level; * </w:t>
      </w:r>
      <w:r w:rsidR="008C7C16">
        <w:rPr>
          <w:rFonts w:ascii="Times New Roman" w:hAnsi="Times New Roman"/>
          <w:sz w:val="18"/>
          <w:szCs w:val="18"/>
          <w:lang w:val="en-US"/>
        </w:rPr>
        <w:t>s</w:t>
      </w:r>
      <w:r w:rsidR="008C7C16" w:rsidRPr="00F4226B">
        <w:rPr>
          <w:rFonts w:ascii="Times New Roman" w:hAnsi="Times New Roman"/>
          <w:sz w:val="18"/>
          <w:szCs w:val="18"/>
          <w:lang w:val="en-US"/>
        </w:rPr>
        <w:t xml:space="preserve">ignificant </w:t>
      </w:r>
      <w:r w:rsidRPr="00F4226B">
        <w:rPr>
          <w:rFonts w:ascii="Times New Roman" w:hAnsi="Times New Roman"/>
          <w:sz w:val="18"/>
          <w:szCs w:val="18"/>
          <w:lang w:val="en-US"/>
        </w:rPr>
        <w:t>at 10% level. CASH FLOW</w:t>
      </w:r>
      <w:r w:rsidRPr="00F4226B">
        <w:rPr>
          <w:rFonts w:ascii="Times New Roman" w:hAnsi="Times New Roman"/>
          <w:sz w:val="18"/>
          <w:szCs w:val="18"/>
          <w:vertAlign w:val="subscript"/>
          <w:lang w:val="en-US"/>
        </w:rPr>
        <w:t xml:space="preserve">it+1 </w:t>
      </w:r>
      <w:r w:rsidRPr="00F4226B">
        <w:rPr>
          <w:rFonts w:ascii="Times New Roman" w:hAnsi="Times New Roman"/>
          <w:sz w:val="18"/>
          <w:szCs w:val="18"/>
          <w:lang w:val="en-US"/>
        </w:rPr>
        <w:t>denotes future cash flows from operations. EARNINGS</w:t>
      </w:r>
      <w:r w:rsidRPr="00F4226B">
        <w:rPr>
          <w:rFonts w:ascii="Times New Roman" w:hAnsi="Times New Roman"/>
          <w:sz w:val="18"/>
          <w:szCs w:val="18"/>
          <w:vertAlign w:val="subscript"/>
          <w:lang w:val="en-US"/>
        </w:rPr>
        <w:t>it</w:t>
      </w:r>
      <w:r w:rsidRPr="00F4226B">
        <w:rPr>
          <w:rFonts w:ascii="Times New Roman" w:hAnsi="Times New Roman"/>
          <w:sz w:val="18"/>
          <w:szCs w:val="18"/>
          <w:lang w:val="en-US"/>
        </w:rPr>
        <w:t xml:space="preserve"> is the reported basic earnings per share, calculated in accordance with IAS 33 – </w:t>
      </w:r>
      <w:r w:rsidRPr="00F4226B">
        <w:rPr>
          <w:rFonts w:ascii="Times New Roman" w:hAnsi="Times New Roman"/>
          <w:i/>
          <w:sz w:val="18"/>
          <w:szCs w:val="18"/>
          <w:lang w:val="en-US"/>
        </w:rPr>
        <w:t>Earnings per share</w:t>
      </w:r>
      <w:r w:rsidRPr="00F4226B">
        <w:rPr>
          <w:rFonts w:ascii="Times New Roman" w:hAnsi="Times New Roman"/>
          <w:sz w:val="18"/>
          <w:szCs w:val="18"/>
          <w:lang w:val="en-US"/>
        </w:rPr>
        <w:t xml:space="preserve"> for HC and IA amounts</w:t>
      </w:r>
      <w:r w:rsidR="008C7C16">
        <w:rPr>
          <w:rFonts w:ascii="Times New Roman" w:hAnsi="Times New Roman"/>
          <w:sz w:val="18"/>
          <w:szCs w:val="18"/>
          <w:lang w:val="en-US"/>
        </w:rPr>
        <w:t>,</w:t>
      </w:r>
      <w:r w:rsidRPr="00F4226B">
        <w:rPr>
          <w:rFonts w:ascii="Times New Roman" w:hAnsi="Times New Roman"/>
          <w:sz w:val="18"/>
          <w:szCs w:val="18"/>
          <w:lang w:val="en-US"/>
        </w:rPr>
        <w:t xml:space="preserve"> and </w:t>
      </w:r>
      <w:r w:rsidRPr="00F4226B">
        <w:rPr>
          <w:rFonts w:ascii="Times New Roman" w:hAnsi="Times New Roman"/>
          <w:i/>
          <w:sz w:val="18"/>
          <w:szCs w:val="18"/>
          <w:lang w:val="en-US"/>
        </w:rPr>
        <w:t xml:space="preserve">EIGLS </w:t>
      </w:r>
      <w:r w:rsidRPr="00F4226B">
        <w:rPr>
          <w:rFonts w:ascii="Times New Roman" w:hAnsi="Times New Roman"/>
          <w:sz w:val="18"/>
          <w:szCs w:val="18"/>
          <w:lang w:val="en-US"/>
        </w:rPr>
        <w:t xml:space="preserve">is the </w:t>
      </w:r>
      <w:r w:rsidR="00F4226B" w:rsidRPr="00F4226B">
        <w:rPr>
          <w:rFonts w:ascii="Times New Roman" w:hAnsi="Times New Roman"/>
          <w:sz w:val="18"/>
          <w:szCs w:val="18"/>
          <w:lang w:val="en-US"/>
        </w:rPr>
        <w:t>recognized</w:t>
      </w:r>
      <w:r w:rsidRPr="00F4226B">
        <w:rPr>
          <w:rFonts w:ascii="Times New Roman" w:hAnsi="Times New Roman"/>
          <w:sz w:val="18"/>
          <w:szCs w:val="18"/>
          <w:lang w:val="en-US"/>
        </w:rPr>
        <w:t xml:space="preserve"> inflation gains and losses in earnings (i.e., difference between HC and IA earnings).</w:t>
      </w:r>
      <w:r w:rsidR="007B330D" w:rsidRPr="00F4226B">
        <w:rPr>
          <w:rFonts w:ascii="Times New Roman" w:hAnsi="Times New Roman"/>
          <w:sz w:val="18"/>
          <w:szCs w:val="18"/>
          <w:lang w:val="en-US"/>
        </w:rPr>
        <w:t xml:space="preserve"> </w:t>
      </w:r>
      <w:r w:rsidRPr="00F4226B">
        <w:rPr>
          <w:rFonts w:ascii="Times New Roman" w:hAnsi="Times New Roman"/>
          <w:sz w:val="18"/>
          <w:szCs w:val="18"/>
          <w:lang w:val="en-US"/>
        </w:rPr>
        <w:t>CASH FLOW</w:t>
      </w:r>
      <w:r w:rsidRPr="00F4226B">
        <w:rPr>
          <w:rFonts w:ascii="Times New Roman" w:hAnsi="Times New Roman"/>
          <w:sz w:val="18"/>
          <w:szCs w:val="18"/>
          <w:vertAlign w:val="subscript"/>
          <w:lang w:val="en-US"/>
        </w:rPr>
        <w:t>it</w:t>
      </w:r>
      <w:r w:rsidRPr="00F4226B">
        <w:rPr>
          <w:rFonts w:ascii="Times New Roman" w:hAnsi="Times New Roman"/>
          <w:i/>
          <w:sz w:val="18"/>
          <w:szCs w:val="18"/>
          <w:lang w:val="en-US"/>
        </w:rPr>
        <w:t xml:space="preserve"> </w:t>
      </w:r>
      <w:r w:rsidRPr="00F4226B">
        <w:rPr>
          <w:rFonts w:ascii="Times New Roman" w:hAnsi="Times New Roman"/>
          <w:sz w:val="18"/>
          <w:szCs w:val="18"/>
          <w:lang w:val="en-US"/>
        </w:rPr>
        <w:t>is the current cash flows</w:t>
      </w:r>
      <w:r w:rsidR="001B647D">
        <w:rPr>
          <w:rFonts w:ascii="Times New Roman" w:hAnsi="Times New Roman"/>
          <w:sz w:val="18"/>
          <w:szCs w:val="18"/>
          <w:lang w:val="en-US"/>
        </w:rPr>
        <w:t xml:space="preserve"> from operations</w:t>
      </w:r>
      <w:r w:rsidR="008C7C16">
        <w:rPr>
          <w:rFonts w:ascii="Times New Roman" w:hAnsi="Times New Roman"/>
          <w:sz w:val="18"/>
          <w:szCs w:val="18"/>
          <w:lang w:val="en-US"/>
        </w:rPr>
        <w:t>,</w:t>
      </w:r>
      <w:r w:rsidRPr="00F4226B">
        <w:rPr>
          <w:rFonts w:ascii="Times New Roman" w:hAnsi="Times New Roman"/>
          <w:sz w:val="18"/>
          <w:szCs w:val="18"/>
          <w:lang w:val="en-US"/>
        </w:rPr>
        <w:t xml:space="preserve"> and CASHIGLS</w:t>
      </w:r>
      <w:r w:rsidRPr="00F4226B">
        <w:rPr>
          <w:rFonts w:ascii="Times New Roman" w:hAnsi="Times New Roman"/>
          <w:sz w:val="18"/>
          <w:szCs w:val="18"/>
          <w:vertAlign w:val="subscript"/>
          <w:lang w:val="en-US"/>
        </w:rPr>
        <w:t>it</w:t>
      </w:r>
      <w:r w:rsidRPr="00F4226B">
        <w:rPr>
          <w:rFonts w:ascii="Times New Roman" w:hAnsi="Times New Roman"/>
          <w:sz w:val="18"/>
          <w:szCs w:val="18"/>
          <w:lang w:val="en-US"/>
        </w:rPr>
        <w:t xml:space="preserve"> is the differences between current HC and IA cash flows</w:t>
      </w:r>
      <w:r w:rsidR="001B647D">
        <w:rPr>
          <w:rFonts w:ascii="Times New Roman" w:hAnsi="Times New Roman"/>
          <w:sz w:val="18"/>
          <w:szCs w:val="18"/>
          <w:lang w:val="en-US"/>
        </w:rPr>
        <w:t xml:space="preserve"> from operations</w:t>
      </w:r>
      <w:r w:rsidRPr="00F4226B">
        <w:rPr>
          <w:rFonts w:ascii="Times New Roman" w:hAnsi="Times New Roman"/>
          <w:sz w:val="18"/>
          <w:szCs w:val="18"/>
          <w:lang w:val="en-US"/>
        </w:rPr>
        <w:t xml:space="preserve">. </w:t>
      </w:r>
      <w:r w:rsidR="002A16F3" w:rsidRPr="002A16F3">
        <w:rPr>
          <w:rFonts w:ascii="Times New Roman" w:hAnsi="Times New Roman"/>
          <w:sz w:val="18"/>
          <w:szCs w:val="18"/>
          <w:lang w:val="en-US"/>
        </w:rPr>
        <w:t xml:space="preserve">Both </w:t>
      </w:r>
      <w:r w:rsidR="002A16F3" w:rsidRPr="002A16F3">
        <w:rPr>
          <w:rFonts w:ascii="Times New Roman" w:hAnsi="Times New Roman"/>
          <w:i/>
          <w:iCs/>
          <w:sz w:val="18"/>
          <w:szCs w:val="18"/>
          <w:lang w:val="en-US"/>
        </w:rPr>
        <w:t>CASHFOW</w:t>
      </w:r>
      <w:r w:rsidR="002A16F3" w:rsidRPr="002A16F3">
        <w:rPr>
          <w:rFonts w:ascii="Times New Roman" w:hAnsi="Times New Roman"/>
          <w:i/>
          <w:iCs/>
          <w:sz w:val="18"/>
          <w:szCs w:val="18"/>
          <w:vertAlign w:val="subscript"/>
          <w:lang w:val="en-US"/>
        </w:rPr>
        <w:t>it</w:t>
      </w:r>
      <w:r w:rsidR="002A16F3" w:rsidRPr="002A16F3">
        <w:rPr>
          <w:rFonts w:ascii="Times New Roman" w:hAnsi="Times New Roman"/>
          <w:sz w:val="18"/>
          <w:szCs w:val="18"/>
          <w:lang w:val="en-US"/>
        </w:rPr>
        <w:t xml:space="preserve"> and </w:t>
      </w:r>
      <w:r w:rsidR="002A16F3" w:rsidRPr="002A16F3">
        <w:rPr>
          <w:rFonts w:ascii="Times New Roman" w:hAnsi="Times New Roman"/>
          <w:i/>
          <w:iCs/>
          <w:sz w:val="18"/>
          <w:szCs w:val="18"/>
          <w:lang w:val="en-US"/>
        </w:rPr>
        <w:t>CASHIGLS</w:t>
      </w:r>
      <w:r w:rsidR="002A16F3" w:rsidRPr="002A16F3">
        <w:rPr>
          <w:rFonts w:ascii="Times New Roman" w:hAnsi="Times New Roman"/>
          <w:i/>
          <w:iCs/>
          <w:sz w:val="18"/>
          <w:szCs w:val="18"/>
          <w:vertAlign w:val="subscript"/>
          <w:lang w:val="en-US"/>
        </w:rPr>
        <w:t>it</w:t>
      </w:r>
      <w:r w:rsidR="002A16F3" w:rsidRPr="002A16F3">
        <w:rPr>
          <w:rFonts w:ascii="Times New Roman" w:hAnsi="Times New Roman"/>
          <w:sz w:val="18"/>
          <w:szCs w:val="18"/>
          <w:lang w:val="en-US"/>
        </w:rPr>
        <w:t xml:space="preserve"> are scaled by the number of ordinary shares outstanding at the fiscal year-end </w:t>
      </w:r>
      <w:r w:rsidR="002A16F3" w:rsidRPr="002A16F3">
        <w:rPr>
          <w:rFonts w:ascii="Times New Roman" w:hAnsi="Times New Roman"/>
          <w:i/>
          <w:iCs/>
          <w:sz w:val="18"/>
          <w:szCs w:val="18"/>
          <w:lang w:val="en-US"/>
        </w:rPr>
        <w:t>t.</w:t>
      </w:r>
    </w:p>
    <w:p w14:paraId="7B5D2391" w14:textId="77777777" w:rsidR="008C5004" w:rsidRPr="00F4226B" w:rsidRDefault="00860322" w:rsidP="008C5004">
      <w:pPr>
        <w:spacing w:after="120" w:line="240" w:lineRule="auto"/>
        <w:jc w:val="center"/>
        <w:rPr>
          <w:rFonts w:ascii="Times New Roman" w:hAnsi="Times New Roman"/>
          <w:b/>
          <w:lang w:val="en-US"/>
        </w:rPr>
      </w:pPr>
      <w:r w:rsidRPr="00F4226B">
        <w:rPr>
          <w:rFonts w:ascii="Times New Roman" w:hAnsi="Times New Roman"/>
          <w:b/>
          <w:sz w:val="24"/>
          <w:szCs w:val="24"/>
          <w:lang w:val="en-US"/>
        </w:rPr>
        <w:br w:type="page"/>
      </w:r>
      <w:r w:rsidR="008C5004" w:rsidRPr="00F4226B">
        <w:rPr>
          <w:rFonts w:ascii="Times New Roman" w:hAnsi="Times New Roman"/>
          <w:b/>
          <w:lang w:val="en-US"/>
        </w:rPr>
        <w:lastRenderedPageBreak/>
        <w:t>Table 8: Results of pooled regression tests on the relative and incremental value relevance of HC and IA measures with respect to stock returns</w:t>
      </w:r>
    </w:p>
    <w:p w14:paraId="3F2A7BB2" w14:textId="77777777" w:rsidR="008C5004" w:rsidRPr="00F4226B" w:rsidRDefault="008C5004" w:rsidP="00D9610C">
      <w:pPr>
        <w:spacing w:after="0" w:line="240" w:lineRule="auto"/>
        <w:ind w:left="284" w:hanging="284"/>
        <w:jc w:val="center"/>
        <w:rPr>
          <w:rFonts w:ascii="Times New Roman" w:hAnsi="Times New Roman"/>
          <w:b/>
          <w:sz w:val="16"/>
          <w:szCs w:val="16"/>
          <w:lang w:val="en-US"/>
        </w:rPr>
      </w:pPr>
    </w:p>
    <w:tbl>
      <w:tblPr>
        <w:tblW w:w="9072" w:type="dxa"/>
        <w:tblInd w:w="108"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426"/>
        <w:gridCol w:w="785"/>
        <w:gridCol w:w="900"/>
        <w:gridCol w:w="900"/>
        <w:gridCol w:w="895"/>
        <w:gridCol w:w="1197"/>
      </w:tblGrid>
      <w:tr w:rsidR="001F5C40" w:rsidRPr="00F4226B" w14:paraId="30061B57" w14:textId="77777777" w:rsidTr="0008368E">
        <w:tc>
          <w:tcPr>
            <w:tcW w:w="9072" w:type="dxa"/>
            <w:gridSpan w:val="7"/>
            <w:tcBorders>
              <w:top w:val="single" w:sz="12" w:space="0" w:color="auto"/>
              <w:left w:val="nil"/>
              <w:bottom w:val="single" w:sz="4" w:space="0" w:color="auto"/>
              <w:right w:val="nil"/>
            </w:tcBorders>
            <w:shd w:val="clear" w:color="auto" w:fill="auto"/>
          </w:tcPr>
          <w:p w14:paraId="5BD8259E" w14:textId="77777777" w:rsidR="001F5C40" w:rsidRPr="00F4226B" w:rsidRDefault="001F5C40" w:rsidP="00582332">
            <w:pPr>
              <w:spacing w:after="0" w:line="240" w:lineRule="auto"/>
              <w:jc w:val="center"/>
              <w:rPr>
                <w:rFonts w:ascii="Times New Roman" w:hAnsi="Times New Roman"/>
                <w:bCs/>
                <w:i/>
                <w:sz w:val="18"/>
                <w:szCs w:val="18"/>
                <w:lang w:val="en-US"/>
              </w:rPr>
            </w:pPr>
            <w:r w:rsidRPr="00F4226B">
              <w:rPr>
                <w:rFonts w:ascii="Times New Roman" w:hAnsi="Times New Roman"/>
                <w:sz w:val="20"/>
                <w:szCs w:val="20"/>
                <w:lang w:val="en-US"/>
              </w:rPr>
              <w:br w:type="page"/>
            </w:r>
            <w:r w:rsidRPr="00F4226B">
              <w:rPr>
                <w:rFonts w:ascii="Times New Roman" w:hAnsi="Times New Roman"/>
                <w:i/>
                <w:sz w:val="18"/>
                <w:szCs w:val="18"/>
                <w:lang w:val="en-US"/>
              </w:rPr>
              <w:t>RETURN</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0</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 xml:space="preserve">1 </w:t>
            </w:r>
            <w:r w:rsidRPr="00F4226B">
              <w:rPr>
                <w:rFonts w:ascii="Times New Roman" w:hAnsi="Times New Roman"/>
                <w:i/>
                <w:sz w:val="18"/>
                <w:szCs w:val="18"/>
                <w:lang w:val="en-US"/>
              </w:rPr>
              <w:t>EARNINGS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2</w:t>
            </w:r>
            <w:r w:rsidRPr="00F4226B">
              <w:rPr>
                <w:rFonts w:ascii="Times New Roman" w:hAnsi="Times New Roman"/>
                <w:i/>
                <w:sz w:val="18"/>
                <w:szCs w:val="18"/>
                <w:lang w:val="en-US"/>
              </w:rPr>
              <w:t>YearDummies + ε</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ab/>
              <w:t xml:space="preserve">  </w:t>
            </w:r>
            <w:r w:rsidRPr="00F4226B">
              <w:rPr>
                <w:rFonts w:ascii="Times New Roman" w:hAnsi="Times New Roman"/>
                <w:i/>
                <w:sz w:val="18"/>
                <w:szCs w:val="18"/>
                <w:lang w:val="en-US"/>
              </w:rPr>
              <w:tab/>
              <w:t xml:space="preserve">                 </w:t>
            </w:r>
            <w:r w:rsidRPr="00F4226B">
              <w:rPr>
                <w:rFonts w:ascii="Times New Roman" w:hAnsi="Times New Roman"/>
                <w:i/>
                <w:sz w:val="18"/>
                <w:szCs w:val="18"/>
                <w:lang w:val="en-US"/>
              </w:rPr>
              <w:tab/>
              <w:t xml:space="preserve"> </w:t>
            </w:r>
            <w:r w:rsidRPr="00F4226B">
              <w:rPr>
                <w:rFonts w:ascii="Times New Roman" w:hAnsi="Times New Roman"/>
                <w:bCs/>
                <w:i/>
                <w:sz w:val="18"/>
                <w:szCs w:val="18"/>
                <w:lang w:val="en-US"/>
              </w:rPr>
              <w:t>(1)</w:t>
            </w:r>
          </w:p>
          <w:p w14:paraId="0E2802F5" w14:textId="77777777" w:rsidR="001F5C40" w:rsidRPr="00F4226B" w:rsidRDefault="001F5C40" w:rsidP="00582332">
            <w:pPr>
              <w:spacing w:after="0" w:line="240" w:lineRule="auto"/>
              <w:jc w:val="center"/>
              <w:rPr>
                <w:rFonts w:ascii="Times New Roman" w:hAnsi="Times New Roman"/>
                <w:b/>
                <w:sz w:val="20"/>
                <w:szCs w:val="20"/>
                <w:lang w:val="en-US"/>
              </w:rPr>
            </w:pPr>
            <w:r w:rsidRPr="00F4226B">
              <w:rPr>
                <w:rFonts w:ascii="Times New Roman" w:hAnsi="Times New Roman"/>
                <w:i/>
                <w:sz w:val="18"/>
                <w:szCs w:val="18"/>
                <w:lang w:val="en-US"/>
              </w:rPr>
              <w:t>RETURN</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0</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 xml:space="preserve">1 </w:t>
            </w:r>
            <w:r w:rsidRPr="00F4226B">
              <w:rPr>
                <w:rFonts w:ascii="Times New Roman" w:hAnsi="Times New Roman"/>
                <w:i/>
                <w:sz w:val="18"/>
                <w:szCs w:val="18"/>
                <w:lang w:val="en-US"/>
              </w:rPr>
              <w:t>EARNINGS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 xml:space="preserve">2 </w:t>
            </w:r>
            <w:r w:rsidRPr="00F4226B">
              <w:rPr>
                <w:rFonts w:ascii="Times New Roman" w:hAnsi="Times New Roman"/>
                <w:i/>
                <w:sz w:val="18"/>
                <w:szCs w:val="18"/>
                <w:lang w:val="en-US"/>
              </w:rPr>
              <w:t>EIGLS</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 α</w:t>
            </w:r>
            <w:r w:rsidRPr="00F4226B">
              <w:rPr>
                <w:rFonts w:ascii="Times New Roman" w:hAnsi="Times New Roman"/>
                <w:i/>
                <w:sz w:val="18"/>
                <w:szCs w:val="18"/>
                <w:vertAlign w:val="subscript"/>
                <w:lang w:val="en-US"/>
              </w:rPr>
              <w:t>3</w:t>
            </w:r>
            <w:r w:rsidRPr="00F4226B">
              <w:rPr>
                <w:rFonts w:ascii="Times New Roman" w:hAnsi="Times New Roman"/>
                <w:i/>
                <w:sz w:val="18"/>
                <w:szCs w:val="18"/>
                <w:lang w:val="en-US"/>
              </w:rPr>
              <w:t>YearDummies + ε</w:t>
            </w:r>
            <w:r w:rsidRPr="00F4226B">
              <w:rPr>
                <w:rFonts w:ascii="Times New Roman" w:hAnsi="Times New Roman"/>
                <w:i/>
                <w:sz w:val="18"/>
                <w:szCs w:val="18"/>
                <w:vertAlign w:val="subscript"/>
                <w:lang w:val="en-US"/>
              </w:rPr>
              <w:t>it</w:t>
            </w:r>
            <w:r w:rsidRPr="00F4226B">
              <w:rPr>
                <w:rFonts w:ascii="Times New Roman" w:hAnsi="Times New Roman"/>
                <w:i/>
                <w:sz w:val="18"/>
                <w:szCs w:val="18"/>
                <w:lang w:val="en-US"/>
              </w:rPr>
              <w:t xml:space="preserve"> </w:t>
            </w:r>
            <w:r w:rsidRPr="00F4226B">
              <w:rPr>
                <w:rFonts w:ascii="Times New Roman" w:hAnsi="Times New Roman"/>
                <w:i/>
                <w:sz w:val="18"/>
                <w:szCs w:val="18"/>
                <w:lang w:val="en-US"/>
              </w:rPr>
              <w:tab/>
              <w:t xml:space="preserve">       </w:t>
            </w:r>
            <w:r w:rsidRPr="00F4226B">
              <w:rPr>
                <w:rFonts w:ascii="Times New Roman" w:hAnsi="Times New Roman"/>
                <w:i/>
                <w:sz w:val="18"/>
                <w:szCs w:val="18"/>
                <w:lang w:val="en-US"/>
              </w:rPr>
              <w:tab/>
              <w:t xml:space="preserve"> </w:t>
            </w:r>
            <w:r w:rsidRPr="00F4226B">
              <w:rPr>
                <w:rFonts w:ascii="Times New Roman" w:hAnsi="Times New Roman"/>
                <w:bCs/>
                <w:i/>
                <w:sz w:val="18"/>
                <w:szCs w:val="18"/>
                <w:lang w:val="en-US"/>
              </w:rPr>
              <w:t>(2)</w:t>
            </w:r>
          </w:p>
        </w:tc>
      </w:tr>
      <w:tr w:rsidR="001F5C40" w:rsidRPr="00F4226B" w14:paraId="7ED9A73D" w14:textId="77777777" w:rsidTr="0008368E">
        <w:trPr>
          <w:trHeight w:val="234"/>
        </w:trPr>
        <w:tc>
          <w:tcPr>
            <w:tcW w:w="3969" w:type="dxa"/>
            <w:tcBorders>
              <w:top w:val="single" w:sz="4" w:space="0" w:color="auto"/>
              <w:left w:val="nil"/>
              <w:bottom w:val="single" w:sz="4" w:space="0" w:color="auto"/>
              <w:right w:val="nil"/>
            </w:tcBorders>
            <w:shd w:val="clear" w:color="auto" w:fill="auto"/>
          </w:tcPr>
          <w:p w14:paraId="7553A421" w14:textId="77777777" w:rsidR="001F5C40" w:rsidRPr="00F4226B" w:rsidRDefault="001F5C40" w:rsidP="008C5004">
            <w:pPr>
              <w:spacing w:after="0" w:line="360" w:lineRule="auto"/>
              <w:rPr>
                <w:rFonts w:ascii="Times New Roman" w:hAnsi="Times New Roman"/>
                <w:sz w:val="20"/>
                <w:szCs w:val="20"/>
                <w:lang w:val="en-US"/>
              </w:rPr>
            </w:pPr>
            <w:r w:rsidRPr="00F4226B">
              <w:rPr>
                <w:rFonts w:ascii="Times New Roman" w:hAnsi="Times New Roman"/>
                <w:b/>
                <w:sz w:val="20"/>
                <w:szCs w:val="20"/>
                <w:lang w:val="en-US"/>
              </w:rPr>
              <w:t>Panel A: Yearly regressions</w:t>
            </w:r>
          </w:p>
        </w:tc>
        <w:tc>
          <w:tcPr>
            <w:tcW w:w="426" w:type="dxa"/>
            <w:tcBorders>
              <w:top w:val="single" w:sz="4" w:space="0" w:color="auto"/>
              <w:left w:val="nil"/>
              <w:bottom w:val="single" w:sz="4" w:space="0" w:color="auto"/>
              <w:right w:val="nil"/>
            </w:tcBorders>
            <w:shd w:val="clear" w:color="auto" w:fill="auto"/>
          </w:tcPr>
          <w:p w14:paraId="24CC89CA" w14:textId="77777777" w:rsidR="001F5C40" w:rsidRPr="00F4226B" w:rsidRDefault="001F5C40" w:rsidP="008C5004">
            <w:pPr>
              <w:spacing w:after="0" w:line="360" w:lineRule="auto"/>
              <w:jc w:val="center"/>
              <w:rPr>
                <w:rFonts w:ascii="Times New Roman" w:hAnsi="Times New Roman"/>
                <w:b/>
                <w:sz w:val="20"/>
                <w:szCs w:val="20"/>
                <w:lang w:val="en-US"/>
              </w:rPr>
            </w:pPr>
          </w:p>
        </w:tc>
        <w:tc>
          <w:tcPr>
            <w:tcW w:w="785" w:type="dxa"/>
            <w:tcBorders>
              <w:top w:val="single" w:sz="4" w:space="0" w:color="auto"/>
              <w:left w:val="nil"/>
              <w:bottom w:val="single" w:sz="4" w:space="0" w:color="auto"/>
              <w:right w:val="nil"/>
            </w:tcBorders>
            <w:shd w:val="clear" w:color="auto" w:fill="auto"/>
          </w:tcPr>
          <w:p w14:paraId="55CED157" w14:textId="77777777" w:rsidR="001F5C40" w:rsidRPr="00F4226B" w:rsidRDefault="001F5C40" w:rsidP="008C5004">
            <w:pPr>
              <w:spacing w:after="0" w:line="360" w:lineRule="auto"/>
              <w:jc w:val="center"/>
              <w:rPr>
                <w:rFonts w:ascii="Times New Roman" w:hAnsi="Times New Roman"/>
                <w:b/>
                <w:sz w:val="20"/>
                <w:szCs w:val="20"/>
                <w:lang w:val="en-US"/>
              </w:rPr>
            </w:pPr>
          </w:p>
        </w:tc>
        <w:tc>
          <w:tcPr>
            <w:tcW w:w="900" w:type="dxa"/>
            <w:tcBorders>
              <w:top w:val="single" w:sz="4" w:space="0" w:color="auto"/>
              <w:left w:val="nil"/>
              <w:bottom w:val="single" w:sz="4" w:space="0" w:color="auto"/>
              <w:right w:val="nil"/>
            </w:tcBorders>
            <w:shd w:val="clear" w:color="auto" w:fill="auto"/>
          </w:tcPr>
          <w:p w14:paraId="7A41D0F7" w14:textId="77777777" w:rsidR="001F5C40" w:rsidRPr="00F4226B" w:rsidRDefault="001F5C40" w:rsidP="008C5004">
            <w:pPr>
              <w:spacing w:after="0" w:line="360" w:lineRule="auto"/>
              <w:jc w:val="center"/>
              <w:rPr>
                <w:rFonts w:ascii="Times New Roman" w:hAnsi="Times New Roman"/>
                <w:b/>
                <w:sz w:val="20"/>
                <w:szCs w:val="20"/>
                <w:lang w:val="en-US"/>
              </w:rPr>
            </w:pPr>
          </w:p>
        </w:tc>
        <w:tc>
          <w:tcPr>
            <w:tcW w:w="900" w:type="dxa"/>
            <w:tcBorders>
              <w:top w:val="single" w:sz="4" w:space="0" w:color="auto"/>
              <w:left w:val="nil"/>
              <w:bottom w:val="single" w:sz="4" w:space="0" w:color="auto"/>
              <w:right w:val="nil"/>
            </w:tcBorders>
            <w:shd w:val="clear" w:color="auto" w:fill="auto"/>
          </w:tcPr>
          <w:p w14:paraId="49FA962E" w14:textId="77777777" w:rsidR="001F5C40" w:rsidRPr="00F4226B" w:rsidRDefault="001F5C40" w:rsidP="008C5004">
            <w:pPr>
              <w:spacing w:after="0" w:line="360" w:lineRule="auto"/>
              <w:jc w:val="center"/>
              <w:rPr>
                <w:rFonts w:ascii="Times New Roman" w:hAnsi="Times New Roman"/>
                <w:b/>
                <w:sz w:val="20"/>
                <w:szCs w:val="20"/>
                <w:lang w:val="en-US"/>
              </w:rPr>
            </w:pPr>
          </w:p>
        </w:tc>
        <w:tc>
          <w:tcPr>
            <w:tcW w:w="895" w:type="dxa"/>
            <w:tcBorders>
              <w:top w:val="single" w:sz="4" w:space="0" w:color="auto"/>
              <w:left w:val="nil"/>
              <w:bottom w:val="single" w:sz="4" w:space="0" w:color="auto"/>
              <w:right w:val="nil"/>
            </w:tcBorders>
            <w:shd w:val="clear" w:color="auto" w:fill="auto"/>
          </w:tcPr>
          <w:p w14:paraId="2D6045B1" w14:textId="77777777" w:rsidR="001F5C40" w:rsidRPr="00F4226B" w:rsidRDefault="001F5C40" w:rsidP="008C5004">
            <w:pPr>
              <w:spacing w:after="0" w:line="360" w:lineRule="auto"/>
              <w:jc w:val="center"/>
              <w:rPr>
                <w:rFonts w:ascii="Times New Roman" w:hAnsi="Times New Roman"/>
                <w:b/>
                <w:sz w:val="20"/>
                <w:szCs w:val="20"/>
                <w:lang w:val="en-US"/>
              </w:rPr>
            </w:pPr>
          </w:p>
        </w:tc>
        <w:tc>
          <w:tcPr>
            <w:tcW w:w="1197" w:type="dxa"/>
            <w:tcBorders>
              <w:top w:val="single" w:sz="4" w:space="0" w:color="auto"/>
              <w:left w:val="nil"/>
              <w:bottom w:val="single" w:sz="4" w:space="0" w:color="auto"/>
              <w:right w:val="nil"/>
            </w:tcBorders>
          </w:tcPr>
          <w:p w14:paraId="615E6F1D" w14:textId="77777777" w:rsidR="001F5C40" w:rsidRPr="00F4226B" w:rsidRDefault="001F5C40" w:rsidP="008C5004">
            <w:pPr>
              <w:spacing w:after="0" w:line="360" w:lineRule="auto"/>
              <w:jc w:val="center"/>
              <w:rPr>
                <w:rFonts w:ascii="Times New Roman" w:hAnsi="Times New Roman"/>
                <w:b/>
                <w:sz w:val="20"/>
                <w:szCs w:val="20"/>
                <w:lang w:val="en-US"/>
              </w:rPr>
            </w:pPr>
          </w:p>
        </w:tc>
      </w:tr>
      <w:tr w:rsidR="008C5004" w:rsidRPr="00F4226B" w14:paraId="1D8D3411" w14:textId="77777777" w:rsidTr="0008368E">
        <w:trPr>
          <w:trHeight w:val="234"/>
        </w:trPr>
        <w:tc>
          <w:tcPr>
            <w:tcW w:w="3969" w:type="dxa"/>
            <w:tcBorders>
              <w:top w:val="single" w:sz="4" w:space="0" w:color="auto"/>
              <w:left w:val="nil"/>
              <w:bottom w:val="single" w:sz="4" w:space="0" w:color="auto"/>
              <w:right w:val="nil"/>
            </w:tcBorders>
            <w:shd w:val="clear" w:color="auto" w:fill="auto"/>
          </w:tcPr>
          <w:p w14:paraId="7EF1CB17" w14:textId="77777777" w:rsidR="008C5004" w:rsidRPr="00F4226B" w:rsidRDefault="008C5004" w:rsidP="008C5004">
            <w:pPr>
              <w:spacing w:after="0" w:line="360" w:lineRule="auto"/>
              <w:rPr>
                <w:rFonts w:ascii="Times New Roman" w:hAnsi="Times New Roman"/>
                <w:sz w:val="20"/>
                <w:szCs w:val="20"/>
                <w:lang w:val="en-US"/>
              </w:rPr>
            </w:pPr>
          </w:p>
        </w:tc>
        <w:tc>
          <w:tcPr>
            <w:tcW w:w="426" w:type="dxa"/>
            <w:tcBorders>
              <w:top w:val="single" w:sz="4" w:space="0" w:color="auto"/>
              <w:left w:val="nil"/>
              <w:bottom w:val="single" w:sz="4" w:space="0" w:color="auto"/>
              <w:right w:val="nil"/>
            </w:tcBorders>
            <w:shd w:val="clear" w:color="auto" w:fill="auto"/>
          </w:tcPr>
          <w:p w14:paraId="1D091BFB" w14:textId="77777777" w:rsidR="008C5004" w:rsidRPr="00F4226B" w:rsidRDefault="008C5004" w:rsidP="008C5004">
            <w:pPr>
              <w:spacing w:after="0" w:line="360" w:lineRule="auto"/>
              <w:jc w:val="center"/>
              <w:rPr>
                <w:rFonts w:ascii="Times New Roman" w:hAnsi="Times New Roman"/>
                <w:b/>
                <w:sz w:val="20"/>
                <w:szCs w:val="20"/>
                <w:lang w:val="en-US"/>
              </w:rPr>
            </w:pPr>
          </w:p>
        </w:tc>
        <w:tc>
          <w:tcPr>
            <w:tcW w:w="785" w:type="dxa"/>
            <w:tcBorders>
              <w:top w:val="single" w:sz="4" w:space="0" w:color="auto"/>
              <w:left w:val="nil"/>
              <w:bottom w:val="single" w:sz="4" w:space="0" w:color="auto"/>
              <w:right w:val="nil"/>
            </w:tcBorders>
            <w:shd w:val="clear" w:color="auto" w:fill="auto"/>
          </w:tcPr>
          <w:p w14:paraId="018331F2" w14:textId="77777777" w:rsidR="008C5004" w:rsidRPr="00F4226B" w:rsidRDefault="008C5004" w:rsidP="008C5004">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2001</w:t>
            </w:r>
          </w:p>
        </w:tc>
        <w:tc>
          <w:tcPr>
            <w:tcW w:w="900" w:type="dxa"/>
            <w:tcBorders>
              <w:top w:val="single" w:sz="4" w:space="0" w:color="auto"/>
              <w:left w:val="nil"/>
              <w:bottom w:val="single" w:sz="4" w:space="0" w:color="auto"/>
              <w:right w:val="nil"/>
            </w:tcBorders>
            <w:shd w:val="clear" w:color="auto" w:fill="auto"/>
          </w:tcPr>
          <w:p w14:paraId="211FC883" w14:textId="77777777" w:rsidR="008C5004" w:rsidRPr="00F4226B" w:rsidRDefault="008C5004" w:rsidP="008C5004">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2002</w:t>
            </w:r>
          </w:p>
        </w:tc>
        <w:tc>
          <w:tcPr>
            <w:tcW w:w="900" w:type="dxa"/>
            <w:tcBorders>
              <w:top w:val="single" w:sz="4" w:space="0" w:color="auto"/>
              <w:left w:val="nil"/>
              <w:bottom w:val="single" w:sz="4" w:space="0" w:color="auto"/>
              <w:right w:val="nil"/>
            </w:tcBorders>
            <w:shd w:val="clear" w:color="auto" w:fill="auto"/>
          </w:tcPr>
          <w:p w14:paraId="5B5C1AE3" w14:textId="77777777" w:rsidR="008C5004" w:rsidRPr="00F4226B" w:rsidRDefault="008C5004" w:rsidP="008C5004">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2003</w:t>
            </w:r>
          </w:p>
        </w:tc>
        <w:tc>
          <w:tcPr>
            <w:tcW w:w="895" w:type="dxa"/>
            <w:tcBorders>
              <w:top w:val="single" w:sz="4" w:space="0" w:color="auto"/>
              <w:left w:val="nil"/>
              <w:bottom w:val="single" w:sz="4" w:space="0" w:color="auto"/>
              <w:right w:val="nil"/>
            </w:tcBorders>
            <w:shd w:val="clear" w:color="auto" w:fill="auto"/>
          </w:tcPr>
          <w:p w14:paraId="77805EE0" w14:textId="77777777" w:rsidR="008C5004" w:rsidRPr="00F4226B" w:rsidRDefault="008C5004" w:rsidP="008C5004">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2004</w:t>
            </w:r>
          </w:p>
        </w:tc>
        <w:tc>
          <w:tcPr>
            <w:tcW w:w="1197" w:type="dxa"/>
            <w:tcBorders>
              <w:top w:val="single" w:sz="4" w:space="0" w:color="auto"/>
              <w:left w:val="nil"/>
              <w:bottom w:val="single" w:sz="4" w:space="0" w:color="auto"/>
              <w:right w:val="nil"/>
            </w:tcBorders>
          </w:tcPr>
          <w:p w14:paraId="12C4A8D2" w14:textId="77777777" w:rsidR="008C5004" w:rsidRPr="00F4226B" w:rsidRDefault="008C5004" w:rsidP="008C5004">
            <w:pPr>
              <w:spacing w:after="0" w:line="360" w:lineRule="auto"/>
              <w:jc w:val="center"/>
              <w:rPr>
                <w:rFonts w:ascii="Times New Roman" w:hAnsi="Times New Roman"/>
                <w:b/>
                <w:sz w:val="20"/>
                <w:szCs w:val="20"/>
                <w:lang w:val="en-US"/>
              </w:rPr>
            </w:pPr>
            <w:r w:rsidRPr="00F4226B">
              <w:rPr>
                <w:rFonts w:ascii="Times New Roman" w:hAnsi="Times New Roman"/>
                <w:b/>
                <w:sz w:val="20"/>
                <w:szCs w:val="20"/>
                <w:lang w:val="en-US"/>
              </w:rPr>
              <w:t>2005</w:t>
            </w:r>
          </w:p>
        </w:tc>
      </w:tr>
      <w:tr w:rsidR="008C5004" w:rsidRPr="00F4226B" w14:paraId="442029C1" w14:textId="77777777" w:rsidTr="0008368E">
        <w:tc>
          <w:tcPr>
            <w:tcW w:w="3969" w:type="dxa"/>
            <w:tcBorders>
              <w:top w:val="single" w:sz="4" w:space="0" w:color="auto"/>
              <w:left w:val="nil"/>
              <w:bottom w:val="nil"/>
              <w:right w:val="nil"/>
            </w:tcBorders>
            <w:shd w:val="clear" w:color="auto" w:fill="auto"/>
          </w:tcPr>
          <w:p w14:paraId="4D13375B" w14:textId="77777777" w:rsidR="008C5004" w:rsidRPr="00F4226B" w:rsidRDefault="008C5004" w:rsidP="008C5004">
            <w:pPr>
              <w:spacing w:after="0" w:line="360" w:lineRule="auto"/>
              <w:rPr>
                <w:rFonts w:ascii="Times New Roman" w:hAnsi="Times New Roman"/>
                <w:sz w:val="20"/>
                <w:szCs w:val="20"/>
                <w:lang w:val="en-US"/>
              </w:rPr>
            </w:pPr>
            <w:r w:rsidRPr="00F4226B">
              <w:rPr>
                <w:rFonts w:ascii="Times New Roman" w:hAnsi="Times New Roman"/>
                <w:bCs/>
                <w:color w:val="000000"/>
                <w:sz w:val="18"/>
                <w:szCs w:val="18"/>
                <w:lang w:val="en-US" w:eastAsia="es-ES"/>
              </w:rPr>
              <w:t>Adjusted R</w:t>
            </w:r>
            <w:r w:rsidRPr="00F4226B">
              <w:rPr>
                <w:rFonts w:ascii="Times New Roman" w:hAnsi="Times New Roman"/>
                <w:bCs/>
                <w:color w:val="000000"/>
                <w:sz w:val="18"/>
                <w:szCs w:val="18"/>
                <w:vertAlign w:val="superscript"/>
                <w:lang w:val="en-US" w:eastAsia="es-ES"/>
              </w:rPr>
              <w:t>2</w:t>
            </w:r>
            <w:r w:rsidRPr="00F4226B">
              <w:rPr>
                <w:rFonts w:ascii="Times New Roman" w:hAnsi="Times New Roman"/>
                <w:bCs/>
                <w:color w:val="000000"/>
                <w:sz w:val="18"/>
                <w:szCs w:val="18"/>
                <w:lang w:val="en-US" w:eastAsia="es-ES"/>
              </w:rPr>
              <w:t>:</w:t>
            </w:r>
          </w:p>
        </w:tc>
        <w:tc>
          <w:tcPr>
            <w:tcW w:w="426" w:type="dxa"/>
            <w:tcBorders>
              <w:top w:val="single" w:sz="4" w:space="0" w:color="auto"/>
              <w:left w:val="nil"/>
              <w:bottom w:val="nil"/>
              <w:right w:val="nil"/>
            </w:tcBorders>
            <w:shd w:val="clear" w:color="auto" w:fill="auto"/>
          </w:tcPr>
          <w:p w14:paraId="753F8D53" w14:textId="77777777" w:rsidR="008C5004" w:rsidRPr="00F4226B" w:rsidRDefault="008C5004" w:rsidP="008C5004">
            <w:pPr>
              <w:spacing w:after="0" w:line="360" w:lineRule="auto"/>
              <w:rPr>
                <w:rFonts w:ascii="Times New Roman" w:hAnsi="Times New Roman"/>
                <w:sz w:val="20"/>
                <w:szCs w:val="20"/>
                <w:lang w:val="en-US"/>
              </w:rPr>
            </w:pPr>
          </w:p>
        </w:tc>
        <w:tc>
          <w:tcPr>
            <w:tcW w:w="785" w:type="dxa"/>
            <w:tcBorders>
              <w:top w:val="single" w:sz="4" w:space="0" w:color="auto"/>
              <w:left w:val="nil"/>
              <w:bottom w:val="nil"/>
              <w:right w:val="nil"/>
            </w:tcBorders>
            <w:shd w:val="clear" w:color="auto" w:fill="auto"/>
          </w:tcPr>
          <w:p w14:paraId="221D9F3E" w14:textId="77777777" w:rsidR="008C5004" w:rsidRPr="00F4226B" w:rsidRDefault="008C5004" w:rsidP="008C5004">
            <w:pPr>
              <w:spacing w:after="0" w:line="360" w:lineRule="auto"/>
              <w:jc w:val="center"/>
              <w:rPr>
                <w:rFonts w:ascii="Times New Roman" w:hAnsi="Times New Roman"/>
                <w:sz w:val="20"/>
                <w:szCs w:val="20"/>
                <w:lang w:val="en-US"/>
              </w:rPr>
            </w:pPr>
          </w:p>
        </w:tc>
        <w:tc>
          <w:tcPr>
            <w:tcW w:w="900" w:type="dxa"/>
            <w:tcBorders>
              <w:top w:val="single" w:sz="4" w:space="0" w:color="auto"/>
              <w:left w:val="nil"/>
              <w:bottom w:val="nil"/>
              <w:right w:val="nil"/>
            </w:tcBorders>
            <w:shd w:val="clear" w:color="auto" w:fill="auto"/>
          </w:tcPr>
          <w:p w14:paraId="6572CB30" w14:textId="77777777" w:rsidR="008C5004" w:rsidRPr="00F4226B" w:rsidRDefault="008C5004" w:rsidP="008C5004">
            <w:pPr>
              <w:spacing w:after="0" w:line="360" w:lineRule="auto"/>
              <w:jc w:val="center"/>
              <w:rPr>
                <w:rFonts w:ascii="Times New Roman" w:hAnsi="Times New Roman"/>
                <w:sz w:val="20"/>
                <w:szCs w:val="20"/>
                <w:lang w:val="en-US"/>
              </w:rPr>
            </w:pPr>
          </w:p>
        </w:tc>
        <w:tc>
          <w:tcPr>
            <w:tcW w:w="900" w:type="dxa"/>
            <w:tcBorders>
              <w:top w:val="single" w:sz="4" w:space="0" w:color="auto"/>
              <w:left w:val="nil"/>
              <w:bottom w:val="nil"/>
              <w:right w:val="nil"/>
            </w:tcBorders>
            <w:shd w:val="clear" w:color="auto" w:fill="auto"/>
          </w:tcPr>
          <w:p w14:paraId="7FE9DD14" w14:textId="77777777" w:rsidR="008C5004" w:rsidRPr="00F4226B" w:rsidRDefault="008C5004" w:rsidP="008C5004">
            <w:pPr>
              <w:spacing w:after="0" w:line="360" w:lineRule="auto"/>
              <w:jc w:val="center"/>
              <w:rPr>
                <w:rFonts w:ascii="Times New Roman" w:hAnsi="Times New Roman"/>
                <w:sz w:val="20"/>
                <w:szCs w:val="20"/>
                <w:lang w:val="en-US"/>
              </w:rPr>
            </w:pPr>
          </w:p>
        </w:tc>
        <w:tc>
          <w:tcPr>
            <w:tcW w:w="895" w:type="dxa"/>
            <w:tcBorders>
              <w:top w:val="single" w:sz="4" w:space="0" w:color="auto"/>
              <w:left w:val="nil"/>
              <w:bottom w:val="nil"/>
              <w:right w:val="nil"/>
            </w:tcBorders>
            <w:shd w:val="clear" w:color="auto" w:fill="auto"/>
          </w:tcPr>
          <w:p w14:paraId="49D35701" w14:textId="77777777" w:rsidR="008C5004" w:rsidRPr="00F4226B" w:rsidRDefault="008C5004" w:rsidP="008C5004">
            <w:pPr>
              <w:spacing w:after="0" w:line="360" w:lineRule="auto"/>
              <w:jc w:val="center"/>
              <w:rPr>
                <w:rFonts w:ascii="Times New Roman" w:hAnsi="Times New Roman"/>
                <w:sz w:val="20"/>
                <w:szCs w:val="20"/>
                <w:lang w:val="en-US"/>
              </w:rPr>
            </w:pPr>
          </w:p>
        </w:tc>
        <w:tc>
          <w:tcPr>
            <w:tcW w:w="1197" w:type="dxa"/>
            <w:tcBorders>
              <w:top w:val="single" w:sz="4" w:space="0" w:color="auto"/>
              <w:left w:val="nil"/>
              <w:bottom w:val="nil"/>
              <w:right w:val="nil"/>
            </w:tcBorders>
          </w:tcPr>
          <w:p w14:paraId="4BBD9C40" w14:textId="77777777" w:rsidR="008C5004" w:rsidRPr="00F4226B" w:rsidRDefault="008C5004" w:rsidP="008C5004">
            <w:pPr>
              <w:spacing w:after="0" w:line="360" w:lineRule="auto"/>
              <w:jc w:val="center"/>
              <w:rPr>
                <w:rFonts w:ascii="Times New Roman" w:hAnsi="Times New Roman"/>
                <w:sz w:val="20"/>
                <w:szCs w:val="20"/>
                <w:lang w:val="en-US"/>
              </w:rPr>
            </w:pPr>
          </w:p>
        </w:tc>
      </w:tr>
      <w:tr w:rsidR="008C5004" w:rsidRPr="00F4226B" w14:paraId="6408534B" w14:textId="77777777" w:rsidTr="0008368E">
        <w:tc>
          <w:tcPr>
            <w:tcW w:w="3969" w:type="dxa"/>
            <w:tcBorders>
              <w:top w:val="nil"/>
              <w:left w:val="nil"/>
              <w:bottom w:val="nil"/>
              <w:right w:val="nil"/>
            </w:tcBorders>
            <w:shd w:val="clear" w:color="auto" w:fill="auto"/>
          </w:tcPr>
          <w:p w14:paraId="20EE972C" w14:textId="5999ADD7" w:rsidR="008C5004" w:rsidRPr="00F4226B" w:rsidRDefault="008C5004" w:rsidP="00EF3E29">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 xml:space="preserve">     HC a</w:t>
            </w:r>
            <w:r w:rsidR="00EF3E29">
              <w:rPr>
                <w:rFonts w:ascii="Times New Roman" w:hAnsi="Times New Roman"/>
                <w:sz w:val="20"/>
                <w:szCs w:val="20"/>
                <w:lang w:val="en-US"/>
              </w:rPr>
              <w:t>mounts</w:t>
            </w:r>
          </w:p>
        </w:tc>
        <w:tc>
          <w:tcPr>
            <w:tcW w:w="426" w:type="dxa"/>
            <w:tcBorders>
              <w:top w:val="nil"/>
              <w:left w:val="nil"/>
              <w:bottom w:val="nil"/>
              <w:right w:val="nil"/>
            </w:tcBorders>
            <w:shd w:val="clear" w:color="auto" w:fill="auto"/>
          </w:tcPr>
          <w:p w14:paraId="7C2A4673" w14:textId="77777777" w:rsidR="008C5004" w:rsidRPr="00F4226B" w:rsidRDefault="008C5004" w:rsidP="008C5004">
            <w:pPr>
              <w:spacing w:after="0" w:line="360" w:lineRule="auto"/>
              <w:jc w:val="center"/>
              <w:rPr>
                <w:rFonts w:ascii="Times New Roman" w:hAnsi="Times New Roman"/>
                <w:sz w:val="20"/>
                <w:szCs w:val="20"/>
                <w:lang w:val="en-US"/>
              </w:rPr>
            </w:pPr>
          </w:p>
        </w:tc>
        <w:tc>
          <w:tcPr>
            <w:tcW w:w="785" w:type="dxa"/>
            <w:tcBorders>
              <w:top w:val="nil"/>
              <w:left w:val="nil"/>
              <w:bottom w:val="nil"/>
              <w:right w:val="nil"/>
            </w:tcBorders>
            <w:shd w:val="clear" w:color="auto" w:fill="auto"/>
          </w:tcPr>
          <w:p w14:paraId="7CDDB750"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.352</w:t>
            </w:r>
          </w:p>
        </w:tc>
        <w:tc>
          <w:tcPr>
            <w:tcW w:w="900" w:type="dxa"/>
            <w:tcBorders>
              <w:top w:val="nil"/>
              <w:left w:val="nil"/>
              <w:bottom w:val="nil"/>
              <w:right w:val="nil"/>
            </w:tcBorders>
            <w:shd w:val="clear" w:color="auto" w:fill="auto"/>
          </w:tcPr>
          <w:p w14:paraId="60CE7CE9"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.400</w:t>
            </w:r>
          </w:p>
        </w:tc>
        <w:tc>
          <w:tcPr>
            <w:tcW w:w="900" w:type="dxa"/>
            <w:tcBorders>
              <w:top w:val="nil"/>
              <w:left w:val="nil"/>
              <w:bottom w:val="nil"/>
              <w:right w:val="nil"/>
            </w:tcBorders>
            <w:shd w:val="clear" w:color="auto" w:fill="auto"/>
          </w:tcPr>
          <w:p w14:paraId="6C9AD26E"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.012</w:t>
            </w:r>
          </w:p>
        </w:tc>
        <w:tc>
          <w:tcPr>
            <w:tcW w:w="895" w:type="dxa"/>
            <w:tcBorders>
              <w:top w:val="nil"/>
              <w:left w:val="nil"/>
              <w:bottom w:val="nil"/>
              <w:right w:val="nil"/>
            </w:tcBorders>
            <w:shd w:val="clear" w:color="auto" w:fill="auto"/>
          </w:tcPr>
          <w:p w14:paraId="0A87B35C"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.635</w:t>
            </w:r>
          </w:p>
        </w:tc>
        <w:tc>
          <w:tcPr>
            <w:tcW w:w="1197" w:type="dxa"/>
            <w:tcBorders>
              <w:top w:val="nil"/>
              <w:left w:val="nil"/>
              <w:bottom w:val="nil"/>
              <w:right w:val="nil"/>
            </w:tcBorders>
          </w:tcPr>
          <w:p w14:paraId="12F88B65"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.549</w:t>
            </w:r>
          </w:p>
        </w:tc>
      </w:tr>
      <w:tr w:rsidR="008C5004" w:rsidRPr="00F4226B" w14:paraId="4F052B85" w14:textId="77777777" w:rsidTr="0008368E">
        <w:tc>
          <w:tcPr>
            <w:tcW w:w="3969" w:type="dxa"/>
            <w:tcBorders>
              <w:top w:val="nil"/>
              <w:left w:val="nil"/>
              <w:bottom w:val="nil"/>
              <w:right w:val="nil"/>
            </w:tcBorders>
            <w:shd w:val="clear" w:color="auto" w:fill="auto"/>
          </w:tcPr>
          <w:p w14:paraId="2E704787" w14:textId="0B992102" w:rsidR="008C5004" w:rsidRPr="00F4226B" w:rsidRDefault="008C5004" w:rsidP="00EF3E29">
            <w:pPr>
              <w:spacing w:after="0" w:line="360" w:lineRule="auto"/>
              <w:ind w:left="-108"/>
              <w:rPr>
                <w:rFonts w:ascii="Times New Roman" w:hAnsi="Times New Roman"/>
                <w:sz w:val="20"/>
                <w:szCs w:val="20"/>
                <w:lang w:val="en-US"/>
              </w:rPr>
            </w:pPr>
            <w:r w:rsidRPr="00F4226B">
              <w:rPr>
                <w:rFonts w:ascii="Times New Roman" w:hAnsi="Times New Roman"/>
                <w:sz w:val="20"/>
                <w:szCs w:val="20"/>
                <w:lang w:val="en-US"/>
              </w:rPr>
              <w:t xml:space="preserve">     IA a</w:t>
            </w:r>
            <w:r w:rsidR="00EF3E29">
              <w:rPr>
                <w:rFonts w:ascii="Times New Roman" w:hAnsi="Times New Roman"/>
                <w:sz w:val="20"/>
                <w:szCs w:val="20"/>
                <w:lang w:val="en-US"/>
              </w:rPr>
              <w:t>mounts</w:t>
            </w:r>
          </w:p>
        </w:tc>
        <w:tc>
          <w:tcPr>
            <w:tcW w:w="426" w:type="dxa"/>
            <w:tcBorders>
              <w:top w:val="nil"/>
              <w:left w:val="nil"/>
              <w:bottom w:val="nil"/>
              <w:right w:val="nil"/>
            </w:tcBorders>
            <w:shd w:val="clear" w:color="auto" w:fill="auto"/>
          </w:tcPr>
          <w:p w14:paraId="2474D35F" w14:textId="77777777" w:rsidR="008C5004" w:rsidRPr="00F4226B" w:rsidRDefault="008C5004" w:rsidP="008C5004">
            <w:pPr>
              <w:spacing w:after="0" w:line="360" w:lineRule="auto"/>
              <w:jc w:val="center"/>
              <w:rPr>
                <w:rFonts w:ascii="Times New Roman" w:hAnsi="Times New Roman"/>
                <w:sz w:val="20"/>
                <w:szCs w:val="20"/>
                <w:lang w:val="en-US"/>
              </w:rPr>
            </w:pPr>
          </w:p>
        </w:tc>
        <w:tc>
          <w:tcPr>
            <w:tcW w:w="785" w:type="dxa"/>
            <w:tcBorders>
              <w:top w:val="nil"/>
              <w:left w:val="nil"/>
              <w:bottom w:val="nil"/>
              <w:right w:val="nil"/>
            </w:tcBorders>
            <w:shd w:val="clear" w:color="auto" w:fill="auto"/>
          </w:tcPr>
          <w:p w14:paraId="30DDA85F"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.027</w:t>
            </w:r>
          </w:p>
        </w:tc>
        <w:tc>
          <w:tcPr>
            <w:tcW w:w="900" w:type="dxa"/>
            <w:tcBorders>
              <w:top w:val="nil"/>
              <w:left w:val="nil"/>
              <w:bottom w:val="nil"/>
              <w:right w:val="nil"/>
            </w:tcBorders>
            <w:shd w:val="clear" w:color="auto" w:fill="auto"/>
          </w:tcPr>
          <w:p w14:paraId="42911B94"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.033</w:t>
            </w:r>
          </w:p>
        </w:tc>
        <w:tc>
          <w:tcPr>
            <w:tcW w:w="900" w:type="dxa"/>
            <w:tcBorders>
              <w:top w:val="nil"/>
              <w:left w:val="nil"/>
              <w:bottom w:val="nil"/>
              <w:right w:val="nil"/>
            </w:tcBorders>
            <w:shd w:val="clear" w:color="auto" w:fill="auto"/>
          </w:tcPr>
          <w:p w14:paraId="53DBD927"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.036</w:t>
            </w:r>
          </w:p>
        </w:tc>
        <w:tc>
          <w:tcPr>
            <w:tcW w:w="895" w:type="dxa"/>
            <w:tcBorders>
              <w:top w:val="nil"/>
              <w:left w:val="nil"/>
              <w:bottom w:val="nil"/>
              <w:right w:val="nil"/>
            </w:tcBorders>
            <w:shd w:val="clear" w:color="auto" w:fill="auto"/>
          </w:tcPr>
          <w:p w14:paraId="34268596"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.524</w:t>
            </w:r>
          </w:p>
        </w:tc>
        <w:tc>
          <w:tcPr>
            <w:tcW w:w="1197" w:type="dxa"/>
            <w:tcBorders>
              <w:top w:val="nil"/>
              <w:left w:val="nil"/>
              <w:bottom w:val="nil"/>
              <w:right w:val="nil"/>
            </w:tcBorders>
          </w:tcPr>
          <w:p w14:paraId="44DF8BDB"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.420</w:t>
            </w:r>
          </w:p>
        </w:tc>
      </w:tr>
      <w:tr w:rsidR="008C5004" w:rsidRPr="00F4226B" w14:paraId="00F7F58B" w14:textId="77777777" w:rsidTr="0008368E">
        <w:tc>
          <w:tcPr>
            <w:tcW w:w="3969" w:type="dxa"/>
            <w:tcBorders>
              <w:top w:val="nil"/>
              <w:left w:val="nil"/>
              <w:bottom w:val="single" w:sz="4" w:space="0" w:color="auto"/>
              <w:right w:val="nil"/>
            </w:tcBorders>
            <w:shd w:val="clear" w:color="auto" w:fill="auto"/>
          </w:tcPr>
          <w:p w14:paraId="14637ACA" w14:textId="77777777" w:rsidR="008C5004" w:rsidRPr="00F4226B" w:rsidRDefault="008C5004" w:rsidP="008C5004">
            <w:pPr>
              <w:spacing w:after="0" w:line="360" w:lineRule="auto"/>
              <w:rPr>
                <w:rFonts w:ascii="Times New Roman" w:hAnsi="Times New Roman"/>
                <w:sz w:val="20"/>
                <w:szCs w:val="20"/>
                <w:lang w:val="en-US"/>
              </w:rPr>
            </w:pPr>
            <w:r w:rsidRPr="00F4226B">
              <w:rPr>
                <w:rFonts w:ascii="Times New Roman" w:hAnsi="Times New Roman"/>
                <w:sz w:val="20"/>
                <w:szCs w:val="20"/>
                <w:lang w:val="en-US"/>
              </w:rPr>
              <w:t>Vuong tests</w:t>
            </w:r>
          </w:p>
        </w:tc>
        <w:tc>
          <w:tcPr>
            <w:tcW w:w="426" w:type="dxa"/>
            <w:tcBorders>
              <w:top w:val="nil"/>
              <w:left w:val="nil"/>
              <w:bottom w:val="single" w:sz="4" w:space="0" w:color="auto"/>
              <w:right w:val="nil"/>
            </w:tcBorders>
            <w:shd w:val="clear" w:color="auto" w:fill="auto"/>
          </w:tcPr>
          <w:p w14:paraId="476A5952" w14:textId="77777777" w:rsidR="008C5004" w:rsidRPr="00F4226B" w:rsidRDefault="008C5004" w:rsidP="008C5004">
            <w:pPr>
              <w:spacing w:after="0" w:line="360" w:lineRule="auto"/>
              <w:jc w:val="center"/>
              <w:rPr>
                <w:rFonts w:ascii="Times New Roman" w:hAnsi="Times New Roman"/>
                <w:sz w:val="20"/>
                <w:szCs w:val="20"/>
                <w:lang w:val="en-US"/>
              </w:rPr>
            </w:pPr>
          </w:p>
        </w:tc>
        <w:tc>
          <w:tcPr>
            <w:tcW w:w="785" w:type="dxa"/>
            <w:tcBorders>
              <w:top w:val="nil"/>
              <w:left w:val="nil"/>
              <w:bottom w:val="single" w:sz="4" w:space="0" w:color="auto"/>
              <w:right w:val="nil"/>
            </w:tcBorders>
            <w:shd w:val="clear" w:color="auto" w:fill="auto"/>
          </w:tcPr>
          <w:p w14:paraId="55F172A2"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2.2**</w:t>
            </w:r>
          </w:p>
        </w:tc>
        <w:tc>
          <w:tcPr>
            <w:tcW w:w="900" w:type="dxa"/>
            <w:tcBorders>
              <w:top w:val="nil"/>
              <w:left w:val="nil"/>
              <w:bottom w:val="single" w:sz="4" w:space="0" w:color="auto"/>
              <w:right w:val="nil"/>
            </w:tcBorders>
            <w:shd w:val="clear" w:color="auto" w:fill="auto"/>
          </w:tcPr>
          <w:p w14:paraId="2AC79482"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2.8**</w:t>
            </w:r>
          </w:p>
        </w:tc>
        <w:tc>
          <w:tcPr>
            <w:tcW w:w="900" w:type="dxa"/>
            <w:tcBorders>
              <w:top w:val="nil"/>
              <w:left w:val="nil"/>
              <w:bottom w:val="single" w:sz="4" w:space="0" w:color="auto"/>
              <w:right w:val="nil"/>
            </w:tcBorders>
            <w:shd w:val="clear" w:color="auto" w:fill="auto"/>
          </w:tcPr>
          <w:p w14:paraId="45990908"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-.631</w:t>
            </w:r>
          </w:p>
        </w:tc>
        <w:tc>
          <w:tcPr>
            <w:tcW w:w="895" w:type="dxa"/>
            <w:tcBorders>
              <w:top w:val="nil"/>
              <w:left w:val="nil"/>
              <w:bottom w:val="single" w:sz="4" w:space="0" w:color="auto"/>
              <w:right w:val="nil"/>
            </w:tcBorders>
            <w:shd w:val="clear" w:color="auto" w:fill="auto"/>
          </w:tcPr>
          <w:p w14:paraId="1AFC4E87"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1.8*</w:t>
            </w:r>
          </w:p>
        </w:tc>
        <w:tc>
          <w:tcPr>
            <w:tcW w:w="1197" w:type="dxa"/>
            <w:tcBorders>
              <w:top w:val="nil"/>
              <w:left w:val="nil"/>
              <w:bottom w:val="single" w:sz="4" w:space="0" w:color="auto"/>
              <w:right w:val="nil"/>
            </w:tcBorders>
          </w:tcPr>
          <w:p w14:paraId="5C5D439E" w14:textId="77777777" w:rsidR="008C5004" w:rsidRPr="00F4226B" w:rsidRDefault="008C5004" w:rsidP="008C5004">
            <w:pPr>
              <w:spacing w:after="0" w:line="360" w:lineRule="auto"/>
              <w:jc w:val="center"/>
              <w:rPr>
                <w:rFonts w:ascii="Times New Roman" w:hAnsi="Times New Roman"/>
                <w:sz w:val="20"/>
                <w:szCs w:val="20"/>
                <w:lang w:val="en-US"/>
              </w:rPr>
            </w:pPr>
            <w:r w:rsidRPr="00F4226B">
              <w:rPr>
                <w:rFonts w:ascii="Times New Roman" w:hAnsi="Times New Roman"/>
                <w:sz w:val="20"/>
                <w:szCs w:val="20"/>
                <w:lang w:val="en-US"/>
              </w:rPr>
              <w:t>1.2</w:t>
            </w:r>
          </w:p>
        </w:tc>
      </w:tr>
      <w:tr w:rsidR="008C5004" w:rsidRPr="00F4226B" w14:paraId="0F92B7C5" w14:textId="77777777" w:rsidTr="0008368E">
        <w:tc>
          <w:tcPr>
            <w:tcW w:w="9072" w:type="dxa"/>
            <w:gridSpan w:val="7"/>
            <w:tcBorders>
              <w:top w:val="single" w:sz="4" w:space="0" w:color="auto"/>
              <w:left w:val="nil"/>
              <w:bottom w:val="nil"/>
              <w:right w:val="nil"/>
            </w:tcBorders>
            <w:shd w:val="clear" w:color="auto" w:fill="auto"/>
          </w:tcPr>
          <w:p w14:paraId="4393939D" w14:textId="77777777" w:rsidR="008C5004" w:rsidRPr="00F4226B" w:rsidRDefault="008C5004" w:rsidP="008C5004">
            <w:pPr>
              <w:spacing w:after="0" w:line="240" w:lineRule="auto"/>
              <w:ind w:hanging="108"/>
              <w:rPr>
                <w:rFonts w:ascii="Times New Roman" w:hAnsi="Times New Roman"/>
                <w:lang w:val="en-US"/>
              </w:rPr>
            </w:pPr>
          </w:p>
        </w:tc>
      </w:tr>
    </w:tbl>
    <w:p w14:paraId="0AA0B552" w14:textId="13DE2D5F" w:rsidR="008C5004" w:rsidRPr="00F4226B" w:rsidRDefault="008C5004" w:rsidP="008C5004">
      <w:pPr>
        <w:spacing w:after="120" w:line="240" w:lineRule="auto"/>
        <w:ind w:left="142"/>
        <w:rPr>
          <w:rFonts w:ascii="Times New Roman" w:hAnsi="Times New Roman"/>
          <w:b/>
          <w:color w:val="000000"/>
          <w:sz w:val="20"/>
          <w:szCs w:val="20"/>
          <w:lang w:val="en-US"/>
        </w:rPr>
      </w:pPr>
      <w:r w:rsidRPr="00F4226B">
        <w:rPr>
          <w:rFonts w:ascii="Times New Roman" w:hAnsi="Times New Roman"/>
          <w:b/>
          <w:color w:val="000000"/>
          <w:sz w:val="20"/>
          <w:szCs w:val="20"/>
          <w:lang w:val="en-US"/>
        </w:rPr>
        <w:t>Panel B: Pooled regressions for entire sample period</w:t>
      </w:r>
      <w:r w:rsidR="00D73423">
        <w:rPr>
          <w:rFonts w:ascii="Times New Roman" w:hAnsi="Times New Roman"/>
          <w:b/>
          <w:color w:val="000000"/>
          <w:sz w:val="20"/>
          <w:szCs w:val="20"/>
          <w:lang w:val="en-US"/>
        </w:rPr>
        <w:t>,</w:t>
      </w:r>
      <w:r w:rsidRPr="00F4226B">
        <w:rPr>
          <w:rFonts w:ascii="Times New Roman" w:hAnsi="Times New Roman"/>
          <w:b/>
          <w:color w:val="000000"/>
          <w:sz w:val="20"/>
          <w:szCs w:val="20"/>
          <w:lang w:val="en-US"/>
        </w:rPr>
        <w:t xml:space="preserve"> excluding 2003 observations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276"/>
        <w:gridCol w:w="1276"/>
        <w:gridCol w:w="1418"/>
        <w:gridCol w:w="566"/>
      </w:tblGrid>
      <w:tr w:rsidR="008C5004" w:rsidRPr="00F4226B" w14:paraId="280554D3" w14:textId="77777777" w:rsidTr="0008368E">
        <w:trPr>
          <w:trHeight w:val="70"/>
        </w:trPr>
        <w:tc>
          <w:tcPr>
            <w:tcW w:w="4536" w:type="dxa"/>
            <w:tcBorders>
              <w:left w:val="nil"/>
              <w:bottom w:val="single" w:sz="4" w:space="0" w:color="auto"/>
              <w:right w:val="nil"/>
            </w:tcBorders>
            <w:shd w:val="clear" w:color="auto" w:fill="auto"/>
            <w:vAlign w:val="bottom"/>
          </w:tcPr>
          <w:p w14:paraId="5258B978"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b/>
                <w:color w:val="000000"/>
                <w:sz w:val="18"/>
                <w:szCs w:val="18"/>
                <w:lang w:val="en-US"/>
              </w:rPr>
              <w:t>Variables</w:t>
            </w:r>
          </w:p>
          <w:p w14:paraId="30D010A7" w14:textId="77777777" w:rsidR="008C5004" w:rsidRPr="00F4226B" w:rsidRDefault="008C5004" w:rsidP="008C5004">
            <w:pPr>
              <w:spacing w:after="0" w:line="240" w:lineRule="auto"/>
              <w:jc w:val="center"/>
              <w:rPr>
                <w:rFonts w:ascii="Times New Roman" w:hAnsi="Times New Roman"/>
                <w:b/>
                <w:color w:val="000000"/>
                <w:sz w:val="18"/>
                <w:szCs w:val="18"/>
                <w:lang w:val="en-US"/>
              </w:rPr>
            </w:pPr>
          </w:p>
        </w:tc>
        <w:tc>
          <w:tcPr>
            <w:tcW w:w="1276" w:type="dxa"/>
            <w:tcBorders>
              <w:left w:val="nil"/>
              <w:bottom w:val="single" w:sz="4" w:space="0" w:color="auto"/>
              <w:right w:val="nil"/>
            </w:tcBorders>
            <w:shd w:val="clear" w:color="auto" w:fill="auto"/>
            <w:vAlign w:val="bottom"/>
          </w:tcPr>
          <w:p w14:paraId="391BAB43"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1</w:t>
            </w:r>
          </w:p>
          <w:p w14:paraId="758605F3"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 xml:space="preserve"> HC</w:t>
            </w:r>
          </w:p>
        </w:tc>
        <w:tc>
          <w:tcPr>
            <w:tcW w:w="1276" w:type="dxa"/>
            <w:tcBorders>
              <w:left w:val="nil"/>
              <w:bottom w:val="single" w:sz="4" w:space="0" w:color="auto"/>
              <w:right w:val="nil"/>
            </w:tcBorders>
            <w:shd w:val="clear" w:color="auto" w:fill="auto"/>
            <w:vAlign w:val="bottom"/>
          </w:tcPr>
          <w:p w14:paraId="319F2899"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2</w:t>
            </w:r>
          </w:p>
          <w:p w14:paraId="41E55005"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IA</w:t>
            </w:r>
          </w:p>
        </w:tc>
        <w:tc>
          <w:tcPr>
            <w:tcW w:w="1418" w:type="dxa"/>
            <w:tcBorders>
              <w:left w:val="nil"/>
              <w:bottom w:val="single" w:sz="4" w:space="0" w:color="auto"/>
              <w:right w:val="nil"/>
            </w:tcBorders>
            <w:shd w:val="clear" w:color="auto" w:fill="auto"/>
            <w:vAlign w:val="bottom"/>
          </w:tcPr>
          <w:p w14:paraId="153BB2E0"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Model 3</w:t>
            </w:r>
          </w:p>
          <w:p w14:paraId="2E49F3CC" w14:textId="77777777" w:rsidR="008C5004" w:rsidRPr="00F4226B" w:rsidRDefault="008C5004" w:rsidP="008C5004">
            <w:pPr>
              <w:spacing w:after="0" w:line="240" w:lineRule="auto"/>
              <w:jc w:val="center"/>
              <w:rPr>
                <w:rFonts w:ascii="Times New Roman" w:hAnsi="Times New Roman"/>
                <w:b/>
                <w:color w:val="000000"/>
                <w:sz w:val="18"/>
                <w:szCs w:val="18"/>
                <w:lang w:val="en-US"/>
              </w:rPr>
            </w:pPr>
            <w:r w:rsidRPr="00F4226B">
              <w:rPr>
                <w:rFonts w:ascii="Times New Roman" w:hAnsi="Times New Roman"/>
                <w:b/>
                <w:color w:val="000000"/>
                <w:sz w:val="18"/>
                <w:szCs w:val="18"/>
                <w:lang w:val="en-US"/>
              </w:rPr>
              <w:t>(Incremental)</w:t>
            </w:r>
          </w:p>
        </w:tc>
        <w:tc>
          <w:tcPr>
            <w:tcW w:w="566" w:type="dxa"/>
            <w:tcBorders>
              <w:left w:val="nil"/>
              <w:bottom w:val="single" w:sz="4" w:space="0" w:color="auto"/>
              <w:right w:val="nil"/>
            </w:tcBorders>
            <w:shd w:val="clear" w:color="auto" w:fill="auto"/>
            <w:vAlign w:val="bottom"/>
          </w:tcPr>
          <w:p w14:paraId="661AAA54" w14:textId="77777777" w:rsidR="008C5004" w:rsidRPr="00F4226B" w:rsidRDefault="008C5004" w:rsidP="008C5004">
            <w:pPr>
              <w:spacing w:after="0" w:line="240" w:lineRule="auto"/>
              <w:jc w:val="center"/>
              <w:rPr>
                <w:rFonts w:ascii="Times New Roman" w:hAnsi="Times New Roman"/>
                <w:b/>
                <w:color w:val="000000"/>
                <w:sz w:val="18"/>
                <w:szCs w:val="18"/>
                <w:lang w:val="en-US"/>
              </w:rPr>
            </w:pPr>
          </w:p>
        </w:tc>
      </w:tr>
      <w:tr w:rsidR="008C5004" w:rsidRPr="00F4226B" w14:paraId="69BF1DF3" w14:textId="77777777" w:rsidTr="0008368E">
        <w:trPr>
          <w:trHeight w:val="336"/>
        </w:trPr>
        <w:tc>
          <w:tcPr>
            <w:tcW w:w="4536" w:type="dxa"/>
            <w:tcBorders>
              <w:left w:val="nil"/>
              <w:bottom w:val="nil"/>
              <w:right w:val="nil"/>
            </w:tcBorders>
            <w:shd w:val="clear" w:color="auto" w:fill="auto"/>
          </w:tcPr>
          <w:p w14:paraId="6F93E33D" w14:textId="77777777" w:rsidR="008C5004" w:rsidRPr="00F4226B" w:rsidRDefault="008C5004" w:rsidP="008C5004">
            <w:pPr>
              <w:spacing w:before="120"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Intercept</w:t>
            </w:r>
          </w:p>
        </w:tc>
        <w:tc>
          <w:tcPr>
            <w:tcW w:w="1276" w:type="dxa"/>
            <w:tcBorders>
              <w:left w:val="nil"/>
              <w:bottom w:val="nil"/>
              <w:right w:val="nil"/>
            </w:tcBorders>
            <w:shd w:val="clear" w:color="auto" w:fill="auto"/>
          </w:tcPr>
          <w:p w14:paraId="17818B08" w14:textId="77777777" w:rsidR="008C5004" w:rsidRPr="00F4226B" w:rsidRDefault="008C5004" w:rsidP="00582332">
            <w:pPr>
              <w:spacing w:before="120"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0.384</w:t>
            </w:r>
          </w:p>
          <w:p w14:paraId="5FBF6CB9"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(0.04)</w:t>
            </w:r>
          </w:p>
        </w:tc>
        <w:tc>
          <w:tcPr>
            <w:tcW w:w="1276" w:type="dxa"/>
            <w:tcBorders>
              <w:left w:val="nil"/>
              <w:bottom w:val="nil"/>
              <w:right w:val="nil"/>
            </w:tcBorders>
            <w:shd w:val="clear" w:color="auto" w:fill="auto"/>
          </w:tcPr>
          <w:p w14:paraId="4DBAE599" w14:textId="77777777" w:rsidR="008C5004" w:rsidRPr="00F4226B" w:rsidRDefault="008C5004" w:rsidP="00582332">
            <w:pPr>
              <w:spacing w:before="120"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2.620</w:t>
            </w:r>
          </w:p>
          <w:p w14:paraId="16070A1B"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(0.22)</w:t>
            </w:r>
          </w:p>
        </w:tc>
        <w:tc>
          <w:tcPr>
            <w:tcW w:w="1418" w:type="dxa"/>
            <w:tcBorders>
              <w:left w:val="nil"/>
              <w:bottom w:val="nil"/>
              <w:right w:val="nil"/>
            </w:tcBorders>
            <w:shd w:val="clear" w:color="auto" w:fill="auto"/>
          </w:tcPr>
          <w:p w14:paraId="271B7A63" w14:textId="77777777" w:rsidR="008C5004" w:rsidRPr="00F4226B" w:rsidRDefault="008C5004" w:rsidP="00582332">
            <w:pPr>
              <w:spacing w:before="120"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1.018</w:t>
            </w:r>
          </w:p>
          <w:p w14:paraId="6432F3DE"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(0.10)</w:t>
            </w:r>
          </w:p>
        </w:tc>
        <w:tc>
          <w:tcPr>
            <w:tcW w:w="566" w:type="dxa"/>
            <w:tcBorders>
              <w:left w:val="nil"/>
              <w:bottom w:val="nil"/>
              <w:right w:val="nil"/>
            </w:tcBorders>
            <w:shd w:val="clear" w:color="auto" w:fill="auto"/>
          </w:tcPr>
          <w:p w14:paraId="11C26591"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3946E730" w14:textId="77777777" w:rsidTr="0008368E">
        <w:trPr>
          <w:trHeight w:val="405"/>
        </w:trPr>
        <w:tc>
          <w:tcPr>
            <w:tcW w:w="4536" w:type="dxa"/>
            <w:tcBorders>
              <w:top w:val="nil"/>
              <w:left w:val="nil"/>
              <w:bottom w:val="nil"/>
              <w:right w:val="nil"/>
            </w:tcBorders>
            <w:shd w:val="clear" w:color="auto" w:fill="auto"/>
          </w:tcPr>
          <w:p w14:paraId="63ECEEE8"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EARNINGS</w:t>
            </w:r>
          </w:p>
        </w:tc>
        <w:tc>
          <w:tcPr>
            <w:tcW w:w="1276" w:type="dxa"/>
            <w:tcBorders>
              <w:top w:val="nil"/>
              <w:left w:val="nil"/>
              <w:bottom w:val="nil"/>
              <w:right w:val="nil"/>
            </w:tcBorders>
            <w:shd w:val="clear" w:color="auto" w:fill="auto"/>
          </w:tcPr>
          <w:p w14:paraId="13962F3F"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6.981 (13.44***)</w:t>
            </w:r>
          </w:p>
        </w:tc>
        <w:tc>
          <w:tcPr>
            <w:tcW w:w="1276" w:type="dxa"/>
            <w:tcBorders>
              <w:top w:val="nil"/>
              <w:left w:val="nil"/>
              <w:bottom w:val="nil"/>
              <w:right w:val="nil"/>
            </w:tcBorders>
            <w:shd w:val="clear" w:color="auto" w:fill="auto"/>
          </w:tcPr>
          <w:p w14:paraId="039F4C1F"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7.616</w:t>
            </w:r>
          </w:p>
          <w:p w14:paraId="1137F8A3"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(8.64***)</w:t>
            </w:r>
          </w:p>
        </w:tc>
        <w:tc>
          <w:tcPr>
            <w:tcW w:w="1418" w:type="dxa"/>
            <w:tcBorders>
              <w:top w:val="nil"/>
              <w:left w:val="nil"/>
              <w:bottom w:val="nil"/>
              <w:right w:val="nil"/>
            </w:tcBorders>
            <w:shd w:val="clear" w:color="auto" w:fill="auto"/>
          </w:tcPr>
          <w:p w14:paraId="2B4A419C"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8.421</w:t>
            </w:r>
          </w:p>
          <w:p w14:paraId="5AC3C095"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(11.77***)</w:t>
            </w:r>
          </w:p>
        </w:tc>
        <w:tc>
          <w:tcPr>
            <w:tcW w:w="566" w:type="dxa"/>
            <w:tcBorders>
              <w:top w:val="nil"/>
              <w:left w:val="nil"/>
              <w:bottom w:val="nil"/>
              <w:right w:val="nil"/>
            </w:tcBorders>
            <w:shd w:val="clear" w:color="auto" w:fill="auto"/>
          </w:tcPr>
          <w:p w14:paraId="22BFF5D6"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0455E7AC" w14:textId="77777777" w:rsidTr="0008368E">
        <w:trPr>
          <w:trHeight w:val="420"/>
        </w:trPr>
        <w:tc>
          <w:tcPr>
            <w:tcW w:w="4536" w:type="dxa"/>
            <w:tcBorders>
              <w:top w:val="nil"/>
              <w:left w:val="nil"/>
              <w:bottom w:val="nil"/>
              <w:right w:val="nil"/>
            </w:tcBorders>
            <w:shd w:val="clear" w:color="auto" w:fill="auto"/>
          </w:tcPr>
          <w:p w14:paraId="701FEB1C"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EIGLS</w:t>
            </w:r>
          </w:p>
        </w:tc>
        <w:tc>
          <w:tcPr>
            <w:tcW w:w="1276" w:type="dxa"/>
            <w:tcBorders>
              <w:top w:val="nil"/>
              <w:left w:val="nil"/>
              <w:bottom w:val="nil"/>
              <w:right w:val="nil"/>
            </w:tcBorders>
            <w:shd w:val="clear" w:color="auto" w:fill="auto"/>
          </w:tcPr>
          <w:p w14:paraId="138B86BD"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6ABCB3FC"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276" w:type="dxa"/>
            <w:tcBorders>
              <w:top w:val="nil"/>
              <w:left w:val="nil"/>
              <w:bottom w:val="nil"/>
              <w:right w:val="nil"/>
            </w:tcBorders>
            <w:shd w:val="clear" w:color="auto" w:fill="auto"/>
          </w:tcPr>
          <w:p w14:paraId="6451B4A5"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418" w:type="dxa"/>
            <w:tcBorders>
              <w:top w:val="nil"/>
              <w:left w:val="nil"/>
              <w:bottom w:val="nil"/>
              <w:right w:val="nil"/>
            </w:tcBorders>
            <w:shd w:val="clear" w:color="auto" w:fill="auto"/>
          </w:tcPr>
          <w:p w14:paraId="2D8BFF93"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-2.572</w:t>
            </w:r>
          </w:p>
          <w:p w14:paraId="6ED877E0"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(-2.85***)</w:t>
            </w:r>
          </w:p>
        </w:tc>
        <w:tc>
          <w:tcPr>
            <w:tcW w:w="566" w:type="dxa"/>
            <w:tcBorders>
              <w:top w:val="nil"/>
              <w:left w:val="nil"/>
              <w:bottom w:val="nil"/>
              <w:right w:val="nil"/>
            </w:tcBorders>
            <w:shd w:val="clear" w:color="auto" w:fill="auto"/>
          </w:tcPr>
          <w:p w14:paraId="017BC58A"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6BE821E0" w14:textId="77777777" w:rsidTr="0008368E">
        <w:trPr>
          <w:trHeight w:val="405"/>
        </w:trPr>
        <w:tc>
          <w:tcPr>
            <w:tcW w:w="4536" w:type="dxa"/>
            <w:tcBorders>
              <w:top w:val="nil"/>
              <w:left w:val="nil"/>
              <w:bottom w:val="nil"/>
              <w:right w:val="nil"/>
            </w:tcBorders>
            <w:shd w:val="clear" w:color="auto" w:fill="auto"/>
          </w:tcPr>
          <w:p w14:paraId="6EA56F39"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Fixed time effects</w:t>
            </w:r>
          </w:p>
        </w:tc>
        <w:tc>
          <w:tcPr>
            <w:tcW w:w="1276" w:type="dxa"/>
            <w:tcBorders>
              <w:top w:val="nil"/>
              <w:left w:val="nil"/>
              <w:bottom w:val="nil"/>
              <w:right w:val="nil"/>
            </w:tcBorders>
            <w:shd w:val="clear" w:color="auto" w:fill="auto"/>
          </w:tcPr>
          <w:p w14:paraId="5BA8DCD1"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276" w:type="dxa"/>
            <w:tcBorders>
              <w:top w:val="nil"/>
              <w:left w:val="nil"/>
              <w:bottom w:val="nil"/>
              <w:right w:val="nil"/>
            </w:tcBorders>
            <w:shd w:val="clear" w:color="auto" w:fill="auto"/>
          </w:tcPr>
          <w:p w14:paraId="782C294B"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1418" w:type="dxa"/>
            <w:tcBorders>
              <w:top w:val="nil"/>
              <w:left w:val="nil"/>
              <w:bottom w:val="nil"/>
              <w:right w:val="nil"/>
            </w:tcBorders>
            <w:shd w:val="clear" w:color="auto" w:fill="auto"/>
          </w:tcPr>
          <w:p w14:paraId="51392D9D"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566" w:type="dxa"/>
            <w:tcBorders>
              <w:top w:val="nil"/>
              <w:left w:val="nil"/>
              <w:bottom w:val="nil"/>
              <w:right w:val="nil"/>
            </w:tcBorders>
            <w:shd w:val="clear" w:color="auto" w:fill="auto"/>
          </w:tcPr>
          <w:p w14:paraId="1997B42F"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53B80DFE" w14:textId="77777777" w:rsidTr="0008368E">
        <w:trPr>
          <w:trHeight w:val="240"/>
        </w:trPr>
        <w:tc>
          <w:tcPr>
            <w:tcW w:w="4536" w:type="dxa"/>
            <w:tcBorders>
              <w:top w:val="nil"/>
              <w:left w:val="nil"/>
              <w:bottom w:val="nil"/>
              <w:right w:val="nil"/>
            </w:tcBorders>
            <w:shd w:val="clear" w:color="auto" w:fill="auto"/>
          </w:tcPr>
          <w:p w14:paraId="43686E0F" w14:textId="77777777" w:rsidR="008C5004" w:rsidRPr="00F4226B" w:rsidRDefault="008C5004" w:rsidP="008C5004">
            <w:pPr>
              <w:spacing w:after="0" w:line="240" w:lineRule="auto"/>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Number of observations</w:t>
            </w:r>
          </w:p>
        </w:tc>
        <w:tc>
          <w:tcPr>
            <w:tcW w:w="1276" w:type="dxa"/>
            <w:tcBorders>
              <w:top w:val="nil"/>
              <w:left w:val="nil"/>
              <w:bottom w:val="nil"/>
              <w:right w:val="nil"/>
            </w:tcBorders>
            <w:shd w:val="clear" w:color="auto" w:fill="auto"/>
          </w:tcPr>
          <w:p w14:paraId="18530DA4"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157</w:t>
            </w:r>
          </w:p>
        </w:tc>
        <w:tc>
          <w:tcPr>
            <w:tcW w:w="1276" w:type="dxa"/>
            <w:tcBorders>
              <w:top w:val="nil"/>
              <w:left w:val="nil"/>
              <w:bottom w:val="nil"/>
              <w:right w:val="nil"/>
            </w:tcBorders>
            <w:shd w:val="clear" w:color="auto" w:fill="auto"/>
          </w:tcPr>
          <w:p w14:paraId="453F1E66"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157</w:t>
            </w:r>
          </w:p>
        </w:tc>
        <w:tc>
          <w:tcPr>
            <w:tcW w:w="1418" w:type="dxa"/>
            <w:tcBorders>
              <w:top w:val="nil"/>
              <w:left w:val="nil"/>
              <w:bottom w:val="nil"/>
              <w:right w:val="nil"/>
            </w:tcBorders>
            <w:shd w:val="clear" w:color="auto" w:fill="auto"/>
          </w:tcPr>
          <w:p w14:paraId="217E1662"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157</w:t>
            </w:r>
          </w:p>
        </w:tc>
        <w:tc>
          <w:tcPr>
            <w:tcW w:w="566" w:type="dxa"/>
            <w:tcBorders>
              <w:top w:val="nil"/>
              <w:left w:val="nil"/>
              <w:bottom w:val="nil"/>
              <w:right w:val="nil"/>
            </w:tcBorders>
            <w:shd w:val="clear" w:color="auto" w:fill="auto"/>
          </w:tcPr>
          <w:p w14:paraId="7D2D7395" w14:textId="77777777" w:rsidR="008C5004" w:rsidRPr="00F4226B" w:rsidRDefault="008C5004" w:rsidP="008C5004">
            <w:pPr>
              <w:spacing w:after="0" w:line="240" w:lineRule="auto"/>
              <w:jc w:val="right"/>
              <w:rPr>
                <w:rFonts w:ascii="Times New Roman" w:hAnsi="Times New Roman"/>
                <w:color w:val="000000"/>
                <w:sz w:val="18"/>
                <w:szCs w:val="18"/>
                <w:lang w:val="en-US"/>
              </w:rPr>
            </w:pPr>
          </w:p>
        </w:tc>
      </w:tr>
      <w:tr w:rsidR="008C5004" w:rsidRPr="00F4226B" w14:paraId="122A2AB4" w14:textId="77777777" w:rsidTr="0008368E">
        <w:trPr>
          <w:trHeight w:val="240"/>
        </w:trPr>
        <w:tc>
          <w:tcPr>
            <w:tcW w:w="4536" w:type="dxa"/>
            <w:tcBorders>
              <w:top w:val="nil"/>
              <w:left w:val="nil"/>
              <w:bottom w:val="nil"/>
              <w:right w:val="nil"/>
            </w:tcBorders>
            <w:shd w:val="clear" w:color="auto" w:fill="auto"/>
          </w:tcPr>
          <w:p w14:paraId="56FDB4A5"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F-ratio</w:t>
            </w:r>
          </w:p>
        </w:tc>
        <w:tc>
          <w:tcPr>
            <w:tcW w:w="1276" w:type="dxa"/>
            <w:tcBorders>
              <w:top w:val="nil"/>
              <w:left w:val="nil"/>
              <w:bottom w:val="nil"/>
              <w:right w:val="nil"/>
            </w:tcBorders>
            <w:shd w:val="clear" w:color="auto" w:fill="auto"/>
          </w:tcPr>
          <w:p w14:paraId="5E0802F1"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53.17***</w:t>
            </w:r>
          </w:p>
        </w:tc>
        <w:tc>
          <w:tcPr>
            <w:tcW w:w="1276" w:type="dxa"/>
            <w:tcBorders>
              <w:top w:val="nil"/>
              <w:left w:val="nil"/>
              <w:bottom w:val="nil"/>
              <w:right w:val="nil"/>
            </w:tcBorders>
            <w:shd w:val="clear" w:color="auto" w:fill="auto"/>
          </w:tcPr>
          <w:p w14:paraId="7465D20E"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26.53***</w:t>
            </w:r>
          </w:p>
        </w:tc>
        <w:tc>
          <w:tcPr>
            <w:tcW w:w="1418" w:type="dxa"/>
            <w:tcBorders>
              <w:top w:val="nil"/>
              <w:left w:val="nil"/>
              <w:bottom w:val="nil"/>
              <w:right w:val="nil"/>
            </w:tcBorders>
            <w:shd w:val="clear" w:color="auto" w:fill="auto"/>
          </w:tcPr>
          <w:p w14:paraId="0138629E"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47.76***</w:t>
            </w:r>
          </w:p>
        </w:tc>
        <w:tc>
          <w:tcPr>
            <w:tcW w:w="566" w:type="dxa"/>
            <w:tcBorders>
              <w:top w:val="nil"/>
              <w:left w:val="nil"/>
              <w:bottom w:val="nil"/>
              <w:right w:val="nil"/>
            </w:tcBorders>
            <w:shd w:val="clear" w:color="auto" w:fill="auto"/>
          </w:tcPr>
          <w:p w14:paraId="6B2C00DE" w14:textId="77777777" w:rsidR="008C5004" w:rsidRPr="00F4226B" w:rsidRDefault="008C5004" w:rsidP="008C5004">
            <w:pPr>
              <w:spacing w:after="0" w:line="240" w:lineRule="auto"/>
              <w:jc w:val="right"/>
              <w:rPr>
                <w:rFonts w:ascii="Times New Roman" w:hAnsi="Times New Roman"/>
                <w:color w:val="000000"/>
                <w:sz w:val="18"/>
                <w:szCs w:val="18"/>
                <w:lang w:val="en-US"/>
              </w:rPr>
            </w:pPr>
          </w:p>
        </w:tc>
      </w:tr>
      <w:tr w:rsidR="008C5004" w:rsidRPr="00F4226B" w14:paraId="0FF9CBA1" w14:textId="77777777" w:rsidTr="0008368E">
        <w:trPr>
          <w:trHeight w:val="240"/>
        </w:trPr>
        <w:tc>
          <w:tcPr>
            <w:tcW w:w="4536" w:type="dxa"/>
            <w:tcBorders>
              <w:top w:val="nil"/>
              <w:left w:val="nil"/>
              <w:bottom w:val="nil"/>
              <w:right w:val="nil"/>
            </w:tcBorders>
            <w:shd w:val="clear" w:color="auto" w:fill="auto"/>
          </w:tcPr>
          <w:p w14:paraId="76B5098A"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Adjusted R</w:t>
            </w:r>
            <w:r w:rsidRPr="00F4226B">
              <w:rPr>
                <w:rFonts w:ascii="Times New Roman" w:hAnsi="Times New Roman"/>
                <w:bCs/>
                <w:color w:val="000000"/>
                <w:sz w:val="18"/>
                <w:szCs w:val="18"/>
                <w:vertAlign w:val="superscript"/>
                <w:lang w:val="en-US" w:eastAsia="es-ES"/>
              </w:rPr>
              <w:t>2</w:t>
            </w:r>
          </w:p>
        </w:tc>
        <w:tc>
          <w:tcPr>
            <w:tcW w:w="1276" w:type="dxa"/>
            <w:tcBorders>
              <w:top w:val="nil"/>
              <w:left w:val="nil"/>
              <w:bottom w:val="nil"/>
              <w:right w:val="nil"/>
            </w:tcBorders>
            <w:shd w:val="clear" w:color="auto" w:fill="auto"/>
          </w:tcPr>
          <w:p w14:paraId="1A3BDE48"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0.626</w:t>
            </w:r>
          </w:p>
        </w:tc>
        <w:tc>
          <w:tcPr>
            <w:tcW w:w="1276" w:type="dxa"/>
            <w:tcBorders>
              <w:top w:val="nil"/>
              <w:left w:val="nil"/>
              <w:bottom w:val="nil"/>
              <w:right w:val="nil"/>
            </w:tcBorders>
            <w:shd w:val="clear" w:color="auto" w:fill="auto"/>
          </w:tcPr>
          <w:p w14:paraId="05CB4069"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0.450</w:t>
            </w:r>
          </w:p>
        </w:tc>
        <w:tc>
          <w:tcPr>
            <w:tcW w:w="1418" w:type="dxa"/>
            <w:tcBorders>
              <w:top w:val="nil"/>
              <w:left w:val="nil"/>
              <w:bottom w:val="nil"/>
              <w:right w:val="nil"/>
            </w:tcBorders>
            <w:shd w:val="clear" w:color="auto" w:fill="auto"/>
          </w:tcPr>
          <w:p w14:paraId="61729DDC"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0.643</w:t>
            </w:r>
          </w:p>
        </w:tc>
        <w:tc>
          <w:tcPr>
            <w:tcW w:w="566" w:type="dxa"/>
            <w:tcBorders>
              <w:top w:val="nil"/>
              <w:left w:val="nil"/>
              <w:bottom w:val="nil"/>
              <w:right w:val="nil"/>
            </w:tcBorders>
            <w:shd w:val="clear" w:color="auto" w:fill="auto"/>
          </w:tcPr>
          <w:p w14:paraId="051EF716" w14:textId="77777777" w:rsidR="008C5004" w:rsidRPr="00F4226B" w:rsidRDefault="008C5004" w:rsidP="008C5004">
            <w:pPr>
              <w:spacing w:after="0" w:line="240" w:lineRule="auto"/>
              <w:jc w:val="right"/>
              <w:rPr>
                <w:rFonts w:ascii="Times New Roman" w:hAnsi="Times New Roman"/>
                <w:color w:val="000000"/>
                <w:sz w:val="18"/>
                <w:szCs w:val="18"/>
                <w:lang w:val="en-US"/>
              </w:rPr>
            </w:pPr>
          </w:p>
        </w:tc>
      </w:tr>
      <w:tr w:rsidR="008C5004" w:rsidRPr="00F4226B" w14:paraId="433841BE" w14:textId="77777777" w:rsidTr="0008368E">
        <w:trPr>
          <w:trHeight w:val="240"/>
        </w:trPr>
        <w:tc>
          <w:tcPr>
            <w:tcW w:w="4536" w:type="dxa"/>
            <w:tcBorders>
              <w:top w:val="nil"/>
              <w:left w:val="nil"/>
              <w:bottom w:val="nil"/>
              <w:right w:val="nil"/>
            </w:tcBorders>
            <w:shd w:val="clear" w:color="auto" w:fill="auto"/>
          </w:tcPr>
          <w:p w14:paraId="7D05A1A6"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Vuong’s Z-statistics: HC vs IA Model                  </w:t>
            </w:r>
          </w:p>
        </w:tc>
        <w:tc>
          <w:tcPr>
            <w:tcW w:w="1276" w:type="dxa"/>
            <w:tcBorders>
              <w:top w:val="nil"/>
              <w:left w:val="nil"/>
              <w:bottom w:val="nil"/>
              <w:right w:val="nil"/>
            </w:tcBorders>
            <w:shd w:val="clear" w:color="auto" w:fill="auto"/>
          </w:tcPr>
          <w:p w14:paraId="5C17460E"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nil"/>
              <w:right w:val="nil"/>
            </w:tcBorders>
            <w:shd w:val="clear" w:color="auto" w:fill="auto"/>
          </w:tcPr>
          <w:p w14:paraId="03E75E88"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2.268**</w:t>
            </w:r>
          </w:p>
        </w:tc>
        <w:tc>
          <w:tcPr>
            <w:tcW w:w="1418" w:type="dxa"/>
            <w:tcBorders>
              <w:top w:val="nil"/>
              <w:left w:val="nil"/>
              <w:bottom w:val="nil"/>
              <w:right w:val="nil"/>
            </w:tcBorders>
            <w:shd w:val="clear" w:color="auto" w:fill="auto"/>
          </w:tcPr>
          <w:p w14:paraId="5E2239E8"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566" w:type="dxa"/>
            <w:tcBorders>
              <w:top w:val="nil"/>
              <w:left w:val="nil"/>
              <w:bottom w:val="nil"/>
              <w:right w:val="nil"/>
            </w:tcBorders>
            <w:shd w:val="clear" w:color="auto" w:fill="auto"/>
          </w:tcPr>
          <w:p w14:paraId="62146374"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1D1AD130" w14:textId="77777777" w:rsidTr="0008368E">
        <w:trPr>
          <w:trHeight w:val="240"/>
        </w:trPr>
        <w:tc>
          <w:tcPr>
            <w:tcW w:w="4536" w:type="dxa"/>
            <w:tcBorders>
              <w:top w:val="nil"/>
              <w:left w:val="nil"/>
              <w:bottom w:val="nil"/>
              <w:right w:val="nil"/>
            </w:tcBorders>
            <w:shd w:val="clear" w:color="auto" w:fill="auto"/>
          </w:tcPr>
          <w:p w14:paraId="603EDF60"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Incremental Model</w:t>
            </w:r>
          </w:p>
        </w:tc>
        <w:tc>
          <w:tcPr>
            <w:tcW w:w="1276" w:type="dxa"/>
            <w:tcBorders>
              <w:top w:val="nil"/>
              <w:left w:val="nil"/>
              <w:bottom w:val="nil"/>
              <w:right w:val="nil"/>
            </w:tcBorders>
            <w:shd w:val="clear" w:color="auto" w:fill="auto"/>
          </w:tcPr>
          <w:p w14:paraId="670C5F68"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nil"/>
              <w:right w:val="nil"/>
            </w:tcBorders>
            <w:shd w:val="clear" w:color="auto" w:fill="auto"/>
          </w:tcPr>
          <w:p w14:paraId="60B50A72"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bottom w:val="nil"/>
              <w:right w:val="nil"/>
            </w:tcBorders>
            <w:shd w:val="clear" w:color="auto" w:fill="auto"/>
          </w:tcPr>
          <w:p w14:paraId="1C5EA64F"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0.318</w:t>
            </w:r>
          </w:p>
        </w:tc>
        <w:tc>
          <w:tcPr>
            <w:tcW w:w="566" w:type="dxa"/>
            <w:tcBorders>
              <w:top w:val="nil"/>
              <w:left w:val="nil"/>
              <w:bottom w:val="nil"/>
              <w:right w:val="nil"/>
            </w:tcBorders>
            <w:shd w:val="clear" w:color="auto" w:fill="auto"/>
          </w:tcPr>
          <w:p w14:paraId="761EF7F1"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2BB72333" w14:textId="77777777" w:rsidTr="0008368E">
        <w:trPr>
          <w:trHeight w:val="240"/>
        </w:trPr>
        <w:tc>
          <w:tcPr>
            <w:tcW w:w="4536" w:type="dxa"/>
            <w:tcBorders>
              <w:top w:val="nil"/>
              <w:left w:val="nil"/>
              <w:bottom w:val="single" w:sz="4" w:space="0" w:color="auto"/>
              <w:right w:val="nil"/>
            </w:tcBorders>
            <w:shd w:val="clear" w:color="auto" w:fill="auto"/>
          </w:tcPr>
          <w:p w14:paraId="28D7E300"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IA vs Incremental Model</w:t>
            </w:r>
          </w:p>
        </w:tc>
        <w:tc>
          <w:tcPr>
            <w:tcW w:w="1276" w:type="dxa"/>
            <w:tcBorders>
              <w:top w:val="nil"/>
              <w:left w:val="nil"/>
              <w:bottom w:val="single" w:sz="4" w:space="0" w:color="auto"/>
              <w:right w:val="nil"/>
            </w:tcBorders>
            <w:shd w:val="clear" w:color="auto" w:fill="auto"/>
          </w:tcPr>
          <w:p w14:paraId="7D2C3231"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single" w:sz="4" w:space="0" w:color="auto"/>
              <w:right w:val="nil"/>
            </w:tcBorders>
            <w:shd w:val="clear" w:color="auto" w:fill="auto"/>
          </w:tcPr>
          <w:p w14:paraId="238E6EAC"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bottom w:val="single" w:sz="4" w:space="0" w:color="auto"/>
              <w:right w:val="nil"/>
            </w:tcBorders>
            <w:shd w:val="clear" w:color="auto" w:fill="auto"/>
          </w:tcPr>
          <w:p w14:paraId="2A38937A"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2.372**</w:t>
            </w:r>
          </w:p>
        </w:tc>
        <w:tc>
          <w:tcPr>
            <w:tcW w:w="566" w:type="dxa"/>
            <w:tcBorders>
              <w:top w:val="nil"/>
              <w:left w:val="nil"/>
              <w:bottom w:val="single" w:sz="4" w:space="0" w:color="auto"/>
              <w:right w:val="nil"/>
            </w:tcBorders>
            <w:shd w:val="clear" w:color="auto" w:fill="auto"/>
          </w:tcPr>
          <w:p w14:paraId="577E84BD"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6C88514E" w14:textId="77777777" w:rsidTr="0008368E">
        <w:trPr>
          <w:trHeight w:val="240"/>
        </w:trPr>
        <w:tc>
          <w:tcPr>
            <w:tcW w:w="4536" w:type="dxa"/>
            <w:tcBorders>
              <w:top w:val="single" w:sz="4" w:space="0" w:color="auto"/>
              <w:left w:val="nil"/>
              <w:bottom w:val="single" w:sz="4" w:space="0" w:color="auto"/>
              <w:right w:val="nil"/>
            </w:tcBorders>
            <w:shd w:val="clear" w:color="auto" w:fill="auto"/>
          </w:tcPr>
          <w:p w14:paraId="2BCE1B85" w14:textId="03604B03" w:rsidR="008C5004" w:rsidRPr="00F4226B" w:rsidRDefault="008C5004" w:rsidP="008C5004">
            <w:pPr>
              <w:spacing w:before="120" w:after="120" w:line="240" w:lineRule="auto"/>
              <w:rPr>
                <w:rFonts w:ascii="Times New Roman" w:hAnsi="Times New Roman"/>
                <w:bCs/>
                <w:color w:val="000000"/>
                <w:sz w:val="18"/>
                <w:szCs w:val="18"/>
                <w:lang w:val="en-US" w:eastAsia="es-ES"/>
              </w:rPr>
            </w:pPr>
            <w:r w:rsidRPr="00F4226B">
              <w:rPr>
                <w:rFonts w:ascii="Times New Roman" w:hAnsi="Times New Roman"/>
                <w:b/>
                <w:color w:val="000000"/>
                <w:sz w:val="18"/>
                <w:szCs w:val="18"/>
                <w:lang w:val="en-US"/>
              </w:rPr>
              <w:t>Panel C: High inflation period (2004</w:t>
            </w:r>
            <w:r w:rsidR="00D73423">
              <w:rPr>
                <w:rFonts w:ascii="Times New Roman" w:hAnsi="Times New Roman"/>
                <w:b/>
                <w:color w:val="000000"/>
                <w:sz w:val="18"/>
                <w:szCs w:val="18"/>
                <w:lang w:val="en-US"/>
              </w:rPr>
              <w:t>–</w:t>
            </w:r>
            <w:r w:rsidRPr="00F4226B">
              <w:rPr>
                <w:rFonts w:ascii="Times New Roman" w:hAnsi="Times New Roman"/>
                <w:b/>
                <w:color w:val="000000"/>
                <w:sz w:val="18"/>
                <w:szCs w:val="18"/>
                <w:lang w:val="en-US"/>
              </w:rPr>
              <w:t>2005)</w:t>
            </w:r>
            <w:r w:rsidRPr="00F4226B">
              <w:rPr>
                <w:rFonts w:ascii="Times New Roman" w:hAnsi="Times New Roman"/>
                <w:b/>
                <w:bCs/>
                <w:sz w:val="18"/>
                <w:szCs w:val="18"/>
                <w:lang w:val="en-US"/>
              </w:rPr>
              <w:t xml:space="preserve"> ±</w:t>
            </w:r>
          </w:p>
        </w:tc>
        <w:tc>
          <w:tcPr>
            <w:tcW w:w="1276" w:type="dxa"/>
            <w:tcBorders>
              <w:top w:val="single" w:sz="4" w:space="0" w:color="auto"/>
              <w:left w:val="nil"/>
              <w:bottom w:val="single" w:sz="4" w:space="0" w:color="auto"/>
              <w:right w:val="nil"/>
            </w:tcBorders>
            <w:shd w:val="clear" w:color="auto" w:fill="auto"/>
          </w:tcPr>
          <w:p w14:paraId="1D027571" w14:textId="77777777" w:rsidR="008C5004" w:rsidRPr="00F4226B" w:rsidRDefault="008C5004" w:rsidP="008C5004">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right"/>
              <w:rPr>
                <w:rFonts w:ascii="Times New Roman" w:hAnsi="Times New Roman"/>
                <w:color w:val="000000"/>
                <w:sz w:val="18"/>
                <w:szCs w:val="18"/>
                <w:lang w:val="en-US"/>
              </w:rPr>
            </w:pPr>
          </w:p>
        </w:tc>
        <w:tc>
          <w:tcPr>
            <w:tcW w:w="1276" w:type="dxa"/>
            <w:tcBorders>
              <w:top w:val="single" w:sz="4" w:space="0" w:color="auto"/>
              <w:left w:val="nil"/>
              <w:bottom w:val="single" w:sz="4" w:space="0" w:color="auto"/>
              <w:right w:val="nil"/>
            </w:tcBorders>
            <w:shd w:val="clear" w:color="auto" w:fill="auto"/>
          </w:tcPr>
          <w:p w14:paraId="02602567" w14:textId="77777777" w:rsidR="008C5004" w:rsidRPr="00F4226B" w:rsidRDefault="008C5004" w:rsidP="008C5004">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right"/>
              <w:rPr>
                <w:rFonts w:ascii="Times New Roman" w:hAnsi="Times New Roman"/>
                <w:bCs/>
                <w:color w:val="000000"/>
                <w:sz w:val="18"/>
                <w:szCs w:val="18"/>
                <w:lang w:val="en-US" w:eastAsia="es-ES"/>
              </w:rPr>
            </w:pPr>
          </w:p>
        </w:tc>
        <w:tc>
          <w:tcPr>
            <w:tcW w:w="1418" w:type="dxa"/>
            <w:tcBorders>
              <w:top w:val="single" w:sz="4" w:space="0" w:color="auto"/>
              <w:left w:val="nil"/>
              <w:bottom w:val="single" w:sz="4" w:space="0" w:color="auto"/>
              <w:right w:val="nil"/>
            </w:tcBorders>
            <w:shd w:val="clear" w:color="auto" w:fill="auto"/>
          </w:tcPr>
          <w:p w14:paraId="3D87A07B" w14:textId="77777777" w:rsidR="008C5004" w:rsidRPr="00F4226B" w:rsidRDefault="008C5004" w:rsidP="008C5004">
            <w:pPr>
              <w:spacing w:after="0" w:line="240" w:lineRule="auto"/>
              <w:jc w:val="right"/>
              <w:rPr>
                <w:rFonts w:ascii="Times New Roman" w:hAnsi="Times New Roman"/>
                <w:color w:val="000000"/>
                <w:sz w:val="18"/>
                <w:szCs w:val="18"/>
                <w:lang w:val="en-US"/>
              </w:rPr>
            </w:pPr>
          </w:p>
        </w:tc>
        <w:tc>
          <w:tcPr>
            <w:tcW w:w="566" w:type="dxa"/>
            <w:tcBorders>
              <w:top w:val="single" w:sz="4" w:space="0" w:color="auto"/>
              <w:left w:val="nil"/>
              <w:bottom w:val="single" w:sz="4" w:space="0" w:color="auto"/>
              <w:right w:val="nil"/>
            </w:tcBorders>
            <w:shd w:val="clear" w:color="auto" w:fill="auto"/>
          </w:tcPr>
          <w:p w14:paraId="17247424"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395C8C84" w14:textId="77777777" w:rsidTr="0008368E">
        <w:tc>
          <w:tcPr>
            <w:tcW w:w="4536" w:type="dxa"/>
            <w:tcBorders>
              <w:top w:val="single" w:sz="4" w:space="0" w:color="auto"/>
              <w:left w:val="nil"/>
              <w:bottom w:val="nil"/>
              <w:right w:val="nil"/>
            </w:tcBorders>
            <w:shd w:val="clear" w:color="auto" w:fill="auto"/>
          </w:tcPr>
          <w:p w14:paraId="44A4216F"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Intercept</w:t>
            </w:r>
          </w:p>
        </w:tc>
        <w:tc>
          <w:tcPr>
            <w:tcW w:w="1276" w:type="dxa"/>
            <w:tcBorders>
              <w:top w:val="single" w:sz="4" w:space="0" w:color="auto"/>
              <w:left w:val="nil"/>
              <w:bottom w:val="nil"/>
              <w:right w:val="nil"/>
            </w:tcBorders>
            <w:shd w:val="clear" w:color="auto" w:fill="auto"/>
          </w:tcPr>
          <w:p w14:paraId="67A38227"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-1.992</w:t>
            </w:r>
          </w:p>
          <w:p w14:paraId="06C5026A"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(-0.26)</w:t>
            </w:r>
          </w:p>
        </w:tc>
        <w:tc>
          <w:tcPr>
            <w:tcW w:w="1276" w:type="dxa"/>
            <w:tcBorders>
              <w:top w:val="single" w:sz="4" w:space="0" w:color="auto"/>
              <w:left w:val="nil"/>
              <w:bottom w:val="nil"/>
              <w:right w:val="nil"/>
            </w:tcBorders>
            <w:shd w:val="clear" w:color="auto" w:fill="auto"/>
          </w:tcPr>
          <w:p w14:paraId="4EFA53BB"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3.725</w:t>
            </w:r>
          </w:p>
          <w:p w14:paraId="746B01C0"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(0.42)</w:t>
            </w:r>
          </w:p>
        </w:tc>
        <w:tc>
          <w:tcPr>
            <w:tcW w:w="1418" w:type="dxa"/>
            <w:tcBorders>
              <w:top w:val="single" w:sz="4" w:space="0" w:color="auto"/>
              <w:left w:val="nil"/>
              <w:bottom w:val="nil"/>
              <w:right w:val="nil"/>
            </w:tcBorders>
            <w:shd w:val="clear" w:color="auto" w:fill="auto"/>
          </w:tcPr>
          <w:p w14:paraId="482F1444"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-0.557</w:t>
            </w:r>
          </w:p>
          <w:p w14:paraId="512955BC"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(-0.07)</w:t>
            </w:r>
          </w:p>
        </w:tc>
        <w:tc>
          <w:tcPr>
            <w:tcW w:w="566" w:type="dxa"/>
            <w:tcBorders>
              <w:top w:val="single" w:sz="4" w:space="0" w:color="auto"/>
              <w:left w:val="nil"/>
              <w:bottom w:val="nil"/>
              <w:right w:val="nil"/>
            </w:tcBorders>
            <w:shd w:val="clear" w:color="auto" w:fill="auto"/>
          </w:tcPr>
          <w:p w14:paraId="39CAEFC1"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0391E444" w14:textId="77777777" w:rsidTr="0008368E">
        <w:tc>
          <w:tcPr>
            <w:tcW w:w="4536" w:type="dxa"/>
            <w:tcBorders>
              <w:top w:val="nil"/>
              <w:left w:val="nil"/>
              <w:bottom w:val="nil"/>
              <w:right w:val="nil"/>
            </w:tcBorders>
            <w:shd w:val="clear" w:color="auto" w:fill="auto"/>
          </w:tcPr>
          <w:p w14:paraId="2E876FC8"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EARNINGS</w:t>
            </w:r>
          </w:p>
        </w:tc>
        <w:tc>
          <w:tcPr>
            <w:tcW w:w="1276" w:type="dxa"/>
            <w:tcBorders>
              <w:top w:val="nil"/>
              <w:left w:val="nil"/>
              <w:bottom w:val="nil"/>
              <w:right w:val="nil"/>
            </w:tcBorders>
            <w:shd w:val="clear" w:color="auto" w:fill="auto"/>
          </w:tcPr>
          <w:p w14:paraId="1CD81E9B"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7.000    (9.66***)</w:t>
            </w:r>
          </w:p>
        </w:tc>
        <w:tc>
          <w:tcPr>
            <w:tcW w:w="1276" w:type="dxa"/>
            <w:tcBorders>
              <w:top w:val="nil"/>
              <w:left w:val="nil"/>
              <w:bottom w:val="nil"/>
              <w:right w:val="nil"/>
            </w:tcBorders>
            <w:shd w:val="clear" w:color="auto" w:fill="auto"/>
          </w:tcPr>
          <w:p w14:paraId="2A1AD6B5"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9.682   (7.45***)</w:t>
            </w:r>
          </w:p>
        </w:tc>
        <w:tc>
          <w:tcPr>
            <w:tcW w:w="1418" w:type="dxa"/>
            <w:tcBorders>
              <w:top w:val="nil"/>
              <w:left w:val="nil"/>
              <w:bottom w:val="nil"/>
              <w:right w:val="nil"/>
            </w:tcBorders>
            <w:shd w:val="clear" w:color="auto" w:fill="auto"/>
          </w:tcPr>
          <w:p w14:paraId="62ABB2A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9.185</w:t>
            </w:r>
          </w:p>
          <w:p w14:paraId="6FF15C6C"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(8.31***)</w:t>
            </w:r>
          </w:p>
        </w:tc>
        <w:tc>
          <w:tcPr>
            <w:tcW w:w="566" w:type="dxa"/>
            <w:tcBorders>
              <w:top w:val="nil"/>
              <w:left w:val="nil"/>
              <w:bottom w:val="nil"/>
              <w:right w:val="nil"/>
            </w:tcBorders>
            <w:shd w:val="clear" w:color="auto" w:fill="auto"/>
          </w:tcPr>
          <w:p w14:paraId="19739E70"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2460932E" w14:textId="77777777" w:rsidTr="0008368E">
        <w:tc>
          <w:tcPr>
            <w:tcW w:w="4536" w:type="dxa"/>
            <w:tcBorders>
              <w:top w:val="nil"/>
              <w:left w:val="nil"/>
              <w:bottom w:val="nil"/>
              <w:right w:val="nil"/>
            </w:tcBorders>
            <w:shd w:val="clear" w:color="auto" w:fill="auto"/>
          </w:tcPr>
          <w:p w14:paraId="0EEEB350"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t>EIGLS</w:t>
            </w:r>
          </w:p>
        </w:tc>
        <w:tc>
          <w:tcPr>
            <w:tcW w:w="1276" w:type="dxa"/>
            <w:tcBorders>
              <w:top w:val="nil"/>
              <w:left w:val="nil"/>
              <w:bottom w:val="nil"/>
              <w:right w:val="nil"/>
            </w:tcBorders>
            <w:shd w:val="clear" w:color="auto" w:fill="auto"/>
          </w:tcPr>
          <w:p w14:paraId="7661B6C9" w14:textId="77777777" w:rsidR="008C5004" w:rsidRPr="00F4226B" w:rsidRDefault="008C5004" w:rsidP="00582332">
            <w:pPr>
              <w:spacing w:after="0" w:line="240" w:lineRule="auto"/>
              <w:jc w:val="center"/>
              <w:rPr>
                <w:rFonts w:ascii="Times New Roman" w:hAnsi="Times New Roman"/>
                <w:color w:val="000000"/>
                <w:sz w:val="18"/>
                <w:szCs w:val="18"/>
                <w:lang w:val="en-US"/>
              </w:rPr>
            </w:pPr>
          </w:p>
          <w:p w14:paraId="1DAE3C1A"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276" w:type="dxa"/>
            <w:tcBorders>
              <w:top w:val="nil"/>
              <w:left w:val="nil"/>
              <w:bottom w:val="nil"/>
              <w:right w:val="nil"/>
            </w:tcBorders>
            <w:shd w:val="clear" w:color="auto" w:fill="auto"/>
          </w:tcPr>
          <w:p w14:paraId="40446752" w14:textId="77777777" w:rsidR="008C5004" w:rsidRPr="00F4226B" w:rsidRDefault="008C5004" w:rsidP="00582332">
            <w:pPr>
              <w:spacing w:after="0" w:line="240" w:lineRule="auto"/>
              <w:jc w:val="center"/>
              <w:rPr>
                <w:rFonts w:ascii="Times New Roman" w:hAnsi="Times New Roman"/>
                <w:b/>
                <w:color w:val="000000"/>
                <w:sz w:val="18"/>
                <w:szCs w:val="18"/>
                <w:lang w:val="en-US"/>
              </w:rPr>
            </w:pPr>
          </w:p>
        </w:tc>
        <w:tc>
          <w:tcPr>
            <w:tcW w:w="1418" w:type="dxa"/>
            <w:tcBorders>
              <w:top w:val="nil"/>
              <w:left w:val="nil"/>
              <w:bottom w:val="nil"/>
              <w:right w:val="nil"/>
            </w:tcBorders>
            <w:shd w:val="clear" w:color="auto" w:fill="auto"/>
          </w:tcPr>
          <w:p w14:paraId="1B3C7F4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-3.907</w:t>
            </w:r>
          </w:p>
          <w:p w14:paraId="7AEB42AB"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(-2.55**)</w:t>
            </w:r>
          </w:p>
        </w:tc>
        <w:tc>
          <w:tcPr>
            <w:tcW w:w="566" w:type="dxa"/>
            <w:tcBorders>
              <w:top w:val="nil"/>
              <w:left w:val="nil"/>
              <w:bottom w:val="nil"/>
              <w:right w:val="nil"/>
            </w:tcBorders>
            <w:shd w:val="clear" w:color="auto" w:fill="auto"/>
          </w:tcPr>
          <w:p w14:paraId="2E699AB3"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2B07D3D5" w14:textId="77777777" w:rsidTr="0008368E">
        <w:tc>
          <w:tcPr>
            <w:tcW w:w="4536" w:type="dxa"/>
            <w:tcBorders>
              <w:top w:val="nil"/>
              <w:left w:val="nil"/>
              <w:bottom w:val="nil"/>
              <w:right w:val="nil"/>
            </w:tcBorders>
            <w:shd w:val="clear" w:color="auto" w:fill="auto"/>
          </w:tcPr>
          <w:p w14:paraId="27FB107F" w14:textId="77777777" w:rsidR="008C5004" w:rsidRPr="00F4226B" w:rsidRDefault="008C5004" w:rsidP="008C5004">
            <w:pPr>
              <w:spacing w:after="0" w:line="240" w:lineRule="auto"/>
              <w:rPr>
                <w:rFonts w:ascii="Times New Roman" w:hAnsi="Times New Roman"/>
                <w:b/>
                <w:color w:val="000000"/>
                <w:sz w:val="18"/>
                <w:szCs w:val="18"/>
                <w:lang w:val="en-US"/>
              </w:rPr>
            </w:pPr>
            <w:r w:rsidRPr="00F4226B">
              <w:rPr>
                <w:rFonts w:ascii="Times New Roman" w:hAnsi="Times New Roman"/>
                <w:color w:val="000000"/>
                <w:sz w:val="18"/>
                <w:szCs w:val="18"/>
                <w:lang w:val="en-US"/>
              </w:rPr>
              <w:lastRenderedPageBreak/>
              <w:t>Fixed time effects</w:t>
            </w:r>
          </w:p>
        </w:tc>
        <w:tc>
          <w:tcPr>
            <w:tcW w:w="1276" w:type="dxa"/>
            <w:tcBorders>
              <w:top w:val="nil"/>
              <w:left w:val="nil"/>
              <w:bottom w:val="nil"/>
              <w:right w:val="nil"/>
            </w:tcBorders>
            <w:shd w:val="clear" w:color="auto" w:fill="auto"/>
          </w:tcPr>
          <w:p w14:paraId="65B4A83C"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1276" w:type="dxa"/>
            <w:tcBorders>
              <w:top w:val="nil"/>
              <w:left w:val="nil"/>
              <w:bottom w:val="nil"/>
              <w:right w:val="nil"/>
            </w:tcBorders>
            <w:shd w:val="clear" w:color="auto" w:fill="auto"/>
          </w:tcPr>
          <w:p w14:paraId="5EA6E64E"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Included</w:t>
            </w:r>
          </w:p>
        </w:tc>
        <w:tc>
          <w:tcPr>
            <w:tcW w:w="1418" w:type="dxa"/>
            <w:tcBorders>
              <w:top w:val="nil"/>
              <w:left w:val="nil"/>
              <w:bottom w:val="nil"/>
              <w:right w:val="nil"/>
            </w:tcBorders>
            <w:shd w:val="clear" w:color="auto" w:fill="auto"/>
          </w:tcPr>
          <w:p w14:paraId="43DE1660" w14:textId="77777777" w:rsidR="008C5004" w:rsidRPr="00F4226B" w:rsidRDefault="008C5004" w:rsidP="00582332">
            <w:pPr>
              <w:spacing w:after="0" w:line="240" w:lineRule="auto"/>
              <w:jc w:val="center"/>
              <w:rPr>
                <w:rFonts w:ascii="Times New Roman" w:hAnsi="Times New Roman"/>
                <w:b/>
                <w:color w:val="000000"/>
                <w:sz w:val="18"/>
                <w:szCs w:val="18"/>
                <w:lang w:val="en-US"/>
              </w:rPr>
            </w:pPr>
            <w:r w:rsidRPr="00F4226B">
              <w:rPr>
                <w:rFonts w:ascii="Times New Roman" w:hAnsi="Times New Roman"/>
                <w:color w:val="000000"/>
                <w:sz w:val="18"/>
                <w:szCs w:val="18"/>
                <w:lang w:val="en-US"/>
              </w:rPr>
              <w:t>Included</w:t>
            </w:r>
          </w:p>
        </w:tc>
        <w:tc>
          <w:tcPr>
            <w:tcW w:w="566" w:type="dxa"/>
            <w:tcBorders>
              <w:top w:val="nil"/>
              <w:left w:val="nil"/>
              <w:bottom w:val="nil"/>
              <w:right w:val="nil"/>
            </w:tcBorders>
            <w:shd w:val="clear" w:color="auto" w:fill="auto"/>
          </w:tcPr>
          <w:p w14:paraId="3A0D4B20"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130D6595" w14:textId="77777777" w:rsidTr="0008368E">
        <w:tc>
          <w:tcPr>
            <w:tcW w:w="4536" w:type="dxa"/>
            <w:tcBorders>
              <w:top w:val="nil"/>
              <w:left w:val="nil"/>
              <w:bottom w:val="nil"/>
              <w:right w:val="nil"/>
            </w:tcBorders>
            <w:shd w:val="clear" w:color="auto" w:fill="auto"/>
          </w:tcPr>
          <w:p w14:paraId="6656579C" w14:textId="77777777" w:rsidR="008C5004" w:rsidRPr="00F4226B" w:rsidRDefault="008C5004" w:rsidP="008C5004">
            <w:pPr>
              <w:spacing w:after="0" w:line="240" w:lineRule="auto"/>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Number of observations</w:t>
            </w:r>
          </w:p>
        </w:tc>
        <w:tc>
          <w:tcPr>
            <w:tcW w:w="1276" w:type="dxa"/>
            <w:tcBorders>
              <w:top w:val="nil"/>
              <w:left w:val="nil"/>
              <w:bottom w:val="nil"/>
              <w:right w:val="nil"/>
            </w:tcBorders>
            <w:shd w:val="clear" w:color="auto" w:fill="auto"/>
          </w:tcPr>
          <w:p w14:paraId="196BF595"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76</w:t>
            </w:r>
          </w:p>
        </w:tc>
        <w:tc>
          <w:tcPr>
            <w:tcW w:w="1276" w:type="dxa"/>
            <w:tcBorders>
              <w:top w:val="nil"/>
              <w:left w:val="nil"/>
              <w:bottom w:val="nil"/>
              <w:right w:val="nil"/>
            </w:tcBorders>
            <w:shd w:val="clear" w:color="auto" w:fill="auto"/>
          </w:tcPr>
          <w:p w14:paraId="5DB91CE9"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76</w:t>
            </w:r>
          </w:p>
        </w:tc>
        <w:tc>
          <w:tcPr>
            <w:tcW w:w="1418" w:type="dxa"/>
            <w:tcBorders>
              <w:top w:val="nil"/>
              <w:left w:val="nil"/>
              <w:bottom w:val="nil"/>
              <w:right w:val="nil"/>
            </w:tcBorders>
            <w:shd w:val="clear" w:color="auto" w:fill="auto"/>
          </w:tcPr>
          <w:p w14:paraId="2196F0EF"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76</w:t>
            </w:r>
          </w:p>
        </w:tc>
        <w:tc>
          <w:tcPr>
            <w:tcW w:w="566" w:type="dxa"/>
            <w:tcBorders>
              <w:top w:val="nil"/>
              <w:left w:val="nil"/>
              <w:bottom w:val="nil"/>
              <w:right w:val="nil"/>
            </w:tcBorders>
            <w:shd w:val="clear" w:color="auto" w:fill="auto"/>
          </w:tcPr>
          <w:p w14:paraId="36A5D5F2" w14:textId="77777777" w:rsidR="008C5004" w:rsidRPr="00F4226B" w:rsidRDefault="008C5004" w:rsidP="008C5004">
            <w:pPr>
              <w:spacing w:after="0" w:line="240" w:lineRule="auto"/>
              <w:jc w:val="right"/>
              <w:rPr>
                <w:rFonts w:ascii="Times New Roman" w:hAnsi="Times New Roman"/>
                <w:color w:val="000000"/>
                <w:sz w:val="18"/>
                <w:szCs w:val="18"/>
                <w:lang w:val="en-US"/>
              </w:rPr>
            </w:pPr>
          </w:p>
        </w:tc>
      </w:tr>
      <w:tr w:rsidR="008C5004" w:rsidRPr="00F4226B" w14:paraId="1A2CE512" w14:textId="77777777" w:rsidTr="0008368E">
        <w:tc>
          <w:tcPr>
            <w:tcW w:w="4536" w:type="dxa"/>
            <w:tcBorders>
              <w:top w:val="nil"/>
              <w:left w:val="nil"/>
              <w:bottom w:val="nil"/>
              <w:right w:val="nil"/>
            </w:tcBorders>
            <w:shd w:val="clear" w:color="auto" w:fill="auto"/>
          </w:tcPr>
          <w:p w14:paraId="03FEAF3E"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F-ratio</w:t>
            </w:r>
          </w:p>
        </w:tc>
        <w:tc>
          <w:tcPr>
            <w:tcW w:w="1276" w:type="dxa"/>
            <w:tcBorders>
              <w:top w:val="nil"/>
              <w:left w:val="nil"/>
              <w:bottom w:val="nil"/>
              <w:right w:val="nil"/>
            </w:tcBorders>
            <w:shd w:val="clear" w:color="auto" w:fill="auto"/>
          </w:tcPr>
          <w:p w14:paraId="5C959425"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62.83***</w:t>
            </w:r>
          </w:p>
        </w:tc>
        <w:tc>
          <w:tcPr>
            <w:tcW w:w="1276" w:type="dxa"/>
            <w:tcBorders>
              <w:top w:val="nil"/>
              <w:left w:val="nil"/>
              <w:bottom w:val="nil"/>
              <w:right w:val="nil"/>
            </w:tcBorders>
            <w:shd w:val="clear" w:color="auto" w:fill="auto"/>
          </w:tcPr>
          <w:p w14:paraId="7161393D"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40.29***</w:t>
            </w:r>
          </w:p>
        </w:tc>
        <w:tc>
          <w:tcPr>
            <w:tcW w:w="1418" w:type="dxa"/>
            <w:tcBorders>
              <w:top w:val="nil"/>
              <w:left w:val="nil"/>
              <w:bottom w:val="nil"/>
              <w:right w:val="nil"/>
            </w:tcBorders>
            <w:shd w:val="clear" w:color="auto" w:fill="auto"/>
          </w:tcPr>
          <w:p w14:paraId="39DDC548"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47.22***</w:t>
            </w:r>
          </w:p>
        </w:tc>
        <w:tc>
          <w:tcPr>
            <w:tcW w:w="566" w:type="dxa"/>
            <w:tcBorders>
              <w:top w:val="nil"/>
              <w:left w:val="nil"/>
              <w:bottom w:val="nil"/>
              <w:right w:val="nil"/>
            </w:tcBorders>
            <w:shd w:val="clear" w:color="auto" w:fill="auto"/>
          </w:tcPr>
          <w:p w14:paraId="0BE63932" w14:textId="77777777" w:rsidR="008C5004" w:rsidRPr="00F4226B" w:rsidRDefault="008C5004" w:rsidP="008C5004">
            <w:pPr>
              <w:spacing w:after="0" w:line="240" w:lineRule="auto"/>
              <w:jc w:val="right"/>
              <w:rPr>
                <w:rFonts w:ascii="Times New Roman" w:hAnsi="Times New Roman"/>
                <w:color w:val="000000"/>
                <w:sz w:val="18"/>
                <w:szCs w:val="18"/>
                <w:lang w:val="en-US"/>
              </w:rPr>
            </w:pPr>
          </w:p>
        </w:tc>
      </w:tr>
      <w:tr w:rsidR="008C5004" w:rsidRPr="00F4226B" w14:paraId="2020CAC3" w14:textId="77777777" w:rsidTr="0008368E">
        <w:tc>
          <w:tcPr>
            <w:tcW w:w="4536" w:type="dxa"/>
            <w:tcBorders>
              <w:top w:val="nil"/>
              <w:left w:val="nil"/>
              <w:bottom w:val="nil"/>
              <w:right w:val="nil"/>
            </w:tcBorders>
            <w:shd w:val="clear" w:color="auto" w:fill="auto"/>
          </w:tcPr>
          <w:p w14:paraId="475C95F7"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Adjusted R</w:t>
            </w:r>
            <w:r w:rsidRPr="00F4226B">
              <w:rPr>
                <w:rFonts w:ascii="Times New Roman" w:hAnsi="Times New Roman"/>
                <w:bCs/>
                <w:color w:val="000000"/>
                <w:sz w:val="18"/>
                <w:szCs w:val="18"/>
                <w:vertAlign w:val="superscript"/>
                <w:lang w:val="en-US" w:eastAsia="es-ES"/>
              </w:rPr>
              <w:t>2</w:t>
            </w:r>
          </w:p>
        </w:tc>
        <w:tc>
          <w:tcPr>
            <w:tcW w:w="1276" w:type="dxa"/>
            <w:tcBorders>
              <w:top w:val="nil"/>
              <w:left w:val="nil"/>
              <w:bottom w:val="nil"/>
              <w:right w:val="nil"/>
            </w:tcBorders>
            <w:shd w:val="clear" w:color="auto" w:fill="auto"/>
          </w:tcPr>
          <w:p w14:paraId="45F207EF"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0.625</w:t>
            </w:r>
          </w:p>
        </w:tc>
        <w:tc>
          <w:tcPr>
            <w:tcW w:w="1276" w:type="dxa"/>
            <w:tcBorders>
              <w:top w:val="nil"/>
              <w:left w:val="nil"/>
              <w:bottom w:val="nil"/>
              <w:right w:val="nil"/>
            </w:tcBorders>
            <w:shd w:val="clear" w:color="auto" w:fill="auto"/>
          </w:tcPr>
          <w:p w14:paraId="7127488B"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0.512</w:t>
            </w:r>
          </w:p>
        </w:tc>
        <w:tc>
          <w:tcPr>
            <w:tcW w:w="1418" w:type="dxa"/>
            <w:tcBorders>
              <w:top w:val="nil"/>
              <w:left w:val="nil"/>
              <w:bottom w:val="nil"/>
              <w:right w:val="nil"/>
            </w:tcBorders>
            <w:shd w:val="clear" w:color="auto" w:fill="auto"/>
          </w:tcPr>
          <w:p w14:paraId="0B16EBD8"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0.649</w:t>
            </w:r>
          </w:p>
        </w:tc>
        <w:tc>
          <w:tcPr>
            <w:tcW w:w="566" w:type="dxa"/>
            <w:tcBorders>
              <w:top w:val="nil"/>
              <w:left w:val="nil"/>
              <w:bottom w:val="nil"/>
              <w:right w:val="nil"/>
            </w:tcBorders>
            <w:shd w:val="clear" w:color="auto" w:fill="auto"/>
          </w:tcPr>
          <w:p w14:paraId="09626DF3" w14:textId="77777777" w:rsidR="008C5004" w:rsidRPr="00F4226B" w:rsidRDefault="008C5004" w:rsidP="008C5004">
            <w:pPr>
              <w:spacing w:after="0" w:line="240" w:lineRule="auto"/>
              <w:jc w:val="right"/>
              <w:rPr>
                <w:rFonts w:ascii="Times New Roman" w:hAnsi="Times New Roman"/>
                <w:color w:val="000000"/>
                <w:sz w:val="18"/>
                <w:szCs w:val="18"/>
                <w:lang w:val="en-US"/>
              </w:rPr>
            </w:pPr>
          </w:p>
        </w:tc>
      </w:tr>
      <w:tr w:rsidR="008C5004" w:rsidRPr="00F4226B" w14:paraId="006B1A56" w14:textId="77777777" w:rsidTr="0008368E">
        <w:tc>
          <w:tcPr>
            <w:tcW w:w="4536" w:type="dxa"/>
            <w:tcBorders>
              <w:top w:val="nil"/>
              <w:left w:val="nil"/>
              <w:bottom w:val="nil"/>
              <w:right w:val="nil"/>
            </w:tcBorders>
            <w:shd w:val="clear" w:color="auto" w:fill="auto"/>
          </w:tcPr>
          <w:p w14:paraId="250F5942"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Vuong’s Z-statistics: HC vs IA Model                  </w:t>
            </w:r>
          </w:p>
        </w:tc>
        <w:tc>
          <w:tcPr>
            <w:tcW w:w="1276" w:type="dxa"/>
            <w:tcBorders>
              <w:top w:val="nil"/>
              <w:left w:val="nil"/>
              <w:bottom w:val="nil"/>
              <w:right w:val="nil"/>
            </w:tcBorders>
            <w:shd w:val="clear" w:color="auto" w:fill="auto"/>
          </w:tcPr>
          <w:p w14:paraId="58DFF837"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nil"/>
              <w:right w:val="nil"/>
            </w:tcBorders>
            <w:shd w:val="clear" w:color="auto" w:fill="auto"/>
          </w:tcPr>
          <w:p w14:paraId="23423B83"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r w:rsidRPr="00F4226B">
              <w:rPr>
                <w:rFonts w:ascii="Times New Roman" w:hAnsi="Times New Roman"/>
                <w:bCs/>
                <w:color w:val="000000"/>
                <w:sz w:val="18"/>
                <w:szCs w:val="18"/>
                <w:lang w:val="en-US" w:eastAsia="es-ES"/>
              </w:rPr>
              <w:t>1.186</w:t>
            </w:r>
          </w:p>
        </w:tc>
        <w:tc>
          <w:tcPr>
            <w:tcW w:w="1418" w:type="dxa"/>
            <w:tcBorders>
              <w:top w:val="nil"/>
              <w:left w:val="nil"/>
              <w:bottom w:val="nil"/>
              <w:right w:val="nil"/>
            </w:tcBorders>
            <w:shd w:val="clear" w:color="auto" w:fill="auto"/>
          </w:tcPr>
          <w:p w14:paraId="3EF1C8C9" w14:textId="77777777" w:rsidR="008C5004" w:rsidRPr="00F4226B" w:rsidRDefault="008C5004" w:rsidP="00582332">
            <w:pPr>
              <w:spacing w:after="0" w:line="240" w:lineRule="auto"/>
              <w:jc w:val="center"/>
              <w:rPr>
                <w:rFonts w:ascii="Times New Roman" w:hAnsi="Times New Roman"/>
                <w:color w:val="000000"/>
                <w:sz w:val="18"/>
                <w:szCs w:val="18"/>
                <w:lang w:val="en-US"/>
              </w:rPr>
            </w:pPr>
          </w:p>
        </w:tc>
        <w:tc>
          <w:tcPr>
            <w:tcW w:w="566" w:type="dxa"/>
            <w:tcBorders>
              <w:top w:val="nil"/>
              <w:left w:val="nil"/>
              <w:bottom w:val="nil"/>
              <w:right w:val="nil"/>
            </w:tcBorders>
            <w:shd w:val="clear" w:color="auto" w:fill="auto"/>
          </w:tcPr>
          <w:p w14:paraId="5CB0A9B3"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738D0F9D" w14:textId="77777777" w:rsidTr="0008368E">
        <w:tc>
          <w:tcPr>
            <w:tcW w:w="4536" w:type="dxa"/>
            <w:tcBorders>
              <w:top w:val="nil"/>
              <w:left w:val="nil"/>
              <w:bottom w:val="nil"/>
              <w:right w:val="nil"/>
            </w:tcBorders>
            <w:shd w:val="clear" w:color="auto" w:fill="auto"/>
          </w:tcPr>
          <w:p w14:paraId="27DE14B5"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HC vs Incremental Model</w:t>
            </w:r>
          </w:p>
        </w:tc>
        <w:tc>
          <w:tcPr>
            <w:tcW w:w="1276" w:type="dxa"/>
            <w:tcBorders>
              <w:top w:val="nil"/>
              <w:left w:val="nil"/>
              <w:bottom w:val="nil"/>
              <w:right w:val="nil"/>
            </w:tcBorders>
            <w:shd w:val="clear" w:color="auto" w:fill="auto"/>
          </w:tcPr>
          <w:p w14:paraId="0DCD37D4"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nil"/>
              <w:right w:val="nil"/>
            </w:tcBorders>
            <w:shd w:val="clear" w:color="auto" w:fill="auto"/>
          </w:tcPr>
          <w:p w14:paraId="14E3775A"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bottom w:val="nil"/>
              <w:right w:val="nil"/>
            </w:tcBorders>
            <w:shd w:val="clear" w:color="auto" w:fill="auto"/>
          </w:tcPr>
          <w:p w14:paraId="756683C8"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0.290</w:t>
            </w:r>
          </w:p>
        </w:tc>
        <w:tc>
          <w:tcPr>
            <w:tcW w:w="566" w:type="dxa"/>
            <w:tcBorders>
              <w:top w:val="nil"/>
              <w:left w:val="nil"/>
              <w:bottom w:val="nil"/>
              <w:right w:val="nil"/>
            </w:tcBorders>
            <w:shd w:val="clear" w:color="auto" w:fill="auto"/>
          </w:tcPr>
          <w:p w14:paraId="78DA8E2B" w14:textId="77777777" w:rsidR="008C5004" w:rsidRPr="00F4226B" w:rsidRDefault="008C5004" w:rsidP="008C5004">
            <w:pPr>
              <w:spacing w:after="0" w:line="240" w:lineRule="auto"/>
              <w:jc w:val="right"/>
              <w:rPr>
                <w:rFonts w:ascii="Times New Roman" w:hAnsi="Times New Roman"/>
                <w:b/>
                <w:color w:val="000000"/>
                <w:sz w:val="18"/>
                <w:szCs w:val="18"/>
                <w:lang w:val="en-US"/>
              </w:rPr>
            </w:pPr>
          </w:p>
        </w:tc>
      </w:tr>
      <w:tr w:rsidR="008C5004" w:rsidRPr="00F4226B" w14:paraId="6B9539F8" w14:textId="77777777" w:rsidTr="0008368E">
        <w:tc>
          <w:tcPr>
            <w:tcW w:w="4536" w:type="dxa"/>
            <w:tcBorders>
              <w:top w:val="nil"/>
              <w:left w:val="nil"/>
              <w:bottom w:val="single" w:sz="12" w:space="0" w:color="auto"/>
              <w:right w:val="nil"/>
            </w:tcBorders>
            <w:shd w:val="clear" w:color="auto" w:fill="auto"/>
          </w:tcPr>
          <w:p w14:paraId="059CEDF4" w14:textId="77777777" w:rsidR="008C5004" w:rsidRPr="00F4226B" w:rsidRDefault="008C5004" w:rsidP="008C5004">
            <w:pPr>
              <w:spacing w:after="0" w:line="240" w:lineRule="auto"/>
              <w:rPr>
                <w:rFonts w:ascii="Times New Roman" w:hAnsi="Times New Roman"/>
                <w:bCs/>
                <w:color w:val="000000"/>
                <w:sz w:val="18"/>
                <w:szCs w:val="18"/>
                <w:lang w:val="en-US" w:eastAsia="es-ES"/>
              </w:rPr>
            </w:pPr>
            <w:r w:rsidRPr="00F4226B">
              <w:rPr>
                <w:rFonts w:ascii="Times New Roman" w:hAnsi="Times New Roman"/>
                <w:bCs/>
                <w:color w:val="000000"/>
                <w:sz w:val="18"/>
                <w:szCs w:val="18"/>
                <w:lang w:val="en-US" w:eastAsia="es-ES"/>
              </w:rPr>
              <w:t xml:space="preserve">                                  IA vs Incremental Model</w:t>
            </w:r>
          </w:p>
        </w:tc>
        <w:tc>
          <w:tcPr>
            <w:tcW w:w="1276" w:type="dxa"/>
            <w:tcBorders>
              <w:top w:val="nil"/>
              <w:left w:val="nil"/>
              <w:bottom w:val="single" w:sz="12" w:space="0" w:color="auto"/>
              <w:right w:val="nil"/>
            </w:tcBorders>
            <w:shd w:val="clear" w:color="auto" w:fill="auto"/>
          </w:tcPr>
          <w:p w14:paraId="70615D1D" w14:textId="77777777" w:rsidR="008C5004" w:rsidRPr="00F4226B" w:rsidRDefault="008C5004" w:rsidP="00692C1D">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color w:val="000000"/>
                <w:sz w:val="18"/>
                <w:szCs w:val="18"/>
                <w:lang w:val="en-US"/>
              </w:rPr>
            </w:pPr>
          </w:p>
        </w:tc>
        <w:tc>
          <w:tcPr>
            <w:tcW w:w="1276" w:type="dxa"/>
            <w:tcBorders>
              <w:top w:val="nil"/>
              <w:left w:val="nil"/>
              <w:bottom w:val="single" w:sz="12" w:space="0" w:color="auto"/>
              <w:right w:val="nil"/>
            </w:tcBorders>
            <w:shd w:val="clear" w:color="auto" w:fill="auto"/>
          </w:tcPr>
          <w:p w14:paraId="623E1992" w14:textId="77777777" w:rsidR="008C5004" w:rsidRPr="00F4226B" w:rsidRDefault="008C5004" w:rsidP="00582332">
            <w:pPr>
              <w:tabs>
                <w:tab w:val="left" w:pos="708"/>
                <w:tab w:val="left" w:pos="1416"/>
                <w:tab w:val="left" w:pos="2124"/>
                <w:tab w:val="left" w:pos="2832"/>
                <w:tab w:val="left" w:pos="3540"/>
                <w:tab w:val="left" w:pos="4248"/>
                <w:tab w:val="left" w:pos="4956"/>
                <w:tab w:val="left" w:pos="5685"/>
                <w:tab w:val="left" w:pos="5898"/>
                <w:tab w:val="left" w:pos="7012"/>
              </w:tabs>
              <w:spacing w:after="0" w:line="240" w:lineRule="exact"/>
              <w:jc w:val="center"/>
              <w:rPr>
                <w:rFonts w:ascii="Times New Roman" w:hAnsi="Times New Roman"/>
                <w:bCs/>
                <w:color w:val="000000"/>
                <w:sz w:val="18"/>
                <w:szCs w:val="18"/>
                <w:lang w:val="en-US" w:eastAsia="es-ES"/>
              </w:rPr>
            </w:pPr>
          </w:p>
        </w:tc>
        <w:tc>
          <w:tcPr>
            <w:tcW w:w="1418" w:type="dxa"/>
            <w:tcBorders>
              <w:top w:val="nil"/>
              <w:left w:val="nil"/>
              <w:bottom w:val="single" w:sz="12" w:space="0" w:color="auto"/>
              <w:right w:val="nil"/>
            </w:tcBorders>
            <w:shd w:val="clear" w:color="auto" w:fill="auto"/>
          </w:tcPr>
          <w:p w14:paraId="0367CF95" w14:textId="77777777" w:rsidR="008C5004" w:rsidRPr="00F4226B" w:rsidRDefault="008C5004" w:rsidP="00582332">
            <w:pPr>
              <w:spacing w:after="0" w:line="240" w:lineRule="auto"/>
              <w:jc w:val="center"/>
              <w:rPr>
                <w:rFonts w:ascii="Times New Roman" w:hAnsi="Times New Roman"/>
                <w:color w:val="000000"/>
                <w:sz w:val="18"/>
                <w:szCs w:val="18"/>
                <w:lang w:val="en-US"/>
              </w:rPr>
            </w:pPr>
            <w:r w:rsidRPr="00F4226B">
              <w:rPr>
                <w:rFonts w:ascii="Times New Roman" w:hAnsi="Times New Roman"/>
                <w:color w:val="000000"/>
                <w:sz w:val="18"/>
                <w:szCs w:val="18"/>
                <w:lang w:val="en-US"/>
              </w:rPr>
              <w:t>1.358</w:t>
            </w:r>
          </w:p>
        </w:tc>
        <w:tc>
          <w:tcPr>
            <w:tcW w:w="566" w:type="dxa"/>
            <w:tcBorders>
              <w:top w:val="nil"/>
              <w:left w:val="nil"/>
              <w:bottom w:val="single" w:sz="12" w:space="0" w:color="auto"/>
              <w:right w:val="nil"/>
            </w:tcBorders>
            <w:shd w:val="clear" w:color="auto" w:fill="auto"/>
          </w:tcPr>
          <w:p w14:paraId="40933CED" w14:textId="77777777" w:rsidR="008C5004" w:rsidRPr="00F4226B" w:rsidRDefault="008C5004" w:rsidP="008C5004">
            <w:pPr>
              <w:spacing w:after="0" w:line="240" w:lineRule="auto"/>
              <w:jc w:val="center"/>
              <w:rPr>
                <w:rFonts w:ascii="Times New Roman" w:hAnsi="Times New Roman"/>
                <w:b/>
                <w:color w:val="000000"/>
                <w:sz w:val="18"/>
                <w:szCs w:val="18"/>
                <w:lang w:val="en-US"/>
              </w:rPr>
            </w:pPr>
          </w:p>
        </w:tc>
      </w:tr>
    </w:tbl>
    <w:p w14:paraId="56DDD22F" w14:textId="202A7142" w:rsidR="008C5004" w:rsidRPr="00F4226B" w:rsidRDefault="008C5004" w:rsidP="00582332">
      <w:pPr>
        <w:spacing w:after="120" w:line="240" w:lineRule="auto"/>
        <w:jc w:val="both"/>
        <w:rPr>
          <w:rFonts w:ascii="Times New Roman" w:hAnsi="Times New Roman"/>
          <w:bCs/>
          <w:sz w:val="18"/>
          <w:szCs w:val="18"/>
          <w:lang w:val="en-US"/>
        </w:rPr>
      </w:pPr>
      <w:r w:rsidRPr="00F4226B">
        <w:rPr>
          <w:rFonts w:ascii="Times New Roman" w:hAnsi="Times New Roman"/>
          <w:sz w:val="18"/>
          <w:szCs w:val="18"/>
          <w:lang w:val="en-US"/>
        </w:rPr>
        <w:t xml:space="preserve">*** Significant at 1% level; ** </w:t>
      </w:r>
      <w:r w:rsidR="008C7C16">
        <w:rPr>
          <w:rFonts w:ascii="Times New Roman" w:hAnsi="Times New Roman"/>
          <w:sz w:val="18"/>
          <w:szCs w:val="18"/>
          <w:lang w:val="en-US"/>
        </w:rPr>
        <w:t>s</w:t>
      </w:r>
      <w:r w:rsidRPr="00F4226B">
        <w:rPr>
          <w:rFonts w:ascii="Times New Roman" w:hAnsi="Times New Roman"/>
          <w:sz w:val="18"/>
          <w:szCs w:val="18"/>
          <w:lang w:val="en-US"/>
        </w:rPr>
        <w:t xml:space="preserve">ignificant at 5% level; * </w:t>
      </w:r>
      <w:r w:rsidR="008C7C16">
        <w:rPr>
          <w:rFonts w:ascii="Times New Roman" w:hAnsi="Times New Roman"/>
          <w:sz w:val="18"/>
          <w:szCs w:val="18"/>
          <w:lang w:val="en-US"/>
        </w:rPr>
        <w:t>s</w:t>
      </w:r>
      <w:r w:rsidRPr="00F4226B">
        <w:rPr>
          <w:rFonts w:ascii="Times New Roman" w:hAnsi="Times New Roman"/>
          <w:sz w:val="18"/>
          <w:szCs w:val="18"/>
          <w:lang w:val="en-US"/>
        </w:rPr>
        <w:t xml:space="preserve">ignificant at 10% level. </w:t>
      </w:r>
      <w:r w:rsidRPr="00F4226B">
        <w:rPr>
          <w:rFonts w:ascii="Times New Roman" w:hAnsi="Times New Roman"/>
          <w:i/>
          <w:sz w:val="18"/>
          <w:szCs w:val="18"/>
          <w:lang w:val="en-US"/>
        </w:rPr>
        <w:t>RETURN</w:t>
      </w:r>
      <w:r w:rsidRPr="00F4226B">
        <w:rPr>
          <w:rFonts w:ascii="Times New Roman" w:hAnsi="Times New Roman"/>
          <w:i/>
          <w:sz w:val="18"/>
          <w:szCs w:val="18"/>
          <w:vertAlign w:val="subscript"/>
          <w:lang w:val="en-US"/>
        </w:rPr>
        <w:t>it</w:t>
      </w:r>
      <w:r w:rsidRPr="00F4226B">
        <w:rPr>
          <w:rFonts w:ascii="Times New Roman" w:hAnsi="Times New Roman"/>
          <w:sz w:val="18"/>
          <w:szCs w:val="18"/>
          <w:vertAlign w:val="subscript"/>
          <w:lang w:val="en-US"/>
        </w:rPr>
        <w:t xml:space="preserve"> </w:t>
      </w:r>
      <w:r w:rsidRPr="00F4226B">
        <w:rPr>
          <w:rFonts w:ascii="Times New Roman" w:hAnsi="Times New Roman"/>
          <w:sz w:val="18"/>
          <w:szCs w:val="18"/>
          <w:lang w:val="en-US"/>
        </w:rPr>
        <w:t xml:space="preserve">denotes </w:t>
      </w:r>
      <w:r w:rsidRPr="00F4226B">
        <w:rPr>
          <w:rFonts w:ascii="Times New Roman" w:hAnsi="Times New Roman"/>
          <w:bCs/>
          <w:sz w:val="18"/>
          <w:szCs w:val="18"/>
          <w:lang w:val="en-US"/>
        </w:rPr>
        <w:t xml:space="preserve">the share return of </w:t>
      </w:r>
      <w:r w:rsidR="008C7C16">
        <w:rPr>
          <w:rFonts w:ascii="Times New Roman" w:hAnsi="Times New Roman"/>
          <w:bCs/>
          <w:sz w:val="18"/>
          <w:szCs w:val="18"/>
          <w:lang w:val="en-US"/>
        </w:rPr>
        <w:t xml:space="preserve">the </w:t>
      </w:r>
      <w:r w:rsidRPr="00F4226B">
        <w:rPr>
          <w:rFonts w:ascii="Times New Roman" w:hAnsi="Times New Roman"/>
          <w:bCs/>
          <w:sz w:val="18"/>
          <w:szCs w:val="18"/>
          <w:lang w:val="en-US"/>
        </w:rPr>
        <w:t xml:space="preserve">firm over the 12-month period ending </w:t>
      </w:r>
      <w:r w:rsidR="00D73423">
        <w:rPr>
          <w:rFonts w:ascii="Times New Roman" w:hAnsi="Times New Roman"/>
          <w:bCs/>
          <w:sz w:val="18"/>
          <w:szCs w:val="18"/>
          <w:lang w:val="en-US"/>
        </w:rPr>
        <w:t>four</w:t>
      </w:r>
      <w:r w:rsidR="008C7C16">
        <w:rPr>
          <w:rFonts w:ascii="Times New Roman" w:hAnsi="Times New Roman"/>
          <w:bCs/>
          <w:sz w:val="18"/>
          <w:szCs w:val="18"/>
          <w:lang w:val="en-US"/>
        </w:rPr>
        <w:t xml:space="preserve"> </w:t>
      </w:r>
      <w:r w:rsidRPr="00F4226B">
        <w:rPr>
          <w:rFonts w:ascii="Times New Roman" w:hAnsi="Times New Roman"/>
          <w:bCs/>
          <w:sz w:val="18"/>
          <w:szCs w:val="18"/>
          <w:lang w:val="en-US"/>
        </w:rPr>
        <w:t>months after the fiscal year-end (measured as the change in price plus dividend per share for the year and scaled by the beginning share price).</w:t>
      </w:r>
      <w:r w:rsidRPr="00F4226B">
        <w:rPr>
          <w:rFonts w:ascii="Times New Roman" w:hAnsi="Times New Roman"/>
          <w:bCs/>
          <w:i/>
          <w:sz w:val="18"/>
          <w:szCs w:val="18"/>
          <w:lang w:val="en-US"/>
        </w:rPr>
        <w:t xml:space="preserve"> </w:t>
      </w:r>
      <w:r w:rsidRPr="00F4226B">
        <w:rPr>
          <w:rFonts w:ascii="Times New Roman" w:hAnsi="Times New Roman"/>
          <w:i/>
          <w:sz w:val="18"/>
          <w:szCs w:val="18"/>
          <w:lang w:val="en-US"/>
        </w:rPr>
        <w:t>EARNINGS</w:t>
      </w:r>
      <w:r w:rsidRPr="00F4226B">
        <w:rPr>
          <w:rFonts w:ascii="Times New Roman" w:hAnsi="Times New Roman"/>
          <w:sz w:val="18"/>
          <w:szCs w:val="18"/>
          <w:lang w:val="en-US"/>
        </w:rPr>
        <w:t xml:space="preserve"> is the reported basic earnings per share, calculated in accordance with IAS 33 – </w:t>
      </w:r>
      <w:r w:rsidRPr="00F4226B">
        <w:rPr>
          <w:rFonts w:ascii="Times New Roman" w:hAnsi="Times New Roman"/>
          <w:i/>
          <w:sz w:val="18"/>
          <w:szCs w:val="18"/>
          <w:lang w:val="en-US"/>
        </w:rPr>
        <w:t>Earnings per share</w:t>
      </w:r>
      <w:r w:rsidRPr="00F4226B">
        <w:rPr>
          <w:rFonts w:ascii="Times New Roman" w:hAnsi="Times New Roman"/>
          <w:sz w:val="18"/>
          <w:szCs w:val="18"/>
          <w:lang w:val="en-US"/>
        </w:rPr>
        <w:t xml:space="preserve"> for HC and IA amounts</w:t>
      </w:r>
      <w:r w:rsidR="008C7C16">
        <w:rPr>
          <w:rFonts w:ascii="Times New Roman" w:hAnsi="Times New Roman"/>
          <w:sz w:val="18"/>
          <w:szCs w:val="18"/>
          <w:lang w:val="en-US"/>
        </w:rPr>
        <w:t>,</w:t>
      </w:r>
      <w:r w:rsidRPr="00F4226B">
        <w:rPr>
          <w:rFonts w:ascii="Times New Roman" w:hAnsi="Times New Roman"/>
          <w:sz w:val="18"/>
          <w:szCs w:val="18"/>
          <w:lang w:val="en-US"/>
        </w:rPr>
        <w:t xml:space="preserve"> and </w:t>
      </w:r>
      <w:r w:rsidRPr="00F4226B">
        <w:rPr>
          <w:rFonts w:ascii="Times New Roman" w:hAnsi="Times New Roman"/>
          <w:i/>
          <w:sz w:val="18"/>
          <w:szCs w:val="18"/>
          <w:lang w:val="en-US"/>
        </w:rPr>
        <w:t xml:space="preserve">EIGLS </w:t>
      </w:r>
      <w:r w:rsidRPr="00F4226B">
        <w:rPr>
          <w:rFonts w:ascii="Times New Roman" w:hAnsi="Times New Roman"/>
          <w:sz w:val="18"/>
          <w:szCs w:val="18"/>
          <w:lang w:val="en-US"/>
        </w:rPr>
        <w:t xml:space="preserve">is the </w:t>
      </w:r>
      <w:r w:rsidR="00F4226B" w:rsidRPr="00F4226B">
        <w:rPr>
          <w:rFonts w:ascii="Times New Roman" w:hAnsi="Times New Roman"/>
          <w:sz w:val="18"/>
          <w:szCs w:val="18"/>
          <w:lang w:val="en-US"/>
        </w:rPr>
        <w:t>recognized</w:t>
      </w:r>
      <w:r w:rsidRPr="00F4226B">
        <w:rPr>
          <w:rFonts w:ascii="Times New Roman" w:hAnsi="Times New Roman"/>
          <w:sz w:val="18"/>
          <w:szCs w:val="18"/>
          <w:lang w:val="en-US"/>
        </w:rPr>
        <w:t xml:space="preserve"> inflation gains and losses in earnings (i.e., difference between HC and IA earnings).</w:t>
      </w:r>
      <w:r w:rsidRPr="00F4226B">
        <w:rPr>
          <w:rFonts w:ascii="Times New Roman" w:hAnsi="Times New Roman"/>
          <w:i/>
          <w:sz w:val="18"/>
          <w:szCs w:val="18"/>
          <w:lang w:val="en-US"/>
        </w:rPr>
        <w:t xml:space="preserve"> </w:t>
      </w:r>
      <w:r w:rsidR="00F4226B">
        <w:rPr>
          <w:rFonts w:ascii="Times New Roman" w:hAnsi="Times New Roman"/>
          <w:sz w:val="18"/>
          <w:szCs w:val="18"/>
          <w:lang w:val="en-US"/>
        </w:rPr>
        <w:t>To</w:t>
      </w:r>
      <w:r w:rsidRPr="00F4226B">
        <w:rPr>
          <w:rFonts w:ascii="Times New Roman" w:hAnsi="Times New Roman"/>
          <w:sz w:val="18"/>
          <w:szCs w:val="18"/>
          <w:lang w:val="en-US"/>
        </w:rPr>
        <w:t xml:space="preserve"> mitigate the size or scale effects, we deflate EARNINGS and EIGLS</w:t>
      </w:r>
      <w:r w:rsidRPr="00F4226B">
        <w:rPr>
          <w:rFonts w:ascii="Times New Roman" w:hAnsi="Times New Roman"/>
          <w:bCs/>
          <w:sz w:val="18"/>
          <w:szCs w:val="18"/>
          <w:lang w:val="en-US"/>
        </w:rPr>
        <w:t xml:space="preserve"> by the share prices at the beginning of the returns annual window.</w:t>
      </w:r>
    </w:p>
    <w:p w14:paraId="16D52EEB" w14:textId="1747A92D" w:rsidR="008C5004" w:rsidRPr="00F4226B" w:rsidRDefault="008C5004" w:rsidP="008C5004">
      <w:pPr>
        <w:spacing w:after="0" w:line="240" w:lineRule="auto"/>
        <w:ind w:left="142" w:hanging="142"/>
        <w:jc w:val="both"/>
        <w:rPr>
          <w:rFonts w:ascii="Times New Roman" w:hAnsi="Times New Roman"/>
          <w:bCs/>
          <w:sz w:val="18"/>
          <w:szCs w:val="18"/>
          <w:lang w:val="en-US"/>
        </w:rPr>
      </w:pPr>
      <w:r w:rsidRPr="00F4226B">
        <w:rPr>
          <w:rFonts w:ascii="Times New Roman" w:hAnsi="Times New Roman"/>
          <w:b/>
          <w:bCs/>
          <w:sz w:val="18"/>
          <w:szCs w:val="18"/>
          <w:lang w:val="en-US"/>
        </w:rPr>
        <w:t xml:space="preserve">± </w:t>
      </w:r>
      <w:r w:rsidRPr="00F4226B">
        <w:rPr>
          <w:rFonts w:ascii="Times New Roman" w:hAnsi="Times New Roman"/>
          <w:bCs/>
          <w:sz w:val="18"/>
          <w:szCs w:val="18"/>
          <w:lang w:val="en-US"/>
        </w:rPr>
        <w:t>We have not included the results for the low inflation period (2000</w:t>
      </w:r>
      <w:r w:rsidR="00D73423">
        <w:rPr>
          <w:rFonts w:ascii="Times New Roman" w:hAnsi="Times New Roman"/>
          <w:bCs/>
          <w:sz w:val="18"/>
          <w:szCs w:val="18"/>
          <w:lang w:val="en-US"/>
        </w:rPr>
        <w:t>–</w:t>
      </w:r>
      <w:r w:rsidRPr="00F4226B">
        <w:rPr>
          <w:rFonts w:ascii="Times New Roman" w:hAnsi="Times New Roman"/>
          <w:bCs/>
          <w:sz w:val="18"/>
          <w:szCs w:val="18"/>
          <w:lang w:val="en-US"/>
        </w:rPr>
        <w:t xml:space="preserve">2002) in this table as there are no changes to those reported in Table </w:t>
      </w:r>
      <w:r w:rsidR="00820BD1" w:rsidRPr="00F4226B">
        <w:rPr>
          <w:rFonts w:ascii="Times New Roman" w:hAnsi="Times New Roman"/>
          <w:bCs/>
          <w:sz w:val="18"/>
          <w:szCs w:val="18"/>
          <w:lang w:val="en-US"/>
        </w:rPr>
        <w:t>5</w:t>
      </w:r>
      <w:r w:rsidRPr="00F4226B">
        <w:rPr>
          <w:rFonts w:ascii="Times New Roman" w:hAnsi="Times New Roman"/>
          <w:bCs/>
          <w:sz w:val="18"/>
          <w:szCs w:val="18"/>
          <w:lang w:val="en-US"/>
        </w:rPr>
        <w:t>, Panel A.</w:t>
      </w:r>
    </w:p>
    <w:p w14:paraId="0B7598AF" w14:textId="77777777" w:rsidR="00E95181" w:rsidRPr="00F4226B" w:rsidRDefault="00FB51D1" w:rsidP="003820D1">
      <w:pPr>
        <w:spacing w:after="120" w:line="240" w:lineRule="auto"/>
        <w:jc w:val="center"/>
        <w:outlineLvl w:val="0"/>
        <w:rPr>
          <w:rFonts w:ascii="Times New Roman" w:hAnsi="Times New Roman"/>
          <w:b/>
          <w:sz w:val="28"/>
          <w:szCs w:val="28"/>
          <w:lang w:val="en-US"/>
        </w:rPr>
      </w:pPr>
      <w:r w:rsidRPr="00F4226B">
        <w:rPr>
          <w:rFonts w:ascii="Times New Roman" w:hAnsi="Times New Roman"/>
          <w:b/>
          <w:sz w:val="20"/>
          <w:szCs w:val="20"/>
          <w:lang w:val="en-US"/>
        </w:rPr>
        <w:br w:type="page"/>
      </w:r>
      <w:r w:rsidR="00C87D4B" w:rsidRPr="00F4226B">
        <w:rPr>
          <w:rFonts w:ascii="Times New Roman" w:hAnsi="Times New Roman"/>
          <w:b/>
          <w:sz w:val="28"/>
          <w:szCs w:val="28"/>
          <w:lang w:val="en-US"/>
        </w:rPr>
        <w:lastRenderedPageBreak/>
        <w:t>A</w:t>
      </w:r>
      <w:r w:rsidR="00E95181" w:rsidRPr="00F4226B">
        <w:rPr>
          <w:rFonts w:ascii="Times New Roman" w:hAnsi="Times New Roman"/>
          <w:b/>
          <w:sz w:val="28"/>
          <w:szCs w:val="28"/>
          <w:lang w:val="en-US"/>
        </w:rPr>
        <w:t>ppendix 1</w:t>
      </w:r>
    </w:p>
    <w:p w14:paraId="396F249A" w14:textId="77777777" w:rsidR="00E95181" w:rsidRPr="00F4226B" w:rsidRDefault="002A6A26" w:rsidP="003820D1">
      <w:pPr>
        <w:spacing w:after="240"/>
        <w:jc w:val="center"/>
        <w:outlineLvl w:val="0"/>
        <w:rPr>
          <w:rFonts w:ascii="Times New Roman" w:hAnsi="Times New Roman"/>
          <w:b/>
          <w:sz w:val="28"/>
          <w:szCs w:val="28"/>
          <w:lang w:val="en-US"/>
        </w:rPr>
      </w:pPr>
      <w:r w:rsidRPr="00F4226B">
        <w:rPr>
          <w:rFonts w:ascii="Times New Roman" w:hAnsi="Times New Roman"/>
          <w:b/>
          <w:sz w:val="28"/>
          <w:szCs w:val="28"/>
          <w:lang w:val="en-US"/>
        </w:rPr>
        <w:t>An example of IA and HC financial statements presentation format</w:t>
      </w:r>
    </w:p>
    <w:p w14:paraId="77DBF62B" w14:textId="6A6F08E7" w:rsidR="00164FC3" w:rsidRPr="00F4226B" w:rsidRDefault="00506CB4" w:rsidP="00164FC3">
      <w:pPr>
        <w:rPr>
          <w:lang w:val="en-US"/>
        </w:rPr>
      </w:pPr>
      <w:r w:rsidRPr="00F4226B">
        <w:rPr>
          <w:noProof/>
          <w:lang w:val="en-GB" w:eastAsia="en-GB"/>
        </w:rPr>
        <w:drawing>
          <wp:inline distT="0" distB="0" distL="0" distR="0" wp14:anchorId="24EC6988" wp14:editId="4F863368">
            <wp:extent cx="580136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1360" cy="697865"/>
                    </a:xfrm>
                    <a:prstGeom prst="rect">
                      <a:avLst/>
                    </a:prstGeom>
                    <a:noFill/>
                    <a:ln>
                      <a:noFill/>
                    </a:ln>
                  </pic:spPr>
                </pic:pic>
              </a:graphicData>
            </a:graphic>
          </wp:inline>
        </w:drawing>
      </w:r>
    </w:p>
    <w:p w14:paraId="4C7FC1BD" w14:textId="2F614FDB" w:rsidR="00E95181" w:rsidRPr="00F4226B" w:rsidRDefault="00506CB4" w:rsidP="00164FC3">
      <w:pPr>
        <w:rPr>
          <w:lang w:val="en-US"/>
        </w:rPr>
      </w:pPr>
      <w:r w:rsidRPr="00F4226B">
        <w:rPr>
          <w:noProof/>
          <w:lang w:val="en-GB" w:eastAsia="en-GB"/>
        </w:rPr>
        <w:lastRenderedPageBreak/>
        <w:drawing>
          <wp:inline distT="0" distB="0" distL="0" distR="0" wp14:anchorId="1C994293" wp14:editId="70B37375">
            <wp:extent cx="5807710" cy="620903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7710" cy="6209030"/>
                    </a:xfrm>
                    <a:prstGeom prst="rect">
                      <a:avLst/>
                    </a:prstGeom>
                    <a:noFill/>
                    <a:ln>
                      <a:noFill/>
                    </a:ln>
                  </pic:spPr>
                </pic:pic>
              </a:graphicData>
            </a:graphic>
          </wp:inline>
        </w:drawing>
      </w:r>
    </w:p>
    <w:p w14:paraId="5C383BB6" w14:textId="77777777" w:rsidR="002A6A26" w:rsidRPr="00F4226B" w:rsidRDefault="002A6A26" w:rsidP="00B04B6A">
      <w:pPr>
        <w:spacing w:after="0"/>
        <w:jc w:val="both"/>
        <w:rPr>
          <w:rFonts w:ascii="Times New Roman" w:hAnsi="Times New Roman"/>
          <w:lang w:val="en-US"/>
        </w:rPr>
      </w:pPr>
    </w:p>
    <w:p w14:paraId="74579CF7" w14:textId="77777777" w:rsidR="00902ECE" w:rsidRPr="00F4226B" w:rsidRDefault="002A6A26" w:rsidP="003820D1">
      <w:pPr>
        <w:spacing w:after="0"/>
        <w:jc w:val="right"/>
        <w:outlineLvl w:val="0"/>
        <w:rPr>
          <w:rFonts w:ascii="Times New Roman" w:hAnsi="Times New Roman"/>
          <w:lang w:val="en-US"/>
        </w:rPr>
      </w:pPr>
      <w:r w:rsidRPr="00F4226B">
        <w:rPr>
          <w:rFonts w:ascii="Times New Roman" w:hAnsi="Times New Roman"/>
          <w:b/>
          <w:lang w:val="en-US"/>
        </w:rPr>
        <w:lastRenderedPageBreak/>
        <w:t>Continued……</w:t>
      </w:r>
    </w:p>
    <w:p w14:paraId="602DA67D" w14:textId="77777777" w:rsidR="00902ECE" w:rsidRPr="00F4226B" w:rsidRDefault="001355DA" w:rsidP="003820D1">
      <w:pPr>
        <w:spacing w:after="120"/>
        <w:jc w:val="center"/>
        <w:outlineLvl w:val="0"/>
        <w:rPr>
          <w:rFonts w:ascii="Times New Roman" w:hAnsi="Times New Roman"/>
          <w:b/>
          <w:sz w:val="28"/>
          <w:szCs w:val="28"/>
          <w:lang w:val="en-US"/>
        </w:rPr>
      </w:pPr>
      <w:r w:rsidRPr="00F4226B">
        <w:rPr>
          <w:rFonts w:ascii="Times New Roman" w:hAnsi="Times New Roman"/>
          <w:b/>
          <w:sz w:val="28"/>
          <w:szCs w:val="28"/>
          <w:lang w:val="en-US"/>
        </w:rPr>
        <w:br w:type="page"/>
      </w:r>
      <w:r w:rsidR="00902ECE" w:rsidRPr="00F4226B">
        <w:rPr>
          <w:rFonts w:ascii="Times New Roman" w:hAnsi="Times New Roman"/>
          <w:b/>
          <w:sz w:val="28"/>
          <w:szCs w:val="28"/>
          <w:lang w:val="en-US"/>
        </w:rPr>
        <w:lastRenderedPageBreak/>
        <w:t>Appendix 1</w:t>
      </w:r>
      <w:r w:rsidR="00E95181" w:rsidRPr="00F4226B">
        <w:rPr>
          <w:rFonts w:ascii="Times New Roman" w:hAnsi="Times New Roman"/>
          <w:b/>
          <w:sz w:val="28"/>
          <w:szCs w:val="28"/>
          <w:lang w:val="en-US"/>
        </w:rPr>
        <w:t xml:space="preserve"> </w:t>
      </w:r>
      <w:r w:rsidR="008161DA" w:rsidRPr="00F4226B">
        <w:rPr>
          <w:rFonts w:ascii="Times New Roman" w:hAnsi="Times New Roman"/>
          <w:b/>
          <w:sz w:val="28"/>
          <w:szCs w:val="28"/>
          <w:lang w:val="en-US"/>
        </w:rPr>
        <w:t>–</w:t>
      </w:r>
      <w:r w:rsidR="00E95181" w:rsidRPr="00F4226B">
        <w:rPr>
          <w:rFonts w:ascii="Times New Roman" w:hAnsi="Times New Roman"/>
          <w:b/>
          <w:sz w:val="28"/>
          <w:szCs w:val="28"/>
          <w:lang w:val="en-US"/>
        </w:rPr>
        <w:t xml:space="preserve"> Continued</w:t>
      </w:r>
    </w:p>
    <w:p w14:paraId="525905DE" w14:textId="3F38578E" w:rsidR="00902ECE" w:rsidRPr="00F4226B" w:rsidRDefault="00506CB4" w:rsidP="00073A8D">
      <w:pPr>
        <w:spacing w:after="0"/>
        <w:jc w:val="center"/>
        <w:rPr>
          <w:rFonts w:ascii="Times New Roman" w:hAnsi="Times New Roman"/>
          <w:lang w:val="en-US"/>
        </w:rPr>
      </w:pPr>
      <w:r w:rsidRPr="00F4226B">
        <w:rPr>
          <w:rFonts w:ascii="Times New Roman" w:hAnsi="Times New Roman"/>
          <w:noProof/>
          <w:lang w:val="en-GB" w:eastAsia="en-GB"/>
        </w:rPr>
        <w:drawing>
          <wp:inline distT="0" distB="0" distL="0" distR="0" wp14:anchorId="3E9BD5C6" wp14:editId="209996BB">
            <wp:extent cx="5801360" cy="364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1360" cy="364490"/>
                    </a:xfrm>
                    <a:prstGeom prst="rect">
                      <a:avLst/>
                    </a:prstGeom>
                    <a:noFill/>
                    <a:ln>
                      <a:noFill/>
                    </a:ln>
                  </pic:spPr>
                </pic:pic>
              </a:graphicData>
            </a:graphic>
          </wp:inline>
        </w:drawing>
      </w:r>
    </w:p>
    <w:p w14:paraId="3C42E42D" w14:textId="166AD9D3" w:rsidR="008161DA" w:rsidRPr="00F4226B" w:rsidRDefault="00506CB4" w:rsidP="00B04B6A">
      <w:pPr>
        <w:spacing w:after="0"/>
        <w:jc w:val="both"/>
        <w:rPr>
          <w:rFonts w:ascii="Times New Roman" w:hAnsi="Times New Roman"/>
          <w:lang w:val="en-US"/>
        </w:rPr>
      </w:pPr>
      <w:r w:rsidRPr="00F4226B">
        <w:rPr>
          <w:rFonts w:ascii="Times New Roman" w:hAnsi="Times New Roman"/>
          <w:noProof/>
          <w:lang w:val="en-GB" w:eastAsia="en-GB"/>
        </w:rPr>
        <w:lastRenderedPageBreak/>
        <w:drawing>
          <wp:inline distT="0" distB="0" distL="0" distR="0" wp14:anchorId="7B64D4A2" wp14:editId="7CDBC6E9">
            <wp:extent cx="5801360" cy="7747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1360" cy="7747635"/>
                    </a:xfrm>
                    <a:prstGeom prst="rect">
                      <a:avLst/>
                    </a:prstGeom>
                    <a:noFill/>
                    <a:ln>
                      <a:noFill/>
                    </a:ln>
                  </pic:spPr>
                </pic:pic>
              </a:graphicData>
            </a:graphic>
          </wp:inline>
        </w:drawing>
      </w:r>
    </w:p>
    <w:p w14:paraId="6D38539C" w14:textId="0E71CEA5" w:rsidR="008161DA" w:rsidRPr="00F4226B" w:rsidRDefault="008161DA" w:rsidP="00B04B6A">
      <w:pPr>
        <w:spacing w:after="0"/>
        <w:jc w:val="both"/>
        <w:rPr>
          <w:rFonts w:ascii="Times New Roman" w:hAnsi="Times New Roman"/>
          <w:lang w:val="en-US"/>
        </w:rPr>
      </w:pPr>
      <w:r w:rsidRPr="00F4226B">
        <w:rPr>
          <w:rFonts w:ascii="Times New Roman" w:hAnsi="Times New Roman"/>
          <w:b/>
          <w:lang w:val="en-US"/>
        </w:rPr>
        <w:lastRenderedPageBreak/>
        <w:t>Source:</w:t>
      </w:r>
      <w:r w:rsidRPr="00F4226B">
        <w:rPr>
          <w:rFonts w:ascii="Times New Roman" w:hAnsi="Times New Roman"/>
          <w:lang w:val="en-US"/>
        </w:rPr>
        <w:t xml:space="preserve"> </w:t>
      </w:r>
      <w:r w:rsidR="002A6A26" w:rsidRPr="00F4226B">
        <w:rPr>
          <w:rFonts w:ascii="Times New Roman" w:hAnsi="Times New Roman"/>
          <w:lang w:val="en-US"/>
        </w:rPr>
        <w:t>Delta Corporation (Zimbabwe) Ltd</w:t>
      </w:r>
      <w:r w:rsidR="002C3667" w:rsidRPr="00F4226B">
        <w:rPr>
          <w:rFonts w:ascii="Times New Roman" w:hAnsi="Times New Roman"/>
          <w:lang w:val="en-US"/>
        </w:rPr>
        <w:t>.</w:t>
      </w:r>
      <w:r w:rsidR="002A6A26" w:rsidRPr="00F4226B">
        <w:rPr>
          <w:rFonts w:ascii="Times New Roman" w:hAnsi="Times New Roman"/>
          <w:lang w:val="en-US"/>
        </w:rPr>
        <w:t xml:space="preserve"> Annual Report (</w:t>
      </w:r>
      <w:r w:rsidR="002C3667" w:rsidRPr="00F4226B">
        <w:rPr>
          <w:rFonts w:ascii="Times New Roman" w:hAnsi="Times New Roman"/>
          <w:lang w:val="en-US"/>
        </w:rPr>
        <w:t>2007</w:t>
      </w:r>
      <w:r w:rsidR="00D73423">
        <w:rPr>
          <w:rFonts w:ascii="Times New Roman" w:hAnsi="Times New Roman"/>
          <w:lang w:val="en-US"/>
        </w:rPr>
        <w:t>, pp.</w:t>
      </w:r>
      <w:r w:rsidR="002A6A26" w:rsidRPr="00F4226B">
        <w:rPr>
          <w:rFonts w:ascii="Times New Roman" w:hAnsi="Times New Roman"/>
          <w:lang w:val="en-US"/>
        </w:rPr>
        <w:t xml:space="preserve"> 27 </w:t>
      </w:r>
      <w:r w:rsidR="00B10532" w:rsidRPr="00F4226B">
        <w:rPr>
          <w:rFonts w:ascii="Times New Roman" w:hAnsi="Times New Roman"/>
          <w:lang w:val="en-US"/>
        </w:rPr>
        <w:t>and</w:t>
      </w:r>
      <w:r w:rsidR="002A6A26" w:rsidRPr="00F4226B">
        <w:rPr>
          <w:rFonts w:ascii="Times New Roman" w:hAnsi="Times New Roman"/>
          <w:lang w:val="en-US"/>
        </w:rPr>
        <w:t xml:space="preserve"> 44</w:t>
      </w:r>
      <w:r w:rsidR="00D73423">
        <w:rPr>
          <w:rFonts w:ascii="Times New Roman" w:hAnsi="Times New Roman"/>
          <w:lang w:val="en-US"/>
        </w:rPr>
        <w:t xml:space="preserve">, </w:t>
      </w:r>
      <w:r w:rsidRPr="00F4226B">
        <w:rPr>
          <w:rFonts w:ascii="Times New Roman" w:hAnsi="Times New Roman"/>
          <w:lang w:val="en-US"/>
        </w:rPr>
        <w:t>www.delta.co.zw</w:t>
      </w:r>
      <w:r w:rsidR="00D73423">
        <w:rPr>
          <w:rFonts w:ascii="Times New Roman" w:hAnsi="Times New Roman"/>
          <w:lang w:val="en-US"/>
        </w:rPr>
        <w:t>)</w:t>
      </w:r>
      <w:r w:rsidR="00804A08">
        <w:rPr>
          <w:rFonts w:ascii="Times New Roman" w:hAnsi="Times New Roman"/>
          <w:lang w:val="en-US"/>
        </w:rPr>
        <w:t>.</w:t>
      </w:r>
    </w:p>
    <w:sectPr w:rsidR="008161DA" w:rsidRPr="00F4226B" w:rsidSect="00776DF5">
      <w:headerReference w:type="even" r:id="rId20"/>
      <w:headerReference w:type="default" r:id="rId21"/>
      <w:footerReference w:type="default" r:id="rId22"/>
      <w:pgSz w:w="11906" w:h="16838"/>
      <w:pgMar w:top="1134" w:right="1344" w:bottom="1179"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8B2FB" w16cid:durableId="1EB19CCA"/>
  <w16cid:commentId w16cid:paraId="577837FD" w16cid:durableId="1EB1AF53"/>
  <w16cid:commentId w16cid:paraId="612FBE08" w16cid:durableId="1EB1B3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BA3BA" w14:textId="77777777" w:rsidR="00FF3AF5" w:rsidRDefault="00FF3AF5">
      <w:r>
        <w:separator/>
      </w:r>
    </w:p>
  </w:endnote>
  <w:endnote w:type="continuationSeparator" w:id="0">
    <w:p w14:paraId="2FD95E77" w14:textId="77777777" w:rsidR="00FF3AF5" w:rsidRDefault="00FF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61E0A" w14:textId="786BB477" w:rsidR="00575DC6" w:rsidRDefault="00575DC6">
    <w:pPr>
      <w:pStyle w:val="Footer"/>
      <w:jc w:val="right"/>
    </w:pPr>
    <w:r>
      <w:fldChar w:fldCharType="begin"/>
    </w:r>
    <w:r>
      <w:instrText xml:space="preserve"> PAGE   \* MERGEFORMAT </w:instrText>
    </w:r>
    <w:r>
      <w:fldChar w:fldCharType="separate"/>
    </w:r>
    <w:r w:rsidR="00DD4036">
      <w:rPr>
        <w:noProof/>
      </w:rPr>
      <w:t>2</w:t>
    </w:r>
    <w:r>
      <w:rPr>
        <w:noProof/>
      </w:rPr>
      <w:fldChar w:fldCharType="end"/>
    </w:r>
  </w:p>
  <w:p w14:paraId="27EB2181" w14:textId="77777777" w:rsidR="00575DC6" w:rsidRDefault="00575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EA7E3" w14:textId="77777777" w:rsidR="00FF3AF5" w:rsidRDefault="00FF3AF5">
      <w:r>
        <w:separator/>
      </w:r>
    </w:p>
  </w:footnote>
  <w:footnote w:type="continuationSeparator" w:id="0">
    <w:p w14:paraId="70A3A851" w14:textId="77777777" w:rsidR="00FF3AF5" w:rsidRDefault="00FF3AF5">
      <w:r>
        <w:continuationSeparator/>
      </w:r>
    </w:p>
  </w:footnote>
  <w:footnote w:id="1">
    <w:p w14:paraId="50E8D49D" w14:textId="3F113DA6" w:rsidR="00575DC6" w:rsidRPr="00804A08" w:rsidRDefault="00575DC6" w:rsidP="000D0D17">
      <w:pPr>
        <w:pStyle w:val="MediumGrid21"/>
        <w:ind w:left="142" w:hanging="142"/>
        <w:jc w:val="both"/>
        <w:rPr>
          <w:rFonts w:ascii="Times New Roman" w:hAnsi="Times New Roman"/>
          <w:sz w:val="20"/>
          <w:szCs w:val="20"/>
          <w:lang w:val="en-US"/>
        </w:rPr>
      </w:pPr>
      <w:r w:rsidRPr="00804A08">
        <w:rPr>
          <w:rStyle w:val="FootnoteReference"/>
          <w:rFonts w:ascii="Times New Roman" w:hAnsi="Times New Roman"/>
          <w:sz w:val="20"/>
          <w:szCs w:val="20"/>
        </w:rPr>
        <w:footnoteRef/>
      </w:r>
      <w:r w:rsidRPr="00804A08">
        <w:rPr>
          <w:rFonts w:ascii="Times New Roman" w:hAnsi="Times New Roman"/>
          <w:sz w:val="20"/>
          <w:szCs w:val="20"/>
        </w:rPr>
        <w:t xml:space="preserve"> </w:t>
      </w:r>
      <w:r w:rsidRPr="00804A08">
        <w:rPr>
          <w:rFonts w:ascii="Times New Roman" w:hAnsi="Times New Roman"/>
          <w:sz w:val="20"/>
          <w:szCs w:val="20"/>
          <w:lang w:val="en-US"/>
        </w:rPr>
        <w:t xml:space="preserve"> IAS 29 states that an economy is hyperinflationary if (inter alia) “the cumulative inflation rate over three years is approaching, or exceeds, 100%”</w:t>
      </w:r>
      <w:r w:rsidRPr="00804A08">
        <w:rPr>
          <w:rFonts w:ascii="Times New Roman" w:hAnsi="Times New Roman"/>
          <w:i/>
          <w:sz w:val="20"/>
          <w:szCs w:val="20"/>
          <w:lang w:val="en-US"/>
        </w:rPr>
        <w:t xml:space="preserve"> </w:t>
      </w:r>
      <w:r w:rsidRPr="00804A08">
        <w:rPr>
          <w:rFonts w:ascii="Times New Roman" w:hAnsi="Times New Roman"/>
          <w:sz w:val="20"/>
          <w:szCs w:val="20"/>
          <w:lang w:val="en-US"/>
        </w:rPr>
        <w:t>(IASB 2011</w:t>
      </w:r>
      <w:r>
        <w:rPr>
          <w:rFonts w:ascii="Times New Roman" w:hAnsi="Times New Roman"/>
          <w:sz w:val="20"/>
          <w:szCs w:val="20"/>
          <w:lang w:val="en-US"/>
        </w:rPr>
        <w:t>, p.</w:t>
      </w:r>
      <w:r w:rsidRPr="00804A08">
        <w:rPr>
          <w:rFonts w:ascii="Times New Roman" w:hAnsi="Times New Roman"/>
          <w:sz w:val="20"/>
          <w:szCs w:val="20"/>
          <w:lang w:val="en-US"/>
        </w:rPr>
        <w:t xml:space="preserve"> A938).  </w:t>
      </w:r>
    </w:p>
  </w:footnote>
  <w:footnote w:id="2">
    <w:p w14:paraId="6AF9655E" w14:textId="1EAE2E3D" w:rsidR="00575DC6" w:rsidRPr="00804A08" w:rsidRDefault="00575DC6" w:rsidP="00A051B1">
      <w:pPr>
        <w:pStyle w:val="FootnoteText"/>
        <w:spacing w:after="0"/>
        <w:ind w:left="142" w:hanging="142"/>
        <w:jc w:val="both"/>
        <w:rPr>
          <w:rFonts w:ascii="Times New Roman" w:hAnsi="Times New Roman"/>
        </w:rPr>
      </w:pPr>
      <w:r w:rsidRPr="00804A08">
        <w:rPr>
          <w:rStyle w:val="FootnoteReference"/>
          <w:rFonts w:ascii="Times New Roman" w:hAnsi="Times New Roman"/>
        </w:rPr>
        <w:footnoteRef/>
      </w:r>
      <w:r w:rsidRPr="00804A08">
        <w:rPr>
          <w:rFonts w:ascii="Times New Roman" w:hAnsi="Times New Roman"/>
        </w:rPr>
        <w:t xml:space="preserve">  The distortions arise primarily because the HC measurement system (a) violates the monetary unit assumption of a stable currency or constant purchasing power over time, (b) impairs comparability across firms and over time (given the mixing of dollars from different periods with different purchasing power), and (c) ignores inflation gains and losses such as gains that accumulate over time in nonmonetary assets (Konchitchki 2011</w:t>
      </w:r>
      <w:r>
        <w:rPr>
          <w:rFonts w:ascii="Times New Roman" w:hAnsi="Times New Roman"/>
        </w:rPr>
        <w:t>;</w:t>
      </w:r>
      <w:r w:rsidRPr="00804A08">
        <w:rPr>
          <w:rFonts w:ascii="Times New Roman" w:hAnsi="Times New Roman"/>
        </w:rPr>
        <w:t xml:space="preserve"> 2013). </w:t>
      </w:r>
    </w:p>
  </w:footnote>
  <w:footnote w:id="3">
    <w:p w14:paraId="063C62E4" w14:textId="5BA334AB" w:rsidR="00575DC6" w:rsidRPr="000D0D17" w:rsidRDefault="00575DC6" w:rsidP="002E299B">
      <w:pPr>
        <w:pStyle w:val="MediumGrid21"/>
        <w:ind w:left="142" w:hanging="142"/>
        <w:jc w:val="both"/>
        <w:rPr>
          <w:rFonts w:ascii="Times New Roman" w:hAnsi="Times New Roman"/>
          <w:sz w:val="16"/>
          <w:szCs w:val="16"/>
        </w:rPr>
      </w:pPr>
      <w:r w:rsidRPr="00804A08">
        <w:rPr>
          <w:rStyle w:val="FootnoteReference"/>
          <w:rFonts w:ascii="Times New Roman" w:hAnsi="Times New Roman"/>
          <w:sz w:val="20"/>
          <w:szCs w:val="20"/>
        </w:rPr>
        <w:footnoteRef/>
      </w:r>
      <w:r w:rsidRPr="00804A08">
        <w:rPr>
          <w:rFonts w:ascii="Times New Roman" w:hAnsi="Times New Roman"/>
          <w:sz w:val="20"/>
          <w:szCs w:val="20"/>
        </w:rPr>
        <w:t xml:space="preserve">  </w:t>
      </w:r>
      <w:r w:rsidRPr="00804A08">
        <w:rPr>
          <w:rFonts w:ascii="Times New Roman" w:hAnsi="Times New Roman"/>
          <w:sz w:val="20"/>
          <w:szCs w:val="20"/>
          <w:lang w:val="en-GB"/>
        </w:rPr>
        <w:t xml:space="preserve">These studies included, among many others, </w:t>
      </w:r>
      <w:r>
        <w:rPr>
          <w:rFonts w:ascii="Times New Roman" w:hAnsi="Times New Roman"/>
          <w:sz w:val="20"/>
          <w:szCs w:val="20"/>
          <w:lang w:val="en-GB"/>
        </w:rPr>
        <w:t xml:space="preserve">those by </w:t>
      </w:r>
      <w:r w:rsidRPr="00804A08">
        <w:rPr>
          <w:rFonts w:ascii="Times New Roman" w:hAnsi="Times New Roman"/>
          <w:sz w:val="20"/>
          <w:szCs w:val="20"/>
        </w:rPr>
        <w:t xml:space="preserve">Beaver et al. (1980), Gheyara and Boatsman (1980), </w:t>
      </w:r>
      <w:r w:rsidRPr="00804A08">
        <w:rPr>
          <w:rFonts w:ascii="Times New Roman" w:hAnsi="Times New Roman"/>
          <w:color w:val="000000"/>
          <w:sz w:val="20"/>
          <w:szCs w:val="20"/>
        </w:rPr>
        <w:t xml:space="preserve">Beaver et al. (1983), </w:t>
      </w:r>
      <w:r w:rsidRPr="00804A08">
        <w:rPr>
          <w:rFonts w:ascii="Times New Roman" w:hAnsi="Times New Roman"/>
          <w:sz w:val="20"/>
          <w:szCs w:val="20"/>
        </w:rPr>
        <w:t>Beaver and Landsman (1983), and Board and Walker (1984) (discussed in Section 3) and were a response to the 1970s and 1980s debate, particularly in the U</w:t>
      </w:r>
      <w:r>
        <w:rPr>
          <w:rFonts w:ascii="Times New Roman" w:hAnsi="Times New Roman"/>
          <w:sz w:val="20"/>
          <w:szCs w:val="20"/>
        </w:rPr>
        <w:t xml:space="preserve">nited </w:t>
      </w:r>
      <w:r w:rsidRPr="00804A08">
        <w:rPr>
          <w:rFonts w:ascii="Times New Roman" w:hAnsi="Times New Roman"/>
          <w:sz w:val="20"/>
          <w:szCs w:val="20"/>
        </w:rPr>
        <w:t>S</w:t>
      </w:r>
      <w:r>
        <w:rPr>
          <w:rFonts w:ascii="Times New Roman" w:hAnsi="Times New Roman"/>
          <w:sz w:val="20"/>
          <w:szCs w:val="20"/>
        </w:rPr>
        <w:t>tates</w:t>
      </w:r>
      <w:r w:rsidRPr="00804A08">
        <w:rPr>
          <w:rFonts w:ascii="Times New Roman" w:hAnsi="Times New Roman"/>
          <w:sz w:val="20"/>
          <w:szCs w:val="20"/>
        </w:rPr>
        <w:t xml:space="preserve"> and U</w:t>
      </w:r>
      <w:r>
        <w:rPr>
          <w:rFonts w:ascii="Times New Roman" w:hAnsi="Times New Roman"/>
          <w:sz w:val="20"/>
          <w:szCs w:val="20"/>
        </w:rPr>
        <w:t xml:space="preserve">nited </w:t>
      </w:r>
      <w:r w:rsidRPr="00804A08">
        <w:rPr>
          <w:rFonts w:ascii="Times New Roman" w:hAnsi="Times New Roman"/>
          <w:sz w:val="20"/>
          <w:szCs w:val="20"/>
        </w:rPr>
        <w:t>K</w:t>
      </w:r>
      <w:r>
        <w:rPr>
          <w:rFonts w:ascii="Times New Roman" w:hAnsi="Times New Roman"/>
          <w:sz w:val="20"/>
          <w:szCs w:val="20"/>
        </w:rPr>
        <w:t>ingdom</w:t>
      </w:r>
      <w:r w:rsidRPr="00804A08">
        <w:rPr>
          <w:rFonts w:ascii="Times New Roman" w:hAnsi="Times New Roman"/>
          <w:sz w:val="20"/>
          <w:szCs w:val="20"/>
        </w:rPr>
        <w:t>, about the value of HC accounting amounts in periods of high inflation.</w:t>
      </w:r>
      <w:r w:rsidRPr="0086539D">
        <w:rPr>
          <w:rFonts w:ascii="Times New Roman" w:hAnsi="Times New Roman"/>
          <w:sz w:val="16"/>
          <w:szCs w:val="16"/>
        </w:rPr>
        <w:t xml:space="preserve"> </w:t>
      </w:r>
    </w:p>
  </w:footnote>
  <w:footnote w:id="4">
    <w:p w14:paraId="2057FEAD" w14:textId="77777777" w:rsidR="00575DC6" w:rsidRPr="00804A08" w:rsidRDefault="00575DC6" w:rsidP="0093531B">
      <w:pPr>
        <w:pStyle w:val="MediumGrid21"/>
        <w:ind w:left="142" w:hanging="142"/>
        <w:jc w:val="both"/>
        <w:rPr>
          <w:rFonts w:ascii="Times New Roman" w:hAnsi="Times New Roman"/>
          <w:sz w:val="20"/>
          <w:szCs w:val="20"/>
          <w:lang w:val="en-GB"/>
        </w:rPr>
      </w:pPr>
      <w:r w:rsidRPr="00804A08">
        <w:rPr>
          <w:rStyle w:val="FootnoteReference"/>
          <w:rFonts w:ascii="Times New Roman" w:hAnsi="Times New Roman"/>
          <w:sz w:val="20"/>
          <w:szCs w:val="20"/>
        </w:rPr>
        <w:footnoteRef/>
      </w:r>
      <w:r w:rsidRPr="00804A08">
        <w:rPr>
          <w:sz w:val="20"/>
          <w:szCs w:val="20"/>
        </w:rPr>
        <w:t xml:space="preserve">  </w:t>
      </w:r>
      <w:r w:rsidRPr="00804A08">
        <w:rPr>
          <w:rFonts w:ascii="Times New Roman" w:hAnsi="Times New Roman"/>
          <w:sz w:val="20"/>
          <w:szCs w:val="20"/>
        </w:rPr>
        <w:t xml:space="preserve">ZAPB members are drawn from accounting professional bodies, the business community and the ZSE (Chamisa 2000). </w:t>
      </w:r>
    </w:p>
  </w:footnote>
  <w:footnote w:id="5">
    <w:p w14:paraId="6AD1E8DF" w14:textId="045FC966" w:rsidR="00575DC6" w:rsidRPr="00804A08" w:rsidRDefault="00575DC6" w:rsidP="0093531B">
      <w:pPr>
        <w:pStyle w:val="MediumGrid21"/>
        <w:ind w:left="142" w:hanging="142"/>
        <w:jc w:val="both"/>
        <w:rPr>
          <w:rFonts w:ascii="Times New Roman" w:hAnsi="Times New Roman"/>
          <w:sz w:val="20"/>
          <w:szCs w:val="20"/>
        </w:rPr>
      </w:pPr>
      <w:r w:rsidRPr="00804A08">
        <w:rPr>
          <w:rStyle w:val="FootnoteReference"/>
          <w:rFonts w:ascii="Times New Roman" w:hAnsi="Times New Roman"/>
          <w:sz w:val="20"/>
          <w:szCs w:val="20"/>
        </w:rPr>
        <w:footnoteRef/>
      </w:r>
      <w:r w:rsidRPr="00804A08">
        <w:rPr>
          <w:sz w:val="20"/>
          <w:szCs w:val="20"/>
        </w:rPr>
        <w:t xml:space="preserve"> </w:t>
      </w:r>
      <w:r w:rsidRPr="00804A08">
        <w:rPr>
          <w:rFonts w:ascii="Times New Roman" w:hAnsi="Times New Roman"/>
          <w:sz w:val="20"/>
          <w:szCs w:val="20"/>
        </w:rPr>
        <w:t>In our sample, all ZSE listed firms (except one) were audited by one of the Big Four accounting firms (Deloitte and Touche, Ernest &amp;Young, KPMG</w:t>
      </w:r>
      <w:r>
        <w:rPr>
          <w:rFonts w:ascii="Times New Roman" w:hAnsi="Times New Roman"/>
          <w:sz w:val="20"/>
          <w:szCs w:val="20"/>
        </w:rPr>
        <w:t>,</w:t>
      </w:r>
      <w:r w:rsidRPr="00804A08">
        <w:rPr>
          <w:rFonts w:ascii="Times New Roman" w:hAnsi="Times New Roman"/>
          <w:sz w:val="20"/>
          <w:szCs w:val="20"/>
        </w:rPr>
        <w:t xml:space="preserve"> and PwC).</w:t>
      </w:r>
    </w:p>
  </w:footnote>
  <w:footnote w:id="6">
    <w:p w14:paraId="11DFA26F" w14:textId="6C013203" w:rsidR="00575DC6" w:rsidRPr="00804A08" w:rsidRDefault="00575DC6" w:rsidP="00804A08">
      <w:pPr>
        <w:pStyle w:val="FootnoteText"/>
        <w:spacing w:after="0" w:line="240" w:lineRule="auto"/>
        <w:ind w:left="142" w:hanging="142"/>
        <w:jc w:val="both"/>
        <w:rPr>
          <w:rFonts w:ascii="Times New Roman" w:hAnsi="Times New Roman"/>
          <w:lang w:val="en-GB"/>
        </w:rPr>
      </w:pPr>
      <w:r w:rsidRPr="00804A08">
        <w:rPr>
          <w:rStyle w:val="FootnoteReference"/>
          <w:rFonts w:ascii="Times New Roman" w:hAnsi="Times New Roman"/>
        </w:rPr>
        <w:footnoteRef/>
      </w:r>
      <w:r w:rsidRPr="00804A08">
        <w:rPr>
          <w:rFonts w:ascii="Times New Roman" w:hAnsi="Times New Roman"/>
        </w:rPr>
        <w:t xml:space="preserve"> </w:t>
      </w:r>
      <w:r w:rsidRPr="00804A08">
        <w:rPr>
          <w:rFonts w:ascii="Times New Roman" w:hAnsi="Times New Roman"/>
          <w:color w:val="000000"/>
          <w:shd w:val="clear" w:color="auto" w:fill="FFFFFF"/>
        </w:rPr>
        <w:t>In addition, listed firms are required by the Companies Act to publish their results (in summary form) in national newspapers.</w:t>
      </w:r>
    </w:p>
  </w:footnote>
  <w:footnote w:id="7">
    <w:p w14:paraId="4B6733B2" w14:textId="70744F52" w:rsidR="00575DC6" w:rsidRPr="00E01E32" w:rsidRDefault="00575DC6" w:rsidP="00E01E32">
      <w:pPr>
        <w:pStyle w:val="MediumGrid21"/>
        <w:ind w:left="142" w:hanging="142"/>
        <w:jc w:val="both"/>
        <w:rPr>
          <w:rFonts w:ascii="Times New Roman" w:hAnsi="Times New Roman"/>
          <w:sz w:val="16"/>
          <w:szCs w:val="16"/>
          <w:lang w:val="en-GB"/>
        </w:rPr>
      </w:pPr>
      <w:r w:rsidRPr="00804A08">
        <w:rPr>
          <w:rStyle w:val="FootnoteReference"/>
          <w:rFonts w:ascii="Times New Roman" w:hAnsi="Times New Roman"/>
          <w:sz w:val="20"/>
          <w:szCs w:val="20"/>
        </w:rPr>
        <w:footnoteRef/>
      </w:r>
      <w:r w:rsidRPr="00804A08">
        <w:rPr>
          <w:rFonts w:ascii="Times New Roman" w:hAnsi="Times New Roman"/>
          <w:sz w:val="20"/>
          <w:szCs w:val="20"/>
        </w:rPr>
        <w:t xml:space="preserve"> T</w:t>
      </w:r>
      <w:r w:rsidRPr="00804A08">
        <w:rPr>
          <w:rFonts w:ascii="Times New Roman" w:hAnsi="Times New Roman"/>
          <w:sz w:val="20"/>
          <w:szCs w:val="20"/>
          <w:lang w:val="en-GB"/>
        </w:rPr>
        <w:t xml:space="preserve">he standards include </w:t>
      </w:r>
      <w:r w:rsidRPr="00804A08">
        <w:rPr>
          <w:rFonts w:ascii="Times New Roman" w:hAnsi="Times New Roman"/>
          <w:sz w:val="20"/>
          <w:szCs w:val="20"/>
        </w:rPr>
        <w:t>Statement of Standard Accounting Practices (SSAP) 16 in the U</w:t>
      </w:r>
      <w:r>
        <w:rPr>
          <w:rFonts w:ascii="Times New Roman" w:hAnsi="Times New Roman"/>
          <w:sz w:val="20"/>
          <w:szCs w:val="20"/>
        </w:rPr>
        <w:t xml:space="preserve">nited </w:t>
      </w:r>
      <w:r w:rsidRPr="00804A08">
        <w:rPr>
          <w:rFonts w:ascii="Times New Roman" w:hAnsi="Times New Roman"/>
          <w:sz w:val="20"/>
          <w:szCs w:val="20"/>
        </w:rPr>
        <w:t>K</w:t>
      </w:r>
      <w:r>
        <w:rPr>
          <w:rFonts w:ascii="Times New Roman" w:hAnsi="Times New Roman"/>
          <w:sz w:val="20"/>
          <w:szCs w:val="20"/>
        </w:rPr>
        <w:t>ingdom</w:t>
      </w:r>
      <w:r w:rsidRPr="00804A08">
        <w:rPr>
          <w:rFonts w:ascii="Times New Roman" w:hAnsi="Times New Roman"/>
          <w:sz w:val="20"/>
          <w:szCs w:val="20"/>
        </w:rPr>
        <w:t xml:space="preserve"> and Statement of Financial Accounting Standard (SFAS) 33 in the U</w:t>
      </w:r>
      <w:r>
        <w:rPr>
          <w:rFonts w:ascii="Times New Roman" w:hAnsi="Times New Roman"/>
          <w:sz w:val="20"/>
          <w:szCs w:val="20"/>
        </w:rPr>
        <w:t xml:space="preserve">nited </w:t>
      </w:r>
      <w:r w:rsidRPr="00804A08">
        <w:rPr>
          <w:rFonts w:ascii="Times New Roman" w:hAnsi="Times New Roman"/>
          <w:sz w:val="20"/>
          <w:szCs w:val="20"/>
        </w:rPr>
        <w:t>S</w:t>
      </w:r>
      <w:r>
        <w:rPr>
          <w:rFonts w:ascii="Times New Roman" w:hAnsi="Times New Roman"/>
          <w:sz w:val="20"/>
          <w:szCs w:val="20"/>
        </w:rPr>
        <w:t>tates</w:t>
      </w:r>
      <w:r w:rsidRPr="00804A08">
        <w:rPr>
          <w:rFonts w:ascii="Times New Roman" w:hAnsi="Times New Roman"/>
          <w:sz w:val="20"/>
          <w:szCs w:val="20"/>
        </w:rPr>
        <w:t>, both of which are now defunct. During the 1970s and 1980s, the inflation rates ranged between 3.43% and 24.24% in the U</w:t>
      </w:r>
      <w:r>
        <w:rPr>
          <w:rFonts w:ascii="Times New Roman" w:hAnsi="Times New Roman"/>
          <w:sz w:val="20"/>
          <w:szCs w:val="20"/>
        </w:rPr>
        <w:t xml:space="preserve">nited </w:t>
      </w:r>
      <w:r w:rsidRPr="00804A08">
        <w:rPr>
          <w:rFonts w:ascii="Times New Roman" w:hAnsi="Times New Roman"/>
          <w:sz w:val="20"/>
          <w:szCs w:val="20"/>
        </w:rPr>
        <w:t>K</w:t>
      </w:r>
      <w:r>
        <w:rPr>
          <w:rFonts w:ascii="Times New Roman" w:hAnsi="Times New Roman"/>
          <w:sz w:val="20"/>
          <w:szCs w:val="20"/>
        </w:rPr>
        <w:t>ingdom</w:t>
      </w:r>
      <w:r w:rsidRPr="00804A08">
        <w:rPr>
          <w:rFonts w:ascii="Times New Roman" w:hAnsi="Times New Roman"/>
          <w:sz w:val="20"/>
          <w:szCs w:val="20"/>
        </w:rPr>
        <w:t xml:space="preserve"> and between 1.86% and 13.51% in the U</w:t>
      </w:r>
      <w:r>
        <w:rPr>
          <w:rFonts w:ascii="Times New Roman" w:hAnsi="Times New Roman"/>
          <w:sz w:val="20"/>
          <w:szCs w:val="20"/>
        </w:rPr>
        <w:t xml:space="preserve">nited </w:t>
      </w:r>
      <w:r w:rsidRPr="00804A08">
        <w:rPr>
          <w:rFonts w:ascii="Times New Roman" w:hAnsi="Times New Roman"/>
          <w:sz w:val="20"/>
          <w:szCs w:val="20"/>
        </w:rPr>
        <w:t>S</w:t>
      </w:r>
      <w:r>
        <w:rPr>
          <w:rFonts w:ascii="Times New Roman" w:hAnsi="Times New Roman"/>
          <w:sz w:val="20"/>
          <w:szCs w:val="20"/>
        </w:rPr>
        <w:t>tates</w:t>
      </w:r>
      <w:r w:rsidRPr="00804A08">
        <w:rPr>
          <w:rFonts w:ascii="Times New Roman" w:hAnsi="Times New Roman"/>
          <w:sz w:val="20"/>
          <w:szCs w:val="20"/>
        </w:rPr>
        <w:t xml:space="preserve"> (Bartley and Boardman 1990; IMF 2010).</w:t>
      </w:r>
    </w:p>
  </w:footnote>
  <w:footnote w:id="8">
    <w:p w14:paraId="72E3F19A" w14:textId="51CFA14E" w:rsidR="00575DC6" w:rsidRPr="00804A08" w:rsidRDefault="00575DC6" w:rsidP="00804A08">
      <w:pPr>
        <w:pStyle w:val="FootnoteText"/>
        <w:spacing w:line="240" w:lineRule="auto"/>
        <w:ind w:left="142" w:hanging="142"/>
        <w:jc w:val="both"/>
        <w:rPr>
          <w:rFonts w:ascii="Times New Roman" w:hAnsi="Times New Roman"/>
          <w:lang w:val="en-US"/>
        </w:rPr>
      </w:pPr>
      <w:r w:rsidRPr="00804A08">
        <w:rPr>
          <w:rStyle w:val="FootnoteReference"/>
          <w:rFonts w:ascii="Times New Roman" w:hAnsi="Times New Roman"/>
        </w:rPr>
        <w:footnoteRef/>
      </w:r>
      <w:r w:rsidRPr="00804A08">
        <w:rPr>
          <w:rFonts w:ascii="Times New Roman" w:hAnsi="Times New Roman"/>
        </w:rPr>
        <w:t xml:space="preserve"> </w:t>
      </w:r>
      <w:r w:rsidRPr="00804A08">
        <w:rPr>
          <w:rFonts w:ascii="Times New Roman" w:hAnsi="Times New Roman"/>
          <w:lang w:val="en-US"/>
        </w:rPr>
        <w:t>This is because (a) such data are costly and more complicated to process than HC data (Beaver and Landsman 1983; Konchitchki 2011) and (b) the manner in which inflation impacts HC amounts is complex and potentially confusing (Beaver and Landsman 1983; Ashton et al. 2011).</w:t>
      </w:r>
    </w:p>
  </w:footnote>
  <w:footnote w:id="9">
    <w:p w14:paraId="5137166B" w14:textId="4BD09864" w:rsidR="00575DC6" w:rsidRPr="00804A08" w:rsidRDefault="00575DC6">
      <w:pPr>
        <w:pStyle w:val="FootnoteText"/>
        <w:rPr>
          <w:rFonts w:ascii="Times New Roman" w:hAnsi="Times New Roman"/>
          <w:lang w:val="en-GB"/>
        </w:rPr>
      </w:pPr>
      <w:r w:rsidRPr="00804A08">
        <w:rPr>
          <w:rStyle w:val="FootnoteReference"/>
          <w:rFonts w:ascii="Times New Roman" w:hAnsi="Times New Roman"/>
        </w:rPr>
        <w:footnoteRef/>
      </w:r>
      <w:r w:rsidRPr="00804A08">
        <w:rPr>
          <w:rFonts w:ascii="Times New Roman" w:hAnsi="Times New Roman"/>
        </w:rPr>
        <w:t xml:space="preserve"> </w:t>
      </w:r>
      <w:r w:rsidRPr="00804A08">
        <w:rPr>
          <w:rFonts w:ascii="Times New Roman" w:hAnsi="Times New Roman"/>
          <w:lang w:val="en-GB"/>
        </w:rPr>
        <w:t>For a general summary of this work, see Konchitchki (2016).</w:t>
      </w:r>
    </w:p>
  </w:footnote>
  <w:footnote w:id="10">
    <w:p w14:paraId="4963F025" w14:textId="3C0B9EA4" w:rsidR="00575DC6" w:rsidRPr="00804A08" w:rsidRDefault="00575DC6" w:rsidP="00CF6988">
      <w:pPr>
        <w:pStyle w:val="MediumGrid21"/>
        <w:ind w:left="142" w:hanging="142"/>
        <w:jc w:val="both"/>
        <w:rPr>
          <w:rFonts w:ascii="Times New Roman" w:hAnsi="Times New Roman"/>
          <w:sz w:val="20"/>
          <w:szCs w:val="20"/>
          <w:lang w:val="en-GB"/>
        </w:rPr>
      </w:pPr>
      <w:r w:rsidRPr="00804A08">
        <w:rPr>
          <w:rStyle w:val="FootnoteReference"/>
          <w:rFonts w:ascii="Times New Roman" w:hAnsi="Times New Roman"/>
          <w:sz w:val="20"/>
          <w:szCs w:val="20"/>
        </w:rPr>
        <w:footnoteRef/>
      </w:r>
      <w:r w:rsidRPr="00804A08">
        <w:rPr>
          <w:rFonts w:ascii="Times New Roman" w:hAnsi="Times New Roman"/>
          <w:sz w:val="20"/>
          <w:szCs w:val="20"/>
        </w:rPr>
        <w:t xml:space="preserve"> </w:t>
      </w:r>
      <w:r w:rsidRPr="00804A08">
        <w:rPr>
          <w:rFonts w:ascii="Times New Roman" w:hAnsi="Times New Roman"/>
          <w:sz w:val="20"/>
          <w:szCs w:val="20"/>
          <w:lang w:val="en-GB"/>
        </w:rPr>
        <w:t>Our decision to limit the sample period to 2005 is underpinned by the fact that the post-2005 period saw the Z</w:t>
      </w:r>
      <w:r>
        <w:rPr>
          <w:rFonts w:ascii="Times New Roman" w:hAnsi="Times New Roman"/>
          <w:sz w:val="20"/>
          <w:szCs w:val="20"/>
          <w:lang w:val="en-GB"/>
        </w:rPr>
        <w:t xml:space="preserve">imbabwean dollars </w:t>
      </w:r>
      <w:r w:rsidRPr="00804A08">
        <w:rPr>
          <w:rFonts w:ascii="Times New Roman" w:hAnsi="Times New Roman"/>
          <w:sz w:val="20"/>
          <w:szCs w:val="20"/>
          <w:lang w:val="en-GB"/>
        </w:rPr>
        <w:t>being revalued in 2006, 2008</w:t>
      </w:r>
      <w:r>
        <w:rPr>
          <w:rFonts w:ascii="Times New Roman" w:hAnsi="Times New Roman"/>
          <w:sz w:val="20"/>
          <w:szCs w:val="20"/>
          <w:lang w:val="en-GB"/>
        </w:rPr>
        <w:t>,</w:t>
      </w:r>
      <w:r w:rsidRPr="00804A08">
        <w:rPr>
          <w:rFonts w:ascii="Times New Roman" w:hAnsi="Times New Roman"/>
          <w:sz w:val="20"/>
          <w:szCs w:val="20"/>
          <w:lang w:val="en-GB"/>
        </w:rPr>
        <w:t xml:space="preserve"> and 2009 before it was scrapped and a multi-currency system was introduced (see Section 2.1). Thus including data for the post-2005 period would have been problematic in drawing conclusions from the analyses. </w:t>
      </w:r>
    </w:p>
  </w:footnote>
  <w:footnote w:id="11">
    <w:p w14:paraId="1A009D27" w14:textId="3CE06C6D" w:rsidR="00575DC6" w:rsidRPr="00804A08" w:rsidRDefault="00575DC6" w:rsidP="00A74DBA">
      <w:pPr>
        <w:pStyle w:val="MediumGrid21"/>
        <w:jc w:val="both"/>
        <w:rPr>
          <w:rFonts w:ascii="Times New Roman" w:hAnsi="Times New Roman"/>
          <w:sz w:val="20"/>
          <w:szCs w:val="20"/>
          <w:lang w:val="en-GB"/>
        </w:rPr>
      </w:pPr>
      <w:r w:rsidRPr="00804A08">
        <w:rPr>
          <w:rStyle w:val="FootnoteReference"/>
          <w:rFonts w:ascii="Times New Roman" w:hAnsi="Times New Roman"/>
          <w:sz w:val="20"/>
          <w:szCs w:val="20"/>
        </w:rPr>
        <w:footnoteRef/>
      </w:r>
      <w:r w:rsidRPr="00804A08">
        <w:rPr>
          <w:rFonts w:ascii="Times New Roman" w:hAnsi="Times New Roman"/>
          <w:sz w:val="20"/>
          <w:szCs w:val="20"/>
        </w:rPr>
        <w:t xml:space="preserve"> </w:t>
      </w:r>
      <w:r w:rsidRPr="00804A08">
        <w:rPr>
          <w:rFonts w:ascii="Times New Roman" w:hAnsi="Times New Roman"/>
          <w:sz w:val="20"/>
          <w:szCs w:val="20"/>
          <w:lang w:val="en-GB"/>
        </w:rPr>
        <w:t>Computed as the change in the adjusted R²s of the low inflation period relative to high inflation period.</w:t>
      </w:r>
    </w:p>
  </w:footnote>
  <w:footnote w:id="12">
    <w:p w14:paraId="24998F40" w14:textId="77777777" w:rsidR="00575DC6" w:rsidRPr="00804A08" w:rsidRDefault="00575DC6" w:rsidP="00EF3DDE">
      <w:pPr>
        <w:pStyle w:val="MediumGrid21"/>
        <w:jc w:val="both"/>
        <w:rPr>
          <w:rFonts w:ascii="Times New Roman" w:hAnsi="Times New Roman"/>
          <w:sz w:val="20"/>
          <w:szCs w:val="20"/>
          <w:lang w:val="en-GB"/>
        </w:rPr>
      </w:pPr>
      <w:r w:rsidRPr="00804A08">
        <w:rPr>
          <w:rStyle w:val="FootnoteReference"/>
          <w:rFonts w:ascii="Times New Roman" w:hAnsi="Times New Roman"/>
          <w:sz w:val="20"/>
          <w:szCs w:val="20"/>
        </w:rPr>
        <w:footnoteRef/>
      </w:r>
      <w:r w:rsidRPr="00804A08">
        <w:rPr>
          <w:rFonts w:ascii="Times New Roman" w:hAnsi="Times New Roman"/>
          <w:sz w:val="20"/>
          <w:szCs w:val="20"/>
        </w:rPr>
        <w:t xml:space="preserve"> </w:t>
      </w:r>
      <w:r w:rsidRPr="00804A08">
        <w:rPr>
          <w:rFonts w:ascii="Times New Roman" w:hAnsi="Times New Roman"/>
          <w:sz w:val="20"/>
          <w:szCs w:val="20"/>
          <w:lang w:val="en-GB"/>
        </w:rPr>
        <w:t>Due to the small number of observations, we do not run yearly regressions for 2000.</w:t>
      </w:r>
    </w:p>
  </w:footnote>
  <w:footnote w:id="13">
    <w:p w14:paraId="321958ED" w14:textId="24D1D345" w:rsidR="00575DC6" w:rsidRPr="00804A08" w:rsidRDefault="00575DC6" w:rsidP="00716C57">
      <w:pPr>
        <w:pStyle w:val="MediumGrid21"/>
        <w:ind w:left="142" w:hanging="142"/>
        <w:jc w:val="both"/>
        <w:rPr>
          <w:rFonts w:ascii="Times New Roman" w:hAnsi="Times New Roman"/>
          <w:sz w:val="20"/>
          <w:szCs w:val="20"/>
        </w:rPr>
      </w:pPr>
      <w:r w:rsidRPr="00804A08">
        <w:rPr>
          <w:rStyle w:val="FootnoteReference"/>
          <w:rFonts w:ascii="Times New Roman" w:hAnsi="Times New Roman"/>
          <w:sz w:val="20"/>
          <w:szCs w:val="20"/>
        </w:rPr>
        <w:footnoteRef/>
      </w:r>
      <w:r w:rsidRPr="00804A08">
        <w:rPr>
          <w:rFonts w:ascii="Times New Roman" w:hAnsi="Times New Roman"/>
          <w:sz w:val="20"/>
          <w:szCs w:val="20"/>
        </w:rPr>
        <w:t xml:space="preserve"> Mandating an IA reporting system in a low inflation country like the US “may impose public- and firm-level costs that do not necessarily outweigh the benefits” (Konchitchki 2011</w:t>
      </w:r>
      <w:r>
        <w:rPr>
          <w:rFonts w:ascii="Times New Roman" w:hAnsi="Times New Roman"/>
          <w:sz w:val="20"/>
          <w:szCs w:val="20"/>
        </w:rPr>
        <w:t xml:space="preserve">, p. </w:t>
      </w:r>
      <w:r w:rsidRPr="00804A08">
        <w:rPr>
          <w:rFonts w:ascii="Times New Roman" w:hAnsi="Times New Roman"/>
          <w:sz w:val="20"/>
          <w:szCs w:val="20"/>
        </w:rPr>
        <w:t>1048).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5B130" w14:textId="77777777" w:rsidR="00575DC6" w:rsidRDefault="00575DC6" w:rsidP="00F40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B520F" w14:textId="77777777" w:rsidR="00575DC6" w:rsidRDefault="00575DC6" w:rsidP="008C083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DF2B2" w14:textId="77777777" w:rsidR="00575DC6" w:rsidRDefault="00575DC6" w:rsidP="008C083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29"/>
    <w:rsid w:val="00000603"/>
    <w:rsid w:val="00000BCC"/>
    <w:rsid w:val="000011E4"/>
    <w:rsid w:val="00002087"/>
    <w:rsid w:val="00002248"/>
    <w:rsid w:val="00002800"/>
    <w:rsid w:val="00002846"/>
    <w:rsid w:val="00002DFC"/>
    <w:rsid w:val="000032D3"/>
    <w:rsid w:val="0000382D"/>
    <w:rsid w:val="00003A11"/>
    <w:rsid w:val="00003B3A"/>
    <w:rsid w:val="00003B6E"/>
    <w:rsid w:val="00003BDB"/>
    <w:rsid w:val="00003CD5"/>
    <w:rsid w:val="0000454A"/>
    <w:rsid w:val="00004842"/>
    <w:rsid w:val="00004BD2"/>
    <w:rsid w:val="00004C31"/>
    <w:rsid w:val="00004D4E"/>
    <w:rsid w:val="00005023"/>
    <w:rsid w:val="00005BFE"/>
    <w:rsid w:val="00006063"/>
    <w:rsid w:val="00006071"/>
    <w:rsid w:val="000063F1"/>
    <w:rsid w:val="00006F6E"/>
    <w:rsid w:val="000075D8"/>
    <w:rsid w:val="00010463"/>
    <w:rsid w:val="000104D5"/>
    <w:rsid w:val="00010552"/>
    <w:rsid w:val="00010AF0"/>
    <w:rsid w:val="00010B12"/>
    <w:rsid w:val="0001106D"/>
    <w:rsid w:val="00012002"/>
    <w:rsid w:val="000121E3"/>
    <w:rsid w:val="0001251C"/>
    <w:rsid w:val="00012D91"/>
    <w:rsid w:val="00012F3C"/>
    <w:rsid w:val="00013143"/>
    <w:rsid w:val="0001340B"/>
    <w:rsid w:val="000138AF"/>
    <w:rsid w:val="000138E9"/>
    <w:rsid w:val="00013D0F"/>
    <w:rsid w:val="000143DC"/>
    <w:rsid w:val="0001492F"/>
    <w:rsid w:val="000149CA"/>
    <w:rsid w:val="00014A30"/>
    <w:rsid w:val="00014A5C"/>
    <w:rsid w:val="000152B3"/>
    <w:rsid w:val="000153FD"/>
    <w:rsid w:val="00015BDD"/>
    <w:rsid w:val="0001666C"/>
    <w:rsid w:val="000173E6"/>
    <w:rsid w:val="000175AA"/>
    <w:rsid w:val="000175B6"/>
    <w:rsid w:val="0001776F"/>
    <w:rsid w:val="00017C0A"/>
    <w:rsid w:val="00020024"/>
    <w:rsid w:val="000200B3"/>
    <w:rsid w:val="00020A1E"/>
    <w:rsid w:val="00020CF6"/>
    <w:rsid w:val="000224BC"/>
    <w:rsid w:val="0002273D"/>
    <w:rsid w:val="00022860"/>
    <w:rsid w:val="00022898"/>
    <w:rsid w:val="000228F4"/>
    <w:rsid w:val="00022CBE"/>
    <w:rsid w:val="0002332C"/>
    <w:rsid w:val="00023673"/>
    <w:rsid w:val="000236E1"/>
    <w:rsid w:val="00023B03"/>
    <w:rsid w:val="00023C56"/>
    <w:rsid w:val="00024118"/>
    <w:rsid w:val="0002439B"/>
    <w:rsid w:val="000244A5"/>
    <w:rsid w:val="000245DA"/>
    <w:rsid w:val="000246D0"/>
    <w:rsid w:val="000257A8"/>
    <w:rsid w:val="00025891"/>
    <w:rsid w:val="00025F99"/>
    <w:rsid w:val="000261C9"/>
    <w:rsid w:val="0002629B"/>
    <w:rsid w:val="00026C53"/>
    <w:rsid w:val="00026C9B"/>
    <w:rsid w:val="00026CF3"/>
    <w:rsid w:val="0002750B"/>
    <w:rsid w:val="0002775A"/>
    <w:rsid w:val="00027A61"/>
    <w:rsid w:val="00027F31"/>
    <w:rsid w:val="000301B7"/>
    <w:rsid w:val="00030ABF"/>
    <w:rsid w:val="0003117F"/>
    <w:rsid w:val="00031697"/>
    <w:rsid w:val="00031F94"/>
    <w:rsid w:val="00032AEA"/>
    <w:rsid w:val="0003328D"/>
    <w:rsid w:val="00033A92"/>
    <w:rsid w:val="00034892"/>
    <w:rsid w:val="000349CB"/>
    <w:rsid w:val="000349F5"/>
    <w:rsid w:val="0003555A"/>
    <w:rsid w:val="00035897"/>
    <w:rsid w:val="0003666F"/>
    <w:rsid w:val="00036753"/>
    <w:rsid w:val="00036E3E"/>
    <w:rsid w:val="00036E4A"/>
    <w:rsid w:val="00037AE4"/>
    <w:rsid w:val="00040895"/>
    <w:rsid w:val="00040AC4"/>
    <w:rsid w:val="00040D86"/>
    <w:rsid w:val="00040DA4"/>
    <w:rsid w:val="00040E67"/>
    <w:rsid w:val="0004108F"/>
    <w:rsid w:val="000415A0"/>
    <w:rsid w:val="00041722"/>
    <w:rsid w:val="00041DB4"/>
    <w:rsid w:val="000424A3"/>
    <w:rsid w:val="0004296A"/>
    <w:rsid w:val="00042C2C"/>
    <w:rsid w:val="00043C14"/>
    <w:rsid w:val="00043C22"/>
    <w:rsid w:val="000451FB"/>
    <w:rsid w:val="00045A41"/>
    <w:rsid w:val="000464EB"/>
    <w:rsid w:val="00046579"/>
    <w:rsid w:val="00046AC0"/>
    <w:rsid w:val="00046C7C"/>
    <w:rsid w:val="00046FBE"/>
    <w:rsid w:val="00050042"/>
    <w:rsid w:val="00050496"/>
    <w:rsid w:val="00050E8C"/>
    <w:rsid w:val="000513B4"/>
    <w:rsid w:val="00051581"/>
    <w:rsid w:val="00051941"/>
    <w:rsid w:val="00051CC8"/>
    <w:rsid w:val="0005269C"/>
    <w:rsid w:val="00053089"/>
    <w:rsid w:val="000531EC"/>
    <w:rsid w:val="0005343A"/>
    <w:rsid w:val="000534BE"/>
    <w:rsid w:val="000534F1"/>
    <w:rsid w:val="000539BE"/>
    <w:rsid w:val="00053D5B"/>
    <w:rsid w:val="00054138"/>
    <w:rsid w:val="00054502"/>
    <w:rsid w:val="00054816"/>
    <w:rsid w:val="00054C56"/>
    <w:rsid w:val="0005501B"/>
    <w:rsid w:val="000554CA"/>
    <w:rsid w:val="00055A40"/>
    <w:rsid w:val="000560B9"/>
    <w:rsid w:val="0005642A"/>
    <w:rsid w:val="00056708"/>
    <w:rsid w:val="00057336"/>
    <w:rsid w:val="00057732"/>
    <w:rsid w:val="0005795E"/>
    <w:rsid w:val="000579C8"/>
    <w:rsid w:val="00057FB4"/>
    <w:rsid w:val="00060609"/>
    <w:rsid w:val="00061278"/>
    <w:rsid w:val="000616B2"/>
    <w:rsid w:val="0006186A"/>
    <w:rsid w:val="00061872"/>
    <w:rsid w:val="00062218"/>
    <w:rsid w:val="000622DB"/>
    <w:rsid w:val="00062C40"/>
    <w:rsid w:val="00062CA3"/>
    <w:rsid w:val="00064213"/>
    <w:rsid w:val="00065656"/>
    <w:rsid w:val="000656C9"/>
    <w:rsid w:val="00065940"/>
    <w:rsid w:val="00065B71"/>
    <w:rsid w:val="000663E0"/>
    <w:rsid w:val="000668B9"/>
    <w:rsid w:val="000676F2"/>
    <w:rsid w:val="0006774D"/>
    <w:rsid w:val="00067A71"/>
    <w:rsid w:val="00067B37"/>
    <w:rsid w:val="00067EE6"/>
    <w:rsid w:val="00070961"/>
    <w:rsid w:val="00070BEA"/>
    <w:rsid w:val="000710F0"/>
    <w:rsid w:val="00071559"/>
    <w:rsid w:val="00071E74"/>
    <w:rsid w:val="0007230C"/>
    <w:rsid w:val="00072855"/>
    <w:rsid w:val="00072A21"/>
    <w:rsid w:val="00073106"/>
    <w:rsid w:val="00073471"/>
    <w:rsid w:val="00073A8D"/>
    <w:rsid w:val="00073FFE"/>
    <w:rsid w:val="000742CE"/>
    <w:rsid w:val="000746C8"/>
    <w:rsid w:val="00074B40"/>
    <w:rsid w:val="00074D91"/>
    <w:rsid w:val="00074E30"/>
    <w:rsid w:val="0007505E"/>
    <w:rsid w:val="00075109"/>
    <w:rsid w:val="000751A5"/>
    <w:rsid w:val="00075523"/>
    <w:rsid w:val="00075A67"/>
    <w:rsid w:val="00075D8E"/>
    <w:rsid w:val="00076243"/>
    <w:rsid w:val="00076571"/>
    <w:rsid w:val="00076626"/>
    <w:rsid w:val="0007726A"/>
    <w:rsid w:val="000776FE"/>
    <w:rsid w:val="00077787"/>
    <w:rsid w:val="00077EF2"/>
    <w:rsid w:val="000802A0"/>
    <w:rsid w:val="0008180E"/>
    <w:rsid w:val="00081A8B"/>
    <w:rsid w:val="00081C54"/>
    <w:rsid w:val="00082B33"/>
    <w:rsid w:val="0008304A"/>
    <w:rsid w:val="0008305E"/>
    <w:rsid w:val="00083269"/>
    <w:rsid w:val="0008368E"/>
    <w:rsid w:val="00083898"/>
    <w:rsid w:val="00084856"/>
    <w:rsid w:val="00085025"/>
    <w:rsid w:val="000853E0"/>
    <w:rsid w:val="00085736"/>
    <w:rsid w:val="00085B68"/>
    <w:rsid w:val="00085B83"/>
    <w:rsid w:val="00086876"/>
    <w:rsid w:val="00086A41"/>
    <w:rsid w:val="00086CEE"/>
    <w:rsid w:val="000870E5"/>
    <w:rsid w:val="0008793C"/>
    <w:rsid w:val="00087E00"/>
    <w:rsid w:val="00090605"/>
    <w:rsid w:val="000908E4"/>
    <w:rsid w:val="00090966"/>
    <w:rsid w:val="00090B74"/>
    <w:rsid w:val="00090E3B"/>
    <w:rsid w:val="00090E7C"/>
    <w:rsid w:val="0009132D"/>
    <w:rsid w:val="00091845"/>
    <w:rsid w:val="000919AC"/>
    <w:rsid w:val="00091A39"/>
    <w:rsid w:val="00092762"/>
    <w:rsid w:val="0009284F"/>
    <w:rsid w:val="000928F5"/>
    <w:rsid w:val="00093041"/>
    <w:rsid w:val="0009325F"/>
    <w:rsid w:val="00093504"/>
    <w:rsid w:val="000939A3"/>
    <w:rsid w:val="00093B09"/>
    <w:rsid w:val="00093C8A"/>
    <w:rsid w:val="00094CDE"/>
    <w:rsid w:val="00095528"/>
    <w:rsid w:val="00095766"/>
    <w:rsid w:val="0009593F"/>
    <w:rsid w:val="00095CE2"/>
    <w:rsid w:val="00095D0A"/>
    <w:rsid w:val="0009682E"/>
    <w:rsid w:val="000968EC"/>
    <w:rsid w:val="00097549"/>
    <w:rsid w:val="000975D0"/>
    <w:rsid w:val="000975F9"/>
    <w:rsid w:val="00097C9C"/>
    <w:rsid w:val="000A03A4"/>
    <w:rsid w:val="000A0B1E"/>
    <w:rsid w:val="000A1009"/>
    <w:rsid w:val="000A173F"/>
    <w:rsid w:val="000A1A14"/>
    <w:rsid w:val="000A1BC3"/>
    <w:rsid w:val="000A1C2E"/>
    <w:rsid w:val="000A1C35"/>
    <w:rsid w:val="000A1D85"/>
    <w:rsid w:val="000A22AC"/>
    <w:rsid w:val="000A262B"/>
    <w:rsid w:val="000A3497"/>
    <w:rsid w:val="000A3991"/>
    <w:rsid w:val="000A4FB6"/>
    <w:rsid w:val="000A50FA"/>
    <w:rsid w:val="000A5747"/>
    <w:rsid w:val="000A58C4"/>
    <w:rsid w:val="000A590E"/>
    <w:rsid w:val="000A5ACB"/>
    <w:rsid w:val="000A5AD3"/>
    <w:rsid w:val="000A671D"/>
    <w:rsid w:val="000A6859"/>
    <w:rsid w:val="000A6A82"/>
    <w:rsid w:val="000A6BEA"/>
    <w:rsid w:val="000A6EE5"/>
    <w:rsid w:val="000A739E"/>
    <w:rsid w:val="000A7630"/>
    <w:rsid w:val="000A7AAC"/>
    <w:rsid w:val="000B0B33"/>
    <w:rsid w:val="000B1458"/>
    <w:rsid w:val="000B173F"/>
    <w:rsid w:val="000B1D61"/>
    <w:rsid w:val="000B1E5E"/>
    <w:rsid w:val="000B23D8"/>
    <w:rsid w:val="000B2798"/>
    <w:rsid w:val="000B2860"/>
    <w:rsid w:val="000B333C"/>
    <w:rsid w:val="000B4163"/>
    <w:rsid w:val="000B42E0"/>
    <w:rsid w:val="000B4B92"/>
    <w:rsid w:val="000B4BA9"/>
    <w:rsid w:val="000B4C2A"/>
    <w:rsid w:val="000B4F31"/>
    <w:rsid w:val="000B606D"/>
    <w:rsid w:val="000B63DD"/>
    <w:rsid w:val="000B7569"/>
    <w:rsid w:val="000B79DB"/>
    <w:rsid w:val="000B7F47"/>
    <w:rsid w:val="000C0535"/>
    <w:rsid w:val="000C0C2E"/>
    <w:rsid w:val="000C0D25"/>
    <w:rsid w:val="000C0E5F"/>
    <w:rsid w:val="000C1876"/>
    <w:rsid w:val="000C19C4"/>
    <w:rsid w:val="000C1FC2"/>
    <w:rsid w:val="000C22B7"/>
    <w:rsid w:val="000C265D"/>
    <w:rsid w:val="000C2762"/>
    <w:rsid w:val="000C28D2"/>
    <w:rsid w:val="000C2A69"/>
    <w:rsid w:val="000C2CC1"/>
    <w:rsid w:val="000C3036"/>
    <w:rsid w:val="000C389C"/>
    <w:rsid w:val="000C38C2"/>
    <w:rsid w:val="000C3E3A"/>
    <w:rsid w:val="000C4358"/>
    <w:rsid w:val="000C4B7D"/>
    <w:rsid w:val="000C5D6D"/>
    <w:rsid w:val="000C5F9F"/>
    <w:rsid w:val="000C71E8"/>
    <w:rsid w:val="000C7958"/>
    <w:rsid w:val="000D073F"/>
    <w:rsid w:val="000D0975"/>
    <w:rsid w:val="000D0D17"/>
    <w:rsid w:val="000D1883"/>
    <w:rsid w:val="000D1EF9"/>
    <w:rsid w:val="000D21E8"/>
    <w:rsid w:val="000D25DE"/>
    <w:rsid w:val="000D292C"/>
    <w:rsid w:val="000D2F54"/>
    <w:rsid w:val="000D5895"/>
    <w:rsid w:val="000D58CD"/>
    <w:rsid w:val="000D5E0B"/>
    <w:rsid w:val="000D61CF"/>
    <w:rsid w:val="000D63FC"/>
    <w:rsid w:val="000D6861"/>
    <w:rsid w:val="000D6C55"/>
    <w:rsid w:val="000D6E74"/>
    <w:rsid w:val="000D71EC"/>
    <w:rsid w:val="000E0069"/>
    <w:rsid w:val="000E00EF"/>
    <w:rsid w:val="000E0331"/>
    <w:rsid w:val="000E050D"/>
    <w:rsid w:val="000E0A12"/>
    <w:rsid w:val="000E10B9"/>
    <w:rsid w:val="000E17A5"/>
    <w:rsid w:val="000E18F9"/>
    <w:rsid w:val="000E1A11"/>
    <w:rsid w:val="000E1CD8"/>
    <w:rsid w:val="000E2ECF"/>
    <w:rsid w:val="000E30A7"/>
    <w:rsid w:val="000E35FC"/>
    <w:rsid w:val="000E3A60"/>
    <w:rsid w:val="000E3BDE"/>
    <w:rsid w:val="000E4CC8"/>
    <w:rsid w:val="000E511F"/>
    <w:rsid w:val="000E56D1"/>
    <w:rsid w:val="000E58C9"/>
    <w:rsid w:val="000E6201"/>
    <w:rsid w:val="000E6A63"/>
    <w:rsid w:val="000E721B"/>
    <w:rsid w:val="000E73DC"/>
    <w:rsid w:val="000E783E"/>
    <w:rsid w:val="000E7871"/>
    <w:rsid w:val="000F0083"/>
    <w:rsid w:val="000F02B0"/>
    <w:rsid w:val="000F0F5F"/>
    <w:rsid w:val="000F1261"/>
    <w:rsid w:val="000F2198"/>
    <w:rsid w:val="000F23F4"/>
    <w:rsid w:val="000F2BDD"/>
    <w:rsid w:val="000F2E84"/>
    <w:rsid w:val="000F3768"/>
    <w:rsid w:val="000F47F0"/>
    <w:rsid w:val="000F4B9D"/>
    <w:rsid w:val="000F59DB"/>
    <w:rsid w:val="000F5E56"/>
    <w:rsid w:val="000F5E7D"/>
    <w:rsid w:val="000F5F9C"/>
    <w:rsid w:val="000F6BD6"/>
    <w:rsid w:val="000F75D5"/>
    <w:rsid w:val="000F780C"/>
    <w:rsid w:val="001003BD"/>
    <w:rsid w:val="001004DB"/>
    <w:rsid w:val="001005E4"/>
    <w:rsid w:val="001008A8"/>
    <w:rsid w:val="001009D6"/>
    <w:rsid w:val="00100B7E"/>
    <w:rsid w:val="001012D2"/>
    <w:rsid w:val="00101917"/>
    <w:rsid w:val="00101F60"/>
    <w:rsid w:val="0010297D"/>
    <w:rsid w:val="0010415D"/>
    <w:rsid w:val="0010422D"/>
    <w:rsid w:val="001045E5"/>
    <w:rsid w:val="001058EC"/>
    <w:rsid w:val="001060CB"/>
    <w:rsid w:val="0010656C"/>
    <w:rsid w:val="00106866"/>
    <w:rsid w:val="00107AC0"/>
    <w:rsid w:val="00110371"/>
    <w:rsid w:val="0011077F"/>
    <w:rsid w:val="00110C27"/>
    <w:rsid w:val="00111373"/>
    <w:rsid w:val="00111A14"/>
    <w:rsid w:val="00111D3F"/>
    <w:rsid w:val="00111F44"/>
    <w:rsid w:val="00111FC3"/>
    <w:rsid w:val="001128D3"/>
    <w:rsid w:val="001128F5"/>
    <w:rsid w:val="00112C15"/>
    <w:rsid w:val="00112C9F"/>
    <w:rsid w:val="00112CD8"/>
    <w:rsid w:val="001134AB"/>
    <w:rsid w:val="001136DA"/>
    <w:rsid w:val="00113966"/>
    <w:rsid w:val="00113B02"/>
    <w:rsid w:val="001140D0"/>
    <w:rsid w:val="001147B0"/>
    <w:rsid w:val="001148EF"/>
    <w:rsid w:val="001154D1"/>
    <w:rsid w:val="001154FD"/>
    <w:rsid w:val="001155BB"/>
    <w:rsid w:val="001157C4"/>
    <w:rsid w:val="0011656A"/>
    <w:rsid w:val="00116676"/>
    <w:rsid w:val="001169DC"/>
    <w:rsid w:val="00116FB6"/>
    <w:rsid w:val="001170E3"/>
    <w:rsid w:val="00117412"/>
    <w:rsid w:val="00117440"/>
    <w:rsid w:val="0011764A"/>
    <w:rsid w:val="00117989"/>
    <w:rsid w:val="00117A1F"/>
    <w:rsid w:val="00117EEC"/>
    <w:rsid w:val="001202DE"/>
    <w:rsid w:val="00121197"/>
    <w:rsid w:val="00121E69"/>
    <w:rsid w:val="00122394"/>
    <w:rsid w:val="0012240E"/>
    <w:rsid w:val="001224D5"/>
    <w:rsid w:val="0012273A"/>
    <w:rsid w:val="00123935"/>
    <w:rsid w:val="00123E7A"/>
    <w:rsid w:val="00123EBB"/>
    <w:rsid w:val="00123F81"/>
    <w:rsid w:val="00123FE9"/>
    <w:rsid w:val="001240AB"/>
    <w:rsid w:val="0012460B"/>
    <w:rsid w:val="00125478"/>
    <w:rsid w:val="00125869"/>
    <w:rsid w:val="0012586E"/>
    <w:rsid w:val="00125B18"/>
    <w:rsid w:val="00125BB4"/>
    <w:rsid w:val="0012668F"/>
    <w:rsid w:val="001270EF"/>
    <w:rsid w:val="001303EA"/>
    <w:rsid w:val="00130429"/>
    <w:rsid w:val="00130879"/>
    <w:rsid w:val="00130DE9"/>
    <w:rsid w:val="0013102B"/>
    <w:rsid w:val="001310FF"/>
    <w:rsid w:val="0013170B"/>
    <w:rsid w:val="00131A0F"/>
    <w:rsid w:val="00131BCD"/>
    <w:rsid w:val="0013269D"/>
    <w:rsid w:val="00132AAC"/>
    <w:rsid w:val="00132F5D"/>
    <w:rsid w:val="00133915"/>
    <w:rsid w:val="001347FA"/>
    <w:rsid w:val="00134C56"/>
    <w:rsid w:val="0013506B"/>
    <w:rsid w:val="001353CA"/>
    <w:rsid w:val="00135412"/>
    <w:rsid w:val="001355DA"/>
    <w:rsid w:val="00135E38"/>
    <w:rsid w:val="00135F2B"/>
    <w:rsid w:val="00135F91"/>
    <w:rsid w:val="001360A2"/>
    <w:rsid w:val="0013671C"/>
    <w:rsid w:val="00136C08"/>
    <w:rsid w:val="00136DFB"/>
    <w:rsid w:val="00136EE8"/>
    <w:rsid w:val="00137380"/>
    <w:rsid w:val="001374C7"/>
    <w:rsid w:val="0013794F"/>
    <w:rsid w:val="001402A8"/>
    <w:rsid w:val="001407F4"/>
    <w:rsid w:val="00140B7D"/>
    <w:rsid w:val="00143079"/>
    <w:rsid w:val="00143761"/>
    <w:rsid w:val="00143953"/>
    <w:rsid w:val="00143EE6"/>
    <w:rsid w:val="00144806"/>
    <w:rsid w:val="00144DAF"/>
    <w:rsid w:val="001455CF"/>
    <w:rsid w:val="001455EE"/>
    <w:rsid w:val="00145C16"/>
    <w:rsid w:val="00146064"/>
    <w:rsid w:val="001464F7"/>
    <w:rsid w:val="001465F6"/>
    <w:rsid w:val="00146C33"/>
    <w:rsid w:val="00146CA3"/>
    <w:rsid w:val="00146D7B"/>
    <w:rsid w:val="00146FA2"/>
    <w:rsid w:val="001470A4"/>
    <w:rsid w:val="00147438"/>
    <w:rsid w:val="00150014"/>
    <w:rsid w:val="0015069C"/>
    <w:rsid w:val="00150C83"/>
    <w:rsid w:val="001514FD"/>
    <w:rsid w:val="0015155D"/>
    <w:rsid w:val="00151846"/>
    <w:rsid w:val="001520A3"/>
    <w:rsid w:val="001521F7"/>
    <w:rsid w:val="0015278F"/>
    <w:rsid w:val="00153586"/>
    <w:rsid w:val="00153625"/>
    <w:rsid w:val="00153C11"/>
    <w:rsid w:val="00153F13"/>
    <w:rsid w:val="0015432D"/>
    <w:rsid w:val="00154EDC"/>
    <w:rsid w:val="00155276"/>
    <w:rsid w:val="0015530D"/>
    <w:rsid w:val="001557A0"/>
    <w:rsid w:val="001558B4"/>
    <w:rsid w:val="00155F7E"/>
    <w:rsid w:val="00155FA5"/>
    <w:rsid w:val="0015762B"/>
    <w:rsid w:val="00160431"/>
    <w:rsid w:val="00160E07"/>
    <w:rsid w:val="0016168E"/>
    <w:rsid w:val="00161BAE"/>
    <w:rsid w:val="00161C49"/>
    <w:rsid w:val="00162C0E"/>
    <w:rsid w:val="00162C8C"/>
    <w:rsid w:val="00162D94"/>
    <w:rsid w:val="0016379F"/>
    <w:rsid w:val="00163BBD"/>
    <w:rsid w:val="00163D16"/>
    <w:rsid w:val="00163E67"/>
    <w:rsid w:val="001640CF"/>
    <w:rsid w:val="00164312"/>
    <w:rsid w:val="0016485B"/>
    <w:rsid w:val="001649B3"/>
    <w:rsid w:val="00164FC3"/>
    <w:rsid w:val="001651D4"/>
    <w:rsid w:val="001673CD"/>
    <w:rsid w:val="00167521"/>
    <w:rsid w:val="00167884"/>
    <w:rsid w:val="00167B86"/>
    <w:rsid w:val="0017026B"/>
    <w:rsid w:val="00170A8B"/>
    <w:rsid w:val="00171000"/>
    <w:rsid w:val="00171AA9"/>
    <w:rsid w:val="00171DF3"/>
    <w:rsid w:val="00171F89"/>
    <w:rsid w:val="00172128"/>
    <w:rsid w:val="0017268B"/>
    <w:rsid w:val="00172AD9"/>
    <w:rsid w:val="00172E47"/>
    <w:rsid w:val="0017329D"/>
    <w:rsid w:val="0017334E"/>
    <w:rsid w:val="00173E9A"/>
    <w:rsid w:val="0017491A"/>
    <w:rsid w:val="00174C89"/>
    <w:rsid w:val="00174D29"/>
    <w:rsid w:val="001751BB"/>
    <w:rsid w:val="001751EF"/>
    <w:rsid w:val="00175360"/>
    <w:rsid w:val="001759A6"/>
    <w:rsid w:val="00175D4E"/>
    <w:rsid w:val="00175F37"/>
    <w:rsid w:val="0017600C"/>
    <w:rsid w:val="0017623D"/>
    <w:rsid w:val="001769BD"/>
    <w:rsid w:val="00176CB1"/>
    <w:rsid w:val="00177107"/>
    <w:rsid w:val="0017723D"/>
    <w:rsid w:val="00177307"/>
    <w:rsid w:val="00177861"/>
    <w:rsid w:val="0018091E"/>
    <w:rsid w:val="00180AB1"/>
    <w:rsid w:val="0018119A"/>
    <w:rsid w:val="0018169C"/>
    <w:rsid w:val="00182000"/>
    <w:rsid w:val="00182007"/>
    <w:rsid w:val="00182DE9"/>
    <w:rsid w:val="00182EDA"/>
    <w:rsid w:val="00182F4D"/>
    <w:rsid w:val="00183434"/>
    <w:rsid w:val="00183A47"/>
    <w:rsid w:val="00183C58"/>
    <w:rsid w:val="00183E07"/>
    <w:rsid w:val="00183E4A"/>
    <w:rsid w:val="00184574"/>
    <w:rsid w:val="00184692"/>
    <w:rsid w:val="00184B60"/>
    <w:rsid w:val="00184C26"/>
    <w:rsid w:val="00184E99"/>
    <w:rsid w:val="001856B2"/>
    <w:rsid w:val="00186EEC"/>
    <w:rsid w:val="0018716D"/>
    <w:rsid w:val="00187295"/>
    <w:rsid w:val="00187347"/>
    <w:rsid w:val="00187DA6"/>
    <w:rsid w:val="00190690"/>
    <w:rsid w:val="00190D6A"/>
    <w:rsid w:val="001910B6"/>
    <w:rsid w:val="00191160"/>
    <w:rsid w:val="00191188"/>
    <w:rsid w:val="00191634"/>
    <w:rsid w:val="00191819"/>
    <w:rsid w:val="00192255"/>
    <w:rsid w:val="001923C5"/>
    <w:rsid w:val="0019272C"/>
    <w:rsid w:val="001936F8"/>
    <w:rsid w:val="00193711"/>
    <w:rsid w:val="00194447"/>
    <w:rsid w:val="0019448F"/>
    <w:rsid w:val="001945AF"/>
    <w:rsid w:val="00194C58"/>
    <w:rsid w:val="00195471"/>
    <w:rsid w:val="00195718"/>
    <w:rsid w:val="001972B8"/>
    <w:rsid w:val="00197C50"/>
    <w:rsid w:val="00197E01"/>
    <w:rsid w:val="00197EC3"/>
    <w:rsid w:val="00197F5C"/>
    <w:rsid w:val="001A06EE"/>
    <w:rsid w:val="001A0A4D"/>
    <w:rsid w:val="001A0E3A"/>
    <w:rsid w:val="001A128B"/>
    <w:rsid w:val="001A13E2"/>
    <w:rsid w:val="001A1533"/>
    <w:rsid w:val="001A19C2"/>
    <w:rsid w:val="001A1FB8"/>
    <w:rsid w:val="001A203C"/>
    <w:rsid w:val="001A2090"/>
    <w:rsid w:val="001A2182"/>
    <w:rsid w:val="001A2194"/>
    <w:rsid w:val="001A2288"/>
    <w:rsid w:val="001A28C7"/>
    <w:rsid w:val="001A296C"/>
    <w:rsid w:val="001A3BC1"/>
    <w:rsid w:val="001A3CA0"/>
    <w:rsid w:val="001A4960"/>
    <w:rsid w:val="001A50B4"/>
    <w:rsid w:val="001A5B5D"/>
    <w:rsid w:val="001A5CDB"/>
    <w:rsid w:val="001A5F6A"/>
    <w:rsid w:val="001A605F"/>
    <w:rsid w:val="001A67FB"/>
    <w:rsid w:val="001A68E8"/>
    <w:rsid w:val="001A699D"/>
    <w:rsid w:val="001A72E2"/>
    <w:rsid w:val="001A77FA"/>
    <w:rsid w:val="001A7D8A"/>
    <w:rsid w:val="001B0B45"/>
    <w:rsid w:val="001B0BEC"/>
    <w:rsid w:val="001B0DB2"/>
    <w:rsid w:val="001B0E9E"/>
    <w:rsid w:val="001B11EA"/>
    <w:rsid w:val="001B1677"/>
    <w:rsid w:val="001B18FA"/>
    <w:rsid w:val="001B1B88"/>
    <w:rsid w:val="001B23AE"/>
    <w:rsid w:val="001B240D"/>
    <w:rsid w:val="001B2BD5"/>
    <w:rsid w:val="001B364B"/>
    <w:rsid w:val="001B3A42"/>
    <w:rsid w:val="001B421D"/>
    <w:rsid w:val="001B4373"/>
    <w:rsid w:val="001B47EA"/>
    <w:rsid w:val="001B5564"/>
    <w:rsid w:val="001B58A9"/>
    <w:rsid w:val="001B5FC2"/>
    <w:rsid w:val="001B6071"/>
    <w:rsid w:val="001B637E"/>
    <w:rsid w:val="001B647D"/>
    <w:rsid w:val="001B65C2"/>
    <w:rsid w:val="001B732F"/>
    <w:rsid w:val="001C02DE"/>
    <w:rsid w:val="001C067C"/>
    <w:rsid w:val="001C0814"/>
    <w:rsid w:val="001C0877"/>
    <w:rsid w:val="001C0A9F"/>
    <w:rsid w:val="001C124F"/>
    <w:rsid w:val="001C142F"/>
    <w:rsid w:val="001C15D5"/>
    <w:rsid w:val="001C19BF"/>
    <w:rsid w:val="001C2034"/>
    <w:rsid w:val="001C2B81"/>
    <w:rsid w:val="001C2BC9"/>
    <w:rsid w:val="001C2C90"/>
    <w:rsid w:val="001C3248"/>
    <w:rsid w:val="001C32A4"/>
    <w:rsid w:val="001C3D23"/>
    <w:rsid w:val="001C4AD8"/>
    <w:rsid w:val="001C4B06"/>
    <w:rsid w:val="001C4F4F"/>
    <w:rsid w:val="001C5991"/>
    <w:rsid w:val="001C59A0"/>
    <w:rsid w:val="001C609E"/>
    <w:rsid w:val="001C63B8"/>
    <w:rsid w:val="001C63B9"/>
    <w:rsid w:val="001C68B3"/>
    <w:rsid w:val="001C73C6"/>
    <w:rsid w:val="001C7492"/>
    <w:rsid w:val="001C7816"/>
    <w:rsid w:val="001D0180"/>
    <w:rsid w:val="001D0709"/>
    <w:rsid w:val="001D08D0"/>
    <w:rsid w:val="001D18FF"/>
    <w:rsid w:val="001D19BB"/>
    <w:rsid w:val="001D2AF0"/>
    <w:rsid w:val="001D2F3A"/>
    <w:rsid w:val="001D4314"/>
    <w:rsid w:val="001D4541"/>
    <w:rsid w:val="001D47A6"/>
    <w:rsid w:val="001D49D2"/>
    <w:rsid w:val="001D4CD5"/>
    <w:rsid w:val="001D4DCD"/>
    <w:rsid w:val="001D5434"/>
    <w:rsid w:val="001D56E1"/>
    <w:rsid w:val="001D6353"/>
    <w:rsid w:val="001D64A6"/>
    <w:rsid w:val="001D6868"/>
    <w:rsid w:val="001D689D"/>
    <w:rsid w:val="001D68D8"/>
    <w:rsid w:val="001D68F8"/>
    <w:rsid w:val="001D6989"/>
    <w:rsid w:val="001D7026"/>
    <w:rsid w:val="001D758E"/>
    <w:rsid w:val="001D7F8C"/>
    <w:rsid w:val="001E0050"/>
    <w:rsid w:val="001E0052"/>
    <w:rsid w:val="001E01B2"/>
    <w:rsid w:val="001E0404"/>
    <w:rsid w:val="001E0496"/>
    <w:rsid w:val="001E0B42"/>
    <w:rsid w:val="001E0C7D"/>
    <w:rsid w:val="001E1EDE"/>
    <w:rsid w:val="001E27BD"/>
    <w:rsid w:val="001E29BD"/>
    <w:rsid w:val="001E2BC8"/>
    <w:rsid w:val="001E31E7"/>
    <w:rsid w:val="001E3382"/>
    <w:rsid w:val="001E35E7"/>
    <w:rsid w:val="001E3A0C"/>
    <w:rsid w:val="001E4032"/>
    <w:rsid w:val="001E4332"/>
    <w:rsid w:val="001E44A1"/>
    <w:rsid w:val="001E4D5B"/>
    <w:rsid w:val="001E4D5C"/>
    <w:rsid w:val="001E4F79"/>
    <w:rsid w:val="001E5793"/>
    <w:rsid w:val="001E5796"/>
    <w:rsid w:val="001E5A7B"/>
    <w:rsid w:val="001E5D48"/>
    <w:rsid w:val="001E63FE"/>
    <w:rsid w:val="001E78F5"/>
    <w:rsid w:val="001F075E"/>
    <w:rsid w:val="001F0807"/>
    <w:rsid w:val="001F0DDA"/>
    <w:rsid w:val="001F1293"/>
    <w:rsid w:val="001F1434"/>
    <w:rsid w:val="001F149C"/>
    <w:rsid w:val="001F19C3"/>
    <w:rsid w:val="001F1C55"/>
    <w:rsid w:val="001F1DF4"/>
    <w:rsid w:val="001F204D"/>
    <w:rsid w:val="001F2558"/>
    <w:rsid w:val="001F2761"/>
    <w:rsid w:val="001F2E6E"/>
    <w:rsid w:val="001F2F46"/>
    <w:rsid w:val="001F3F97"/>
    <w:rsid w:val="001F421E"/>
    <w:rsid w:val="001F45B3"/>
    <w:rsid w:val="001F46D1"/>
    <w:rsid w:val="001F4741"/>
    <w:rsid w:val="001F49C3"/>
    <w:rsid w:val="001F4DDF"/>
    <w:rsid w:val="001F4DF5"/>
    <w:rsid w:val="001F532C"/>
    <w:rsid w:val="001F5C40"/>
    <w:rsid w:val="001F6F2C"/>
    <w:rsid w:val="0020042B"/>
    <w:rsid w:val="00200498"/>
    <w:rsid w:val="00200676"/>
    <w:rsid w:val="00200C51"/>
    <w:rsid w:val="00200CAB"/>
    <w:rsid w:val="00200DDB"/>
    <w:rsid w:val="002019C0"/>
    <w:rsid w:val="00201D0E"/>
    <w:rsid w:val="00201F3B"/>
    <w:rsid w:val="00201F73"/>
    <w:rsid w:val="00202241"/>
    <w:rsid w:val="002027A6"/>
    <w:rsid w:val="002028A3"/>
    <w:rsid w:val="00202C30"/>
    <w:rsid w:val="002036FE"/>
    <w:rsid w:val="00203B84"/>
    <w:rsid w:val="00203EFA"/>
    <w:rsid w:val="00204923"/>
    <w:rsid w:val="00204AFD"/>
    <w:rsid w:val="002052AD"/>
    <w:rsid w:val="0020530D"/>
    <w:rsid w:val="00205323"/>
    <w:rsid w:val="0020570F"/>
    <w:rsid w:val="0020571C"/>
    <w:rsid w:val="0020701A"/>
    <w:rsid w:val="00210650"/>
    <w:rsid w:val="00210851"/>
    <w:rsid w:val="00210A7C"/>
    <w:rsid w:val="00211FC9"/>
    <w:rsid w:val="00212915"/>
    <w:rsid w:val="00213169"/>
    <w:rsid w:val="0021420B"/>
    <w:rsid w:val="0021422B"/>
    <w:rsid w:val="00214326"/>
    <w:rsid w:val="00214577"/>
    <w:rsid w:val="00214902"/>
    <w:rsid w:val="00214ED8"/>
    <w:rsid w:val="00215168"/>
    <w:rsid w:val="002152A4"/>
    <w:rsid w:val="00215721"/>
    <w:rsid w:val="00215B62"/>
    <w:rsid w:val="00215E1C"/>
    <w:rsid w:val="002171A2"/>
    <w:rsid w:val="002172AE"/>
    <w:rsid w:val="00217473"/>
    <w:rsid w:val="00217746"/>
    <w:rsid w:val="00217767"/>
    <w:rsid w:val="00220341"/>
    <w:rsid w:val="002209C7"/>
    <w:rsid w:val="00220A0D"/>
    <w:rsid w:val="0022127A"/>
    <w:rsid w:val="00221328"/>
    <w:rsid w:val="002217A8"/>
    <w:rsid w:val="00221DD6"/>
    <w:rsid w:val="00222566"/>
    <w:rsid w:val="00222702"/>
    <w:rsid w:val="0022295B"/>
    <w:rsid w:val="00222BA7"/>
    <w:rsid w:val="00222C24"/>
    <w:rsid w:val="00222C43"/>
    <w:rsid w:val="00223F8F"/>
    <w:rsid w:val="00224C03"/>
    <w:rsid w:val="00224C89"/>
    <w:rsid w:val="00224D44"/>
    <w:rsid w:val="00225432"/>
    <w:rsid w:val="00225700"/>
    <w:rsid w:val="002258F9"/>
    <w:rsid w:val="00225E6A"/>
    <w:rsid w:val="00226593"/>
    <w:rsid w:val="0022747B"/>
    <w:rsid w:val="00227D32"/>
    <w:rsid w:val="00230189"/>
    <w:rsid w:val="00231049"/>
    <w:rsid w:val="00231609"/>
    <w:rsid w:val="00231D02"/>
    <w:rsid w:val="00232DD3"/>
    <w:rsid w:val="00232F06"/>
    <w:rsid w:val="00233693"/>
    <w:rsid w:val="00233970"/>
    <w:rsid w:val="00233EE4"/>
    <w:rsid w:val="00233EF6"/>
    <w:rsid w:val="002341F2"/>
    <w:rsid w:val="00234256"/>
    <w:rsid w:val="00234683"/>
    <w:rsid w:val="002349CA"/>
    <w:rsid w:val="00235681"/>
    <w:rsid w:val="00235F9F"/>
    <w:rsid w:val="00236783"/>
    <w:rsid w:val="00236A9C"/>
    <w:rsid w:val="00236AD0"/>
    <w:rsid w:val="00236BF5"/>
    <w:rsid w:val="00236D32"/>
    <w:rsid w:val="0023701B"/>
    <w:rsid w:val="00237042"/>
    <w:rsid w:val="00240639"/>
    <w:rsid w:val="002406D6"/>
    <w:rsid w:val="00240720"/>
    <w:rsid w:val="00240724"/>
    <w:rsid w:val="00240EE0"/>
    <w:rsid w:val="0024150A"/>
    <w:rsid w:val="002416F5"/>
    <w:rsid w:val="00241727"/>
    <w:rsid w:val="00241EC8"/>
    <w:rsid w:val="00242AD1"/>
    <w:rsid w:val="00242D3E"/>
    <w:rsid w:val="0024321C"/>
    <w:rsid w:val="002433C3"/>
    <w:rsid w:val="00243889"/>
    <w:rsid w:val="00244312"/>
    <w:rsid w:val="002448B8"/>
    <w:rsid w:val="002448BA"/>
    <w:rsid w:val="00244ADB"/>
    <w:rsid w:val="00244ADC"/>
    <w:rsid w:val="00245123"/>
    <w:rsid w:val="00245671"/>
    <w:rsid w:val="00245B23"/>
    <w:rsid w:val="002474BF"/>
    <w:rsid w:val="002477C2"/>
    <w:rsid w:val="00250829"/>
    <w:rsid w:val="00250C46"/>
    <w:rsid w:val="00251368"/>
    <w:rsid w:val="00251EE9"/>
    <w:rsid w:val="00253933"/>
    <w:rsid w:val="00253AA1"/>
    <w:rsid w:val="00253B4F"/>
    <w:rsid w:val="002540AF"/>
    <w:rsid w:val="0025445B"/>
    <w:rsid w:val="00254C75"/>
    <w:rsid w:val="00254D0B"/>
    <w:rsid w:val="00254DC1"/>
    <w:rsid w:val="002552E7"/>
    <w:rsid w:val="002558D7"/>
    <w:rsid w:val="00255DFB"/>
    <w:rsid w:val="00256611"/>
    <w:rsid w:val="00256AFD"/>
    <w:rsid w:val="00256B72"/>
    <w:rsid w:val="00260620"/>
    <w:rsid w:val="00260693"/>
    <w:rsid w:val="00260F91"/>
    <w:rsid w:val="00261428"/>
    <w:rsid w:val="00261C19"/>
    <w:rsid w:val="00261D1F"/>
    <w:rsid w:val="00261E2F"/>
    <w:rsid w:val="00262224"/>
    <w:rsid w:val="00262D40"/>
    <w:rsid w:val="00262EE8"/>
    <w:rsid w:val="00262FF6"/>
    <w:rsid w:val="00263F44"/>
    <w:rsid w:val="00264BF5"/>
    <w:rsid w:val="00264E18"/>
    <w:rsid w:val="00265788"/>
    <w:rsid w:val="002669F1"/>
    <w:rsid w:val="00266E6B"/>
    <w:rsid w:val="0026707E"/>
    <w:rsid w:val="002674F5"/>
    <w:rsid w:val="00267BFA"/>
    <w:rsid w:val="00267DE3"/>
    <w:rsid w:val="002707F2"/>
    <w:rsid w:val="00270EB5"/>
    <w:rsid w:val="0027203A"/>
    <w:rsid w:val="00272132"/>
    <w:rsid w:val="00272150"/>
    <w:rsid w:val="00272E7B"/>
    <w:rsid w:val="0027304F"/>
    <w:rsid w:val="00273320"/>
    <w:rsid w:val="00273BFF"/>
    <w:rsid w:val="00273FA5"/>
    <w:rsid w:val="002742C4"/>
    <w:rsid w:val="00274762"/>
    <w:rsid w:val="00274FA4"/>
    <w:rsid w:val="00275A6A"/>
    <w:rsid w:val="00275D5D"/>
    <w:rsid w:val="0027655D"/>
    <w:rsid w:val="00276F36"/>
    <w:rsid w:val="00277405"/>
    <w:rsid w:val="002776D0"/>
    <w:rsid w:val="002778B9"/>
    <w:rsid w:val="002803CD"/>
    <w:rsid w:val="00280893"/>
    <w:rsid w:val="00281160"/>
    <w:rsid w:val="002814BC"/>
    <w:rsid w:val="00281690"/>
    <w:rsid w:val="00282088"/>
    <w:rsid w:val="00282B57"/>
    <w:rsid w:val="0028313C"/>
    <w:rsid w:val="002831FB"/>
    <w:rsid w:val="00283A51"/>
    <w:rsid w:val="0028412C"/>
    <w:rsid w:val="002845BE"/>
    <w:rsid w:val="00284BA6"/>
    <w:rsid w:val="00285062"/>
    <w:rsid w:val="002850E1"/>
    <w:rsid w:val="00287272"/>
    <w:rsid w:val="00287474"/>
    <w:rsid w:val="00287569"/>
    <w:rsid w:val="00287A99"/>
    <w:rsid w:val="0029024F"/>
    <w:rsid w:val="002909E8"/>
    <w:rsid w:val="00291656"/>
    <w:rsid w:val="00291B45"/>
    <w:rsid w:val="00292136"/>
    <w:rsid w:val="00292522"/>
    <w:rsid w:val="00294693"/>
    <w:rsid w:val="002954F5"/>
    <w:rsid w:val="002955EA"/>
    <w:rsid w:val="002957AA"/>
    <w:rsid w:val="002958BE"/>
    <w:rsid w:val="00295B85"/>
    <w:rsid w:val="0029614E"/>
    <w:rsid w:val="00296286"/>
    <w:rsid w:val="00296780"/>
    <w:rsid w:val="002967F1"/>
    <w:rsid w:val="002968EF"/>
    <w:rsid w:val="00296901"/>
    <w:rsid w:val="00297390"/>
    <w:rsid w:val="002A00FB"/>
    <w:rsid w:val="002A01A7"/>
    <w:rsid w:val="002A15C3"/>
    <w:rsid w:val="002A16F3"/>
    <w:rsid w:val="002A2308"/>
    <w:rsid w:val="002A2337"/>
    <w:rsid w:val="002A2545"/>
    <w:rsid w:val="002A4D90"/>
    <w:rsid w:val="002A5AF9"/>
    <w:rsid w:val="002A5C80"/>
    <w:rsid w:val="002A666E"/>
    <w:rsid w:val="002A69EE"/>
    <w:rsid w:val="002A6A26"/>
    <w:rsid w:val="002A6E49"/>
    <w:rsid w:val="002A7300"/>
    <w:rsid w:val="002A739F"/>
    <w:rsid w:val="002A7C14"/>
    <w:rsid w:val="002A7E68"/>
    <w:rsid w:val="002B084D"/>
    <w:rsid w:val="002B0E6C"/>
    <w:rsid w:val="002B0E93"/>
    <w:rsid w:val="002B1E48"/>
    <w:rsid w:val="002B1EAF"/>
    <w:rsid w:val="002B20A0"/>
    <w:rsid w:val="002B2843"/>
    <w:rsid w:val="002B284B"/>
    <w:rsid w:val="002B32F1"/>
    <w:rsid w:val="002B4156"/>
    <w:rsid w:val="002B489C"/>
    <w:rsid w:val="002B520F"/>
    <w:rsid w:val="002B5E06"/>
    <w:rsid w:val="002B5E82"/>
    <w:rsid w:val="002B66E6"/>
    <w:rsid w:val="002B6864"/>
    <w:rsid w:val="002B6A56"/>
    <w:rsid w:val="002B6CE8"/>
    <w:rsid w:val="002B78AC"/>
    <w:rsid w:val="002B7A92"/>
    <w:rsid w:val="002B7DA5"/>
    <w:rsid w:val="002B7DEE"/>
    <w:rsid w:val="002C00BA"/>
    <w:rsid w:val="002C0D0B"/>
    <w:rsid w:val="002C0EF9"/>
    <w:rsid w:val="002C1D5B"/>
    <w:rsid w:val="002C2155"/>
    <w:rsid w:val="002C2309"/>
    <w:rsid w:val="002C2761"/>
    <w:rsid w:val="002C2942"/>
    <w:rsid w:val="002C2AD0"/>
    <w:rsid w:val="002C3667"/>
    <w:rsid w:val="002C40BE"/>
    <w:rsid w:val="002C4C42"/>
    <w:rsid w:val="002C4EE8"/>
    <w:rsid w:val="002C4F99"/>
    <w:rsid w:val="002C59F3"/>
    <w:rsid w:val="002C60CA"/>
    <w:rsid w:val="002C6D3E"/>
    <w:rsid w:val="002C70F8"/>
    <w:rsid w:val="002C712E"/>
    <w:rsid w:val="002C7306"/>
    <w:rsid w:val="002C76EA"/>
    <w:rsid w:val="002C77A4"/>
    <w:rsid w:val="002C7DEC"/>
    <w:rsid w:val="002C7EB1"/>
    <w:rsid w:val="002D067E"/>
    <w:rsid w:val="002D0A51"/>
    <w:rsid w:val="002D0BC9"/>
    <w:rsid w:val="002D12F0"/>
    <w:rsid w:val="002D2653"/>
    <w:rsid w:val="002D2696"/>
    <w:rsid w:val="002D2B1D"/>
    <w:rsid w:val="002D2B4D"/>
    <w:rsid w:val="002D3386"/>
    <w:rsid w:val="002D341B"/>
    <w:rsid w:val="002D3461"/>
    <w:rsid w:val="002D34E9"/>
    <w:rsid w:val="002D3B9C"/>
    <w:rsid w:val="002D4611"/>
    <w:rsid w:val="002D4B80"/>
    <w:rsid w:val="002D4D1B"/>
    <w:rsid w:val="002D4FE6"/>
    <w:rsid w:val="002D6155"/>
    <w:rsid w:val="002D6236"/>
    <w:rsid w:val="002D6719"/>
    <w:rsid w:val="002D68D6"/>
    <w:rsid w:val="002D697E"/>
    <w:rsid w:val="002D73E9"/>
    <w:rsid w:val="002D7A43"/>
    <w:rsid w:val="002E050D"/>
    <w:rsid w:val="002E073D"/>
    <w:rsid w:val="002E0F28"/>
    <w:rsid w:val="002E1180"/>
    <w:rsid w:val="002E18D9"/>
    <w:rsid w:val="002E1C3F"/>
    <w:rsid w:val="002E1EDD"/>
    <w:rsid w:val="002E20BE"/>
    <w:rsid w:val="002E215A"/>
    <w:rsid w:val="002E217D"/>
    <w:rsid w:val="002E2678"/>
    <w:rsid w:val="002E276C"/>
    <w:rsid w:val="002E2974"/>
    <w:rsid w:val="002E299B"/>
    <w:rsid w:val="002E3727"/>
    <w:rsid w:val="002E381F"/>
    <w:rsid w:val="002E3D9C"/>
    <w:rsid w:val="002E43C6"/>
    <w:rsid w:val="002E4519"/>
    <w:rsid w:val="002E4CC6"/>
    <w:rsid w:val="002E584C"/>
    <w:rsid w:val="002E69C2"/>
    <w:rsid w:val="002F00B8"/>
    <w:rsid w:val="002F03A7"/>
    <w:rsid w:val="002F097C"/>
    <w:rsid w:val="002F1178"/>
    <w:rsid w:val="002F11F8"/>
    <w:rsid w:val="002F1816"/>
    <w:rsid w:val="002F1AB0"/>
    <w:rsid w:val="002F28DA"/>
    <w:rsid w:val="002F30E3"/>
    <w:rsid w:val="002F313F"/>
    <w:rsid w:val="002F3731"/>
    <w:rsid w:val="002F389C"/>
    <w:rsid w:val="002F3BA8"/>
    <w:rsid w:val="002F4690"/>
    <w:rsid w:val="002F474B"/>
    <w:rsid w:val="002F4969"/>
    <w:rsid w:val="002F56C4"/>
    <w:rsid w:val="002F6864"/>
    <w:rsid w:val="002F6949"/>
    <w:rsid w:val="002F73D6"/>
    <w:rsid w:val="002F778E"/>
    <w:rsid w:val="002F7B89"/>
    <w:rsid w:val="002F7D43"/>
    <w:rsid w:val="0030016E"/>
    <w:rsid w:val="003001DD"/>
    <w:rsid w:val="003006B7"/>
    <w:rsid w:val="00300A2A"/>
    <w:rsid w:val="00301216"/>
    <w:rsid w:val="003018BD"/>
    <w:rsid w:val="00302105"/>
    <w:rsid w:val="00302151"/>
    <w:rsid w:val="003024E6"/>
    <w:rsid w:val="00302901"/>
    <w:rsid w:val="00302F0A"/>
    <w:rsid w:val="00303776"/>
    <w:rsid w:val="00304725"/>
    <w:rsid w:val="00304ECC"/>
    <w:rsid w:val="0030514D"/>
    <w:rsid w:val="003056EC"/>
    <w:rsid w:val="003059B8"/>
    <w:rsid w:val="00306BE6"/>
    <w:rsid w:val="00306FB3"/>
    <w:rsid w:val="00310CD6"/>
    <w:rsid w:val="00310D01"/>
    <w:rsid w:val="00310EBE"/>
    <w:rsid w:val="00310FEF"/>
    <w:rsid w:val="00311003"/>
    <w:rsid w:val="0031104F"/>
    <w:rsid w:val="00311243"/>
    <w:rsid w:val="00311759"/>
    <w:rsid w:val="003128C3"/>
    <w:rsid w:val="003129E2"/>
    <w:rsid w:val="00312D56"/>
    <w:rsid w:val="00312D91"/>
    <w:rsid w:val="003132A6"/>
    <w:rsid w:val="00313313"/>
    <w:rsid w:val="003134B0"/>
    <w:rsid w:val="00313776"/>
    <w:rsid w:val="00313A89"/>
    <w:rsid w:val="00313ABB"/>
    <w:rsid w:val="00314224"/>
    <w:rsid w:val="003145D7"/>
    <w:rsid w:val="00314ECE"/>
    <w:rsid w:val="003159B2"/>
    <w:rsid w:val="003168D5"/>
    <w:rsid w:val="00316D0F"/>
    <w:rsid w:val="00317CE9"/>
    <w:rsid w:val="00317D94"/>
    <w:rsid w:val="00317EE0"/>
    <w:rsid w:val="00317F23"/>
    <w:rsid w:val="00320B8D"/>
    <w:rsid w:val="00320C56"/>
    <w:rsid w:val="00320D96"/>
    <w:rsid w:val="00320D99"/>
    <w:rsid w:val="0032206E"/>
    <w:rsid w:val="0032277F"/>
    <w:rsid w:val="003229CC"/>
    <w:rsid w:val="00322A17"/>
    <w:rsid w:val="003242DD"/>
    <w:rsid w:val="00324354"/>
    <w:rsid w:val="0032459E"/>
    <w:rsid w:val="003252FC"/>
    <w:rsid w:val="00325377"/>
    <w:rsid w:val="00325517"/>
    <w:rsid w:val="00325928"/>
    <w:rsid w:val="00325CD2"/>
    <w:rsid w:val="00326245"/>
    <w:rsid w:val="003262C8"/>
    <w:rsid w:val="00326801"/>
    <w:rsid w:val="00327718"/>
    <w:rsid w:val="00327C75"/>
    <w:rsid w:val="00330ACD"/>
    <w:rsid w:val="0033126E"/>
    <w:rsid w:val="00331541"/>
    <w:rsid w:val="00331A6C"/>
    <w:rsid w:val="0033205F"/>
    <w:rsid w:val="003324A8"/>
    <w:rsid w:val="00332BA6"/>
    <w:rsid w:val="00332F60"/>
    <w:rsid w:val="003330F9"/>
    <w:rsid w:val="00334374"/>
    <w:rsid w:val="00334724"/>
    <w:rsid w:val="003349E5"/>
    <w:rsid w:val="003349EE"/>
    <w:rsid w:val="00334CA5"/>
    <w:rsid w:val="00334D56"/>
    <w:rsid w:val="00334F87"/>
    <w:rsid w:val="003356C9"/>
    <w:rsid w:val="00335A33"/>
    <w:rsid w:val="00336478"/>
    <w:rsid w:val="00336715"/>
    <w:rsid w:val="00337168"/>
    <w:rsid w:val="00337612"/>
    <w:rsid w:val="00340552"/>
    <w:rsid w:val="00340886"/>
    <w:rsid w:val="003411E4"/>
    <w:rsid w:val="00341F52"/>
    <w:rsid w:val="0034218A"/>
    <w:rsid w:val="0034266A"/>
    <w:rsid w:val="00342F32"/>
    <w:rsid w:val="00343200"/>
    <w:rsid w:val="00343884"/>
    <w:rsid w:val="00343A7A"/>
    <w:rsid w:val="00343F60"/>
    <w:rsid w:val="003448DF"/>
    <w:rsid w:val="00344B82"/>
    <w:rsid w:val="003450BD"/>
    <w:rsid w:val="003452A3"/>
    <w:rsid w:val="003452F6"/>
    <w:rsid w:val="0034561B"/>
    <w:rsid w:val="00345870"/>
    <w:rsid w:val="003467B0"/>
    <w:rsid w:val="003470BB"/>
    <w:rsid w:val="003472BD"/>
    <w:rsid w:val="0034791B"/>
    <w:rsid w:val="00347F49"/>
    <w:rsid w:val="00350D06"/>
    <w:rsid w:val="00350E4E"/>
    <w:rsid w:val="003515B5"/>
    <w:rsid w:val="00351FBE"/>
    <w:rsid w:val="00352775"/>
    <w:rsid w:val="003548DF"/>
    <w:rsid w:val="00354EA2"/>
    <w:rsid w:val="0035502F"/>
    <w:rsid w:val="003550CA"/>
    <w:rsid w:val="00355B68"/>
    <w:rsid w:val="003562C7"/>
    <w:rsid w:val="003566EE"/>
    <w:rsid w:val="00356747"/>
    <w:rsid w:val="00356A9C"/>
    <w:rsid w:val="00357027"/>
    <w:rsid w:val="0035732D"/>
    <w:rsid w:val="00357A2E"/>
    <w:rsid w:val="00357F56"/>
    <w:rsid w:val="0036058A"/>
    <w:rsid w:val="00360D2A"/>
    <w:rsid w:val="0036103C"/>
    <w:rsid w:val="00361085"/>
    <w:rsid w:val="0036139F"/>
    <w:rsid w:val="003614A1"/>
    <w:rsid w:val="003623AF"/>
    <w:rsid w:val="00362A4E"/>
    <w:rsid w:val="00362E6F"/>
    <w:rsid w:val="00362FE8"/>
    <w:rsid w:val="00363044"/>
    <w:rsid w:val="00363454"/>
    <w:rsid w:val="003636D9"/>
    <w:rsid w:val="00363C8C"/>
    <w:rsid w:val="00363D72"/>
    <w:rsid w:val="00363E93"/>
    <w:rsid w:val="0036413D"/>
    <w:rsid w:val="0036452D"/>
    <w:rsid w:val="003645EE"/>
    <w:rsid w:val="00365081"/>
    <w:rsid w:val="003654AA"/>
    <w:rsid w:val="00365537"/>
    <w:rsid w:val="0036576F"/>
    <w:rsid w:val="003658D8"/>
    <w:rsid w:val="00366361"/>
    <w:rsid w:val="00366391"/>
    <w:rsid w:val="00366ABD"/>
    <w:rsid w:val="00366F20"/>
    <w:rsid w:val="00367216"/>
    <w:rsid w:val="00367323"/>
    <w:rsid w:val="00367502"/>
    <w:rsid w:val="003675DE"/>
    <w:rsid w:val="00367C79"/>
    <w:rsid w:val="003703A5"/>
    <w:rsid w:val="00370651"/>
    <w:rsid w:val="00370790"/>
    <w:rsid w:val="00370DF9"/>
    <w:rsid w:val="0037134F"/>
    <w:rsid w:val="00371465"/>
    <w:rsid w:val="00371A4A"/>
    <w:rsid w:val="00372BA4"/>
    <w:rsid w:val="00373ABB"/>
    <w:rsid w:val="00375195"/>
    <w:rsid w:val="00375737"/>
    <w:rsid w:val="003759AA"/>
    <w:rsid w:val="003760EC"/>
    <w:rsid w:val="003762F3"/>
    <w:rsid w:val="00376489"/>
    <w:rsid w:val="003766C2"/>
    <w:rsid w:val="00376706"/>
    <w:rsid w:val="003768F1"/>
    <w:rsid w:val="00376A3F"/>
    <w:rsid w:val="00377617"/>
    <w:rsid w:val="0037768F"/>
    <w:rsid w:val="00377BD1"/>
    <w:rsid w:val="00380307"/>
    <w:rsid w:val="0038117A"/>
    <w:rsid w:val="00381183"/>
    <w:rsid w:val="00381A44"/>
    <w:rsid w:val="00381BF7"/>
    <w:rsid w:val="003820D1"/>
    <w:rsid w:val="00382814"/>
    <w:rsid w:val="00382917"/>
    <w:rsid w:val="00382BDD"/>
    <w:rsid w:val="00382FD9"/>
    <w:rsid w:val="003835E3"/>
    <w:rsid w:val="003844CB"/>
    <w:rsid w:val="00384A3E"/>
    <w:rsid w:val="00384DCF"/>
    <w:rsid w:val="00385957"/>
    <w:rsid w:val="00385A4B"/>
    <w:rsid w:val="00385C8B"/>
    <w:rsid w:val="00386703"/>
    <w:rsid w:val="0038777A"/>
    <w:rsid w:val="00390F0E"/>
    <w:rsid w:val="00391D83"/>
    <w:rsid w:val="00391E77"/>
    <w:rsid w:val="0039222D"/>
    <w:rsid w:val="00393093"/>
    <w:rsid w:val="00393364"/>
    <w:rsid w:val="0039367A"/>
    <w:rsid w:val="00393CD5"/>
    <w:rsid w:val="00394276"/>
    <w:rsid w:val="003942B6"/>
    <w:rsid w:val="00394308"/>
    <w:rsid w:val="00394832"/>
    <w:rsid w:val="00394A19"/>
    <w:rsid w:val="003950E2"/>
    <w:rsid w:val="003955F5"/>
    <w:rsid w:val="00395A3F"/>
    <w:rsid w:val="00395C6E"/>
    <w:rsid w:val="00396657"/>
    <w:rsid w:val="003968AF"/>
    <w:rsid w:val="00397A8F"/>
    <w:rsid w:val="003A1F7A"/>
    <w:rsid w:val="003A257D"/>
    <w:rsid w:val="003A36F2"/>
    <w:rsid w:val="003A37EB"/>
    <w:rsid w:val="003A442F"/>
    <w:rsid w:val="003A460A"/>
    <w:rsid w:val="003A4C50"/>
    <w:rsid w:val="003A53C9"/>
    <w:rsid w:val="003A624D"/>
    <w:rsid w:val="003A633B"/>
    <w:rsid w:val="003A6514"/>
    <w:rsid w:val="003A703A"/>
    <w:rsid w:val="003A740D"/>
    <w:rsid w:val="003B0194"/>
    <w:rsid w:val="003B097C"/>
    <w:rsid w:val="003B0C0D"/>
    <w:rsid w:val="003B0E23"/>
    <w:rsid w:val="003B0E7E"/>
    <w:rsid w:val="003B10F3"/>
    <w:rsid w:val="003B1115"/>
    <w:rsid w:val="003B1319"/>
    <w:rsid w:val="003B13CE"/>
    <w:rsid w:val="003B1674"/>
    <w:rsid w:val="003B1C02"/>
    <w:rsid w:val="003B1F65"/>
    <w:rsid w:val="003B2EBA"/>
    <w:rsid w:val="003B32C0"/>
    <w:rsid w:val="003B3ADE"/>
    <w:rsid w:val="003B3B1C"/>
    <w:rsid w:val="003B42CB"/>
    <w:rsid w:val="003B436F"/>
    <w:rsid w:val="003B49D3"/>
    <w:rsid w:val="003B5BF0"/>
    <w:rsid w:val="003B6FFF"/>
    <w:rsid w:val="003B7C0E"/>
    <w:rsid w:val="003C01BE"/>
    <w:rsid w:val="003C0B3B"/>
    <w:rsid w:val="003C2139"/>
    <w:rsid w:val="003C2702"/>
    <w:rsid w:val="003C283B"/>
    <w:rsid w:val="003C2B4C"/>
    <w:rsid w:val="003C3974"/>
    <w:rsid w:val="003C41A5"/>
    <w:rsid w:val="003C42BB"/>
    <w:rsid w:val="003C441B"/>
    <w:rsid w:val="003C4D03"/>
    <w:rsid w:val="003C4D3B"/>
    <w:rsid w:val="003C4F5E"/>
    <w:rsid w:val="003C551B"/>
    <w:rsid w:val="003C5FB5"/>
    <w:rsid w:val="003C667F"/>
    <w:rsid w:val="003C6AC1"/>
    <w:rsid w:val="003C6E75"/>
    <w:rsid w:val="003C71AA"/>
    <w:rsid w:val="003C7AAF"/>
    <w:rsid w:val="003D02E8"/>
    <w:rsid w:val="003D0403"/>
    <w:rsid w:val="003D0DDE"/>
    <w:rsid w:val="003D0FD0"/>
    <w:rsid w:val="003D1261"/>
    <w:rsid w:val="003D1374"/>
    <w:rsid w:val="003D157A"/>
    <w:rsid w:val="003D16F1"/>
    <w:rsid w:val="003D1FA0"/>
    <w:rsid w:val="003D2025"/>
    <w:rsid w:val="003D222E"/>
    <w:rsid w:val="003D27FE"/>
    <w:rsid w:val="003D2BB4"/>
    <w:rsid w:val="003D2F74"/>
    <w:rsid w:val="003D3B80"/>
    <w:rsid w:val="003D3C70"/>
    <w:rsid w:val="003D3FC9"/>
    <w:rsid w:val="003D4B7C"/>
    <w:rsid w:val="003D4DE4"/>
    <w:rsid w:val="003D51A6"/>
    <w:rsid w:val="003D53D9"/>
    <w:rsid w:val="003D546D"/>
    <w:rsid w:val="003D585D"/>
    <w:rsid w:val="003D6722"/>
    <w:rsid w:val="003D6BCC"/>
    <w:rsid w:val="003D6CFD"/>
    <w:rsid w:val="003D7F81"/>
    <w:rsid w:val="003E019F"/>
    <w:rsid w:val="003E071C"/>
    <w:rsid w:val="003E0DCA"/>
    <w:rsid w:val="003E24D4"/>
    <w:rsid w:val="003E289B"/>
    <w:rsid w:val="003E2C30"/>
    <w:rsid w:val="003E2E2B"/>
    <w:rsid w:val="003E3CF3"/>
    <w:rsid w:val="003E3E15"/>
    <w:rsid w:val="003E3F56"/>
    <w:rsid w:val="003E4052"/>
    <w:rsid w:val="003E40E6"/>
    <w:rsid w:val="003E4C5E"/>
    <w:rsid w:val="003E4FD1"/>
    <w:rsid w:val="003E539A"/>
    <w:rsid w:val="003E59A4"/>
    <w:rsid w:val="003E625D"/>
    <w:rsid w:val="003E651E"/>
    <w:rsid w:val="003E65A4"/>
    <w:rsid w:val="003E66E9"/>
    <w:rsid w:val="003E7F6F"/>
    <w:rsid w:val="003E7F94"/>
    <w:rsid w:val="003E7FC1"/>
    <w:rsid w:val="003F1764"/>
    <w:rsid w:val="003F181D"/>
    <w:rsid w:val="003F2958"/>
    <w:rsid w:val="003F2DBF"/>
    <w:rsid w:val="003F3B8C"/>
    <w:rsid w:val="003F3C50"/>
    <w:rsid w:val="003F3D57"/>
    <w:rsid w:val="003F3DD1"/>
    <w:rsid w:val="003F3F2B"/>
    <w:rsid w:val="003F43C8"/>
    <w:rsid w:val="003F4637"/>
    <w:rsid w:val="003F46E5"/>
    <w:rsid w:val="003F4753"/>
    <w:rsid w:val="003F4CED"/>
    <w:rsid w:val="003F4EB1"/>
    <w:rsid w:val="003F504C"/>
    <w:rsid w:val="003F51DE"/>
    <w:rsid w:val="003F577F"/>
    <w:rsid w:val="003F630C"/>
    <w:rsid w:val="003F6316"/>
    <w:rsid w:val="003F654F"/>
    <w:rsid w:val="003F698F"/>
    <w:rsid w:val="003F72B4"/>
    <w:rsid w:val="003F73A4"/>
    <w:rsid w:val="003F77A2"/>
    <w:rsid w:val="003F7969"/>
    <w:rsid w:val="00400CF6"/>
    <w:rsid w:val="00400E78"/>
    <w:rsid w:val="004011F9"/>
    <w:rsid w:val="00401423"/>
    <w:rsid w:val="00401571"/>
    <w:rsid w:val="004017A4"/>
    <w:rsid w:val="0040208F"/>
    <w:rsid w:val="00402127"/>
    <w:rsid w:val="004026A4"/>
    <w:rsid w:val="00402E17"/>
    <w:rsid w:val="0040309A"/>
    <w:rsid w:val="00403162"/>
    <w:rsid w:val="00403ACD"/>
    <w:rsid w:val="00403C68"/>
    <w:rsid w:val="00404858"/>
    <w:rsid w:val="0040495C"/>
    <w:rsid w:val="00404D1F"/>
    <w:rsid w:val="00405C19"/>
    <w:rsid w:val="00405E9A"/>
    <w:rsid w:val="00405EAE"/>
    <w:rsid w:val="00407AEA"/>
    <w:rsid w:val="00407B7C"/>
    <w:rsid w:val="00407B9A"/>
    <w:rsid w:val="00407BA5"/>
    <w:rsid w:val="00407C6B"/>
    <w:rsid w:val="00407EFC"/>
    <w:rsid w:val="004108FE"/>
    <w:rsid w:val="00411546"/>
    <w:rsid w:val="0041190A"/>
    <w:rsid w:val="004119D4"/>
    <w:rsid w:val="00411C73"/>
    <w:rsid w:val="00411DA0"/>
    <w:rsid w:val="004131FE"/>
    <w:rsid w:val="0041326C"/>
    <w:rsid w:val="004132BA"/>
    <w:rsid w:val="00413515"/>
    <w:rsid w:val="0041362F"/>
    <w:rsid w:val="00414C99"/>
    <w:rsid w:val="00414E62"/>
    <w:rsid w:val="004151CD"/>
    <w:rsid w:val="004166E4"/>
    <w:rsid w:val="004167EF"/>
    <w:rsid w:val="00417433"/>
    <w:rsid w:val="004179BB"/>
    <w:rsid w:val="004206C4"/>
    <w:rsid w:val="00420D9E"/>
    <w:rsid w:val="0042114A"/>
    <w:rsid w:val="0042132D"/>
    <w:rsid w:val="00421C9A"/>
    <w:rsid w:val="00422321"/>
    <w:rsid w:val="0042262F"/>
    <w:rsid w:val="0042298A"/>
    <w:rsid w:val="00422FCC"/>
    <w:rsid w:val="00422FEC"/>
    <w:rsid w:val="00424DA1"/>
    <w:rsid w:val="004251C6"/>
    <w:rsid w:val="0042522F"/>
    <w:rsid w:val="004259D7"/>
    <w:rsid w:val="00425AE3"/>
    <w:rsid w:val="00426095"/>
    <w:rsid w:val="00426492"/>
    <w:rsid w:val="00426E4C"/>
    <w:rsid w:val="00427702"/>
    <w:rsid w:val="00427EEA"/>
    <w:rsid w:val="00430D78"/>
    <w:rsid w:val="004310F9"/>
    <w:rsid w:val="00431265"/>
    <w:rsid w:val="00431361"/>
    <w:rsid w:val="00431594"/>
    <w:rsid w:val="004318A6"/>
    <w:rsid w:val="00431CDD"/>
    <w:rsid w:val="004328FE"/>
    <w:rsid w:val="00432D9D"/>
    <w:rsid w:val="00432EF6"/>
    <w:rsid w:val="00433A74"/>
    <w:rsid w:val="00433FBD"/>
    <w:rsid w:val="0043480B"/>
    <w:rsid w:val="0043483D"/>
    <w:rsid w:val="00434B98"/>
    <w:rsid w:val="00435096"/>
    <w:rsid w:val="0043620D"/>
    <w:rsid w:val="004363B0"/>
    <w:rsid w:val="004363C4"/>
    <w:rsid w:val="00436533"/>
    <w:rsid w:val="0043669B"/>
    <w:rsid w:val="00436E2C"/>
    <w:rsid w:val="004372E9"/>
    <w:rsid w:val="00437B97"/>
    <w:rsid w:val="00437F0A"/>
    <w:rsid w:val="0044068C"/>
    <w:rsid w:val="00440731"/>
    <w:rsid w:val="00440871"/>
    <w:rsid w:val="00440C7A"/>
    <w:rsid w:val="00441DAA"/>
    <w:rsid w:val="00442201"/>
    <w:rsid w:val="00442D43"/>
    <w:rsid w:val="004431ED"/>
    <w:rsid w:val="00443D81"/>
    <w:rsid w:val="00444778"/>
    <w:rsid w:val="0044536D"/>
    <w:rsid w:val="004454B9"/>
    <w:rsid w:val="00445635"/>
    <w:rsid w:val="0044586C"/>
    <w:rsid w:val="0044661D"/>
    <w:rsid w:val="00446A55"/>
    <w:rsid w:val="00446CEC"/>
    <w:rsid w:val="00446F05"/>
    <w:rsid w:val="0044733E"/>
    <w:rsid w:val="00447968"/>
    <w:rsid w:val="00447A5F"/>
    <w:rsid w:val="00447B8A"/>
    <w:rsid w:val="004503F3"/>
    <w:rsid w:val="00450490"/>
    <w:rsid w:val="00450537"/>
    <w:rsid w:val="00450FC9"/>
    <w:rsid w:val="004511A4"/>
    <w:rsid w:val="0045182E"/>
    <w:rsid w:val="004518BB"/>
    <w:rsid w:val="00451918"/>
    <w:rsid w:val="004519FF"/>
    <w:rsid w:val="0045235A"/>
    <w:rsid w:val="004524ED"/>
    <w:rsid w:val="00452545"/>
    <w:rsid w:val="0045274F"/>
    <w:rsid w:val="0045452B"/>
    <w:rsid w:val="00454A4C"/>
    <w:rsid w:val="00454EBA"/>
    <w:rsid w:val="00454F58"/>
    <w:rsid w:val="0045515E"/>
    <w:rsid w:val="004553A4"/>
    <w:rsid w:val="004556A1"/>
    <w:rsid w:val="00455D85"/>
    <w:rsid w:val="00455F54"/>
    <w:rsid w:val="00456898"/>
    <w:rsid w:val="00456B97"/>
    <w:rsid w:val="004573FA"/>
    <w:rsid w:val="00457D8C"/>
    <w:rsid w:val="00457EBF"/>
    <w:rsid w:val="00457F3D"/>
    <w:rsid w:val="004601C7"/>
    <w:rsid w:val="00461098"/>
    <w:rsid w:val="004612D5"/>
    <w:rsid w:val="00461346"/>
    <w:rsid w:val="004621E3"/>
    <w:rsid w:val="00462560"/>
    <w:rsid w:val="004633AC"/>
    <w:rsid w:val="004641A9"/>
    <w:rsid w:val="004646FE"/>
    <w:rsid w:val="00464CA6"/>
    <w:rsid w:val="00464D6D"/>
    <w:rsid w:val="00464E95"/>
    <w:rsid w:val="0046682C"/>
    <w:rsid w:val="00466935"/>
    <w:rsid w:val="00466CE2"/>
    <w:rsid w:val="004670DA"/>
    <w:rsid w:val="00467175"/>
    <w:rsid w:val="004672CA"/>
    <w:rsid w:val="004676D1"/>
    <w:rsid w:val="00467B33"/>
    <w:rsid w:val="0047009D"/>
    <w:rsid w:val="004702D1"/>
    <w:rsid w:val="004704B3"/>
    <w:rsid w:val="00470626"/>
    <w:rsid w:val="004708FE"/>
    <w:rsid w:val="00471792"/>
    <w:rsid w:val="00471AEA"/>
    <w:rsid w:val="00471D09"/>
    <w:rsid w:val="0047274C"/>
    <w:rsid w:val="00472A9B"/>
    <w:rsid w:val="00472B43"/>
    <w:rsid w:val="00472D71"/>
    <w:rsid w:val="0047313B"/>
    <w:rsid w:val="0047428B"/>
    <w:rsid w:val="0047583D"/>
    <w:rsid w:val="00475970"/>
    <w:rsid w:val="004763FA"/>
    <w:rsid w:val="004764E6"/>
    <w:rsid w:val="004770AB"/>
    <w:rsid w:val="00477F40"/>
    <w:rsid w:val="004802A9"/>
    <w:rsid w:val="00481A15"/>
    <w:rsid w:val="00481C27"/>
    <w:rsid w:val="00481D9C"/>
    <w:rsid w:val="00481E6B"/>
    <w:rsid w:val="00481F69"/>
    <w:rsid w:val="00482829"/>
    <w:rsid w:val="0048320E"/>
    <w:rsid w:val="004833B8"/>
    <w:rsid w:val="00483C3E"/>
    <w:rsid w:val="00484874"/>
    <w:rsid w:val="00484B52"/>
    <w:rsid w:val="00484DA6"/>
    <w:rsid w:val="00484DB9"/>
    <w:rsid w:val="00485591"/>
    <w:rsid w:val="0048617D"/>
    <w:rsid w:val="004862A1"/>
    <w:rsid w:val="00486AFB"/>
    <w:rsid w:val="00487324"/>
    <w:rsid w:val="004873E7"/>
    <w:rsid w:val="004877D9"/>
    <w:rsid w:val="0048786D"/>
    <w:rsid w:val="00490ECE"/>
    <w:rsid w:val="004911FF"/>
    <w:rsid w:val="00491324"/>
    <w:rsid w:val="00491594"/>
    <w:rsid w:val="00491965"/>
    <w:rsid w:val="00491BA7"/>
    <w:rsid w:val="00492336"/>
    <w:rsid w:val="00493244"/>
    <w:rsid w:val="004933F2"/>
    <w:rsid w:val="00493A2F"/>
    <w:rsid w:val="00493D0A"/>
    <w:rsid w:val="00493EBD"/>
    <w:rsid w:val="00493F8A"/>
    <w:rsid w:val="00494C4F"/>
    <w:rsid w:val="00494E3A"/>
    <w:rsid w:val="00495371"/>
    <w:rsid w:val="00495D1D"/>
    <w:rsid w:val="00496090"/>
    <w:rsid w:val="0049638A"/>
    <w:rsid w:val="00496A01"/>
    <w:rsid w:val="004A0912"/>
    <w:rsid w:val="004A0A96"/>
    <w:rsid w:val="004A1B99"/>
    <w:rsid w:val="004A1CFA"/>
    <w:rsid w:val="004A20EA"/>
    <w:rsid w:val="004A2253"/>
    <w:rsid w:val="004A22B5"/>
    <w:rsid w:val="004A27C8"/>
    <w:rsid w:val="004A290A"/>
    <w:rsid w:val="004A2C46"/>
    <w:rsid w:val="004A3207"/>
    <w:rsid w:val="004A3513"/>
    <w:rsid w:val="004A3559"/>
    <w:rsid w:val="004A491E"/>
    <w:rsid w:val="004A4D70"/>
    <w:rsid w:val="004A5653"/>
    <w:rsid w:val="004A5E04"/>
    <w:rsid w:val="004A612F"/>
    <w:rsid w:val="004A6CE7"/>
    <w:rsid w:val="004A752C"/>
    <w:rsid w:val="004B06EF"/>
    <w:rsid w:val="004B0861"/>
    <w:rsid w:val="004B0CAE"/>
    <w:rsid w:val="004B120B"/>
    <w:rsid w:val="004B1436"/>
    <w:rsid w:val="004B163C"/>
    <w:rsid w:val="004B16DA"/>
    <w:rsid w:val="004B1812"/>
    <w:rsid w:val="004B19F2"/>
    <w:rsid w:val="004B1C09"/>
    <w:rsid w:val="004B249D"/>
    <w:rsid w:val="004B26EA"/>
    <w:rsid w:val="004B278C"/>
    <w:rsid w:val="004B28B6"/>
    <w:rsid w:val="004B2913"/>
    <w:rsid w:val="004B2A6D"/>
    <w:rsid w:val="004B2F73"/>
    <w:rsid w:val="004B3396"/>
    <w:rsid w:val="004B3713"/>
    <w:rsid w:val="004B4EBB"/>
    <w:rsid w:val="004B4F24"/>
    <w:rsid w:val="004B515C"/>
    <w:rsid w:val="004B526A"/>
    <w:rsid w:val="004B53E4"/>
    <w:rsid w:val="004B5932"/>
    <w:rsid w:val="004B5B74"/>
    <w:rsid w:val="004B774B"/>
    <w:rsid w:val="004B7779"/>
    <w:rsid w:val="004B78F4"/>
    <w:rsid w:val="004B790B"/>
    <w:rsid w:val="004C03AA"/>
    <w:rsid w:val="004C03DE"/>
    <w:rsid w:val="004C0451"/>
    <w:rsid w:val="004C1081"/>
    <w:rsid w:val="004C1152"/>
    <w:rsid w:val="004C1B80"/>
    <w:rsid w:val="004C1F61"/>
    <w:rsid w:val="004C211B"/>
    <w:rsid w:val="004C4075"/>
    <w:rsid w:val="004C424B"/>
    <w:rsid w:val="004C4460"/>
    <w:rsid w:val="004C4858"/>
    <w:rsid w:val="004C5087"/>
    <w:rsid w:val="004C6293"/>
    <w:rsid w:val="004C64B3"/>
    <w:rsid w:val="004C676A"/>
    <w:rsid w:val="004C6802"/>
    <w:rsid w:val="004C6D0C"/>
    <w:rsid w:val="004C6E3C"/>
    <w:rsid w:val="004C6EE7"/>
    <w:rsid w:val="004C7038"/>
    <w:rsid w:val="004C7848"/>
    <w:rsid w:val="004D0426"/>
    <w:rsid w:val="004D0655"/>
    <w:rsid w:val="004D0725"/>
    <w:rsid w:val="004D115B"/>
    <w:rsid w:val="004D17F1"/>
    <w:rsid w:val="004D2018"/>
    <w:rsid w:val="004D286D"/>
    <w:rsid w:val="004D3BF5"/>
    <w:rsid w:val="004D3D8C"/>
    <w:rsid w:val="004D408A"/>
    <w:rsid w:val="004D44E0"/>
    <w:rsid w:val="004D4598"/>
    <w:rsid w:val="004D4743"/>
    <w:rsid w:val="004D4894"/>
    <w:rsid w:val="004D4962"/>
    <w:rsid w:val="004D4EFF"/>
    <w:rsid w:val="004D560F"/>
    <w:rsid w:val="004D5970"/>
    <w:rsid w:val="004D683A"/>
    <w:rsid w:val="004D6E57"/>
    <w:rsid w:val="004D70FC"/>
    <w:rsid w:val="004D77A4"/>
    <w:rsid w:val="004E0187"/>
    <w:rsid w:val="004E0A51"/>
    <w:rsid w:val="004E195B"/>
    <w:rsid w:val="004E1B53"/>
    <w:rsid w:val="004E1C54"/>
    <w:rsid w:val="004E27A3"/>
    <w:rsid w:val="004E27B7"/>
    <w:rsid w:val="004E2B54"/>
    <w:rsid w:val="004E2F92"/>
    <w:rsid w:val="004E3036"/>
    <w:rsid w:val="004E30A3"/>
    <w:rsid w:val="004E3153"/>
    <w:rsid w:val="004E3869"/>
    <w:rsid w:val="004E3902"/>
    <w:rsid w:val="004E4227"/>
    <w:rsid w:val="004E43E7"/>
    <w:rsid w:val="004E44D6"/>
    <w:rsid w:val="004E4E99"/>
    <w:rsid w:val="004E5312"/>
    <w:rsid w:val="004E58F6"/>
    <w:rsid w:val="004E5A69"/>
    <w:rsid w:val="004E5FC1"/>
    <w:rsid w:val="004E6C1A"/>
    <w:rsid w:val="004E7751"/>
    <w:rsid w:val="004E7CFB"/>
    <w:rsid w:val="004E7D8E"/>
    <w:rsid w:val="004F0206"/>
    <w:rsid w:val="004F02D1"/>
    <w:rsid w:val="004F0B51"/>
    <w:rsid w:val="004F0BFD"/>
    <w:rsid w:val="004F0C24"/>
    <w:rsid w:val="004F0CFC"/>
    <w:rsid w:val="004F1E8B"/>
    <w:rsid w:val="004F2E02"/>
    <w:rsid w:val="004F2F14"/>
    <w:rsid w:val="004F2FAB"/>
    <w:rsid w:val="004F3224"/>
    <w:rsid w:val="004F34C7"/>
    <w:rsid w:val="004F38A0"/>
    <w:rsid w:val="004F3C70"/>
    <w:rsid w:val="004F3FE5"/>
    <w:rsid w:val="004F404F"/>
    <w:rsid w:val="004F4207"/>
    <w:rsid w:val="004F4676"/>
    <w:rsid w:val="004F46B5"/>
    <w:rsid w:val="004F46C2"/>
    <w:rsid w:val="004F4C93"/>
    <w:rsid w:val="004F5510"/>
    <w:rsid w:val="004F591F"/>
    <w:rsid w:val="004F5CFA"/>
    <w:rsid w:val="004F62B7"/>
    <w:rsid w:val="004F6CD3"/>
    <w:rsid w:val="004F746F"/>
    <w:rsid w:val="004F78F1"/>
    <w:rsid w:val="004F7B2A"/>
    <w:rsid w:val="004F7C33"/>
    <w:rsid w:val="004F7E1A"/>
    <w:rsid w:val="00500228"/>
    <w:rsid w:val="005007C3"/>
    <w:rsid w:val="00500C68"/>
    <w:rsid w:val="00500ECC"/>
    <w:rsid w:val="00502D53"/>
    <w:rsid w:val="00502E9B"/>
    <w:rsid w:val="00503149"/>
    <w:rsid w:val="00503744"/>
    <w:rsid w:val="00503F7E"/>
    <w:rsid w:val="0050425A"/>
    <w:rsid w:val="005044FF"/>
    <w:rsid w:val="00504577"/>
    <w:rsid w:val="005048EC"/>
    <w:rsid w:val="00504E11"/>
    <w:rsid w:val="00504EBA"/>
    <w:rsid w:val="005053CA"/>
    <w:rsid w:val="005055E8"/>
    <w:rsid w:val="00505C24"/>
    <w:rsid w:val="00505C6F"/>
    <w:rsid w:val="00505FFB"/>
    <w:rsid w:val="0050625C"/>
    <w:rsid w:val="005066C4"/>
    <w:rsid w:val="0050688D"/>
    <w:rsid w:val="005068C5"/>
    <w:rsid w:val="00506AF0"/>
    <w:rsid w:val="00506CB4"/>
    <w:rsid w:val="0050778A"/>
    <w:rsid w:val="00507A11"/>
    <w:rsid w:val="00507E65"/>
    <w:rsid w:val="00510A3B"/>
    <w:rsid w:val="00510E1F"/>
    <w:rsid w:val="005111DE"/>
    <w:rsid w:val="00512300"/>
    <w:rsid w:val="005123FF"/>
    <w:rsid w:val="00512678"/>
    <w:rsid w:val="0051282E"/>
    <w:rsid w:val="00512BE9"/>
    <w:rsid w:val="00512DD8"/>
    <w:rsid w:val="0051310E"/>
    <w:rsid w:val="00513910"/>
    <w:rsid w:val="00513C0E"/>
    <w:rsid w:val="005147AE"/>
    <w:rsid w:val="00514C97"/>
    <w:rsid w:val="00514D39"/>
    <w:rsid w:val="00514D58"/>
    <w:rsid w:val="00514DF8"/>
    <w:rsid w:val="00514E6F"/>
    <w:rsid w:val="00515208"/>
    <w:rsid w:val="00516389"/>
    <w:rsid w:val="00516505"/>
    <w:rsid w:val="005167A3"/>
    <w:rsid w:val="00516ADE"/>
    <w:rsid w:val="00517311"/>
    <w:rsid w:val="00520043"/>
    <w:rsid w:val="005202A2"/>
    <w:rsid w:val="00521DA5"/>
    <w:rsid w:val="00521E97"/>
    <w:rsid w:val="00522EA6"/>
    <w:rsid w:val="00523007"/>
    <w:rsid w:val="00523801"/>
    <w:rsid w:val="00524ADB"/>
    <w:rsid w:val="00524C55"/>
    <w:rsid w:val="00525585"/>
    <w:rsid w:val="00525A0F"/>
    <w:rsid w:val="005262EE"/>
    <w:rsid w:val="005265C5"/>
    <w:rsid w:val="0052666E"/>
    <w:rsid w:val="00526B2F"/>
    <w:rsid w:val="00526C0E"/>
    <w:rsid w:val="0052713D"/>
    <w:rsid w:val="0052742A"/>
    <w:rsid w:val="00527583"/>
    <w:rsid w:val="0052765E"/>
    <w:rsid w:val="005278B6"/>
    <w:rsid w:val="00530DAD"/>
    <w:rsid w:val="00531081"/>
    <w:rsid w:val="00531093"/>
    <w:rsid w:val="00531596"/>
    <w:rsid w:val="00532029"/>
    <w:rsid w:val="005321E3"/>
    <w:rsid w:val="005323FF"/>
    <w:rsid w:val="00532449"/>
    <w:rsid w:val="005329AF"/>
    <w:rsid w:val="00533317"/>
    <w:rsid w:val="00533D58"/>
    <w:rsid w:val="005348EF"/>
    <w:rsid w:val="00534B07"/>
    <w:rsid w:val="00534FE3"/>
    <w:rsid w:val="005351AC"/>
    <w:rsid w:val="00535467"/>
    <w:rsid w:val="00535E2A"/>
    <w:rsid w:val="005361CC"/>
    <w:rsid w:val="0053652B"/>
    <w:rsid w:val="00536E99"/>
    <w:rsid w:val="005373BC"/>
    <w:rsid w:val="0053763F"/>
    <w:rsid w:val="00537644"/>
    <w:rsid w:val="0053764C"/>
    <w:rsid w:val="00537681"/>
    <w:rsid w:val="0053771B"/>
    <w:rsid w:val="0053782C"/>
    <w:rsid w:val="00537FC4"/>
    <w:rsid w:val="00540569"/>
    <w:rsid w:val="005406FF"/>
    <w:rsid w:val="0054107F"/>
    <w:rsid w:val="005410F7"/>
    <w:rsid w:val="0054124D"/>
    <w:rsid w:val="00541288"/>
    <w:rsid w:val="00541381"/>
    <w:rsid w:val="0054174C"/>
    <w:rsid w:val="00541921"/>
    <w:rsid w:val="00541EC1"/>
    <w:rsid w:val="00541FB0"/>
    <w:rsid w:val="005421A8"/>
    <w:rsid w:val="00542399"/>
    <w:rsid w:val="00542746"/>
    <w:rsid w:val="005427D4"/>
    <w:rsid w:val="0054293B"/>
    <w:rsid w:val="005435F3"/>
    <w:rsid w:val="00543A0F"/>
    <w:rsid w:val="005442C5"/>
    <w:rsid w:val="0054431A"/>
    <w:rsid w:val="00545675"/>
    <w:rsid w:val="00545A7A"/>
    <w:rsid w:val="00545B5B"/>
    <w:rsid w:val="00546293"/>
    <w:rsid w:val="00546623"/>
    <w:rsid w:val="00546B07"/>
    <w:rsid w:val="00546BF5"/>
    <w:rsid w:val="00547613"/>
    <w:rsid w:val="00547BC8"/>
    <w:rsid w:val="00550178"/>
    <w:rsid w:val="0055080D"/>
    <w:rsid w:val="00550D36"/>
    <w:rsid w:val="005510C0"/>
    <w:rsid w:val="005514A7"/>
    <w:rsid w:val="005517BB"/>
    <w:rsid w:val="00551BA6"/>
    <w:rsid w:val="0055236A"/>
    <w:rsid w:val="00552469"/>
    <w:rsid w:val="0055259A"/>
    <w:rsid w:val="00552909"/>
    <w:rsid w:val="00552F2E"/>
    <w:rsid w:val="005536A4"/>
    <w:rsid w:val="005538A3"/>
    <w:rsid w:val="00554509"/>
    <w:rsid w:val="00554F4B"/>
    <w:rsid w:val="0055538F"/>
    <w:rsid w:val="005557E6"/>
    <w:rsid w:val="00555A42"/>
    <w:rsid w:val="00555B0A"/>
    <w:rsid w:val="00556252"/>
    <w:rsid w:val="00556B19"/>
    <w:rsid w:val="00560493"/>
    <w:rsid w:val="00560624"/>
    <w:rsid w:val="00560671"/>
    <w:rsid w:val="00561337"/>
    <w:rsid w:val="00561B58"/>
    <w:rsid w:val="00561F38"/>
    <w:rsid w:val="0056279A"/>
    <w:rsid w:val="00562EC9"/>
    <w:rsid w:val="00563257"/>
    <w:rsid w:val="005635DF"/>
    <w:rsid w:val="005638E9"/>
    <w:rsid w:val="00563919"/>
    <w:rsid w:val="005643C3"/>
    <w:rsid w:val="005643C9"/>
    <w:rsid w:val="00564FB8"/>
    <w:rsid w:val="00565881"/>
    <w:rsid w:val="00565938"/>
    <w:rsid w:val="005663D9"/>
    <w:rsid w:val="0056749B"/>
    <w:rsid w:val="00570230"/>
    <w:rsid w:val="00570556"/>
    <w:rsid w:val="00570690"/>
    <w:rsid w:val="00570AE0"/>
    <w:rsid w:val="0057117C"/>
    <w:rsid w:val="00572DF0"/>
    <w:rsid w:val="00573585"/>
    <w:rsid w:val="005742E7"/>
    <w:rsid w:val="0057447D"/>
    <w:rsid w:val="0057496F"/>
    <w:rsid w:val="00575A9F"/>
    <w:rsid w:val="00575DC6"/>
    <w:rsid w:val="005771CA"/>
    <w:rsid w:val="005773D6"/>
    <w:rsid w:val="0057747D"/>
    <w:rsid w:val="005779A2"/>
    <w:rsid w:val="005800C6"/>
    <w:rsid w:val="005801C4"/>
    <w:rsid w:val="00580427"/>
    <w:rsid w:val="00580A7D"/>
    <w:rsid w:val="00580C4B"/>
    <w:rsid w:val="005815A0"/>
    <w:rsid w:val="00581BEA"/>
    <w:rsid w:val="00581BFF"/>
    <w:rsid w:val="00581D44"/>
    <w:rsid w:val="00582332"/>
    <w:rsid w:val="00582692"/>
    <w:rsid w:val="00582D3E"/>
    <w:rsid w:val="00583A5C"/>
    <w:rsid w:val="00584AB0"/>
    <w:rsid w:val="00584F29"/>
    <w:rsid w:val="00585090"/>
    <w:rsid w:val="00585147"/>
    <w:rsid w:val="00585152"/>
    <w:rsid w:val="00585D57"/>
    <w:rsid w:val="00585EE2"/>
    <w:rsid w:val="00586178"/>
    <w:rsid w:val="00586587"/>
    <w:rsid w:val="00586ED3"/>
    <w:rsid w:val="00587781"/>
    <w:rsid w:val="00587A1E"/>
    <w:rsid w:val="00587C03"/>
    <w:rsid w:val="00587C8E"/>
    <w:rsid w:val="00587E47"/>
    <w:rsid w:val="00590249"/>
    <w:rsid w:val="00590352"/>
    <w:rsid w:val="005904A1"/>
    <w:rsid w:val="00590E91"/>
    <w:rsid w:val="00590FFE"/>
    <w:rsid w:val="005912B3"/>
    <w:rsid w:val="005914B6"/>
    <w:rsid w:val="005917EB"/>
    <w:rsid w:val="00591A88"/>
    <w:rsid w:val="005922D2"/>
    <w:rsid w:val="005924A2"/>
    <w:rsid w:val="00592BD4"/>
    <w:rsid w:val="00592C3E"/>
    <w:rsid w:val="00592E15"/>
    <w:rsid w:val="00593801"/>
    <w:rsid w:val="00593BF3"/>
    <w:rsid w:val="0059409C"/>
    <w:rsid w:val="00594797"/>
    <w:rsid w:val="005948E5"/>
    <w:rsid w:val="00594CB4"/>
    <w:rsid w:val="00594FD7"/>
    <w:rsid w:val="00595333"/>
    <w:rsid w:val="005954C3"/>
    <w:rsid w:val="005956B8"/>
    <w:rsid w:val="00595787"/>
    <w:rsid w:val="00595BA1"/>
    <w:rsid w:val="00595F5C"/>
    <w:rsid w:val="00596819"/>
    <w:rsid w:val="0059694C"/>
    <w:rsid w:val="00596D75"/>
    <w:rsid w:val="005A04BF"/>
    <w:rsid w:val="005A07B0"/>
    <w:rsid w:val="005A0CA2"/>
    <w:rsid w:val="005A0FE9"/>
    <w:rsid w:val="005A1037"/>
    <w:rsid w:val="005A151A"/>
    <w:rsid w:val="005A1FE3"/>
    <w:rsid w:val="005A25A4"/>
    <w:rsid w:val="005A280C"/>
    <w:rsid w:val="005A2C05"/>
    <w:rsid w:val="005A2D7C"/>
    <w:rsid w:val="005A2DC0"/>
    <w:rsid w:val="005A3899"/>
    <w:rsid w:val="005A42F4"/>
    <w:rsid w:val="005A44D4"/>
    <w:rsid w:val="005A4EFA"/>
    <w:rsid w:val="005A683E"/>
    <w:rsid w:val="005A6B4A"/>
    <w:rsid w:val="005A6BFC"/>
    <w:rsid w:val="005A6CE4"/>
    <w:rsid w:val="005A6DDE"/>
    <w:rsid w:val="005A755B"/>
    <w:rsid w:val="005A7E81"/>
    <w:rsid w:val="005B030D"/>
    <w:rsid w:val="005B06B5"/>
    <w:rsid w:val="005B095E"/>
    <w:rsid w:val="005B0D03"/>
    <w:rsid w:val="005B1665"/>
    <w:rsid w:val="005B18B1"/>
    <w:rsid w:val="005B19BD"/>
    <w:rsid w:val="005B2725"/>
    <w:rsid w:val="005B2824"/>
    <w:rsid w:val="005B3547"/>
    <w:rsid w:val="005B3DA4"/>
    <w:rsid w:val="005B42B1"/>
    <w:rsid w:val="005B4A4A"/>
    <w:rsid w:val="005B4CE6"/>
    <w:rsid w:val="005B5532"/>
    <w:rsid w:val="005B630B"/>
    <w:rsid w:val="005B640B"/>
    <w:rsid w:val="005B6801"/>
    <w:rsid w:val="005B6B0F"/>
    <w:rsid w:val="005B7320"/>
    <w:rsid w:val="005B7517"/>
    <w:rsid w:val="005B7B81"/>
    <w:rsid w:val="005B7BDE"/>
    <w:rsid w:val="005B7DAC"/>
    <w:rsid w:val="005C0701"/>
    <w:rsid w:val="005C0E09"/>
    <w:rsid w:val="005C1140"/>
    <w:rsid w:val="005C17E1"/>
    <w:rsid w:val="005C1D0F"/>
    <w:rsid w:val="005C23EC"/>
    <w:rsid w:val="005C243A"/>
    <w:rsid w:val="005C2AA8"/>
    <w:rsid w:val="005C4A6D"/>
    <w:rsid w:val="005C4FC0"/>
    <w:rsid w:val="005C5871"/>
    <w:rsid w:val="005C613E"/>
    <w:rsid w:val="005C6187"/>
    <w:rsid w:val="005C64CC"/>
    <w:rsid w:val="005C6746"/>
    <w:rsid w:val="005C6CAF"/>
    <w:rsid w:val="005C6FE3"/>
    <w:rsid w:val="005C71DA"/>
    <w:rsid w:val="005C733F"/>
    <w:rsid w:val="005C79F4"/>
    <w:rsid w:val="005C7D0C"/>
    <w:rsid w:val="005C7F4A"/>
    <w:rsid w:val="005D0243"/>
    <w:rsid w:val="005D0CA6"/>
    <w:rsid w:val="005D114F"/>
    <w:rsid w:val="005D1565"/>
    <w:rsid w:val="005D1F64"/>
    <w:rsid w:val="005D245F"/>
    <w:rsid w:val="005D29B1"/>
    <w:rsid w:val="005D2C6A"/>
    <w:rsid w:val="005D3CC2"/>
    <w:rsid w:val="005D4AA3"/>
    <w:rsid w:val="005D4D51"/>
    <w:rsid w:val="005D58A7"/>
    <w:rsid w:val="005D6960"/>
    <w:rsid w:val="005E0175"/>
    <w:rsid w:val="005E01D3"/>
    <w:rsid w:val="005E0460"/>
    <w:rsid w:val="005E05C2"/>
    <w:rsid w:val="005E07B4"/>
    <w:rsid w:val="005E0B31"/>
    <w:rsid w:val="005E1BA9"/>
    <w:rsid w:val="005E1DEF"/>
    <w:rsid w:val="005E1E9C"/>
    <w:rsid w:val="005E2293"/>
    <w:rsid w:val="005E25DA"/>
    <w:rsid w:val="005E32DC"/>
    <w:rsid w:val="005E3354"/>
    <w:rsid w:val="005E49ED"/>
    <w:rsid w:val="005E4F3A"/>
    <w:rsid w:val="005E592A"/>
    <w:rsid w:val="005E5EC2"/>
    <w:rsid w:val="005E65F4"/>
    <w:rsid w:val="005E66BA"/>
    <w:rsid w:val="005E6834"/>
    <w:rsid w:val="005E6E0F"/>
    <w:rsid w:val="005E6E36"/>
    <w:rsid w:val="005E7903"/>
    <w:rsid w:val="005E7C11"/>
    <w:rsid w:val="005F01A9"/>
    <w:rsid w:val="005F028F"/>
    <w:rsid w:val="005F05AC"/>
    <w:rsid w:val="005F06FF"/>
    <w:rsid w:val="005F0FA8"/>
    <w:rsid w:val="005F1369"/>
    <w:rsid w:val="005F13D1"/>
    <w:rsid w:val="005F1A84"/>
    <w:rsid w:val="005F2922"/>
    <w:rsid w:val="005F45FD"/>
    <w:rsid w:val="005F50D4"/>
    <w:rsid w:val="005F5375"/>
    <w:rsid w:val="005F53E8"/>
    <w:rsid w:val="005F5B17"/>
    <w:rsid w:val="005F6439"/>
    <w:rsid w:val="005F6A3C"/>
    <w:rsid w:val="005F7011"/>
    <w:rsid w:val="005F7516"/>
    <w:rsid w:val="005F7E63"/>
    <w:rsid w:val="006004D0"/>
    <w:rsid w:val="006008AF"/>
    <w:rsid w:val="00600BA9"/>
    <w:rsid w:val="00602085"/>
    <w:rsid w:val="006029BF"/>
    <w:rsid w:val="00602A07"/>
    <w:rsid w:val="00602A97"/>
    <w:rsid w:val="00602DC9"/>
    <w:rsid w:val="0060363E"/>
    <w:rsid w:val="0060389E"/>
    <w:rsid w:val="00603981"/>
    <w:rsid w:val="00603DCF"/>
    <w:rsid w:val="00604AA1"/>
    <w:rsid w:val="00604C2A"/>
    <w:rsid w:val="00604F02"/>
    <w:rsid w:val="00605409"/>
    <w:rsid w:val="00605908"/>
    <w:rsid w:val="00605954"/>
    <w:rsid w:val="00605C60"/>
    <w:rsid w:val="00605CF2"/>
    <w:rsid w:val="00605F70"/>
    <w:rsid w:val="00606469"/>
    <w:rsid w:val="00607370"/>
    <w:rsid w:val="0060760E"/>
    <w:rsid w:val="006101B4"/>
    <w:rsid w:val="0061074F"/>
    <w:rsid w:val="00610B68"/>
    <w:rsid w:val="00610BB2"/>
    <w:rsid w:val="00610C51"/>
    <w:rsid w:val="0061130C"/>
    <w:rsid w:val="00611C6D"/>
    <w:rsid w:val="006121C0"/>
    <w:rsid w:val="00612449"/>
    <w:rsid w:val="00612A3B"/>
    <w:rsid w:val="00612A51"/>
    <w:rsid w:val="0061364B"/>
    <w:rsid w:val="0061366A"/>
    <w:rsid w:val="0061368E"/>
    <w:rsid w:val="006141E4"/>
    <w:rsid w:val="00614762"/>
    <w:rsid w:val="00614837"/>
    <w:rsid w:val="00614D98"/>
    <w:rsid w:val="00614DE3"/>
    <w:rsid w:val="0061519E"/>
    <w:rsid w:val="00617826"/>
    <w:rsid w:val="00617B66"/>
    <w:rsid w:val="00617C13"/>
    <w:rsid w:val="0062174C"/>
    <w:rsid w:val="006218D0"/>
    <w:rsid w:val="00621922"/>
    <w:rsid w:val="00621FBA"/>
    <w:rsid w:val="006224DF"/>
    <w:rsid w:val="00622960"/>
    <w:rsid w:val="00623648"/>
    <w:rsid w:val="00624281"/>
    <w:rsid w:val="00624398"/>
    <w:rsid w:val="006246EB"/>
    <w:rsid w:val="0062495F"/>
    <w:rsid w:val="00624D27"/>
    <w:rsid w:val="00624D94"/>
    <w:rsid w:val="006251EA"/>
    <w:rsid w:val="00625361"/>
    <w:rsid w:val="00625555"/>
    <w:rsid w:val="00625BCF"/>
    <w:rsid w:val="00625CA7"/>
    <w:rsid w:val="00625FF6"/>
    <w:rsid w:val="00627017"/>
    <w:rsid w:val="00630028"/>
    <w:rsid w:val="0063080C"/>
    <w:rsid w:val="00630936"/>
    <w:rsid w:val="00630DFA"/>
    <w:rsid w:val="00631044"/>
    <w:rsid w:val="00631764"/>
    <w:rsid w:val="00632017"/>
    <w:rsid w:val="006320F1"/>
    <w:rsid w:val="006331DE"/>
    <w:rsid w:val="0063416F"/>
    <w:rsid w:val="006348EC"/>
    <w:rsid w:val="00634A23"/>
    <w:rsid w:val="00634AAE"/>
    <w:rsid w:val="00634E00"/>
    <w:rsid w:val="006353F7"/>
    <w:rsid w:val="006358A1"/>
    <w:rsid w:val="00635A42"/>
    <w:rsid w:val="00635D65"/>
    <w:rsid w:val="00635F42"/>
    <w:rsid w:val="00635FC2"/>
    <w:rsid w:val="00636531"/>
    <w:rsid w:val="00636585"/>
    <w:rsid w:val="006369F6"/>
    <w:rsid w:val="00636C5C"/>
    <w:rsid w:val="00637200"/>
    <w:rsid w:val="00637C64"/>
    <w:rsid w:val="00640088"/>
    <w:rsid w:val="006409B7"/>
    <w:rsid w:val="00640E12"/>
    <w:rsid w:val="006416EE"/>
    <w:rsid w:val="0064208C"/>
    <w:rsid w:val="0064208E"/>
    <w:rsid w:val="006421CC"/>
    <w:rsid w:val="00642753"/>
    <w:rsid w:val="00642F3F"/>
    <w:rsid w:val="00644477"/>
    <w:rsid w:val="00644703"/>
    <w:rsid w:val="006447A5"/>
    <w:rsid w:val="00644C0E"/>
    <w:rsid w:val="00644E06"/>
    <w:rsid w:val="00645098"/>
    <w:rsid w:val="00646C5E"/>
    <w:rsid w:val="00646F58"/>
    <w:rsid w:val="0064711D"/>
    <w:rsid w:val="00647897"/>
    <w:rsid w:val="006503A7"/>
    <w:rsid w:val="0065079D"/>
    <w:rsid w:val="006507A0"/>
    <w:rsid w:val="00650AAF"/>
    <w:rsid w:val="00650CCD"/>
    <w:rsid w:val="00651301"/>
    <w:rsid w:val="00651D90"/>
    <w:rsid w:val="00651E54"/>
    <w:rsid w:val="006524EC"/>
    <w:rsid w:val="00652693"/>
    <w:rsid w:val="006526C6"/>
    <w:rsid w:val="0065272C"/>
    <w:rsid w:val="006529D5"/>
    <w:rsid w:val="00652C2D"/>
    <w:rsid w:val="00652EDD"/>
    <w:rsid w:val="00652EE4"/>
    <w:rsid w:val="00652F60"/>
    <w:rsid w:val="006533E4"/>
    <w:rsid w:val="0065355B"/>
    <w:rsid w:val="006537E4"/>
    <w:rsid w:val="006539AA"/>
    <w:rsid w:val="00655632"/>
    <w:rsid w:val="00655773"/>
    <w:rsid w:val="0065650F"/>
    <w:rsid w:val="00656651"/>
    <w:rsid w:val="00656B9B"/>
    <w:rsid w:val="00656CD9"/>
    <w:rsid w:val="00657001"/>
    <w:rsid w:val="00657456"/>
    <w:rsid w:val="0066106D"/>
    <w:rsid w:val="006615EE"/>
    <w:rsid w:val="006617C2"/>
    <w:rsid w:val="006619F4"/>
    <w:rsid w:val="00662180"/>
    <w:rsid w:val="0066225A"/>
    <w:rsid w:val="00662537"/>
    <w:rsid w:val="006625CE"/>
    <w:rsid w:val="00662DCC"/>
    <w:rsid w:val="00662F5F"/>
    <w:rsid w:val="006633C2"/>
    <w:rsid w:val="00663B6B"/>
    <w:rsid w:val="00663CEA"/>
    <w:rsid w:val="00663E39"/>
    <w:rsid w:val="00664636"/>
    <w:rsid w:val="00665127"/>
    <w:rsid w:val="006666E1"/>
    <w:rsid w:val="00666810"/>
    <w:rsid w:val="00666AB4"/>
    <w:rsid w:val="006672D2"/>
    <w:rsid w:val="006675A2"/>
    <w:rsid w:val="006676EC"/>
    <w:rsid w:val="00667D16"/>
    <w:rsid w:val="00667E01"/>
    <w:rsid w:val="006705B0"/>
    <w:rsid w:val="0067120F"/>
    <w:rsid w:val="00671355"/>
    <w:rsid w:val="006718C2"/>
    <w:rsid w:val="00671E9A"/>
    <w:rsid w:val="00672967"/>
    <w:rsid w:val="00672C9A"/>
    <w:rsid w:val="006737A5"/>
    <w:rsid w:val="00674573"/>
    <w:rsid w:val="0067457F"/>
    <w:rsid w:val="00674643"/>
    <w:rsid w:val="0067473F"/>
    <w:rsid w:val="00674B6B"/>
    <w:rsid w:val="00675859"/>
    <w:rsid w:val="00676019"/>
    <w:rsid w:val="00676107"/>
    <w:rsid w:val="006764D4"/>
    <w:rsid w:val="00676EED"/>
    <w:rsid w:val="00677C45"/>
    <w:rsid w:val="00680256"/>
    <w:rsid w:val="00681512"/>
    <w:rsid w:val="0068154A"/>
    <w:rsid w:val="006818E3"/>
    <w:rsid w:val="00681E99"/>
    <w:rsid w:val="00681F00"/>
    <w:rsid w:val="00682742"/>
    <w:rsid w:val="006828DB"/>
    <w:rsid w:val="00682AC6"/>
    <w:rsid w:val="006835C8"/>
    <w:rsid w:val="00683C83"/>
    <w:rsid w:val="00684732"/>
    <w:rsid w:val="00684BA2"/>
    <w:rsid w:val="0068540F"/>
    <w:rsid w:val="00685582"/>
    <w:rsid w:val="00686263"/>
    <w:rsid w:val="006864E3"/>
    <w:rsid w:val="00690453"/>
    <w:rsid w:val="00690FD4"/>
    <w:rsid w:val="006910A9"/>
    <w:rsid w:val="00691119"/>
    <w:rsid w:val="006912B9"/>
    <w:rsid w:val="006915BB"/>
    <w:rsid w:val="00691E4A"/>
    <w:rsid w:val="00691ED9"/>
    <w:rsid w:val="006923DE"/>
    <w:rsid w:val="006929FA"/>
    <w:rsid w:val="00692C1A"/>
    <w:rsid w:val="00692C1D"/>
    <w:rsid w:val="00693491"/>
    <w:rsid w:val="00693ED7"/>
    <w:rsid w:val="006949CE"/>
    <w:rsid w:val="00694ACF"/>
    <w:rsid w:val="00694B40"/>
    <w:rsid w:val="006951F1"/>
    <w:rsid w:val="0069529E"/>
    <w:rsid w:val="00695582"/>
    <w:rsid w:val="006955C5"/>
    <w:rsid w:val="00695C16"/>
    <w:rsid w:val="00695FC5"/>
    <w:rsid w:val="00696C42"/>
    <w:rsid w:val="00697019"/>
    <w:rsid w:val="006972A3"/>
    <w:rsid w:val="0069777E"/>
    <w:rsid w:val="00697927"/>
    <w:rsid w:val="006A00C5"/>
    <w:rsid w:val="006A0422"/>
    <w:rsid w:val="006A0E7D"/>
    <w:rsid w:val="006A14F7"/>
    <w:rsid w:val="006A19D7"/>
    <w:rsid w:val="006A1A03"/>
    <w:rsid w:val="006A1A90"/>
    <w:rsid w:val="006A207B"/>
    <w:rsid w:val="006A20F9"/>
    <w:rsid w:val="006A281F"/>
    <w:rsid w:val="006A28DA"/>
    <w:rsid w:val="006A2B36"/>
    <w:rsid w:val="006A2FA2"/>
    <w:rsid w:val="006A31B4"/>
    <w:rsid w:val="006A336C"/>
    <w:rsid w:val="006A3D68"/>
    <w:rsid w:val="006A3DAA"/>
    <w:rsid w:val="006A492B"/>
    <w:rsid w:val="006A4BF3"/>
    <w:rsid w:val="006A5187"/>
    <w:rsid w:val="006A53EF"/>
    <w:rsid w:val="006A54C4"/>
    <w:rsid w:val="006A5528"/>
    <w:rsid w:val="006A5788"/>
    <w:rsid w:val="006A5D6B"/>
    <w:rsid w:val="006A6FC6"/>
    <w:rsid w:val="006A73D8"/>
    <w:rsid w:val="006A78CD"/>
    <w:rsid w:val="006A7A1C"/>
    <w:rsid w:val="006A7A76"/>
    <w:rsid w:val="006B0106"/>
    <w:rsid w:val="006B0B9B"/>
    <w:rsid w:val="006B0E23"/>
    <w:rsid w:val="006B0EC0"/>
    <w:rsid w:val="006B0F6A"/>
    <w:rsid w:val="006B1820"/>
    <w:rsid w:val="006B1AB6"/>
    <w:rsid w:val="006B1DD8"/>
    <w:rsid w:val="006B1EE1"/>
    <w:rsid w:val="006B2BA4"/>
    <w:rsid w:val="006B3323"/>
    <w:rsid w:val="006B34BE"/>
    <w:rsid w:val="006B37AB"/>
    <w:rsid w:val="006B3C8F"/>
    <w:rsid w:val="006B3FA3"/>
    <w:rsid w:val="006B4463"/>
    <w:rsid w:val="006B4490"/>
    <w:rsid w:val="006B4F09"/>
    <w:rsid w:val="006B5229"/>
    <w:rsid w:val="006B5358"/>
    <w:rsid w:val="006B5472"/>
    <w:rsid w:val="006B5794"/>
    <w:rsid w:val="006B5EEB"/>
    <w:rsid w:val="006B67CA"/>
    <w:rsid w:val="006B692E"/>
    <w:rsid w:val="006B6AA7"/>
    <w:rsid w:val="006B6ECF"/>
    <w:rsid w:val="006B7C8A"/>
    <w:rsid w:val="006B7DC5"/>
    <w:rsid w:val="006C02B9"/>
    <w:rsid w:val="006C0F6A"/>
    <w:rsid w:val="006C14EC"/>
    <w:rsid w:val="006C1D17"/>
    <w:rsid w:val="006C20CF"/>
    <w:rsid w:val="006C213D"/>
    <w:rsid w:val="006C220F"/>
    <w:rsid w:val="006C2A33"/>
    <w:rsid w:val="006C35E6"/>
    <w:rsid w:val="006C384F"/>
    <w:rsid w:val="006C3FC0"/>
    <w:rsid w:val="006C44E3"/>
    <w:rsid w:val="006C46FF"/>
    <w:rsid w:val="006C4F29"/>
    <w:rsid w:val="006C50AA"/>
    <w:rsid w:val="006C6228"/>
    <w:rsid w:val="006C62F2"/>
    <w:rsid w:val="006C6455"/>
    <w:rsid w:val="006C6567"/>
    <w:rsid w:val="006C7171"/>
    <w:rsid w:val="006C71F5"/>
    <w:rsid w:val="006C72F1"/>
    <w:rsid w:val="006C738B"/>
    <w:rsid w:val="006C7EA8"/>
    <w:rsid w:val="006D03BA"/>
    <w:rsid w:val="006D0799"/>
    <w:rsid w:val="006D0EF1"/>
    <w:rsid w:val="006D1281"/>
    <w:rsid w:val="006D1904"/>
    <w:rsid w:val="006D1BFE"/>
    <w:rsid w:val="006D1EB8"/>
    <w:rsid w:val="006D228A"/>
    <w:rsid w:val="006D25CA"/>
    <w:rsid w:val="006D2C46"/>
    <w:rsid w:val="006D2CD3"/>
    <w:rsid w:val="006D3182"/>
    <w:rsid w:val="006D3344"/>
    <w:rsid w:val="006D3D11"/>
    <w:rsid w:val="006D3D62"/>
    <w:rsid w:val="006D4607"/>
    <w:rsid w:val="006D4F08"/>
    <w:rsid w:val="006D4FCB"/>
    <w:rsid w:val="006D5178"/>
    <w:rsid w:val="006D57B0"/>
    <w:rsid w:val="006D5DFC"/>
    <w:rsid w:val="006D5E69"/>
    <w:rsid w:val="006D60EA"/>
    <w:rsid w:val="006D6593"/>
    <w:rsid w:val="006D6FDE"/>
    <w:rsid w:val="006D71A0"/>
    <w:rsid w:val="006D7481"/>
    <w:rsid w:val="006D77CF"/>
    <w:rsid w:val="006D7D68"/>
    <w:rsid w:val="006E162C"/>
    <w:rsid w:val="006E25AC"/>
    <w:rsid w:val="006E2BF8"/>
    <w:rsid w:val="006E2D4B"/>
    <w:rsid w:val="006E2ED7"/>
    <w:rsid w:val="006E31AC"/>
    <w:rsid w:val="006E4C1E"/>
    <w:rsid w:val="006E4CA7"/>
    <w:rsid w:val="006E5184"/>
    <w:rsid w:val="006E544C"/>
    <w:rsid w:val="006E5691"/>
    <w:rsid w:val="006E6551"/>
    <w:rsid w:val="006E68FA"/>
    <w:rsid w:val="006E70D6"/>
    <w:rsid w:val="006E71F1"/>
    <w:rsid w:val="006E7336"/>
    <w:rsid w:val="006E73E7"/>
    <w:rsid w:val="006E7C93"/>
    <w:rsid w:val="006E7DF5"/>
    <w:rsid w:val="006F0514"/>
    <w:rsid w:val="006F06BA"/>
    <w:rsid w:val="006F07AD"/>
    <w:rsid w:val="006F0C18"/>
    <w:rsid w:val="006F0F63"/>
    <w:rsid w:val="006F0FFB"/>
    <w:rsid w:val="006F2351"/>
    <w:rsid w:val="006F2683"/>
    <w:rsid w:val="006F348B"/>
    <w:rsid w:val="006F41EF"/>
    <w:rsid w:val="006F47D3"/>
    <w:rsid w:val="006F4FAC"/>
    <w:rsid w:val="006F5E65"/>
    <w:rsid w:val="006F6FC7"/>
    <w:rsid w:val="006F7203"/>
    <w:rsid w:val="006F7B92"/>
    <w:rsid w:val="006F7EC0"/>
    <w:rsid w:val="00700261"/>
    <w:rsid w:val="00700395"/>
    <w:rsid w:val="00700423"/>
    <w:rsid w:val="007005E0"/>
    <w:rsid w:val="00700A45"/>
    <w:rsid w:val="00700B1A"/>
    <w:rsid w:val="00700BE3"/>
    <w:rsid w:val="00700F20"/>
    <w:rsid w:val="007014A9"/>
    <w:rsid w:val="00701527"/>
    <w:rsid w:val="00701943"/>
    <w:rsid w:val="007020D6"/>
    <w:rsid w:val="007026C5"/>
    <w:rsid w:val="00702F2E"/>
    <w:rsid w:val="00703197"/>
    <w:rsid w:val="007031E2"/>
    <w:rsid w:val="0070351C"/>
    <w:rsid w:val="007035C8"/>
    <w:rsid w:val="007039F2"/>
    <w:rsid w:val="00703FD8"/>
    <w:rsid w:val="00704178"/>
    <w:rsid w:val="0070478F"/>
    <w:rsid w:val="00704BEB"/>
    <w:rsid w:val="00704C70"/>
    <w:rsid w:val="0070522D"/>
    <w:rsid w:val="007068C5"/>
    <w:rsid w:val="00706A7F"/>
    <w:rsid w:val="0070781B"/>
    <w:rsid w:val="0070787C"/>
    <w:rsid w:val="00707AFE"/>
    <w:rsid w:val="00707D45"/>
    <w:rsid w:val="00707FB6"/>
    <w:rsid w:val="0071054F"/>
    <w:rsid w:val="007108FA"/>
    <w:rsid w:val="0071125B"/>
    <w:rsid w:val="007112C0"/>
    <w:rsid w:val="00711438"/>
    <w:rsid w:val="00711B7B"/>
    <w:rsid w:val="00712011"/>
    <w:rsid w:val="00712339"/>
    <w:rsid w:val="007126F1"/>
    <w:rsid w:val="00712863"/>
    <w:rsid w:val="00712B7A"/>
    <w:rsid w:val="007131E0"/>
    <w:rsid w:val="007131EA"/>
    <w:rsid w:val="007136AF"/>
    <w:rsid w:val="007137C0"/>
    <w:rsid w:val="00713957"/>
    <w:rsid w:val="00713E88"/>
    <w:rsid w:val="00713EC8"/>
    <w:rsid w:val="00713FF7"/>
    <w:rsid w:val="00714048"/>
    <w:rsid w:val="007142E4"/>
    <w:rsid w:val="00714842"/>
    <w:rsid w:val="007148A6"/>
    <w:rsid w:val="00714C01"/>
    <w:rsid w:val="00714F16"/>
    <w:rsid w:val="00714F7B"/>
    <w:rsid w:val="0071521D"/>
    <w:rsid w:val="00715291"/>
    <w:rsid w:val="00715D13"/>
    <w:rsid w:val="00715DCE"/>
    <w:rsid w:val="007164EC"/>
    <w:rsid w:val="00716C57"/>
    <w:rsid w:val="00716C89"/>
    <w:rsid w:val="00716DAC"/>
    <w:rsid w:val="00716E96"/>
    <w:rsid w:val="00716FFE"/>
    <w:rsid w:val="00717077"/>
    <w:rsid w:val="00717823"/>
    <w:rsid w:val="007178F7"/>
    <w:rsid w:val="00717F91"/>
    <w:rsid w:val="00720670"/>
    <w:rsid w:val="007206B1"/>
    <w:rsid w:val="00720770"/>
    <w:rsid w:val="00720A5A"/>
    <w:rsid w:val="007210F5"/>
    <w:rsid w:val="00721311"/>
    <w:rsid w:val="0072174A"/>
    <w:rsid w:val="00721801"/>
    <w:rsid w:val="00721A19"/>
    <w:rsid w:val="00721C98"/>
    <w:rsid w:val="007223AE"/>
    <w:rsid w:val="00722592"/>
    <w:rsid w:val="00722691"/>
    <w:rsid w:val="00722A5F"/>
    <w:rsid w:val="00722CF8"/>
    <w:rsid w:val="00723034"/>
    <w:rsid w:val="0072316D"/>
    <w:rsid w:val="00723992"/>
    <w:rsid w:val="00723ADA"/>
    <w:rsid w:val="00724191"/>
    <w:rsid w:val="007241FF"/>
    <w:rsid w:val="007244B5"/>
    <w:rsid w:val="007246EB"/>
    <w:rsid w:val="0072493F"/>
    <w:rsid w:val="00724956"/>
    <w:rsid w:val="00724A1E"/>
    <w:rsid w:val="00724CE9"/>
    <w:rsid w:val="00725658"/>
    <w:rsid w:val="00725FBF"/>
    <w:rsid w:val="007263A5"/>
    <w:rsid w:val="007266F7"/>
    <w:rsid w:val="00726C06"/>
    <w:rsid w:val="00726EB7"/>
    <w:rsid w:val="007271BC"/>
    <w:rsid w:val="007273E6"/>
    <w:rsid w:val="007275F2"/>
    <w:rsid w:val="0072780A"/>
    <w:rsid w:val="007278CB"/>
    <w:rsid w:val="00730D40"/>
    <w:rsid w:val="007315B0"/>
    <w:rsid w:val="0073167E"/>
    <w:rsid w:val="00731717"/>
    <w:rsid w:val="00731F15"/>
    <w:rsid w:val="00732849"/>
    <w:rsid w:val="00732BFC"/>
    <w:rsid w:val="00733E3A"/>
    <w:rsid w:val="00733FF5"/>
    <w:rsid w:val="0073448A"/>
    <w:rsid w:val="007349BD"/>
    <w:rsid w:val="00735B25"/>
    <w:rsid w:val="007365E8"/>
    <w:rsid w:val="0073710E"/>
    <w:rsid w:val="007371EA"/>
    <w:rsid w:val="0073732D"/>
    <w:rsid w:val="007373A2"/>
    <w:rsid w:val="00737C44"/>
    <w:rsid w:val="00737D96"/>
    <w:rsid w:val="00740153"/>
    <w:rsid w:val="0074068F"/>
    <w:rsid w:val="007407D9"/>
    <w:rsid w:val="00740BC9"/>
    <w:rsid w:val="007412A2"/>
    <w:rsid w:val="00741CFA"/>
    <w:rsid w:val="00741D50"/>
    <w:rsid w:val="007420AD"/>
    <w:rsid w:val="00742165"/>
    <w:rsid w:val="007422DB"/>
    <w:rsid w:val="00742472"/>
    <w:rsid w:val="00742A20"/>
    <w:rsid w:val="00742DB7"/>
    <w:rsid w:val="00743505"/>
    <w:rsid w:val="0074367B"/>
    <w:rsid w:val="007438B1"/>
    <w:rsid w:val="0074408F"/>
    <w:rsid w:val="0074423D"/>
    <w:rsid w:val="00744ADE"/>
    <w:rsid w:val="00744BF3"/>
    <w:rsid w:val="00744FD0"/>
    <w:rsid w:val="00746A54"/>
    <w:rsid w:val="00747353"/>
    <w:rsid w:val="00747779"/>
    <w:rsid w:val="0075011A"/>
    <w:rsid w:val="00750366"/>
    <w:rsid w:val="00750426"/>
    <w:rsid w:val="0075154A"/>
    <w:rsid w:val="00751DB7"/>
    <w:rsid w:val="00752120"/>
    <w:rsid w:val="0075213B"/>
    <w:rsid w:val="0075214D"/>
    <w:rsid w:val="00752ECA"/>
    <w:rsid w:val="007533BB"/>
    <w:rsid w:val="00753815"/>
    <w:rsid w:val="00754789"/>
    <w:rsid w:val="0075478D"/>
    <w:rsid w:val="007556F9"/>
    <w:rsid w:val="007564E9"/>
    <w:rsid w:val="00756D34"/>
    <w:rsid w:val="00756F64"/>
    <w:rsid w:val="00760302"/>
    <w:rsid w:val="00760C67"/>
    <w:rsid w:val="00760D6F"/>
    <w:rsid w:val="00760E00"/>
    <w:rsid w:val="00761556"/>
    <w:rsid w:val="00761C8B"/>
    <w:rsid w:val="007630CB"/>
    <w:rsid w:val="0076330B"/>
    <w:rsid w:val="0076363A"/>
    <w:rsid w:val="0076397A"/>
    <w:rsid w:val="00763ADF"/>
    <w:rsid w:val="00763DD3"/>
    <w:rsid w:val="00764174"/>
    <w:rsid w:val="007645A4"/>
    <w:rsid w:val="00764A34"/>
    <w:rsid w:val="00764C66"/>
    <w:rsid w:val="00764D0A"/>
    <w:rsid w:val="00764F31"/>
    <w:rsid w:val="007658C2"/>
    <w:rsid w:val="00765D33"/>
    <w:rsid w:val="00766459"/>
    <w:rsid w:val="00766B97"/>
    <w:rsid w:val="00766EE5"/>
    <w:rsid w:val="00767242"/>
    <w:rsid w:val="0076729C"/>
    <w:rsid w:val="007672D6"/>
    <w:rsid w:val="00770205"/>
    <w:rsid w:val="007715E5"/>
    <w:rsid w:val="00771875"/>
    <w:rsid w:val="00771A4D"/>
    <w:rsid w:val="007723E9"/>
    <w:rsid w:val="0077368E"/>
    <w:rsid w:val="00773BBD"/>
    <w:rsid w:val="00774633"/>
    <w:rsid w:val="00775944"/>
    <w:rsid w:val="00775F7A"/>
    <w:rsid w:val="007765AF"/>
    <w:rsid w:val="00776868"/>
    <w:rsid w:val="007769D4"/>
    <w:rsid w:val="00776DF5"/>
    <w:rsid w:val="00777260"/>
    <w:rsid w:val="007775E0"/>
    <w:rsid w:val="0077766E"/>
    <w:rsid w:val="00780671"/>
    <w:rsid w:val="007809DA"/>
    <w:rsid w:val="00780CCA"/>
    <w:rsid w:val="00781282"/>
    <w:rsid w:val="0078147E"/>
    <w:rsid w:val="0078161F"/>
    <w:rsid w:val="007818B9"/>
    <w:rsid w:val="0078203B"/>
    <w:rsid w:val="00783291"/>
    <w:rsid w:val="00783990"/>
    <w:rsid w:val="0078405D"/>
    <w:rsid w:val="0078565F"/>
    <w:rsid w:val="00786850"/>
    <w:rsid w:val="00786B22"/>
    <w:rsid w:val="00786C18"/>
    <w:rsid w:val="00786E7D"/>
    <w:rsid w:val="0078764C"/>
    <w:rsid w:val="007877D6"/>
    <w:rsid w:val="00787B25"/>
    <w:rsid w:val="00787BC9"/>
    <w:rsid w:val="00787E33"/>
    <w:rsid w:val="007906BA"/>
    <w:rsid w:val="00791CC5"/>
    <w:rsid w:val="00791DF6"/>
    <w:rsid w:val="007922D8"/>
    <w:rsid w:val="00792701"/>
    <w:rsid w:val="00792808"/>
    <w:rsid w:val="007936E6"/>
    <w:rsid w:val="00793764"/>
    <w:rsid w:val="007939E7"/>
    <w:rsid w:val="007950CE"/>
    <w:rsid w:val="00795283"/>
    <w:rsid w:val="00795614"/>
    <w:rsid w:val="00795778"/>
    <w:rsid w:val="00795CAE"/>
    <w:rsid w:val="00795F8E"/>
    <w:rsid w:val="00796088"/>
    <w:rsid w:val="00796717"/>
    <w:rsid w:val="0079742D"/>
    <w:rsid w:val="00797855"/>
    <w:rsid w:val="007A0307"/>
    <w:rsid w:val="007A067A"/>
    <w:rsid w:val="007A091B"/>
    <w:rsid w:val="007A11BE"/>
    <w:rsid w:val="007A1746"/>
    <w:rsid w:val="007A1A5B"/>
    <w:rsid w:val="007A1AC9"/>
    <w:rsid w:val="007A228B"/>
    <w:rsid w:val="007A27A0"/>
    <w:rsid w:val="007A28B0"/>
    <w:rsid w:val="007A2AB7"/>
    <w:rsid w:val="007A2B82"/>
    <w:rsid w:val="007A30D1"/>
    <w:rsid w:val="007A3166"/>
    <w:rsid w:val="007A3731"/>
    <w:rsid w:val="007A4189"/>
    <w:rsid w:val="007A43BD"/>
    <w:rsid w:val="007A457D"/>
    <w:rsid w:val="007A4C49"/>
    <w:rsid w:val="007A572C"/>
    <w:rsid w:val="007A5884"/>
    <w:rsid w:val="007A5AEC"/>
    <w:rsid w:val="007A60E1"/>
    <w:rsid w:val="007A6C57"/>
    <w:rsid w:val="007A7C2D"/>
    <w:rsid w:val="007A7C43"/>
    <w:rsid w:val="007B031A"/>
    <w:rsid w:val="007B0D2E"/>
    <w:rsid w:val="007B12CE"/>
    <w:rsid w:val="007B1726"/>
    <w:rsid w:val="007B1926"/>
    <w:rsid w:val="007B295E"/>
    <w:rsid w:val="007B30F9"/>
    <w:rsid w:val="007B330D"/>
    <w:rsid w:val="007B3617"/>
    <w:rsid w:val="007B3A4A"/>
    <w:rsid w:val="007B46A0"/>
    <w:rsid w:val="007B49B1"/>
    <w:rsid w:val="007B5485"/>
    <w:rsid w:val="007B5E97"/>
    <w:rsid w:val="007B5FC3"/>
    <w:rsid w:val="007B617D"/>
    <w:rsid w:val="007B620E"/>
    <w:rsid w:val="007B6A90"/>
    <w:rsid w:val="007B74C8"/>
    <w:rsid w:val="007B7517"/>
    <w:rsid w:val="007B77F8"/>
    <w:rsid w:val="007C15DE"/>
    <w:rsid w:val="007C16AF"/>
    <w:rsid w:val="007C3145"/>
    <w:rsid w:val="007C314D"/>
    <w:rsid w:val="007C3223"/>
    <w:rsid w:val="007C325C"/>
    <w:rsid w:val="007C35A9"/>
    <w:rsid w:val="007C35C2"/>
    <w:rsid w:val="007C3AF8"/>
    <w:rsid w:val="007C4261"/>
    <w:rsid w:val="007C45EA"/>
    <w:rsid w:val="007C4BCF"/>
    <w:rsid w:val="007C52A7"/>
    <w:rsid w:val="007C53AF"/>
    <w:rsid w:val="007C55FE"/>
    <w:rsid w:val="007C5650"/>
    <w:rsid w:val="007C58BB"/>
    <w:rsid w:val="007C5AF2"/>
    <w:rsid w:val="007C6530"/>
    <w:rsid w:val="007C7312"/>
    <w:rsid w:val="007C7388"/>
    <w:rsid w:val="007C7681"/>
    <w:rsid w:val="007C7C9A"/>
    <w:rsid w:val="007C7D1C"/>
    <w:rsid w:val="007C7D55"/>
    <w:rsid w:val="007D0834"/>
    <w:rsid w:val="007D14A1"/>
    <w:rsid w:val="007D21F2"/>
    <w:rsid w:val="007D247A"/>
    <w:rsid w:val="007D2946"/>
    <w:rsid w:val="007D2C9C"/>
    <w:rsid w:val="007D2D3B"/>
    <w:rsid w:val="007D2DDA"/>
    <w:rsid w:val="007D3AD1"/>
    <w:rsid w:val="007D3E18"/>
    <w:rsid w:val="007D3E99"/>
    <w:rsid w:val="007D3F4E"/>
    <w:rsid w:val="007D5874"/>
    <w:rsid w:val="007D6B7C"/>
    <w:rsid w:val="007D6FC0"/>
    <w:rsid w:val="007D745B"/>
    <w:rsid w:val="007D7534"/>
    <w:rsid w:val="007D7724"/>
    <w:rsid w:val="007D7C0F"/>
    <w:rsid w:val="007E0138"/>
    <w:rsid w:val="007E058A"/>
    <w:rsid w:val="007E06A7"/>
    <w:rsid w:val="007E08AE"/>
    <w:rsid w:val="007E0A5F"/>
    <w:rsid w:val="007E109B"/>
    <w:rsid w:val="007E27F2"/>
    <w:rsid w:val="007E2B2C"/>
    <w:rsid w:val="007E2B3D"/>
    <w:rsid w:val="007E350D"/>
    <w:rsid w:val="007E37F6"/>
    <w:rsid w:val="007E3F7C"/>
    <w:rsid w:val="007E3F87"/>
    <w:rsid w:val="007E4369"/>
    <w:rsid w:val="007E44DC"/>
    <w:rsid w:val="007E4973"/>
    <w:rsid w:val="007E4A05"/>
    <w:rsid w:val="007E4A99"/>
    <w:rsid w:val="007E4E2E"/>
    <w:rsid w:val="007E4F70"/>
    <w:rsid w:val="007E5B3E"/>
    <w:rsid w:val="007E5B8F"/>
    <w:rsid w:val="007E628B"/>
    <w:rsid w:val="007E6CB6"/>
    <w:rsid w:val="007E728E"/>
    <w:rsid w:val="007F0334"/>
    <w:rsid w:val="007F0A4A"/>
    <w:rsid w:val="007F0C5F"/>
    <w:rsid w:val="007F0F77"/>
    <w:rsid w:val="007F12A2"/>
    <w:rsid w:val="007F1C49"/>
    <w:rsid w:val="007F261B"/>
    <w:rsid w:val="007F2F6B"/>
    <w:rsid w:val="007F3BFB"/>
    <w:rsid w:val="007F3F9D"/>
    <w:rsid w:val="007F4032"/>
    <w:rsid w:val="007F471C"/>
    <w:rsid w:val="007F4DAE"/>
    <w:rsid w:val="007F527B"/>
    <w:rsid w:val="007F536B"/>
    <w:rsid w:val="007F598C"/>
    <w:rsid w:val="007F5BE6"/>
    <w:rsid w:val="007F64B2"/>
    <w:rsid w:val="007F6871"/>
    <w:rsid w:val="007F6946"/>
    <w:rsid w:val="007F79FB"/>
    <w:rsid w:val="007F7A2A"/>
    <w:rsid w:val="007F7CFC"/>
    <w:rsid w:val="007F7EE5"/>
    <w:rsid w:val="0080099F"/>
    <w:rsid w:val="00801256"/>
    <w:rsid w:val="008014B5"/>
    <w:rsid w:val="00801C17"/>
    <w:rsid w:val="00802473"/>
    <w:rsid w:val="008027D8"/>
    <w:rsid w:val="00802996"/>
    <w:rsid w:val="0080312A"/>
    <w:rsid w:val="00803227"/>
    <w:rsid w:val="00803EBA"/>
    <w:rsid w:val="008042F1"/>
    <w:rsid w:val="00804841"/>
    <w:rsid w:val="00804A08"/>
    <w:rsid w:val="00805421"/>
    <w:rsid w:val="0080573C"/>
    <w:rsid w:val="00805C64"/>
    <w:rsid w:val="00805E09"/>
    <w:rsid w:val="00806456"/>
    <w:rsid w:val="00806811"/>
    <w:rsid w:val="00806910"/>
    <w:rsid w:val="008070E2"/>
    <w:rsid w:val="008071CA"/>
    <w:rsid w:val="00807B3B"/>
    <w:rsid w:val="00807C5B"/>
    <w:rsid w:val="0081011E"/>
    <w:rsid w:val="008107A8"/>
    <w:rsid w:val="00810DE2"/>
    <w:rsid w:val="00810EA5"/>
    <w:rsid w:val="00811C11"/>
    <w:rsid w:val="00811F5C"/>
    <w:rsid w:val="00812656"/>
    <w:rsid w:val="00812848"/>
    <w:rsid w:val="0081285A"/>
    <w:rsid w:val="00812C64"/>
    <w:rsid w:val="008132BF"/>
    <w:rsid w:val="00813A8B"/>
    <w:rsid w:val="0081463C"/>
    <w:rsid w:val="00814924"/>
    <w:rsid w:val="00814A2B"/>
    <w:rsid w:val="00815E64"/>
    <w:rsid w:val="008161DA"/>
    <w:rsid w:val="00816557"/>
    <w:rsid w:val="00816668"/>
    <w:rsid w:val="0081676D"/>
    <w:rsid w:val="00816DCF"/>
    <w:rsid w:val="008170CE"/>
    <w:rsid w:val="00817BE4"/>
    <w:rsid w:val="00817D43"/>
    <w:rsid w:val="00817FD3"/>
    <w:rsid w:val="008200C1"/>
    <w:rsid w:val="00820B25"/>
    <w:rsid w:val="00820BD1"/>
    <w:rsid w:val="008211DD"/>
    <w:rsid w:val="00822C2E"/>
    <w:rsid w:val="00823AFB"/>
    <w:rsid w:val="00823D18"/>
    <w:rsid w:val="00823F29"/>
    <w:rsid w:val="0082417A"/>
    <w:rsid w:val="00824540"/>
    <w:rsid w:val="00824789"/>
    <w:rsid w:val="008247B7"/>
    <w:rsid w:val="00825155"/>
    <w:rsid w:val="008258AD"/>
    <w:rsid w:val="00825C37"/>
    <w:rsid w:val="008267AA"/>
    <w:rsid w:val="00826A1E"/>
    <w:rsid w:val="00826C69"/>
    <w:rsid w:val="00826D06"/>
    <w:rsid w:val="00830405"/>
    <w:rsid w:val="00830A37"/>
    <w:rsid w:val="00830A92"/>
    <w:rsid w:val="00830E64"/>
    <w:rsid w:val="00831339"/>
    <w:rsid w:val="008313F7"/>
    <w:rsid w:val="008316A7"/>
    <w:rsid w:val="00831792"/>
    <w:rsid w:val="00831CDD"/>
    <w:rsid w:val="008324E5"/>
    <w:rsid w:val="0083255C"/>
    <w:rsid w:val="008326C3"/>
    <w:rsid w:val="0083340F"/>
    <w:rsid w:val="008339C5"/>
    <w:rsid w:val="00833A6C"/>
    <w:rsid w:val="00833D4D"/>
    <w:rsid w:val="00833F64"/>
    <w:rsid w:val="00833FDF"/>
    <w:rsid w:val="008344DA"/>
    <w:rsid w:val="00834679"/>
    <w:rsid w:val="00834BD3"/>
    <w:rsid w:val="00835721"/>
    <w:rsid w:val="00835AE0"/>
    <w:rsid w:val="00835B64"/>
    <w:rsid w:val="008366D7"/>
    <w:rsid w:val="00837500"/>
    <w:rsid w:val="00837DDA"/>
    <w:rsid w:val="00837F58"/>
    <w:rsid w:val="00840024"/>
    <w:rsid w:val="00840BEA"/>
    <w:rsid w:val="0084112E"/>
    <w:rsid w:val="008414D1"/>
    <w:rsid w:val="00841798"/>
    <w:rsid w:val="00841DBF"/>
    <w:rsid w:val="0084337A"/>
    <w:rsid w:val="0084355C"/>
    <w:rsid w:val="0084393F"/>
    <w:rsid w:val="00843CA8"/>
    <w:rsid w:val="0084403B"/>
    <w:rsid w:val="00844236"/>
    <w:rsid w:val="008445CD"/>
    <w:rsid w:val="00844FD4"/>
    <w:rsid w:val="00845A2E"/>
    <w:rsid w:val="00846051"/>
    <w:rsid w:val="008464A6"/>
    <w:rsid w:val="0084692D"/>
    <w:rsid w:val="008474F1"/>
    <w:rsid w:val="008476B5"/>
    <w:rsid w:val="008506BE"/>
    <w:rsid w:val="0085092E"/>
    <w:rsid w:val="00851C46"/>
    <w:rsid w:val="00852805"/>
    <w:rsid w:val="008530A2"/>
    <w:rsid w:val="00853283"/>
    <w:rsid w:val="00853425"/>
    <w:rsid w:val="00853847"/>
    <w:rsid w:val="00854407"/>
    <w:rsid w:val="008550B9"/>
    <w:rsid w:val="008555C3"/>
    <w:rsid w:val="00855A6B"/>
    <w:rsid w:val="008561C6"/>
    <w:rsid w:val="00856817"/>
    <w:rsid w:val="008572A3"/>
    <w:rsid w:val="008573B4"/>
    <w:rsid w:val="00857E88"/>
    <w:rsid w:val="00860322"/>
    <w:rsid w:val="00860460"/>
    <w:rsid w:val="00860902"/>
    <w:rsid w:val="00860A4F"/>
    <w:rsid w:val="008613EE"/>
    <w:rsid w:val="008614A8"/>
    <w:rsid w:val="00861CEF"/>
    <w:rsid w:val="00861FDD"/>
    <w:rsid w:val="00862F8C"/>
    <w:rsid w:val="00863054"/>
    <w:rsid w:val="008635D3"/>
    <w:rsid w:val="00863922"/>
    <w:rsid w:val="008643F9"/>
    <w:rsid w:val="00864DB3"/>
    <w:rsid w:val="0086539D"/>
    <w:rsid w:val="0086551B"/>
    <w:rsid w:val="008659B0"/>
    <w:rsid w:val="00865A05"/>
    <w:rsid w:val="00866913"/>
    <w:rsid w:val="00866E12"/>
    <w:rsid w:val="00867D98"/>
    <w:rsid w:val="008702BB"/>
    <w:rsid w:val="00870B08"/>
    <w:rsid w:val="00870DFA"/>
    <w:rsid w:val="00870EE4"/>
    <w:rsid w:val="00871A7E"/>
    <w:rsid w:val="008720D0"/>
    <w:rsid w:val="008721D4"/>
    <w:rsid w:val="00872825"/>
    <w:rsid w:val="00872A7A"/>
    <w:rsid w:val="00872D8C"/>
    <w:rsid w:val="0087357E"/>
    <w:rsid w:val="00873A86"/>
    <w:rsid w:val="0087525C"/>
    <w:rsid w:val="00875403"/>
    <w:rsid w:val="0087547D"/>
    <w:rsid w:val="0087587A"/>
    <w:rsid w:val="00875ABC"/>
    <w:rsid w:val="00876088"/>
    <w:rsid w:val="008763D3"/>
    <w:rsid w:val="00876C6E"/>
    <w:rsid w:val="00877043"/>
    <w:rsid w:val="00877354"/>
    <w:rsid w:val="00877D6A"/>
    <w:rsid w:val="008807CB"/>
    <w:rsid w:val="008808C0"/>
    <w:rsid w:val="00880DFE"/>
    <w:rsid w:val="00881202"/>
    <w:rsid w:val="008812B4"/>
    <w:rsid w:val="0088145D"/>
    <w:rsid w:val="008825D3"/>
    <w:rsid w:val="00882BF8"/>
    <w:rsid w:val="00882DC6"/>
    <w:rsid w:val="00882EF0"/>
    <w:rsid w:val="008833C2"/>
    <w:rsid w:val="00883744"/>
    <w:rsid w:val="00883BCA"/>
    <w:rsid w:val="00883F71"/>
    <w:rsid w:val="008841A5"/>
    <w:rsid w:val="008842E2"/>
    <w:rsid w:val="00885117"/>
    <w:rsid w:val="0088580B"/>
    <w:rsid w:val="00885921"/>
    <w:rsid w:val="0088639A"/>
    <w:rsid w:val="00886858"/>
    <w:rsid w:val="00886D5C"/>
    <w:rsid w:val="00887346"/>
    <w:rsid w:val="00890196"/>
    <w:rsid w:val="008902F7"/>
    <w:rsid w:val="008906A5"/>
    <w:rsid w:val="00891138"/>
    <w:rsid w:val="0089195D"/>
    <w:rsid w:val="00891F45"/>
    <w:rsid w:val="00892D50"/>
    <w:rsid w:val="0089301F"/>
    <w:rsid w:val="00893475"/>
    <w:rsid w:val="00893698"/>
    <w:rsid w:val="0089380D"/>
    <w:rsid w:val="00893E3B"/>
    <w:rsid w:val="008953D9"/>
    <w:rsid w:val="008955F4"/>
    <w:rsid w:val="00896306"/>
    <w:rsid w:val="008970B6"/>
    <w:rsid w:val="0089746B"/>
    <w:rsid w:val="008A0540"/>
    <w:rsid w:val="008A08D7"/>
    <w:rsid w:val="008A09E5"/>
    <w:rsid w:val="008A0A8C"/>
    <w:rsid w:val="008A1552"/>
    <w:rsid w:val="008A1CD6"/>
    <w:rsid w:val="008A1FED"/>
    <w:rsid w:val="008A2BBC"/>
    <w:rsid w:val="008A30F9"/>
    <w:rsid w:val="008A39C2"/>
    <w:rsid w:val="008A3D60"/>
    <w:rsid w:val="008A41F7"/>
    <w:rsid w:val="008A43F6"/>
    <w:rsid w:val="008A478C"/>
    <w:rsid w:val="008A49FF"/>
    <w:rsid w:val="008A5CF7"/>
    <w:rsid w:val="008A72AA"/>
    <w:rsid w:val="008A7B88"/>
    <w:rsid w:val="008B0F46"/>
    <w:rsid w:val="008B103E"/>
    <w:rsid w:val="008B137C"/>
    <w:rsid w:val="008B1402"/>
    <w:rsid w:val="008B1447"/>
    <w:rsid w:val="008B1ABA"/>
    <w:rsid w:val="008B2310"/>
    <w:rsid w:val="008B2724"/>
    <w:rsid w:val="008B326E"/>
    <w:rsid w:val="008B33DF"/>
    <w:rsid w:val="008B3F12"/>
    <w:rsid w:val="008B489B"/>
    <w:rsid w:val="008B491E"/>
    <w:rsid w:val="008B4D67"/>
    <w:rsid w:val="008B4E20"/>
    <w:rsid w:val="008B673A"/>
    <w:rsid w:val="008B6FEF"/>
    <w:rsid w:val="008C073B"/>
    <w:rsid w:val="008C0832"/>
    <w:rsid w:val="008C0938"/>
    <w:rsid w:val="008C1226"/>
    <w:rsid w:val="008C1244"/>
    <w:rsid w:val="008C16ED"/>
    <w:rsid w:val="008C1A6C"/>
    <w:rsid w:val="008C24E1"/>
    <w:rsid w:val="008C2688"/>
    <w:rsid w:val="008C28A1"/>
    <w:rsid w:val="008C2939"/>
    <w:rsid w:val="008C2D83"/>
    <w:rsid w:val="008C2FE6"/>
    <w:rsid w:val="008C31C3"/>
    <w:rsid w:val="008C341C"/>
    <w:rsid w:val="008C3FBD"/>
    <w:rsid w:val="008C489A"/>
    <w:rsid w:val="008C491C"/>
    <w:rsid w:val="008C4B99"/>
    <w:rsid w:val="008C5004"/>
    <w:rsid w:val="008C561B"/>
    <w:rsid w:val="008C58A9"/>
    <w:rsid w:val="008C5C8C"/>
    <w:rsid w:val="008C5E48"/>
    <w:rsid w:val="008C61E4"/>
    <w:rsid w:val="008C6B6D"/>
    <w:rsid w:val="008C6C5E"/>
    <w:rsid w:val="008C73E3"/>
    <w:rsid w:val="008C789A"/>
    <w:rsid w:val="008C79F8"/>
    <w:rsid w:val="008C7C16"/>
    <w:rsid w:val="008D0244"/>
    <w:rsid w:val="008D0593"/>
    <w:rsid w:val="008D0969"/>
    <w:rsid w:val="008D0FF7"/>
    <w:rsid w:val="008D1467"/>
    <w:rsid w:val="008D22D8"/>
    <w:rsid w:val="008D3538"/>
    <w:rsid w:val="008D3C11"/>
    <w:rsid w:val="008D3C6F"/>
    <w:rsid w:val="008D3FA6"/>
    <w:rsid w:val="008D43AB"/>
    <w:rsid w:val="008D48C2"/>
    <w:rsid w:val="008D4DE2"/>
    <w:rsid w:val="008D4FB0"/>
    <w:rsid w:val="008D651A"/>
    <w:rsid w:val="008D6786"/>
    <w:rsid w:val="008D6928"/>
    <w:rsid w:val="008D6B87"/>
    <w:rsid w:val="008D74FC"/>
    <w:rsid w:val="008D7698"/>
    <w:rsid w:val="008D7CDD"/>
    <w:rsid w:val="008E04D7"/>
    <w:rsid w:val="008E1143"/>
    <w:rsid w:val="008E11EC"/>
    <w:rsid w:val="008E183D"/>
    <w:rsid w:val="008E1D89"/>
    <w:rsid w:val="008E1FA9"/>
    <w:rsid w:val="008E2548"/>
    <w:rsid w:val="008E2ACC"/>
    <w:rsid w:val="008E2E7D"/>
    <w:rsid w:val="008E2EE2"/>
    <w:rsid w:val="008E35F1"/>
    <w:rsid w:val="008E3C5B"/>
    <w:rsid w:val="008E3F22"/>
    <w:rsid w:val="008E433A"/>
    <w:rsid w:val="008E4A5D"/>
    <w:rsid w:val="008E4C39"/>
    <w:rsid w:val="008E5A4F"/>
    <w:rsid w:val="008E5B95"/>
    <w:rsid w:val="008E5BEF"/>
    <w:rsid w:val="008E605B"/>
    <w:rsid w:val="008E60B0"/>
    <w:rsid w:val="008E6A2E"/>
    <w:rsid w:val="008E6B3B"/>
    <w:rsid w:val="008E6D17"/>
    <w:rsid w:val="008E6D57"/>
    <w:rsid w:val="008E7877"/>
    <w:rsid w:val="008E78CC"/>
    <w:rsid w:val="008E7A06"/>
    <w:rsid w:val="008E7F45"/>
    <w:rsid w:val="008F02CA"/>
    <w:rsid w:val="008F090C"/>
    <w:rsid w:val="008F1530"/>
    <w:rsid w:val="008F203B"/>
    <w:rsid w:val="008F267E"/>
    <w:rsid w:val="008F2709"/>
    <w:rsid w:val="008F2875"/>
    <w:rsid w:val="008F2929"/>
    <w:rsid w:val="008F2BAE"/>
    <w:rsid w:val="008F2FCC"/>
    <w:rsid w:val="008F3BAE"/>
    <w:rsid w:val="008F3C47"/>
    <w:rsid w:val="008F40AE"/>
    <w:rsid w:val="008F46E4"/>
    <w:rsid w:val="008F4FF4"/>
    <w:rsid w:val="008F5CC6"/>
    <w:rsid w:val="008F5F2C"/>
    <w:rsid w:val="008F60ED"/>
    <w:rsid w:val="008F7057"/>
    <w:rsid w:val="008F7153"/>
    <w:rsid w:val="008F78DA"/>
    <w:rsid w:val="008F7F00"/>
    <w:rsid w:val="00900465"/>
    <w:rsid w:val="00900CD4"/>
    <w:rsid w:val="009011F9"/>
    <w:rsid w:val="009018B0"/>
    <w:rsid w:val="00901CCE"/>
    <w:rsid w:val="009021DD"/>
    <w:rsid w:val="00902ECE"/>
    <w:rsid w:val="00902F8F"/>
    <w:rsid w:val="0090339B"/>
    <w:rsid w:val="0090339C"/>
    <w:rsid w:val="0090355C"/>
    <w:rsid w:val="00903731"/>
    <w:rsid w:val="00903743"/>
    <w:rsid w:val="00903CF5"/>
    <w:rsid w:val="009040B9"/>
    <w:rsid w:val="00904298"/>
    <w:rsid w:val="009043FC"/>
    <w:rsid w:val="00904606"/>
    <w:rsid w:val="009052F9"/>
    <w:rsid w:val="0090605B"/>
    <w:rsid w:val="009062D7"/>
    <w:rsid w:val="00906C3D"/>
    <w:rsid w:val="00906D94"/>
    <w:rsid w:val="00906EC8"/>
    <w:rsid w:val="00907001"/>
    <w:rsid w:val="009076F7"/>
    <w:rsid w:val="00907957"/>
    <w:rsid w:val="00907DAB"/>
    <w:rsid w:val="00907F15"/>
    <w:rsid w:val="00907FEE"/>
    <w:rsid w:val="009104AC"/>
    <w:rsid w:val="00910B87"/>
    <w:rsid w:val="00910F2C"/>
    <w:rsid w:val="00911251"/>
    <w:rsid w:val="0091162E"/>
    <w:rsid w:val="0091245A"/>
    <w:rsid w:val="009128DD"/>
    <w:rsid w:val="00912CE1"/>
    <w:rsid w:val="0091304E"/>
    <w:rsid w:val="009130A4"/>
    <w:rsid w:val="00913CCA"/>
    <w:rsid w:val="009140C2"/>
    <w:rsid w:val="009144B3"/>
    <w:rsid w:val="009148D6"/>
    <w:rsid w:val="00914A27"/>
    <w:rsid w:val="00915048"/>
    <w:rsid w:val="00915069"/>
    <w:rsid w:val="009150A1"/>
    <w:rsid w:val="0091616F"/>
    <w:rsid w:val="00916EAE"/>
    <w:rsid w:val="00916EDC"/>
    <w:rsid w:val="009174EE"/>
    <w:rsid w:val="0091774A"/>
    <w:rsid w:val="00917804"/>
    <w:rsid w:val="0092034E"/>
    <w:rsid w:val="00920E86"/>
    <w:rsid w:val="009213D1"/>
    <w:rsid w:val="00922F17"/>
    <w:rsid w:val="00923310"/>
    <w:rsid w:val="0092338B"/>
    <w:rsid w:val="00923A4E"/>
    <w:rsid w:val="00923D35"/>
    <w:rsid w:val="00923DE9"/>
    <w:rsid w:val="00924799"/>
    <w:rsid w:val="00925042"/>
    <w:rsid w:val="00926691"/>
    <w:rsid w:val="00926E8F"/>
    <w:rsid w:val="009271C7"/>
    <w:rsid w:val="0093042C"/>
    <w:rsid w:val="0093137C"/>
    <w:rsid w:val="009314FA"/>
    <w:rsid w:val="009318BB"/>
    <w:rsid w:val="00931BC4"/>
    <w:rsid w:val="00931BF9"/>
    <w:rsid w:val="0093242D"/>
    <w:rsid w:val="00932A0A"/>
    <w:rsid w:val="00933652"/>
    <w:rsid w:val="009343C5"/>
    <w:rsid w:val="00934CA3"/>
    <w:rsid w:val="0093531B"/>
    <w:rsid w:val="0093550F"/>
    <w:rsid w:val="0093579E"/>
    <w:rsid w:val="0093659F"/>
    <w:rsid w:val="0093685B"/>
    <w:rsid w:val="00936F05"/>
    <w:rsid w:val="00936FC6"/>
    <w:rsid w:val="0093747D"/>
    <w:rsid w:val="00937D69"/>
    <w:rsid w:val="00937DC1"/>
    <w:rsid w:val="00937E09"/>
    <w:rsid w:val="00937E7C"/>
    <w:rsid w:val="009403B3"/>
    <w:rsid w:val="009406F7"/>
    <w:rsid w:val="009409FC"/>
    <w:rsid w:val="00940C7E"/>
    <w:rsid w:val="0094111E"/>
    <w:rsid w:val="009413AF"/>
    <w:rsid w:val="00941579"/>
    <w:rsid w:val="0094223A"/>
    <w:rsid w:val="00942745"/>
    <w:rsid w:val="00942993"/>
    <w:rsid w:val="00943129"/>
    <w:rsid w:val="00943717"/>
    <w:rsid w:val="009437E0"/>
    <w:rsid w:val="00943DAD"/>
    <w:rsid w:val="0094455D"/>
    <w:rsid w:val="00944566"/>
    <w:rsid w:val="009447D8"/>
    <w:rsid w:val="009449CB"/>
    <w:rsid w:val="00945470"/>
    <w:rsid w:val="0094585E"/>
    <w:rsid w:val="00945D3A"/>
    <w:rsid w:val="009460E9"/>
    <w:rsid w:val="00947033"/>
    <w:rsid w:val="009476F3"/>
    <w:rsid w:val="00950116"/>
    <w:rsid w:val="009504A7"/>
    <w:rsid w:val="00951021"/>
    <w:rsid w:val="00951E85"/>
    <w:rsid w:val="0095322F"/>
    <w:rsid w:val="0095411F"/>
    <w:rsid w:val="00954253"/>
    <w:rsid w:val="00954336"/>
    <w:rsid w:val="00954B02"/>
    <w:rsid w:val="009551E8"/>
    <w:rsid w:val="00955256"/>
    <w:rsid w:val="009562CB"/>
    <w:rsid w:val="0095652D"/>
    <w:rsid w:val="00956815"/>
    <w:rsid w:val="009568D3"/>
    <w:rsid w:val="00956DBF"/>
    <w:rsid w:val="00957398"/>
    <w:rsid w:val="00957848"/>
    <w:rsid w:val="0095791B"/>
    <w:rsid w:val="009579DA"/>
    <w:rsid w:val="0096042E"/>
    <w:rsid w:val="00960E2A"/>
    <w:rsid w:val="0096116A"/>
    <w:rsid w:val="0096139E"/>
    <w:rsid w:val="00962136"/>
    <w:rsid w:val="00962738"/>
    <w:rsid w:val="009627B6"/>
    <w:rsid w:val="00962846"/>
    <w:rsid w:val="00962860"/>
    <w:rsid w:val="0096350E"/>
    <w:rsid w:val="00963DD7"/>
    <w:rsid w:val="00963E2A"/>
    <w:rsid w:val="009651B6"/>
    <w:rsid w:val="009660A1"/>
    <w:rsid w:val="009661A8"/>
    <w:rsid w:val="009664CE"/>
    <w:rsid w:val="009669A6"/>
    <w:rsid w:val="00966DF4"/>
    <w:rsid w:val="0096700C"/>
    <w:rsid w:val="00967879"/>
    <w:rsid w:val="00967A81"/>
    <w:rsid w:val="0097136B"/>
    <w:rsid w:val="00971DC2"/>
    <w:rsid w:val="009734F7"/>
    <w:rsid w:val="009738F9"/>
    <w:rsid w:val="0097400D"/>
    <w:rsid w:val="00974056"/>
    <w:rsid w:val="00974C6B"/>
    <w:rsid w:val="009753DB"/>
    <w:rsid w:val="0097550F"/>
    <w:rsid w:val="00975B3C"/>
    <w:rsid w:val="0097686A"/>
    <w:rsid w:val="00976968"/>
    <w:rsid w:val="00976CB9"/>
    <w:rsid w:val="00977156"/>
    <w:rsid w:val="00977461"/>
    <w:rsid w:val="00977A7D"/>
    <w:rsid w:val="009803DF"/>
    <w:rsid w:val="00981C21"/>
    <w:rsid w:val="00982199"/>
    <w:rsid w:val="00982605"/>
    <w:rsid w:val="00982616"/>
    <w:rsid w:val="00982CB2"/>
    <w:rsid w:val="00982DEB"/>
    <w:rsid w:val="00982F8F"/>
    <w:rsid w:val="009831EA"/>
    <w:rsid w:val="009835C2"/>
    <w:rsid w:val="00983C37"/>
    <w:rsid w:val="00984223"/>
    <w:rsid w:val="0098434D"/>
    <w:rsid w:val="00984724"/>
    <w:rsid w:val="00985531"/>
    <w:rsid w:val="009856A4"/>
    <w:rsid w:val="00985A60"/>
    <w:rsid w:val="00985CFB"/>
    <w:rsid w:val="00985DDF"/>
    <w:rsid w:val="009860B6"/>
    <w:rsid w:val="00986372"/>
    <w:rsid w:val="00986514"/>
    <w:rsid w:val="00987059"/>
    <w:rsid w:val="0098765B"/>
    <w:rsid w:val="00987A41"/>
    <w:rsid w:val="00987BA9"/>
    <w:rsid w:val="00987F01"/>
    <w:rsid w:val="00990209"/>
    <w:rsid w:val="00990254"/>
    <w:rsid w:val="009908BC"/>
    <w:rsid w:val="009909BA"/>
    <w:rsid w:val="009909D6"/>
    <w:rsid w:val="00990B48"/>
    <w:rsid w:val="00991CA6"/>
    <w:rsid w:val="009924A7"/>
    <w:rsid w:val="00992B13"/>
    <w:rsid w:val="00992CDF"/>
    <w:rsid w:val="009934E6"/>
    <w:rsid w:val="009937AE"/>
    <w:rsid w:val="00993957"/>
    <w:rsid w:val="00993DC8"/>
    <w:rsid w:val="00994039"/>
    <w:rsid w:val="009946BC"/>
    <w:rsid w:val="009946CF"/>
    <w:rsid w:val="00994F26"/>
    <w:rsid w:val="00994FA8"/>
    <w:rsid w:val="00995354"/>
    <w:rsid w:val="00995E34"/>
    <w:rsid w:val="00996044"/>
    <w:rsid w:val="0099677F"/>
    <w:rsid w:val="00997A09"/>
    <w:rsid w:val="00997AA4"/>
    <w:rsid w:val="00997D6C"/>
    <w:rsid w:val="009A0843"/>
    <w:rsid w:val="009A0E75"/>
    <w:rsid w:val="009A15CB"/>
    <w:rsid w:val="009A2489"/>
    <w:rsid w:val="009A27B3"/>
    <w:rsid w:val="009A2AEE"/>
    <w:rsid w:val="009A2DCE"/>
    <w:rsid w:val="009A41D3"/>
    <w:rsid w:val="009A4221"/>
    <w:rsid w:val="009A471A"/>
    <w:rsid w:val="009A5351"/>
    <w:rsid w:val="009A5BFC"/>
    <w:rsid w:val="009A5F89"/>
    <w:rsid w:val="009A63A4"/>
    <w:rsid w:val="009A6547"/>
    <w:rsid w:val="009A7076"/>
    <w:rsid w:val="009A7458"/>
    <w:rsid w:val="009A78E8"/>
    <w:rsid w:val="009A7C98"/>
    <w:rsid w:val="009A7E40"/>
    <w:rsid w:val="009B0E50"/>
    <w:rsid w:val="009B20AF"/>
    <w:rsid w:val="009B2A85"/>
    <w:rsid w:val="009B2D27"/>
    <w:rsid w:val="009B2F4E"/>
    <w:rsid w:val="009B328C"/>
    <w:rsid w:val="009B3B89"/>
    <w:rsid w:val="009B4383"/>
    <w:rsid w:val="009B45FE"/>
    <w:rsid w:val="009B48D7"/>
    <w:rsid w:val="009B547F"/>
    <w:rsid w:val="009B54B8"/>
    <w:rsid w:val="009B56F0"/>
    <w:rsid w:val="009B5834"/>
    <w:rsid w:val="009B68F2"/>
    <w:rsid w:val="009B69D7"/>
    <w:rsid w:val="009B69F3"/>
    <w:rsid w:val="009B6D5D"/>
    <w:rsid w:val="009B7A4F"/>
    <w:rsid w:val="009C05CE"/>
    <w:rsid w:val="009C092D"/>
    <w:rsid w:val="009C0BB9"/>
    <w:rsid w:val="009C1B67"/>
    <w:rsid w:val="009C1B8B"/>
    <w:rsid w:val="009C1ECE"/>
    <w:rsid w:val="009C315B"/>
    <w:rsid w:val="009C3526"/>
    <w:rsid w:val="009C3D97"/>
    <w:rsid w:val="009C4115"/>
    <w:rsid w:val="009C44FD"/>
    <w:rsid w:val="009C4C8B"/>
    <w:rsid w:val="009C4CB1"/>
    <w:rsid w:val="009C5256"/>
    <w:rsid w:val="009C58CB"/>
    <w:rsid w:val="009C5A23"/>
    <w:rsid w:val="009C5B1E"/>
    <w:rsid w:val="009C5CBF"/>
    <w:rsid w:val="009C5E0A"/>
    <w:rsid w:val="009C6C73"/>
    <w:rsid w:val="009D10BB"/>
    <w:rsid w:val="009D18D6"/>
    <w:rsid w:val="009D2088"/>
    <w:rsid w:val="009D21ED"/>
    <w:rsid w:val="009D21F1"/>
    <w:rsid w:val="009D23EA"/>
    <w:rsid w:val="009D26F8"/>
    <w:rsid w:val="009D2A34"/>
    <w:rsid w:val="009D2E00"/>
    <w:rsid w:val="009D2EE1"/>
    <w:rsid w:val="009D313A"/>
    <w:rsid w:val="009D3D14"/>
    <w:rsid w:val="009D3F97"/>
    <w:rsid w:val="009D3FF7"/>
    <w:rsid w:val="009D419E"/>
    <w:rsid w:val="009D4346"/>
    <w:rsid w:val="009D45F2"/>
    <w:rsid w:val="009D5397"/>
    <w:rsid w:val="009D5C5B"/>
    <w:rsid w:val="009D5F66"/>
    <w:rsid w:val="009D68F7"/>
    <w:rsid w:val="009D6A93"/>
    <w:rsid w:val="009D6F19"/>
    <w:rsid w:val="009D71A4"/>
    <w:rsid w:val="009D72E9"/>
    <w:rsid w:val="009D72FD"/>
    <w:rsid w:val="009D7918"/>
    <w:rsid w:val="009D7A0F"/>
    <w:rsid w:val="009D7CA7"/>
    <w:rsid w:val="009E0057"/>
    <w:rsid w:val="009E0324"/>
    <w:rsid w:val="009E0861"/>
    <w:rsid w:val="009E1177"/>
    <w:rsid w:val="009E14D1"/>
    <w:rsid w:val="009E1768"/>
    <w:rsid w:val="009E206E"/>
    <w:rsid w:val="009E258B"/>
    <w:rsid w:val="009E2E95"/>
    <w:rsid w:val="009E333E"/>
    <w:rsid w:val="009E3530"/>
    <w:rsid w:val="009E3B49"/>
    <w:rsid w:val="009E3F4B"/>
    <w:rsid w:val="009E40C9"/>
    <w:rsid w:val="009E41C1"/>
    <w:rsid w:val="009E4A37"/>
    <w:rsid w:val="009E67FF"/>
    <w:rsid w:val="009E6871"/>
    <w:rsid w:val="009E696E"/>
    <w:rsid w:val="009E72C2"/>
    <w:rsid w:val="009E7336"/>
    <w:rsid w:val="009E764F"/>
    <w:rsid w:val="009E7E29"/>
    <w:rsid w:val="009E7FA8"/>
    <w:rsid w:val="009F02AA"/>
    <w:rsid w:val="009F0CE8"/>
    <w:rsid w:val="009F1750"/>
    <w:rsid w:val="009F1C24"/>
    <w:rsid w:val="009F1D68"/>
    <w:rsid w:val="009F21EA"/>
    <w:rsid w:val="009F3016"/>
    <w:rsid w:val="009F3A25"/>
    <w:rsid w:val="009F3E5D"/>
    <w:rsid w:val="009F40CB"/>
    <w:rsid w:val="009F5CF5"/>
    <w:rsid w:val="009F60C6"/>
    <w:rsid w:val="009F6A97"/>
    <w:rsid w:val="009F6E18"/>
    <w:rsid w:val="009F79C3"/>
    <w:rsid w:val="00A00713"/>
    <w:rsid w:val="00A01153"/>
    <w:rsid w:val="00A01215"/>
    <w:rsid w:val="00A0157A"/>
    <w:rsid w:val="00A019AB"/>
    <w:rsid w:val="00A01BF1"/>
    <w:rsid w:val="00A01CC2"/>
    <w:rsid w:val="00A022C5"/>
    <w:rsid w:val="00A02DFB"/>
    <w:rsid w:val="00A03E76"/>
    <w:rsid w:val="00A0468F"/>
    <w:rsid w:val="00A04D67"/>
    <w:rsid w:val="00A04D9E"/>
    <w:rsid w:val="00A050BE"/>
    <w:rsid w:val="00A0510C"/>
    <w:rsid w:val="00A051B1"/>
    <w:rsid w:val="00A06312"/>
    <w:rsid w:val="00A063AD"/>
    <w:rsid w:val="00A065BC"/>
    <w:rsid w:val="00A06B4F"/>
    <w:rsid w:val="00A076B9"/>
    <w:rsid w:val="00A07C02"/>
    <w:rsid w:val="00A07C96"/>
    <w:rsid w:val="00A104B9"/>
    <w:rsid w:val="00A105EC"/>
    <w:rsid w:val="00A10713"/>
    <w:rsid w:val="00A10C66"/>
    <w:rsid w:val="00A1164A"/>
    <w:rsid w:val="00A121D3"/>
    <w:rsid w:val="00A1222A"/>
    <w:rsid w:val="00A123C3"/>
    <w:rsid w:val="00A126B4"/>
    <w:rsid w:val="00A129FE"/>
    <w:rsid w:val="00A12C41"/>
    <w:rsid w:val="00A12ED7"/>
    <w:rsid w:val="00A12F2C"/>
    <w:rsid w:val="00A13BCE"/>
    <w:rsid w:val="00A14648"/>
    <w:rsid w:val="00A1535C"/>
    <w:rsid w:val="00A157A6"/>
    <w:rsid w:val="00A15871"/>
    <w:rsid w:val="00A15A90"/>
    <w:rsid w:val="00A15C4C"/>
    <w:rsid w:val="00A15C8C"/>
    <w:rsid w:val="00A15EAF"/>
    <w:rsid w:val="00A15EF0"/>
    <w:rsid w:val="00A160D5"/>
    <w:rsid w:val="00A162CF"/>
    <w:rsid w:val="00A165A4"/>
    <w:rsid w:val="00A16C5F"/>
    <w:rsid w:val="00A16FB0"/>
    <w:rsid w:val="00A20F02"/>
    <w:rsid w:val="00A21C01"/>
    <w:rsid w:val="00A21D28"/>
    <w:rsid w:val="00A22017"/>
    <w:rsid w:val="00A2224E"/>
    <w:rsid w:val="00A222EB"/>
    <w:rsid w:val="00A2242A"/>
    <w:rsid w:val="00A22D1E"/>
    <w:rsid w:val="00A232F7"/>
    <w:rsid w:val="00A238D0"/>
    <w:rsid w:val="00A23946"/>
    <w:rsid w:val="00A24218"/>
    <w:rsid w:val="00A243F4"/>
    <w:rsid w:val="00A245BA"/>
    <w:rsid w:val="00A246C6"/>
    <w:rsid w:val="00A25246"/>
    <w:rsid w:val="00A25661"/>
    <w:rsid w:val="00A258A0"/>
    <w:rsid w:val="00A25B44"/>
    <w:rsid w:val="00A25F05"/>
    <w:rsid w:val="00A25F60"/>
    <w:rsid w:val="00A2618B"/>
    <w:rsid w:val="00A273DB"/>
    <w:rsid w:val="00A277BC"/>
    <w:rsid w:val="00A27828"/>
    <w:rsid w:val="00A27C1D"/>
    <w:rsid w:val="00A3045B"/>
    <w:rsid w:val="00A3047B"/>
    <w:rsid w:val="00A30E57"/>
    <w:rsid w:val="00A31188"/>
    <w:rsid w:val="00A313B7"/>
    <w:rsid w:val="00A32283"/>
    <w:rsid w:val="00A33184"/>
    <w:rsid w:val="00A34415"/>
    <w:rsid w:val="00A34FA7"/>
    <w:rsid w:val="00A350A2"/>
    <w:rsid w:val="00A355C9"/>
    <w:rsid w:val="00A36066"/>
    <w:rsid w:val="00A36304"/>
    <w:rsid w:val="00A37412"/>
    <w:rsid w:val="00A37E95"/>
    <w:rsid w:val="00A40151"/>
    <w:rsid w:val="00A409A5"/>
    <w:rsid w:val="00A40D27"/>
    <w:rsid w:val="00A413E8"/>
    <w:rsid w:val="00A417C8"/>
    <w:rsid w:val="00A41D3E"/>
    <w:rsid w:val="00A42314"/>
    <w:rsid w:val="00A4235D"/>
    <w:rsid w:val="00A428D3"/>
    <w:rsid w:val="00A42A45"/>
    <w:rsid w:val="00A43A39"/>
    <w:rsid w:val="00A43DF5"/>
    <w:rsid w:val="00A43EB9"/>
    <w:rsid w:val="00A4404E"/>
    <w:rsid w:val="00A44E78"/>
    <w:rsid w:val="00A4543D"/>
    <w:rsid w:val="00A459EF"/>
    <w:rsid w:val="00A45DBB"/>
    <w:rsid w:val="00A465E3"/>
    <w:rsid w:val="00A46B20"/>
    <w:rsid w:val="00A46BAD"/>
    <w:rsid w:val="00A4744E"/>
    <w:rsid w:val="00A50683"/>
    <w:rsid w:val="00A5094F"/>
    <w:rsid w:val="00A50B1F"/>
    <w:rsid w:val="00A51484"/>
    <w:rsid w:val="00A51F6C"/>
    <w:rsid w:val="00A52818"/>
    <w:rsid w:val="00A530AB"/>
    <w:rsid w:val="00A5335A"/>
    <w:rsid w:val="00A53BB3"/>
    <w:rsid w:val="00A53EF3"/>
    <w:rsid w:val="00A53FE2"/>
    <w:rsid w:val="00A54170"/>
    <w:rsid w:val="00A542CF"/>
    <w:rsid w:val="00A5455F"/>
    <w:rsid w:val="00A54D94"/>
    <w:rsid w:val="00A54F87"/>
    <w:rsid w:val="00A5599B"/>
    <w:rsid w:val="00A55E0D"/>
    <w:rsid w:val="00A56101"/>
    <w:rsid w:val="00A56873"/>
    <w:rsid w:val="00A56B66"/>
    <w:rsid w:val="00A56B9D"/>
    <w:rsid w:val="00A56D56"/>
    <w:rsid w:val="00A56F2D"/>
    <w:rsid w:val="00A56FEE"/>
    <w:rsid w:val="00A570FA"/>
    <w:rsid w:val="00A57324"/>
    <w:rsid w:val="00A57709"/>
    <w:rsid w:val="00A57FAB"/>
    <w:rsid w:val="00A60C9B"/>
    <w:rsid w:val="00A60CC3"/>
    <w:rsid w:val="00A6100F"/>
    <w:rsid w:val="00A614C0"/>
    <w:rsid w:val="00A61AED"/>
    <w:rsid w:val="00A61C82"/>
    <w:rsid w:val="00A61C9D"/>
    <w:rsid w:val="00A62160"/>
    <w:rsid w:val="00A623D8"/>
    <w:rsid w:val="00A6254A"/>
    <w:rsid w:val="00A62693"/>
    <w:rsid w:val="00A62850"/>
    <w:rsid w:val="00A643B6"/>
    <w:rsid w:val="00A64588"/>
    <w:rsid w:val="00A64EA2"/>
    <w:rsid w:val="00A653F1"/>
    <w:rsid w:val="00A65839"/>
    <w:rsid w:val="00A65CB2"/>
    <w:rsid w:val="00A6614E"/>
    <w:rsid w:val="00A66C2B"/>
    <w:rsid w:val="00A67234"/>
    <w:rsid w:val="00A677DE"/>
    <w:rsid w:val="00A67A48"/>
    <w:rsid w:val="00A67A58"/>
    <w:rsid w:val="00A7091B"/>
    <w:rsid w:val="00A70CFA"/>
    <w:rsid w:val="00A70CFD"/>
    <w:rsid w:val="00A7156A"/>
    <w:rsid w:val="00A71600"/>
    <w:rsid w:val="00A71A10"/>
    <w:rsid w:val="00A71C77"/>
    <w:rsid w:val="00A720A7"/>
    <w:rsid w:val="00A72422"/>
    <w:rsid w:val="00A7285D"/>
    <w:rsid w:val="00A72B29"/>
    <w:rsid w:val="00A72C97"/>
    <w:rsid w:val="00A72D34"/>
    <w:rsid w:val="00A73088"/>
    <w:rsid w:val="00A739F1"/>
    <w:rsid w:val="00A73AD2"/>
    <w:rsid w:val="00A73C76"/>
    <w:rsid w:val="00A741CE"/>
    <w:rsid w:val="00A74A1F"/>
    <w:rsid w:val="00A74DBA"/>
    <w:rsid w:val="00A750CF"/>
    <w:rsid w:val="00A7531B"/>
    <w:rsid w:val="00A75C87"/>
    <w:rsid w:val="00A76104"/>
    <w:rsid w:val="00A76646"/>
    <w:rsid w:val="00A76C49"/>
    <w:rsid w:val="00A76F0E"/>
    <w:rsid w:val="00A76F30"/>
    <w:rsid w:val="00A77D9A"/>
    <w:rsid w:val="00A803C2"/>
    <w:rsid w:val="00A803F2"/>
    <w:rsid w:val="00A8093A"/>
    <w:rsid w:val="00A80A16"/>
    <w:rsid w:val="00A81100"/>
    <w:rsid w:val="00A8114F"/>
    <w:rsid w:val="00A81297"/>
    <w:rsid w:val="00A82204"/>
    <w:rsid w:val="00A823D3"/>
    <w:rsid w:val="00A82995"/>
    <w:rsid w:val="00A82B1C"/>
    <w:rsid w:val="00A8380E"/>
    <w:rsid w:val="00A8405F"/>
    <w:rsid w:val="00A84232"/>
    <w:rsid w:val="00A84988"/>
    <w:rsid w:val="00A84EB3"/>
    <w:rsid w:val="00A850D3"/>
    <w:rsid w:val="00A85761"/>
    <w:rsid w:val="00A85C51"/>
    <w:rsid w:val="00A869D5"/>
    <w:rsid w:val="00A877F4"/>
    <w:rsid w:val="00A879CC"/>
    <w:rsid w:val="00A87A72"/>
    <w:rsid w:val="00A87DE9"/>
    <w:rsid w:val="00A9000A"/>
    <w:rsid w:val="00A900F0"/>
    <w:rsid w:val="00A9047B"/>
    <w:rsid w:val="00A90D3E"/>
    <w:rsid w:val="00A916C1"/>
    <w:rsid w:val="00A9207A"/>
    <w:rsid w:val="00A933E3"/>
    <w:rsid w:val="00A93543"/>
    <w:rsid w:val="00A938AC"/>
    <w:rsid w:val="00A93AA8"/>
    <w:rsid w:val="00A93C50"/>
    <w:rsid w:val="00A9409F"/>
    <w:rsid w:val="00A94162"/>
    <w:rsid w:val="00A9439D"/>
    <w:rsid w:val="00A948ED"/>
    <w:rsid w:val="00A94903"/>
    <w:rsid w:val="00A94A28"/>
    <w:rsid w:val="00A94E76"/>
    <w:rsid w:val="00A95527"/>
    <w:rsid w:val="00A95614"/>
    <w:rsid w:val="00A95ADC"/>
    <w:rsid w:val="00A95DEA"/>
    <w:rsid w:val="00A95FB1"/>
    <w:rsid w:val="00A96184"/>
    <w:rsid w:val="00A9662C"/>
    <w:rsid w:val="00A97B8E"/>
    <w:rsid w:val="00A97CB6"/>
    <w:rsid w:val="00A97D74"/>
    <w:rsid w:val="00AA0167"/>
    <w:rsid w:val="00AA0291"/>
    <w:rsid w:val="00AA0543"/>
    <w:rsid w:val="00AA072C"/>
    <w:rsid w:val="00AA08B5"/>
    <w:rsid w:val="00AA1541"/>
    <w:rsid w:val="00AA1824"/>
    <w:rsid w:val="00AA1AF0"/>
    <w:rsid w:val="00AA20AB"/>
    <w:rsid w:val="00AA2524"/>
    <w:rsid w:val="00AA2C85"/>
    <w:rsid w:val="00AA2E6D"/>
    <w:rsid w:val="00AA3011"/>
    <w:rsid w:val="00AA37BC"/>
    <w:rsid w:val="00AA3F19"/>
    <w:rsid w:val="00AA46F2"/>
    <w:rsid w:val="00AA48FF"/>
    <w:rsid w:val="00AA5490"/>
    <w:rsid w:val="00AA577A"/>
    <w:rsid w:val="00AA6237"/>
    <w:rsid w:val="00AA69AD"/>
    <w:rsid w:val="00AA7BDF"/>
    <w:rsid w:val="00AB03DA"/>
    <w:rsid w:val="00AB0F64"/>
    <w:rsid w:val="00AB1023"/>
    <w:rsid w:val="00AB13A1"/>
    <w:rsid w:val="00AB1412"/>
    <w:rsid w:val="00AB1A72"/>
    <w:rsid w:val="00AB1DEA"/>
    <w:rsid w:val="00AB1F8E"/>
    <w:rsid w:val="00AB399C"/>
    <w:rsid w:val="00AB3A9A"/>
    <w:rsid w:val="00AB4776"/>
    <w:rsid w:val="00AB48EF"/>
    <w:rsid w:val="00AB4A37"/>
    <w:rsid w:val="00AB52B5"/>
    <w:rsid w:val="00AB5374"/>
    <w:rsid w:val="00AB5628"/>
    <w:rsid w:val="00AB5E75"/>
    <w:rsid w:val="00AB5E99"/>
    <w:rsid w:val="00AB6272"/>
    <w:rsid w:val="00AB659D"/>
    <w:rsid w:val="00AB6833"/>
    <w:rsid w:val="00AB6BD9"/>
    <w:rsid w:val="00AC02A7"/>
    <w:rsid w:val="00AC0311"/>
    <w:rsid w:val="00AC05C6"/>
    <w:rsid w:val="00AC0E4F"/>
    <w:rsid w:val="00AC13F7"/>
    <w:rsid w:val="00AC1F64"/>
    <w:rsid w:val="00AC1FBE"/>
    <w:rsid w:val="00AC1FD8"/>
    <w:rsid w:val="00AC2FD9"/>
    <w:rsid w:val="00AC3252"/>
    <w:rsid w:val="00AC349E"/>
    <w:rsid w:val="00AC3799"/>
    <w:rsid w:val="00AC3EEC"/>
    <w:rsid w:val="00AC44BE"/>
    <w:rsid w:val="00AC44EC"/>
    <w:rsid w:val="00AC4678"/>
    <w:rsid w:val="00AC4CA1"/>
    <w:rsid w:val="00AC5694"/>
    <w:rsid w:val="00AC59D3"/>
    <w:rsid w:val="00AC5BA4"/>
    <w:rsid w:val="00AC61CF"/>
    <w:rsid w:val="00AC6366"/>
    <w:rsid w:val="00AC67FB"/>
    <w:rsid w:val="00AC6C99"/>
    <w:rsid w:val="00AC7243"/>
    <w:rsid w:val="00AC796C"/>
    <w:rsid w:val="00AC7C3F"/>
    <w:rsid w:val="00AD0AA7"/>
    <w:rsid w:val="00AD0AEC"/>
    <w:rsid w:val="00AD1228"/>
    <w:rsid w:val="00AD24F4"/>
    <w:rsid w:val="00AD2C71"/>
    <w:rsid w:val="00AD329A"/>
    <w:rsid w:val="00AD3A21"/>
    <w:rsid w:val="00AD3AE0"/>
    <w:rsid w:val="00AD3F73"/>
    <w:rsid w:val="00AD4F42"/>
    <w:rsid w:val="00AD4FF7"/>
    <w:rsid w:val="00AD50F2"/>
    <w:rsid w:val="00AD5B25"/>
    <w:rsid w:val="00AD5F83"/>
    <w:rsid w:val="00AD69B2"/>
    <w:rsid w:val="00AD6E77"/>
    <w:rsid w:val="00AD6EE3"/>
    <w:rsid w:val="00AE0950"/>
    <w:rsid w:val="00AE0A24"/>
    <w:rsid w:val="00AE0B3F"/>
    <w:rsid w:val="00AE0C42"/>
    <w:rsid w:val="00AE18E7"/>
    <w:rsid w:val="00AE1DB1"/>
    <w:rsid w:val="00AE1ED5"/>
    <w:rsid w:val="00AE2500"/>
    <w:rsid w:val="00AE2F82"/>
    <w:rsid w:val="00AE3081"/>
    <w:rsid w:val="00AE44B9"/>
    <w:rsid w:val="00AE4FA1"/>
    <w:rsid w:val="00AE51EA"/>
    <w:rsid w:val="00AE532F"/>
    <w:rsid w:val="00AE5ADE"/>
    <w:rsid w:val="00AE5DC6"/>
    <w:rsid w:val="00AE6256"/>
    <w:rsid w:val="00AE6B56"/>
    <w:rsid w:val="00AE6C29"/>
    <w:rsid w:val="00AE7390"/>
    <w:rsid w:val="00AE7473"/>
    <w:rsid w:val="00AE76E1"/>
    <w:rsid w:val="00AE7B90"/>
    <w:rsid w:val="00AF0912"/>
    <w:rsid w:val="00AF145A"/>
    <w:rsid w:val="00AF16E4"/>
    <w:rsid w:val="00AF2315"/>
    <w:rsid w:val="00AF23F8"/>
    <w:rsid w:val="00AF2D80"/>
    <w:rsid w:val="00AF3627"/>
    <w:rsid w:val="00AF4063"/>
    <w:rsid w:val="00AF42F9"/>
    <w:rsid w:val="00AF466C"/>
    <w:rsid w:val="00AF49D1"/>
    <w:rsid w:val="00AF4FC8"/>
    <w:rsid w:val="00AF5531"/>
    <w:rsid w:val="00AF5A21"/>
    <w:rsid w:val="00AF5A68"/>
    <w:rsid w:val="00AF6B06"/>
    <w:rsid w:val="00AF701D"/>
    <w:rsid w:val="00AF733A"/>
    <w:rsid w:val="00AF78C4"/>
    <w:rsid w:val="00AF79B3"/>
    <w:rsid w:val="00B00436"/>
    <w:rsid w:val="00B00DBD"/>
    <w:rsid w:val="00B014C2"/>
    <w:rsid w:val="00B016D9"/>
    <w:rsid w:val="00B017B9"/>
    <w:rsid w:val="00B01E33"/>
    <w:rsid w:val="00B01F94"/>
    <w:rsid w:val="00B023EC"/>
    <w:rsid w:val="00B02C69"/>
    <w:rsid w:val="00B02FF5"/>
    <w:rsid w:val="00B0319D"/>
    <w:rsid w:val="00B037B1"/>
    <w:rsid w:val="00B03F0F"/>
    <w:rsid w:val="00B045BE"/>
    <w:rsid w:val="00B04B0E"/>
    <w:rsid w:val="00B04B6A"/>
    <w:rsid w:val="00B04DE2"/>
    <w:rsid w:val="00B04E90"/>
    <w:rsid w:val="00B05068"/>
    <w:rsid w:val="00B05C79"/>
    <w:rsid w:val="00B05D47"/>
    <w:rsid w:val="00B061A5"/>
    <w:rsid w:val="00B06284"/>
    <w:rsid w:val="00B068CE"/>
    <w:rsid w:val="00B0691D"/>
    <w:rsid w:val="00B06FE3"/>
    <w:rsid w:val="00B07B18"/>
    <w:rsid w:val="00B10532"/>
    <w:rsid w:val="00B106E9"/>
    <w:rsid w:val="00B10A24"/>
    <w:rsid w:val="00B10ED1"/>
    <w:rsid w:val="00B11257"/>
    <w:rsid w:val="00B1148A"/>
    <w:rsid w:val="00B11854"/>
    <w:rsid w:val="00B120B1"/>
    <w:rsid w:val="00B12843"/>
    <w:rsid w:val="00B131C4"/>
    <w:rsid w:val="00B13408"/>
    <w:rsid w:val="00B13A6D"/>
    <w:rsid w:val="00B13B69"/>
    <w:rsid w:val="00B13FC0"/>
    <w:rsid w:val="00B15315"/>
    <w:rsid w:val="00B15AE4"/>
    <w:rsid w:val="00B16065"/>
    <w:rsid w:val="00B1618B"/>
    <w:rsid w:val="00B16B58"/>
    <w:rsid w:val="00B17235"/>
    <w:rsid w:val="00B172F5"/>
    <w:rsid w:val="00B1778C"/>
    <w:rsid w:val="00B20533"/>
    <w:rsid w:val="00B20685"/>
    <w:rsid w:val="00B20756"/>
    <w:rsid w:val="00B2090D"/>
    <w:rsid w:val="00B20EB0"/>
    <w:rsid w:val="00B2118A"/>
    <w:rsid w:val="00B2273E"/>
    <w:rsid w:val="00B232FE"/>
    <w:rsid w:val="00B234CD"/>
    <w:rsid w:val="00B23ECD"/>
    <w:rsid w:val="00B246AA"/>
    <w:rsid w:val="00B247BD"/>
    <w:rsid w:val="00B24828"/>
    <w:rsid w:val="00B24B55"/>
    <w:rsid w:val="00B24FAE"/>
    <w:rsid w:val="00B251EA"/>
    <w:rsid w:val="00B25393"/>
    <w:rsid w:val="00B25CB6"/>
    <w:rsid w:val="00B25E04"/>
    <w:rsid w:val="00B261B5"/>
    <w:rsid w:val="00B268A6"/>
    <w:rsid w:val="00B27286"/>
    <w:rsid w:val="00B27417"/>
    <w:rsid w:val="00B277BF"/>
    <w:rsid w:val="00B2799E"/>
    <w:rsid w:val="00B27E50"/>
    <w:rsid w:val="00B31783"/>
    <w:rsid w:val="00B31A23"/>
    <w:rsid w:val="00B31C4F"/>
    <w:rsid w:val="00B31C78"/>
    <w:rsid w:val="00B321FF"/>
    <w:rsid w:val="00B3234F"/>
    <w:rsid w:val="00B3264D"/>
    <w:rsid w:val="00B3280B"/>
    <w:rsid w:val="00B32B6E"/>
    <w:rsid w:val="00B32D02"/>
    <w:rsid w:val="00B32E97"/>
    <w:rsid w:val="00B33E77"/>
    <w:rsid w:val="00B34391"/>
    <w:rsid w:val="00B34D5C"/>
    <w:rsid w:val="00B3572D"/>
    <w:rsid w:val="00B35891"/>
    <w:rsid w:val="00B358D9"/>
    <w:rsid w:val="00B36774"/>
    <w:rsid w:val="00B36A57"/>
    <w:rsid w:val="00B36BDF"/>
    <w:rsid w:val="00B37145"/>
    <w:rsid w:val="00B373A6"/>
    <w:rsid w:val="00B37889"/>
    <w:rsid w:val="00B4005B"/>
    <w:rsid w:val="00B40089"/>
    <w:rsid w:val="00B40153"/>
    <w:rsid w:val="00B40410"/>
    <w:rsid w:val="00B40971"/>
    <w:rsid w:val="00B409CA"/>
    <w:rsid w:val="00B40E1F"/>
    <w:rsid w:val="00B41924"/>
    <w:rsid w:val="00B41BB8"/>
    <w:rsid w:val="00B42168"/>
    <w:rsid w:val="00B42406"/>
    <w:rsid w:val="00B424FC"/>
    <w:rsid w:val="00B42A2D"/>
    <w:rsid w:val="00B42BE7"/>
    <w:rsid w:val="00B43232"/>
    <w:rsid w:val="00B435C8"/>
    <w:rsid w:val="00B43AAB"/>
    <w:rsid w:val="00B440B2"/>
    <w:rsid w:val="00B44199"/>
    <w:rsid w:val="00B443C7"/>
    <w:rsid w:val="00B444AA"/>
    <w:rsid w:val="00B447C1"/>
    <w:rsid w:val="00B44821"/>
    <w:rsid w:val="00B4528B"/>
    <w:rsid w:val="00B453C0"/>
    <w:rsid w:val="00B46022"/>
    <w:rsid w:val="00B4637A"/>
    <w:rsid w:val="00B46761"/>
    <w:rsid w:val="00B47219"/>
    <w:rsid w:val="00B475D0"/>
    <w:rsid w:val="00B506F5"/>
    <w:rsid w:val="00B5114A"/>
    <w:rsid w:val="00B511F3"/>
    <w:rsid w:val="00B513E0"/>
    <w:rsid w:val="00B52D32"/>
    <w:rsid w:val="00B52E79"/>
    <w:rsid w:val="00B532C4"/>
    <w:rsid w:val="00B5362B"/>
    <w:rsid w:val="00B53C84"/>
    <w:rsid w:val="00B5451A"/>
    <w:rsid w:val="00B5461C"/>
    <w:rsid w:val="00B54735"/>
    <w:rsid w:val="00B54D5D"/>
    <w:rsid w:val="00B56963"/>
    <w:rsid w:val="00B56CCB"/>
    <w:rsid w:val="00B57647"/>
    <w:rsid w:val="00B603B1"/>
    <w:rsid w:val="00B60B4F"/>
    <w:rsid w:val="00B628C7"/>
    <w:rsid w:val="00B6301E"/>
    <w:rsid w:val="00B63664"/>
    <w:rsid w:val="00B63870"/>
    <w:rsid w:val="00B63C9D"/>
    <w:rsid w:val="00B6421B"/>
    <w:rsid w:val="00B65042"/>
    <w:rsid w:val="00B65368"/>
    <w:rsid w:val="00B65561"/>
    <w:rsid w:val="00B65AA0"/>
    <w:rsid w:val="00B65AAE"/>
    <w:rsid w:val="00B65D32"/>
    <w:rsid w:val="00B65D53"/>
    <w:rsid w:val="00B6651F"/>
    <w:rsid w:val="00B66A32"/>
    <w:rsid w:val="00B66C38"/>
    <w:rsid w:val="00B66C55"/>
    <w:rsid w:val="00B677BC"/>
    <w:rsid w:val="00B67961"/>
    <w:rsid w:val="00B679AE"/>
    <w:rsid w:val="00B67A7B"/>
    <w:rsid w:val="00B67CFE"/>
    <w:rsid w:val="00B708FF"/>
    <w:rsid w:val="00B7117A"/>
    <w:rsid w:val="00B71AC6"/>
    <w:rsid w:val="00B71E67"/>
    <w:rsid w:val="00B72550"/>
    <w:rsid w:val="00B7346C"/>
    <w:rsid w:val="00B74A1A"/>
    <w:rsid w:val="00B74FE0"/>
    <w:rsid w:val="00B75037"/>
    <w:rsid w:val="00B752E4"/>
    <w:rsid w:val="00B757D2"/>
    <w:rsid w:val="00B75939"/>
    <w:rsid w:val="00B75E79"/>
    <w:rsid w:val="00B76A7B"/>
    <w:rsid w:val="00B76B44"/>
    <w:rsid w:val="00B76DD2"/>
    <w:rsid w:val="00B7745D"/>
    <w:rsid w:val="00B77777"/>
    <w:rsid w:val="00B77EB7"/>
    <w:rsid w:val="00B80531"/>
    <w:rsid w:val="00B811A2"/>
    <w:rsid w:val="00B81250"/>
    <w:rsid w:val="00B82833"/>
    <w:rsid w:val="00B8312C"/>
    <w:rsid w:val="00B83814"/>
    <w:rsid w:val="00B8397D"/>
    <w:rsid w:val="00B844D8"/>
    <w:rsid w:val="00B84907"/>
    <w:rsid w:val="00B84D9C"/>
    <w:rsid w:val="00B85F07"/>
    <w:rsid w:val="00B86859"/>
    <w:rsid w:val="00B877A4"/>
    <w:rsid w:val="00B877C1"/>
    <w:rsid w:val="00B87F2B"/>
    <w:rsid w:val="00B907CF"/>
    <w:rsid w:val="00B90F48"/>
    <w:rsid w:val="00B90F4B"/>
    <w:rsid w:val="00B90FC0"/>
    <w:rsid w:val="00B9109A"/>
    <w:rsid w:val="00B91F98"/>
    <w:rsid w:val="00B92AD4"/>
    <w:rsid w:val="00B92C68"/>
    <w:rsid w:val="00B92DBF"/>
    <w:rsid w:val="00B9318A"/>
    <w:rsid w:val="00B93301"/>
    <w:rsid w:val="00B938C5"/>
    <w:rsid w:val="00B93B23"/>
    <w:rsid w:val="00B93C49"/>
    <w:rsid w:val="00B94FC8"/>
    <w:rsid w:val="00B95070"/>
    <w:rsid w:val="00B9565C"/>
    <w:rsid w:val="00B956BF"/>
    <w:rsid w:val="00B968D4"/>
    <w:rsid w:val="00B9695A"/>
    <w:rsid w:val="00B96AE6"/>
    <w:rsid w:val="00B96BD0"/>
    <w:rsid w:val="00B97F0E"/>
    <w:rsid w:val="00BA0832"/>
    <w:rsid w:val="00BA1F15"/>
    <w:rsid w:val="00BA28A7"/>
    <w:rsid w:val="00BA2E97"/>
    <w:rsid w:val="00BA30B4"/>
    <w:rsid w:val="00BA30F7"/>
    <w:rsid w:val="00BA3B4E"/>
    <w:rsid w:val="00BA416A"/>
    <w:rsid w:val="00BA43CE"/>
    <w:rsid w:val="00BA4B17"/>
    <w:rsid w:val="00BA4C81"/>
    <w:rsid w:val="00BA4E39"/>
    <w:rsid w:val="00BA5001"/>
    <w:rsid w:val="00BA514D"/>
    <w:rsid w:val="00BA53E3"/>
    <w:rsid w:val="00BA5489"/>
    <w:rsid w:val="00BA555A"/>
    <w:rsid w:val="00BA5901"/>
    <w:rsid w:val="00BA5B34"/>
    <w:rsid w:val="00BA5D99"/>
    <w:rsid w:val="00BA5E02"/>
    <w:rsid w:val="00BA5EA7"/>
    <w:rsid w:val="00BA69DA"/>
    <w:rsid w:val="00BA6A08"/>
    <w:rsid w:val="00BA6CCC"/>
    <w:rsid w:val="00BA724E"/>
    <w:rsid w:val="00BA73A7"/>
    <w:rsid w:val="00BB0817"/>
    <w:rsid w:val="00BB083F"/>
    <w:rsid w:val="00BB1192"/>
    <w:rsid w:val="00BB136D"/>
    <w:rsid w:val="00BB1D83"/>
    <w:rsid w:val="00BB28B9"/>
    <w:rsid w:val="00BB3774"/>
    <w:rsid w:val="00BB40E3"/>
    <w:rsid w:val="00BB4703"/>
    <w:rsid w:val="00BB488F"/>
    <w:rsid w:val="00BB4D94"/>
    <w:rsid w:val="00BB4EF7"/>
    <w:rsid w:val="00BB579A"/>
    <w:rsid w:val="00BB5B59"/>
    <w:rsid w:val="00BB67F8"/>
    <w:rsid w:val="00BB6BBA"/>
    <w:rsid w:val="00BB742F"/>
    <w:rsid w:val="00BC1046"/>
    <w:rsid w:val="00BC153C"/>
    <w:rsid w:val="00BC1851"/>
    <w:rsid w:val="00BC208E"/>
    <w:rsid w:val="00BC249B"/>
    <w:rsid w:val="00BC25D4"/>
    <w:rsid w:val="00BC26FF"/>
    <w:rsid w:val="00BC2C75"/>
    <w:rsid w:val="00BC2D56"/>
    <w:rsid w:val="00BC2DE1"/>
    <w:rsid w:val="00BC33FA"/>
    <w:rsid w:val="00BC3522"/>
    <w:rsid w:val="00BC3D69"/>
    <w:rsid w:val="00BC4036"/>
    <w:rsid w:val="00BC4509"/>
    <w:rsid w:val="00BC451B"/>
    <w:rsid w:val="00BC49E0"/>
    <w:rsid w:val="00BC4FB2"/>
    <w:rsid w:val="00BC50DD"/>
    <w:rsid w:val="00BC5332"/>
    <w:rsid w:val="00BC5649"/>
    <w:rsid w:val="00BC5CE1"/>
    <w:rsid w:val="00BC60CE"/>
    <w:rsid w:val="00BC65CE"/>
    <w:rsid w:val="00BC69C8"/>
    <w:rsid w:val="00BC6D19"/>
    <w:rsid w:val="00BC6DE8"/>
    <w:rsid w:val="00BC7238"/>
    <w:rsid w:val="00BC732C"/>
    <w:rsid w:val="00BC7702"/>
    <w:rsid w:val="00BC7997"/>
    <w:rsid w:val="00BC7EE8"/>
    <w:rsid w:val="00BD0546"/>
    <w:rsid w:val="00BD0C3A"/>
    <w:rsid w:val="00BD12DA"/>
    <w:rsid w:val="00BD13D9"/>
    <w:rsid w:val="00BD1676"/>
    <w:rsid w:val="00BD1735"/>
    <w:rsid w:val="00BD1C32"/>
    <w:rsid w:val="00BD1D09"/>
    <w:rsid w:val="00BD20D8"/>
    <w:rsid w:val="00BD283D"/>
    <w:rsid w:val="00BD2912"/>
    <w:rsid w:val="00BD2E6F"/>
    <w:rsid w:val="00BD3819"/>
    <w:rsid w:val="00BD3BBE"/>
    <w:rsid w:val="00BD4547"/>
    <w:rsid w:val="00BD48D3"/>
    <w:rsid w:val="00BD5026"/>
    <w:rsid w:val="00BD52E7"/>
    <w:rsid w:val="00BD5B37"/>
    <w:rsid w:val="00BD5E26"/>
    <w:rsid w:val="00BD6171"/>
    <w:rsid w:val="00BD679E"/>
    <w:rsid w:val="00BD7221"/>
    <w:rsid w:val="00BD74B9"/>
    <w:rsid w:val="00BD76AA"/>
    <w:rsid w:val="00BD7DEA"/>
    <w:rsid w:val="00BD7EC5"/>
    <w:rsid w:val="00BE0372"/>
    <w:rsid w:val="00BE0641"/>
    <w:rsid w:val="00BE093A"/>
    <w:rsid w:val="00BE0F44"/>
    <w:rsid w:val="00BE0F91"/>
    <w:rsid w:val="00BE125A"/>
    <w:rsid w:val="00BE1E7D"/>
    <w:rsid w:val="00BE2086"/>
    <w:rsid w:val="00BE209E"/>
    <w:rsid w:val="00BE30A0"/>
    <w:rsid w:val="00BE37BE"/>
    <w:rsid w:val="00BE37DF"/>
    <w:rsid w:val="00BE3B71"/>
    <w:rsid w:val="00BE3D06"/>
    <w:rsid w:val="00BE3DD2"/>
    <w:rsid w:val="00BE3EAD"/>
    <w:rsid w:val="00BE4003"/>
    <w:rsid w:val="00BE4349"/>
    <w:rsid w:val="00BE54A8"/>
    <w:rsid w:val="00BE5610"/>
    <w:rsid w:val="00BE5770"/>
    <w:rsid w:val="00BE5ACF"/>
    <w:rsid w:val="00BE5E8A"/>
    <w:rsid w:val="00BE6502"/>
    <w:rsid w:val="00BE789F"/>
    <w:rsid w:val="00BE7DC5"/>
    <w:rsid w:val="00BF02E0"/>
    <w:rsid w:val="00BF0912"/>
    <w:rsid w:val="00BF0B36"/>
    <w:rsid w:val="00BF10AC"/>
    <w:rsid w:val="00BF1157"/>
    <w:rsid w:val="00BF12DA"/>
    <w:rsid w:val="00BF175E"/>
    <w:rsid w:val="00BF1AD8"/>
    <w:rsid w:val="00BF1E77"/>
    <w:rsid w:val="00BF204B"/>
    <w:rsid w:val="00BF2B20"/>
    <w:rsid w:val="00BF302E"/>
    <w:rsid w:val="00BF30BE"/>
    <w:rsid w:val="00BF3297"/>
    <w:rsid w:val="00BF3706"/>
    <w:rsid w:val="00BF3BBF"/>
    <w:rsid w:val="00BF4069"/>
    <w:rsid w:val="00BF4197"/>
    <w:rsid w:val="00BF4481"/>
    <w:rsid w:val="00BF4DD3"/>
    <w:rsid w:val="00BF55E7"/>
    <w:rsid w:val="00BF56B1"/>
    <w:rsid w:val="00BF6558"/>
    <w:rsid w:val="00BF6975"/>
    <w:rsid w:val="00BF6CBE"/>
    <w:rsid w:val="00BF6DBE"/>
    <w:rsid w:val="00BF6EF8"/>
    <w:rsid w:val="00BF717B"/>
    <w:rsid w:val="00BF7F94"/>
    <w:rsid w:val="00C00842"/>
    <w:rsid w:val="00C008A5"/>
    <w:rsid w:val="00C0165E"/>
    <w:rsid w:val="00C01802"/>
    <w:rsid w:val="00C01A94"/>
    <w:rsid w:val="00C01DAE"/>
    <w:rsid w:val="00C02147"/>
    <w:rsid w:val="00C0239C"/>
    <w:rsid w:val="00C02D10"/>
    <w:rsid w:val="00C037DD"/>
    <w:rsid w:val="00C0390A"/>
    <w:rsid w:val="00C04080"/>
    <w:rsid w:val="00C04087"/>
    <w:rsid w:val="00C04146"/>
    <w:rsid w:val="00C046AE"/>
    <w:rsid w:val="00C04F62"/>
    <w:rsid w:val="00C04F89"/>
    <w:rsid w:val="00C058EF"/>
    <w:rsid w:val="00C06DAE"/>
    <w:rsid w:val="00C07B6E"/>
    <w:rsid w:val="00C10323"/>
    <w:rsid w:val="00C107F7"/>
    <w:rsid w:val="00C10B20"/>
    <w:rsid w:val="00C1113B"/>
    <w:rsid w:val="00C11597"/>
    <w:rsid w:val="00C11E65"/>
    <w:rsid w:val="00C12141"/>
    <w:rsid w:val="00C1247A"/>
    <w:rsid w:val="00C12AF9"/>
    <w:rsid w:val="00C12E18"/>
    <w:rsid w:val="00C13692"/>
    <w:rsid w:val="00C13883"/>
    <w:rsid w:val="00C13CBB"/>
    <w:rsid w:val="00C14AE2"/>
    <w:rsid w:val="00C14CC4"/>
    <w:rsid w:val="00C152C4"/>
    <w:rsid w:val="00C15416"/>
    <w:rsid w:val="00C15608"/>
    <w:rsid w:val="00C15648"/>
    <w:rsid w:val="00C156A3"/>
    <w:rsid w:val="00C15815"/>
    <w:rsid w:val="00C15824"/>
    <w:rsid w:val="00C15B85"/>
    <w:rsid w:val="00C15B8C"/>
    <w:rsid w:val="00C15C1B"/>
    <w:rsid w:val="00C16926"/>
    <w:rsid w:val="00C16E38"/>
    <w:rsid w:val="00C177DE"/>
    <w:rsid w:val="00C20180"/>
    <w:rsid w:val="00C20300"/>
    <w:rsid w:val="00C204F9"/>
    <w:rsid w:val="00C208BE"/>
    <w:rsid w:val="00C20B54"/>
    <w:rsid w:val="00C214BD"/>
    <w:rsid w:val="00C217F2"/>
    <w:rsid w:val="00C21A35"/>
    <w:rsid w:val="00C21BCF"/>
    <w:rsid w:val="00C21EFF"/>
    <w:rsid w:val="00C22318"/>
    <w:rsid w:val="00C2274B"/>
    <w:rsid w:val="00C228C8"/>
    <w:rsid w:val="00C23563"/>
    <w:rsid w:val="00C23646"/>
    <w:rsid w:val="00C23ABF"/>
    <w:rsid w:val="00C23F03"/>
    <w:rsid w:val="00C241EC"/>
    <w:rsid w:val="00C243C6"/>
    <w:rsid w:val="00C24861"/>
    <w:rsid w:val="00C253F5"/>
    <w:rsid w:val="00C2571B"/>
    <w:rsid w:val="00C26B46"/>
    <w:rsid w:val="00C26B67"/>
    <w:rsid w:val="00C26B75"/>
    <w:rsid w:val="00C26CF1"/>
    <w:rsid w:val="00C26D37"/>
    <w:rsid w:val="00C27295"/>
    <w:rsid w:val="00C27B17"/>
    <w:rsid w:val="00C307E1"/>
    <w:rsid w:val="00C308A0"/>
    <w:rsid w:val="00C30CF3"/>
    <w:rsid w:val="00C30D23"/>
    <w:rsid w:val="00C31932"/>
    <w:rsid w:val="00C32C14"/>
    <w:rsid w:val="00C330B3"/>
    <w:rsid w:val="00C3397E"/>
    <w:rsid w:val="00C340E1"/>
    <w:rsid w:val="00C34D0B"/>
    <w:rsid w:val="00C34E6D"/>
    <w:rsid w:val="00C35BB6"/>
    <w:rsid w:val="00C35DA9"/>
    <w:rsid w:val="00C35FD2"/>
    <w:rsid w:val="00C36A56"/>
    <w:rsid w:val="00C3727E"/>
    <w:rsid w:val="00C37993"/>
    <w:rsid w:val="00C37CBD"/>
    <w:rsid w:val="00C4101F"/>
    <w:rsid w:val="00C417F7"/>
    <w:rsid w:val="00C419EF"/>
    <w:rsid w:val="00C41AB1"/>
    <w:rsid w:val="00C41B20"/>
    <w:rsid w:val="00C420AD"/>
    <w:rsid w:val="00C428BE"/>
    <w:rsid w:val="00C42D1F"/>
    <w:rsid w:val="00C42D94"/>
    <w:rsid w:val="00C42F8C"/>
    <w:rsid w:val="00C433F4"/>
    <w:rsid w:val="00C437B3"/>
    <w:rsid w:val="00C43DD5"/>
    <w:rsid w:val="00C43F15"/>
    <w:rsid w:val="00C4467D"/>
    <w:rsid w:val="00C44C13"/>
    <w:rsid w:val="00C45220"/>
    <w:rsid w:val="00C456CC"/>
    <w:rsid w:val="00C45771"/>
    <w:rsid w:val="00C459E4"/>
    <w:rsid w:val="00C4681C"/>
    <w:rsid w:val="00C468E2"/>
    <w:rsid w:val="00C477C2"/>
    <w:rsid w:val="00C502D2"/>
    <w:rsid w:val="00C5050E"/>
    <w:rsid w:val="00C508A1"/>
    <w:rsid w:val="00C50F2F"/>
    <w:rsid w:val="00C510C1"/>
    <w:rsid w:val="00C51AAA"/>
    <w:rsid w:val="00C51D17"/>
    <w:rsid w:val="00C522EA"/>
    <w:rsid w:val="00C52C97"/>
    <w:rsid w:val="00C53170"/>
    <w:rsid w:val="00C5336C"/>
    <w:rsid w:val="00C5347B"/>
    <w:rsid w:val="00C53896"/>
    <w:rsid w:val="00C53985"/>
    <w:rsid w:val="00C53CC6"/>
    <w:rsid w:val="00C55181"/>
    <w:rsid w:val="00C552AA"/>
    <w:rsid w:val="00C553DB"/>
    <w:rsid w:val="00C55E2A"/>
    <w:rsid w:val="00C55EEF"/>
    <w:rsid w:val="00C56003"/>
    <w:rsid w:val="00C561CA"/>
    <w:rsid w:val="00C56204"/>
    <w:rsid w:val="00C56698"/>
    <w:rsid w:val="00C56A7A"/>
    <w:rsid w:val="00C56E31"/>
    <w:rsid w:val="00C6018E"/>
    <w:rsid w:val="00C604A6"/>
    <w:rsid w:val="00C60958"/>
    <w:rsid w:val="00C60E3A"/>
    <w:rsid w:val="00C6154D"/>
    <w:rsid w:val="00C61BDB"/>
    <w:rsid w:val="00C61D8C"/>
    <w:rsid w:val="00C62136"/>
    <w:rsid w:val="00C62252"/>
    <w:rsid w:val="00C63453"/>
    <w:rsid w:val="00C63A7F"/>
    <w:rsid w:val="00C63DA2"/>
    <w:rsid w:val="00C63E2A"/>
    <w:rsid w:val="00C64345"/>
    <w:rsid w:val="00C64E56"/>
    <w:rsid w:val="00C64F58"/>
    <w:rsid w:val="00C651E6"/>
    <w:rsid w:val="00C656A2"/>
    <w:rsid w:val="00C664D1"/>
    <w:rsid w:val="00C66B2E"/>
    <w:rsid w:val="00C66C7E"/>
    <w:rsid w:val="00C674D8"/>
    <w:rsid w:val="00C70094"/>
    <w:rsid w:val="00C7025C"/>
    <w:rsid w:val="00C7061C"/>
    <w:rsid w:val="00C70A17"/>
    <w:rsid w:val="00C70CEB"/>
    <w:rsid w:val="00C70F4C"/>
    <w:rsid w:val="00C71045"/>
    <w:rsid w:val="00C7110D"/>
    <w:rsid w:val="00C72350"/>
    <w:rsid w:val="00C737BA"/>
    <w:rsid w:val="00C738D3"/>
    <w:rsid w:val="00C74136"/>
    <w:rsid w:val="00C7537C"/>
    <w:rsid w:val="00C756F5"/>
    <w:rsid w:val="00C75810"/>
    <w:rsid w:val="00C75934"/>
    <w:rsid w:val="00C75CBD"/>
    <w:rsid w:val="00C75E6D"/>
    <w:rsid w:val="00C76031"/>
    <w:rsid w:val="00C762E7"/>
    <w:rsid w:val="00C762EF"/>
    <w:rsid w:val="00C764C5"/>
    <w:rsid w:val="00C7755B"/>
    <w:rsid w:val="00C77A0F"/>
    <w:rsid w:val="00C77B6B"/>
    <w:rsid w:val="00C8009B"/>
    <w:rsid w:val="00C80F05"/>
    <w:rsid w:val="00C8120E"/>
    <w:rsid w:val="00C81233"/>
    <w:rsid w:val="00C81254"/>
    <w:rsid w:val="00C812C2"/>
    <w:rsid w:val="00C8185D"/>
    <w:rsid w:val="00C8222D"/>
    <w:rsid w:val="00C822CC"/>
    <w:rsid w:val="00C82D66"/>
    <w:rsid w:val="00C83A86"/>
    <w:rsid w:val="00C83B7E"/>
    <w:rsid w:val="00C83D22"/>
    <w:rsid w:val="00C84061"/>
    <w:rsid w:val="00C840A3"/>
    <w:rsid w:val="00C846EC"/>
    <w:rsid w:val="00C84E02"/>
    <w:rsid w:val="00C8505B"/>
    <w:rsid w:val="00C852C0"/>
    <w:rsid w:val="00C85477"/>
    <w:rsid w:val="00C85886"/>
    <w:rsid w:val="00C85AD4"/>
    <w:rsid w:val="00C86918"/>
    <w:rsid w:val="00C86939"/>
    <w:rsid w:val="00C86DB3"/>
    <w:rsid w:val="00C86EA0"/>
    <w:rsid w:val="00C8723A"/>
    <w:rsid w:val="00C87447"/>
    <w:rsid w:val="00C87D4B"/>
    <w:rsid w:val="00C9016C"/>
    <w:rsid w:val="00C9074A"/>
    <w:rsid w:val="00C90DE5"/>
    <w:rsid w:val="00C90E13"/>
    <w:rsid w:val="00C9123E"/>
    <w:rsid w:val="00C91938"/>
    <w:rsid w:val="00C9219C"/>
    <w:rsid w:val="00C9258A"/>
    <w:rsid w:val="00C92825"/>
    <w:rsid w:val="00C92D3B"/>
    <w:rsid w:val="00C92F8E"/>
    <w:rsid w:val="00C932EB"/>
    <w:rsid w:val="00C93FDA"/>
    <w:rsid w:val="00C944A9"/>
    <w:rsid w:val="00C94AAC"/>
    <w:rsid w:val="00C94DD1"/>
    <w:rsid w:val="00C95AC8"/>
    <w:rsid w:val="00C95F25"/>
    <w:rsid w:val="00C962D7"/>
    <w:rsid w:val="00C96BA5"/>
    <w:rsid w:val="00C97149"/>
    <w:rsid w:val="00CA0B8A"/>
    <w:rsid w:val="00CA1A65"/>
    <w:rsid w:val="00CA1C74"/>
    <w:rsid w:val="00CA1D61"/>
    <w:rsid w:val="00CA1F8A"/>
    <w:rsid w:val="00CA2134"/>
    <w:rsid w:val="00CA2642"/>
    <w:rsid w:val="00CA283A"/>
    <w:rsid w:val="00CA29DB"/>
    <w:rsid w:val="00CA2EA4"/>
    <w:rsid w:val="00CA3637"/>
    <w:rsid w:val="00CA3EAF"/>
    <w:rsid w:val="00CA3EF5"/>
    <w:rsid w:val="00CA415A"/>
    <w:rsid w:val="00CA4AE4"/>
    <w:rsid w:val="00CA4EE6"/>
    <w:rsid w:val="00CA531B"/>
    <w:rsid w:val="00CA5E42"/>
    <w:rsid w:val="00CA61B5"/>
    <w:rsid w:val="00CA653C"/>
    <w:rsid w:val="00CA6AC1"/>
    <w:rsid w:val="00CA7328"/>
    <w:rsid w:val="00CA7433"/>
    <w:rsid w:val="00CB07FB"/>
    <w:rsid w:val="00CB08D2"/>
    <w:rsid w:val="00CB0AA2"/>
    <w:rsid w:val="00CB0D4A"/>
    <w:rsid w:val="00CB11EE"/>
    <w:rsid w:val="00CB160C"/>
    <w:rsid w:val="00CB1795"/>
    <w:rsid w:val="00CB1A01"/>
    <w:rsid w:val="00CB1BBE"/>
    <w:rsid w:val="00CB1C42"/>
    <w:rsid w:val="00CB28FE"/>
    <w:rsid w:val="00CB2A52"/>
    <w:rsid w:val="00CB2EE9"/>
    <w:rsid w:val="00CB3842"/>
    <w:rsid w:val="00CB4690"/>
    <w:rsid w:val="00CB4AAA"/>
    <w:rsid w:val="00CB5C96"/>
    <w:rsid w:val="00CB5F30"/>
    <w:rsid w:val="00CB6398"/>
    <w:rsid w:val="00CB6530"/>
    <w:rsid w:val="00CB6804"/>
    <w:rsid w:val="00CB7A9C"/>
    <w:rsid w:val="00CC003C"/>
    <w:rsid w:val="00CC0373"/>
    <w:rsid w:val="00CC0574"/>
    <w:rsid w:val="00CC0887"/>
    <w:rsid w:val="00CC08ED"/>
    <w:rsid w:val="00CC0A05"/>
    <w:rsid w:val="00CC0FA3"/>
    <w:rsid w:val="00CC1238"/>
    <w:rsid w:val="00CC156F"/>
    <w:rsid w:val="00CC168B"/>
    <w:rsid w:val="00CC19DE"/>
    <w:rsid w:val="00CC1B2F"/>
    <w:rsid w:val="00CC1BA9"/>
    <w:rsid w:val="00CC23BC"/>
    <w:rsid w:val="00CC2B09"/>
    <w:rsid w:val="00CC2B25"/>
    <w:rsid w:val="00CC3292"/>
    <w:rsid w:val="00CC43DE"/>
    <w:rsid w:val="00CC442C"/>
    <w:rsid w:val="00CC4763"/>
    <w:rsid w:val="00CC53F6"/>
    <w:rsid w:val="00CC5D5F"/>
    <w:rsid w:val="00CC5F76"/>
    <w:rsid w:val="00CC62F6"/>
    <w:rsid w:val="00CC6AAB"/>
    <w:rsid w:val="00CC6AD5"/>
    <w:rsid w:val="00CD0ED9"/>
    <w:rsid w:val="00CD131B"/>
    <w:rsid w:val="00CD169E"/>
    <w:rsid w:val="00CD18BF"/>
    <w:rsid w:val="00CD191F"/>
    <w:rsid w:val="00CD1A28"/>
    <w:rsid w:val="00CD1D19"/>
    <w:rsid w:val="00CD1D94"/>
    <w:rsid w:val="00CD2200"/>
    <w:rsid w:val="00CD2247"/>
    <w:rsid w:val="00CD22DF"/>
    <w:rsid w:val="00CD26ED"/>
    <w:rsid w:val="00CD2932"/>
    <w:rsid w:val="00CD2A7F"/>
    <w:rsid w:val="00CD2B4F"/>
    <w:rsid w:val="00CD3448"/>
    <w:rsid w:val="00CD3B5B"/>
    <w:rsid w:val="00CD3C13"/>
    <w:rsid w:val="00CD3EF8"/>
    <w:rsid w:val="00CD41A3"/>
    <w:rsid w:val="00CD439B"/>
    <w:rsid w:val="00CD47F1"/>
    <w:rsid w:val="00CD4AAB"/>
    <w:rsid w:val="00CD5E1F"/>
    <w:rsid w:val="00CD61FE"/>
    <w:rsid w:val="00CD636C"/>
    <w:rsid w:val="00CD68DE"/>
    <w:rsid w:val="00CD6C51"/>
    <w:rsid w:val="00CD70AA"/>
    <w:rsid w:val="00CD74D0"/>
    <w:rsid w:val="00CD788F"/>
    <w:rsid w:val="00CD7C4A"/>
    <w:rsid w:val="00CE035B"/>
    <w:rsid w:val="00CE06F6"/>
    <w:rsid w:val="00CE08E8"/>
    <w:rsid w:val="00CE0C44"/>
    <w:rsid w:val="00CE1EBE"/>
    <w:rsid w:val="00CE2C61"/>
    <w:rsid w:val="00CE2D7E"/>
    <w:rsid w:val="00CE3234"/>
    <w:rsid w:val="00CE348B"/>
    <w:rsid w:val="00CE34C9"/>
    <w:rsid w:val="00CE4985"/>
    <w:rsid w:val="00CE53D0"/>
    <w:rsid w:val="00CE579A"/>
    <w:rsid w:val="00CE5936"/>
    <w:rsid w:val="00CE594A"/>
    <w:rsid w:val="00CE639C"/>
    <w:rsid w:val="00CE72D7"/>
    <w:rsid w:val="00CE77B8"/>
    <w:rsid w:val="00CE7E07"/>
    <w:rsid w:val="00CF0027"/>
    <w:rsid w:val="00CF0868"/>
    <w:rsid w:val="00CF106E"/>
    <w:rsid w:val="00CF1A73"/>
    <w:rsid w:val="00CF2139"/>
    <w:rsid w:val="00CF239F"/>
    <w:rsid w:val="00CF2894"/>
    <w:rsid w:val="00CF2C89"/>
    <w:rsid w:val="00CF3168"/>
    <w:rsid w:val="00CF3389"/>
    <w:rsid w:val="00CF348E"/>
    <w:rsid w:val="00CF365B"/>
    <w:rsid w:val="00CF3B1F"/>
    <w:rsid w:val="00CF3C53"/>
    <w:rsid w:val="00CF414E"/>
    <w:rsid w:val="00CF4465"/>
    <w:rsid w:val="00CF4E12"/>
    <w:rsid w:val="00CF55CE"/>
    <w:rsid w:val="00CF5B72"/>
    <w:rsid w:val="00CF62A9"/>
    <w:rsid w:val="00CF66F9"/>
    <w:rsid w:val="00CF6988"/>
    <w:rsid w:val="00CF6A54"/>
    <w:rsid w:val="00CF6D34"/>
    <w:rsid w:val="00CF6E73"/>
    <w:rsid w:val="00CF744D"/>
    <w:rsid w:val="00CF7F2D"/>
    <w:rsid w:val="00D003DA"/>
    <w:rsid w:val="00D0077E"/>
    <w:rsid w:val="00D00C0E"/>
    <w:rsid w:val="00D00E21"/>
    <w:rsid w:val="00D00E5D"/>
    <w:rsid w:val="00D01504"/>
    <w:rsid w:val="00D01C42"/>
    <w:rsid w:val="00D02E29"/>
    <w:rsid w:val="00D03110"/>
    <w:rsid w:val="00D03276"/>
    <w:rsid w:val="00D037DF"/>
    <w:rsid w:val="00D03D3B"/>
    <w:rsid w:val="00D0442F"/>
    <w:rsid w:val="00D0538E"/>
    <w:rsid w:val="00D054B9"/>
    <w:rsid w:val="00D058D1"/>
    <w:rsid w:val="00D05E11"/>
    <w:rsid w:val="00D06F85"/>
    <w:rsid w:val="00D0700F"/>
    <w:rsid w:val="00D07437"/>
    <w:rsid w:val="00D074B7"/>
    <w:rsid w:val="00D078A6"/>
    <w:rsid w:val="00D07B4C"/>
    <w:rsid w:val="00D07B5F"/>
    <w:rsid w:val="00D07D95"/>
    <w:rsid w:val="00D10163"/>
    <w:rsid w:val="00D107F0"/>
    <w:rsid w:val="00D10D4F"/>
    <w:rsid w:val="00D11296"/>
    <w:rsid w:val="00D1192F"/>
    <w:rsid w:val="00D11CE8"/>
    <w:rsid w:val="00D122BB"/>
    <w:rsid w:val="00D12A56"/>
    <w:rsid w:val="00D12B00"/>
    <w:rsid w:val="00D12FB3"/>
    <w:rsid w:val="00D1404E"/>
    <w:rsid w:val="00D1420D"/>
    <w:rsid w:val="00D14649"/>
    <w:rsid w:val="00D14B2E"/>
    <w:rsid w:val="00D14B90"/>
    <w:rsid w:val="00D150C9"/>
    <w:rsid w:val="00D150F7"/>
    <w:rsid w:val="00D151B6"/>
    <w:rsid w:val="00D15309"/>
    <w:rsid w:val="00D156A0"/>
    <w:rsid w:val="00D15A6C"/>
    <w:rsid w:val="00D16377"/>
    <w:rsid w:val="00D1649A"/>
    <w:rsid w:val="00D167D0"/>
    <w:rsid w:val="00D16881"/>
    <w:rsid w:val="00D16BB7"/>
    <w:rsid w:val="00D16D2C"/>
    <w:rsid w:val="00D17030"/>
    <w:rsid w:val="00D17182"/>
    <w:rsid w:val="00D17F65"/>
    <w:rsid w:val="00D2068C"/>
    <w:rsid w:val="00D20B20"/>
    <w:rsid w:val="00D20E15"/>
    <w:rsid w:val="00D213B0"/>
    <w:rsid w:val="00D217AE"/>
    <w:rsid w:val="00D2186C"/>
    <w:rsid w:val="00D22135"/>
    <w:rsid w:val="00D22364"/>
    <w:rsid w:val="00D2239E"/>
    <w:rsid w:val="00D22837"/>
    <w:rsid w:val="00D22B82"/>
    <w:rsid w:val="00D22CCB"/>
    <w:rsid w:val="00D230D0"/>
    <w:rsid w:val="00D233B2"/>
    <w:rsid w:val="00D23833"/>
    <w:rsid w:val="00D23A65"/>
    <w:rsid w:val="00D249DF"/>
    <w:rsid w:val="00D25415"/>
    <w:rsid w:val="00D25EB5"/>
    <w:rsid w:val="00D263EC"/>
    <w:rsid w:val="00D2648B"/>
    <w:rsid w:val="00D264D0"/>
    <w:rsid w:val="00D2661C"/>
    <w:rsid w:val="00D266B9"/>
    <w:rsid w:val="00D26829"/>
    <w:rsid w:val="00D268E0"/>
    <w:rsid w:val="00D26ECE"/>
    <w:rsid w:val="00D27868"/>
    <w:rsid w:val="00D30A5D"/>
    <w:rsid w:val="00D30B87"/>
    <w:rsid w:val="00D317E7"/>
    <w:rsid w:val="00D319C4"/>
    <w:rsid w:val="00D32A40"/>
    <w:rsid w:val="00D32A92"/>
    <w:rsid w:val="00D32B27"/>
    <w:rsid w:val="00D32C72"/>
    <w:rsid w:val="00D335A6"/>
    <w:rsid w:val="00D3375C"/>
    <w:rsid w:val="00D33D71"/>
    <w:rsid w:val="00D33DBE"/>
    <w:rsid w:val="00D33DF0"/>
    <w:rsid w:val="00D340BF"/>
    <w:rsid w:val="00D34E4A"/>
    <w:rsid w:val="00D35A5C"/>
    <w:rsid w:val="00D35FDD"/>
    <w:rsid w:val="00D36592"/>
    <w:rsid w:val="00D37020"/>
    <w:rsid w:val="00D37DCD"/>
    <w:rsid w:val="00D37FDD"/>
    <w:rsid w:val="00D4043F"/>
    <w:rsid w:val="00D409F9"/>
    <w:rsid w:val="00D41081"/>
    <w:rsid w:val="00D415C1"/>
    <w:rsid w:val="00D41B24"/>
    <w:rsid w:val="00D421B6"/>
    <w:rsid w:val="00D429C4"/>
    <w:rsid w:val="00D42A77"/>
    <w:rsid w:val="00D431C1"/>
    <w:rsid w:val="00D43309"/>
    <w:rsid w:val="00D43468"/>
    <w:rsid w:val="00D43552"/>
    <w:rsid w:val="00D4367F"/>
    <w:rsid w:val="00D43AFE"/>
    <w:rsid w:val="00D43CAB"/>
    <w:rsid w:val="00D44D8F"/>
    <w:rsid w:val="00D4552D"/>
    <w:rsid w:val="00D456D7"/>
    <w:rsid w:val="00D461A8"/>
    <w:rsid w:val="00D46508"/>
    <w:rsid w:val="00D46537"/>
    <w:rsid w:val="00D46CFD"/>
    <w:rsid w:val="00D4768C"/>
    <w:rsid w:val="00D47C2A"/>
    <w:rsid w:val="00D47D6C"/>
    <w:rsid w:val="00D501E7"/>
    <w:rsid w:val="00D50A18"/>
    <w:rsid w:val="00D5138B"/>
    <w:rsid w:val="00D51A86"/>
    <w:rsid w:val="00D51F3F"/>
    <w:rsid w:val="00D51FA5"/>
    <w:rsid w:val="00D52DF8"/>
    <w:rsid w:val="00D53007"/>
    <w:rsid w:val="00D53540"/>
    <w:rsid w:val="00D53621"/>
    <w:rsid w:val="00D53EC9"/>
    <w:rsid w:val="00D53F39"/>
    <w:rsid w:val="00D549A1"/>
    <w:rsid w:val="00D54CF4"/>
    <w:rsid w:val="00D550CC"/>
    <w:rsid w:val="00D55873"/>
    <w:rsid w:val="00D55E01"/>
    <w:rsid w:val="00D56423"/>
    <w:rsid w:val="00D56F7E"/>
    <w:rsid w:val="00D57E8C"/>
    <w:rsid w:val="00D57ED0"/>
    <w:rsid w:val="00D60315"/>
    <w:rsid w:val="00D60383"/>
    <w:rsid w:val="00D60CF7"/>
    <w:rsid w:val="00D60FE6"/>
    <w:rsid w:val="00D6177D"/>
    <w:rsid w:val="00D617DF"/>
    <w:rsid w:val="00D61C3C"/>
    <w:rsid w:val="00D61FFF"/>
    <w:rsid w:val="00D620EA"/>
    <w:rsid w:val="00D622D6"/>
    <w:rsid w:val="00D62381"/>
    <w:rsid w:val="00D62505"/>
    <w:rsid w:val="00D62AD7"/>
    <w:rsid w:val="00D62C20"/>
    <w:rsid w:val="00D634F9"/>
    <w:rsid w:val="00D63715"/>
    <w:rsid w:val="00D63E7E"/>
    <w:rsid w:val="00D64EFB"/>
    <w:rsid w:val="00D64F3D"/>
    <w:rsid w:val="00D64F5E"/>
    <w:rsid w:val="00D652AB"/>
    <w:rsid w:val="00D653D2"/>
    <w:rsid w:val="00D6544F"/>
    <w:rsid w:val="00D654CB"/>
    <w:rsid w:val="00D65B3C"/>
    <w:rsid w:val="00D65B4A"/>
    <w:rsid w:val="00D65D16"/>
    <w:rsid w:val="00D66061"/>
    <w:rsid w:val="00D6628D"/>
    <w:rsid w:val="00D6663D"/>
    <w:rsid w:val="00D67044"/>
    <w:rsid w:val="00D673DC"/>
    <w:rsid w:val="00D67866"/>
    <w:rsid w:val="00D70157"/>
    <w:rsid w:val="00D701BF"/>
    <w:rsid w:val="00D70771"/>
    <w:rsid w:val="00D70D53"/>
    <w:rsid w:val="00D71154"/>
    <w:rsid w:val="00D718F2"/>
    <w:rsid w:val="00D71F10"/>
    <w:rsid w:val="00D71F9D"/>
    <w:rsid w:val="00D72056"/>
    <w:rsid w:val="00D7224D"/>
    <w:rsid w:val="00D730B0"/>
    <w:rsid w:val="00D73423"/>
    <w:rsid w:val="00D7351D"/>
    <w:rsid w:val="00D735B0"/>
    <w:rsid w:val="00D7370C"/>
    <w:rsid w:val="00D73827"/>
    <w:rsid w:val="00D74737"/>
    <w:rsid w:val="00D755E7"/>
    <w:rsid w:val="00D757D2"/>
    <w:rsid w:val="00D7592B"/>
    <w:rsid w:val="00D75C7D"/>
    <w:rsid w:val="00D760A3"/>
    <w:rsid w:val="00D76456"/>
    <w:rsid w:val="00D76B4E"/>
    <w:rsid w:val="00D76EF3"/>
    <w:rsid w:val="00D7719C"/>
    <w:rsid w:val="00D77238"/>
    <w:rsid w:val="00D80970"/>
    <w:rsid w:val="00D80ABC"/>
    <w:rsid w:val="00D810EC"/>
    <w:rsid w:val="00D811C1"/>
    <w:rsid w:val="00D812FC"/>
    <w:rsid w:val="00D81836"/>
    <w:rsid w:val="00D81868"/>
    <w:rsid w:val="00D81B38"/>
    <w:rsid w:val="00D81FEB"/>
    <w:rsid w:val="00D821B0"/>
    <w:rsid w:val="00D82802"/>
    <w:rsid w:val="00D83166"/>
    <w:rsid w:val="00D83200"/>
    <w:rsid w:val="00D832AA"/>
    <w:rsid w:val="00D83582"/>
    <w:rsid w:val="00D835F0"/>
    <w:rsid w:val="00D8399A"/>
    <w:rsid w:val="00D83DA9"/>
    <w:rsid w:val="00D844C3"/>
    <w:rsid w:val="00D84E3A"/>
    <w:rsid w:val="00D84F2D"/>
    <w:rsid w:val="00D8501C"/>
    <w:rsid w:val="00D8538E"/>
    <w:rsid w:val="00D85409"/>
    <w:rsid w:val="00D854EF"/>
    <w:rsid w:val="00D859BE"/>
    <w:rsid w:val="00D85BB5"/>
    <w:rsid w:val="00D85EE5"/>
    <w:rsid w:val="00D862C6"/>
    <w:rsid w:val="00D877DB"/>
    <w:rsid w:val="00D87AA9"/>
    <w:rsid w:val="00D87CBD"/>
    <w:rsid w:val="00D87D70"/>
    <w:rsid w:val="00D90108"/>
    <w:rsid w:val="00D90176"/>
    <w:rsid w:val="00D90226"/>
    <w:rsid w:val="00D9048C"/>
    <w:rsid w:val="00D904DD"/>
    <w:rsid w:val="00D91A8A"/>
    <w:rsid w:val="00D91BC7"/>
    <w:rsid w:val="00D91D43"/>
    <w:rsid w:val="00D92192"/>
    <w:rsid w:val="00D92415"/>
    <w:rsid w:val="00D9269B"/>
    <w:rsid w:val="00D92D8A"/>
    <w:rsid w:val="00D933B3"/>
    <w:rsid w:val="00D933F3"/>
    <w:rsid w:val="00D934F2"/>
    <w:rsid w:val="00D93859"/>
    <w:rsid w:val="00D95B85"/>
    <w:rsid w:val="00D95F4D"/>
    <w:rsid w:val="00D9610C"/>
    <w:rsid w:val="00D9679C"/>
    <w:rsid w:val="00D967A3"/>
    <w:rsid w:val="00D96AD9"/>
    <w:rsid w:val="00D970D9"/>
    <w:rsid w:val="00D97821"/>
    <w:rsid w:val="00D9794B"/>
    <w:rsid w:val="00DA00D1"/>
    <w:rsid w:val="00DA0FDC"/>
    <w:rsid w:val="00DA143C"/>
    <w:rsid w:val="00DA14A2"/>
    <w:rsid w:val="00DA1807"/>
    <w:rsid w:val="00DA1B3F"/>
    <w:rsid w:val="00DA1BFC"/>
    <w:rsid w:val="00DA1CC9"/>
    <w:rsid w:val="00DA2010"/>
    <w:rsid w:val="00DA204E"/>
    <w:rsid w:val="00DA21E2"/>
    <w:rsid w:val="00DA2880"/>
    <w:rsid w:val="00DA31A3"/>
    <w:rsid w:val="00DA3D76"/>
    <w:rsid w:val="00DA5179"/>
    <w:rsid w:val="00DA52A6"/>
    <w:rsid w:val="00DA5301"/>
    <w:rsid w:val="00DA5358"/>
    <w:rsid w:val="00DA5903"/>
    <w:rsid w:val="00DA5E86"/>
    <w:rsid w:val="00DA5F6A"/>
    <w:rsid w:val="00DA62E0"/>
    <w:rsid w:val="00DA6554"/>
    <w:rsid w:val="00DA6C56"/>
    <w:rsid w:val="00DA72E3"/>
    <w:rsid w:val="00DA7782"/>
    <w:rsid w:val="00DA7940"/>
    <w:rsid w:val="00DA7E23"/>
    <w:rsid w:val="00DB0599"/>
    <w:rsid w:val="00DB1325"/>
    <w:rsid w:val="00DB16A7"/>
    <w:rsid w:val="00DB2868"/>
    <w:rsid w:val="00DB315C"/>
    <w:rsid w:val="00DB32A6"/>
    <w:rsid w:val="00DB372C"/>
    <w:rsid w:val="00DB384D"/>
    <w:rsid w:val="00DB3FE0"/>
    <w:rsid w:val="00DB4480"/>
    <w:rsid w:val="00DB4735"/>
    <w:rsid w:val="00DB5796"/>
    <w:rsid w:val="00DB5F43"/>
    <w:rsid w:val="00DB6B91"/>
    <w:rsid w:val="00DB7348"/>
    <w:rsid w:val="00DB7948"/>
    <w:rsid w:val="00DC0432"/>
    <w:rsid w:val="00DC05D5"/>
    <w:rsid w:val="00DC060C"/>
    <w:rsid w:val="00DC07D5"/>
    <w:rsid w:val="00DC0853"/>
    <w:rsid w:val="00DC093A"/>
    <w:rsid w:val="00DC0CCB"/>
    <w:rsid w:val="00DC11F8"/>
    <w:rsid w:val="00DC2430"/>
    <w:rsid w:val="00DC28AE"/>
    <w:rsid w:val="00DC2BEB"/>
    <w:rsid w:val="00DC3087"/>
    <w:rsid w:val="00DC4125"/>
    <w:rsid w:val="00DC4614"/>
    <w:rsid w:val="00DC48E7"/>
    <w:rsid w:val="00DC4F6D"/>
    <w:rsid w:val="00DC5015"/>
    <w:rsid w:val="00DC50C1"/>
    <w:rsid w:val="00DC532C"/>
    <w:rsid w:val="00DC58DA"/>
    <w:rsid w:val="00DC5B79"/>
    <w:rsid w:val="00DC5CF2"/>
    <w:rsid w:val="00DC632D"/>
    <w:rsid w:val="00DC65F5"/>
    <w:rsid w:val="00DC6ED4"/>
    <w:rsid w:val="00DC707C"/>
    <w:rsid w:val="00DC7159"/>
    <w:rsid w:val="00DD02FE"/>
    <w:rsid w:val="00DD178B"/>
    <w:rsid w:val="00DD2C8C"/>
    <w:rsid w:val="00DD3070"/>
    <w:rsid w:val="00DD3184"/>
    <w:rsid w:val="00DD328B"/>
    <w:rsid w:val="00DD3D00"/>
    <w:rsid w:val="00DD3FCD"/>
    <w:rsid w:val="00DD4036"/>
    <w:rsid w:val="00DD453F"/>
    <w:rsid w:val="00DD467B"/>
    <w:rsid w:val="00DD46DC"/>
    <w:rsid w:val="00DD4BC3"/>
    <w:rsid w:val="00DD4BE2"/>
    <w:rsid w:val="00DD4D8C"/>
    <w:rsid w:val="00DD521C"/>
    <w:rsid w:val="00DD5498"/>
    <w:rsid w:val="00DD5ABE"/>
    <w:rsid w:val="00DD60C9"/>
    <w:rsid w:val="00DD6AD0"/>
    <w:rsid w:val="00DD6BBE"/>
    <w:rsid w:val="00DD6C00"/>
    <w:rsid w:val="00DD7989"/>
    <w:rsid w:val="00DE01B2"/>
    <w:rsid w:val="00DE15DB"/>
    <w:rsid w:val="00DE198E"/>
    <w:rsid w:val="00DE1D1A"/>
    <w:rsid w:val="00DE20B7"/>
    <w:rsid w:val="00DE26A0"/>
    <w:rsid w:val="00DE2897"/>
    <w:rsid w:val="00DE29E0"/>
    <w:rsid w:val="00DE32D0"/>
    <w:rsid w:val="00DE385B"/>
    <w:rsid w:val="00DE3AF5"/>
    <w:rsid w:val="00DE3CAF"/>
    <w:rsid w:val="00DE4673"/>
    <w:rsid w:val="00DE47A2"/>
    <w:rsid w:val="00DE4FD5"/>
    <w:rsid w:val="00DE5114"/>
    <w:rsid w:val="00DE5FF9"/>
    <w:rsid w:val="00DE607E"/>
    <w:rsid w:val="00DE675F"/>
    <w:rsid w:val="00DE676B"/>
    <w:rsid w:val="00DE6E13"/>
    <w:rsid w:val="00DE6FC3"/>
    <w:rsid w:val="00DE7177"/>
    <w:rsid w:val="00DE7C35"/>
    <w:rsid w:val="00DE7C65"/>
    <w:rsid w:val="00DE7C66"/>
    <w:rsid w:val="00DF0846"/>
    <w:rsid w:val="00DF0941"/>
    <w:rsid w:val="00DF0976"/>
    <w:rsid w:val="00DF2C5D"/>
    <w:rsid w:val="00DF2EF0"/>
    <w:rsid w:val="00DF383C"/>
    <w:rsid w:val="00DF399B"/>
    <w:rsid w:val="00DF3ABC"/>
    <w:rsid w:val="00DF404A"/>
    <w:rsid w:val="00DF4443"/>
    <w:rsid w:val="00DF4728"/>
    <w:rsid w:val="00DF4A88"/>
    <w:rsid w:val="00DF4DCF"/>
    <w:rsid w:val="00DF4DF0"/>
    <w:rsid w:val="00DF4F4A"/>
    <w:rsid w:val="00DF53DE"/>
    <w:rsid w:val="00DF552D"/>
    <w:rsid w:val="00DF55C1"/>
    <w:rsid w:val="00DF601D"/>
    <w:rsid w:val="00DF6244"/>
    <w:rsid w:val="00DF6A87"/>
    <w:rsid w:val="00DF6CFC"/>
    <w:rsid w:val="00DF6FDA"/>
    <w:rsid w:val="00DF705B"/>
    <w:rsid w:val="00DF7867"/>
    <w:rsid w:val="00DF79CD"/>
    <w:rsid w:val="00DF7A38"/>
    <w:rsid w:val="00DF7BE0"/>
    <w:rsid w:val="00E003D3"/>
    <w:rsid w:val="00E010EA"/>
    <w:rsid w:val="00E0190A"/>
    <w:rsid w:val="00E01E32"/>
    <w:rsid w:val="00E02147"/>
    <w:rsid w:val="00E023D9"/>
    <w:rsid w:val="00E026B1"/>
    <w:rsid w:val="00E02737"/>
    <w:rsid w:val="00E02DF8"/>
    <w:rsid w:val="00E02ED2"/>
    <w:rsid w:val="00E0318E"/>
    <w:rsid w:val="00E03754"/>
    <w:rsid w:val="00E03858"/>
    <w:rsid w:val="00E03F46"/>
    <w:rsid w:val="00E04181"/>
    <w:rsid w:val="00E04551"/>
    <w:rsid w:val="00E04BA5"/>
    <w:rsid w:val="00E04FFD"/>
    <w:rsid w:val="00E055A6"/>
    <w:rsid w:val="00E05C9C"/>
    <w:rsid w:val="00E05F60"/>
    <w:rsid w:val="00E06522"/>
    <w:rsid w:val="00E067C4"/>
    <w:rsid w:val="00E06A65"/>
    <w:rsid w:val="00E075A8"/>
    <w:rsid w:val="00E07FC1"/>
    <w:rsid w:val="00E07FF6"/>
    <w:rsid w:val="00E10826"/>
    <w:rsid w:val="00E10DAE"/>
    <w:rsid w:val="00E11050"/>
    <w:rsid w:val="00E111A3"/>
    <w:rsid w:val="00E11CF0"/>
    <w:rsid w:val="00E12309"/>
    <w:rsid w:val="00E12488"/>
    <w:rsid w:val="00E12534"/>
    <w:rsid w:val="00E126D8"/>
    <w:rsid w:val="00E13020"/>
    <w:rsid w:val="00E134A9"/>
    <w:rsid w:val="00E13734"/>
    <w:rsid w:val="00E14091"/>
    <w:rsid w:val="00E14286"/>
    <w:rsid w:val="00E146F9"/>
    <w:rsid w:val="00E14804"/>
    <w:rsid w:val="00E1494A"/>
    <w:rsid w:val="00E14A8C"/>
    <w:rsid w:val="00E14DA2"/>
    <w:rsid w:val="00E151D2"/>
    <w:rsid w:val="00E1549D"/>
    <w:rsid w:val="00E15944"/>
    <w:rsid w:val="00E16104"/>
    <w:rsid w:val="00E1663C"/>
    <w:rsid w:val="00E169EB"/>
    <w:rsid w:val="00E1742F"/>
    <w:rsid w:val="00E17723"/>
    <w:rsid w:val="00E20167"/>
    <w:rsid w:val="00E20535"/>
    <w:rsid w:val="00E22CC1"/>
    <w:rsid w:val="00E23259"/>
    <w:rsid w:val="00E23665"/>
    <w:rsid w:val="00E240D5"/>
    <w:rsid w:val="00E2483E"/>
    <w:rsid w:val="00E24B5F"/>
    <w:rsid w:val="00E253B6"/>
    <w:rsid w:val="00E254C7"/>
    <w:rsid w:val="00E256C0"/>
    <w:rsid w:val="00E25B62"/>
    <w:rsid w:val="00E25F92"/>
    <w:rsid w:val="00E25FAB"/>
    <w:rsid w:val="00E26205"/>
    <w:rsid w:val="00E26416"/>
    <w:rsid w:val="00E26516"/>
    <w:rsid w:val="00E26E03"/>
    <w:rsid w:val="00E27AD1"/>
    <w:rsid w:val="00E27E88"/>
    <w:rsid w:val="00E3001B"/>
    <w:rsid w:val="00E301A6"/>
    <w:rsid w:val="00E307F9"/>
    <w:rsid w:val="00E30CD6"/>
    <w:rsid w:val="00E30DD8"/>
    <w:rsid w:val="00E31C14"/>
    <w:rsid w:val="00E322DB"/>
    <w:rsid w:val="00E32991"/>
    <w:rsid w:val="00E33E52"/>
    <w:rsid w:val="00E34861"/>
    <w:rsid w:val="00E34FD2"/>
    <w:rsid w:val="00E35177"/>
    <w:rsid w:val="00E35230"/>
    <w:rsid w:val="00E352FB"/>
    <w:rsid w:val="00E353F3"/>
    <w:rsid w:val="00E35A4F"/>
    <w:rsid w:val="00E35CE2"/>
    <w:rsid w:val="00E3621B"/>
    <w:rsid w:val="00E3658F"/>
    <w:rsid w:val="00E36897"/>
    <w:rsid w:val="00E36976"/>
    <w:rsid w:val="00E37185"/>
    <w:rsid w:val="00E3734D"/>
    <w:rsid w:val="00E37CE6"/>
    <w:rsid w:val="00E37F0D"/>
    <w:rsid w:val="00E40DE3"/>
    <w:rsid w:val="00E4109E"/>
    <w:rsid w:val="00E4115B"/>
    <w:rsid w:val="00E41B25"/>
    <w:rsid w:val="00E41F27"/>
    <w:rsid w:val="00E421E7"/>
    <w:rsid w:val="00E423F0"/>
    <w:rsid w:val="00E42A68"/>
    <w:rsid w:val="00E42CE4"/>
    <w:rsid w:val="00E43081"/>
    <w:rsid w:val="00E436A7"/>
    <w:rsid w:val="00E448AF"/>
    <w:rsid w:val="00E45C12"/>
    <w:rsid w:val="00E45F3E"/>
    <w:rsid w:val="00E4670D"/>
    <w:rsid w:val="00E46D1A"/>
    <w:rsid w:val="00E46E3B"/>
    <w:rsid w:val="00E472B3"/>
    <w:rsid w:val="00E47BC3"/>
    <w:rsid w:val="00E47E6F"/>
    <w:rsid w:val="00E47E73"/>
    <w:rsid w:val="00E502C7"/>
    <w:rsid w:val="00E5087A"/>
    <w:rsid w:val="00E51286"/>
    <w:rsid w:val="00E51628"/>
    <w:rsid w:val="00E52332"/>
    <w:rsid w:val="00E5277A"/>
    <w:rsid w:val="00E52B85"/>
    <w:rsid w:val="00E531FC"/>
    <w:rsid w:val="00E53583"/>
    <w:rsid w:val="00E535E9"/>
    <w:rsid w:val="00E53D27"/>
    <w:rsid w:val="00E542F1"/>
    <w:rsid w:val="00E547A6"/>
    <w:rsid w:val="00E5485B"/>
    <w:rsid w:val="00E559E3"/>
    <w:rsid w:val="00E55CCF"/>
    <w:rsid w:val="00E56203"/>
    <w:rsid w:val="00E56ACD"/>
    <w:rsid w:val="00E56C43"/>
    <w:rsid w:val="00E56DF5"/>
    <w:rsid w:val="00E57310"/>
    <w:rsid w:val="00E57334"/>
    <w:rsid w:val="00E578D5"/>
    <w:rsid w:val="00E57930"/>
    <w:rsid w:val="00E57979"/>
    <w:rsid w:val="00E60737"/>
    <w:rsid w:val="00E6080D"/>
    <w:rsid w:val="00E6133F"/>
    <w:rsid w:val="00E615C3"/>
    <w:rsid w:val="00E61860"/>
    <w:rsid w:val="00E61C24"/>
    <w:rsid w:val="00E61D3A"/>
    <w:rsid w:val="00E63448"/>
    <w:rsid w:val="00E63E75"/>
    <w:rsid w:val="00E641C0"/>
    <w:rsid w:val="00E648C7"/>
    <w:rsid w:val="00E650F8"/>
    <w:rsid w:val="00E653B4"/>
    <w:rsid w:val="00E657AB"/>
    <w:rsid w:val="00E664E7"/>
    <w:rsid w:val="00E66666"/>
    <w:rsid w:val="00E666F5"/>
    <w:rsid w:val="00E66709"/>
    <w:rsid w:val="00E67189"/>
    <w:rsid w:val="00E678C0"/>
    <w:rsid w:val="00E679E1"/>
    <w:rsid w:val="00E67B75"/>
    <w:rsid w:val="00E708D1"/>
    <w:rsid w:val="00E70B09"/>
    <w:rsid w:val="00E70B1B"/>
    <w:rsid w:val="00E710C2"/>
    <w:rsid w:val="00E71123"/>
    <w:rsid w:val="00E723D3"/>
    <w:rsid w:val="00E72BDC"/>
    <w:rsid w:val="00E73141"/>
    <w:rsid w:val="00E73245"/>
    <w:rsid w:val="00E73C9F"/>
    <w:rsid w:val="00E73E8D"/>
    <w:rsid w:val="00E74088"/>
    <w:rsid w:val="00E7448B"/>
    <w:rsid w:val="00E74C2B"/>
    <w:rsid w:val="00E74D9D"/>
    <w:rsid w:val="00E74DC2"/>
    <w:rsid w:val="00E74F50"/>
    <w:rsid w:val="00E751EB"/>
    <w:rsid w:val="00E75DE8"/>
    <w:rsid w:val="00E76B61"/>
    <w:rsid w:val="00E76C8D"/>
    <w:rsid w:val="00E76FBF"/>
    <w:rsid w:val="00E77401"/>
    <w:rsid w:val="00E7768E"/>
    <w:rsid w:val="00E77859"/>
    <w:rsid w:val="00E778D3"/>
    <w:rsid w:val="00E80C01"/>
    <w:rsid w:val="00E810C4"/>
    <w:rsid w:val="00E81B0E"/>
    <w:rsid w:val="00E81EBF"/>
    <w:rsid w:val="00E82098"/>
    <w:rsid w:val="00E82404"/>
    <w:rsid w:val="00E82542"/>
    <w:rsid w:val="00E825DD"/>
    <w:rsid w:val="00E83AC7"/>
    <w:rsid w:val="00E83F2A"/>
    <w:rsid w:val="00E8400D"/>
    <w:rsid w:val="00E84BA8"/>
    <w:rsid w:val="00E84BE1"/>
    <w:rsid w:val="00E84E12"/>
    <w:rsid w:val="00E84E16"/>
    <w:rsid w:val="00E84E75"/>
    <w:rsid w:val="00E8573F"/>
    <w:rsid w:val="00E871F2"/>
    <w:rsid w:val="00E8739D"/>
    <w:rsid w:val="00E878B3"/>
    <w:rsid w:val="00E90CBB"/>
    <w:rsid w:val="00E90CE4"/>
    <w:rsid w:val="00E90E8C"/>
    <w:rsid w:val="00E92F64"/>
    <w:rsid w:val="00E9347D"/>
    <w:rsid w:val="00E93C29"/>
    <w:rsid w:val="00E93C99"/>
    <w:rsid w:val="00E93E07"/>
    <w:rsid w:val="00E942F9"/>
    <w:rsid w:val="00E94436"/>
    <w:rsid w:val="00E944DA"/>
    <w:rsid w:val="00E94518"/>
    <w:rsid w:val="00E94A2B"/>
    <w:rsid w:val="00E94F13"/>
    <w:rsid w:val="00E95181"/>
    <w:rsid w:val="00E95558"/>
    <w:rsid w:val="00E96170"/>
    <w:rsid w:val="00E969B8"/>
    <w:rsid w:val="00E975E8"/>
    <w:rsid w:val="00EA079D"/>
    <w:rsid w:val="00EA0F9F"/>
    <w:rsid w:val="00EA1219"/>
    <w:rsid w:val="00EA13D2"/>
    <w:rsid w:val="00EA15A0"/>
    <w:rsid w:val="00EA2424"/>
    <w:rsid w:val="00EA2708"/>
    <w:rsid w:val="00EA2917"/>
    <w:rsid w:val="00EA2EFC"/>
    <w:rsid w:val="00EA2F48"/>
    <w:rsid w:val="00EA4963"/>
    <w:rsid w:val="00EA51AE"/>
    <w:rsid w:val="00EA51B9"/>
    <w:rsid w:val="00EA6329"/>
    <w:rsid w:val="00EA637B"/>
    <w:rsid w:val="00EA68E1"/>
    <w:rsid w:val="00EA69E9"/>
    <w:rsid w:val="00EA71D5"/>
    <w:rsid w:val="00EA7325"/>
    <w:rsid w:val="00EA73BC"/>
    <w:rsid w:val="00EA7438"/>
    <w:rsid w:val="00EA758D"/>
    <w:rsid w:val="00EA766A"/>
    <w:rsid w:val="00EA7D57"/>
    <w:rsid w:val="00EB07A4"/>
    <w:rsid w:val="00EB08F1"/>
    <w:rsid w:val="00EB149C"/>
    <w:rsid w:val="00EB16E7"/>
    <w:rsid w:val="00EB19BC"/>
    <w:rsid w:val="00EB1CF8"/>
    <w:rsid w:val="00EB2328"/>
    <w:rsid w:val="00EB2808"/>
    <w:rsid w:val="00EB2C10"/>
    <w:rsid w:val="00EB3011"/>
    <w:rsid w:val="00EB3609"/>
    <w:rsid w:val="00EB36B8"/>
    <w:rsid w:val="00EB494E"/>
    <w:rsid w:val="00EB49B6"/>
    <w:rsid w:val="00EB4A19"/>
    <w:rsid w:val="00EB4C57"/>
    <w:rsid w:val="00EB5440"/>
    <w:rsid w:val="00EB5C60"/>
    <w:rsid w:val="00EB7764"/>
    <w:rsid w:val="00EB7C7C"/>
    <w:rsid w:val="00EB7F81"/>
    <w:rsid w:val="00EC0951"/>
    <w:rsid w:val="00EC09EB"/>
    <w:rsid w:val="00EC13D5"/>
    <w:rsid w:val="00EC1587"/>
    <w:rsid w:val="00EC168C"/>
    <w:rsid w:val="00EC1D9C"/>
    <w:rsid w:val="00EC2EB9"/>
    <w:rsid w:val="00EC410E"/>
    <w:rsid w:val="00EC5007"/>
    <w:rsid w:val="00EC55A0"/>
    <w:rsid w:val="00EC5782"/>
    <w:rsid w:val="00EC5B1A"/>
    <w:rsid w:val="00EC5C1D"/>
    <w:rsid w:val="00EC5CD0"/>
    <w:rsid w:val="00EC5CD8"/>
    <w:rsid w:val="00EC620D"/>
    <w:rsid w:val="00EC6DD8"/>
    <w:rsid w:val="00EC73E4"/>
    <w:rsid w:val="00EC7679"/>
    <w:rsid w:val="00EC7AD9"/>
    <w:rsid w:val="00EC7B17"/>
    <w:rsid w:val="00ED124E"/>
    <w:rsid w:val="00ED1468"/>
    <w:rsid w:val="00ED1489"/>
    <w:rsid w:val="00ED1B15"/>
    <w:rsid w:val="00ED1F0F"/>
    <w:rsid w:val="00ED1FC9"/>
    <w:rsid w:val="00ED1FD6"/>
    <w:rsid w:val="00ED2A58"/>
    <w:rsid w:val="00ED2B5B"/>
    <w:rsid w:val="00ED2D86"/>
    <w:rsid w:val="00ED3510"/>
    <w:rsid w:val="00ED3BFE"/>
    <w:rsid w:val="00ED46B6"/>
    <w:rsid w:val="00ED5050"/>
    <w:rsid w:val="00ED506B"/>
    <w:rsid w:val="00ED5BA5"/>
    <w:rsid w:val="00ED6205"/>
    <w:rsid w:val="00ED7036"/>
    <w:rsid w:val="00ED7480"/>
    <w:rsid w:val="00ED7C0C"/>
    <w:rsid w:val="00EE170A"/>
    <w:rsid w:val="00EE1766"/>
    <w:rsid w:val="00EE1767"/>
    <w:rsid w:val="00EE1AFB"/>
    <w:rsid w:val="00EE1C78"/>
    <w:rsid w:val="00EE2BD7"/>
    <w:rsid w:val="00EE2D1F"/>
    <w:rsid w:val="00EE30F7"/>
    <w:rsid w:val="00EE340A"/>
    <w:rsid w:val="00EE445F"/>
    <w:rsid w:val="00EE4CFC"/>
    <w:rsid w:val="00EE5078"/>
    <w:rsid w:val="00EE5160"/>
    <w:rsid w:val="00EE557F"/>
    <w:rsid w:val="00EE5941"/>
    <w:rsid w:val="00EE59DE"/>
    <w:rsid w:val="00EE5A5C"/>
    <w:rsid w:val="00EE71AB"/>
    <w:rsid w:val="00EE71AE"/>
    <w:rsid w:val="00EE7651"/>
    <w:rsid w:val="00EF049D"/>
    <w:rsid w:val="00EF0538"/>
    <w:rsid w:val="00EF0802"/>
    <w:rsid w:val="00EF14C7"/>
    <w:rsid w:val="00EF210D"/>
    <w:rsid w:val="00EF21D7"/>
    <w:rsid w:val="00EF25CD"/>
    <w:rsid w:val="00EF2B8D"/>
    <w:rsid w:val="00EF2F41"/>
    <w:rsid w:val="00EF3DDE"/>
    <w:rsid w:val="00EF3E29"/>
    <w:rsid w:val="00EF434B"/>
    <w:rsid w:val="00EF45F3"/>
    <w:rsid w:val="00EF5B60"/>
    <w:rsid w:val="00EF5D37"/>
    <w:rsid w:val="00EF625B"/>
    <w:rsid w:val="00EF63A5"/>
    <w:rsid w:val="00EF68E2"/>
    <w:rsid w:val="00EF6A33"/>
    <w:rsid w:val="00EF7250"/>
    <w:rsid w:val="00EF7BD1"/>
    <w:rsid w:val="00F003EE"/>
    <w:rsid w:val="00F00957"/>
    <w:rsid w:val="00F00BC9"/>
    <w:rsid w:val="00F00DFB"/>
    <w:rsid w:val="00F01121"/>
    <w:rsid w:val="00F01786"/>
    <w:rsid w:val="00F017CA"/>
    <w:rsid w:val="00F01A7C"/>
    <w:rsid w:val="00F026FC"/>
    <w:rsid w:val="00F02A45"/>
    <w:rsid w:val="00F02D8B"/>
    <w:rsid w:val="00F02E3A"/>
    <w:rsid w:val="00F0321C"/>
    <w:rsid w:val="00F03A7F"/>
    <w:rsid w:val="00F04708"/>
    <w:rsid w:val="00F04D83"/>
    <w:rsid w:val="00F04E8A"/>
    <w:rsid w:val="00F05148"/>
    <w:rsid w:val="00F0515B"/>
    <w:rsid w:val="00F05206"/>
    <w:rsid w:val="00F05B91"/>
    <w:rsid w:val="00F05C62"/>
    <w:rsid w:val="00F066CF"/>
    <w:rsid w:val="00F07360"/>
    <w:rsid w:val="00F103A7"/>
    <w:rsid w:val="00F1086C"/>
    <w:rsid w:val="00F10933"/>
    <w:rsid w:val="00F110D9"/>
    <w:rsid w:val="00F11347"/>
    <w:rsid w:val="00F11552"/>
    <w:rsid w:val="00F118B7"/>
    <w:rsid w:val="00F122B2"/>
    <w:rsid w:val="00F12370"/>
    <w:rsid w:val="00F125A4"/>
    <w:rsid w:val="00F12C19"/>
    <w:rsid w:val="00F13655"/>
    <w:rsid w:val="00F137D7"/>
    <w:rsid w:val="00F138BC"/>
    <w:rsid w:val="00F13FCB"/>
    <w:rsid w:val="00F143F3"/>
    <w:rsid w:val="00F1487D"/>
    <w:rsid w:val="00F14901"/>
    <w:rsid w:val="00F152DF"/>
    <w:rsid w:val="00F157AA"/>
    <w:rsid w:val="00F16978"/>
    <w:rsid w:val="00F16FB0"/>
    <w:rsid w:val="00F16FED"/>
    <w:rsid w:val="00F17072"/>
    <w:rsid w:val="00F173F4"/>
    <w:rsid w:val="00F1774A"/>
    <w:rsid w:val="00F2034A"/>
    <w:rsid w:val="00F2057E"/>
    <w:rsid w:val="00F20B1C"/>
    <w:rsid w:val="00F20E13"/>
    <w:rsid w:val="00F21180"/>
    <w:rsid w:val="00F2226D"/>
    <w:rsid w:val="00F223B4"/>
    <w:rsid w:val="00F2262E"/>
    <w:rsid w:val="00F2314C"/>
    <w:rsid w:val="00F2378C"/>
    <w:rsid w:val="00F238D8"/>
    <w:rsid w:val="00F23C7E"/>
    <w:rsid w:val="00F23C81"/>
    <w:rsid w:val="00F241E2"/>
    <w:rsid w:val="00F241ED"/>
    <w:rsid w:val="00F2425D"/>
    <w:rsid w:val="00F24BD7"/>
    <w:rsid w:val="00F24F39"/>
    <w:rsid w:val="00F253DF"/>
    <w:rsid w:val="00F25539"/>
    <w:rsid w:val="00F2590A"/>
    <w:rsid w:val="00F25A83"/>
    <w:rsid w:val="00F25FC7"/>
    <w:rsid w:val="00F2661B"/>
    <w:rsid w:val="00F269E2"/>
    <w:rsid w:val="00F2733C"/>
    <w:rsid w:val="00F274DC"/>
    <w:rsid w:val="00F301CD"/>
    <w:rsid w:val="00F3022F"/>
    <w:rsid w:val="00F30671"/>
    <w:rsid w:val="00F30A0D"/>
    <w:rsid w:val="00F30CFF"/>
    <w:rsid w:val="00F30FBF"/>
    <w:rsid w:val="00F3142E"/>
    <w:rsid w:val="00F31D52"/>
    <w:rsid w:val="00F32586"/>
    <w:rsid w:val="00F3354A"/>
    <w:rsid w:val="00F3415B"/>
    <w:rsid w:val="00F345FC"/>
    <w:rsid w:val="00F3462C"/>
    <w:rsid w:val="00F3676C"/>
    <w:rsid w:val="00F36A0B"/>
    <w:rsid w:val="00F37A96"/>
    <w:rsid w:val="00F40D73"/>
    <w:rsid w:val="00F40F7A"/>
    <w:rsid w:val="00F411AC"/>
    <w:rsid w:val="00F415F4"/>
    <w:rsid w:val="00F41807"/>
    <w:rsid w:val="00F41C4E"/>
    <w:rsid w:val="00F41D6E"/>
    <w:rsid w:val="00F4226B"/>
    <w:rsid w:val="00F42A0E"/>
    <w:rsid w:val="00F4321A"/>
    <w:rsid w:val="00F43C1A"/>
    <w:rsid w:val="00F4408A"/>
    <w:rsid w:val="00F459C9"/>
    <w:rsid w:val="00F46038"/>
    <w:rsid w:val="00F4613F"/>
    <w:rsid w:val="00F46215"/>
    <w:rsid w:val="00F46820"/>
    <w:rsid w:val="00F46B54"/>
    <w:rsid w:val="00F46D23"/>
    <w:rsid w:val="00F47070"/>
    <w:rsid w:val="00F472FC"/>
    <w:rsid w:val="00F473CE"/>
    <w:rsid w:val="00F477EB"/>
    <w:rsid w:val="00F5003D"/>
    <w:rsid w:val="00F50B21"/>
    <w:rsid w:val="00F50E15"/>
    <w:rsid w:val="00F52751"/>
    <w:rsid w:val="00F53969"/>
    <w:rsid w:val="00F544A4"/>
    <w:rsid w:val="00F549A3"/>
    <w:rsid w:val="00F5570F"/>
    <w:rsid w:val="00F5627E"/>
    <w:rsid w:val="00F564F2"/>
    <w:rsid w:val="00F56DB5"/>
    <w:rsid w:val="00F56FC7"/>
    <w:rsid w:val="00F573FF"/>
    <w:rsid w:val="00F57A8D"/>
    <w:rsid w:val="00F603A6"/>
    <w:rsid w:val="00F60640"/>
    <w:rsid w:val="00F6071F"/>
    <w:rsid w:val="00F607CD"/>
    <w:rsid w:val="00F607E5"/>
    <w:rsid w:val="00F61386"/>
    <w:rsid w:val="00F617A3"/>
    <w:rsid w:val="00F6216D"/>
    <w:rsid w:val="00F624DC"/>
    <w:rsid w:val="00F62BAB"/>
    <w:rsid w:val="00F62BE0"/>
    <w:rsid w:val="00F62F25"/>
    <w:rsid w:val="00F63830"/>
    <w:rsid w:val="00F63BAD"/>
    <w:rsid w:val="00F63FA3"/>
    <w:rsid w:val="00F64B93"/>
    <w:rsid w:val="00F64CF3"/>
    <w:rsid w:val="00F64D7A"/>
    <w:rsid w:val="00F650EA"/>
    <w:rsid w:val="00F652A2"/>
    <w:rsid w:val="00F65941"/>
    <w:rsid w:val="00F65B5D"/>
    <w:rsid w:val="00F66552"/>
    <w:rsid w:val="00F6655D"/>
    <w:rsid w:val="00F66E19"/>
    <w:rsid w:val="00F66F1B"/>
    <w:rsid w:val="00F70218"/>
    <w:rsid w:val="00F704F9"/>
    <w:rsid w:val="00F7051E"/>
    <w:rsid w:val="00F7101A"/>
    <w:rsid w:val="00F71211"/>
    <w:rsid w:val="00F71B21"/>
    <w:rsid w:val="00F71C55"/>
    <w:rsid w:val="00F71F0E"/>
    <w:rsid w:val="00F72084"/>
    <w:rsid w:val="00F7260B"/>
    <w:rsid w:val="00F727E2"/>
    <w:rsid w:val="00F739CB"/>
    <w:rsid w:val="00F7449F"/>
    <w:rsid w:val="00F74870"/>
    <w:rsid w:val="00F75133"/>
    <w:rsid w:val="00F754CD"/>
    <w:rsid w:val="00F75DF1"/>
    <w:rsid w:val="00F7688F"/>
    <w:rsid w:val="00F76A2B"/>
    <w:rsid w:val="00F7737E"/>
    <w:rsid w:val="00F776A6"/>
    <w:rsid w:val="00F777B7"/>
    <w:rsid w:val="00F77919"/>
    <w:rsid w:val="00F801D9"/>
    <w:rsid w:val="00F80351"/>
    <w:rsid w:val="00F8072E"/>
    <w:rsid w:val="00F80A88"/>
    <w:rsid w:val="00F80FD4"/>
    <w:rsid w:val="00F80FE5"/>
    <w:rsid w:val="00F81262"/>
    <w:rsid w:val="00F812B7"/>
    <w:rsid w:val="00F81782"/>
    <w:rsid w:val="00F822B7"/>
    <w:rsid w:val="00F8255E"/>
    <w:rsid w:val="00F828C5"/>
    <w:rsid w:val="00F82AA6"/>
    <w:rsid w:val="00F832CF"/>
    <w:rsid w:val="00F8335C"/>
    <w:rsid w:val="00F83A94"/>
    <w:rsid w:val="00F84393"/>
    <w:rsid w:val="00F84599"/>
    <w:rsid w:val="00F84CAD"/>
    <w:rsid w:val="00F85108"/>
    <w:rsid w:val="00F8545A"/>
    <w:rsid w:val="00F8594A"/>
    <w:rsid w:val="00F85C65"/>
    <w:rsid w:val="00F8600A"/>
    <w:rsid w:val="00F860BB"/>
    <w:rsid w:val="00F86565"/>
    <w:rsid w:val="00F86B8B"/>
    <w:rsid w:val="00F86EEA"/>
    <w:rsid w:val="00F87500"/>
    <w:rsid w:val="00F87D99"/>
    <w:rsid w:val="00F90B3E"/>
    <w:rsid w:val="00F90D63"/>
    <w:rsid w:val="00F9183D"/>
    <w:rsid w:val="00F91BE4"/>
    <w:rsid w:val="00F91C6D"/>
    <w:rsid w:val="00F91CEF"/>
    <w:rsid w:val="00F92A70"/>
    <w:rsid w:val="00F92C07"/>
    <w:rsid w:val="00F92E42"/>
    <w:rsid w:val="00F931DA"/>
    <w:rsid w:val="00F9334F"/>
    <w:rsid w:val="00F94330"/>
    <w:rsid w:val="00F943DB"/>
    <w:rsid w:val="00F9453A"/>
    <w:rsid w:val="00F945F0"/>
    <w:rsid w:val="00F9483A"/>
    <w:rsid w:val="00F94EB9"/>
    <w:rsid w:val="00F95405"/>
    <w:rsid w:val="00F961EC"/>
    <w:rsid w:val="00F96DB5"/>
    <w:rsid w:val="00F97370"/>
    <w:rsid w:val="00FA0093"/>
    <w:rsid w:val="00FA09D0"/>
    <w:rsid w:val="00FA0CAF"/>
    <w:rsid w:val="00FA1261"/>
    <w:rsid w:val="00FA158A"/>
    <w:rsid w:val="00FA22EA"/>
    <w:rsid w:val="00FA25EC"/>
    <w:rsid w:val="00FA278D"/>
    <w:rsid w:val="00FA2938"/>
    <w:rsid w:val="00FA2985"/>
    <w:rsid w:val="00FA2F3B"/>
    <w:rsid w:val="00FA3105"/>
    <w:rsid w:val="00FA33CB"/>
    <w:rsid w:val="00FA3DF6"/>
    <w:rsid w:val="00FA41B1"/>
    <w:rsid w:val="00FA4564"/>
    <w:rsid w:val="00FA46A2"/>
    <w:rsid w:val="00FA4760"/>
    <w:rsid w:val="00FA4DA5"/>
    <w:rsid w:val="00FA5262"/>
    <w:rsid w:val="00FA5802"/>
    <w:rsid w:val="00FA5BD5"/>
    <w:rsid w:val="00FA5E68"/>
    <w:rsid w:val="00FA6432"/>
    <w:rsid w:val="00FA6B96"/>
    <w:rsid w:val="00FA6E7E"/>
    <w:rsid w:val="00FA71AA"/>
    <w:rsid w:val="00FA749C"/>
    <w:rsid w:val="00FA75D7"/>
    <w:rsid w:val="00FA7978"/>
    <w:rsid w:val="00FA7BAC"/>
    <w:rsid w:val="00FB0648"/>
    <w:rsid w:val="00FB0E93"/>
    <w:rsid w:val="00FB10A7"/>
    <w:rsid w:val="00FB1724"/>
    <w:rsid w:val="00FB17CF"/>
    <w:rsid w:val="00FB18F8"/>
    <w:rsid w:val="00FB1AD9"/>
    <w:rsid w:val="00FB1EFA"/>
    <w:rsid w:val="00FB3126"/>
    <w:rsid w:val="00FB31F0"/>
    <w:rsid w:val="00FB34B7"/>
    <w:rsid w:val="00FB34EE"/>
    <w:rsid w:val="00FB3EE3"/>
    <w:rsid w:val="00FB4CE2"/>
    <w:rsid w:val="00FB519A"/>
    <w:rsid w:val="00FB51D1"/>
    <w:rsid w:val="00FB51D5"/>
    <w:rsid w:val="00FB546D"/>
    <w:rsid w:val="00FB5DCD"/>
    <w:rsid w:val="00FB6382"/>
    <w:rsid w:val="00FB75DE"/>
    <w:rsid w:val="00FB76B5"/>
    <w:rsid w:val="00FB7FD7"/>
    <w:rsid w:val="00FC05A2"/>
    <w:rsid w:val="00FC178A"/>
    <w:rsid w:val="00FC2FE9"/>
    <w:rsid w:val="00FC32AC"/>
    <w:rsid w:val="00FC3D11"/>
    <w:rsid w:val="00FC43D8"/>
    <w:rsid w:val="00FC4A0F"/>
    <w:rsid w:val="00FC4FAF"/>
    <w:rsid w:val="00FC5E57"/>
    <w:rsid w:val="00FC64C3"/>
    <w:rsid w:val="00FC6B05"/>
    <w:rsid w:val="00FC771A"/>
    <w:rsid w:val="00FC7F52"/>
    <w:rsid w:val="00FD0780"/>
    <w:rsid w:val="00FD1178"/>
    <w:rsid w:val="00FD11C5"/>
    <w:rsid w:val="00FD146D"/>
    <w:rsid w:val="00FD167D"/>
    <w:rsid w:val="00FD1D71"/>
    <w:rsid w:val="00FD1DCF"/>
    <w:rsid w:val="00FD225C"/>
    <w:rsid w:val="00FD2714"/>
    <w:rsid w:val="00FD32FD"/>
    <w:rsid w:val="00FD3B4C"/>
    <w:rsid w:val="00FD3F3B"/>
    <w:rsid w:val="00FD43E9"/>
    <w:rsid w:val="00FD5129"/>
    <w:rsid w:val="00FD5A97"/>
    <w:rsid w:val="00FD5CEB"/>
    <w:rsid w:val="00FD61E7"/>
    <w:rsid w:val="00FD62B0"/>
    <w:rsid w:val="00FD63BA"/>
    <w:rsid w:val="00FD666E"/>
    <w:rsid w:val="00FD6768"/>
    <w:rsid w:val="00FD67FB"/>
    <w:rsid w:val="00FD6A6C"/>
    <w:rsid w:val="00FD7368"/>
    <w:rsid w:val="00FD7C8A"/>
    <w:rsid w:val="00FE0767"/>
    <w:rsid w:val="00FE0816"/>
    <w:rsid w:val="00FE0D4F"/>
    <w:rsid w:val="00FE0E84"/>
    <w:rsid w:val="00FE1227"/>
    <w:rsid w:val="00FE15D0"/>
    <w:rsid w:val="00FE1709"/>
    <w:rsid w:val="00FE2141"/>
    <w:rsid w:val="00FE2634"/>
    <w:rsid w:val="00FE2C02"/>
    <w:rsid w:val="00FE2DF0"/>
    <w:rsid w:val="00FE2EBC"/>
    <w:rsid w:val="00FE3165"/>
    <w:rsid w:val="00FE3276"/>
    <w:rsid w:val="00FE3472"/>
    <w:rsid w:val="00FE37FC"/>
    <w:rsid w:val="00FE3DFD"/>
    <w:rsid w:val="00FE3E2A"/>
    <w:rsid w:val="00FE4240"/>
    <w:rsid w:val="00FE4952"/>
    <w:rsid w:val="00FE4A38"/>
    <w:rsid w:val="00FE4C75"/>
    <w:rsid w:val="00FE4ECE"/>
    <w:rsid w:val="00FE51B7"/>
    <w:rsid w:val="00FE55D4"/>
    <w:rsid w:val="00FE5A4B"/>
    <w:rsid w:val="00FE63A5"/>
    <w:rsid w:val="00FE6EB8"/>
    <w:rsid w:val="00FF0EA6"/>
    <w:rsid w:val="00FF1359"/>
    <w:rsid w:val="00FF1676"/>
    <w:rsid w:val="00FF232D"/>
    <w:rsid w:val="00FF2A58"/>
    <w:rsid w:val="00FF2AE4"/>
    <w:rsid w:val="00FF3678"/>
    <w:rsid w:val="00FF3AF5"/>
    <w:rsid w:val="00FF3DBE"/>
    <w:rsid w:val="00FF4082"/>
    <w:rsid w:val="00FF40B6"/>
    <w:rsid w:val="00FF4B5D"/>
    <w:rsid w:val="00FF4EFF"/>
    <w:rsid w:val="00FF51EF"/>
    <w:rsid w:val="00FF526E"/>
    <w:rsid w:val="00FF55F6"/>
    <w:rsid w:val="00FF56DC"/>
    <w:rsid w:val="00FF5D0D"/>
    <w:rsid w:val="00FF61D8"/>
    <w:rsid w:val="00FF71F2"/>
    <w:rsid w:val="00FF725D"/>
    <w:rsid w:val="00FF7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00B1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304725"/>
    <w:pPr>
      <w:spacing w:after="200" w:line="276" w:lineRule="auto"/>
    </w:pPr>
    <w:rPr>
      <w:sz w:val="22"/>
      <w:szCs w:val="22"/>
      <w:lang w:val="en-ZA" w:eastAsia="en-US"/>
    </w:rPr>
  </w:style>
  <w:style w:type="paragraph" w:styleId="Heading1">
    <w:name w:val="heading 1"/>
    <w:basedOn w:val="Normal"/>
    <w:next w:val="Normal"/>
    <w:link w:val="Heading1Char"/>
    <w:uiPriority w:val="9"/>
    <w:qFormat/>
    <w:rsid w:val="009B69D7"/>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9B69D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9B69D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2EDA"/>
    <w:rPr>
      <w:vertAlign w:val="superscript"/>
    </w:rPr>
  </w:style>
  <w:style w:type="character" w:styleId="Hyperlink">
    <w:name w:val="Hyperlink"/>
    <w:rsid w:val="00182EDA"/>
    <w:rPr>
      <w:color w:val="0000FF"/>
      <w:u w:val="single"/>
    </w:rPr>
  </w:style>
  <w:style w:type="paragraph" w:styleId="EndnoteText">
    <w:name w:val="endnote text"/>
    <w:basedOn w:val="Normal"/>
    <w:semiHidden/>
    <w:rsid w:val="00182EDA"/>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rPr>
  </w:style>
  <w:style w:type="table" w:styleId="TableGrid">
    <w:name w:val="Table Grid"/>
    <w:basedOn w:val="TableNormal"/>
    <w:uiPriority w:val="39"/>
    <w:rsid w:val="00D617D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E2C02"/>
    <w:rPr>
      <w:sz w:val="20"/>
      <w:szCs w:val="20"/>
    </w:rPr>
  </w:style>
  <w:style w:type="paragraph" w:styleId="Header">
    <w:name w:val="header"/>
    <w:basedOn w:val="Normal"/>
    <w:rsid w:val="008C0832"/>
    <w:pPr>
      <w:tabs>
        <w:tab w:val="center" w:pos="4153"/>
        <w:tab w:val="right" w:pos="8306"/>
      </w:tabs>
    </w:pPr>
  </w:style>
  <w:style w:type="character" w:styleId="PageNumber">
    <w:name w:val="page number"/>
    <w:basedOn w:val="DefaultParagraphFont"/>
    <w:rsid w:val="008C0832"/>
  </w:style>
  <w:style w:type="character" w:customStyle="1" w:styleId="FootnoteTextChar">
    <w:name w:val="Footnote Text Char"/>
    <w:link w:val="FootnoteText"/>
    <w:semiHidden/>
    <w:rsid w:val="00BA5001"/>
    <w:rPr>
      <w:lang w:val="en-ZA" w:eastAsia="en-US"/>
    </w:rPr>
  </w:style>
  <w:style w:type="paragraph" w:styleId="BalloonText">
    <w:name w:val="Balloon Text"/>
    <w:basedOn w:val="Normal"/>
    <w:link w:val="BalloonTextChar"/>
    <w:uiPriority w:val="99"/>
    <w:semiHidden/>
    <w:unhideWhenUsed/>
    <w:rsid w:val="00304725"/>
    <w:pPr>
      <w:spacing w:after="0" w:line="240" w:lineRule="auto"/>
    </w:pPr>
    <w:rPr>
      <w:rFonts w:ascii="Tahoma" w:hAnsi="Tahoma" w:cs="Tahoma"/>
      <w:sz w:val="20"/>
      <w:szCs w:val="16"/>
      <w:lang w:val="en-US"/>
    </w:rPr>
  </w:style>
  <w:style w:type="character" w:customStyle="1" w:styleId="BalloonTextChar">
    <w:name w:val="Balloon Text Char"/>
    <w:link w:val="BalloonText"/>
    <w:uiPriority w:val="99"/>
    <w:semiHidden/>
    <w:rsid w:val="00304725"/>
    <w:rPr>
      <w:rFonts w:ascii="Tahoma" w:hAnsi="Tahoma" w:cs="Tahoma"/>
      <w:szCs w:val="16"/>
      <w:lang w:val="en-US" w:eastAsia="en-US"/>
    </w:rPr>
  </w:style>
  <w:style w:type="table" w:customStyle="1" w:styleId="TableGrid1">
    <w:name w:val="Table Grid1"/>
    <w:basedOn w:val="TableNormal"/>
    <w:next w:val="TableGrid"/>
    <w:uiPriority w:val="59"/>
    <w:rsid w:val="00164FC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6868"/>
    <w:rPr>
      <w:sz w:val="16"/>
      <w:szCs w:val="16"/>
    </w:rPr>
  </w:style>
  <w:style w:type="paragraph" w:styleId="CommentText">
    <w:name w:val="annotation text"/>
    <w:basedOn w:val="Normal"/>
    <w:link w:val="CommentTextChar"/>
    <w:uiPriority w:val="99"/>
    <w:semiHidden/>
    <w:unhideWhenUsed/>
    <w:rsid w:val="001D6868"/>
    <w:rPr>
      <w:sz w:val="20"/>
      <w:szCs w:val="20"/>
    </w:rPr>
  </w:style>
  <w:style w:type="character" w:customStyle="1" w:styleId="CommentTextChar">
    <w:name w:val="Comment Text Char"/>
    <w:link w:val="CommentText"/>
    <w:uiPriority w:val="99"/>
    <w:semiHidden/>
    <w:rsid w:val="001D6868"/>
    <w:rPr>
      <w:lang w:val="en-ZA" w:eastAsia="en-US"/>
    </w:rPr>
  </w:style>
  <w:style w:type="paragraph" w:styleId="CommentSubject">
    <w:name w:val="annotation subject"/>
    <w:basedOn w:val="CommentText"/>
    <w:next w:val="CommentText"/>
    <w:link w:val="CommentSubjectChar"/>
    <w:uiPriority w:val="99"/>
    <w:semiHidden/>
    <w:unhideWhenUsed/>
    <w:rsid w:val="001D6868"/>
    <w:rPr>
      <w:b/>
      <w:bCs/>
    </w:rPr>
  </w:style>
  <w:style w:type="character" w:customStyle="1" w:styleId="CommentSubjectChar">
    <w:name w:val="Comment Subject Char"/>
    <w:link w:val="CommentSubject"/>
    <w:uiPriority w:val="99"/>
    <w:semiHidden/>
    <w:rsid w:val="001D6868"/>
    <w:rPr>
      <w:b/>
      <w:bCs/>
      <w:lang w:val="en-ZA" w:eastAsia="en-US"/>
    </w:rPr>
  </w:style>
  <w:style w:type="paragraph" w:styleId="Footer">
    <w:name w:val="footer"/>
    <w:basedOn w:val="Normal"/>
    <w:link w:val="FooterChar"/>
    <w:uiPriority w:val="99"/>
    <w:unhideWhenUsed/>
    <w:rsid w:val="002B1EAF"/>
    <w:pPr>
      <w:tabs>
        <w:tab w:val="center" w:pos="4513"/>
        <w:tab w:val="right" w:pos="9026"/>
      </w:tabs>
    </w:pPr>
  </w:style>
  <w:style w:type="character" w:customStyle="1" w:styleId="FooterChar">
    <w:name w:val="Footer Char"/>
    <w:link w:val="Footer"/>
    <w:uiPriority w:val="99"/>
    <w:rsid w:val="002B1EAF"/>
    <w:rPr>
      <w:sz w:val="22"/>
      <w:szCs w:val="22"/>
      <w:lang w:eastAsia="en-US"/>
    </w:rPr>
  </w:style>
  <w:style w:type="paragraph" w:customStyle="1" w:styleId="ColorfulShading-Accent11">
    <w:name w:val="Colorful Shading - Accent 11"/>
    <w:hidden/>
    <w:uiPriority w:val="99"/>
    <w:semiHidden/>
    <w:rsid w:val="00C87D4B"/>
    <w:rPr>
      <w:sz w:val="22"/>
      <w:szCs w:val="22"/>
      <w:lang w:val="en-ZA" w:eastAsia="en-US"/>
    </w:rPr>
  </w:style>
  <w:style w:type="paragraph" w:styleId="BlockText">
    <w:name w:val="Block Text"/>
    <w:basedOn w:val="Normal"/>
    <w:rsid w:val="002C70F8"/>
    <w:pPr>
      <w:spacing w:after="0" w:line="240" w:lineRule="auto"/>
      <w:ind w:left="720" w:right="-58"/>
      <w:jc w:val="both"/>
    </w:pPr>
    <w:rPr>
      <w:rFonts w:ascii="Times New Roman" w:eastAsia="Times New Roman" w:hAnsi="Times New Roman"/>
      <w:sz w:val="24"/>
      <w:szCs w:val="20"/>
      <w:lang w:val="en-GB"/>
    </w:rPr>
  </w:style>
  <w:style w:type="character" w:styleId="FollowedHyperlink">
    <w:name w:val="FollowedHyperlink"/>
    <w:uiPriority w:val="99"/>
    <w:semiHidden/>
    <w:unhideWhenUsed/>
    <w:rsid w:val="002C70F8"/>
    <w:rPr>
      <w:color w:val="800080"/>
      <w:u w:val="single"/>
    </w:rPr>
  </w:style>
  <w:style w:type="character" w:styleId="EndnoteReference">
    <w:name w:val="endnote reference"/>
    <w:uiPriority w:val="99"/>
    <w:semiHidden/>
    <w:unhideWhenUsed/>
    <w:rsid w:val="00AF42F9"/>
    <w:rPr>
      <w:vertAlign w:val="superscript"/>
    </w:rPr>
  </w:style>
  <w:style w:type="paragraph" w:styleId="BodyText">
    <w:name w:val="Body Text"/>
    <w:basedOn w:val="Normal"/>
    <w:link w:val="BodyTextChar"/>
    <w:unhideWhenUsed/>
    <w:rsid w:val="003E59A4"/>
    <w:pPr>
      <w:spacing w:after="120"/>
    </w:pPr>
  </w:style>
  <w:style w:type="character" w:customStyle="1" w:styleId="BodyTextChar">
    <w:name w:val="Body Text Char"/>
    <w:link w:val="BodyText"/>
    <w:rsid w:val="003E59A4"/>
    <w:rPr>
      <w:sz w:val="22"/>
      <w:szCs w:val="22"/>
      <w:lang w:eastAsia="en-US"/>
    </w:rPr>
  </w:style>
  <w:style w:type="paragraph" w:customStyle="1" w:styleId="MediumGrid21">
    <w:name w:val="Medium Grid 21"/>
    <w:uiPriority w:val="1"/>
    <w:qFormat/>
    <w:rsid w:val="00545A7A"/>
    <w:rPr>
      <w:sz w:val="22"/>
      <w:szCs w:val="22"/>
      <w:lang w:val="en-ZA" w:eastAsia="en-US"/>
    </w:rPr>
  </w:style>
  <w:style w:type="character" w:customStyle="1" w:styleId="Heading1Char">
    <w:name w:val="Heading 1 Char"/>
    <w:link w:val="Heading1"/>
    <w:uiPriority w:val="9"/>
    <w:rsid w:val="009B69D7"/>
    <w:rPr>
      <w:rFonts w:ascii="Calibri Light" w:eastAsia="Times New Roman" w:hAnsi="Calibri Light" w:cs="Times New Roman"/>
      <w:b/>
      <w:bCs/>
      <w:kern w:val="32"/>
      <w:sz w:val="32"/>
      <w:szCs w:val="32"/>
      <w:lang w:val="en-ZA" w:eastAsia="en-US"/>
    </w:rPr>
  </w:style>
  <w:style w:type="character" w:customStyle="1" w:styleId="Heading2Char">
    <w:name w:val="Heading 2 Char"/>
    <w:link w:val="Heading2"/>
    <w:uiPriority w:val="9"/>
    <w:rsid w:val="009B69D7"/>
    <w:rPr>
      <w:rFonts w:ascii="Calibri Light" w:eastAsia="Times New Roman" w:hAnsi="Calibri Light" w:cs="Times New Roman"/>
      <w:b/>
      <w:bCs/>
      <w:i/>
      <w:iCs/>
      <w:sz w:val="28"/>
      <w:szCs w:val="28"/>
      <w:lang w:val="en-ZA" w:eastAsia="en-US"/>
    </w:rPr>
  </w:style>
  <w:style w:type="character" w:customStyle="1" w:styleId="Heading3Char">
    <w:name w:val="Heading 3 Char"/>
    <w:link w:val="Heading3"/>
    <w:uiPriority w:val="9"/>
    <w:rsid w:val="009B69D7"/>
    <w:rPr>
      <w:rFonts w:ascii="Calibri Light" w:eastAsia="Times New Roman" w:hAnsi="Calibri Light" w:cs="Times New Roman"/>
      <w:b/>
      <w:bCs/>
      <w:sz w:val="26"/>
      <w:szCs w:val="26"/>
      <w:lang w:val="en-ZA" w:eastAsia="en-US"/>
    </w:rPr>
  </w:style>
  <w:style w:type="paragraph" w:styleId="Revision">
    <w:name w:val="Revision"/>
    <w:hidden/>
    <w:uiPriority w:val="71"/>
    <w:rsid w:val="003820D1"/>
    <w:rPr>
      <w:sz w:val="22"/>
      <w:szCs w:val="22"/>
      <w:lang w:val="en-ZA" w:eastAsia="en-US"/>
    </w:rPr>
  </w:style>
  <w:style w:type="paragraph" w:styleId="ListParagraph">
    <w:name w:val="List Paragraph"/>
    <w:basedOn w:val="Normal"/>
    <w:uiPriority w:val="72"/>
    <w:qFormat/>
    <w:rsid w:val="00D51A86"/>
    <w:pPr>
      <w:ind w:left="720"/>
      <w:contextualSpacing/>
    </w:pPr>
  </w:style>
  <w:style w:type="character" w:customStyle="1" w:styleId="normaltextrun">
    <w:name w:val="normaltextrun"/>
    <w:basedOn w:val="DefaultParagraphFont"/>
    <w:rsid w:val="005917EB"/>
  </w:style>
  <w:style w:type="character" w:customStyle="1" w:styleId="apple-converted-space">
    <w:name w:val="apple-converted-space"/>
    <w:basedOn w:val="DefaultParagraphFont"/>
    <w:rsid w:val="005917EB"/>
  </w:style>
  <w:style w:type="character" w:customStyle="1" w:styleId="scxw233088207">
    <w:name w:val="scxw233088207"/>
    <w:basedOn w:val="DefaultParagraphFont"/>
    <w:rsid w:val="005917EB"/>
  </w:style>
  <w:style w:type="character" w:customStyle="1" w:styleId="eop">
    <w:name w:val="eop"/>
    <w:basedOn w:val="DefaultParagraphFont"/>
    <w:rsid w:val="005917EB"/>
  </w:style>
  <w:style w:type="character" w:customStyle="1" w:styleId="spellingerror">
    <w:name w:val="spellingerror"/>
    <w:basedOn w:val="DefaultParagraphFont"/>
    <w:rsid w:val="00D6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446">
      <w:bodyDiv w:val="1"/>
      <w:marLeft w:val="0"/>
      <w:marRight w:val="0"/>
      <w:marTop w:val="0"/>
      <w:marBottom w:val="0"/>
      <w:divBdr>
        <w:top w:val="none" w:sz="0" w:space="0" w:color="auto"/>
        <w:left w:val="none" w:sz="0" w:space="0" w:color="auto"/>
        <w:bottom w:val="none" w:sz="0" w:space="0" w:color="auto"/>
        <w:right w:val="none" w:sz="0" w:space="0" w:color="auto"/>
      </w:divBdr>
    </w:div>
    <w:div w:id="59014558">
      <w:bodyDiv w:val="1"/>
      <w:marLeft w:val="0"/>
      <w:marRight w:val="0"/>
      <w:marTop w:val="0"/>
      <w:marBottom w:val="0"/>
      <w:divBdr>
        <w:top w:val="none" w:sz="0" w:space="0" w:color="auto"/>
        <w:left w:val="none" w:sz="0" w:space="0" w:color="auto"/>
        <w:bottom w:val="none" w:sz="0" w:space="0" w:color="auto"/>
        <w:right w:val="none" w:sz="0" w:space="0" w:color="auto"/>
      </w:divBdr>
    </w:div>
    <w:div w:id="408188955">
      <w:bodyDiv w:val="1"/>
      <w:marLeft w:val="0"/>
      <w:marRight w:val="0"/>
      <w:marTop w:val="0"/>
      <w:marBottom w:val="0"/>
      <w:divBdr>
        <w:top w:val="none" w:sz="0" w:space="0" w:color="auto"/>
        <w:left w:val="none" w:sz="0" w:space="0" w:color="auto"/>
        <w:bottom w:val="none" w:sz="0" w:space="0" w:color="auto"/>
        <w:right w:val="none" w:sz="0" w:space="0" w:color="auto"/>
      </w:divBdr>
    </w:div>
    <w:div w:id="442381478">
      <w:bodyDiv w:val="1"/>
      <w:marLeft w:val="0"/>
      <w:marRight w:val="0"/>
      <w:marTop w:val="0"/>
      <w:marBottom w:val="0"/>
      <w:divBdr>
        <w:top w:val="none" w:sz="0" w:space="0" w:color="auto"/>
        <w:left w:val="none" w:sz="0" w:space="0" w:color="auto"/>
        <w:bottom w:val="none" w:sz="0" w:space="0" w:color="auto"/>
        <w:right w:val="none" w:sz="0" w:space="0" w:color="auto"/>
      </w:divBdr>
    </w:div>
    <w:div w:id="574438473">
      <w:bodyDiv w:val="1"/>
      <w:marLeft w:val="0"/>
      <w:marRight w:val="0"/>
      <w:marTop w:val="0"/>
      <w:marBottom w:val="0"/>
      <w:divBdr>
        <w:top w:val="none" w:sz="0" w:space="0" w:color="auto"/>
        <w:left w:val="none" w:sz="0" w:space="0" w:color="auto"/>
        <w:bottom w:val="none" w:sz="0" w:space="0" w:color="auto"/>
        <w:right w:val="none" w:sz="0" w:space="0" w:color="auto"/>
      </w:divBdr>
    </w:div>
    <w:div w:id="643511167">
      <w:bodyDiv w:val="1"/>
      <w:marLeft w:val="0"/>
      <w:marRight w:val="0"/>
      <w:marTop w:val="0"/>
      <w:marBottom w:val="0"/>
      <w:divBdr>
        <w:top w:val="none" w:sz="0" w:space="0" w:color="auto"/>
        <w:left w:val="none" w:sz="0" w:space="0" w:color="auto"/>
        <w:bottom w:val="none" w:sz="0" w:space="0" w:color="auto"/>
        <w:right w:val="none" w:sz="0" w:space="0" w:color="auto"/>
      </w:divBdr>
    </w:div>
    <w:div w:id="792671663">
      <w:bodyDiv w:val="1"/>
      <w:marLeft w:val="0"/>
      <w:marRight w:val="0"/>
      <w:marTop w:val="0"/>
      <w:marBottom w:val="0"/>
      <w:divBdr>
        <w:top w:val="none" w:sz="0" w:space="0" w:color="auto"/>
        <w:left w:val="none" w:sz="0" w:space="0" w:color="auto"/>
        <w:bottom w:val="none" w:sz="0" w:space="0" w:color="auto"/>
        <w:right w:val="none" w:sz="0" w:space="0" w:color="auto"/>
      </w:divBdr>
    </w:div>
    <w:div w:id="899025203">
      <w:bodyDiv w:val="1"/>
      <w:marLeft w:val="0"/>
      <w:marRight w:val="0"/>
      <w:marTop w:val="0"/>
      <w:marBottom w:val="0"/>
      <w:divBdr>
        <w:top w:val="none" w:sz="0" w:space="0" w:color="auto"/>
        <w:left w:val="none" w:sz="0" w:space="0" w:color="auto"/>
        <w:bottom w:val="none" w:sz="0" w:space="0" w:color="auto"/>
        <w:right w:val="none" w:sz="0" w:space="0" w:color="auto"/>
      </w:divBdr>
    </w:div>
    <w:div w:id="918753137">
      <w:bodyDiv w:val="1"/>
      <w:marLeft w:val="0"/>
      <w:marRight w:val="0"/>
      <w:marTop w:val="0"/>
      <w:marBottom w:val="0"/>
      <w:divBdr>
        <w:top w:val="none" w:sz="0" w:space="0" w:color="auto"/>
        <w:left w:val="none" w:sz="0" w:space="0" w:color="auto"/>
        <w:bottom w:val="none" w:sz="0" w:space="0" w:color="auto"/>
        <w:right w:val="none" w:sz="0" w:space="0" w:color="auto"/>
      </w:divBdr>
    </w:div>
    <w:div w:id="982853622">
      <w:bodyDiv w:val="1"/>
      <w:marLeft w:val="0"/>
      <w:marRight w:val="0"/>
      <w:marTop w:val="0"/>
      <w:marBottom w:val="0"/>
      <w:divBdr>
        <w:top w:val="none" w:sz="0" w:space="0" w:color="auto"/>
        <w:left w:val="none" w:sz="0" w:space="0" w:color="auto"/>
        <w:bottom w:val="none" w:sz="0" w:space="0" w:color="auto"/>
        <w:right w:val="none" w:sz="0" w:space="0" w:color="auto"/>
      </w:divBdr>
    </w:div>
    <w:div w:id="993333642">
      <w:bodyDiv w:val="1"/>
      <w:marLeft w:val="0"/>
      <w:marRight w:val="0"/>
      <w:marTop w:val="0"/>
      <w:marBottom w:val="0"/>
      <w:divBdr>
        <w:top w:val="none" w:sz="0" w:space="0" w:color="auto"/>
        <w:left w:val="none" w:sz="0" w:space="0" w:color="auto"/>
        <w:bottom w:val="none" w:sz="0" w:space="0" w:color="auto"/>
        <w:right w:val="none" w:sz="0" w:space="0" w:color="auto"/>
      </w:divBdr>
    </w:div>
    <w:div w:id="997925481">
      <w:bodyDiv w:val="1"/>
      <w:marLeft w:val="0"/>
      <w:marRight w:val="0"/>
      <w:marTop w:val="0"/>
      <w:marBottom w:val="0"/>
      <w:divBdr>
        <w:top w:val="none" w:sz="0" w:space="0" w:color="auto"/>
        <w:left w:val="none" w:sz="0" w:space="0" w:color="auto"/>
        <w:bottom w:val="none" w:sz="0" w:space="0" w:color="auto"/>
        <w:right w:val="none" w:sz="0" w:space="0" w:color="auto"/>
      </w:divBdr>
    </w:div>
    <w:div w:id="1058552935">
      <w:bodyDiv w:val="1"/>
      <w:marLeft w:val="0"/>
      <w:marRight w:val="0"/>
      <w:marTop w:val="0"/>
      <w:marBottom w:val="0"/>
      <w:divBdr>
        <w:top w:val="none" w:sz="0" w:space="0" w:color="auto"/>
        <w:left w:val="none" w:sz="0" w:space="0" w:color="auto"/>
        <w:bottom w:val="none" w:sz="0" w:space="0" w:color="auto"/>
        <w:right w:val="none" w:sz="0" w:space="0" w:color="auto"/>
      </w:divBdr>
    </w:div>
    <w:div w:id="1214193447">
      <w:bodyDiv w:val="1"/>
      <w:marLeft w:val="0"/>
      <w:marRight w:val="0"/>
      <w:marTop w:val="0"/>
      <w:marBottom w:val="0"/>
      <w:divBdr>
        <w:top w:val="none" w:sz="0" w:space="0" w:color="auto"/>
        <w:left w:val="none" w:sz="0" w:space="0" w:color="auto"/>
        <w:bottom w:val="none" w:sz="0" w:space="0" w:color="auto"/>
        <w:right w:val="none" w:sz="0" w:space="0" w:color="auto"/>
      </w:divBdr>
    </w:div>
    <w:div w:id="1351637085">
      <w:bodyDiv w:val="1"/>
      <w:marLeft w:val="0"/>
      <w:marRight w:val="0"/>
      <w:marTop w:val="0"/>
      <w:marBottom w:val="0"/>
      <w:divBdr>
        <w:top w:val="none" w:sz="0" w:space="0" w:color="auto"/>
        <w:left w:val="none" w:sz="0" w:space="0" w:color="auto"/>
        <w:bottom w:val="none" w:sz="0" w:space="0" w:color="auto"/>
        <w:right w:val="none" w:sz="0" w:space="0" w:color="auto"/>
      </w:divBdr>
    </w:div>
    <w:div w:id="1372532345">
      <w:bodyDiv w:val="1"/>
      <w:marLeft w:val="0"/>
      <w:marRight w:val="0"/>
      <w:marTop w:val="0"/>
      <w:marBottom w:val="0"/>
      <w:divBdr>
        <w:top w:val="none" w:sz="0" w:space="0" w:color="auto"/>
        <w:left w:val="none" w:sz="0" w:space="0" w:color="auto"/>
        <w:bottom w:val="none" w:sz="0" w:space="0" w:color="auto"/>
        <w:right w:val="none" w:sz="0" w:space="0" w:color="auto"/>
      </w:divBdr>
    </w:div>
    <w:div w:id="1434208137">
      <w:bodyDiv w:val="1"/>
      <w:marLeft w:val="0"/>
      <w:marRight w:val="0"/>
      <w:marTop w:val="0"/>
      <w:marBottom w:val="0"/>
      <w:divBdr>
        <w:top w:val="none" w:sz="0" w:space="0" w:color="auto"/>
        <w:left w:val="none" w:sz="0" w:space="0" w:color="auto"/>
        <w:bottom w:val="none" w:sz="0" w:space="0" w:color="auto"/>
        <w:right w:val="none" w:sz="0" w:space="0" w:color="auto"/>
      </w:divBdr>
    </w:div>
    <w:div w:id="1519615499">
      <w:bodyDiv w:val="1"/>
      <w:marLeft w:val="0"/>
      <w:marRight w:val="0"/>
      <w:marTop w:val="0"/>
      <w:marBottom w:val="0"/>
      <w:divBdr>
        <w:top w:val="none" w:sz="0" w:space="0" w:color="auto"/>
        <w:left w:val="none" w:sz="0" w:space="0" w:color="auto"/>
        <w:bottom w:val="none" w:sz="0" w:space="0" w:color="auto"/>
        <w:right w:val="none" w:sz="0" w:space="0" w:color="auto"/>
      </w:divBdr>
    </w:div>
    <w:div w:id="1624968357">
      <w:bodyDiv w:val="1"/>
      <w:marLeft w:val="0"/>
      <w:marRight w:val="0"/>
      <w:marTop w:val="0"/>
      <w:marBottom w:val="0"/>
      <w:divBdr>
        <w:top w:val="none" w:sz="0" w:space="0" w:color="auto"/>
        <w:left w:val="none" w:sz="0" w:space="0" w:color="auto"/>
        <w:bottom w:val="none" w:sz="0" w:space="0" w:color="auto"/>
        <w:right w:val="none" w:sz="0" w:space="0" w:color="auto"/>
      </w:divBdr>
    </w:div>
    <w:div w:id="1693262857">
      <w:bodyDiv w:val="1"/>
      <w:marLeft w:val="0"/>
      <w:marRight w:val="0"/>
      <w:marTop w:val="0"/>
      <w:marBottom w:val="0"/>
      <w:divBdr>
        <w:top w:val="none" w:sz="0" w:space="0" w:color="auto"/>
        <w:left w:val="none" w:sz="0" w:space="0" w:color="auto"/>
        <w:bottom w:val="none" w:sz="0" w:space="0" w:color="auto"/>
        <w:right w:val="none" w:sz="0" w:space="0" w:color="auto"/>
      </w:divBdr>
    </w:div>
    <w:div w:id="1784573364">
      <w:bodyDiv w:val="1"/>
      <w:marLeft w:val="0"/>
      <w:marRight w:val="0"/>
      <w:marTop w:val="0"/>
      <w:marBottom w:val="0"/>
      <w:divBdr>
        <w:top w:val="none" w:sz="0" w:space="0" w:color="auto"/>
        <w:left w:val="none" w:sz="0" w:space="0" w:color="auto"/>
        <w:bottom w:val="none" w:sz="0" w:space="0" w:color="auto"/>
        <w:right w:val="none" w:sz="0" w:space="0" w:color="auto"/>
      </w:divBdr>
    </w:div>
    <w:div w:id="1917936929">
      <w:bodyDiv w:val="1"/>
      <w:marLeft w:val="0"/>
      <w:marRight w:val="0"/>
      <w:marTop w:val="0"/>
      <w:marBottom w:val="0"/>
      <w:divBdr>
        <w:top w:val="none" w:sz="0" w:space="0" w:color="auto"/>
        <w:left w:val="none" w:sz="0" w:space="0" w:color="auto"/>
        <w:bottom w:val="none" w:sz="0" w:space="0" w:color="auto"/>
        <w:right w:val="none" w:sz="0" w:space="0" w:color="auto"/>
      </w:divBdr>
    </w:div>
    <w:div w:id="1979456545">
      <w:bodyDiv w:val="1"/>
      <w:marLeft w:val="0"/>
      <w:marRight w:val="0"/>
      <w:marTop w:val="0"/>
      <w:marBottom w:val="0"/>
      <w:divBdr>
        <w:top w:val="none" w:sz="0" w:space="0" w:color="auto"/>
        <w:left w:val="none" w:sz="0" w:space="0" w:color="auto"/>
        <w:bottom w:val="none" w:sz="0" w:space="0" w:color="auto"/>
        <w:right w:val="none" w:sz="0" w:space="0" w:color="auto"/>
      </w:divBdr>
    </w:div>
    <w:div w:id="1986154108">
      <w:bodyDiv w:val="1"/>
      <w:marLeft w:val="0"/>
      <w:marRight w:val="0"/>
      <w:marTop w:val="0"/>
      <w:marBottom w:val="0"/>
      <w:divBdr>
        <w:top w:val="none" w:sz="0" w:space="0" w:color="auto"/>
        <w:left w:val="none" w:sz="0" w:space="0" w:color="auto"/>
        <w:bottom w:val="none" w:sz="0" w:space="0" w:color="auto"/>
        <w:right w:val="none" w:sz="0" w:space="0" w:color="auto"/>
      </w:divBdr>
    </w:div>
    <w:div w:id="2070378330">
      <w:bodyDiv w:val="1"/>
      <w:marLeft w:val="0"/>
      <w:marRight w:val="0"/>
      <w:marTop w:val="0"/>
      <w:marBottom w:val="0"/>
      <w:divBdr>
        <w:top w:val="none" w:sz="0" w:space="0" w:color="auto"/>
        <w:left w:val="none" w:sz="0" w:space="0" w:color="auto"/>
        <w:bottom w:val="none" w:sz="0" w:space="0" w:color="auto"/>
        <w:right w:val="none" w:sz="0" w:space="0" w:color="auto"/>
      </w:divBdr>
    </w:div>
    <w:div w:id="2136217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cpa.org" TargetMode="External"/><Relationship Id="rId13" Type="http://schemas.openxmlformats.org/officeDocument/2006/relationships/hyperlink" Target="https://www.imf.org/external/np/seminars/eng/2008/afrfin/pdf/senbet.pdf"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afdb.org/fileadmin/uploads/afdb/Documents/Project-and-Operations/ADB-BD-WP-2007-40-EN-ZIMBABWE-2007-COUNTRY-DIALOGUE-PAPER.PDF.%20Accessed%209" TargetMode="External"/><Relationship Id="rId12" Type="http://schemas.openxmlformats.org/officeDocument/2006/relationships/hyperlink" Target="http://www.iss.co.za/Pubs/Monographs/No87?Chap3.pdf"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mfstatistic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ata.worldbank.org/country/zimbabwe"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www.imf.org/external/pubs/ft/weo/2008/02/weodata/weorept.aspx"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www.delta.co.zw" TargetMode="External"/><Relationship Id="rId14" Type="http://schemas.openxmlformats.org/officeDocument/2006/relationships/hyperlink" Target="http://www.worldbank.org/ifa/rocs_cg_zimbabwe.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EB6C-874F-4AE1-B0C3-46B7BCD5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14120</Words>
  <Characters>79221</Characters>
  <Application>Microsoft Office Word</Application>
  <DocSecurity>4</DocSecurity>
  <Lines>660</Lines>
  <Paragraphs>186</Paragraphs>
  <ScaleCrop>false</ScaleCrop>
  <HeadingPairs>
    <vt:vector size="2" baseType="variant">
      <vt:variant>
        <vt:lpstr>Title</vt:lpstr>
      </vt:variant>
      <vt:variant>
        <vt:i4>1</vt:i4>
      </vt:variant>
    </vt:vector>
  </HeadingPairs>
  <TitlesOfParts>
    <vt:vector size="1" baseType="lpstr">
      <vt:lpstr>The relative usefulness of historical cost and hyperinflation-adjusted amounts: A Zimbabwe study</vt:lpstr>
    </vt:vector>
  </TitlesOfParts>
  <Company>University of Cape Town</Company>
  <LinksUpToDate>false</LinksUpToDate>
  <CharactersWithSpaces>93155</CharactersWithSpaces>
  <SharedDoc>false</SharedDoc>
  <HLinks>
    <vt:vector size="54" baseType="variant">
      <vt:variant>
        <vt:i4>3735664</vt:i4>
      </vt:variant>
      <vt:variant>
        <vt:i4>24</vt:i4>
      </vt:variant>
      <vt:variant>
        <vt:i4>0</vt:i4>
      </vt:variant>
      <vt:variant>
        <vt:i4>5</vt:i4>
      </vt:variant>
      <vt:variant>
        <vt:lpwstr>http://data.worldbank.org/country/zimbabwe</vt:lpwstr>
      </vt:variant>
      <vt:variant>
        <vt:lpwstr/>
      </vt:variant>
      <vt:variant>
        <vt:i4>6160460</vt:i4>
      </vt:variant>
      <vt:variant>
        <vt:i4>21</vt:i4>
      </vt:variant>
      <vt:variant>
        <vt:i4>0</vt:i4>
      </vt:variant>
      <vt:variant>
        <vt:i4>5</vt:i4>
      </vt:variant>
      <vt:variant>
        <vt:lpwstr>http://www.worldbank.org/ifa/rocs_cg_zimbabwe.html</vt:lpwstr>
      </vt:variant>
      <vt:variant>
        <vt:lpwstr/>
      </vt:variant>
      <vt:variant>
        <vt:i4>7536645</vt:i4>
      </vt:variant>
      <vt:variant>
        <vt:i4>18</vt:i4>
      </vt:variant>
      <vt:variant>
        <vt:i4>0</vt:i4>
      </vt:variant>
      <vt:variant>
        <vt:i4>5</vt:i4>
      </vt:variant>
      <vt:variant>
        <vt:lpwstr>https://www.imf.org/external/np/seminars/eng/2008/afrfin/pdf/senbet.pdf</vt:lpwstr>
      </vt:variant>
      <vt:variant>
        <vt:lpwstr/>
      </vt:variant>
      <vt:variant>
        <vt:i4>6946828</vt:i4>
      </vt:variant>
      <vt:variant>
        <vt:i4>15</vt:i4>
      </vt:variant>
      <vt:variant>
        <vt:i4>0</vt:i4>
      </vt:variant>
      <vt:variant>
        <vt:i4>5</vt:i4>
      </vt:variant>
      <vt:variant>
        <vt:lpwstr>http://www.iss.co.za/Pubs/Monographs/No87?Chap3.pdf</vt:lpwstr>
      </vt:variant>
      <vt:variant>
        <vt:lpwstr/>
      </vt:variant>
      <vt:variant>
        <vt:i4>4522018</vt:i4>
      </vt:variant>
      <vt:variant>
        <vt:i4>12</vt:i4>
      </vt:variant>
      <vt:variant>
        <vt:i4>0</vt:i4>
      </vt:variant>
      <vt:variant>
        <vt:i4>5</vt:i4>
      </vt:variant>
      <vt:variant>
        <vt:lpwstr>http://www.imfstatistics.org/</vt:lpwstr>
      </vt:variant>
      <vt:variant>
        <vt:lpwstr/>
      </vt:variant>
      <vt:variant>
        <vt:i4>720927</vt:i4>
      </vt:variant>
      <vt:variant>
        <vt:i4>9</vt:i4>
      </vt:variant>
      <vt:variant>
        <vt:i4>0</vt:i4>
      </vt:variant>
      <vt:variant>
        <vt:i4>5</vt:i4>
      </vt:variant>
      <vt:variant>
        <vt:lpwstr>http://www.imf.org/external/pubs/ft/weo/2008/02/weodata/weorept.aspx</vt:lpwstr>
      </vt:variant>
      <vt:variant>
        <vt:lpwstr/>
      </vt:variant>
      <vt:variant>
        <vt:i4>7864405</vt:i4>
      </vt:variant>
      <vt:variant>
        <vt:i4>6</vt:i4>
      </vt:variant>
      <vt:variant>
        <vt:i4>0</vt:i4>
      </vt:variant>
      <vt:variant>
        <vt:i4>5</vt:i4>
      </vt:variant>
      <vt:variant>
        <vt:lpwstr>http://www.delta.co.zw/</vt:lpwstr>
      </vt:variant>
      <vt:variant>
        <vt:lpwstr/>
      </vt:variant>
      <vt:variant>
        <vt:i4>4194362</vt:i4>
      </vt:variant>
      <vt:variant>
        <vt:i4>3</vt:i4>
      </vt:variant>
      <vt:variant>
        <vt:i4>0</vt:i4>
      </vt:variant>
      <vt:variant>
        <vt:i4>5</vt:i4>
      </vt:variant>
      <vt:variant>
        <vt:lpwstr>http://www.aicpa.org/</vt:lpwstr>
      </vt:variant>
      <vt:variant>
        <vt:lpwstr/>
      </vt:variant>
      <vt:variant>
        <vt:i4>2818086</vt:i4>
      </vt:variant>
      <vt:variant>
        <vt:i4>0</vt:i4>
      </vt:variant>
      <vt:variant>
        <vt:i4>0</vt:i4>
      </vt:variant>
      <vt:variant>
        <vt:i4>5</vt:i4>
      </vt:variant>
      <vt:variant>
        <vt:lpwstr>https://www.afdb.org/fileadmin/uploads/afdb/Documents/Project-and-Operations/ADB-BD-WP-2007-40-EN-ZIMBABWE-2007-COUNTRY-DIALOGUE-PAPER.PDF. Accessed 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relative usefulness of historical cost and hyperinflation-adjusted amounts: A Zimbabwe study</dc:title>
  <dc:subject/>
  <dc:creator>DQ35JOE</dc:creator>
  <cp:keywords/>
  <dc:description/>
  <cp:lastModifiedBy>Tauringana V.</cp:lastModifiedBy>
  <cp:revision>2</cp:revision>
  <cp:lastPrinted>2018-06-03T13:53:00Z</cp:lastPrinted>
  <dcterms:created xsi:type="dcterms:W3CDTF">2018-07-19T13:00:00Z</dcterms:created>
  <dcterms:modified xsi:type="dcterms:W3CDTF">2018-07-19T13:00:00Z</dcterms:modified>
</cp:coreProperties>
</file>