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C1D00" w14:textId="77777777" w:rsidR="001D2607" w:rsidRPr="007D29C5" w:rsidRDefault="001D2607" w:rsidP="00487DB2">
      <w:pPr>
        <w:keepNext/>
        <w:keepLines/>
        <w:spacing w:before="240" w:line="276" w:lineRule="auto"/>
        <w:jc w:val="both"/>
        <w:rPr>
          <w:rFonts w:eastAsia="Calibri"/>
          <w:lang w:val="en-CA"/>
        </w:rPr>
      </w:pPr>
      <w:r w:rsidRPr="007D29C5">
        <w:rPr>
          <w:rFonts w:eastAsia="Calibri"/>
          <w:b/>
          <w:lang w:val="en-CA"/>
        </w:rPr>
        <w:t>Article type</w:t>
      </w:r>
      <w:r w:rsidRPr="007D29C5">
        <w:rPr>
          <w:rFonts w:eastAsia="Calibri"/>
          <w:lang w:val="en-CA"/>
        </w:rPr>
        <w:t>: Communication</w:t>
      </w:r>
    </w:p>
    <w:p w14:paraId="2001610B" w14:textId="5391DE6E" w:rsidR="001D2607" w:rsidRPr="007D29C5" w:rsidRDefault="001D2607" w:rsidP="00487DB2">
      <w:pPr>
        <w:keepNext/>
        <w:keepLines/>
        <w:spacing w:before="240" w:line="276" w:lineRule="auto"/>
        <w:jc w:val="both"/>
        <w:rPr>
          <w:rFonts w:eastAsia="Calibri"/>
          <w:lang w:val="en-CA"/>
        </w:rPr>
      </w:pPr>
      <w:r w:rsidRPr="007D29C5">
        <w:rPr>
          <w:rFonts w:eastAsia="Calibri"/>
          <w:b/>
          <w:lang w:val="en-CA"/>
        </w:rPr>
        <w:t>Title:</w:t>
      </w:r>
      <w:r w:rsidRPr="007D29C5">
        <w:rPr>
          <w:rFonts w:eastAsia="Calibri"/>
          <w:lang w:val="en-CA"/>
        </w:rPr>
        <w:t xml:space="preserve"> Large-Scale Transdisciplinary Collaboration </w:t>
      </w:r>
      <w:r w:rsidR="00210D1D" w:rsidRPr="007D29C5">
        <w:rPr>
          <w:rFonts w:eastAsia="Calibri"/>
          <w:lang w:val="en-CA"/>
        </w:rPr>
        <w:t>for Adaptation Research</w:t>
      </w:r>
      <w:r w:rsidR="00D22B72" w:rsidRPr="007D29C5">
        <w:rPr>
          <w:rFonts w:eastAsia="Calibri"/>
          <w:lang w:val="en-CA"/>
        </w:rPr>
        <w:t>: Challenges and Insights</w:t>
      </w:r>
      <w:bookmarkStart w:id="0" w:name="_GoBack"/>
      <w:bookmarkEnd w:id="0"/>
    </w:p>
    <w:p w14:paraId="6FF4A6E1" w14:textId="77777777" w:rsidR="001D2607" w:rsidRPr="007D29C5" w:rsidRDefault="001D2607" w:rsidP="00487DB2">
      <w:pPr>
        <w:pStyle w:val="CommentText"/>
        <w:spacing w:line="276" w:lineRule="auto"/>
        <w:rPr>
          <w:rFonts w:eastAsia="Calibri"/>
          <w:lang w:val="en-CA"/>
        </w:rPr>
      </w:pPr>
    </w:p>
    <w:p w14:paraId="17B2F54F" w14:textId="4ACB7222" w:rsidR="001D2607" w:rsidRPr="007D29C5" w:rsidRDefault="001D2607" w:rsidP="00487DB2">
      <w:pPr>
        <w:pStyle w:val="CommentText"/>
        <w:spacing w:line="276" w:lineRule="auto"/>
        <w:rPr>
          <w:rFonts w:eastAsia="Calibri"/>
          <w:i/>
          <w:lang w:val="en-CA"/>
        </w:rPr>
      </w:pPr>
      <w:r w:rsidRPr="007D29C5">
        <w:rPr>
          <w:rFonts w:eastAsia="Calibri"/>
          <w:i/>
        </w:rPr>
        <w:t xml:space="preserve">Cundill, Georgina*., Harvey, Blane., </w:t>
      </w:r>
      <w:r w:rsidRPr="007D29C5">
        <w:rPr>
          <w:rFonts w:eastAsia="Calibri"/>
          <w:i/>
          <w:lang w:val="en-CA"/>
        </w:rPr>
        <w:t xml:space="preserve">Tebboth, Mark., Cochrane, Logan., Currie-Alder, Bruce., </w:t>
      </w:r>
      <w:r w:rsidRPr="007D29C5">
        <w:rPr>
          <w:rFonts w:eastAsia="Calibri"/>
          <w:i/>
          <w:color w:val="auto"/>
          <w:lang w:val="en-CA"/>
        </w:rPr>
        <w:t xml:space="preserve">Vincent, Katharine., </w:t>
      </w:r>
      <w:r w:rsidRPr="007D29C5">
        <w:rPr>
          <w:rFonts w:eastAsia="Calibri"/>
          <w:i/>
          <w:lang w:val="en-CA"/>
        </w:rPr>
        <w:t xml:space="preserve">Lawn, Jon., Nichols, Robert. J., </w:t>
      </w:r>
      <w:r w:rsidRPr="007D29C5">
        <w:rPr>
          <w:rFonts w:eastAsia="Calibri"/>
          <w:i/>
          <w:color w:val="auto"/>
          <w:lang w:val="en-CA"/>
        </w:rPr>
        <w:t xml:space="preserve">Scodanibbio, Lucia., Prakash, Anjal., </w:t>
      </w:r>
      <w:r w:rsidRPr="007D29C5">
        <w:rPr>
          <w:rFonts w:eastAsia="Calibri"/>
          <w:i/>
          <w:lang w:val="en-CA"/>
        </w:rPr>
        <w:t xml:space="preserve">New, Mark., </w:t>
      </w:r>
      <w:r w:rsidRPr="007D29C5">
        <w:rPr>
          <w:rFonts w:eastAsia="Calibri"/>
          <w:i/>
          <w:color w:val="auto"/>
          <w:lang w:val="en-CA"/>
        </w:rPr>
        <w:t xml:space="preserve">Wester, Philippus., </w:t>
      </w:r>
      <w:r w:rsidRPr="007D29C5">
        <w:rPr>
          <w:rFonts w:eastAsia="Calibri"/>
          <w:i/>
          <w:lang w:val="en-CA"/>
        </w:rPr>
        <w:t xml:space="preserve">Leone, Michele., </w:t>
      </w:r>
      <w:r w:rsidRPr="007D29C5">
        <w:rPr>
          <w:rFonts w:eastAsia="Calibri"/>
          <w:i/>
        </w:rPr>
        <w:t xml:space="preserve">Morchain, Daniel., </w:t>
      </w:r>
      <w:r w:rsidRPr="007D29C5">
        <w:rPr>
          <w:rFonts w:eastAsia="Calibri"/>
          <w:i/>
          <w:color w:val="auto"/>
          <w:lang w:val="en-CA"/>
        </w:rPr>
        <w:t xml:space="preserve">Ludi, Eva., </w:t>
      </w:r>
      <w:r w:rsidRPr="007D29C5">
        <w:rPr>
          <w:rFonts w:eastAsia="Calibri"/>
          <w:i/>
        </w:rPr>
        <w:t xml:space="preserve">DeMaria-Kinney, Jesse., </w:t>
      </w:r>
      <w:r w:rsidRPr="007D29C5">
        <w:rPr>
          <w:rFonts w:eastAsia="Calibri"/>
          <w:i/>
          <w:lang w:val="en-CA"/>
        </w:rPr>
        <w:t>Khan, Ahmed., Landry, Mare-Eve.</w:t>
      </w:r>
    </w:p>
    <w:p w14:paraId="47799D02" w14:textId="77777777" w:rsidR="001D2607" w:rsidRPr="007D29C5" w:rsidRDefault="001D2607" w:rsidP="00487DB2">
      <w:pPr>
        <w:pStyle w:val="CommentText"/>
        <w:spacing w:line="276" w:lineRule="auto"/>
        <w:rPr>
          <w:rFonts w:eastAsia="Calibri"/>
          <w:lang w:val="en-CA"/>
        </w:rPr>
      </w:pPr>
    </w:p>
    <w:p w14:paraId="1F89303E"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rPr>
        <w:t xml:space="preserve">Dr. Georgina Cundill, Author 1, International Development Research Centre, Ottawa, Canada. </w:t>
      </w:r>
    </w:p>
    <w:p w14:paraId="6D0C7E2E"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rPr>
        <w:t>E-Mail: gkemp@idrc.ca</w:t>
      </w:r>
    </w:p>
    <w:p w14:paraId="1351ABBE"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rPr>
        <w:t xml:space="preserve">Dr. Blane Harvey, Author 2, </w:t>
      </w:r>
      <w:r w:rsidRPr="007D29C5">
        <w:rPr>
          <w:rStyle w:val="affiliationdepartment"/>
          <w:color w:val="333333"/>
          <w:sz w:val="24"/>
          <w:szCs w:val="24"/>
          <w:shd w:val="clear" w:color="auto" w:fill="FCFCFC"/>
        </w:rPr>
        <w:t xml:space="preserve">Department of Integrated Studies in Education, </w:t>
      </w:r>
      <w:r w:rsidRPr="007D29C5">
        <w:rPr>
          <w:rStyle w:val="affiliationname"/>
          <w:color w:val="333333"/>
          <w:sz w:val="24"/>
          <w:szCs w:val="24"/>
          <w:shd w:val="clear" w:color="auto" w:fill="FCFCFC"/>
        </w:rPr>
        <w:t xml:space="preserve">McGill University, </w:t>
      </w:r>
      <w:r w:rsidRPr="007D29C5">
        <w:rPr>
          <w:rStyle w:val="affiliationcity"/>
          <w:color w:val="333333"/>
          <w:sz w:val="24"/>
          <w:szCs w:val="24"/>
          <w:shd w:val="clear" w:color="auto" w:fill="FCFCFC"/>
        </w:rPr>
        <w:t xml:space="preserve">Montreal, </w:t>
      </w:r>
      <w:r w:rsidRPr="007D29C5">
        <w:rPr>
          <w:rStyle w:val="affiliationcountry"/>
          <w:color w:val="333333"/>
          <w:sz w:val="24"/>
          <w:szCs w:val="24"/>
          <w:shd w:val="clear" w:color="auto" w:fill="FCFCFC"/>
        </w:rPr>
        <w:t>Canada</w:t>
      </w:r>
    </w:p>
    <w:p w14:paraId="3F364368" w14:textId="77777777" w:rsidR="001D2607" w:rsidRPr="007D29C5" w:rsidRDefault="001D2607" w:rsidP="00487DB2">
      <w:pPr>
        <w:pStyle w:val="CommentText"/>
        <w:spacing w:line="276" w:lineRule="auto"/>
        <w:rPr>
          <w:sz w:val="24"/>
          <w:szCs w:val="24"/>
        </w:rPr>
      </w:pPr>
      <w:r w:rsidRPr="007D29C5">
        <w:rPr>
          <w:rFonts w:eastAsia="Calibri"/>
          <w:sz w:val="24"/>
          <w:szCs w:val="24"/>
          <w:lang w:val="en-CA"/>
        </w:rPr>
        <w:t xml:space="preserve">Dr. Mark Tebboth, </w:t>
      </w:r>
      <w:r w:rsidRPr="007D29C5">
        <w:rPr>
          <w:rFonts w:eastAsia="Calibri"/>
          <w:sz w:val="24"/>
          <w:szCs w:val="24"/>
        </w:rPr>
        <w:t xml:space="preserve">Author 3, </w:t>
      </w:r>
      <w:r w:rsidRPr="007D29C5">
        <w:rPr>
          <w:sz w:val="24"/>
          <w:szCs w:val="24"/>
        </w:rPr>
        <w:t xml:space="preserve">School of International Development, Tyndall Centre for Climate Change Research, </w:t>
      </w:r>
      <w:r w:rsidRPr="007D29C5">
        <w:rPr>
          <w:color w:val="222222"/>
          <w:sz w:val="24"/>
          <w:szCs w:val="24"/>
          <w:shd w:val="clear" w:color="auto" w:fill="FFFFFF"/>
        </w:rPr>
        <w:t>University of East Anglia, Norwich, United Kingdom</w:t>
      </w:r>
    </w:p>
    <w:p w14:paraId="1FC4CD24" w14:textId="77777777" w:rsidR="001D2607" w:rsidRPr="007D29C5" w:rsidRDefault="001D2607" w:rsidP="00487DB2">
      <w:pPr>
        <w:pStyle w:val="CommentText"/>
        <w:spacing w:line="276" w:lineRule="auto"/>
        <w:rPr>
          <w:rFonts w:eastAsia="Calibri"/>
          <w:sz w:val="24"/>
          <w:szCs w:val="24"/>
          <w:lang w:val="en-CA"/>
        </w:rPr>
      </w:pPr>
      <w:r w:rsidRPr="007D29C5">
        <w:rPr>
          <w:rFonts w:eastAsia="Calibri"/>
          <w:sz w:val="24"/>
          <w:szCs w:val="24"/>
          <w:lang w:val="en-CA"/>
        </w:rPr>
        <w:t xml:space="preserve">Dr. Logan Cochrane, </w:t>
      </w:r>
      <w:r w:rsidRPr="007D29C5">
        <w:rPr>
          <w:rFonts w:eastAsia="Calibri"/>
          <w:sz w:val="24"/>
          <w:szCs w:val="24"/>
        </w:rPr>
        <w:t xml:space="preserve">Author 4, </w:t>
      </w:r>
      <w:r w:rsidRPr="007D29C5">
        <w:rPr>
          <w:rFonts w:eastAsia="Calibri"/>
          <w:sz w:val="24"/>
          <w:szCs w:val="24"/>
          <w:lang w:val="en-CA"/>
        </w:rPr>
        <w:t xml:space="preserve">Carleton University, Ottawa, Canada </w:t>
      </w:r>
    </w:p>
    <w:p w14:paraId="5BFEA82E"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lang w:val="en-CA"/>
        </w:rPr>
        <w:t xml:space="preserve">Dr. Bruce Currie-Alder, Author 5, </w:t>
      </w:r>
      <w:r w:rsidRPr="007D29C5">
        <w:rPr>
          <w:rFonts w:eastAsia="Calibri"/>
          <w:sz w:val="24"/>
          <w:szCs w:val="24"/>
        </w:rPr>
        <w:t>International Development Research Centre, Ottawa, Canada</w:t>
      </w:r>
    </w:p>
    <w:p w14:paraId="5386DF33" w14:textId="77777777" w:rsidR="001D2607" w:rsidRPr="007D29C5" w:rsidRDefault="001D2607" w:rsidP="00487DB2">
      <w:pPr>
        <w:pStyle w:val="CommentText"/>
        <w:spacing w:line="276" w:lineRule="auto"/>
        <w:rPr>
          <w:rFonts w:eastAsia="Calibri"/>
          <w:color w:val="auto"/>
          <w:sz w:val="24"/>
          <w:szCs w:val="24"/>
          <w:lang w:val="en-CA"/>
        </w:rPr>
      </w:pPr>
      <w:r w:rsidRPr="007D29C5">
        <w:rPr>
          <w:rFonts w:eastAsia="Calibri"/>
          <w:color w:val="auto"/>
          <w:sz w:val="24"/>
          <w:szCs w:val="24"/>
          <w:lang w:val="en-CA"/>
        </w:rPr>
        <w:t xml:space="preserve">Dr. Katharine Vincent, </w:t>
      </w:r>
      <w:r w:rsidRPr="007D29C5">
        <w:rPr>
          <w:rFonts w:eastAsia="Calibri"/>
          <w:sz w:val="24"/>
          <w:szCs w:val="24"/>
        </w:rPr>
        <w:t xml:space="preserve">Author 6, </w:t>
      </w:r>
      <w:r w:rsidRPr="007D29C5">
        <w:rPr>
          <w:rFonts w:eastAsia="Calibri"/>
          <w:color w:val="auto"/>
          <w:sz w:val="24"/>
          <w:szCs w:val="24"/>
          <w:lang w:val="en-CA"/>
        </w:rPr>
        <w:t xml:space="preserve">Kulima Integrated Development Solutions, Pietermaritzburg, South Africa </w:t>
      </w:r>
    </w:p>
    <w:p w14:paraId="782D9658" w14:textId="77777777" w:rsidR="001D2607" w:rsidRPr="007D29C5" w:rsidRDefault="001D2607" w:rsidP="00487DB2">
      <w:pPr>
        <w:pStyle w:val="CommentText"/>
        <w:spacing w:line="276" w:lineRule="auto"/>
        <w:rPr>
          <w:rFonts w:eastAsia="Calibri"/>
          <w:sz w:val="24"/>
          <w:szCs w:val="24"/>
          <w:lang w:val="en-CA"/>
        </w:rPr>
      </w:pPr>
      <w:r w:rsidRPr="007D29C5">
        <w:rPr>
          <w:rFonts w:eastAsia="Calibri"/>
          <w:sz w:val="24"/>
          <w:szCs w:val="24"/>
          <w:lang w:val="en-CA"/>
        </w:rPr>
        <w:t xml:space="preserve">Dr Jon Lawn, </w:t>
      </w:r>
      <w:r w:rsidRPr="007D29C5">
        <w:rPr>
          <w:rFonts w:eastAsia="Calibri"/>
          <w:sz w:val="24"/>
          <w:szCs w:val="24"/>
        </w:rPr>
        <w:t>Author 7</w:t>
      </w:r>
      <w:r w:rsidRPr="007D29C5">
        <w:rPr>
          <w:rFonts w:eastAsia="Calibri"/>
          <w:sz w:val="24"/>
          <w:szCs w:val="24"/>
          <w:lang w:val="en-CA"/>
        </w:rPr>
        <w:t xml:space="preserve">, </w:t>
      </w:r>
      <w:r w:rsidRPr="007D29C5">
        <w:rPr>
          <w:sz w:val="24"/>
          <w:szCs w:val="24"/>
        </w:rPr>
        <w:t>Faculty of Engineering and the Environment, University of Southampton, United Kingdom</w:t>
      </w:r>
      <w:r w:rsidRPr="007D29C5">
        <w:rPr>
          <w:rFonts w:eastAsia="Calibri"/>
          <w:sz w:val="24"/>
          <w:szCs w:val="24"/>
          <w:lang w:val="en-CA"/>
        </w:rPr>
        <w:t xml:space="preserve"> </w:t>
      </w:r>
    </w:p>
    <w:p w14:paraId="07EDA09D" w14:textId="77777777" w:rsidR="001D2607" w:rsidRPr="007D29C5" w:rsidRDefault="001D2607" w:rsidP="00487DB2">
      <w:pPr>
        <w:pStyle w:val="CommentText"/>
        <w:spacing w:line="276" w:lineRule="auto"/>
        <w:rPr>
          <w:rFonts w:eastAsia="Calibri"/>
          <w:sz w:val="24"/>
          <w:szCs w:val="24"/>
          <w:lang w:val="en-CA"/>
        </w:rPr>
      </w:pPr>
      <w:r w:rsidRPr="007D29C5">
        <w:rPr>
          <w:rFonts w:eastAsia="Calibri"/>
          <w:sz w:val="24"/>
          <w:szCs w:val="24"/>
          <w:lang w:val="en-CA"/>
        </w:rPr>
        <w:t xml:space="preserve">Prof. Robert J. Nichols, </w:t>
      </w:r>
      <w:r w:rsidRPr="007D29C5">
        <w:rPr>
          <w:rFonts w:eastAsia="Calibri"/>
          <w:sz w:val="24"/>
          <w:szCs w:val="24"/>
        </w:rPr>
        <w:t>Author 8,</w:t>
      </w:r>
      <w:r w:rsidRPr="007D29C5">
        <w:rPr>
          <w:rFonts w:eastAsia="Calibri"/>
          <w:sz w:val="24"/>
          <w:szCs w:val="24"/>
          <w:lang w:val="en-CA"/>
        </w:rPr>
        <w:t xml:space="preserve"> </w:t>
      </w:r>
      <w:r w:rsidRPr="007D29C5">
        <w:rPr>
          <w:sz w:val="24"/>
          <w:szCs w:val="24"/>
        </w:rPr>
        <w:t xml:space="preserve">Faculty of Engineering and the Environment, University of Southampton, United Kingdom </w:t>
      </w:r>
      <w:r w:rsidRPr="007D29C5">
        <w:rPr>
          <w:rFonts w:eastAsia="Calibri"/>
          <w:sz w:val="24"/>
          <w:szCs w:val="24"/>
          <w:lang w:val="en-CA"/>
        </w:rPr>
        <w:t xml:space="preserve"> </w:t>
      </w:r>
    </w:p>
    <w:p w14:paraId="0166DB00" w14:textId="77777777" w:rsidR="00D56987" w:rsidRPr="007D29C5" w:rsidRDefault="001D2607" w:rsidP="00487DB2">
      <w:pPr>
        <w:pStyle w:val="CommentText"/>
        <w:spacing w:line="276" w:lineRule="auto"/>
        <w:rPr>
          <w:rFonts w:eastAsia="Calibri"/>
          <w:color w:val="auto"/>
          <w:sz w:val="24"/>
          <w:szCs w:val="24"/>
          <w:lang w:val="en-CA"/>
        </w:rPr>
      </w:pPr>
      <w:r w:rsidRPr="007D29C5">
        <w:rPr>
          <w:rFonts w:eastAsia="Calibri"/>
          <w:color w:val="auto"/>
          <w:sz w:val="24"/>
          <w:szCs w:val="24"/>
          <w:lang w:val="en-CA"/>
        </w:rPr>
        <w:t xml:space="preserve">Ms. Lucia Scodanibbio, </w:t>
      </w:r>
      <w:r w:rsidRPr="007D29C5">
        <w:rPr>
          <w:rFonts w:eastAsia="Calibri"/>
          <w:sz w:val="24"/>
          <w:szCs w:val="24"/>
        </w:rPr>
        <w:t>Author 9,</w:t>
      </w:r>
      <w:r w:rsidRPr="007D29C5">
        <w:rPr>
          <w:rFonts w:eastAsia="Calibri"/>
          <w:color w:val="auto"/>
          <w:sz w:val="24"/>
          <w:szCs w:val="24"/>
          <w:lang w:val="en-CA"/>
        </w:rPr>
        <w:t xml:space="preserve"> </w:t>
      </w:r>
      <w:r w:rsidR="00D56987" w:rsidRPr="007D29C5">
        <w:rPr>
          <w:rFonts w:eastAsia="Calibri"/>
          <w:color w:val="auto"/>
          <w:sz w:val="24"/>
          <w:szCs w:val="24"/>
          <w:lang w:val="en-CA"/>
        </w:rPr>
        <w:t>African Climate and Development Initiative, University of Cape Town, Cape Town, South Africa</w:t>
      </w:r>
    </w:p>
    <w:p w14:paraId="6019AAF3" w14:textId="61EC513C" w:rsidR="001D2607" w:rsidRPr="007D29C5" w:rsidRDefault="001D2607" w:rsidP="00487DB2">
      <w:pPr>
        <w:pStyle w:val="CommentText"/>
        <w:spacing w:line="276" w:lineRule="auto"/>
        <w:rPr>
          <w:rFonts w:eastAsia="Calibri"/>
          <w:color w:val="auto"/>
          <w:sz w:val="24"/>
          <w:szCs w:val="24"/>
          <w:lang w:val="en-CA"/>
        </w:rPr>
      </w:pPr>
      <w:r w:rsidRPr="007D29C5">
        <w:rPr>
          <w:rFonts w:eastAsia="Calibri"/>
          <w:color w:val="auto"/>
          <w:sz w:val="24"/>
          <w:szCs w:val="24"/>
          <w:lang w:val="en-CA"/>
        </w:rPr>
        <w:t xml:space="preserve">Dr. Anjal Prakash, </w:t>
      </w:r>
      <w:r w:rsidRPr="007D29C5">
        <w:rPr>
          <w:rFonts w:eastAsia="Calibri"/>
          <w:sz w:val="24"/>
          <w:szCs w:val="24"/>
        </w:rPr>
        <w:t>Author 10</w:t>
      </w:r>
      <w:r w:rsidRPr="007D29C5">
        <w:rPr>
          <w:rFonts w:eastAsia="Calibri"/>
          <w:color w:val="auto"/>
          <w:sz w:val="24"/>
          <w:szCs w:val="24"/>
          <w:lang w:val="en-CA"/>
        </w:rPr>
        <w:t xml:space="preserve">, International Centre for Integrated Mountain Development, Kathmandu, Nepal </w:t>
      </w:r>
    </w:p>
    <w:p w14:paraId="53C0218A" w14:textId="77777777" w:rsidR="001D2607" w:rsidRPr="007D29C5" w:rsidRDefault="001D2607" w:rsidP="00487DB2">
      <w:pPr>
        <w:pStyle w:val="CommentText"/>
        <w:spacing w:line="276" w:lineRule="auto"/>
        <w:rPr>
          <w:rFonts w:eastAsia="Calibri"/>
          <w:sz w:val="24"/>
          <w:szCs w:val="24"/>
          <w:lang w:val="en-CA"/>
        </w:rPr>
      </w:pPr>
      <w:r w:rsidRPr="007D29C5">
        <w:rPr>
          <w:rFonts w:eastAsia="Calibri"/>
          <w:sz w:val="24"/>
          <w:szCs w:val="24"/>
          <w:lang w:val="en-CA"/>
        </w:rPr>
        <w:t xml:space="preserve">Prof. Mark New, </w:t>
      </w:r>
      <w:r w:rsidRPr="007D29C5">
        <w:rPr>
          <w:rFonts w:eastAsia="Calibri"/>
          <w:sz w:val="24"/>
          <w:szCs w:val="24"/>
        </w:rPr>
        <w:t xml:space="preserve">Author 11, </w:t>
      </w:r>
      <w:r w:rsidRPr="007D29C5">
        <w:rPr>
          <w:rFonts w:eastAsia="Calibri"/>
          <w:sz w:val="24"/>
          <w:szCs w:val="24"/>
          <w:lang w:val="en-CA"/>
        </w:rPr>
        <w:t>University of Cape Town, Cape Town, South Africa</w:t>
      </w:r>
    </w:p>
    <w:p w14:paraId="0CD38F3E" w14:textId="77777777" w:rsidR="001D2607" w:rsidRPr="007D29C5" w:rsidRDefault="001D2607" w:rsidP="00487DB2">
      <w:pPr>
        <w:pStyle w:val="CommentText"/>
        <w:spacing w:line="276" w:lineRule="auto"/>
        <w:rPr>
          <w:rFonts w:eastAsia="Calibri"/>
          <w:color w:val="auto"/>
          <w:sz w:val="24"/>
          <w:szCs w:val="24"/>
          <w:lang w:val="en-CA"/>
        </w:rPr>
      </w:pPr>
      <w:r w:rsidRPr="007D29C5">
        <w:rPr>
          <w:rFonts w:eastAsia="Calibri"/>
          <w:color w:val="auto"/>
          <w:sz w:val="24"/>
          <w:szCs w:val="24"/>
          <w:lang w:val="en-CA"/>
        </w:rPr>
        <w:t xml:space="preserve">Dr. Philippus Wester, </w:t>
      </w:r>
      <w:r w:rsidRPr="007D29C5">
        <w:rPr>
          <w:rFonts w:eastAsia="Calibri"/>
          <w:sz w:val="24"/>
          <w:szCs w:val="24"/>
        </w:rPr>
        <w:t>Author 12</w:t>
      </w:r>
      <w:r w:rsidRPr="007D29C5">
        <w:rPr>
          <w:rFonts w:eastAsia="Calibri"/>
          <w:color w:val="auto"/>
          <w:sz w:val="24"/>
          <w:szCs w:val="24"/>
          <w:lang w:val="en-CA"/>
        </w:rPr>
        <w:t xml:space="preserve">, International Centre for Integrated Mountain Development, Kathmandu, Nepal </w:t>
      </w:r>
    </w:p>
    <w:p w14:paraId="2B2AE46A" w14:textId="6C38575A" w:rsidR="001D2607" w:rsidRPr="007D29C5" w:rsidRDefault="001D2607" w:rsidP="00487DB2">
      <w:pPr>
        <w:pStyle w:val="CommentText"/>
        <w:spacing w:line="276" w:lineRule="auto"/>
        <w:rPr>
          <w:rFonts w:eastAsia="Calibri"/>
          <w:sz w:val="24"/>
          <w:szCs w:val="24"/>
        </w:rPr>
      </w:pPr>
      <w:r w:rsidRPr="007D29C5">
        <w:rPr>
          <w:rFonts w:eastAsia="Calibri"/>
          <w:sz w:val="24"/>
          <w:szCs w:val="24"/>
          <w:lang w:val="en-CA"/>
        </w:rPr>
        <w:t xml:space="preserve">Dr Michele Leone, </w:t>
      </w:r>
      <w:r w:rsidRPr="007D29C5">
        <w:rPr>
          <w:rFonts w:eastAsia="Calibri"/>
          <w:sz w:val="24"/>
          <w:szCs w:val="24"/>
        </w:rPr>
        <w:t>Author 13</w:t>
      </w:r>
      <w:r w:rsidRPr="007D29C5">
        <w:rPr>
          <w:rFonts w:eastAsia="Calibri"/>
          <w:sz w:val="24"/>
          <w:szCs w:val="24"/>
          <w:lang w:val="en-CA"/>
        </w:rPr>
        <w:t xml:space="preserve">, </w:t>
      </w:r>
      <w:r w:rsidRPr="007D29C5">
        <w:rPr>
          <w:rFonts w:eastAsia="Calibri"/>
          <w:sz w:val="24"/>
          <w:szCs w:val="24"/>
        </w:rPr>
        <w:t xml:space="preserve">International Development Research Centre, </w:t>
      </w:r>
      <w:r w:rsidR="00D56987" w:rsidRPr="007D29C5">
        <w:rPr>
          <w:rFonts w:eastAsia="Calibri"/>
          <w:sz w:val="24"/>
          <w:szCs w:val="24"/>
        </w:rPr>
        <w:t>Nairobi</w:t>
      </w:r>
      <w:r w:rsidRPr="007D29C5">
        <w:rPr>
          <w:rFonts w:eastAsia="Calibri"/>
          <w:sz w:val="24"/>
          <w:szCs w:val="24"/>
        </w:rPr>
        <w:t xml:space="preserve">, </w:t>
      </w:r>
      <w:r w:rsidR="00D56987" w:rsidRPr="007D29C5">
        <w:rPr>
          <w:rFonts w:eastAsia="Calibri"/>
          <w:sz w:val="24"/>
          <w:szCs w:val="24"/>
        </w:rPr>
        <w:t>Kenya</w:t>
      </w:r>
      <w:r w:rsidRPr="007D29C5">
        <w:rPr>
          <w:rFonts w:eastAsia="Calibri"/>
          <w:sz w:val="24"/>
          <w:szCs w:val="24"/>
        </w:rPr>
        <w:t xml:space="preserve">. </w:t>
      </w:r>
    </w:p>
    <w:p w14:paraId="27897467"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rPr>
        <w:t>Mr. Daniel Morchain, Author 14, Oxfam GB, Oxford, United Kingdom</w:t>
      </w:r>
    </w:p>
    <w:p w14:paraId="5F43483E" w14:textId="77777777" w:rsidR="001D2607" w:rsidRPr="007D29C5" w:rsidRDefault="001D2607" w:rsidP="00487DB2">
      <w:pPr>
        <w:pStyle w:val="CommentText"/>
        <w:spacing w:line="276" w:lineRule="auto"/>
        <w:rPr>
          <w:rFonts w:eastAsia="Calibri"/>
          <w:color w:val="auto"/>
          <w:sz w:val="24"/>
          <w:szCs w:val="24"/>
          <w:lang w:val="en-CA"/>
        </w:rPr>
      </w:pPr>
      <w:r w:rsidRPr="007D29C5">
        <w:rPr>
          <w:rFonts w:eastAsia="Calibri"/>
          <w:color w:val="auto"/>
          <w:sz w:val="24"/>
          <w:szCs w:val="24"/>
          <w:lang w:val="en-CA"/>
        </w:rPr>
        <w:t xml:space="preserve">Dr. Eva Ludi, </w:t>
      </w:r>
      <w:r w:rsidRPr="007D29C5">
        <w:rPr>
          <w:rFonts w:eastAsia="Calibri"/>
          <w:sz w:val="24"/>
          <w:szCs w:val="24"/>
        </w:rPr>
        <w:t xml:space="preserve">Author 15, </w:t>
      </w:r>
      <w:r w:rsidRPr="007D29C5">
        <w:rPr>
          <w:rFonts w:eastAsia="Calibri"/>
          <w:color w:val="auto"/>
          <w:sz w:val="24"/>
          <w:szCs w:val="24"/>
          <w:lang w:val="en-CA"/>
        </w:rPr>
        <w:t xml:space="preserve">Overseas Development Institute, London, United Kingdom </w:t>
      </w:r>
    </w:p>
    <w:p w14:paraId="33374E89" w14:textId="77777777" w:rsidR="001D2607" w:rsidRPr="007D29C5" w:rsidRDefault="001D2607" w:rsidP="00487DB2">
      <w:pPr>
        <w:pStyle w:val="CommentText"/>
        <w:spacing w:line="276" w:lineRule="auto"/>
        <w:rPr>
          <w:rFonts w:eastAsia="Calibri"/>
          <w:sz w:val="24"/>
          <w:szCs w:val="24"/>
          <w:lang w:val="en-CA"/>
        </w:rPr>
      </w:pPr>
      <w:r w:rsidRPr="007D29C5">
        <w:rPr>
          <w:rFonts w:eastAsia="Calibri"/>
          <w:sz w:val="24"/>
          <w:szCs w:val="24"/>
          <w:lang w:val="en-CA"/>
        </w:rPr>
        <w:t xml:space="preserve">Mr. Jesse </w:t>
      </w:r>
      <w:r w:rsidRPr="007D29C5">
        <w:rPr>
          <w:rFonts w:eastAsia="Calibri"/>
          <w:sz w:val="24"/>
          <w:szCs w:val="24"/>
        </w:rPr>
        <w:t>DeMaria-Kinney, Author 16, Oxfam GB,</w:t>
      </w:r>
      <w:r w:rsidRPr="007D29C5">
        <w:rPr>
          <w:rFonts w:eastAsia="Calibri"/>
          <w:sz w:val="24"/>
          <w:szCs w:val="24"/>
          <w:lang w:val="en-CA"/>
        </w:rPr>
        <w:t xml:space="preserve"> </w:t>
      </w:r>
      <w:r w:rsidRPr="007D29C5">
        <w:rPr>
          <w:rFonts w:eastAsia="Calibri"/>
          <w:sz w:val="24"/>
          <w:szCs w:val="24"/>
        </w:rPr>
        <w:t>Oxford, United Kingdom</w:t>
      </w:r>
    </w:p>
    <w:p w14:paraId="6BCCB9B4"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lang w:val="en-CA"/>
        </w:rPr>
        <w:t xml:space="preserve">Dr. Ahmed Khan, </w:t>
      </w:r>
      <w:r w:rsidRPr="007D29C5">
        <w:rPr>
          <w:rFonts w:eastAsia="Calibri"/>
          <w:sz w:val="24"/>
          <w:szCs w:val="24"/>
        </w:rPr>
        <w:t>Author 17</w:t>
      </w:r>
      <w:r w:rsidRPr="007D29C5">
        <w:rPr>
          <w:rFonts w:eastAsia="Calibri"/>
          <w:sz w:val="24"/>
          <w:szCs w:val="24"/>
          <w:lang w:val="en-CA"/>
        </w:rPr>
        <w:t xml:space="preserve">, </w:t>
      </w:r>
      <w:r w:rsidRPr="007D29C5">
        <w:rPr>
          <w:rFonts w:eastAsia="Calibri"/>
          <w:sz w:val="24"/>
          <w:szCs w:val="24"/>
        </w:rPr>
        <w:t>International Development Research Centre, Ottawa, Canada</w:t>
      </w:r>
    </w:p>
    <w:p w14:paraId="27FD29B9" w14:textId="77777777" w:rsidR="001D2607" w:rsidRPr="007D29C5" w:rsidRDefault="001D2607" w:rsidP="00487DB2">
      <w:pPr>
        <w:pStyle w:val="CommentText"/>
        <w:spacing w:line="276" w:lineRule="auto"/>
        <w:rPr>
          <w:rFonts w:eastAsia="Calibri"/>
          <w:sz w:val="24"/>
          <w:szCs w:val="24"/>
        </w:rPr>
      </w:pPr>
      <w:r w:rsidRPr="007D29C5">
        <w:rPr>
          <w:rFonts w:eastAsia="Calibri"/>
          <w:sz w:val="24"/>
          <w:szCs w:val="24"/>
        </w:rPr>
        <w:t xml:space="preserve">Ms. Marie-Eve </w:t>
      </w:r>
      <w:r w:rsidRPr="007D29C5">
        <w:rPr>
          <w:rFonts w:eastAsia="Calibri"/>
          <w:sz w:val="24"/>
          <w:szCs w:val="24"/>
          <w:lang w:val="en-CA"/>
        </w:rPr>
        <w:t xml:space="preserve">Landry, </w:t>
      </w:r>
      <w:r w:rsidRPr="007D29C5">
        <w:rPr>
          <w:rFonts w:eastAsia="Calibri"/>
          <w:sz w:val="24"/>
          <w:szCs w:val="24"/>
        </w:rPr>
        <w:t>Author 18</w:t>
      </w:r>
      <w:r w:rsidRPr="007D29C5">
        <w:rPr>
          <w:rFonts w:eastAsia="Calibri"/>
          <w:sz w:val="24"/>
          <w:szCs w:val="24"/>
          <w:lang w:val="en-CA"/>
        </w:rPr>
        <w:t xml:space="preserve">, </w:t>
      </w:r>
      <w:r w:rsidRPr="007D29C5">
        <w:rPr>
          <w:rFonts w:eastAsia="Calibri"/>
          <w:sz w:val="24"/>
          <w:szCs w:val="24"/>
        </w:rPr>
        <w:t>International Development Research Centre, Ottawa, Canada.</w:t>
      </w:r>
    </w:p>
    <w:p w14:paraId="542D2860" w14:textId="77777777" w:rsidR="00631ADE" w:rsidRPr="007D29C5" w:rsidRDefault="00631ADE">
      <w:pPr>
        <w:ind w:left="360"/>
        <w:jc w:val="both"/>
        <w:rPr>
          <w:rFonts w:eastAsia="Calibri"/>
          <w:b/>
        </w:rPr>
      </w:pPr>
    </w:p>
    <w:p w14:paraId="07649615" w14:textId="77777777" w:rsidR="006758F4" w:rsidRPr="007D29C5" w:rsidRDefault="006758F4" w:rsidP="00881F4C">
      <w:pPr>
        <w:jc w:val="both"/>
        <w:outlineLvl w:val="0"/>
        <w:rPr>
          <w:rFonts w:eastAsia="Calibri"/>
          <w:b/>
        </w:rPr>
      </w:pPr>
    </w:p>
    <w:p w14:paraId="38DE6245" w14:textId="77777777" w:rsidR="006758F4" w:rsidRPr="007D29C5" w:rsidRDefault="006758F4" w:rsidP="00881F4C">
      <w:pPr>
        <w:jc w:val="both"/>
        <w:outlineLvl w:val="0"/>
        <w:rPr>
          <w:rFonts w:eastAsia="Calibri"/>
          <w:b/>
        </w:rPr>
      </w:pPr>
    </w:p>
    <w:p w14:paraId="466CC536" w14:textId="77777777" w:rsidR="006758F4" w:rsidRPr="007D29C5" w:rsidRDefault="006758F4" w:rsidP="00881F4C">
      <w:pPr>
        <w:jc w:val="both"/>
        <w:outlineLvl w:val="0"/>
        <w:rPr>
          <w:rFonts w:eastAsia="Calibri"/>
          <w:b/>
        </w:rPr>
      </w:pPr>
    </w:p>
    <w:p w14:paraId="55D681C8" w14:textId="77777777" w:rsidR="006758F4" w:rsidRPr="007D29C5" w:rsidRDefault="006758F4" w:rsidP="00881F4C">
      <w:pPr>
        <w:jc w:val="both"/>
        <w:outlineLvl w:val="0"/>
        <w:rPr>
          <w:rFonts w:eastAsia="Calibri"/>
          <w:b/>
        </w:rPr>
      </w:pPr>
    </w:p>
    <w:p w14:paraId="213DB558" w14:textId="77777777" w:rsidR="006758F4" w:rsidRPr="007D29C5" w:rsidRDefault="006758F4" w:rsidP="00881F4C">
      <w:pPr>
        <w:jc w:val="both"/>
        <w:outlineLvl w:val="0"/>
        <w:rPr>
          <w:rFonts w:eastAsia="Calibri"/>
          <w:b/>
        </w:rPr>
      </w:pPr>
    </w:p>
    <w:p w14:paraId="5762A2B8" w14:textId="77777777" w:rsidR="006758F4" w:rsidRPr="007D29C5" w:rsidRDefault="006758F4" w:rsidP="00881F4C">
      <w:pPr>
        <w:jc w:val="both"/>
        <w:outlineLvl w:val="0"/>
        <w:rPr>
          <w:rFonts w:eastAsia="Calibri"/>
          <w:b/>
        </w:rPr>
      </w:pPr>
    </w:p>
    <w:p w14:paraId="7E095E0F" w14:textId="77777777" w:rsidR="006758F4" w:rsidRPr="007D29C5" w:rsidRDefault="006758F4" w:rsidP="00881F4C">
      <w:pPr>
        <w:jc w:val="both"/>
        <w:outlineLvl w:val="0"/>
        <w:rPr>
          <w:rFonts w:eastAsia="Calibri"/>
          <w:b/>
        </w:rPr>
      </w:pPr>
    </w:p>
    <w:p w14:paraId="486A50E5" w14:textId="77777777" w:rsidR="006758F4" w:rsidRPr="007D29C5" w:rsidRDefault="006758F4" w:rsidP="00881F4C">
      <w:pPr>
        <w:jc w:val="both"/>
        <w:outlineLvl w:val="0"/>
        <w:rPr>
          <w:rFonts w:eastAsia="Calibri"/>
          <w:b/>
        </w:rPr>
      </w:pPr>
    </w:p>
    <w:p w14:paraId="31AE4D50" w14:textId="77777777" w:rsidR="006758F4" w:rsidRPr="007D29C5" w:rsidRDefault="006758F4" w:rsidP="00881F4C">
      <w:pPr>
        <w:jc w:val="both"/>
        <w:outlineLvl w:val="0"/>
        <w:rPr>
          <w:rFonts w:eastAsia="Calibri"/>
          <w:b/>
        </w:rPr>
      </w:pPr>
    </w:p>
    <w:p w14:paraId="06D8D407" w14:textId="77777777" w:rsidR="006758F4" w:rsidRPr="007D29C5" w:rsidRDefault="006758F4" w:rsidP="00881F4C">
      <w:pPr>
        <w:jc w:val="both"/>
        <w:outlineLvl w:val="0"/>
        <w:rPr>
          <w:rFonts w:eastAsia="Calibri"/>
          <w:b/>
        </w:rPr>
      </w:pPr>
    </w:p>
    <w:p w14:paraId="6372C2FD" w14:textId="77777777" w:rsidR="00631ADE" w:rsidRPr="007D29C5" w:rsidRDefault="0009570A" w:rsidP="0061270D">
      <w:pPr>
        <w:spacing w:line="480" w:lineRule="auto"/>
        <w:jc w:val="both"/>
        <w:outlineLvl w:val="0"/>
        <w:rPr>
          <w:rFonts w:eastAsia="Calibri"/>
        </w:rPr>
      </w:pPr>
      <w:r w:rsidRPr="007D29C5">
        <w:rPr>
          <w:rFonts w:eastAsia="Calibri"/>
          <w:b/>
        </w:rPr>
        <w:t>Abstract</w:t>
      </w:r>
      <w:r w:rsidRPr="007D29C5">
        <w:rPr>
          <w:rFonts w:eastAsia="Calibri"/>
        </w:rPr>
        <w:t xml:space="preserve"> </w:t>
      </w:r>
    </w:p>
    <w:p w14:paraId="44AF5520" w14:textId="0F6E3825" w:rsidR="00125C08" w:rsidRPr="007D29C5" w:rsidRDefault="008E5DDE" w:rsidP="0061270D">
      <w:pPr>
        <w:pStyle w:val="CommentText"/>
        <w:spacing w:line="480" w:lineRule="auto"/>
        <w:jc w:val="both"/>
        <w:rPr>
          <w:sz w:val="24"/>
          <w:szCs w:val="24"/>
        </w:rPr>
      </w:pPr>
      <w:r w:rsidRPr="007D29C5">
        <w:rPr>
          <w:rFonts w:eastAsia="Calibri"/>
          <w:sz w:val="24"/>
          <w:szCs w:val="24"/>
        </w:rPr>
        <w:t>A</w:t>
      </w:r>
      <w:r w:rsidR="0009570A" w:rsidRPr="007D29C5">
        <w:rPr>
          <w:rFonts w:eastAsia="Calibri"/>
          <w:sz w:val="24"/>
          <w:szCs w:val="24"/>
        </w:rPr>
        <w:t>n increasing number of</w:t>
      </w:r>
      <w:r w:rsidR="005B3B2A" w:rsidRPr="007D29C5">
        <w:rPr>
          <w:rFonts w:eastAsia="Calibri"/>
          <w:sz w:val="24"/>
          <w:szCs w:val="24"/>
        </w:rPr>
        <w:t xml:space="preserve"> research programs</w:t>
      </w:r>
      <w:r w:rsidR="00B837AC" w:rsidRPr="007D29C5">
        <w:rPr>
          <w:rFonts w:eastAsia="Calibri"/>
          <w:sz w:val="24"/>
          <w:szCs w:val="24"/>
        </w:rPr>
        <w:t xml:space="preserve"> seek</w:t>
      </w:r>
      <w:r w:rsidR="005B3B2A" w:rsidRPr="007D29C5">
        <w:rPr>
          <w:rFonts w:eastAsia="Calibri"/>
          <w:sz w:val="24"/>
          <w:szCs w:val="24"/>
        </w:rPr>
        <w:t xml:space="preserve"> </w:t>
      </w:r>
      <w:r w:rsidR="00B837AC" w:rsidRPr="007D29C5">
        <w:rPr>
          <w:rFonts w:eastAsia="Calibri"/>
          <w:sz w:val="24"/>
          <w:szCs w:val="24"/>
        </w:rPr>
        <w:t>to support adaptation to climate change thr</w:t>
      </w:r>
      <w:r w:rsidR="00303296" w:rsidRPr="007D29C5">
        <w:rPr>
          <w:rFonts w:eastAsia="Calibri"/>
          <w:sz w:val="24"/>
          <w:szCs w:val="24"/>
        </w:rPr>
        <w:t>o</w:t>
      </w:r>
      <w:r w:rsidR="00B837AC" w:rsidRPr="007D29C5">
        <w:rPr>
          <w:rFonts w:eastAsia="Calibri"/>
          <w:sz w:val="24"/>
          <w:szCs w:val="24"/>
        </w:rPr>
        <w:t xml:space="preserve">ugh the </w:t>
      </w:r>
      <w:r w:rsidR="005B3B2A" w:rsidRPr="007D29C5">
        <w:rPr>
          <w:rFonts w:eastAsia="Calibri"/>
          <w:sz w:val="24"/>
          <w:szCs w:val="24"/>
        </w:rPr>
        <w:t>engage</w:t>
      </w:r>
      <w:r w:rsidR="00B837AC" w:rsidRPr="007D29C5">
        <w:rPr>
          <w:rFonts w:eastAsia="Calibri"/>
          <w:sz w:val="24"/>
          <w:szCs w:val="24"/>
        </w:rPr>
        <w:t>ment of</w:t>
      </w:r>
      <w:r w:rsidR="005B3B2A" w:rsidRPr="007D29C5">
        <w:rPr>
          <w:rFonts w:eastAsia="Calibri"/>
          <w:sz w:val="24"/>
          <w:szCs w:val="24"/>
        </w:rPr>
        <w:t xml:space="preserve"> large-</w:t>
      </w:r>
      <w:r w:rsidR="0009570A" w:rsidRPr="007D29C5">
        <w:rPr>
          <w:rFonts w:eastAsia="Calibri"/>
          <w:sz w:val="24"/>
          <w:szCs w:val="24"/>
        </w:rPr>
        <w:t>scale transdisciplinary networks</w:t>
      </w:r>
      <w:r w:rsidRPr="007D29C5">
        <w:rPr>
          <w:rFonts w:eastAsia="Calibri"/>
          <w:sz w:val="24"/>
          <w:szCs w:val="24"/>
        </w:rPr>
        <w:t xml:space="preserve"> </w:t>
      </w:r>
      <w:r w:rsidR="005B3B2A" w:rsidRPr="007D29C5">
        <w:rPr>
          <w:rFonts w:eastAsia="Calibri"/>
          <w:sz w:val="24"/>
          <w:szCs w:val="24"/>
        </w:rPr>
        <w:t>that span countries and continents</w:t>
      </w:r>
      <w:r w:rsidR="0009570A" w:rsidRPr="007D29C5">
        <w:rPr>
          <w:rFonts w:eastAsia="Calibri"/>
          <w:sz w:val="24"/>
          <w:szCs w:val="24"/>
        </w:rPr>
        <w:t xml:space="preserve">. While transdisciplinary research processes have been a topic of reflection, practice and refinement for some time, these trends now mean that the global </w:t>
      </w:r>
      <w:r w:rsidR="002B0730" w:rsidRPr="007D29C5">
        <w:rPr>
          <w:rFonts w:eastAsia="Calibri"/>
          <w:sz w:val="24"/>
          <w:szCs w:val="24"/>
        </w:rPr>
        <w:t xml:space="preserve">change </w:t>
      </w:r>
      <w:r w:rsidR="0009570A" w:rsidRPr="007D29C5">
        <w:rPr>
          <w:rFonts w:eastAsia="Calibri"/>
          <w:sz w:val="24"/>
          <w:szCs w:val="24"/>
        </w:rPr>
        <w:t xml:space="preserve">research community </w:t>
      </w:r>
      <w:r w:rsidR="008060D3" w:rsidRPr="007D29C5">
        <w:rPr>
          <w:rFonts w:eastAsia="Calibri"/>
          <w:sz w:val="24"/>
          <w:szCs w:val="24"/>
        </w:rPr>
        <w:t xml:space="preserve">needs to reflect and learn </w:t>
      </w:r>
      <w:r w:rsidR="0009570A" w:rsidRPr="007D29C5">
        <w:rPr>
          <w:rFonts w:eastAsia="Calibri"/>
          <w:sz w:val="24"/>
          <w:szCs w:val="24"/>
        </w:rPr>
        <w:t xml:space="preserve">how to pursue </w:t>
      </w:r>
      <w:r w:rsidR="00205032" w:rsidRPr="007D29C5">
        <w:rPr>
          <w:rFonts w:eastAsia="Calibri"/>
          <w:sz w:val="24"/>
          <w:szCs w:val="24"/>
        </w:rPr>
        <w:t>collaborative</w:t>
      </w:r>
      <w:r w:rsidR="0009570A" w:rsidRPr="007D29C5">
        <w:rPr>
          <w:rFonts w:eastAsia="Calibri"/>
          <w:sz w:val="24"/>
          <w:szCs w:val="24"/>
        </w:rPr>
        <w:t xml:space="preserve"> research on a </w:t>
      </w:r>
      <w:r w:rsidR="00FB1079" w:rsidRPr="007D29C5">
        <w:rPr>
          <w:rFonts w:eastAsia="Calibri"/>
          <w:sz w:val="24"/>
          <w:szCs w:val="24"/>
        </w:rPr>
        <w:t>large</w:t>
      </w:r>
      <w:r w:rsidR="002B0730" w:rsidRPr="007D29C5">
        <w:rPr>
          <w:rFonts w:eastAsia="Calibri"/>
          <w:sz w:val="24"/>
          <w:szCs w:val="24"/>
        </w:rPr>
        <w:t xml:space="preserve"> </w:t>
      </w:r>
      <w:r w:rsidR="00FB1079" w:rsidRPr="007D29C5">
        <w:rPr>
          <w:rFonts w:eastAsia="Calibri"/>
          <w:sz w:val="24"/>
          <w:szCs w:val="24"/>
        </w:rPr>
        <w:t>scale</w:t>
      </w:r>
      <w:r w:rsidR="0009570A" w:rsidRPr="007D29C5">
        <w:rPr>
          <w:rFonts w:eastAsia="Calibri"/>
          <w:sz w:val="24"/>
          <w:szCs w:val="24"/>
        </w:rPr>
        <w:t xml:space="preserve">. </w:t>
      </w:r>
      <w:r w:rsidR="001D2607" w:rsidRPr="007D29C5">
        <w:rPr>
          <w:rFonts w:eastAsia="Calibri"/>
          <w:sz w:val="24"/>
          <w:szCs w:val="24"/>
        </w:rPr>
        <w:t>This paper</w:t>
      </w:r>
      <w:r w:rsidR="0009570A" w:rsidRPr="007D29C5">
        <w:rPr>
          <w:rFonts w:eastAsia="Calibri"/>
          <w:sz w:val="24"/>
          <w:szCs w:val="24"/>
        </w:rPr>
        <w:t xml:space="preserve"> share</w:t>
      </w:r>
      <w:r w:rsidR="001D2607" w:rsidRPr="007D29C5">
        <w:rPr>
          <w:rFonts w:eastAsia="Calibri"/>
          <w:sz w:val="24"/>
          <w:szCs w:val="24"/>
        </w:rPr>
        <w:t>s</w:t>
      </w:r>
      <w:r w:rsidR="0009570A" w:rsidRPr="007D29C5">
        <w:rPr>
          <w:rFonts w:eastAsia="Calibri"/>
          <w:sz w:val="24"/>
          <w:szCs w:val="24"/>
        </w:rPr>
        <w:t xml:space="preserve"> </w:t>
      </w:r>
      <w:r w:rsidR="001D2607" w:rsidRPr="007D29C5">
        <w:rPr>
          <w:rFonts w:eastAsia="Calibri"/>
          <w:sz w:val="24"/>
          <w:szCs w:val="24"/>
        </w:rPr>
        <w:t>insights</w:t>
      </w:r>
      <w:r w:rsidR="0009570A" w:rsidRPr="007D29C5">
        <w:rPr>
          <w:rFonts w:eastAsia="Calibri"/>
          <w:sz w:val="24"/>
          <w:szCs w:val="24"/>
        </w:rPr>
        <w:t xml:space="preserve"> from a </w:t>
      </w:r>
      <w:r w:rsidR="00E051E3" w:rsidRPr="007D29C5">
        <w:rPr>
          <w:rFonts w:eastAsia="Calibri"/>
          <w:sz w:val="24"/>
          <w:szCs w:val="24"/>
        </w:rPr>
        <w:t>seven</w:t>
      </w:r>
      <w:r w:rsidR="008F236D" w:rsidRPr="007D29C5">
        <w:rPr>
          <w:rFonts w:eastAsia="Calibri"/>
          <w:sz w:val="24"/>
          <w:szCs w:val="24"/>
        </w:rPr>
        <w:t>-year</w:t>
      </w:r>
      <w:r w:rsidR="0009570A" w:rsidRPr="007D29C5">
        <w:rPr>
          <w:rFonts w:eastAsia="Calibri"/>
          <w:sz w:val="24"/>
          <w:szCs w:val="24"/>
        </w:rPr>
        <w:t xml:space="preserve"> climate change adaptation </w:t>
      </w:r>
      <w:r w:rsidRPr="007D29C5">
        <w:rPr>
          <w:rFonts w:eastAsia="Calibri"/>
          <w:sz w:val="24"/>
          <w:szCs w:val="24"/>
        </w:rPr>
        <w:t xml:space="preserve">research </w:t>
      </w:r>
      <w:r w:rsidR="0009570A" w:rsidRPr="007D29C5">
        <w:rPr>
          <w:rFonts w:eastAsia="Calibri"/>
          <w:sz w:val="24"/>
          <w:szCs w:val="24"/>
        </w:rPr>
        <w:t>program</w:t>
      </w:r>
      <w:r w:rsidR="00DE420F" w:rsidRPr="007D29C5">
        <w:rPr>
          <w:rFonts w:eastAsia="Calibri"/>
          <w:sz w:val="24"/>
          <w:szCs w:val="24"/>
        </w:rPr>
        <w:t xml:space="preserve"> </w:t>
      </w:r>
      <w:r w:rsidR="0009570A" w:rsidRPr="007D29C5">
        <w:rPr>
          <w:rFonts w:eastAsia="Calibri"/>
          <w:sz w:val="24"/>
          <w:szCs w:val="24"/>
        </w:rPr>
        <w:t>that</w:t>
      </w:r>
      <w:r w:rsidR="00205032" w:rsidRPr="007D29C5">
        <w:rPr>
          <w:rFonts w:eastAsia="Calibri"/>
          <w:sz w:val="24"/>
          <w:szCs w:val="24"/>
        </w:rPr>
        <w:t xml:space="preserve"> supported collaboration between</w:t>
      </w:r>
      <w:r w:rsidR="0009570A" w:rsidRPr="007D29C5">
        <w:rPr>
          <w:rFonts w:eastAsia="Calibri"/>
          <w:sz w:val="24"/>
          <w:szCs w:val="24"/>
        </w:rPr>
        <w:t xml:space="preserve"> more than 450 researchers and practitioners across four consortia and seventeen countrie</w:t>
      </w:r>
      <w:r w:rsidR="00DE420F" w:rsidRPr="007D29C5">
        <w:rPr>
          <w:rFonts w:eastAsia="Calibri"/>
          <w:sz w:val="24"/>
          <w:szCs w:val="24"/>
        </w:rPr>
        <w:t>s</w:t>
      </w:r>
      <w:r w:rsidR="0009570A" w:rsidRPr="007D29C5">
        <w:rPr>
          <w:rFonts w:eastAsia="Calibri"/>
          <w:sz w:val="24"/>
          <w:szCs w:val="24"/>
        </w:rPr>
        <w:t xml:space="preserve">. </w:t>
      </w:r>
      <w:r w:rsidR="001D2607" w:rsidRPr="007D29C5">
        <w:rPr>
          <w:rFonts w:eastAsia="Calibri"/>
          <w:sz w:val="24"/>
          <w:szCs w:val="24"/>
        </w:rPr>
        <w:t>The</w:t>
      </w:r>
      <w:r w:rsidRPr="007D29C5">
        <w:rPr>
          <w:rFonts w:eastAsia="Calibri"/>
          <w:sz w:val="24"/>
          <w:szCs w:val="24"/>
        </w:rPr>
        <w:t xml:space="preserve"> experience confirms the importance of attention to careful design for transdisciplinary collaboration</w:t>
      </w:r>
      <w:r w:rsidR="001323BE" w:rsidRPr="007D29C5">
        <w:rPr>
          <w:rFonts w:eastAsia="Calibri"/>
          <w:sz w:val="24"/>
          <w:szCs w:val="24"/>
        </w:rPr>
        <w:t xml:space="preserve">, but also highlights that this </w:t>
      </w:r>
      <w:r w:rsidR="00125C08" w:rsidRPr="007D29C5">
        <w:rPr>
          <w:rFonts w:eastAsia="Calibri"/>
          <w:sz w:val="24"/>
          <w:szCs w:val="24"/>
        </w:rPr>
        <w:t xml:space="preserve">alone </w:t>
      </w:r>
      <w:r w:rsidR="001323BE" w:rsidRPr="007D29C5">
        <w:rPr>
          <w:rFonts w:eastAsia="Calibri"/>
          <w:sz w:val="24"/>
          <w:szCs w:val="24"/>
        </w:rPr>
        <w:t>is not enough</w:t>
      </w:r>
      <w:r w:rsidRPr="007D29C5">
        <w:rPr>
          <w:rFonts w:eastAsia="Calibri"/>
          <w:sz w:val="24"/>
          <w:szCs w:val="24"/>
        </w:rPr>
        <w:t>.</w:t>
      </w:r>
      <w:r w:rsidR="00C040BA" w:rsidRPr="007D29C5">
        <w:rPr>
          <w:rFonts w:eastAsia="Calibri"/>
          <w:sz w:val="24"/>
          <w:szCs w:val="24"/>
        </w:rPr>
        <w:t xml:space="preserve"> T</w:t>
      </w:r>
      <w:r w:rsidR="001323BE" w:rsidRPr="007D29C5">
        <w:rPr>
          <w:rFonts w:eastAsia="Calibri"/>
          <w:sz w:val="24"/>
          <w:szCs w:val="24"/>
        </w:rPr>
        <w:t>he success of well-</w:t>
      </w:r>
      <w:r w:rsidRPr="007D29C5">
        <w:rPr>
          <w:rFonts w:eastAsia="Calibri"/>
          <w:sz w:val="24"/>
          <w:szCs w:val="24"/>
        </w:rPr>
        <w:t>design</w:t>
      </w:r>
      <w:r w:rsidR="001323BE" w:rsidRPr="007D29C5">
        <w:rPr>
          <w:rFonts w:eastAsia="Calibri"/>
          <w:sz w:val="24"/>
          <w:szCs w:val="24"/>
        </w:rPr>
        <w:t xml:space="preserve">ed </w:t>
      </w:r>
      <w:r w:rsidR="00C040BA" w:rsidRPr="007D29C5">
        <w:rPr>
          <w:rFonts w:eastAsia="Calibri"/>
          <w:sz w:val="24"/>
          <w:szCs w:val="24"/>
        </w:rPr>
        <w:t xml:space="preserve">transdisciplinary research </w:t>
      </w:r>
      <w:r w:rsidR="001323BE" w:rsidRPr="007D29C5">
        <w:rPr>
          <w:rFonts w:eastAsia="Calibri"/>
          <w:sz w:val="24"/>
          <w:szCs w:val="24"/>
        </w:rPr>
        <w:t>processes</w:t>
      </w:r>
      <w:r w:rsidRPr="007D29C5">
        <w:rPr>
          <w:rFonts w:eastAsia="Calibri"/>
          <w:sz w:val="24"/>
          <w:szCs w:val="24"/>
        </w:rPr>
        <w:t xml:space="preserve"> </w:t>
      </w:r>
      <w:r w:rsidR="00125C08" w:rsidRPr="007D29C5">
        <w:rPr>
          <w:rFonts w:eastAsia="Calibri"/>
          <w:sz w:val="24"/>
          <w:szCs w:val="24"/>
        </w:rPr>
        <w:t>is also</w:t>
      </w:r>
      <w:r w:rsidRPr="007D29C5">
        <w:rPr>
          <w:rFonts w:eastAsia="Calibri"/>
          <w:sz w:val="24"/>
          <w:szCs w:val="24"/>
        </w:rPr>
        <w:t xml:space="preserve"> strongly influenced by </w:t>
      </w:r>
      <w:r w:rsidR="008F236D" w:rsidRPr="007D29C5">
        <w:rPr>
          <w:rFonts w:eastAsia="Calibri"/>
          <w:sz w:val="24"/>
          <w:szCs w:val="24"/>
        </w:rPr>
        <w:t xml:space="preserve">relational and systemic </w:t>
      </w:r>
      <w:r w:rsidRPr="007D29C5">
        <w:rPr>
          <w:rFonts w:eastAsia="Calibri"/>
          <w:sz w:val="24"/>
          <w:szCs w:val="24"/>
        </w:rPr>
        <w:t xml:space="preserve">features of </w:t>
      </w:r>
      <w:r w:rsidR="001323BE" w:rsidRPr="007D29C5">
        <w:rPr>
          <w:rFonts w:eastAsia="Calibri"/>
          <w:sz w:val="24"/>
          <w:szCs w:val="24"/>
        </w:rPr>
        <w:t xml:space="preserve">collaborative </w:t>
      </w:r>
      <w:r w:rsidRPr="007D29C5">
        <w:rPr>
          <w:rFonts w:eastAsia="Calibri"/>
          <w:sz w:val="24"/>
          <w:szCs w:val="24"/>
        </w:rPr>
        <w:t>relationships</w:t>
      </w:r>
      <w:r w:rsidR="008F236D" w:rsidRPr="007D29C5">
        <w:rPr>
          <w:rFonts w:eastAsia="Calibri"/>
          <w:sz w:val="24"/>
          <w:szCs w:val="24"/>
        </w:rPr>
        <w:t xml:space="preserve">. </w:t>
      </w:r>
      <w:r w:rsidR="0009570A" w:rsidRPr="007D29C5">
        <w:rPr>
          <w:rFonts w:eastAsia="Calibri"/>
          <w:sz w:val="24"/>
          <w:szCs w:val="24"/>
        </w:rPr>
        <w:t xml:space="preserve">Relational </w:t>
      </w:r>
      <w:r w:rsidRPr="007D29C5">
        <w:rPr>
          <w:rFonts w:eastAsia="Calibri"/>
          <w:sz w:val="24"/>
          <w:szCs w:val="24"/>
        </w:rPr>
        <w:t>features</w:t>
      </w:r>
      <w:r w:rsidR="0009570A" w:rsidRPr="007D29C5">
        <w:rPr>
          <w:rFonts w:eastAsia="Calibri"/>
          <w:sz w:val="24"/>
          <w:szCs w:val="24"/>
        </w:rPr>
        <w:t xml:space="preserve"> include inter-personal trust, mutual respect, and leadership styles, while systemic </w:t>
      </w:r>
      <w:r w:rsidRPr="007D29C5">
        <w:rPr>
          <w:rFonts w:eastAsia="Calibri"/>
          <w:sz w:val="24"/>
          <w:szCs w:val="24"/>
        </w:rPr>
        <w:t>features</w:t>
      </w:r>
      <w:r w:rsidR="0009570A" w:rsidRPr="007D29C5">
        <w:rPr>
          <w:rFonts w:eastAsia="Calibri"/>
          <w:sz w:val="24"/>
          <w:szCs w:val="24"/>
        </w:rPr>
        <w:t xml:space="preserve"> include </w:t>
      </w:r>
      <w:r w:rsidRPr="007D29C5">
        <w:rPr>
          <w:rFonts w:eastAsia="Calibri"/>
          <w:sz w:val="24"/>
          <w:szCs w:val="24"/>
        </w:rPr>
        <w:t>legal partnership</w:t>
      </w:r>
      <w:r w:rsidR="0009570A" w:rsidRPr="007D29C5">
        <w:rPr>
          <w:rFonts w:eastAsia="Calibri"/>
          <w:sz w:val="24"/>
          <w:szCs w:val="24"/>
        </w:rPr>
        <w:t xml:space="preserve"> agreements, power asymmetries between partners, and institutional values and cultures. </w:t>
      </w:r>
      <w:r w:rsidRPr="007D29C5">
        <w:rPr>
          <w:rFonts w:eastAsia="Calibri"/>
          <w:sz w:val="24"/>
          <w:szCs w:val="24"/>
        </w:rPr>
        <w:t xml:space="preserve">In the new arena of </w:t>
      </w:r>
      <w:r w:rsidR="00FB1079" w:rsidRPr="007D29C5">
        <w:rPr>
          <w:rFonts w:eastAsia="Calibri"/>
          <w:sz w:val="24"/>
          <w:szCs w:val="24"/>
        </w:rPr>
        <w:t>large-scale</w:t>
      </w:r>
      <w:r w:rsidRPr="007D29C5">
        <w:rPr>
          <w:rFonts w:eastAsia="Calibri"/>
          <w:sz w:val="24"/>
          <w:szCs w:val="24"/>
        </w:rPr>
        <w:t xml:space="preserve"> collaborative science efforts, enablers of </w:t>
      </w:r>
      <w:r w:rsidR="00C040BA" w:rsidRPr="007D29C5">
        <w:rPr>
          <w:rFonts w:eastAsia="Calibri"/>
          <w:sz w:val="24"/>
          <w:szCs w:val="24"/>
        </w:rPr>
        <w:t xml:space="preserve">transdisciplinary </w:t>
      </w:r>
      <w:r w:rsidRPr="007D29C5">
        <w:rPr>
          <w:rFonts w:eastAsia="Calibri"/>
          <w:sz w:val="24"/>
          <w:szCs w:val="24"/>
        </w:rPr>
        <w:t xml:space="preserve">collaboration include dedicated </w:t>
      </w:r>
      <w:r w:rsidR="005D1434" w:rsidRPr="007D29C5">
        <w:rPr>
          <w:rFonts w:eastAsia="Calibri"/>
          <w:sz w:val="24"/>
          <w:szCs w:val="24"/>
        </w:rPr>
        <w:t>project</w:t>
      </w:r>
      <w:r w:rsidRPr="007D29C5">
        <w:rPr>
          <w:rFonts w:eastAsia="Calibri"/>
          <w:sz w:val="24"/>
          <w:szCs w:val="24"/>
        </w:rPr>
        <w:t xml:space="preserve"> coordinato</w:t>
      </w:r>
      <w:r w:rsidR="001323BE" w:rsidRPr="007D29C5">
        <w:rPr>
          <w:rFonts w:eastAsia="Calibri"/>
          <w:sz w:val="24"/>
          <w:szCs w:val="24"/>
        </w:rPr>
        <w:t xml:space="preserve">rs, leaders at multiple levels </w:t>
      </w:r>
      <w:r w:rsidRPr="007D29C5">
        <w:rPr>
          <w:rFonts w:eastAsia="Calibri"/>
          <w:sz w:val="24"/>
          <w:szCs w:val="24"/>
        </w:rPr>
        <w:t xml:space="preserve">and the availability of small amounts of flexible funds to enable </w:t>
      </w:r>
      <w:r w:rsidR="001323BE" w:rsidRPr="007D29C5">
        <w:rPr>
          <w:rFonts w:eastAsia="Calibri"/>
          <w:sz w:val="24"/>
          <w:szCs w:val="24"/>
        </w:rPr>
        <w:t xml:space="preserve">nimble </w:t>
      </w:r>
      <w:r w:rsidRPr="007D29C5">
        <w:rPr>
          <w:rFonts w:eastAsia="Calibri"/>
          <w:sz w:val="24"/>
          <w:szCs w:val="24"/>
        </w:rPr>
        <w:t>responses to opportunities</w:t>
      </w:r>
      <w:r w:rsidR="00146DE5" w:rsidRPr="007D29C5">
        <w:rPr>
          <w:rFonts w:eastAsia="Calibri"/>
          <w:sz w:val="24"/>
          <w:szCs w:val="24"/>
        </w:rPr>
        <w:t xml:space="preserve"> and unexpected collaborations</w:t>
      </w:r>
      <w:r w:rsidRPr="007D29C5">
        <w:rPr>
          <w:rFonts w:eastAsia="Calibri"/>
          <w:sz w:val="24"/>
          <w:szCs w:val="24"/>
        </w:rPr>
        <w:t xml:space="preserve">. </w:t>
      </w:r>
    </w:p>
    <w:p w14:paraId="15619813" w14:textId="77777777" w:rsidR="00631ADE" w:rsidRPr="007D29C5" w:rsidRDefault="00631ADE" w:rsidP="0032782A">
      <w:pPr>
        <w:pStyle w:val="CommentText"/>
        <w:jc w:val="both"/>
        <w:rPr>
          <w:rFonts w:eastAsia="Calibri"/>
        </w:rPr>
      </w:pPr>
    </w:p>
    <w:p w14:paraId="5C13D682" w14:textId="77777777" w:rsidR="00631ADE" w:rsidRPr="007D29C5" w:rsidRDefault="00631ADE" w:rsidP="0032782A">
      <w:pPr>
        <w:jc w:val="both"/>
        <w:rPr>
          <w:rFonts w:eastAsia="Calibri"/>
        </w:rPr>
      </w:pPr>
    </w:p>
    <w:p w14:paraId="00192F9E" w14:textId="77777777" w:rsidR="00B008EB" w:rsidRPr="007D29C5" w:rsidRDefault="00B008EB">
      <w:pPr>
        <w:rPr>
          <w:rFonts w:eastAsia="Calibri"/>
          <w:b/>
        </w:rPr>
      </w:pPr>
      <w:r w:rsidRPr="007D29C5">
        <w:rPr>
          <w:rFonts w:eastAsia="Calibri"/>
          <w:b/>
        </w:rPr>
        <w:br w:type="page"/>
      </w:r>
    </w:p>
    <w:p w14:paraId="61447393" w14:textId="30BEE87F" w:rsidR="00631ADE" w:rsidRPr="007D29C5" w:rsidRDefault="0009570A" w:rsidP="00573662">
      <w:pPr>
        <w:pStyle w:val="ListParagraph"/>
        <w:keepNext/>
        <w:keepLines/>
        <w:numPr>
          <w:ilvl w:val="0"/>
          <w:numId w:val="9"/>
        </w:numPr>
        <w:spacing w:before="240" w:line="480" w:lineRule="auto"/>
        <w:jc w:val="both"/>
        <w:outlineLvl w:val="0"/>
        <w:rPr>
          <w:rFonts w:eastAsia="Calibri"/>
          <w:b/>
        </w:rPr>
      </w:pPr>
      <w:r w:rsidRPr="007D29C5">
        <w:rPr>
          <w:rFonts w:eastAsia="Calibri"/>
          <w:b/>
        </w:rPr>
        <w:lastRenderedPageBreak/>
        <w:t>Introduction</w:t>
      </w:r>
    </w:p>
    <w:p w14:paraId="4EAB101C" w14:textId="0BFD1417" w:rsidR="00E051E3" w:rsidRPr="007D29C5" w:rsidRDefault="0009570A" w:rsidP="0005681D">
      <w:pPr>
        <w:spacing w:after="160" w:line="480" w:lineRule="auto"/>
        <w:jc w:val="both"/>
        <w:rPr>
          <w:rFonts w:eastAsia="Calibri"/>
        </w:rPr>
      </w:pPr>
      <w:r w:rsidRPr="007D29C5">
        <w:rPr>
          <w:rFonts w:eastAsia="Calibri"/>
        </w:rPr>
        <w:t xml:space="preserve">A growing number of </w:t>
      </w:r>
      <w:r w:rsidR="00FC31D2" w:rsidRPr="007D29C5">
        <w:rPr>
          <w:rFonts w:eastAsia="Calibri"/>
        </w:rPr>
        <w:t>large-scale</w:t>
      </w:r>
      <w:r w:rsidRPr="007D29C5">
        <w:rPr>
          <w:rFonts w:eastAsia="Calibri"/>
        </w:rPr>
        <w:t xml:space="preserve"> climate change adaptation research programs have </w:t>
      </w:r>
      <w:r w:rsidR="00A05C66" w:rsidRPr="007D29C5">
        <w:rPr>
          <w:rFonts w:eastAsia="Calibri"/>
        </w:rPr>
        <w:t>emerged</w:t>
      </w:r>
      <w:r w:rsidRPr="007D29C5">
        <w:rPr>
          <w:rFonts w:eastAsia="Calibri"/>
        </w:rPr>
        <w:t xml:space="preserve"> in recent years </w:t>
      </w:r>
      <w:r w:rsidR="00125C08" w:rsidRPr="007D29C5">
        <w:rPr>
          <w:rFonts w:eastAsia="Calibri"/>
        </w:rPr>
        <w:t>to generate knowledge that contributes toward impact and change</w:t>
      </w:r>
      <w:r w:rsidRPr="007D29C5">
        <w:rPr>
          <w:rFonts w:eastAsia="Calibri"/>
        </w:rPr>
        <w:t xml:space="preserve">. Examples include the Collaborative Adaptation Research Initiative in Africa and Asia (CARIAA), </w:t>
      </w:r>
      <w:r w:rsidR="005B3B2A" w:rsidRPr="007D29C5">
        <w:rPr>
          <w:rFonts w:eastAsia="Calibri"/>
        </w:rPr>
        <w:t>Future Climate for Africa</w:t>
      </w:r>
      <w:r w:rsidR="00125C08" w:rsidRPr="007D29C5">
        <w:rPr>
          <w:rFonts w:eastAsia="Calibri"/>
        </w:rPr>
        <w:t xml:space="preserve"> (FCFA)</w:t>
      </w:r>
      <w:r w:rsidR="005B3B2A" w:rsidRPr="007D29C5">
        <w:rPr>
          <w:rFonts w:eastAsia="Calibri"/>
        </w:rPr>
        <w:t xml:space="preserve"> and Ecosystem Services for Poverty Alleviation (ESPA)</w:t>
      </w:r>
      <w:r w:rsidRPr="007D29C5">
        <w:rPr>
          <w:rFonts w:eastAsia="Calibri"/>
        </w:rPr>
        <w:t xml:space="preserve">. </w:t>
      </w:r>
      <w:r w:rsidR="00125C08" w:rsidRPr="007D29C5">
        <w:rPr>
          <w:rFonts w:eastAsia="Calibri"/>
        </w:rPr>
        <w:t>I</w:t>
      </w:r>
      <w:r w:rsidRPr="007D29C5">
        <w:rPr>
          <w:rFonts w:eastAsia="Calibri"/>
        </w:rPr>
        <w:t xml:space="preserve">t is imperative that we treat these </w:t>
      </w:r>
      <w:r w:rsidR="00125C08" w:rsidRPr="007D29C5">
        <w:rPr>
          <w:rFonts w:eastAsia="Calibri"/>
        </w:rPr>
        <w:t xml:space="preserve">emerging </w:t>
      </w:r>
      <w:r w:rsidR="00F8315F" w:rsidRPr="007D29C5">
        <w:rPr>
          <w:rFonts w:eastAsia="Calibri"/>
        </w:rPr>
        <w:t xml:space="preserve">collaborative </w:t>
      </w:r>
      <w:r w:rsidR="00A92583" w:rsidRPr="007D29C5">
        <w:rPr>
          <w:rFonts w:eastAsia="Calibri"/>
        </w:rPr>
        <w:t>endeavors</w:t>
      </w:r>
      <w:r w:rsidRPr="007D29C5">
        <w:rPr>
          <w:rFonts w:eastAsia="Calibri"/>
        </w:rPr>
        <w:t xml:space="preserve"> as experiments from which we </w:t>
      </w:r>
      <w:r w:rsidR="008060D3" w:rsidRPr="007D29C5">
        <w:rPr>
          <w:rFonts w:eastAsia="Calibri"/>
        </w:rPr>
        <w:t xml:space="preserve">can </w:t>
      </w:r>
      <w:r w:rsidRPr="007D29C5">
        <w:rPr>
          <w:rFonts w:eastAsia="Calibri"/>
        </w:rPr>
        <w:t xml:space="preserve">actively learn about how to pursue </w:t>
      </w:r>
      <w:r w:rsidR="00FD4A1B" w:rsidRPr="007D29C5">
        <w:rPr>
          <w:rFonts w:eastAsia="Calibri"/>
        </w:rPr>
        <w:t xml:space="preserve">transdisciplinary collaboration </w:t>
      </w:r>
      <w:r w:rsidR="0095460E" w:rsidRPr="007D29C5">
        <w:rPr>
          <w:rFonts w:eastAsia="Calibri"/>
        </w:rPr>
        <w:t>in ways that support</w:t>
      </w:r>
      <w:r w:rsidR="00FD4A1B" w:rsidRPr="007D29C5">
        <w:rPr>
          <w:rFonts w:eastAsia="Calibri"/>
        </w:rPr>
        <w:t xml:space="preserve"> impact</w:t>
      </w:r>
      <w:r w:rsidR="008060D3" w:rsidRPr="007D29C5">
        <w:rPr>
          <w:rFonts w:eastAsia="Calibri"/>
        </w:rPr>
        <w:t xml:space="preserve">, are fit-for-purpose and fit </w:t>
      </w:r>
      <w:r w:rsidR="00162ECA" w:rsidRPr="007D29C5">
        <w:rPr>
          <w:rFonts w:eastAsia="Calibri"/>
        </w:rPr>
        <w:t>to</w:t>
      </w:r>
      <w:r w:rsidR="008060D3" w:rsidRPr="007D29C5">
        <w:rPr>
          <w:rFonts w:eastAsia="Calibri"/>
        </w:rPr>
        <w:t xml:space="preserve"> scale</w:t>
      </w:r>
      <w:r w:rsidRPr="007D29C5">
        <w:rPr>
          <w:rFonts w:eastAsia="Calibri"/>
        </w:rPr>
        <w:t xml:space="preserve">. </w:t>
      </w:r>
    </w:p>
    <w:p w14:paraId="59264DD2" w14:textId="0112784D" w:rsidR="00102421" w:rsidRPr="007D29C5" w:rsidRDefault="0095460E" w:rsidP="0005681D">
      <w:pPr>
        <w:spacing w:after="160" w:line="480" w:lineRule="auto"/>
        <w:jc w:val="both"/>
        <w:rPr>
          <w:color w:val="auto"/>
        </w:rPr>
      </w:pPr>
      <w:r w:rsidRPr="007D29C5">
        <w:rPr>
          <w:rFonts w:eastAsia="Calibri"/>
        </w:rPr>
        <w:t xml:space="preserve">In this paper we </w:t>
      </w:r>
      <w:r w:rsidR="00E051E3" w:rsidRPr="007D29C5">
        <w:rPr>
          <w:rFonts w:eastAsia="Calibri"/>
        </w:rPr>
        <w:t xml:space="preserve">offer a commentary </w:t>
      </w:r>
      <w:r w:rsidRPr="007D29C5">
        <w:rPr>
          <w:rFonts w:eastAsia="Calibri"/>
        </w:rPr>
        <w:t>from one of these programs, CARIAA, where significant and purposeful investment was made into the design for transdisciplinary collaboration</w:t>
      </w:r>
      <w:r w:rsidR="00D75D30" w:rsidRPr="007D29C5">
        <w:rPr>
          <w:rFonts w:eastAsia="Calibri"/>
        </w:rPr>
        <w:t>.</w:t>
      </w:r>
      <w:r w:rsidR="00E134DC" w:rsidRPr="007D29C5">
        <w:rPr>
          <w:rFonts w:eastAsia="Calibri"/>
        </w:rPr>
        <w:t xml:space="preserve"> </w:t>
      </w:r>
      <w:r w:rsidR="00C040BA" w:rsidRPr="007D29C5">
        <w:rPr>
          <w:rFonts w:eastAsia="Calibri"/>
        </w:rPr>
        <w:t>The CARIAA experience suggests that it</w:t>
      </w:r>
      <w:r w:rsidR="00102421" w:rsidRPr="007D29C5">
        <w:rPr>
          <w:rFonts w:eastAsia="Calibri"/>
        </w:rPr>
        <w:t xml:space="preserve"> is critical to pay attention to </w:t>
      </w:r>
      <w:r w:rsidR="00102421" w:rsidRPr="007D29C5">
        <w:rPr>
          <w:color w:val="auto"/>
        </w:rPr>
        <w:t>three key dimensions of transdisciplinary collaboration</w:t>
      </w:r>
      <w:r w:rsidR="0068353D" w:rsidRPr="007D29C5">
        <w:rPr>
          <w:color w:val="auto"/>
        </w:rPr>
        <w:t xml:space="preserve"> in large-scale research programmes</w:t>
      </w:r>
      <w:r w:rsidR="00102421" w:rsidRPr="007D29C5">
        <w:rPr>
          <w:color w:val="auto"/>
        </w:rPr>
        <w:t xml:space="preserve">. These are </w:t>
      </w:r>
      <w:r w:rsidR="00102421" w:rsidRPr="007D29C5">
        <w:rPr>
          <w:i/>
          <w:iCs/>
          <w:color w:val="auto"/>
        </w:rPr>
        <w:t>design</w:t>
      </w:r>
      <w:r w:rsidR="00102421" w:rsidRPr="007D29C5">
        <w:rPr>
          <w:color w:val="auto"/>
        </w:rPr>
        <w:t>, or how programmes are structured</w:t>
      </w:r>
      <w:r w:rsidR="0068353D" w:rsidRPr="007D29C5">
        <w:rPr>
          <w:color w:val="auto"/>
        </w:rPr>
        <w:t xml:space="preserve"> to support collaboration and impact</w:t>
      </w:r>
      <w:r w:rsidR="00102421" w:rsidRPr="007D29C5">
        <w:rPr>
          <w:color w:val="auto"/>
        </w:rPr>
        <w:t xml:space="preserve">; </w:t>
      </w:r>
      <w:r w:rsidR="00102421" w:rsidRPr="007D29C5">
        <w:rPr>
          <w:i/>
          <w:iCs/>
          <w:color w:val="auto"/>
        </w:rPr>
        <w:t>relational features</w:t>
      </w:r>
      <w:r w:rsidR="00102421" w:rsidRPr="007D29C5">
        <w:rPr>
          <w:color w:val="auto"/>
        </w:rPr>
        <w:t xml:space="preserve">, or how interpersonal and inter-institutional dynamics evolve and are mediated; and </w:t>
      </w:r>
      <w:r w:rsidR="00102421" w:rsidRPr="007D29C5">
        <w:rPr>
          <w:i/>
          <w:iCs/>
          <w:color w:val="auto"/>
        </w:rPr>
        <w:t>systemic features</w:t>
      </w:r>
      <w:r w:rsidR="00102421" w:rsidRPr="007D29C5">
        <w:rPr>
          <w:color w:val="auto"/>
        </w:rPr>
        <w:t>, which refer to pre-existing norms and biases that affect how the other two dimensions take shape.</w:t>
      </w:r>
      <w:r w:rsidR="00125C08" w:rsidRPr="007D29C5">
        <w:rPr>
          <w:color w:val="auto"/>
        </w:rPr>
        <w:t xml:space="preserve"> Our experience also highlights the importance of built-in flexibility in the availability of funds to enable emergent collaboration beyond initial expectations. </w:t>
      </w:r>
    </w:p>
    <w:p w14:paraId="2D8466A1" w14:textId="5009EFA6" w:rsidR="00631ADE" w:rsidRPr="007D29C5" w:rsidRDefault="005B3B2A" w:rsidP="00573662">
      <w:pPr>
        <w:pStyle w:val="ListParagraph"/>
        <w:numPr>
          <w:ilvl w:val="0"/>
          <w:numId w:val="9"/>
        </w:numPr>
        <w:spacing w:after="160" w:line="480" w:lineRule="auto"/>
        <w:jc w:val="both"/>
        <w:outlineLvl w:val="0"/>
        <w:rPr>
          <w:rFonts w:eastAsia="Calibri"/>
          <w:b/>
        </w:rPr>
      </w:pPr>
      <w:r w:rsidRPr="007D29C5">
        <w:rPr>
          <w:rFonts w:eastAsia="Calibri"/>
          <w:b/>
        </w:rPr>
        <w:t>The shift toward large-</w:t>
      </w:r>
      <w:r w:rsidR="00FB33B5" w:rsidRPr="007D29C5">
        <w:rPr>
          <w:rFonts w:eastAsia="Calibri"/>
          <w:b/>
        </w:rPr>
        <w:t>scale transdisciplinary collaboration</w:t>
      </w:r>
    </w:p>
    <w:p w14:paraId="55A2F43F" w14:textId="11F20552" w:rsidR="00121CF9" w:rsidRPr="007D29C5" w:rsidRDefault="00CB3FB7" w:rsidP="00E051E3">
      <w:pPr>
        <w:spacing w:after="160" w:line="480" w:lineRule="auto"/>
        <w:jc w:val="both"/>
      </w:pPr>
      <w:r w:rsidRPr="007D29C5">
        <w:t>The shif</w:t>
      </w:r>
      <w:r w:rsidR="00121CF9" w:rsidRPr="007D29C5">
        <w:t xml:space="preserve">t toward large scale transdisciplinary collaborations in global change research has come about </w:t>
      </w:r>
      <w:r w:rsidR="00127EFC" w:rsidRPr="007D29C5">
        <w:t>for a variety of reasons. These reasons include</w:t>
      </w:r>
      <w:r w:rsidR="00E134DC" w:rsidRPr="007D29C5">
        <w:t xml:space="preserve"> </w:t>
      </w:r>
      <w:r w:rsidR="00121CF9" w:rsidRPr="007D29C5">
        <w:t>the scale and urgency of en</w:t>
      </w:r>
      <w:r w:rsidR="00E134DC" w:rsidRPr="007D29C5">
        <w:t>vironmental challenges</w:t>
      </w:r>
      <w:r w:rsidR="00127EFC" w:rsidRPr="007D29C5">
        <w:t xml:space="preserve"> such as climate change</w:t>
      </w:r>
      <w:r w:rsidR="00E134DC" w:rsidRPr="007D29C5">
        <w:t>, a</w:t>
      </w:r>
      <w:r w:rsidR="00121CF9" w:rsidRPr="007D29C5">
        <w:t xml:space="preserve"> growing appreciation of the complexity of the problems </w:t>
      </w:r>
      <w:r w:rsidR="00E134DC" w:rsidRPr="007D29C5">
        <w:t>and therefore the need for learning-oriented approaches to tackling them, and</w:t>
      </w:r>
      <w:r w:rsidR="00121CF9" w:rsidRPr="007D29C5">
        <w:t xml:space="preserve"> shifting realities in how publicly funded research is justified</w:t>
      </w:r>
      <w:r w:rsidR="00127EFC" w:rsidRPr="007D29C5">
        <w:t xml:space="preserve"> by public agencies</w:t>
      </w:r>
      <w:r w:rsidR="00121CF9" w:rsidRPr="007D29C5">
        <w:t xml:space="preserve">. </w:t>
      </w:r>
    </w:p>
    <w:p w14:paraId="2B8251D2" w14:textId="5603C57E" w:rsidR="00E051E3" w:rsidRPr="007D29C5" w:rsidRDefault="00E051E3" w:rsidP="00E051E3">
      <w:pPr>
        <w:spacing w:after="160" w:line="480" w:lineRule="auto"/>
        <w:jc w:val="both"/>
      </w:pPr>
      <w:r w:rsidRPr="007D29C5">
        <w:lastRenderedPageBreak/>
        <w:t>Climate action</w:t>
      </w:r>
      <w:r w:rsidR="00127EFC" w:rsidRPr="007D29C5">
        <w:t>, specifically,</w:t>
      </w:r>
      <w:r w:rsidRPr="007D29C5">
        <w:t xml:space="preserve"> requires integrated and multi-scale research that is simultaneously cutting edge, problem oriented and </w:t>
      </w:r>
      <w:r w:rsidR="00121CF9" w:rsidRPr="007D29C5">
        <w:t xml:space="preserve">that </w:t>
      </w:r>
      <w:r w:rsidR="00D62E96" w:rsidRPr="007D29C5">
        <w:t>creates space for other ways of knowing, beyond western science alone</w:t>
      </w:r>
      <w:r w:rsidR="009F68FB" w:rsidRPr="007D29C5">
        <w:t>.</w:t>
      </w:r>
      <w:r w:rsidR="009F68FB" w:rsidRPr="007D29C5">
        <w:rPr>
          <w:rFonts w:eastAsia="Calibri"/>
          <w:vertAlign w:val="superscript"/>
        </w:rPr>
        <w:t>[3]</w:t>
      </w:r>
      <w:r w:rsidRPr="007D29C5">
        <w:t xml:space="preserve"> </w:t>
      </w:r>
      <w:r w:rsidRPr="007D29C5">
        <w:rPr>
          <w:rFonts w:eastAsia="Calibri"/>
        </w:rPr>
        <w:t>Transdisciplinary research, unsurprisingly, has come to fore in this environment.</w:t>
      </w:r>
      <w:r w:rsidR="009F68FB" w:rsidRPr="007D29C5">
        <w:rPr>
          <w:rFonts w:eastAsia="Calibri"/>
          <w:vertAlign w:val="superscript"/>
        </w:rPr>
        <w:t>[4</w:t>
      </w:r>
      <w:r w:rsidRPr="007D29C5">
        <w:rPr>
          <w:rFonts w:eastAsia="Calibri"/>
          <w:vertAlign w:val="superscript"/>
        </w:rPr>
        <w:t>]</w:t>
      </w:r>
      <w:r w:rsidRPr="007D29C5">
        <w:rPr>
          <w:rFonts w:eastAsia="Calibri"/>
        </w:rPr>
        <w:t xml:space="preserve"> </w:t>
      </w:r>
      <w:r w:rsidR="00E134DC" w:rsidRPr="007D29C5">
        <w:rPr>
          <w:rFonts w:eastAsia="Calibri"/>
        </w:rPr>
        <w:t>Transdisciplinary research refers to research processes that support mutual learning across disciplinary divides and knowledge domains, with the goal of producing shared knowledge around a common problem.</w:t>
      </w:r>
      <w:r w:rsidR="009F68FB" w:rsidRPr="007D29C5">
        <w:rPr>
          <w:rFonts w:eastAsia="Calibri"/>
          <w:vertAlign w:val="superscript"/>
        </w:rPr>
        <w:t>[5]</w:t>
      </w:r>
      <w:r w:rsidR="00E134DC" w:rsidRPr="007D29C5">
        <w:rPr>
          <w:rFonts w:eastAsia="Calibri"/>
        </w:rPr>
        <w:t xml:space="preserve"> </w:t>
      </w:r>
      <w:r w:rsidRPr="007D29C5">
        <w:rPr>
          <w:rFonts w:eastAsia="Calibri"/>
        </w:rPr>
        <w:t xml:space="preserve">A central feature of transdisciplinary approaches is collaboration and mutual learning among diverse stakeholders who share a commitment to </w:t>
      </w:r>
      <w:r w:rsidR="00127EFC" w:rsidRPr="007D29C5">
        <w:rPr>
          <w:rFonts w:eastAsia="Calibri"/>
        </w:rPr>
        <w:t>tackling</w:t>
      </w:r>
      <w:r w:rsidRPr="007D29C5">
        <w:rPr>
          <w:rFonts w:eastAsia="Calibri"/>
        </w:rPr>
        <w:t xml:space="preserve"> complex social and ecological problems.</w:t>
      </w:r>
      <w:r w:rsidR="009F68FB" w:rsidRPr="007D29C5">
        <w:rPr>
          <w:rFonts w:eastAsia="Calibri"/>
          <w:vertAlign w:val="superscript"/>
        </w:rPr>
        <w:t>[6</w:t>
      </w:r>
      <w:r w:rsidRPr="007D29C5">
        <w:rPr>
          <w:rFonts w:eastAsia="Calibri"/>
          <w:vertAlign w:val="superscript"/>
        </w:rPr>
        <w:t>]</w:t>
      </w:r>
      <w:r w:rsidRPr="007D29C5">
        <w:rPr>
          <w:rFonts w:eastAsia="Calibri"/>
        </w:rPr>
        <w:t xml:space="preserve"> The intention is often to co-produce new understandings across a diversity of knowledge domains, thereby enhancing the possibility of transformative change.</w:t>
      </w:r>
      <w:r w:rsidR="009F68FB" w:rsidRPr="007D29C5">
        <w:rPr>
          <w:rFonts w:eastAsia="Calibri"/>
          <w:vertAlign w:val="superscript"/>
        </w:rPr>
        <w:t>[7</w:t>
      </w:r>
      <w:r w:rsidRPr="007D29C5">
        <w:rPr>
          <w:rFonts w:eastAsia="Calibri"/>
          <w:vertAlign w:val="superscript"/>
        </w:rPr>
        <w:t>]</w:t>
      </w:r>
      <w:r w:rsidRPr="007D29C5">
        <w:t xml:space="preserve"> However, while early development of transdisciplinary theory was somewhat preoccupied, with good reason, with the integration of knowledge (e.g. </w:t>
      </w:r>
      <w:r w:rsidR="009F68FB" w:rsidRPr="007D29C5">
        <w:rPr>
          <w:vertAlign w:val="superscript"/>
        </w:rPr>
        <w:t>[8</w:t>
      </w:r>
      <w:r w:rsidRPr="007D29C5">
        <w:rPr>
          <w:vertAlign w:val="superscript"/>
        </w:rPr>
        <w:t>]</w:t>
      </w:r>
      <w:r w:rsidRPr="007D29C5">
        <w:t xml:space="preserve">), today our challenges tend to rotate around the more pragmatic questions of how to operationalize </w:t>
      </w:r>
      <w:r w:rsidR="005D7CF3" w:rsidRPr="007D29C5">
        <w:t>collaboration between individuals from research, policy and civil society sectors</w:t>
      </w:r>
      <w:r w:rsidRPr="007D29C5">
        <w:t xml:space="preserve">, for impact, in geographically and culturally distant teams. </w:t>
      </w:r>
    </w:p>
    <w:p w14:paraId="4B61F332" w14:textId="3C9DC0EB" w:rsidR="005B3B2A" w:rsidRPr="007D29C5" w:rsidRDefault="00E051E3" w:rsidP="0005681D">
      <w:pPr>
        <w:spacing w:after="160" w:line="480" w:lineRule="auto"/>
        <w:jc w:val="both"/>
      </w:pPr>
      <w:r w:rsidRPr="007D29C5">
        <w:t xml:space="preserve">This need has come to the fore as the complexity </w:t>
      </w:r>
      <w:r w:rsidR="00162ECA" w:rsidRPr="007D29C5">
        <w:t xml:space="preserve">and urgency </w:t>
      </w:r>
      <w:r w:rsidRPr="007D29C5">
        <w:t xml:space="preserve">of the environmental challenges that we face have become more apparent, which has in turn highlighted the scale of response required, and partially in response to significant shifts in the research funding environment. </w:t>
      </w:r>
      <w:r w:rsidR="005B3B2A" w:rsidRPr="007D29C5">
        <w:t>Rising demands for science funding within the research community, and rising scrutiny of public spending by civil society, have led a number of funders to become more prescriptive in identifying research priorities and desired outcomes.</w:t>
      </w:r>
      <w:r w:rsidR="009C2B5E" w:rsidRPr="007D29C5">
        <w:rPr>
          <w:vertAlign w:val="superscript"/>
        </w:rPr>
        <w:t>[1]</w:t>
      </w:r>
      <w:r w:rsidR="005B3B2A" w:rsidRPr="007D29C5">
        <w:t xml:space="preserve"> One trend has been to steer funding towards addressing ‘societal challenges’, which imply</w:t>
      </w:r>
      <w:r w:rsidR="002F1178" w:rsidRPr="007D29C5">
        <w:t xml:space="preserve"> three things:</w:t>
      </w:r>
      <w:r w:rsidR="005B3B2A" w:rsidRPr="007D29C5">
        <w:t xml:space="preserve"> high stakes issues, phenomenon covering a wide geographic scale, and a scope of effort that exceeds the capacity of individual organizations or nations working in isolation.</w:t>
      </w:r>
      <w:r w:rsidR="009C2B5E" w:rsidRPr="007D29C5">
        <w:rPr>
          <w:vertAlign w:val="superscript"/>
        </w:rPr>
        <w:t>[2]</w:t>
      </w:r>
      <w:r w:rsidR="005B3B2A" w:rsidRPr="007D29C5">
        <w:t xml:space="preserve"> To justify public spending on science, funders have therefore </w:t>
      </w:r>
      <w:r w:rsidR="001D2607" w:rsidRPr="007D29C5">
        <w:t>tended</w:t>
      </w:r>
      <w:r w:rsidR="005B3B2A" w:rsidRPr="007D29C5">
        <w:t xml:space="preserve"> to narrow the research agenda to a limited set of problems and larger-scale grants that increase the ambition </w:t>
      </w:r>
      <w:r w:rsidR="005B3B2A" w:rsidRPr="007D29C5">
        <w:lastRenderedPageBreak/>
        <w:t xml:space="preserve">regarding what science is expected to deliver </w:t>
      </w:r>
      <w:r w:rsidR="00162ECA" w:rsidRPr="007D29C5">
        <w:t>for</w:t>
      </w:r>
      <w:r w:rsidR="005B3B2A" w:rsidRPr="007D29C5">
        <w:t xml:space="preserve"> society. Where previous funding programs were deemed a success by generating new knowledge, today research funding is often expected to provide solutions to the problems that society faces</w:t>
      </w:r>
      <w:r w:rsidR="0012121E" w:rsidRPr="007D29C5">
        <w:t>, and even take steps toward putting those solutions into action</w:t>
      </w:r>
      <w:r w:rsidR="005B3B2A" w:rsidRPr="007D29C5">
        <w:t xml:space="preserve">. </w:t>
      </w:r>
    </w:p>
    <w:p w14:paraId="470E75A9" w14:textId="570678A5" w:rsidR="00631ADE" w:rsidRPr="007D29C5" w:rsidRDefault="0009570A" w:rsidP="00573662">
      <w:pPr>
        <w:pStyle w:val="Heading2"/>
        <w:numPr>
          <w:ilvl w:val="0"/>
          <w:numId w:val="9"/>
        </w:numPr>
        <w:spacing w:line="480" w:lineRule="auto"/>
        <w:jc w:val="both"/>
        <w:rPr>
          <w:rFonts w:ascii="Times New Roman" w:hAnsi="Times New Roman" w:cs="Times New Roman"/>
        </w:rPr>
      </w:pPr>
      <w:r w:rsidRPr="007D29C5">
        <w:rPr>
          <w:rFonts w:ascii="Times New Roman" w:hAnsi="Times New Roman" w:cs="Times New Roman"/>
        </w:rPr>
        <w:t xml:space="preserve">Designing for transdisciplinary collaboration </w:t>
      </w:r>
    </w:p>
    <w:p w14:paraId="10C4AC10" w14:textId="7B96DE78" w:rsidR="00DB480F" w:rsidRPr="007D29C5" w:rsidRDefault="0009570A" w:rsidP="0005681D">
      <w:pPr>
        <w:spacing w:line="480" w:lineRule="auto"/>
        <w:jc w:val="both"/>
        <w:rPr>
          <w:rFonts w:eastAsia="Calibri"/>
        </w:rPr>
      </w:pPr>
      <w:r w:rsidRPr="007D29C5">
        <w:rPr>
          <w:rFonts w:eastAsia="Calibri"/>
        </w:rPr>
        <w:t>The ‘team science’ literature has generated a strong understanding of a variety of factors that either enable or constrain research collaborations</w:t>
      </w:r>
      <w:r w:rsidR="00B837AC" w:rsidRPr="007D29C5">
        <w:rPr>
          <w:rFonts w:eastAsia="Calibri"/>
        </w:rPr>
        <w:t>.</w:t>
      </w:r>
      <w:r w:rsidR="009F68FB" w:rsidRPr="007D29C5">
        <w:rPr>
          <w:rFonts w:eastAsia="Calibri"/>
          <w:vertAlign w:val="superscript"/>
        </w:rPr>
        <w:t>[9</w:t>
      </w:r>
      <w:r w:rsidR="00915D16" w:rsidRPr="007D29C5">
        <w:rPr>
          <w:rFonts w:eastAsia="Calibri"/>
          <w:vertAlign w:val="superscript"/>
        </w:rPr>
        <w:t>]</w:t>
      </w:r>
      <w:r w:rsidR="00B837AC" w:rsidRPr="007D29C5">
        <w:rPr>
          <w:rFonts w:eastAsia="Calibri"/>
        </w:rPr>
        <w:t xml:space="preserve"> M</w:t>
      </w:r>
      <w:r w:rsidRPr="007D29C5">
        <w:rPr>
          <w:rFonts w:eastAsia="Calibri"/>
        </w:rPr>
        <w:t>any of these features are now common knowledge to most researchers working collaboratively in the field of climate change</w:t>
      </w:r>
      <w:r w:rsidR="00BE1B81" w:rsidRPr="007D29C5">
        <w:rPr>
          <w:rFonts w:eastAsia="Calibri"/>
        </w:rPr>
        <w:t xml:space="preserve"> (Table 1)</w:t>
      </w:r>
      <w:r w:rsidRPr="007D29C5">
        <w:rPr>
          <w:rFonts w:eastAsia="Calibri"/>
        </w:rPr>
        <w:t xml:space="preserve">. </w:t>
      </w:r>
      <w:r w:rsidR="00BE1B81" w:rsidRPr="007D29C5">
        <w:rPr>
          <w:rFonts w:eastAsia="Calibri"/>
        </w:rPr>
        <w:t xml:space="preserve">Building out from this work, scholars working more specifically on transdisciplinary collaboration have </w:t>
      </w:r>
      <w:r w:rsidR="00DB480F" w:rsidRPr="007D29C5">
        <w:rPr>
          <w:rFonts w:eastAsia="Calibri"/>
        </w:rPr>
        <w:t>focused</w:t>
      </w:r>
      <w:r w:rsidR="00BE1B81" w:rsidRPr="007D29C5">
        <w:rPr>
          <w:rFonts w:eastAsia="Calibri"/>
        </w:rPr>
        <w:t xml:space="preserve"> on process design principles that help deal with these well-known enabling and constraining factors. </w:t>
      </w:r>
      <w:r w:rsidR="00DB480F" w:rsidRPr="007D29C5">
        <w:rPr>
          <w:rFonts w:eastAsia="Calibri"/>
        </w:rPr>
        <w:t>Design</w:t>
      </w:r>
      <w:r w:rsidR="00B837AC" w:rsidRPr="007D29C5">
        <w:rPr>
          <w:rFonts w:eastAsia="Calibri"/>
        </w:rPr>
        <w:t>-oriented</w:t>
      </w:r>
      <w:r w:rsidR="00DB480F" w:rsidRPr="007D29C5">
        <w:rPr>
          <w:rFonts w:eastAsia="Calibri"/>
        </w:rPr>
        <w:t xml:space="preserve"> efforts have </w:t>
      </w:r>
      <w:r w:rsidR="00B837AC" w:rsidRPr="007D29C5">
        <w:rPr>
          <w:rFonts w:eastAsia="Calibri"/>
        </w:rPr>
        <w:t xml:space="preserve">provided conceptual frameworks offering phased approaches that </w:t>
      </w:r>
      <w:r w:rsidR="00DB480F" w:rsidRPr="007D29C5">
        <w:rPr>
          <w:rFonts w:eastAsia="Calibri"/>
        </w:rPr>
        <w:t>emphasiz</w:t>
      </w:r>
      <w:r w:rsidR="00C040BA" w:rsidRPr="007D29C5">
        <w:rPr>
          <w:rFonts w:eastAsia="Calibri"/>
        </w:rPr>
        <w:t>e</w:t>
      </w:r>
      <w:r w:rsidR="00DB480F" w:rsidRPr="007D29C5">
        <w:rPr>
          <w:rFonts w:eastAsia="Calibri"/>
        </w:rPr>
        <w:t xml:space="preserve"> </w:t>
      </w:r>
      <w:r w:rsidR="00C91E46" w:rsidRPr="007D29C5">
        <w:rPr>
          <w:rFonts w:eastAsia="Calibri"/>
        </w:rPr>
        <w:t xml:space="preserve">shared problem framing, </w:t>
      </w:r>
      <w:r w:rsidR="00DB480F" w:rsidRPr="007D29C5">
        <w:rPr>
          <w:rFonts w:eastAsia="Calibri"/>
        </w:rPr>
        <w:t>team building and the co-creation of solution-oriented knowledge,</w:t>
      </w:r>
      <w:r w:rsidR="00915D16" w:rsidRPr="007D29C5">
        <w:rPr>
          <w:rFonts w:eastAsia="Calibri"/>
          <w:vertAlign w:val="superscript"/>
        </w:rPr>
        <w:t>[</w:t>
      </w:r>
      <w:r w:rsidR="009F68FB" w:rsidRPr="007D29C5">
        <w:rPr>
          <w:rFonts w:eastAsia="Calibri"/>
          <w:vertAlign w:val="superscript"/>
        </w:rPr>
        <w:t>10</w:t>
      </w:r>
      <w:r w:rsidR="00915D16" w:rsidRPr="007D29C5">
        <w:rPr>
          <w:rFonts w:eastAsia="Calibri"/>
          <w:vertAlign w:val="superscript"/>
        </w:rPr>
        <w:t>]</w:t>
      </w:r>
      <w:r w:rsidR="00DB480F" w:rsidRPr="007D29C5">
        <w:rPr>
          <w:rFonts w:eastAsia="Calibri"/>
        </w:rPr>
        <w:t xml:space="preserve"> the identification of empirically derived lessons directed at fostering learning in </w:t>
      </w:r>
      <w:r w:rsidR="00FB1079" w:rsidRPr="007D29C5">
        <w:rPr>
          <w:rFonts w:eastAsia="Calibri"/>
        </w:rPr>
        <w:t>large-scale</w:t>
      </w:r>
      <w:r w:rsidR="00DB480F" w:rsidRPr="007D29C5">
        <w:rPr>
          <w:rFonts w:eastAsia="Calibri"/>
        </w:rPr>
        <w:t xml:space="preserve"> transdisciplinary endeavors,</w:t>
      </w:r>
      <w:r w:rsidR="00915D16" w:rsidRPr="007D29C5">
        <w:rPr>
          <w:rFonts w:eastAsia="Calibri"/>
          <w:vertAlign w:val="superscript"/>
        </w:rPr>
        <w:t>[</w:t>
      </w:r>
      <w:r w:rsidR="009F68FB" w:rsidRPr="007D29C5">
        <w:rPr>
          <w:rFonts w:eastAsia="Calibri"/>
          <w:vertAlign w:val="superscript"/>
        </w:rPr>
        <w:t>11</w:t>
      </w:r>
      <w:r w:rsidR="00915D16" w:rsidRPr="007D29C5">
        <w:rPr>
          <w:rFonts w:eastAsia="Calibri"/>
          <w:vertAlign w:val="superscript"/>
        </w:rPr>
        <w:t>]</w:t>
      </w:r>
      <w:r w:rsidR="00DB480F" w:rsidRPr="007D29C5">
        <w:rPr>
          <w:rFonts w:eastAsia="Calibri"/>
        </w:rPr>
        <w:t xml:space="preserve"> and the </w:t>
      </w:r>
      <w:r w:rsidR="00B837AC" w:rsidRPr="007D29C5">
        <w:rPr>
          <w:rFonts w:eastAsia="Calibri"/>
        </w:rPr>
        <w:t xml:space="preserve">identification of </w:t>
      </w:r>
      <w:r w:rsidR="00DB480F" w:rsidRPr="007D29C5">
        <w:rPr>
          <w:rFonts w:eastAsia="Calibri"/>
        </w:rPr>
        <w:t>principles that can support constructive dialogue.</w:t>
      </w:r>
      <w:r w:rsidR="00915D16" w:rsidRPr="007D29C5">
        <w:rPr>
          <w:rFonts w:eastAsia="Calibri"/>
          <w:vertAlign w:val="superscript"/>
        </w:rPr>
        <w:t>[</w:t>
      </w:r>
      <w:r w:rsidR="009F68FB" w:rsidRPr="007D29C5">
        <w:rPr>
          <w:rFonts w:eastAsia="Calibri"/>
          <w:vertAlign w:val="superscript"/>
        </w:rPr>
        <w:t>12</w:t>
      </w:r>
      <w:r w:rsidR="00915D16" w:rsidRPr="007D29C5">
        <w:rPr>
          <w:rFonts w:eastAsia="Calibri"/>
          <w:vertAlign w:val="superscript"/>
        </w:rPr>
        <w:t>]</w:t>
      </w:r>
      <w:r w:rsidR="00DB480F" w:rsidRPr="007D29C5">
        <w:rPr>
          <w:rFonts w:eastAsia="Calibri"/>
        </w:rPr>
        <w:t xml:space="preserve"> Frequently, attention is paid to the personal dispositions needed for individuals to take part in such processes.</w:t>
      </w:r>
      <w:r w:rsidR="00915D16" w:rsidRPr="007D29C5">
        <w:rPr>
          <w:rFonts w:eastAsia="Calibri"/>
          <w:vertAlign w:val="superscript"/>
        </w:rPr>
        <w:t>[1</w:t>
      </w:r>
      <w:r w:rsidR="009F68FB" w:rsidRPr="007D29C5">
        <w:rPr>
          <w:rFonts w:eastAsia="Calibri"/>
          <w:vertAlign w:val="superscript"/>
        </w:rPr>
        <w:t>3</w:t>
      </w:r>
      <w:r w:rsidR="00915D16" w:rsidRPr="007D29C5">
        <w:rPr>
          <w:rFonts w:eastAsia="Calibri"/>
          <w:vertAlign w:val="superscript"/>
        </w:rPr>
        <w:t>]</w:t>
      </w:r>
      <w:r w:rsidR="00DB480F" w:rsidRPr="007D29C5">
        <w:rPr>
          <w:rFonts w:eastAsia="Calibri"/>
        </w:rPr>
        <w:t xml:space="preserve"> </w:t>
      </w:r>
      <w:r w:rsidR="004E4DBB" w:rsidRPr="007D29C5">
        <w:rPr>
          <w:rFonts w:eastAsia="Calibri"/>
        </w:rPr>
        <w:t xml:space="preserve"> </w:t>
      </w:r>
    </w:p>
    <w:p w14:paraId="0C1F2A56" w14:textId="77777777" w:rsidR="00BB4C9D" w:rsidRPr="007D29C5" w:rsidRDefault="00BB4C9D" w:rsidP="0005681D">
      <w:pPr>
        <w:spacing w:line="480" w:lineRule="auto"/>
        <w:jc w:val="both"/>
        <w:rPr>
          <w:rFonts w:eastAsia="Calibri"/>
          <w:b/>
        </w:rPr>
      </w:pPr>
    </w:p>
    <w:p w14:paraId="61ADA727" w14:textId="1BA16584" w:rsidR="008E3D8B" w:rsidRPr="007D29C5" w:rsidRDefault="008E3D8B" w:rsidP="0005681D">
      <w:pPr>
        <w:spacing w:line="480" w:lineRule="auto"/>
        <w:jc w:val="both"/>
        <w:rPr>
          <w:rFonts w:eastAsia="Calibri"/>
          <w:b/>
        </w:rPr>
      </w:pPr>
      <w:r w:rsidRPr="007D29C5">
        <w:rPr>
          <w:rFonts w:eastAsia="Calibri"/>
          <w:b/>
        </w:rPr>
        <w:t xml:space="preserve">Table 1. </w:t>
      </w:r>
      <w:r w:rsidRPr="007D29C5">
        <w:rPr>
          <w:rFonts w:eastAsia="Calibri"/>
        </w:rPr>
        <w:t xml:space="preserve">Enablers and </w:t>
      </w:r>
      <w:r w:rsidR="002F1178" w:rsidRPr="007D29C5">
        <w:rPr>
          <w:rFonts w:eastAsia="Calibri"/>
        </w:rPr>
        <w:t>constraints</w:t>
      </w:r>
      <w:r w:rsidRPr="007D29C5">
        <w:rPr>
          <w:rFonts w:eastAsia="Calibri"/>
        </w:rPr>
        <w:t xml:space="preserve"> </w:t>
      </w:r>
      <w:r w:rsidR="00BE1B81" w:rsidRPr="007D29C5">
        <w:rPr>
          <w:rFonts w:eastAsia="Calibri"/>
        </w:rPr>
        <w:t>of</w:t>
      </w:r>
      <w:r w:rsidRPr="007D29C5">
        <w:rPr>
          <w:rFonts w:eastAsia="Calibri"/>
        </w:rPr>
        <w:t xml:space="preserve"> </w:t>
      </w:r>
      <w:r w:rsidR="004E4DBB" w:rsidRPr="007D29C5">
        <w:rPr>
          <w:rFonts w:eastAsia="Calibri"/>
        </w:rPr>
        <w:t>collaboration</w:t>
      </w:r>
      <w:r w:rsidR="00BE1B81" w:rsidRPr="007D29C5">
        <w:rPr>
          <w:rFonts w:eastAsia="Calibri"/>
        </w:rPr>
        <w:t xml:space="preserve"> in </w:t>
      </w:r>
      <w:r w:rsidRPr="007D29C5">
        <w:rPr>
          <w:rFonts w:eastAsia="Calibri"/>
        </w:rPr>
        <w:t>research</w:t>
      </w:r>
      <w:r w:rsidR="00BE1B81" w:rsidRPr="007D29C5">
        <w:rPr>
          <w:rFonts w:eastAsia="Calibri"/>
        </w:rPr>
        <w:t xml:space="preserve"> environments (</w:t>
      </w:r>
      <w:r w:rsidR="00F33DA4" w:rsidRPr="007D29C5">
        <w:rPr>
          <w:rFonts w:eastAsia="Calibri"/>
        </w:rPr>
        <w:t>adapted from</w:t>
      </w:r>
      <w:r w:rsidR="00D93F87" w:rsidRPr="007D29C5">
        <w:rPr>
          <w:rFonts w:eastAsia="Calibri"/>
        </w:rPr>
        <w:t xml:space="preserve"> Stokols</w:t>
      </w:r>
      <w:r w:rsidR="00915D16" w:rsidRPr="007D29C5">
        <w:rPr>
          <w:rFonts w:eastAsia="Calibri"/>
          <w:b/>
        </w:rPr>
        <w:t xml:space="preserve"> </w:t>
      </w:r>
      <w:r w:rsidR="00915D16" w:rsidRPr="007D29C5">
        <w:rPr>
          <w:rFonts w:eastAsia="Calibri"/>
          <w:b/>
          <w:vertAlign w:val="superscript"/>
        </w:rPr>
        <w:t>[1</w:t>
      </w:r>
      <w:r w:rsidR="009F68FB" w:rsidRPr="007D29C5">
        <w:rPr>
          <w:rFonts w:eastAsia="Calibri"/>
          <w:b/>
          <w:vertAlign w:val="superscript"/>
        </w:rPr>
        <w:t>4</w:t>
      </w:r>
      <w:r w:rsidR="00915D16" w:rsidRPr="007D29C5">
        <w:rPr>
          <w:rFonts w:eastAsia="Calibri"/>
          <w:b/>
          <w:vertAlign w:val="superscript"/>
        </w:rPr>
        <w:t>]</w:t>
      </w:r>
      <w:r w:rsidR="00881F4C" w:rsidRPr="007D29C5">
        <w:rPr>
          <w:rFonts w:eastAsia="Calibri"/>
          <w:b/>
        </w:rPr>
        <w:t>).</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597399" w:rsidRPr="007D29C5" w14:paraId="62502F98" w14:textId="77777777" w:rsidTr="00597399">
        <w:trPr>
          <w:trHeight w:val="547"/>
        </w:trPr>
        <w:tc>
          <w:tcPr>
            <w:tcW w:w="4675" w:type="dxa"/>
            <w:shd w:val="clear" w:color="auto" w:fill="auto"/>
          </w:tcPr>
          <w:p w14:paraId="5FF19ECD"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b/>
              </w:rPr>
            </w:pPr>
            <w:r w:rsidRPr="007D29C5">
              <w:rPr>
                <w:rFonts w:eastAsia="Calibri"/>
                <w:b/>
              </w:rPr>
              <w:t>Enablers</w:t>
            </w:r>
          </w:p>
          <w:p w14:paraId="22BCE9C7"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b/>
                <w:u w:val="single"/>
              </w:rPr>
            </w:pPr>
          </w:p>
        </w:tc>
        <w:tc>
          <w:tcPr>
            <w:tcW w:w="4675" w:type="dxa"/>
            <w:shd w:val="clear" w:color="auto" w:fill="auto"/>
          </w:tcPr>
          <w:p w14:paraId="3B184F3E"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b/>
              </w:rPr>
            </w:pPr>
            <w:r w:rsidRPr="007D29C5">
              <w:rPr>
                <w:rFonts w:eastAsia="Calibri"/>
                <w:b/>
              </w:rPr>
              <w:t>Constraints</w:t>
            </w:r>
          </w:p>
          <w:p w14:paraId="446142E5"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b/>
                <w:u w:val="single"/>
              </w:rPr>
            </w:pPr>
          </w:p>
        </w:tc>
      </w:tr>
      <w:tr w:rsidR="008E3D8B" w:rsidRPr="007D29C5" w14:paraId="194FC018" w14:textId="77777777" w:rsidTr="00597399">
        <w:trPr>
          <w:trHeight w:val="547"/>
        </w:trPr>
        <w:tc>
          <w:tcPr>
            <w:tcW w:w="4675" w:type="dxa"/>
            <w:shd w:val="clear" w:color="auto" w:fill="auto"/>
          </w:tcPr>
          <w:p w14:paraId="006B07A1" w14:textId="77777777"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Frequent face-to-face interactions</w:t>
            </w:r>
          </w:p>
          <w:p w14:paraId="275E2395"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2510658F" w14:textId="77777777"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Interpersonal skills of team leaders</w:t>
            </w:r>
          </w:p>
          <w:p w14:paraId="6187E0FF"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0114F007" w14:textId="77777777"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Commitment to achieving transdisciplinary goals and outcomes</w:t>
            </w:r>
          </w:p>
          <w:p w14:paraId="34CF769F"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1B48E9B1" w14:textId="2FE603F9"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A history of prior relationships among team members</w:t>
            </w:r>
            <w:r w:rsidR="001D2607" w:rsidRPr="007D29C5">
              <w:rPr>
                <w:rFonts w:eastAsia="Calibri"/>
              </w:rPr>
              <w:t xml:space="preserve"> and organisations</w:t>
            </w:r>
          </w:p>
          <w:p w14:paraId="16067F64"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5739DC6B" w14:textId="77777777"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Spatial proximity of team members</w:t>
            </w:r>
          </w:p>
          <w:p w14:paraId="1251D9B3"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61C9C98A" w14:textId="77777777"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Easy-to-use electronic linkages between distant team members</w:t>
            </w:r>
          </w:p>
          <w:p w14:paraId="69196E9C"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154596B7" w14:textId="77777777" w:rsidR="00C35817"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Maintaining continuity of individuals from the start to end of a project</w:t>
            </w:r>
          </w:p>
          <w:p w14:paraId="0FB5348F"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29B3AD51" w14:textId="77777777" w:rsidR="00BE1B81" w:rsidRPr="007D29C5" w:rsidRDefault="00C35817"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Actively dealing with perceived status differences between the academic and non-academic partners</w:t>
            </w:r>
          </w:p>
        </w:tc>
        <w:tc>
          <w:tcPr>
            <w:tcW w:w="4675" w:type="dxa"/>
            <w:shd w:val="clear" w:color="auto" w:fill="auto"/>
          </w:tcPr>
          <w:p w14:paraId="70780D1A" w14:textId="77777777" w:rsidR="008E3D8B" w:rsidRPr="007D29C5" w:rsidRDefault="008E3D8B"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lastRenderedPageBreak/>
              <w:t>Significant time requirements to establish common conceptual frameworks and personal relationships</w:t>
            </w:r>
          </w:p>
          <w:p w14:paraId="379E8B22"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489B846C" w14:textId="77777777" w:rsidR="008E3D8B" w:rsidRPr="007D29C5" w:rsidRDefault="008E3D8B"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 xml:space="preserve">Conflicts among different knowledge systems with regard to both research process and valid knowledge </w:t>
            </w:r>
          </w:p>
          <w:p w14:paraId="584C655A"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11340552" w14:textId="77777777" w:rsidR="008E3D8B" w:rsidRPr="007D29C5" w:rsidRDefault="008E3D8B"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Bureaucratic barriers between departments and institutions</w:t>
            </w:r>
          </w:p>
          <w:p w14:paraId="05D90AE9"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13BCC55A" w14:textId="77777777" w:rsidR="008E3D8B" w:rsidRPr="007D29C5" w:rsidRDefault="008E3D8B"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 xml:space="preserve">Perceived status differences among academic and non-academic partners </w:t>
            </w:r>
          </w:p>
          <w:p w14:paraId="72843E9E"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4BEBC7C4" w14:textId="77777777" w:rsidR="008E3D8B" w:rsidRPr="007D29C5" w:rsidRDefault="008E3D8B"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Unrealistic expectations about shared goals and products</w:t>
            </w:r>
          </w:p>
          <w:p w14:paraId="56633985"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2F5B7B47" w14:textId="77777777" w:rsidR="00F33DA4" w:rsidRPr="007D29C5" w:rsidRDefault="00F33DA4"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Language differences</w:t>
            </w:r>
          </w:p>
          <w:p w14:paraId="37A2828D" w14:textId="77777777" w:rsidR="00597399" w:rsidRPr="007D29C5" w:rsidRDefault="00597399"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p>
          <w:p w14:paraId="6A31F34D" w14:textId="35AE1C47" w:rsidR="006C783B" w:rsidRPr="007D29C5" w:rsidRDefault="00F33DA4" w:rsidP="00597399">
            <w:pPr>
              <w:pBdr>
                <w:top w:val="none" w:sz="0" w:space="0" w:color="auto"/>
                <w:left w:val="none" w:sz="0" w:space="0" w:color="auto"/>
                <w:bottom w:val="none" w:sz="0" w:space="0" w:color="auto"/>
                <w:right w:val="none" w:sz="0" w:space="0" w:color="auto"/>
                <w:between w:val="none" w:sz="0" w:space="0" w:color="auto"/>
              </w:pBdr>
              <w:spacing w:line="360" w:lineRule="auto"/>
              <w:rPr>
                <w:rFonts w:eastAsia="Calibri"/>
              </w:rPr>
            </w:pPr>
            <w:r w:rsidRPr="007D29C5">
              <w:rPr>
                <w:rFonts w:eastAsia="Calibri"/>
              </w:rPr>
              <w:t>Competing or conflicting organizational priorities</w:t>
            </w:r>
          </w:p>
        </w:tc>
      </w:tr>
    </w:tbl>
    <w:p w14:paraId="23891A82" w14:textId="77777777" w:rsidR="008E3D8B" w:rsidRPr="007D29C5" w:rsidRDefault="008E3D8B" w:rsidP="0005681D">
      <w:pPr>
        <w:spacing w:line="480" w:lineRule="auto"/>
        <w:jc w:val="both"/>
        <w:rPr>
          <w:rFonts w:eastAsia="Calibri"/>
        </w:rPr>
      </w:pPr>
    </w:p>
    <w:p w14:paraId="5DCAB322" w14:textId="77777777" w:rsidR="00B863C0" w:rsidRPr="007D29C5" w:rsidRDefault="00B863C0" w:rsidP="0005681D">
      <w:pPr>
        <w:spacing w:after="160" w:line="480" w:lineRule="auto"/>
        <w:jc w:val="both"/>
        <w:rPr>
          <w:rFonts w:eastAsia="Calibri"/>
        </w:rPr>
      </w:pPr>
    </w:p>
    <w:p w14:paraId="44470B40" w14:textId="3366C1AA" w:rsidR="00102421" w:rsidRPr="007D29C5" w:rsidRDefault="0009570A" w:rsidP="0005681D">
      <w:pPr>
        <w:spacing w:after="160" w:line="480" w:lineRule="auto"/>
        <w:jc w:val="both"/>
        <w:rPr>
          <w:rFonts w:eastAsia="Calibri"/>
          <w:color w:val="auto"/>
        </w:rPr>
      </w:pPr>
      <w:r w:rsidRPr="007D29C5">
        <w:rPr>
          <w:rFonts w:eastAsia="Calibri"/>
        </w:rPr>
        <w:t xml:space="preserve">While a great deal of attention has been paid to </w:t>
      </w:r>
      <w:r w:rsidR="00C040BA" w:rsidRPr="007D29C5">
        <w:rPr>
          <w:rFonts w:eastAsia="Calibri"/>
        </w:rPr>
        <w:t xml:space="preserve">these necessary </w:t>
      </w:r>
      <w:r w:rsidRPr="007D29C5">
        <w:rPr>
          <w:rFonts w:eastAsia="Calibri"/>
        </w:rPr>
        <w:t xml:space="preserve">design features for transdisciplinary collaboration, and to the personal dispositions of individuals that influence their ability to make the most of well-designed processes, less attention has been paid to the relational and systemic barriers that can profoundly undermine the best process design and the best personal intentions. </w:t>
      </w:r>
      <w:r w:rsidR="004E4DBB" w:rsidRPr="007D29C5">
        <w:rPr>
          <w:rFonts w:eastAsia="Calibri"/>
        </w:rPr>
        <w:t xml:space="preserve">Recently, in a review of 41 transdisciplinary case studies, Scholz and Steiner </w:t>
      </w:r>
      <w:r w:rsidR="009F68FB" w:rsidRPr="007D29C5">
        <w:rPr>
          <w:rFonts w:eastAsia="Calibri"/>
          <w:vertAlign w:val="superscript"/>
        </w:rPr>
        <w:t>[15]</w:t>
      </w:r>
      <w:r w:rsidR="004E4DBB" w:rsidRPr="007D29C5">
        <w:rPr>
          <w:rFonts w:eastAsia="Calibri"/>
        </w:rPr>
        <w:t xml:space="preserve"> showed that a large number of barriers may be encountered due to either the context in which a</w:t>
      </w:r>
      <w:r w:rsidR="001B0458" w:rsidRPr="007D29C5">
        <w:rPr>
          <w:rFonts w:eastAsia="Calibri"/>
        </w:rPr>
        <w:t xml:space="preserve"> transdisciplinary</w:t>
      </w:r>
      <w:r w:rsidR="004E4DBB" w:rsidRPr="007D29C5">
        <w:rPr>
          <w:rFonts w:eastAsia="Calibri"/>
        </w:rPr>
        <w:t xml:space="preserve"> process unfolds, or during different phases of a project</w:t>
      </w:r>
      <w:r w:rsidR="001B0458" w:rsidRPr="007D29C5">
        <w:rPr>
          <w:rFonts w:eastAsia="Calibri"/>
        </w:rPr>
        <w:t>, for example from inception through to close-down</w:t>
      </w:r>
      <w:r w:rsidR="004E4DBB" w:rsidRPr="007D29C5">
        <w:rPr>
          <w:rFonts w:eastAsia="Calibri"/>
        </w:rPr>
        <w:t xml:space="preserve">. Drawing on experiences in CARIAA, we illuminate some of the </w:t>
      </w:r>
      <w:r w:rsidR="00C70A0D" w:rsidRPr="007D29C5">
        <w:rPr>
          <w:rFonts w:eastAsia="Calibri"/>
        </w:rPr>
        <w:t xml:space="preserve">relational and </w:t>
      </w:r>
      <w:r w:rsidR="00C70A0D" w:rsidRPr="007D29C5">
        <w:rPr>
          <w:rFonts w:eastAsia="Calibri"/>
        </w:rPr>
        <w:lastRenderedPageBreak/>
        <w:t xml:space="preserve">systemic barriers </w:t>
      </w:r>
      <w:r w:rsidR="004E4DBB" w:rsidRPr="007D29C5">
        <w:rPr>
          <w:rFonts w:eastAsia="Calibri"/>
        </w:rPr>
        <w:t xml:space="preserve">that </w:t>
      </w:r>
      <w:r w:rsidR="00897BE8" w:rsidRPr="007D29C5">
        <w:rPr>
          <w:rFonts w:eastAsia="Calibri"/>
        </w:rPr>
        <w:t>emerged</w:t>
      </w:r>
      <w:r w:rsidR="00A35EC3" w:rsidRPr="007D29C5">
        <w:rPr>
          <w:rFonts w:eastAsia="Calibri"/>
        </w:rPr>
        <w:t xml:space="preserve"> </w:t>
      </w:r>
      <w:r w:rsidR="004E4DBB" w:rsidRPr="007D29C5">
        <w:rPr>
          <w:rFonts w:eastAsia="Calibri"/>
        </w:rPr>
        <w:t xml:space="preserve">as particularly important for large-scale transdisciplinary </w:t>
      </w:r>
      <w:r w:rsidR="0000378E" w:rsidRPr="007D29C5">
        <w:rPr>
          <w:rFonts w:eastAsia="Calibri"/>
        </w:rPr>
        <w:t>collaboration</w:t>
      </w:r>
      <w:r w:rsidR="00336792" w:rsidRPr="007D29C5">
        <w:rPr>
          <w:rFonts w:eastAsia="Calibri"/>
        </w:rPr>
        <w:t xml:space="preserve"> throughout that prog</w:t>
      </w:r>
      <w:r w:rsidR="00A35EC3" w:rsidRPr="007D29C5">
        <w:rPr>
          <w:rFonts w:eastAsia="Calibri"/>
        </w:rPr>
        <w:t>r</w:t>
      </w:r>
      <w:r w:rsidR="00336792" w:rsidRPr="007D29C5">
        <w:rPr>
          <w:rFonts w:eastAsia="Calibri"/>
        </w:rPr>
        <w:t>am</w:t>
      </w:r>
      <w:r w:rsidR="004E4DBB" w:rsidRPr="007D29C5">
        <w:rPr>
          <w:rFonts w:eastAsia="Calibri"/>
        </w:rPr>
        <w:t>.</w:t>
      </w:r>
      <w:r w:rsidR="00FD6720" w:rsidRPr="007D29C5">
        <w:rPr>
          <w:rFonts w:eastAsia="Calibri"/>
          <w:color w:val="auto"/>
        </w:rPr>
        <w:t xml:space="preserve"> </w:t>
      </w:r>
    </w:p>
    <w:p w14:paraId="74875F4D" w14:textId="491C7200" w:rsidR="00631ADE" w:rsidRPr="007D29C5" w:rsidRDefault="002D333A" w:rsidP="00573662">
      <w:pPr>
        <w:pStyle w:val="ListParagraph"/>
        <w:keepNext/>
        <w:keepLines/>
        <w:numPr>
          <w:ilvl w:val="0"/>
          <w:numId w:val="9"/>
        </w:numPr>
        <w:spacing w:before="240" w:line="480" w:lineRule="auto"/>
        <w:outlineLvl w:val="0"/>
        <w:rPr>
          <w:rFonts w:eastAsia="Calibri"/>
          <w:b/>
        </w:rPr>
      </w:pPr>
      <w:r w:rsidRPr="007D29C5">
        <w:rPr>
          <w:rFonts w:eastAsia="Calibri"/>
          <w:b/>
        </w:rPr>
        <w:t>Process design to support transdisciplinary collaboration in the</w:t>
      </w:r>
      <w:r w:rsidR="006E6BA3" w:rsidRPr="007D29C5">
        <w:rPr>
          <w:rFonts w:eastAsia="Calibri"/>
          <w:b/>
        </w:rPr>
        <w:t xml:space="preserve"> CARIAA</w:t>
      </w:r>
      <w:r w:rsidR="0009570A" w:rsidRPr="007D29C5">
        <w:rPr>
          <w:rFonts w:eastAsia="Calibri"/>
          <w:b/>
        </w:rPr>
        <w:t xml:space="preserve"> </w:t>
      </w:r>
      <w:r w:rsidR="00C70A0D" w:rsidRPr="007D29C5">
        <w:rPr>
          <w:rFonts w:eastAsia="Calibri"/>
          <w:b/>
        </w:rPr>
        <w:t>program</w:t>
      </w:r>
    </w:p>
    <w:p w14:paraId="081D8A67" w14:textId="538E0EE2" w:rsidR="00D62E96" w:rsidRPr="007D29C5" w:rsidRDefault="00D62E96" w:rsidP="0005681D">
      <w:pPr>
        <w:spacing w:line="480" w:lineRule="auto"/>
        <w:jc w:val="both"/>
        <w:rPr>
          <w:rFonts w:eastAsia="Calibri"/>
        </w:rPr>
      </w:pPr>
      <w:r w:rsidRPr="007D29C5">
        <w:rPr>
          <w:rFonts w:eastAsia="Calibri"/>
        </w:rPr>
        <w:t>The CARIAA program</w:t>
      </w:r>
      <w:r w:rsidR="00336792" w:rsidRPr="007D29C5">
        <w:rPr>
          <w:rFonts w:eastAsia="Calibri"/>
        </w:rPr>
        <w:t xml:space="preserve"> has sought </w:t>
      </w:r>
      <w:r w:rsidRPr="007D29C5">
        <w:rPr>
          <w:rFonts w:eastAsia="Calibri"/>
        </w:rPr>
        <w:t xml:space="preserve">to support better-informed policy and practice in climate change hotspots in Africa and Asia.  A climate change hotspot is an area where climate change is expected to impact regions with a high concentration of particularly vulnerable people </w:t>
      </w:r>
      <w:r w:rsidR="009F68FB" w:rsidRPr="007D29C5">
        <w:rPr>
          <w:rFonts w:eastAsia="Calibri"/>
          <w:vertAlign w:val="superscript"/>
        </w:rPr>
        <w:t>[16</w:t>
      </w:r>
      <w:r w:rsidRPr="007D29C5">
        <w:rPr>
          <w:rFonts w:eastAsia="Calibri"/>
          <w:vertAlign w:val="superscript"/>
        </w:rPr>
        <w:t>]</w:t>
      </w:r>
      <w:r w:rsidRPr="007D29C5">
        <w:rPr>
          <w:rFonts w:eastAsia="Calibri"/>
        </w:rPr>
        <w:t>.</w:t>
      </w:r>
      <w:r w:rsidRPr="007D29C5">
        <w:rPr>
          <w:rFonts w:eastAsia="Calibri"/>
          <w:vertAlign w:val="superscript"/>
        </w:rPr>
        <w:t xml:space="preserve"> </w:t>
      </w:r>
      <w:r w:rsidRPr="007D29C5">
        <w:rPr>
          <w:rFonts w:eastAsia="Calibri"/>
        </w:rPr>
        <w:t xml:space="preserve">The research program therefore faced a complex </w:t>
      </w:r>
      <w:r w:rsidR="000B48A6" w:rsidRPr="007D29C5">
        <w:rPr>
          <w:rFonts w:eastAsia="Calibri"/>
        </w:rPr>
        <w:t xml:space="preserve">and urgent </w:t>
      </w:r>
      <w:r w:rsidRPr="007D29C5">
        <w:rPr>
          <w:rFonts w:eastAsia="Calibri"/>
        </w:rPr>
        <w:t>problem that manifested and required responses at multiple scales</w:t>
      </w:r>
      <w:r w:rsidR="00D90F67" w:rsidRPr="007D29C5">
        <w:rPr>
          <w:rFonts w:eastAsia="Calibri"/>
        </w:rPr>
        <w:t>. Given the focus on vulnerable populations, the program also placed a strong emphasis on research teams demonstrating impact</w:t>
      </w:r>
      <w:r w:rsidRPr="007D29C5">
        <w:rPr>
          <w:rFonts w:eastAsia="Calibri"/>
        </w:rPr>
        <w:t xml:space="preserve"> </w:t>
      </w:r>
      <w:r w:rsidR="00D90F67" w:rsidRPr="007D29C5">
        <w:rPr>
          <w:rFonts w:eastAsia="Calibri"/>
        </w:rPr>
        <w:t xml:space="preserve">as a result of their work. </w:t>
      </w:r>
      <w:r w:rsidRPr="007D29C5">
        <w:rPr>
          <w:rFonts w:eastAsia="Calibri"/>
        </w:rPr>
        <w:t xml:space="preserve"> </w:t>
      </w:r>
    </w:p>
    <w:p w14:paraId="247727BB" w14:textId="77777777" w:rsidR="00D62E96" w:rsidRPr="007D29C5" w:rsidRDefault="00D62E96" w:rsidP="0005681D">
      <w:pPr>
        <w:spacing w:line="480" w:lineRule="auto"/>
        <w:jc w:val="both"/>
        <w:rPr>
          <w:rFonts w:eastAsia="Calibri"/>
        </w:rPr>
      </w:pPr>
    </w:p>
    <w:p w14:paraId="08601100" w14:textId="19C95944" w:rsidR="00631ADE" w:rsidRPr="007D29C5" w:rsidRDefault="00D90F67" w:rsidP="0005681D">
      <w:pPr>
        <w:spacing w:line="480" w:lineRule="auto"/>
        <w:jc w:val="both"/>
        <w:rPr>
          <w:rFonts w:eastAsia="Calibri"/>
        </w:rPr>
      </w:pPr>
      <w:r w:rsidRPr="007D29C5">
        <w:rPr>
          <w:rFonts w:eastAsia="Calibri"/>
        </w:rPr>
        <w:t xml:space="preserve">Planning for transdisciplinary collaboration was therefore part of the very earliest design of the program. </w:t>
      </w:r>
      <w:r w:rsidR="0009570A" w:rsidRPr="007D29C5">
        <w:rPr>
          <w:rFonts w:eastAsia="Calibri"/>
        </w:rPr>
        <w:t xml:space="preserve">As the managing partner of the CARIAA program, </w:t>
      </w:r>
      <w:r w:rsidR="0022053D" w:rsidRPr="007D29C5">
        <w:rPr>
          <w:rFonts w:eastAsia="Calibri"/>
        </w:rPr>
        <w:t>the International Development Research Centre (</w:t>
      </w:r>
      <w:r w:rsidR="0009570A" w:rsidRPr="007D29C5">
        <w:rPr>
          <w:rFonts w:eastAsia="Calibri"/>
        </w:rPr>
        <w:t>IDRC</w:t>
      </w:r>
      <w:r w:rsidR="0022053D" w:rsidRPr="007D29C5">
        <w:rPr>
          <w:rFonts w:eastAsia="Calibri"/>
        </w:rPr>
        <w:t>)</w:t>
      </w:r>
      <w:r w:rsidR="0009570A" w:rsidRPr="007D29C5">
        <w:rPr>
          <w:rFonts w:eastAsia="Calibri"/>
        </w:rPr>
        <w:t xml:space="preserve"> invested approximately 50% of the program management budget in process design and </w:t>
      </w:r>
      <w:r w:rsidR="006B5645" w:rsidRPr="007D29C5">
        <w:rPr>
          <w:rFonts w:eastAsia="Calibri"/>
        </w:rPr>
        <w:t xml:space="preserve">programmatic leadership </w:t>
      </w:r>
      <w:r w:rsidR="0009570A" w:rsidRPr="007D29C5">
        <w:rPr>
          <w:rFonts w:eastAsia="Calibri"/>
        </w:rPr>
        <w:t>to support transdisciplinary collaboration</w:t>
      </w:r>
      <w:r w:rsidR="00FD6720" w:rsidRPr="007D29C5">
        <w:rPr>
          <w:rFonts w:eastAsia="Calibri"/>
        </w:rPr>
        <w:t xml:space="preserve"> among some </w:t>
      </w:r>
      <w:r w:rsidR="0009570A" w:rsidRPr="007D29C5">
        <w:rPr>
          <w:rFonts w:eastAsia="Calibri"/>
        </w:rPr>
        <w:t xml:space="preserve">450 researchers and practitioners from more than 40 </w:t>
      </w:r>
      <w:r w:rsidR="0087711E" w:rsidRPr="007D29C5">
        <w:rPr>
          <w:rFonts w:eastAsia="Calibri"/>
        </w:rPr>
        <w:t>organizations</w:t>
      </w:r>
      <w:r w:rsidR="0009570A" w:rsidRPr="007D29C5">
        <w:rPr>
          <w:rFonts w:eastAsia="Calibri"/>
        </w:rPr>
        <w:t>.</w:t>
      </w:r>
      <w:r w:rsidR="001D2607" w:rsidRPr="007D29C5">
        <w:rPr>
          <w:rFonts w:eastAsia="Calibri"/>
        </w:rPr>
        <w:t xml:space="preserve"> </w:t>
      </w:r>
      <w:r w:rsidR="0087711E" w:rsidRPr="007D29C5">
        <w:rPr>
          <w:rFonts w:eastAsia="Calibri"/>
        </w:rPr>
        <w:t xml:space="preserve">The program is </w:t>
      </w:r>
      <w:r w:rsidR="0009570A" w:rsidRPr="007D29C5">
        <w:rPr>
          <w:rFonts w:eastAsia="Calibri"/>
        </w:rPr>
        <w:t xml:space="preserve">organised into four consortia, whose members </w:t>
      </w:r>
      <w:r w:rsidR="0087711E" w:rsidRPr="007D29C5">
        <w:rPr>
          <w:rFonts w:eastAsia="Calibri"/>
        </w:rPr>
        <w:t>come from research</w:t>
      </w:r>
      <w:r w:rsidR="001D4ED7" w:rsidRPr="007D29C5">
        <w:rPr>
          <w:rFonts w:eastAsia="Calibri"/>
        </w:rPr>
        <w:t>, policy,</w:t>
      </w:r>
      <w:r w:rsidR="0087711E" w:rsidRPr="007D29C5">
        <w:rPr>
          <w:rFonts w:eastAsia="Calibri"/>
        </w:rPr>
        <w:t xml:space="preserve"> and civil society organizations and </w:t>
      </w:r>
      <w:r w:rsidR="0009570A" w:rsidRPr="007D29C5">
        <w:rPr>
          <w:rFonts w:eastAsia="Calibri"/>
        </w:rPr>
        <w:t>collaborate around their own common program</w:t>
      </w:r>
      <w:r w:rsidR="001D4ED7" w:rsidRPr="007D29C5">
        <w:rPr>
          <w:rFonts w:eastAsia="Calibri"/>
        </w:rPr>
        <w:t>s</w:t>
      </w:r>
      <w:r w:rsidR="0009570A" w:rsidRPr="007D29C5">
        <w:rPr>
          <w:rFonts w:eastAsia="Calibri"/>
        </w:rPr>
        <w:t xml:space="preserve"> of work for a specific hotspot</w:t>
      </w:r>
      <w:r w:rsidR="0007654A" w:rsidRPr="007D29C5">
        <w:rPr>
          <w:rFonts w:eastAsia="Calibri"/>
        </w:rPr>
        <w:t xml:space="preserve"> environment in different regions</w:t>
      </w:r>
      <w:r w:rsidRPr="007D29C5">
        <w:rPr>
          <w:rFonts w:eastAsia="Calibri"/>
        </w:rPr>
        <w:t xml:space="preserve">. </w:t>
      </w:r>
      <w:r w:rsidR="0009570A" w:rsidRPr="007D29C5">
        <w:rPr>
          <w:rFonts w:eastAsia="Calibri"/>
        </w:rPr>
        <w:t>Explicit focus was placed on research uptake from the start of the program, with consortia required to develop strategies</w:t>
      </w:r>
      <w:r w:rsidR="001D4ED7" w:rsidRPr="007D29C5">
        <w:rPr>
          <w:rFonts w:eastAsia="Calibri"/>
        </w:rPr>
        <w:t xml:space="preserve"> for getting research evidence into use</w:t>
      </w:r>
      <w:r w:rsidR="0009570A" w:rsidRPr="007D29C5">
        <w:rPr>
          <w:rFonts w:eastAsia="Calibri"/>
        </w:rPr>
        <w:t xml:space="preserve"> and encouraged to develop transdisciplinary </w:t>
      </w:r>
      <w:r w:rsidR="00FD6720" w:rsidRPr="007D29C5">
        <w:rPr>
          <w:rFonts w:eastAsia="Calibri"/>
        </w:rPr>
        <w:t>partnerships</w:t>
      </w:r>
      <w:r w:rsidR="0007654A" w:rsidRPr="007D29C5">
        <w:rPr>
          <w:rFonts w:eastAsia="Calibri"/>
        </w:rPr>
        <w:t xml:space="preserve"> with non-academic partners</w:t>
      </w:r>
      <w:r w:rsidR="001D4ED7" w:rsidRPr="007D29C5">
        <w:rPr>
          <w:rFonts w:eastAsia="Calibri"/>
        </w:rPr>
        <w:t xml:space="preserve"> to this end</w:t>
      </w:r>
      <w:r w:rsidR="0009570A" w:rsidRPr="007D29C5">
        <w:rPr>
          <w:rFonts w:eastAsia="Calibri"/>
        </w:rPr>
        <w:t>.</w:t>
      </w:r>
    </w:p>
    <w:p w14:paraId="22A7DBCB" w14:textId="77777777" w:rsidR="00BB4C9D" w:rsidRPr="007D29C5" w:rsidRDefault="00BB4C9D" w:rsidP="0005681D">
      <w:pPr>
        <w:spacing w:line="480" w:lineRule="auto"/>
        <w:jc w:val="both"/>
        <w:rPr>
          <w:rFonts w:eastAsia="Calibri"/>
        </w:rPr>
      </w:pPr>
    </w:p>
    <w:p w14:paraId="0098F660" w14:textId="57E4A034" w:rsidR="007E5223" w:rsidRPr="007D29C5" w:rsidRDefault="0009570A" w:rsidP="0005681D">
      <w:pPr>
        <w:spacing w:line="480" w:lineRule="auto"/>
        <w:jc w:val="both"/>
        <w:rPr>
          <w:rFonts w:eastAsia="Calibri"/>
        </w:rPr>
      </w:pPr>
      <w:r w:rsidRPr="007D29C5">
        <w:rPr>
          <w:rFonts w:eastAsia="Calibri"/>
        </w:rPr>
        <w:t xml:space="preserve">CARIAA drew on </w:t>
      </w:r>
      <w:r w:rsidR="0007654A" w:rsidRPr="007D29C5">
        <w:rPr>
          <w:rFonts w:eastAsia="Calibri"/>
        </w:rPr>
        <w:t>critical reflections from others</w:t>
      </w:r>
      <w:r w:rsidRPr="007D29C5">
        <w:rPr>
          <w:rFonts w:eastAsia="Calibri"/>
        </w:rPr>
        <w:t xml:space="preserve"> to design explicit plans to foster collaboration and </w:t>
      </w:r>
      <w:r w:rsidR="00C369E8" w:rsidRPr="007D29C5">
        <w:rPr>
          <w:rFonts w:eastAsia="Calibri"/>
        </w:rPr>
        <w:t xml:space="preserve">mutual </w:t>
      </w:r>
      <w:r w:rsidRPr="007D29C5">
        <w:rPr>
          <w:rFonts w:eastAsia="Calibri"/>
        </w:rPr>
        <w:t xml:space="preserve">learning between the </w:t>
      </w:r>
      <w:r w:rsidR="00ED37C7" w:rsidRPr="007D29C5">
        <w:rPr>
          <w:rFonts w:eastAsia="Calibri"/>
        </w:rPr>
        <w:t>partners involved</w:t>
      </w:r>
      <w:r w:rsidRPr="007D29C5">
        <w:rPr>
          <w:rFonts w:eastAsia="Calibri"/>
        </w:rPr>
        <w:t xml:space="preserve"> (</w:t>
      </w:r>
      <w:r w:rsidR="00C70A0D" w:rsidRPr="007D29C5">
        <w:rPr>
          <w:rFonts w:eastAsia="Calibri"/>
        </w:rPr>
        <w:t>explicitly drawing for example on</w:t>
      </w:r>
      <w:r w:rsidR="00C369E8" w:rsidRPr="007D29C5">
        <w:rPr>
          <w:rFonts w:eastAsia="Calibri"/>
        </w:rPr>
        <w:t xml:space="preserve"> </w:t>
      </w:r>
      <w:r w:rsidR="009F68FB" w:rsidRPr="007D29C5">
        <w:rPr>
          <w:rFonts w:eastAsia="Calibri"/>
          <w:vertAlign w:val="superscript"/>
        </w:rPr>
        <w:t>[17</w:t>
      </w:r>
      <w:r w:rsidR="00915D16" w:rsidRPr="007D29C5">
        <w:rPr>
          <w:rFonts w:eastAsia="Calibri"/>
          <w:vertAlign w:val="superscript"/>
        </w:rPr>
        <w:t>]</w:t>
      </w:r>
      <w:r w:rsidR="00C369E8" w:rsidRPr="007D29C5">
        <w:rPr>
          <w:rFonts w:eastAsia="Calibri"/>
        </w:rPr>
        <w:t xml:space="preserve">) </w:t>
      </w:r>
      <w:r w:rsidR="00FD6720" w:rsidRPr="007D29C5">
        <w:rPr>
          <w:rFonts w:eastAsia="Calibri"/>
        </w:rPr>
        <w:t xml:space="preserve">In </w:t>
      </w:r>
      <w:r w:rsidR="00FD6720" w:rsidRPr="007D29C5">
        <w:rPr>
          <w:rFonts w:eastAsia="Calibri"/>
        </w:rPr>
        <w:lastRenderedPageBreak/>
        <w:t>general, the aim was</w:t>
      </w:r>
      <w:r w:rsidRPr="007D29C5">
        <w:rPr>
          <w:rFonts w:eastAsia="Calibri"/>
        </w:rPr>
        <w:t xml:space="preserve"> to create collaborative spaces embedded in ongoing </w:t>
      </w:r>
      <w:r w:rsidR="00884CEA" w:rsidRPr="007D29C5">
        <w:rPr>
          <w:rFonts w:eastAsia="Calibri"/>
        </w:rPr>
        <w:t xml:space="preserve">mutual </w:t>
      </w:r>
      <w:r w:rsidRPr="007D29C5">
        <w:rPr>
          <w:rFonts w:eastAsia="Calibri"/>
        </w:rPr>
        <w:t xml:space="preserve">learning </w:t>
      </w:r>
      <w:r w:rsidR="006E6BA3" w:rsidRPr="007D29C5">
        <w:rPr>
          <w:rFonts w:eastAsia="Calibri"/>
        </w:rPr>
        <w:t>processes</w:t>
      </w:r>
      <w:r w:rsidR="00C70A0D" w:rsidRPr="007D29C5">
        <w:rPr>
          <w:rFonts w:eastAsia="Calibri"/>
        </w:rPr>
        <w:t xml:space="preserve"> (these are shown in Figure 1)</w:t>
      </w:r>
      <w:r w:rsidR="006E6BA3" w:rsidRPr="007D29C5">
        <w:rPr>
          <w:rFonts w:eastAsia="Calibri"/>
        </w:rPr>
        <w:t>, which</w:t>
      </w:r>
      <w:r w:rsidRPr="007D29C5">
        <w:rPr>
          <w:rFonts w:eastAsia="Calibri"/>
        </w:rPr>
        <w:t xml:space="preserve"> </w:t>
      </w:r>
      <w:r w:rsidR="00ED37C7" w:rsidRPr="007D29C5">
        <w:rPr>
          <w:rFonts w:eastAsia="Calibri"/>
        </w:rPr>
        <w:t>would result</w:t>
      </w:r>
      <w:r w:rsidRPr="007D29C5">
        <w:rPr>
          <w:rFonts w:eastAsia="Calibri"/>
        </w:rPr>
        <w:t xml:space="preserve"> in a variety of synthesis outputs and impacts </w:t>
      </w:r>
      <w:r w:rsidR="00884CEA" w:rsidRPr="007D29C5">
        <w:rPr>
          <w:rFonts w:eastAsia="Calibri"/>
        </w:rPr>
        <w:t>representing knowledge integration from a variety of sources</w:t>
      </w:r>
      <w:r w:rsidRPr="007D29C5">
        <w:rPr>
          <w:rFonts w:eastAsia="Calibri"/>
        </w:rPr>
        <w:t>.</w:t>
      </w:r>
      <w:r w:rsidR="00ED37C7" w:rsidRPr="007D29C5">
        <w:rPr>
          <w:rFonts w:eastAsia="Calibri"/>
        </w:rPr>
        <w:t xml:space="preserve"> </w:t>
      </w:r>
      <w:r w:rsidRPr="007D29C5">
        <w:rPr>
          <w:rFonts w:eastAsia="Calibri"/>
        </w:rPr>
        <w:t xml:space="preserve"> These various collaborative spaces were embedded within a learning framework. The learning framework </w:t>
      </w:r>
      <w:r w:rsidR="00C369E8" w:rsidRPr="007D29C5">
        <w:rPr>
          <w:rFonts w:eastAsia="Calibri"/>
        </w:rPr>
        <w:t xml:space="preserve">aimed at supporting mutual learning and </w:t>
      </w:r>
      <w:r w:rsidR="00B30BFD" w:rsidRPr="007D29C5">
        <w:rPr>
          <w:rFonts w:eastAsia="Calibri"/>
        </w:rPr>
        <w:t xml:space="preserve">included </w:t>
      </w:r>
      <w:r w:rsidRPr="007D29C5">
        <w:rPr>
          <w:rFonts w:eastAsia="Calibri"/>
        </w:rPr>
        <w:t xml:space="preserve">annual learning reviews where members of all four consortia convened </w:t>
      </w:r>
      <w:r w:rsidR="00B30BFD" w:rsidRPr="007D29C5">
        <w:rPr>
          <w:rFonts w:eastAsia="Calibri"/>
        </w:rPr>
        <w:t xml:space="preserve">around </w:t>
      </w:r>
      <w:r w:rsidRPr="007D29C5">
        <w:rPr>
          <w:rFonts w:eastAsia="Calibri"/>
        </w:rPr>
        <w:t>common themes</w:t>
      </w:r>
      <w:r w:rsidR="00C369E8" w:rsidRPr="007D29C5">
        <w:rPr>
          <w:rFonts w:eastAsia="Calibri"/>
        </w:rPr>
        <w:t xml:space="preserve"> an</w:t>
      </w:r>
      <w:r w:rsidR="00336792" w:rsidRPr="007D29C5">
        <w:rPr>
          <w:rFonts w:eastAsia="Calibri"/>
        </w:rPr>
        <w:t>d</w:t>
      </w:r>
      <w:r w:rsidR="00C369E8" w:rsidRPr="007D29C5">
        <w:rPr>
          <w:rFonts w:eastAsia="Calibri"/>
        </w:rPr>
        <w:t xml:space="preserve"> problem domains (for example climate induced migration)</w:t>
      </w:r>
      <w:r w:rsidRPr="007D29C5">
        <w:rPr>
          <w:rFonts w:eastAsia="Calibri"/>
        </w:rPr>
        <w:t xml:space="preserve">, mid-year learning reviews for research uptake specialists, thematic webinars, and a mid-term formative evaluation of the whole program. At </w:t>
      </w:r>
      <w:r w:rsidR="00815B32" w:rsidRPr="007D29C5">
        <w:rPr>
          <w:rFonts w:eastAsia="Calibri"/>
        </w:rPr>
        <w:t xml:space="preserve">the </w:t>
      </w:r>
      <w:r w:rsidRPr="007D29C5">
        <w:rPr>
          <w:rFonts w:eastAsia="Calibri"/>
        </w:rPr>
        <w:t xml:space="preserve">program level, all </w:t>
      </w:r>
      <w:r w:rsidR="00B30BFD" w:rsidRPr="007D29C5">
        <w:rPr>
          <w:rFonts w:eastAsia="Calibri"/>
        </w:rPr>
        <w:t>face-to-face</w:t>
      </w:r>
      <w:r w:rsidRPr="007D29C5">
        <w:rPr>
          <w:rFonts w:eastAsia="Calibri"/>
        </w:rPr>
        <w:t xml:space="preserve"> learning engagements</w:t>
      </w:r>
      <w:r w:rsidR="00947CF0" w:rsidRPr="007D29C5">
        <w:rPr>
          <w:rFonts w:eastAsia="Calibri"/>
        </w:rPr>
        <w:t xml:space="preserve"> (such as annual meetings)</w:t>
      </w:r>
      <w:r w:rsidRPr="007D29C5">
        <w:rPr>
          <w:rFonts w:eastAsia="Calibri"/>
        </w:rPr>
        <w:t xml:space="preserve"> were co-design</w:t>
      </w:r>
      <w:r w:rsidR="000877BE" w:rsidRPr="007D29C5">
        <w:rPr>
          <w:rFonts w:eastAsia="Calibri"/>
        </w:rPr>
        <w:t xml:space="preserve">ed </w:t>
      </w:r>
      <w:r w:rsidR="003376E2" w:rsidRPr="007D29C5">
        <w:rPr>
          <w:rFonts w:eastAsia="Calibri"/>
        </w:rPr>
        <w:t>with</w:t>
      </w:r>
      <w:r w:rsidR="000877BE" w:rsidRPr="007D29C5">
        <w:rPr>
          <w:rFonts w:eastAsia="Calibri"/>
        </w:rPr>
        <w:t xml:space="preserve"> </w:t>
      </w:r>
      <w:r w:rsidRPr="007D29C5">
        <w:rPr>
          <w:rFonts w:eastAsia="Calibri"/>
        </w:rPr>
        <w:t>members of the four consortia and the program management team</w:t>
      </w:r>
      <w:r w:rsidR="00C70A0D" w:rsidRPr="007D29C5">
        <w:rPr>
          <w:rFonts w:eastAsia="Calibri"/>
        </w:rPr>
        <w:t>, with</w:t>
      </w:r>
      <w:r w:rsidR="0007654A" w:rsidRPr="007D29C5">
        <w:rPr>
          <w:rFonts w:eastAsia="Calibri"/>
        </w:rPr>
        <w:t xml:space="preserve"> external </w:t>
      </w:r>
      <w:r w:rsidR="006B5645" w:rsidRPr="007D29C5">
        <w:rPr>
          <w:rFonts w:eastAsia="Calibri"/>
        </w:rPr>
        <w:t xml:space="preserve">professional facilitation </w:t>
      </w:r>
      <w:r w:rsidR="0007654A" w:rsidRPr="007D29C5">
        <w:rPr>
          <w:rFonts w:eastAsia="Calibri"/>
        </w:rPr>
        <w:t>support</w:t>
      </w:r>
      <w:r w:rsidRPr="007D29C5">
        <w:rPr>
          <w:rFonts w:eastAsia="Calibri"/>
        </w:rPr>
        <w:t xml:space="preserve">. </w:t>
      </w:r>
      <w:r w:rsidR="00336792" w:rsidRPr="007D29C5">
        <w:rPr>
          <w:rFonts w:eastAsia="Calibri"/>
        </w:rPr>
        <w:t>Importantly, the program team also built flexibility into budget allocations to allow for adaptive management in response to new learning about how collaboration could be fostered. A key element of this was an ‘Opportunities and Synergies Fund’, which are flexible funds intended to support emergent and unplanned collaborations.</w:t>
      </w:r>
    </w:p>
    <w:p w14:paraId="0730739B" w14:textId="77777777" w:rsidR="007E5223" w:rsidRPr="007D29C5" w:rsidRDefault="007E5223" w:rsidP="0005681D">
      <w:pPr>
        <w:spacing w:line="480" w:lineRule="auto"/>
        <w:jc w:val="both"/>
        <w:rPr>
          <w:rFonts w:eastAsia="Calibri"/>
        </w:rPr>
      </w:pPr>
    </w:p>
    <w:p w14:paraId="68CFB3A9" w14:textId="687981B8" w:rsidR="006C783B" w:rsidRPr="007D29C5" w:rsidRDefault="006C783B" w:rsidP="006C783B">
      <w:pPr>
        <w:spacing w:line="480" w:lineRule="auto"/>
        <w:jc w:val="both"/>
        <w:rPr>
          <w:rFonts w:eastAsia="Calibri"/>
        </w:rPr>
      </w:pPr>
    </w:p>
    <w:p w14:paraId="032C4223" w14:textId="77777777" w:rsidR="00631ADE" w:rsidRPr="007D29C5" w:rsidRDefault="00631ADE" w:rsidP="0005681D">
      <w:pPr>
        <w:spacing w:line="480" w:lineRule="auto"/>
        <w:jc w:val="both"/>
        <w:rPr>
          <w:rFonts w:eastAsia="Calibri"/>
        </w:rPr>
      </w:pPr>
    </w:p>
    <w:tbl>
      <w:tblPr>
        <w:tblW w:w="0" w:type="auto"/>
        <w:tblLook w:val="04A0" w:firstRow="1" w:lastRow="0" w:firstColumn="1" w:lastColumn="0" w:noHBand="0" w:noVBand="1"/>
      </w:tblPr>
      <w:tblGrid>
        <w:gridCol w:w="9350"/>
      </w:tblGrid>
      <w:tr w:rsidR="0044233F" w:rsidRPr="007D29C5" w14:paraId="02E506A5" w14:textId="77777777" w:rsidTr="005459D6">
        <w:trPr>
          <w:trHeight w:val="8235"/>
        </w:trPr>
        <w:tc>
          <w:tcPr>
            <w:tcW w:w="9350" w:type="dxa"/>
            <w:shd w:val="clear" w:color="auto" w:fill="auto"/>
          </w:tcPr>
          <w:p w14:paraId="53F1EB84" w14:textId="54C2835A" w:rsidR="0044233F" w:rsidRPr="007D29C5" w:rsidRDefault="00886CB9" w:rsidP="005459D6">
            <w:pPr>
              <w:pBdr>
                <w:top w:val="none" w:sz="0" w:space="0" w:color="auto"/>
                <w:left w:val="none" w:sz="0" w:space="0" w:color="auto"/>
                <w:bottom w:val="none" w:sz="0" w:space="0" w:color="auto"/>
                <w:right w:val="none" w:sz="0" w:space="0" w:color="auto"/>
                <w:between w:val="none" w:sz="0" w:space="0" w:color="auto"/>
              </w:pBdr>
              <w:spacing w:line="480" w:lineRule="auto"/>
              <w:jc w:val="center"/>
              <w:rPr>
                <w:rFonts w:eastAsia="Calibri"/>
              </w:rPr>
            </w:pPr>
            <w:r w:rsidRPr="007D29C5">
              <w:rPr>
                <w:rFonts w:eastAsia="Calibri"/>
                <w:noProof/>
                <w:lang w:val="en-CA" w:eastAsia="en-CA"/>
              </w:rPr>
              <w:lastRenderedPageBreak/>
              <w:drawing>
                <wp:inline distT="0" distB="0" distL="0" distR="0" wp14:anchorId="79745B35" wp14:editId="2D5C9B67">
                  <wp:extent cx="5727700" cy="6045200"/>
                  <wp:effectExtent l="0" t="0" r="12700" b="0"/>
                  <wp:docPr id="1" name="Picture 3" descr="G_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_figure.jpg"/>
                          <pic:cNvPicPr>
                            <a:picLocks noChangeAspect="1" noChangeArrowheads="1"/>
                          </pic:cNvPicPr>
                        </pic:nvPicPr>
                        <pic:blipFill>
                          <a:blip r:embed="rId8">
                            <a:extLst>
                              <a:ext uri="{28A0092B-C50C-407E-A947-70E740481C1C}">
                                <a14:useLocalDpi xmlns:a14="http://schemas.microsoft.com/office/drawing/2010/main" val="0"/>
                              </a:ext>
                            </a:extLst>
                          </a:blip>
                          <a:srcRect l="19017" r="27779"/>
                          <a:stretch>
                            <a:fillRect/>
                          </a:stretch>
                        </pic:blipFill>
                        <pic:spPr bwMode="auto">
                          <a:xfrm>
                            <a:off x="0" y="0"/>
                            <a:ext cx="5727700" cy="6045200"/>
                          </a:xfrm>
                          <a:prstGeom prst="rect">
                            <a:avLst/>
                          </a:prstGeom>
                          <a:noFill/>
                          <a:ln>
                            <a:noFill/>
                          </a:ln>
                        </pic:spPr>
                      </pic:pic>
                    </a:graphicData>
                  </a:graphic>
                </wp:inline>
              </w:drawing>
            </w:r>
          </w:p>
        </w:tc>
      </w:tr>
      <w:tr w:rsidR="0044233F" w:rsidRPr="007D29C5" w14:paraId="38475AD1" w14:textId="77777777" w:rsidTr="005459D6">
        <w:tc>
          <w:tcPr>
            <w:tcW w:w="9350" w:type="dxa"/>
            <w:shd w:val="clear" w:color="auto" w:fill="auto"/>
          </w:tcPr>
          <w:p w14:paraId="273C8A56" w14:textId="77777777" w:rsidR="000F4D7E" w:rsidRPr="007D29C5" w:rsidRDefault="000F4D7E" w:rsidP="005459D6">
            <w:pPr>
              <w:spacing w:line="480" w:lineRule="auto"/>
              <w:jc w:val="both"/>
              <w:rPr>
                <w:rFonts w:eastAsia="Calibri"/>
              </w:rPr>
            </w:pPr>
          </w:p>
          <w:p w14:paraId="5893C708" w14:textId="3084F5E1" w:rsidR="0044233F" w:rsidRPr="007D29C5" w:rsidRDefault="000F4D7E" w:rsidP="00915D16">
            <w:pPr>
              <w:spacing w:line="480" w:lineRule="auto"/>
              <w:jc w:val="both"/>
              <w:rPr>
                <w:rFonts w:eastAsia="Calibri"/>
                <w:b/>
              </w:rPr>
            </w:pPr>
            <w:r w:rsidRPr="007D29C5">
              <w:rPr>
                <w:rFonts w:eastAsia="Calibri"/>
                <w:b/>
              </w:rPr>
              <w:t xml:space="preserve">Figure 1: </w:t>
            </w:r>
            <w:r w:rsidRPr="007D29C5">
              <w:rPr>
                <w:rFonts w:eastAsia="Calibri"/>
              </w:rPr>
              <w:t>Investments in process design for transdisciplinary collaboration in CARIAA (image adapted from Figure SPM.9 (B) from</w:t>
            </w:r>
            <w:r w:rsidR="00915D16" w:rsidRPr="007D29C5">
              <w:rPr>
                <w:rFonts w:eastAsia="Calibri"/>
              </w:rPr>
              <w:t xml:space="preserve"> </w:t>
            </w:r>
            <w:r w:rsidR="009F68FB" w:rsidRPr="007D29C5">
              <w:rPr>
                <w:rFonts w:eastAsia="Calibri"/>
                <w:vertAlign w:val="superscript"/>
              </w:rPr>
              <w:t>[18</w:t>
            </w:r>
            <w:r w:rsidR="00915D16" w:rsidRPr="007D29C5">
              <w:rPr>
                <w:rFonts w:eastAsia="Calibri"/>
                <w:vertAlign w:val="superscript"/>
              </w:rPr>
              <w:t>]</w:t>
            </w:r>
            <w:r w:rsidR="00881F4C" w:rsidRPr="007D29C5">
              <w:rPr>
                <w:rFonts w:eastAsia="Calibri"/>
              </w:rPr>
              <w:t>).</w:t>
            </w:r>
          </w:p>
        </w:tc>
      </w:tr>
    </w:tbl>
    <w:p w14:paraId="2473E6C2" w14:textId="77777777" w:rsidR="000F4D7E" w:rsidRPr="007D29C5" w:rsidRDefault="000F4D7E" w:rsidP="0005681D">
      <w:pPr>
        <w:pStyle w:val="NormalWeb"/>
        <w:spacing w:before="0" w:beforeAutospacing="0" w:after="0" w:afterAutospacing="0" w:line="480" w:lineRule="auto"/>
        <w:jc w:val="both"/>
        <w:rPr>
          <w:rFonts w:eastAsia="Calibri"/>
          <w:color w:val="000000"/>
          <w:lang w:val="en-US" w:eastAsia="en-US"/>
        </w:rPr>
      </w:pPr>
    </w:p>
    <w:p w14:paraId="0D686A5C" w14:textId="77777777" w:rsidR="000F4D7E" w:rsidRPr="007D29C5" w:rsidRDefault="000F4D7E" w:rsidP="0005681D">
      <w:pPr>
        <w:pStyle w:val="NormalWeb"/>
        <w:spacing w:before="0" w:beforeAutospacing="0" w:after="0" w:afterAutospacing="0" w:line="480" w:lineRule="auto"/>
        <w:jc w:val="both"/>
      </w:pPr>
    </w:p>
    <w:p w14:paraId="79C502A4" w14:textId="77777777" w:rsidR="000F4D7E" w:rsidRPr="007D29C5" w:rsidRDefault="000F4D7E" w:rsidP="000F4D7E">
      <w:pPr>
        <w:spacing w:line="480" w:lineRule="auto"/>
        <w:jc w:val="both"/>
        <w:rPr>
          <w:rFonts w:eastAsia="Calibri"/>
        </w:rPr>
      </w:pPr>
    </w:p>
    <w:p w14:paraId="160348C3" w14:textId="62C2FD5B" w:rsidR="00683C23" w:rsidRPr="007D29C5" w:rsidRDefault="00340A49" w:rsidP="0005681D">
      <w:pPr>
        <w:pStyle w:val="NormalWeb"/>
        <w:spacing w:before="0" w:beforeAutospacing="0" w:after="0" w:afterAutospacing="0" w:line="480" w:lineRule="auto"/>
        <w:jc w:val="both"/>
      </w:pPr>
      <w:r w:rsidRPr="007D29C5">
        <w:lastRenderedPageBreak/>
        <w:t>Similarly, the individual consortia included a number of design elements aimed at fostering transdisciplinary collaboration</w:t>
      </w:r>
      <w:r w:rsidR="00C369E8" w:rsidRPr="007D29C5">
        <w:t>,</w:t>
      </w:r>
      <w:r w:rsidRPr="007D29C5">
        <w:t xml:space="preserve"> and </w:t>
      </w:r>
      <w:r w:rsidR="00C369E8" w:rsidRPr="007D29C5">
        <w:t xml:space="preserve">specifically mutual </w:t>
      </w:r>
      <w:r w:rsidRPr="007D29C5">
        <w:t>learning</w:t>
      </w:r>
      <w:r w:rsidR="00C369E8" w:rsidRPr="007D29C5">
        <w:t xml:space="preserve"> around common problems</w:t>
      </w:r>
      <w:r w:rsidRPr="007D29C5">
        <w:t>. While some consortia organised themselves into regional teams that would collaborate around regional priority research</w:t>
      </w:r>
      <w:r w:rsidR="00DF47E3" w:rsidRPr="007D29C5">
        <w:t xml:space="preserve"> and policy</w:t>
      </w:r>
      <w:r w:rsidRPr="007D29C5">
        <w:t xml:space="preserve"> questions, others designed their projects into work packages that cut across regions and/or scales. </w:t>
      </w:r>
      <w:r w:rsidR="003376E2" w:rsidRPr="007D29C5">
        <w:t xml:space="preserve">One of the consortia </w:t>
      </w:r>
      <w:r w:rsidR="002F1178" w:rsidRPr="007D29C5">
        <w:t xml:space="preserve">used a </w:t>
      </w:r>
      <w:r w:rsidR="003376E2" w:rsidRPr="007D29C5">
        <w:t xml:space="preserve">standardised </w:t>
      </w:r>
      <w:r w:rsidR="00C369E8" w:rsidRPr="007D29C5">
        <w:t xml:space="preserve">research </w:t>
      </w:r>
      <w:r w:rsidR="003376E2" w:rsidRPr="007D29C5">
        <w:t xml:space="preserve">methodology </w:t>
      </w:r>
      <w:r w:rsidR="00C369E8" w:rsidRPr="007D29C5">
        <w:t xml:space="preserve">to collect data </w:t>
      </w:r>
      <w:r w:rsidR="003376E2" w:rsidRPr="007D29C5">
        <w:t>across all research sites</w:t>
      </w:r>
      <w:r w:rsidR="00C369E8" w:rsidRPr="007D29C5">
        <w:t xml:space="preserve">, with the intention </w:t>
      </w:r>
      <w:r w:rsidR="00336792" w:rsidRPr="007D29C5">
        <w:t xml:space="preserve">of </w:t>
      </w:r>
      <w:r w:rsidR="003376E2" w:rsidRPr="007D29C5">
        <w:t>support</w:t>
      </w:r>
      <w:r w:rsidR="00C369E8" w:rsidRPr="007D29C5">
        <w:t>ing</w:t>
      </w:r>
      <w:r w:rsidR="003376E2" w:rsidRPr="007D29C5">
        <w:t xml:space="preserve"> collaborative synthesis of findings and the development of shared purpose. </w:t>
      </w:r>
      <w:r w:rsidR="001E73C7" w:rsidRPr="007D29C5">
        <w:rPr>
          <w:rFonts w:eastAsia="Calibri"/>
        </w:rPr>
        <w:t>Another</w:t>
      </w:r>
      <w:r w:rsidR="00947CF0" w:rsidRPr="007D29C5">
        <w:rPr>
          <w:rFonts w:eastAsia="Calibri"/>
        </w:rPr>
        <w:t xml:space="preserve"> mirrored the Opportunities and Synergies Fund at a programme level and created a Small Opportunities Grant within their consortium</w:t>
      </w:r>
      <w:r w:rsidR="001E73C7" w:rsidRPr="007D29C5">
        <w:rPr>
          <w:rFonts w:eastAsia="Calibri"/>
        </w:rPr>
        <w:t>, enabling early career</w:t>
      </w:r>
      <w:r w:rsidR="00947CF0" w:rsidRPr="007D29C5">
        <w:rPr>
          <w:rFonts w:eastAsia="Calibri"/>
        </w:rPr>
        <w:t xml:space="preserve"> researchers</w:t>
      </w:r>
      <w:r w:rsidR="00C369E8" w:rsidRPr="007D29C5">
        <w:rPr>
          <w:rFonts w:eastAsia="Calibri"/>
        </w:rPr>
        <w:t xml:space="preserve"> and practitioners</w:t>
      </w:r>
      <w:r w:rsidR="00947CF0" w:rsidRPr="007D29C5">
        <w:rPr>
          <w:rFonts w:eastAsia="Calibri"/>
        </w:rPr>
        <w:t xml:space="preserve"> to engage with more senior </w:t>
      </w:r>
      <w:r w:rsidR="00C369E8" w:rsidRPr="007D29C5">
        <w:rPr>
          <w:rFonts w:eastAsia="Calibri"/>
        </w:rPr>
        <w:t xml:space="preserve">individuals </w:t>
      </w:r>
      <w:r w:rsidR="00947CF0" w:rsidRPr="007D29C5">
        <w:rPr>
          <w:rFonts w:eastAsia="Calibri"/>
        </w:rPr>
        <w:t xml:space="preserve">in other institutions around a specific issue. </w:t>
      </w:r>
      <w:r w:rsidR="00DF47E3" w:rsidRPr="007D29C5">
        <w:t>C</w:t>
      </w:r>
      <w:r w:rsidR="00B32E92" w:rsidRPr="007D29C5">
        <w:t>ommon across all consortia</w:t>
      </w:r>
      <w:r w:rsidRPr="007D29C5">
        <w:t xml:space="preserve"> was a targeted approach to </w:t>
      </w:r>
      <w:r w:rsidR="001E73C7" w:rsidRPr="007D29C5">
        <w:t>research uptake</w:t>
      </w:r>
      <w:r w:rsidR="00EB0990" w:rsidRPr="007D29C5">
        <w:t xml:space="preserve"> and impact</w:t>
      </w:r>
      <w:r w:rsidR="00C369E8" w:rsidRPr="007D29C5">
        <w:t>, and an effort to forge partnerships beyond research organisations</w:t>
      </w:r>
      <w:r w:rsidRPr="007D29C5">
        <w:t xml:space="preserve">. </w:t>
      </w:r>
      <w:r w:rsidR="00F33DA4" w:rsidRPr="007D29C5">
        <w:t xml:space="preserve">This </w:t>
      </w:r>
      <w:r w:rsidR="00C369E8" w:rsidRPr="007D29C5">
        <w:t xml:space="preserve">emphasis on pursuing impact and change </w:t>
      </w:r>
      <w:r w:rsidR="00F33DA4" w:rsidRPr="007D29C5">
        <w:t xml:space="preserve">was inserted by design, but was modified and adapted throughout the duration of the program. </w:t>
      </w:r>
      <w:r w:rsidR="00B32E92" w:rsidRPr="007D29C5">
        <w:t xml:space="preserve">While in one consortia </w:t>
      </w:r>
      <w:r w:rsidR="00C369E8" w:rsidRPr="007D29C5">
        <w:t>research uptake efforts were</w:t>
      </w:r>
      <w:r w:rsidR="00B32E92" w:rsidRPr="007D29C5">
        <w:t xml:space="preserve"> led by an international NGO</w:t>
      </w:r>
      <w:r w:rsidR="00C369E8" w:rsidRPr="007D29C5">
        <w:t xml:space="preserve"> with support from local NGOs and </w:t>
      </w:r>
      <w:r w:rsidR="00336792" w:rsidRPr="007D29C5">
        <w:t>practitioners</w:t>
      </w:r>
      <w:r w:rsidRPr="007D29C5">
        <w:t xml:space="preserve">, in others it </w:t>
      </w:r>
      <w:r w:rsidR="00B32E92" w:rsidRPr="007D29C5">
        <w:t xml:space="preserve">was </w:t>
      </w:r>
      <w:r w:rsidR="00001DD8" w:rsidRPr="007D29C5">
        <w:t>led</w:t>
      </w:r>
      <w:r w:rsidR="00B32E92" w:rsidRPr="007D29C5">
        <w:t xml:space="preserve"> by</w:t>
      </w:r>
      <w:r w:rsidRPr="007D29C5">
        <w:t xml:space="preserve"> researchers.</w:t>
      </w:r>
      <w:r w:rsidR="00DF47E3" w:rsidRPr="007D29C5">
        <w:t xml:space="preserve"> </w:t>
      </w:r>
    </w:p>
    <w:p w14:paraId="170B2BFF" w14:textId="77777777" w:rsidR="00683C23" w:rsidRPr="007D29C5" w:rsidRDefault="00683C23" w:rsidP="0005681D">
      <w:pPr>
        <w:pStyle w:val="NormalWeb"/>
        <w:spacing w:before="0" w:beforeAutospacing="0" w:after="0" w:afterAutospacing="0" w:line="480" w:lineRule="auto"/>
        <w:jc w:val="both"/>
      </w:pPr>
    </w:p>
    <w:p w14:paraId="22A3903C" w14:textId="7965589A" w:rsidR="00631ADE" w:rsidRPr="007D29C5" w:rsidRDefault="00B11B38" w:rsidP="0005681D">
      <w:pPr>
        <w:pStyle w:val="NormalWeb"/>
        <w:spacing w:before="0" w:beforeAutospacing="0" w:after="0" w:afterAutospacing="0" w:line="480" w:lineRule="auto"/>
        <w:jc w:val="both"/>
        <w:rPr>
          <w:rFonts w:eastAsia="Calibri"/>
        </w:rPr>
      </w:pPr>
      <w:r w:rsidRPr="007D29C5">
        <w:rPr>
          <w:rFonts w:eastAsia="Calibri"/>
        </w:rPr>
        <w:t xml:space="preserve">The heavy investment in </w:t>
      </w:r>
      <w:r w:rsidR="00C369E8" w:rsidRPr="007D29C5">
        <w:rPr>
          <w:rFonts w:eastAsia="Calibri"/>
        </w:rPr>
        <w:t xml:space="preserve">supporting mutual learning as a core element of </w:t>
      </w:r>
      <w:r w:rsidRPr="007D29C5">
        <w:rPr>
          <w:rFonts w:eastAsia="Calibri"/>
        </w:rPr>
        <w:t xml:space="preserve">transdisciplinary collaboration </w:t>
      </w:r>
      <w:r w:rsidR="009F68FB" w:rsidRPr="007D29C5">
        <w:rPr>
          <w:rFonts w:eastAsia="Calibri"/>
          <w:vertAlign w:val="superscript"/>
        </w:rPr>
        <w:t xml:space="preserve">[15] </w:t>
      </w:r>
      <w:r w:rsidRPr="007D29C5">
        <w:rPr>
          <w:rFonts w:eastAsia="Calibri"/>
        </w:rPr>
        <w:t xml:space="preserve">across all scales of CARIAA,  has provided </w:t>
      </w:r>
      <w:r w:rsidR="00F7776A" w:rsidRPr="007D29C5">
        <w:rPr>
          <w:rFonts w:eastAsia="Calibri"/>
        </w:rPr>
        <w:t>insight into</w:t>
      </w:r>
      <w:r w:rsidRPr="007D29C5">
        <w:rPr>
          <w:rFonts w:eastAsia="Calibri"/>
        </w:rPr>
        <w:t xml:space="preserve"> the </w:t>
      </w:r>
      <w:r w:rsidR="00F7776A" w:rsidRPr="007D29C5">
        <w:rPr>
          <w:rFonts w:eastAsia="Calibri"/>
        </w:rPr>
        <w:t xml:space="preserve">underlying </w:t>
      </w:r>
      <w:r w:rsidRPr="007D29C5">
        <w:rPr>
          <w:rFonts w:eastAsia="Calibri"/>
        </w:rPr>
        <w:t xml:space="preserve">enablers </w:t>
      </w:r>
      <w:r w:rsidR="00EB0990" w:rsidRPr="007D29C5">
        <w:rPr>
          <w:rFonts w:eastAsia="Calibri"/>
        </w:rPr>
        <w:t xml:space="preserve">and constraints </w:t>
      </w:r>
      <w:r w:rsidRPr="007D29C5">
        <w:rPr>
          <w:rFonts w:eastAsia="Calibri"/>
        </w:rPr>
        <w:t>of transdisciplinary collaboration</w:t>
      </w:r>
      <w:r w:rsidR="00EB0990" w:rsidRPr="007D29C5">
        <w:rPr>
          <w:rFonts w:eastAsia="Calibri"/>
        </w:rPr>
        <w:t xml:space="preserve"> on a large scale</w:t>
      </w:r>
      <w:r w:rsidRPr="007D29C5">
        <w:rPr>
          <w:rFonts w:eastAsia="Calibri"/>
        </w:rPr>
        <w:t xml:space="preserve">. </w:t>
      </w:r>
      <w:r w:rsidR="006B5645" w:rsidRPr="007D29C5">
        <w:rPr>
          <w:rFonts w:eastAsia="Calibri"/>
        </w:rPr>
        <w:t>These design features of the CARIAA program have been described in depth elsewhere</w:t>
      </w:r>
      <w:r w:rsidR="009F68FB" w:rsidRPr="007D29C5">
        <w:rPr>
          <w:rFonts w:eastAsia="Calibri"/>
        </w:rPr>
        <w:t>.</w:t>
      </w:r>
      <w:r w:rsidR="009F68FB" w:rsidRPr="007D29C5">
        <w:rPr>
          <w:rFonts w:eastAsia="Calibri"/>
          <w:vertAlign w:val="superscript"/>
        </w:rPr>
        <w:t>[19]</w:t>
      </w:r>
      <w:r w:rsidR="006B5645" w:rsidRPr="007D29C5">
        <w:rPr>
          <w:rFonts w:eastAsia="Calibri"/>
        </w:rPr>
        <w:t xml:space="preserve"> </w:t>
      </w:r>
      <w:r w:rsidRPr="007D29C5">
        <w:rPr>
          <w:rFonts w:eastAsia="Calibri"/>
        </w:rPr>
        <w:t>While design features have been crucial to the successes in the program, we have learned that a handful of relational and systemic features underlie these design elements, and must be recognized in efforts to support transdisciplinary collaboration</w:t>
      </w:r>
      <w:r w:rsidR="00683C23" w:rsidRPr="007D29C5">
        <w:rPr>
          <w:rFonts w:eastAsia="Calibri"/>
        </w:rPr>
        <w:t xml:space="preserve"> (Figure 2)</w:t>
      </w:r>
      <w:r w:rsidRPr="007D29C5">
        <w:rPr>
          <w:rFonts w:eastAsia="Calibri"/>
        </w:rPr>
        <w:t>.</w:t>
      </w:r>
      <w:r w:rsidR="003E21A7" w:rsidRPr="007D29C5">
        <w:rPr>
          <w:rFonts w:eastAsia="Calibri"/>
        </w:rPr>
        <w:t xml:space="preserve"> As stated at the outset of the paper,</w:t>
      </w:r>
      <w:r w:rsidRPr="007D29C5">
        <w:rPr>
          <w:rFonts w:eastAsia="Calibri"/>
        </w:rPr>
        <w:t xml:space="preserve"> </w:t>
      </w:r>
      <w:r w:rsidR="003E21A7" w:rsidRPr="007D29C5">
        <w:rPr>
          <w:rFonts w:eastAsia="Calibri"/>
          <w:i/>
        </w:rPr>
        <w:t>r</w:t>
      </w:r>
      <w:r w:rsidR="002D333A" w:rsidRPr="007D29C5">
        <w:rPr>
          <w:i/>
          <w:iCs/>
        </w:rPr>
        <w:t>elational features</w:t>
      </w:r>
      <w:r w:rsidR="002D333A" w:rsidRPr="007D29C5">
        <w:t xml:space="preserve"> </w:t>
      </w:r>
      <w:r w:rsidR="002D333A" w:rsidRPr="007D29C5">
        <w:lastRenderedPageBreak/>
        <w:t xml:space="preserve">refer to the ways in which interpersonal and inter-institutional interactions evolve and are mediated, while </w:t>
      </w:r>
      <w:r w:rsidR="002D333A" w:rsidRPr="007D29C5">
        <w:rPr>
          <w:i/>
          <w:iCs/>
        </w:rPr>
        <w:t>systemic features</w:t>
      </w:r>
      <w:r w:rsidR="002D333A" w:rsidRPr="007D29C5">
        <w:t xml:space="preserve"> refer to pre-existing norms and biases that affect how relational features of transdisciplinary collaborative endeavours take shape. </w:t>
      </w:r>
      <w:r w:rsidR="005B4050" w:rsidRPr="007D29C5">
        <w:rPr>
          <w:rFonts w:eastAsia="Calibri"/>
        </w:rPr>
        <w:t>We discuss these relational and system</w:t>
      </w:r>
      <w:r w:rsidR="002D333A" w:rsidRPr="007D29C5">
        <w:rPr>
          <w:rFonts w:eastAsia="Calibri"/>
        </w:rPr>
        <w:t>ic</w:t>
      </w:r>
      <w:r w:rsidR="005B4050" w:rsidRPr="007D29C5">
        <w:rPr>
          <w:rFonts w:eastAsia="Calibri"/>
        </w:rPr>
        <w:t xml:space="preserve"> features in turn below. </w:t>
      </w:r>
    </w:p>
    <w:p w14:paraId="77E102EB" w14:textId="77777777" w:rsidR="00631ADE" w:rsidRPr="007D29C5" w:rsidRDefault="00631ADE" w:rsidP="0005681D">
      <w:pPr>
        <w:spacing w:after="160" w:line="480" w:lineRule="auto"/>
        <w:rPr>
          <w:rFonts w:eastAsia="Calibri"/>
          <w:lang w:val="en-CA"/>
        </w:rPr>
      </w:pPr>
    </w:p>
    <w:p w14:paraId="0E39E942" w14:textId="7453BCCE" w:rsidR="00631ADE" w:rsidRPr="007D29C5" w:rsidRDefault="0009570A" w:rsidP="00573662">
      <w:pPr>
        <w:pStyle w:val="ListParagraph"/>
        <w:numPr>
          <w:ilvl w:val="0"/>
          <w:numId w:val="9"/>
        </w:numPr>
        <w:spacing w:line="480" w:lineRule="auto"/>
        <w:jc w:val="both"/>
        <w:outlineLvl w:val="0"/>
        <w:rPr>
          <w:rFonts w:eastAsia="Calibri"/>
          <w:b/>
        </w:rPr>
      </w:pPr>
      <w:r w:rsidRPr="007D29C5">
        <w:rPr>
          <w:rFonts w:eastAsia="Calibri"/>
          <w:b/>
        </w:rPr>
        <w:t>Relational features of collaborative efforts</w:t>
      </w:r>
    </w:p>
    <w:p w14:paraId="5EB6546E" w14:textId="1067949D" w:rsidR="00631ADE" w:rsidRPr="007D29C5" w:rsidRDefault="001E73C7" w:rsidP="0005681D">
      <w:pPr>
        <w:spacing w:line="480" w:lineRule="auto"/>
        <w:jc w:val="both"/>
        <w:rPr>
          <w:rFonts w:eastAsia="Calibri"/>
          <w:color w:val="auto"/>
        </w:rPr>
      </w:pPr>
      <w:r w:rsidRPr="007D29C5">
        <w:rPr>
          <w:rFonts w:eastAsia="Calibri"/>
        </w:rPr>
        <w:t>Like other large-scale programs, CARIAA has a number of key features that make trust a foundational issue that, if ignored, can undermine all other investments into design for collaboration.</w:t>
      </w:r>
      <w:r w:rsidR="00230BA8" w:rsidRPr="007D29C5">
        <w:rPr>
          <w:rFonts w:eastAsia="Calibri"/>
        </w:rPr>
        <w:t xml:space="preserve"> First, </w:t>
      </w:r>
      <w:r w:rsidR="00DD540E" w:rsidRPr="007D29C5">
        <w:rPr>
          <w:rFonts w:eastAsia="Calibri"/>
        </w:rPr>
        <w:t xml:space="preserve">consortia </w:t>
      </w:r>
      <w:r w:rsidR="002F1178" w:rsidRPr="007D29C5">
        <w:rPr>
          <w:rFonts w:eastAsia="Calibri"/>
        </w:rPr>
        <w:t>often comprise</w:t>
      </w:r>
      <w:r w:rsidR="00DD540E" w:rsidRPr="007D29C5">
        <w:rPr>
          <w:rFonts w:eastAsia="Calibri"/>
        </w:rPr>
        <w:t xml:space="preserve"> partners who have not worked together before. </w:t>
      </w:r>
      <w:r w:rsidRPr="007D29C5">
        <w:rPr>
          <w:rFonts w:eastAsia="Calibri"/>
        </w:rPr>
        <w:t>Second, consortium</w:t>
      </w:r>
      <w:r w:rsidR="00230BA8" w:rsidRPr="007D29C5">
        <w:rPr>
          <w:rFonts w:eastAsia="Calibri"/>
        </w:rPr>
        <w:t xml:space="preserve"> members tend to be geographically dispersed and interact </w:t>
      </w:r>
      <w:r w:rsidRPr="007D29C5">
        <w:rPr>
          <w:rFonts w:eastAsia="Calibri"/>
        </w:rPr>
        <w:t>virtually</w:t>
      </w:r>
      <w:r w:rsidR="00230BA8" w:rsidRPr="007D29C5">
        <w:rPr>
          <w:rFonts w:eastAsia="Calibri"/>
        </w:rPr>
        <w:t xml:space="preserve"> rather than face-to-face (Table 1). Third, </w:t>
      </w:r>
      <w:r w:rsidR="0009570A" w:rsidRPr="007D29C5">
        <w:rPr>
          <w:rFonts w:eastAsia="Calibri"/>
          <w:color w:val="auto"/>
        </w:rPr>
        <w:t xml:space="preserve">highly-competitive funding models </w:t>
      </w:r>
      <w:r w:rsidR="00230BA8" w:rsidRPr="007D29C5">
        <w:rPr>
          <w:rFonts w:eastAsia="Calibri"/>
          <w:color w:val="auto"/>
        </w:rPr>
        <w:t xml:space="preserve">bring together </w:t>
      </w:r>
      <w:r w:rsidR="0009570A" w:rsidRPr="007D29C5">
        <w:rPr>
          <w:rFonts w:eastAsia="Calibri"/>
          <w:color w:val="auto"/>
        </w:rPr>
        <w:t xml:space="preserve">individuals and institutions </w:t>
      </w:r>
      <w:r w:rsidR="00230BA8" w:rsidRPr="007D29C5">
        <w:rPr>
          <w:rFonts w:eastAsia="Calibri"/>
          <w:color w:val="auto"/>
        </w:rPr>
        <w:t>with</w:t>
      </w:r>
      <w:r w:rsidR="0009570A" w:rsidRPr="007D29C5">
        <w:rPr>
          <w:rFonts w:eastAsia="Calibri"/>
          <w:color w:val="auto"/>
        </w:rPr>
        <w:t xml:space="preserve"> long histories as competitors, rather than collaborators. </w:t>
      </w:r>
      <w:r w:rsidR="00CE392E" w:rsidRPr="007D29C5">
        <w:rPr>
          <w:rFonts w:eastAsia="Calibri"/>
          <w:color w:val="auto"/>
        </w:rPr>
        <w:t>T</w:t>
      </w:r>
      <w:r w:rsidR="00D47576" w:rsidRPr="007D29C5">
        <w:rPr>
          <w:rFonts w:eastAsia="Calibri"/>
          <w:color w:val="auto"/>
        </w:rPr>
        <w:t xml:space="preserve">hese same organisations may continue to compete for other sources of funding despite collaborating within one program. </w:t>
      </w:r>
      <w:r w:rsidRPr="007D29C5">
        <w:rPr>
          <w:rFonts w:eastAsia="Calibri"/>
          <w:color w:val="auto"/>
        </w:rPr>
        <w:t>Competitive funding models may also create</w:t>
      </w:r>
      <w:r w:rsidR="00D47576" w:rsidRPr="007D29C5">
        <w:rPr>
          <w:rFonts w:eastAsia="Calibri"/>
          <w:color w:val="auto"/>
        </w:rPr>
        <w:t xml:space="preserve"> incentive</w:t>
      </w:r>
      <w:r w:rsidRPr="007D29C5">
        <w:rPr>
          <w:rFonts w:eastAsia="Calibri"/>
          <w:color w:val="auto"/>
        </w:rPr>
        <w:t>s</w:t>
      </w:r>
      <w:r w:rsidR="00D47576" w:rsidRPr="007D29C5">
        <w:rPr>
          <w:rFonts w:eastAsia="Calibri"/>
          <w:color w:val="auto"/>
        </w:rPr>
        <w:t xml:space="preserve"> to keep skills, knowledge and </w:t>
      </w:r>
      <w:r w:rsidRPr="007D29C5">
        <w:rPr>
          <w:rFonts w:eastAsia="Calibri"/>
          <w:color w:val="auto"/>
        </w:rPr>
        <w:t xml:space="preserve">unpublished </w:t>
      </w:r>
      <w:r w:rsidR="00D47576" w:rsidRPr="007D29C5">
        <w:rPr>
          <w:rFonts w:eastAsia="Calibri"/>
          <w:color w:val="auto"/>
        </w:rPr>
        <w:t>data internal, as opposed to what is expected in collaborative arrangements.</w:t>
      </w:r>
      <w:r w:rsidR="00757732" w:rsidRPr="007D29C5">
        <w:rPr>
          <w:rFonts w:eastAsia="Calibri"/>
          <w:color w:val="auto"/>
          <w:vertAlign w:val="superscript"/>
        </w:rPr>
        <w:t>[20</w:t>
      </w:r>
      <w:r w:rsidR="00915D16" w:rsidRPr="007D29C5">
        <w:rPr>
          <w:rFonts w:eastAsia="Calibri"/>
          <w:color w:val="auto"/>
          <w:vertAlign w:val="superscript"/>
        </w:rPr>
        <w:t>]</w:t>
      </w:r>
      <w:r w:rsidR="00D47576" w:rsidRPr="007D29C5">
        <w:rPr>
          <w:rFonts w:eastAsia="Calibri"/>
          <w:color w:val="auto"/>
        </w:rPr>
        <w:t xml:space="preserve"> </w:t>
      </w:r>
      <w:r w:rsidR="00D52E29" w:rsidRPr="007D29C5">
        <w:rPr>
          <w:rFonts w:eastAsia="Calibri"/>
          <w:color w:val="auto"/>
        </w:rPr>
        <w:t xml:space="preserve">It is often unrealistic to expect </w:t>
      </w:r>
      <w:r w:rsidR="0009570A" w:rsidRPr="007D29C5">
        <w:rPr>
          <w:rFonts w:eastAsia="Calibri"/>
          <w:color w:val="auto"/>
        </w:rPr>
        <w:t>these dynamics to radically shift in a short period of time into an open and trusting relationship.</w:t>
      </w:r>
      <w:r w:rsidR="00D47576" w:rsidRPr="007D29C5">
        <w:rPr>
          <w:rFonts w:eastAsia="Calibri"/>
          <w:color w:val="auto"/>
        </w:rPr>
        <w:t xml:space="preserve"> </w:t>
      </w:r>
    </w:p>
    <w:tbl>
      <w:tblPr>
        <w:tblW w:w="0" w:type="auto"/>
        <w:tblLook w:val="04A0" w:firstRow="1" w:lastRow="0" w:firstColumn="1" w:lastColumn="0" w:noHBand="0" w:noVBand="1"/>
      </w:tblPr>
      <w:tblGrid>
        <w:gridCol w:w="9360"/>
      </w:tblGrid>
      <w:tr w:rsidR="000F4D7E" w:rsidRPr="007D29C5" w14:paraId="36FB8B7B" w14:textId="77777777" w:rsidTr="00597399">
        <w:trPr>
          <w:trHeight w:val="5800"/>
        </w:trPr>
        <w:tc>
          <w:tcPr>
            <w:tcW w:w="9360" w:type="dxa"/>
            <w:shd w:val="clear" w:color="auto" w:fill="auto"/>
          </w:tcPr>
          <w:p w14:paraId="71F74AC0" w14:textId="61C8068B" w:rsidR="000F4D7E" w:rsidRPr="007D29C5" w:rsidRDefault="00886CB9" w:rsidP="005459D6">
            <w:pPr>
              <w:pBdr>
                <w:top w:val="none" w:sz="0" w:space="0" w:color="auto"/>
                <w:left w:val="none" w:sz="0" w:space="0" w:color="auto"/>
                <w:bottom w:val="none" w:sz="0" w:space="0" w:color="auto"/>
                <w:right w:val="none" w:sz="0" w:space="0" w:color="auto"/>
                <w:between w:val="none" w:sz="0" w:space="0" w:color="auto"/>
              </w:pBdr>
              <w:spacing w:line="480" w:lineRule="auto"/>
              <w:jc w:val="both"/>
              <w:rPr>
                <w:rFonts w:eastAsia="Calibri"/>
                <w:color w:val="auto"/>
              </w:rPr>
            </w:pPr>
            <w:r w:rsidRPr="007D29C5">
              <w:rPr>
                <w:rFonts w:eastAsia="Calibri"/>
                <w:b/>
                <w:noProof/>
                <w:lang w:val="en-CA" w:eastAsia="en-CA"/>
              </w:rPr>
              <w:lastRenderedPageBreak/>
              <w:drawing>
                <wp:inline distT="0" distB="0" distL="0" distR="0" wp14:anchorId="2E903791" wp14:editId="0722EC18">
                  <wp:extent cx="5943600" cy="330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02000"/>
                          </a:xfrm>
                          <a:prstGeom prst="rect">
                            <a:avLst/>
                          </a:prstGeom>
                          <a:noFill/>
                          <a:ln>
                            <a:noFill/>
                          </a:ln>
                        </pic:spPr>
                      </pic:pic>
                    </a:graphicData>
                  </a:graphic>
                </wp:inline>
              </w:drawing>
            </w:r>
          </w:p>
        </w:tc>
      </w:tr>
      <w:tr w:rsidR="000F4D7E" w:rsidRPr="007D29C5" w14:paraId="2EF440DF" w14:textId="77777777" w:rsidTr="00597399">
        <w:trPr>
          <w:trHeight w:val="755"/>
        </w:trPr>
        <w:tc>
          <w:tcPr>
            <w:tcW w:w="9360" w:type="dxa"/>
            <w:shd w:val="clear" w:color="auto" w:fill="auto"/>
          </w:tcPr>
          <w:p w14:paraId="6B22BE87" w14:textId="77777777" w:rsidR="000F4D7E" w:rsidRPr="007D29C5" w:rsidRDefault="000F4D7E" w:rsidP="005459D6">
            <w:pPr>
              <w:pBdr>
                <w:top w:val="none" w:sz="0" w:space="0" w:color="auto"/>
                <w:left w:val="none" w:sz="0" w:space="0" w:color="auto"/>
                <w:bottom w:val="none" w:sz="0" w:space="0" w:color="auto"/>
                <w:right w:val="none" w:sz="0" w:space="0" w:color="auto"/>
                <w:between w:val="none" w:sz="0" w:space="0" w:color="auto"/>
              </w:pBdr>
              <w:spacing w:line="480" w:lineRule="auto"/>
              <w:jc w:val="both"/>
              <w:rPr>
                <w:rFonts w:eastAsia="Calibri"/>
                <w:color w:val="auto"/>
              </w:rPr>
            </w:pPr>
            <w:r w:rsidRPr="007D29C5">
              <w:rPr>
                <w:rFonts w:eastAsia="Calibri"/>
                <w:b/>
              </w:rPr>
              <w:t xml:space="preserve">Figure 2: </w:t>
            </w:r>
            <w:r w:rsidRPr="007D29C5">
              <w:rPr>
                <w:rFonts w:eastAsia="Calibri"/>
              </w:rPr>
              <w:t>The layered features of transdisciplinary collaboration</w:t>
            </w:r>
          </w:p>
        </w:tc>
      </w:tr>
    </w:tbl>
    <w:p w14:paraId="6B69805A" w14:textId="77777777" w:rsidR="00B0731E" w:rsidRPr="007D29C5" w:rsidRDefault="00B0731E" w:rsidP="0005681D">
      <w:pPr>
        <w:spacing w:line="480" w:lineRule="auto"/>
        <w:jc w:val="both"/>
        <w:rPr>
          <w:rFonts w:eastAsia="Calibri"/>
          <w:color w:val="auto"/>
        </w:rPr>
      </w:pPr>
    </w:p>
    <w:p w14:paraId="496DF8A0" w14:textId="75F9B0AD" w:rsidR="008A30D4" w:rsidRPr="007D29C5" w:rsidRDefault="008A30D4" w:rsidP="0005681D">
      <w:pPr>
        <w:spacing w:line="480" w:lineRule="auto"/>
        <w:jc w:val="both"/>
        <w:rPr>
          <w:rFonts w:eastAsia="Calibri"/>
        </w:rPr>
      </w:pPr>
      <w:r w:rsidRPr="007D29C5">
        <w:rPr>
          <w:rFonts w:eastAsia="Calibri"/>
          <w:color w:val="auto"/>
        </w:rPr>
        <w:t xml:space="preserve">In </w:t>
      </w:r>
      <w:r w:rsidR="0028435B" w:rsidRPr="007D29C5">
        <w:rPr>
          <w:rFonts w:eastAsia="Calibri"/>
          <w:color w:val="auto"/>
        </w:rPr>
        <w:t xml:space="preserve">multi-country consortia, particularly in </w:t>
      </w:r>
      <w:r w:rsidRPr="007D29C5">
        <w:rPr>
          <w:rFonts w:eastAsia="Calibri"/>
          <w:color w:val="auto"/>
        </w:rPr>
        <w:t xml:space="preserve">South-North partnerships, relationships between individuals and institutions are influenced by culturally and historically constituted notions of respect. </w:t>
      </w:r>
      <w:r w:rsidRPr="007D29C5">
        <w:rPr>
          <w:rFonts w:eastAsia="Calibri"/>
        </w:rPr>
        <w:t xml:space="preserve">A higher ranked university may resent, for example, being managed (as a subcontractor) by a lower ranked university. </w:t>
      </w:r>
      <w:r w:rsidRPr="007D29C5">
        <w:rPr>
          <w:rFonts w:eastAsia="Calibri"/>
          <w:color w:val="auto"/>
        </w:rPr>
        <w:t xml:space="preserve">Similarly, </w:t>
      </w:r>
      <w:r w:rsidR="003E21A7" w:rsidRPr="007D29C5">
        <w:rPr>
          <w:rFonts w:eastAsia="Calibri"/>
          <w:color w:val="auto"/>
        </w:rPr>
        <w:t>deep-seated</w:t>
      </w:r>
      <w:r w:rsidRPr="007D29C5">
        <w:rPr>
          <w:rFonts w:eastAsia="Calibri"/>
          <w:color w:val="auto"/>
        </w:rPr>
        <w:t xml:space="preserve"> historical injustices, perceptions and experiences of cultural domination and economic dependencies can simmer just below the surface of any relationship, rendering attempts to create incentives and </w:t>
      </w:r>
      <w:r w:rsidR="00056ABF" w:rsidRPr="007D29C5">
        <w:rPr>
          <w:rFonts w:eastAsia="Calibri"/>
          <w:color w:val="auto"/>
        </w:rPr>
        <w:t>positive</w:t>
      </w:r>
      <w:r w:rsidRPr="007D29C5">
        <w:rPr>
          <w:rFonts w:eastAsia="Calibri"/>
          <w:color w:val="auto"/>
        </w:rPr>
        <w:t xml:space="preserve"> learning environments ineffective. Accepting what can, and what cannot, be changed </w:t>
      </w:r>
      <w:r w:rsidR="0028435B" w:rsidRPr="007D29C5">
        <w:rPr>
          <w:rFonts w:eastAsia="Calibri"/>
          <w:color w:val="auto"/>
        </w:rPr>
        <w:t xml:space="preserve">during a </w:t>
      </w:r>
      <w:r w:rsidR="00896C61" w:rsidRPr="007D29C5">
        <w:rPr>
          <w:rFonts w:eastAsia="Calibri"/>
          <w:color w:val="auto"/>
        </w:rPr>
        <w:t>five-</w:t>
      </w:r>
      <w:r w:rsidRPr="007D29C5">
        <w:rPr>
          <w:rFonts w:eastAsia="Calibri"/>
          <w:color w:val="auto"/>
        </w:rPr>
        <w:t xml:space="preserve">year research program is crucial for learning how to navigate these deep structural barriers to transdisciplinary collaboration. </w:t>
      </w:r>
      <w:r w:rsidR="00D72E56" w:rsidRPr="007D29C5">
        <w:rPr>
          <w:rFonts w:eastAsia="Calibri"/>
          <w:color w:val="auto"/>
        </w:rPr>
        <w:t xml:space="preserve">It is </w:t>
      </w:r>
      <w:r w:rsidR="00661FD8" w:rsidRPr="007D29C5">
        <w:rPr>
          <w:rFonts w:eastAsia="Calibri"/>
          <w:color w:val="auto"/>
        </w:rPr>
        <w:t>critically</w:t>
      </w:r>
      <w:r w:rsidR="00D72E56" w:rsidRPr="007D29C5">
        <w:rPr>
          <w:rFonts w:eastAsia="Calibri"/>
          <w:color w:val="auto"/>
        </w:rPr>
        <w:t xml:space="preserve"> important to carefully consider the ways in which the structure of partnerships may serve to reinforce such perceptions and experiences from the inception phase of any collaboration.</w:t>
      </w:r>
    </w:p>
    <w:p w14:paraId="1AE7FCC0" w14:textId="77777777" w:rsidR="008A30D4" w:rsidRPr="007D29C5" w:rsidRDefault="008A30D4" w:rsidP="0005681D">
      <w:pPr>
        <w:spacing w:line="480" w:lineRule="auto"/>
        <w:jc w:val="both"/>
        <w:rPr>
          <w:rFonts w:eastAsia="Calibri"/>
        </w:rPr>
      </w:pPr>
    </w:p>
    <w:p w14:paraId="50D8176F" w14:textId="129E7BB0" w:rsidR="0067644D" w:rsidRPr="007D29C5" w:rsidRDefault="0009570A" w:rsidP="0005681D">
      <w:pPr>
        <w:spacing w:line="480" w:lineRule="auto"/>
        <w:jc w:val="both"/>
        <w:rPr>
          <w:rFonts w:eastAsia="Calibri"/>
          <w:color w:val="auto"/>
        </w:rPr>
      </w:pPr>
      <w:r w:rsidRPr="007D29C5">
        <w:rPr>
          <w:rFonts w:eastAsia="Calibri"/>
        </w:rPr>
        <w:t>Leadership</w:t>
      </w:r>
      <w:r w:rsidR="00F67FF8" w:rsidRPr="007D29C5">
        <w:rPr>
          <w:rFonts w:eastAsia="Calibri"/>
        </w:rPr>
        <w:t xml:space="preserve"> is a relational feature of collaboration </w:t>
      </w:r>
      <w:r w:rsidR="00661FD8" w:rsidRPr="007D29C5">
        <w:rPr>
          <w:rFonts w:eastAsia="Calibri"/>
        </w:rPr>
        <w:t>because it emerges from the relationship between individuals in a shared endeavour</w:t>
      </w:r>
      <w:r w:rsidR="00F67FF8" w:rsidRPr="007D29C5">
        <w:rPr>
          <w:rFonts w:eastAsia="Calibri"/>
        </w:rPr>
        <w:t>. The most successful leadership styles</w:t>
      </w:r>
      <w:r w:rsidR="0067644D" w:rsidRPr="007D29C5">
        <w:rPr>
          <w:rFonts w:eastAsia="Calibri"/>
        </w:rPr>
        <w:t xml:space="preserve"> in</w:t>
      </w:r>
      <w:r w:rsidR="00F67FF8" w:rsidRPr="007D29C5">
        <w:rPr>
          <w:rFonts w:eastAsia="Calibri"/>
        </w:rPr>
        <w:t xml:space="preserve"> </w:t>
      </w:r>
      <w:r w:rsidR="0067644D" w:rsidRPr="007D29C5">
        <w:rPr>
          <w:rFonts w:eastAsia="Calibri"/>
        </w:rPr>
        <w:t>CARIAA</w:t>
      </w:r>
      <w:r w:rsidR="00F67FF8" w:rsidRPr="007D29C5">
        <w:rPr>
          <w:rFonts w:eastAsia="Calibri"/>
        </w:rPr>
        <w:t xml:space="preserve"> </w:t>
      </w:r>
      <w:r w:rsidR="0067644D" w:rsidRPr="007D29C5">
        <w:rPr>
          <w:rFonts w:eastAsia="Calibri"/>
        </w:rPr>
        <w:t>have been</w:t>
      </w:r>
      <w:r w:rsidR="00F67FF8" w:rsidRPr="007D29C5">
        <w:rPr>
          <w:rFonts w:eastAsia="Calibri"/>
        </w:rPr>
        <w:t xml:space="preserve"> characterized </w:t>
      </w:r>
      <w:r w:rsidR="007E445E" w:rsidRPr="007D29C5">
        <w:rPr>
          <w:rFonts w:eastAsia="Calibri"/>
          <w:color w:val="auto"/>
        </w:rPr>
        <w:t>as</w:t>
      </w:r>
      <w:r w:rsidR="00F67FF8" w:rsidRPr="007D29C5">
        <w:rPr>
          <w:rFonts w:eastAsia="Calibri"/>
          <w:color w:val="auto"/>
        </w:rPr>
        <w:t xml:space="preserve"> </w:t>
      </w:r>
      <w:r w:rsidR="00E458B0" w:rsidRPr="007D29C5">
        <w:rPr>
          <w:rFonts w:eastAsia="Calibri"/>
          <w:color w:val="auto"/>
        </w:rPr>
        <w:t xml:space="preserve">inclusive and </w:t>
      </w:r>
      <w:r w:rsidR="0067644D" w:rsidRPr="007D29C5">
        <w:rPr>
          <w:rFonts w:eastAsia="Calibri"/>
          <w:color w:val="auto"/>
        </w:rPr>
        <w:t>hands-on</w:t>
      </w:r>
      <w:r w:rsidR="007E445E" w:rsidRPr="007D29C5">
        <w:rPr>
          <w:rFonts w:eastAsia="Calibri"/>
          <w:color w:val="auto"/>
        </w:rPr>
        <w:t>, drawing</w:t>
      </w:r>
      <w:r w:rsidR="0067644D" w:rsidRPr="007D29C5">
        <w:rPr>
          <w:rFonts w:eastAsia="Calibri"/>
          <w:color w:val="auto"/>
        </w:rPr>
        <w:t xml:space="preserve"> </w:t>
      </w:r>
      <w:r w:rsidR="00F67FF8" w:rsidRPr="007D29C5">
        <w:rPr>
          <w:rFonts w:eastAsia="Calibri"/>
          <w:color w:val="auto"/>
        </w:rPr>
        <w:t>partners in</w:t>
      </w:r>
      <w:r w:rsidR="0067644D" w:rsidRPr="007D29C5">
        <w:rPr>
          <w:rFonts w:eastAsia="Calibri"/>
          <w:color w:val="auto"/>
        </w:rPr>
        <w:t>to</w:t>
      </w:r>
      <w:r w:rsidR="00F67FF8" w:rsidRPr="007D29C5">
        <w:rPr>
          <w:rFonts w:eastAsia="Calibri"/>
          <w:color w:val="auto"/>
        </w:rPr>
        <w:t xml:space="preserve"> project planning and design, ensuring that their interests and ideas </w:t>
      </w:r>
      <w:r w:rsidR="0067644D" w:rsidRPr="007D29C5">
        <w:rPr>
          <w:rFonts w:eastAsia="Calibri"/>
          <w:color w:val="auto"/>
        </w:rPr>
        <w:t>are</w:t>
      </w:r>
      <w:r w:rsidR="00F67FF8" w:rsidRPr="007D29C5">
        <w:rPr>
          <w:rFonts w:eastAsia="Calibri"/>
          <w:color w:val="auto"/>
        </w:rPr>
        <w:t xml:space="preserve"> incorporated into work streams, and </w:t>
      </w:r>
      <w:r w:rsidR="007E445E" w:rsidRPr="007D29C5">
        <w:rPr>
          <w:rFonts w:eastAsia="Calibri"/>
          <w:color w:val="auto"/>
        </w:rPr>
        <w:t>that they have</w:t>
      </w:r>
      <w:r w:rsidR="00F67FF8" w:rsidRPr="007D29C5">
        <w:rPr>
          <w:rFonts w:eastAsia="Calibri"/>
          <w:color w:val="auto"/>
        </w:rPr>
        <w:t xml:space="preserve"> a real stake in the outcomes.</w:t>
      </w:r>
      <w:r w:rsidR="0067644D" w:rsidRPr="007D29C5">
        <w:rPr>
          <w:rFonts w:eastAsia="Calibri"/>
          <w:color w:val="auto"/>
        </w:rPr>
        <w:t xml:space="preserve"> In some cultural contexts, </w:t>
      </w:r>
      <w:r w:rsidR="00056ABF" w:rsidRPr="007D29C5">
        <w:rPr>
          <w:rFonts w:eastAsia="Calibri"/>
          <w:color w:val="auto"/>
        </w:rPr>
        <w:t xml:space="preserve">success arose where </w:t>
      </w:r>
      <w:r w:rsidR="0067644D" w:rsidRPr="007D29C5">
        <w:rPr>
          <w:rFonts w:eastAsia="Calibri"/>
          <w:color w:val="auto"/>
        </w:rPr>
        <w:t xml:space="preserve">leaders considered friendships, and not purely professional relationships, as an important part of collaborative endeavors. </w:t>
      </w:r>
      <w:r w:rsidR="00056ABF" w:rsidRPr="007D29C5">
        <w:rPr>
          <w:rFonts w:eastAsia="Calibri"/>
          <w:color w:val="auto"/>
        </w:rPr>
        <w:t>In some cases, s</w:t>
      </w:r>
      <w:r w:rsidR="0067644D" w:rsidRPr="007D29C5">
        <w:rPr>
          <w:rFonts w:eastAsia="Calibri"/>
          <w:color w:val="auto"/>
        </w:rPr>
        <w:t>uch friendships made missing incentives less important in critical decisions about whether or not a given partner would collaborate</w:t>
      </w:r>
      <w:r w:rsidR="0028435B" w:rsidRPr="007D29C5">
        <w:rPr>
          <w:rFonts w:eastAsia="Calibri"/>
          <w:color w:val="auto"/>
        </w:rPr>
        <w:t xml:space="preserve"> on a task or activity</w:t>
      </w:r>
      <w:r w:rsidR="00056ABF" w:rsidRPr="007D29C5">
        <w:rPr>
          <w:rFonts w:eastAsia="Calibri"/>
          <w:color w:val="auto"/>
        </w:rPr>
        <w:t>, in other instances such friendships constituted the incentive to collaborate</w:t>
      </w:r>
      <w:r w:rsidR="0067644D" w:rsidRPr="007D29C5">
        <w:rPr>
          <w:rFonts w:eastAsia="Calibri"/>
          <w:color w:val="auto"/>
        </w:rPr>
        <w:t>.</w:t>
      </w:r>
    </w:p>
    <w:p w14:paraId="0D07D452" w14:textId="77777777" w:rsidR="00150BE5" w:rsidRPr="007D29C5" w:rsidRDefault="00150BE5" w:rsidP="0005681D">
      <w:pPr>
        <w:spacing w:line="480" w:lineRule="auto"/>
        <w:jc w:val="both"/>
        <w:rPr>
          <w:rFonts w:eastAsia="Calibri"/>
          <w:color w:val="FF0000"/>
        </w:rPr>
      </w:pPr>
    </w:p>
    <w:p w14:paraId="0068FCD9" w14:textId="5320EEC9" w:rsidR="00631ADE" w:rsidRPr="007D29C5" w:rsidRDefault="0009570A" w:rsidP="0005681D">
      <w:pPr>
        <w:spacing w:after="160" w:line="480" w:lineRule="auto"/>
        <w:jc w:val="both"/>
        <w:rPr>
          <w:rFonts w:eastAsia="Calibri"/>
        </w:rPr>
      </w:pPr>
      <w:r w:rsidRPr="007D29C5">
        <w:rPr>
          <w:rFonts w:eastAsia="Calibri"/>
        </w:rPr>
        <w:t xml:space="preserve">Trust, respect and leadership are all relational features of teams. </w:t>
      </w:r>
      <w:r w:rsidR="00884CEA" w:rsidRPr="007D29C5">
        <w:rPr>
          <w:rFonts w:eastAsia="Calibri"/>
        </w:rPr>
        <w:t xml:space="preserve">They are concerned with how people interact and respond to one another, and about people’s positionality in relation to others. </w:t>
      </w:r>
      <w:r w:rsidRPr="007D29C5">
        <w:rPr>
          <w:rFonts w:eastAsia="Calibri"/>
        </w:rPr>
        <w:t>These are not personal features</w:t>
      </w:r>
      <w:r w:rsidR="00884CEA" w:rsidRPr="007D29C5">
        <w:rPr>
          <w:rFonts w:eastAsia="Calibri"/>
        </w:rPr>
        <w:t xml:space="preserve"> of</w:t>
      </w:r>
      <w:r w:rsidR="005B4050" w:rsidRPr="007D29C5">
        <w:rPr>
          <w:rFonts w:eastAsia="Calibri"/>
        </w:rPr>
        <w:t xml:space="preserve"> individuals</w:t>
      </w:r>
      <w:r w:rsidRPr="007D29C5">
        <w:rPr>
          <w:rFonts w:eastAsia="Calibri"/>
        </w:rPr>
        <w:t>, they emerge through interaction</w:t>
      </w:r>
      <w:r w:rsidR="009D1539" w:rsidRPr="007D29C5">
        <w:rPr>
          <w:rFonts w:eastAsia="Calibri"/>
        </w:rPr>
        <w:t xml:space="preserve"> with others</w:t>
      </w:r>
      <w:r w:rsidRPr="007D29C5">
        <w:rPr>
          <w:rFonts w:eastAsia="Calibri"/>
        </w:rPr>
        <w:t xml:space="preserve">, and are </w:t>
      </w:r>
      <w:r w:rsidR="009D1539" w:rsidRPr="007D29C5">
        <w:rPr>
          <w:rFonts w:eastAsia="Calibri"/>
        </w:rPr>
        <w:t xml:space="preserve">therefore </w:t>
      </w:r>
      <w:r w:rsidRPr="007D29C5">
        <w:rPr>
          <w:rFonts w:eastAsia="Calibri"/>
        </w:rPr>
        <w:t xml:space="preserve">harder to factor into carefully designed transdisciplinary collaborative processes. </w:t>
      </w:r>
    </w:p>
    <w:p w14:paraId="56B8C701" w14:textId="21DBD197" w:rsidR="00631ADE" w:rsidRPr="007D29C5" w:rsidRDefault="0009570A" w:rsidP="00573662">
      <w:pPr>
        <w:pStyle w:val="ListParagraph"/>
        <w:keepNext/>
        <w:keepLines/>
        <w:numPr>
          <w:ilvl w:val="0"/>
          <w:numId w:val="9"/>
        </w:numPr>
        <w:spacing w:before="240" w:line="480" w:lineRule="auto"/>
        <w:outlineLvl w:val="0"/>
        <w:rPr>
          <w:rFonts w:eastAsia="Calibri"/>
          <w:b/>
        </w:rPr>
      </w:pPr>
      <w:r w:rsidRPr="007D29C5">
        <w:rPr>
          <w:rFonts w:eastAsia="Calibri"/>
          <w:b/>
        </w:rPr>
        <w:t>Systemic features of collaborative efforts</w:t>
      </w:r>
    </w:p>
    <w:p w14:paraId="09B757B8" w14:textId="06FBD171" w:rsidR="00631ADE" w:rsidRPr="007D29C5" w:rsidRDefault="0009570A" w:rsidP="0005681D">
      <w:pPr>
        <w:spacing w:after="160" w:line="480" w:lineRule="auto"/>
        <w:jc w:val="both"/>
        <w:rPr>
          <w:rFonts w:eastAsia="Calibri"/>
        </w:rPr>
      </w:pPr>
      <w:r w:rsidRPr="007D29C5">
        <w:rPr>
          <w:rFonts w:eastAsia="Calibri"/>
        </w:rPr>
        <w:t xml:space="preserve">Even when trust, appropriate leadership, and </w:t>
      </w:r>
      <w:r w:rsidR="006B5645" w:rsidRPr="007D29C5">
        <w:rPr>
          <w:rFonts w:eastAsia="Calibri"/>
        </w:rPr>
        <w:t>careful investment in design for collaboration</w:t>
      </w:r>
      <w:r w:rsidRPr="007D29C5">
        <w:rPr>
          <w:rFonts w:eastAsia="Calibri"/>
        </w:rPr>
        <w:t xml:space="preserve"> come together in a transdisciplinary team, the CARIAA experience suggests that a handful of systemic enablers</w:t>
      </w:r>
      <w:r w:rsidR="00661FD8" w:rsidRPr="007D29C5">
        <w:rPr>
          <w:rFonts w:eastAsia="Calibri"/>
        </w:rPr>
        <w:t xml:space="preserve"> and constraints</w:t>
      </w:r>
      <w:r w:rsidRPr="007D29C5">
        <w:rPr>
          <w:rFonts w:eastAsia="Calibri"/>
        </w:rPr>
        <w:t xml:space="preserve"> can still strongly influence outcomes. These systemic features include the design of partnership </w:t>
      </w:r>
      <w:r w:rsidR="00E458B0" w:rsidRPr="007D29C5">
        <w:rPr>
          <w:rFonts w:eastAsia="Calibri"/>
        </w:rPr>
        <w:t xml:space="preserve">processes and </w:t>
      </w:r>
      <w:r w:rsidRPr="007D29C5">
        <w:rPr>
          <w:rFonts w:eastAsia="Calibri"/>
        </w:rPr>
        <w:t xml:space="preserve">agreements, </w:t>
      </w:r>
      <w:r w:rsidR="00926879" w:rsidRPr="007D29C5">
        <w:rPr>
          <w:rFonts w:eastAsia="Calibri"/>
        </w:rPr>
        <w:t xml:space="preserve">the presence </w:t>
      </w:r>
      <w:r w:rsidR="0012711E" w:rsidRPr="007D29C5">
        <w:rPr>
          <w:rFonts w:eastAsia="Calibri"/>
        </w:rPr>
        <w:t xml:space="preserve">of </w:t>
      </w:r>
      <w:r w:rsidRPr="007D29C5">
        <w:rPr>
          <w:rFonts w:eastAsia="Calibri"/>
        </w:rPr>
        <w:t>power asymmetries between partners and con</w:t>
      </w:r>
      <w:r w:rsidR="00D72E56" w:rsidRPr="007D29C5">
        <w:rPr>
          <w:rFonts w:eastAsia="Calibri"/>
        </w:rPr>
        <w:t xml:space="preserve">flicting institutional cultures, </w:t>
      </w:r>
      <w:r w:rsidRPr="007D29C5">
        <w:rPr>
          <w:rFonts w:eastAsia="Calibri"/>
        </w:rPr>
        <w:t>values</w:t>
      </w:r>
      <w:r w:rsidR="00D72E56" w:rsidRPr="007D29C5">
        <w:rPr>
          <w:rFonts w:eastAsia="Calibri"/>
        </w:rPr>
        <w:t xml:space="preserve"> and understanding</w:t>
      </w:r>
      <w:r w:rsidR="000F7DA7" w:rsidRPr="007D29C5">
        <w:rPr>
          <w:rFonts w:eastAsia="Calibri"/>
        </w:rPr>
        <w:t>s</w:t>
      </w:r>
      <w:r w:rsidR="00D72E56" w:rsidRPr="007D29C5">
        <w:rPr>
          <w:rFonts w:eastAsia="Calibri"/>
        </w:rPr>
        <w:t xml:space="preserve"> of success</w:t>
      </w:r>
      <w:r w:rsidRPr="007D29C5">
        <w:rPr>
          <w:rFonts w:eastAsia="Calibri"/>
        </w:rPr>
        <w:t>.</w:t>
      </w:r>
    </w:p>
    <w:p w14:paraId="59ACF45A" w14:textId="0A2BD30C" w:rsidR="00631ADE" w:rsidRPr="007D29C5" w:rsidRDefault="00573662" w:rsidP="00B570B4">
      <w:pPr>
        <w:pStyle w:val="Heading2"/>
        <w:spacing w:line="480" w:lineRule="auto"/>
        <w:ind w:left="0"/>
        <w:rPr>
          <w:rFonts w:ascii="Times New Roman" w:hAnsi="Times New Roman" w:cs="Times New Roman"/>
        </w:rPr>
      </w:pPr>
      <w:r w:rsidRPr="007D29C5">
        <w:rPr>
          <w:rFonts w:ascii="Times New Roman" w:hAnsi="Times New Roman" w:cs="Times New Roman"/>
        </w:rPr>
        <w:lastRenderedPageBreak/>
        <w:t xml:space="preserve">6.1. </w:t>
      </w:r>
      <w:r w:rsidR="0009570A" w:rsidRPr="007D29C5">
        <w:rPr>
          <w:rFonts w:ascii="Times New Roman" w:hAnsi="Times New Roman" w:cs="Times New Roman"/>
        </w:rPr>
        <w:t>Partnership agreements</w:t>
      </w:r>
    </w:p>
    <w:p w14:paraId="5B26F79C" w14:textId="77777777" w:rsidR="000317F8" w:rsidRPr="007D29C5" w:rsidRDefault="000317F8" w:rsidP="0005681D">
      <w:pPr>
        <w:spacing w:after="160" w:line="480" w:lineRule="auto"/>
        <w:jc w:val="both"/>
        <w:rPr>
          <w:rFonts w:eastAsia="Calibri"/>
        </w:rPr>
      </w:pPr>
      <w:r w:rsidRPr="007D29C5">
        <w:rPr>
          <w:rFonts w:eastAsia="Calibri"/>
        </w:rPr>
        <w:t>In</w:t>
      </w:r>
      <w:r w:rsidR="0009570A" w:rsidRPr="007D29C5">
        <w:rPr>
          <w:rFonts w:eastAsia="Calibri"/>
        </w:rPr>
        <w:t xml:space="preserve"> large research programs</w:t>
      </w:r>
      <w:r w:rsidRPr="007D29C5">
        <w:rPr>
          <w:rFonts w:eastAsia="Calibri"/>
        </w:rPr>
        <w:t xml:space="preserve">, </w:t>
      </w:r>
      <w:r w:rsidR="0009570A" w:rsidRPr="007D29C5">
        <w:rPr>
          <w:rFonts w:eastAsia="Calibri"/>
        </w:rPr>
        <w:t xml:space="preserve">risk management </w:t>
      </w:r>
      <w:r w:rsidRPr="007D29C5">
        <w:rPr>
          <w:rFonts w:eastAsia="Calibri"/>
        </w:rPr>
        <w:t>is essential to ensure that funds are spent effectively. However</w:t>
      </w:r>
      <w:r w:rsidR="00FB1079" w:rsidRPr="007D29C5">
        <w:rPr>
          <w:rFonts w:eastAsia="Calibri"/>
        </w:rPr>
        <w:t>,</w:t>
      </w:r>
      <w:r w:rsidR="00661FD8" w:rsidRPr="007D29C5">
        <w:rPr>
          <w:rFonts w:eastAsia="Calibri"/>
        </w:rPr>
        <w:t xml:space="preserve"> these risk-</w:t>
      </w:r>
      <w:r w:rsidRPr="007D29C5">
        <w:rPr>
          <w:rFonts w:eastAsia="Calibri"/>
        </w:rPr>
        <w:t xml:space="preserve">management approaches </w:t>
      </w:r>
      <w:r w:rsidR="0009570A" w:rsidRPr="007D29C5">
        <w:rPr>
          <w:rFonts w:eastAsia="Calibri"/>
        </w:rPr>
        <w:t xml:space="preserve">can lead to legally binding partnership agreements that undermine collaborative outcomes. </w:t>
      </w:r>
      <w:r w:rsidR="008C257C" w:rsidRPr="007D29C5">
        <w:rPr>
          <w:rFonts w:eastAsia="Calibri"/>
        </w:rPr>
        <w:t>I</w:t>
      </w:r>
      <w:r w:rsidR="0009570A" w:rsidRPr="007D29C5">
        <w:rPr>
          <w:rFonts w:eastAsia="Calibri"/>
        </w:rPr>
        <w:t xml:space="preserve">n CARIAA an important risk management strategy was to develop individual grant agreements </w:t>
      </w:r>
      <w:r w:rsidR="007E445E" w:rsidRPr="007D29C5">
        <w:rPr>
          <w:rFonts w:eastAsia="Calibri"/>
        </w:rPr>
        <w:t xml:space="preserve">between the IDRC and </w:t>
      </w:r>
      <w:r w:rsidR="0009570A" w:rsidRPr="007D29C5">
        <w:rPr>
          <w:rFonts w:eastAsia="Calibri"/>
        </w:rPr>
        <w:t xml:space="preserve">the core partners in each of the four consortia. The expectation, however, was that partners would collaborate both within and between </w:t>
      </w:r>
      <w:r w:rsidR="00661FD8" w:rsidRPr="007D29C5">
        <w:rPr>
          <w:rFonts w:eastAsia="Calibri"/>
        </w:rPr>
        <w:t xml:space="preserve">the </w:t>
      </w:r>
      <w:r w:rsidR="0009570A" w:rsidRPr="007D29C5">
        <w:rPr>
          <w:rFonts w:eastAsia="Calibri"/>
        </w:rPr>
        <w:t xml:space="preserve">consortia. The presence of individual grant agreements provided </w:t>
      </w:r>
      <w:r w:rsidRPr="007D29C5">
        <w:rPr>
          <w:rFonts w:eastAsia="Calibri"/>
        </w:rPr>
        <w:t xml:space="preserve">an </w:t>
      </w:r>
      <w:r w:rsidR="007E445E" w:rsidRPr="007D29C5">
        <w:rPr>
          <w:rFonts w:eastAsia="Calibri"/>
        </w:rPr>
        <w:t>unanticipated</w:t>
      </w:r>
      <w:r w:rsidRPr="007D29C5">
        <w:rPr>
          <w:rFonts w:eastAsia="Calibri"/>
        </w:rPr>
        <w:t xml:space="preserve"> disincentive </w:t>
      </w:r>
      <w:r w:rsidR="0009570A" w:rsidRPr="007D29C5">
        <w:rPr>
          <w:rFonts w:eastAsia="Calibri"/>
        </w:rPr>
        <w:t xml:space="preserve">for core partners to collaborate, since they reported </w:t>
      </w:r>
      <w:r w:rsidR="007E445E" w:rsidRPr="007D29C5">
        <w:rPr>
          <w:rFonts w:eastAsia="Calibri"/>
        </w:rPr>
        <w:t xml:space="preserve">to the funder </w:t>
      </w:r>
      <w:r w:rsidR="0009570A" w:rsidRPr="007D29C5">
        <w:rPr>
          <w:rFonts w:eastAsia="Calibri"/>
        </w:rPr>
        <w:t>individ</w:t>
      </w:r>
      <w:r w:rsidR="007E445E" w:rsidRPr="007D29C5">
        <w:rPr>
          <w:rFonts w:eastAsia="Calibri"/>
        </w:rPr>
        <w:t>ually, rather than collectively</w:t>
      </w:r>
      <w:r w:rsidR="00926879" w:rsidRPr="007D29C5">
        <w:rPr>
          <w:rFonts w:eastAsia="Calibri"/>
        </w:rPr>
        <w:t xml:space="preserve">. </w:t>
      </w:r>
    </w:p>
    <w:p w14:paraId="00F6107D" w14:textId="154ACA85" w:rsidR="00712EB3" w:rsidRPr="007D29C5" w:rsidRDefault="00AB131E" w:rsidP="0005681D">
      <w:pPr>
        <w:spacing w:after="160" w:line="480" w:lineRule="auto"/>
        <w:jc w:val="both"/>
        <w:rPr>
          <w:rFonts w:eastAsia="Calibri"/>
        </w:rPr>
      </w:pPr>
      <w:r w:rsidRPr="007D29C5">
        <w:rPr>
          <w:rFonts w:eastAsia="Calibri"/>
          <w:color w:val="auto"/>
        </w:rPr>
        <w:t xml:space="preserve">Some consortia solved this challenge for themselves by creating ‘Research Collaboration Agreements’ that tied the </w:t>
      </w:r>
      <w:r w:rsidR="007E445E" w:rsidRPr="007D29C5">
        <w:rPr>
          <w:rFonts w:eastAsia="Calibri"/>
          <w:color w:val="auto"/>
        </w:rPr>
        <w:t>consortium partners</w:t>
      </w:r>
      <w:r w:rsidRPr="007D29C5">
        <w:rPr>
          <w:rFonts w:eastAsia="Calibri"/>
          <w:color w:val="auto"/>
        </w:rPr>
        <w:t xml:space="preserve"> together legally, with Terms and Conditions</w:t>
      </w:r>
      <w:r w:rsidR="00661FD8" w:rsidRPr="007D29C5">
        <w:rPr>
          <w:rFonts w:eastAsia="Calibri"/>
          <w:color w:val="auto"/>
        </w:rPr>
        <w:t>, in a peer level agreement. The</w:t>
      </w:r>
      <w:r w:rsidRPr="007D29C5">
        <w:rPr>
          <w:rFonts w:eastAsia="Calibri"/>
          <w:color w:val="auto"/>
        </w:rPr>
        <w:t>s</w:t>
      </w:r>
      <w:r w:rsidR="00661FD8" w:rsidRPr="007D29C5">
        <w:rPr>
          <w:rFonts w:eastAsia="Calibri"/>
          <w:color w:val="auto"/>
        </w:rPr>
        <w:t>e</w:t>
      </w:r>
      <w:r w:rsidRPr="007D29C5">
        <w:rPr>
          <w:rFonts w:eastAsia="Calibri"/>
          <w:color w:val="auto"/>
        </w:rPr>
        <w:t xml:space="preserve"> agreement</w:t>
      </w:r>
      <w:r w:rsidR="00661FD8" w:rsidRPr="007D29C5">
        <w:rPr>
          <w:rFonts w:eastAsia="Calibri"/>
          <w:color w:val="auto"/>
        </w:rPr>
        <w:t>s</w:t>
      </w:r>
      <w:r w:rsidRPr="007D29C5">
        <w:rPr>
          <w:rFonts w:eastAsia="Calibri"/>
          <w:color w:val="auto"/>
        </w:rPr>
        <w:t xml:space="preserve"> ensured that the </w:t>
      </w:r>
      <w:r w:rsidR="000317F8" w:rsidRPr="007D29C5">
        <w:rPr>
          <w:rFonts w:eastAsia="Calibri"/>
          <w:color w:val="auto"/>
        </w:rPr>
        <w:t>partners</w:t>
      </w:r>
      <w:r w:rsidRPr="007D29C5">
        <w:rPr>
          <w:rFonts w:eastAsia="Calibri"/>
          <w:color w:val="auto"/>
        </w:rPr>
        <w:t xml:space="preserve"> were </w:t>
      </w:r>
      <w:r w:rsidR="007E445E" w:rsidRPr="007D29C5">
        <w:rPr>
          <w:rFonts w:eastAsia="Calibri"/>
          <w:color w:val="auto"/>
        </w:rPr>
        <w:t xml:space="preserve">clear on </w:t>
      </w:r>
      <w:r w:rsidR="00DC56CF" w:rsidRPr="007D29C5">
        <w:rPr>
          <w:rFonts w:eastAsia="Calibri"/>
          <w:color w:val="auto"/>
        </w:rPr>
        <w:t xml:space="preserve">core partnership values and </w:t>
      </w:r>
      <w:r w:rsidR="007E445E" w:rsidRPr="007D29C5">
        <w:rPr>
          <w:rFonts w:eastAsia="Calibri"/>
          <w:color w:val="auto"/>
        </w:rPr>
        <w:t xml:space="preserve">expectations, on acceptable means of interaction, and that they were accountable to one another. </w:t>
      </w:r>
      <w:r w:rsidR="000317F8" w:rsidRPr="007D29C5">
        <w:rPr>
          <w:rFonts w:eastAsia="Calibri"/>
          <w:color w:val="auto"/>
        </w:rPr>
        <w:t xml:space="preserve">Another novel solution, from a </w:t>
      </w:r>
      <w:r w:rsidR="00712EB3" w:rsidRPr="007D29C5">
        <w:rPr>
          <w:rFonts w:eastAsia="Calibri"/>
        </w:rPr>
        <w:t>contractual perspective</w:t>
      </w:r>
      <w:r w:rsidR="000317F8" w:rsidRPr="007D29C5">
        <w:rPr>
          <w:rFonts w:eastAsia="Calibri"/>
        </w:rPr>
        <w:t>, was to cr</w:t>
      </w:r>
      <w:r w:rsidR="00DA4430" w:rsidRPr="007D29C5">
        <w:rPr>
          <w:rFonts w:eastAsia="Calibri"/>
        </w:rPr>
        <w:t xml:space="preserve">eate the flexible small grants funds described </w:t>
      </w:r>
      <w:r w:rsidR="00056ABF" w:rsidRPr="007D29C5">
        <w:rPr>
          <w:rFonts w:eastAsia="Calibri"/>
        </w:rPr>
        <w:t>above</w:t>
      </w:r>
      <w:r w:rsidR="00DA4430" w:rsidRPr="007D29C5">
        <w:rPr>
          <w:rFonts w:eastAsia="Calibri"/>
        </w:rPr>
        <w:t xml:space="preserve"> for both the program overall and </w:t>
      </w:r>
      <w:r w:rsidR="0028435B" w:rsidRPr="007D29C5">
        <w:rPr>
          <w:rFonts w:eastAsia="Calibri"/>
        </w:rPr>
        <w:t xml:space="preserve">in </w:t>
      </w:r>
      <w:r w:rsidR="00DA4430" w:rsidRPr="007D29C5">
        <w:rPr>
          <w:rFonts w:eastAsia="Calibri"/>
        </w:rPr>
        <w:t>one of the consortia</w:t>
      </w:r>
      <w:r w:rsidR="0028435B" w:rsidRPr="007D29C5">
        <w:rPr>
          <w:rFonts w:eastAsia="Calibri"/>
        </w:rPr>
        <w:t xml:space="preserve">. These flexible small grants allowed a balance between risk management and the agility needed to pursue opportunities </w:t>
      </w:r>
      <w:r w:rsidR="007E445E" w:rsidRPr="007D29C5">
        <w:rPr>
          <w:rFonts w:eastAsia="Calibri"/>
        </w:rPr>
        <w:t xml:space="preserve">and collaborative arrangements </w:t>
      </w:r>
      <w:r w:rsidR="0028435B" w:rsidRPr="007D29C5">
        <w:rPr>
          <w:rFonts w:eastAsia="Calibri"/>
        </w:rPr>
        <w:t xml:space="preserve">unforeseen at the start of the program. </w:t>
      </w:r>
    </w:p>
    <w:p w14:paraId="7AE345B3" w14:textId="5A35B484" w:rsidR="00631ADE" w:rsidRPr="007D29C5" w:rsidRDefault="00573662" w:rsidP="00B570B4">
      <w:pPr>
        <w:pStyle w:val="Heading2"/>
        <w:spacing w:line="480" w:lineRule="auto"/>
        <w:ind w:left="0"/>
        <w:rPr>
          <w:rFonts w:ascii="Times New Roman" w:hAnsi="Times New Roman" w:cs="Times New Roman"/>
        </w:rPr>
      </w:pPr>
      <w:r w:rsidRPr="007D29C5">
        <w:rPr>
          <w:rFonts w:ascii="Times New Roman" w:hAnsi="Times New Roman" w:cs="Times New Roman"/>
        </w:rPr>
        <w:t xml:space="preserve">6.2. </w:t>
      </w:r>
      <w:r w:rsidR="0009570A" w:rsidRPr="007D29C5">
        <w:rPr>
          <w:rFonts w:ascii="Times New Roman" w:hAnsi="Times New Roman" w:cs="Times New Roman"/>
        </w:rPr>
        <w:t>Power asymmetries between partners</w:t>
      </w:r>
    </w:p>
    <w:p w14:paraId="7BF5F05E" w14:textId="00C8A38C" w:rsidR="00DE420F" w:rsidRPr="007D29C5" w:rsidRDefault="00DE420F" w:rsidP="0005681D">
      <w:pPr>
        <w:pStyle w:val="NormalWeb"/>
        <w:spacing w:before="0" w:beforeAutospacing="0" w:after="160" w:afterAutospacing="0" w:line="480" w:lineRule="auto"/>
        <w:jc w:val="both"/>
      </w:pPr>
      <w:r w:rsidRPr="007D29C5">
        <w:rPr>
          <w:color w:val="000000"/>
        </w:rPr>
        <w:t>Transdisciplinary collaborations inevitably bring together partners who hold different levels of power, as perceived by themselves and others, in a variety of domains. Some partners will be more powerful by virtue of their mandate (e.g. a multilateral organisation versus a local research organisation), while others may hold a privileged position in terms of the respect th</w:t>
      </w:r>
      <w:r w:rsidR="007E445E" w:rsidRPr="007D29C5">
        <w:rPr>
          <w:color w:val="000000"/>
        </w:rPr>
        <w:t>at their knowledge commands (a u</w:t>
      </w:r>
      <w:r w:rsidRPr="007D29C5">
        <w:rPr>
          <w:color w:val="000000"/>
        </w:rPr>
        <w:t xml:space="preserve">niversity compared with a civil society organisation), and still others </w:t>
      </w:r>
      <w:r w:rsidRPr="007D29C5">
        <w:rPr>
          <w:color w:val="000000"/>
        </w:rPr>
        <w:lastRenderedPageBreak/>
        <w:t>will hold power because of their command of the English language. There are also individual power differences (based on educational background</w:t>
      </w:r>
      <w:r w:rsidR="004304C1" w:rsidRPr="007D29C5">
        <w:rPr>
          <w:color w:val="000000"/>
        </w:rPr>
        <w:t>, gender</w:t>
      </w:r>
      <w:r w:rsidRPr="007D29C5">
        <w:rPr>
          <w:color w:val="000000"/>
        </w:rPr>
        <w:t xml:space="preserve"> and age, among others) that play out</w:t>
      </w:r>
      <w:r w:rsidR="004304C1" w:rsidRPr="007D29C5">
        <w:rPr>
          <w:color w:val="000000"/>
        </w:rPr>
        <w:t xml:space="preserve"> in different cultural contexts.</w:t>
      </w:r>
      <w:r w:rsidR="00DC56CF" w:rsidRPr="007D29C5">
        <w:rPr>
          <w:color w:val="000000"/>
        </w:rPr>
        <w:t xml:space="preserve"> </w:t>
      </w:r>
      <w:r w:rsidRPr="007D29C5">
        <w:rPr>
          <w:color w:val="000000"/>
        </w:rPr>
        <w:t xml:space="preserve">Such power differentials can act as a barrier to effective collaboration and transdisciplinary learning. </w:t>
      </w:r>
    </w:p>
    <w:p w14:paraId="251333C5" w14:textId="4ED29F64" w:rsidR="00FB1079" w:rsidRPr="007D29C5" w:rsidRDefault="0009570A" w:rsidP="0005681D">
      <w:pPr>
        <w:spacing w:after="160" w:line="480" w:lineRule="auto"/>
        <w:jc w:val="both"/>
        <w:rPr>
          <w:rFonts w:eastAsia="Calibri"/>
        </w:rPr>
      </w:pPr>
      <w:r w:rsidRPr="007D29C5">
        <w:rPr>
          <w:rFonts w:eastAsia="Calibri"/>
        </w:rPr>
        <w:t xml:space="preserve">One consortium dealt with the fact that they had </w:t>
      </w:r>
      <w:r w:rsidR="00712EB3" w:rsidRPr="007D29C5">
        <w:rPr>
          <w:rFonts w:eastAsia="Calibri"/>
        </w:rPr>
        <w:t xml:space="preserve">a </w:t>
      </w:r>
      <w:r w:rsidRPr="007D29C5">
        <w:rPr>
          <w:rFonts w:eastAsia="Calibri"/>
        </w:rPr>
        <w:t>particularly dominant institution in the lead by</w:t>
      </w:r>
      <w:r w:rsidR="009F7086" w:rsidRPr="007D29C5">
        <w:rPr>
          <w:rFonts w:eastAsia="Calibri"/>
        </w:rPr>
        <w:t xml:space="preserve"> contracting an independent </w:t>
      </w:r>
      <w:r w:rsidR="00DC56CF" w:rsidRPr="007D29C5">
        <w:rPr>
          <w:rFonts w:eastAsia="Calibri"/>
        </w:rPr>
        <w:t xml:space="preserve">partnership broker </w:t>
      </w:r>
      <w:r w:rsidR="009F7086" w:rsidRPr="007D29C5">
        <w:rPr>
          <w:rFonts w:eastAsia="Calibri"/>
        </w:rPr>
        <w:t xml:space="preserve">to lead a participatory process of developing </w:t>
      </w:r>
      <w:r w:rsidR="00DC56CF" w:rsidRPr="007D29C5">
        <w:rPr>
          <w:rFonts w:eastAsia="Calibri"/>
        </w:rPr>
        <w:t xml:space="preserve">partnership </w:t>
      </w:r>
      <w:r w:rsidR="009F7086" w:rsidRPr="007D29C5">
        <w:rPr>
          <w:rFonts w:eastAsia="Calibri"/>
        </w:rPr>
        <w:t xml:space="preserve">principles and operational guidelines for all partners. These </w:t>
      </w:r>
      <w:r w:rsidRPr="007D29C5">
        <w:rPr>
          <w:rFonts w:eastAsia="Calibri"/>
        </w:rPr>
        <w:t>internal agreements</w:t>
      </w:r>
      <w:r w:rsidR="009F7086" w:rsidRPr="007D29C5">
        <w:rPr>
          <w:rFonts w:eastAsia="Calibri"/>
        </w:rPr>
        <w:t xml:space="preserve"> were signed by all</w:t>
      </w:r>
      <w:r w:rsidRPr="007D29C5">
        <w:rPr>
          <w:rFonts w:eastAsia="Calibri"/>
        </w:rPr>
        <w:t xml:space="preserve"> partners, </w:t>
      </w:r>
      <w:r w:rsidR="009F7086" w:rsidRPr="007D29C5">
        <w:rPr>
          <w:rFonts w:eastAsia="Calibri"/>
        </w:rPr>
        <w:t xml:space="preserve">and were frequently </w:t>
      </w:r>
      <w:r w:rsidR="00056ABF" w:rsidRPr="007D29C5">
        <w:rPr>
          <w:rFonts w:eastAsia="Calibri"/>
        </w:rPr>
        <w:t xml:space="preserve">returned to </w:t>
      </w:r>
      <w:r w:rsidR="004304C1" w:rsidRPr="007D29C5">
        <w:rPr>
          <w:rFonts w:eastAsia="Calibri"/>
        </w:rPr>
        <w:t>during</w:t>
      </w:r>
      <w:r w:rsidR="009F7086" w:rsidRPr="007D29C5">
        <w:rPr>
          <w:rFonts w:eastAsia="Calibri"/>
        </w:rPr>
        <w:t xml:space="preserve"> the project </w:t>
      </w:r>
      <w:r w:rsidR="009F7086" w:rsidRPr="007D29C5">
        <w:rPr>
          <w:lang w:val="en"/>
        </w:rPr>
        <w:t>in order to re</w:t>
      </w:r>
      <w:r w:rsidR="00712EB3" w:rsidRPr="007D29C5">
        <w:rPr>
          <w:lang w:val="en"/>
        </w:rPr>
        <w:t>solv</w:t>
      </w:r>
      <w:r w:rsidR="009F7086" w:rsidRPr="007D29C5">
        <w:rPr>
          <w:lang w:val="en"/>
        </w:rPr>
        <w:t>e disagreements</w:t>
      </w:r>
      <w:r w:rsidR="00712EB3" w:rsidRPr="007D29C5">
        <w:rPr>
          <w:lang w:val="en"/>
        </w:rPr>
        <w:t>.</w:t>
      </w:r>
      <w:r w:rsidRPr="007D29C5">
        <w:rPr>
          <w:rFonts w:eastAsia="Calibri"/>
        </w:rPr>
        <w:t xml:space="preserve"> This process </w:t>
      </w:r>
      <w:r w:rsidR="009F7086" w:rsidRPr="007D29C5">
        <w:rPr>
          <w:rFonts w:eastAsia="Calibri"/>
        </w:rPr>
        <w:t>was not</w:t>
      </w:r>
      <w:r w:rsidRPr="007D29C5">
        <w:rPr>
          <w:rFonts w:eastAsia="Calibri"/>
        </w:rPr>
        <w:t xml:space="preserve"> easy, and </w:t>
      </w:r>
      <w:r w:rsidR="009F7086" w:rsidRPr="007D29C5">
        <w:rPr>
          <w:rFonts w:eastAsia="Calibri"/>
        </w:rPr>
        <w:t>came</w:t>
      </w:r>
      <w:r w:rsidRPr="007D29C5">
        <w:rPr>
          <w:rFonts w:eastAsia="Calibri"/>
        </w:rPr>
        <w:t xml:space="preserve"> </w:t>
      </w:r>
      <w:r w:rsidR="008B6A24" w:rsidRPr="007D29C5">
        <w:rPr>
          <w:rFonts w:eastAsia="Calibri"/>
        </w:rPr>
        <w:t>with high transaction costs. O</w:t>
      </w:r>
      <w:r w:rsidRPr="007D29C5">
        <w:rPr>
          <w:rFonts w:eastAsia="Calibri"/>
        </w:rPr>
        <w:t>n the whole</w:t>
      </w:r>
      <w:r w:rsidR="008B6A24" w:rsidRPr="007D29C5">
        <w:rPr>
          <w:rFonts w:eastAsia="Calibri"/>
        </w:rPr>
        <w:t>, however,</w:t>
      </w:r>
      <w:r w:rsidRPr="007D29C5">
        <w:rPr>
          <w:rFonts w:eastAsia="Calibri"/>
        </w:rPr>
        <w:t xml:space="preserve"> the approach </w:t>
      </w:r>
      <w:r w:rsidR="004304C1" w:rsidRPr="007D29C5">
        <w:rPr>
          <w:rFonts w:eastAsia="Calibri"/>
        </w:rPr>
        <w:t>was</w:t>
      </w:r>
      <w:r w:rsidR="009F7086" w:rsidRPr="007D29C5">
        <w:rPr>
          <w:rFonts w:eastAsia="Calibri"/>
        </w:rPr>
        <w:t xml:space="preserve"> positive and necessary </w:t>
      </w:r>
      <w:r w:rsidR="004304C1" w:rsidRPr="007D29C5">
        <w:rPr>
          <w:rFonts w:eastAsia="Calibri"/>
        </w:rPr>
        <w:t xml:space="preserve">given the power </w:t>
      </w:r>
      <w:r w:rsidR="009F7086" w:rsidRPr="007D29C5">
        <w:rPr>
          <w:rFonts w:eastAsia="Calibri"/>
        </w:rPr>
        <w:t xml:space="preserve">asymmetries </w:t>
      </w:r>
      <w:r w:rsidR="004304C1" w:rsidRPr="007D29C5">
        <w:rPr>
          <w:rFonts w:eastAsia="Calibri"/>
        </w:rPr>
        <w:t xml:space="preserve">at play. </w:t>
      </w:r>
      <w:r w:rsidR="00FB1079" w:rsidRPr="007D29C5">
        <w:rPr>
          <w:rFonts w:eastAsia="Calibri"/>
        </w:rPr>
        <w:t xml:space="preserve">Our experience shows that power asymmetries are a deep systemic barrier, however they can and should be navigated (as demonstrated above) rather than approached with a naive </w:t>
      </w:r>
      <w:r w:rsidR="007A17F5" w:rsidRPr="007D29C5">
        <w:rPr>
          <w:rFonts w:eastAsia="Calibri"/>
        </w:rPr>
        <w:t xml:space="preserve">expectation that perfect process design features will </w:t>
      </w:r>
      <w:r w:rsidR="00661FD8" w:rsidRPr="007D29C5">
        <w:rPr>
          <w:rFonts w:eastAsia="Calibri"/>
        </w:rPr>
        <w:t>resolve</w:t>
      </w:r>
      <w:r w:rsidR="007A17F5" w:rsidRPr="007D29C5">
        <w:rPr>
          <w:rFonts w:eastAsia="Calibri"/>
        </w:rPr>
        <w:t xml:space="preserve"> them.</w:t>
      </w:r>
      <w:r w:rsidR="005D1434" w:rsidRPr="007D29C5">
        <w:rPr>
          <w:rFonts w:eastAsia="Calibri"/>
        </w:rPr>
        <w:t xml:space="preserve"> </w:t>
      </w:r>
    </w:p>
    <w:p w14:paraId="6CB5DC83" w14:textId="333DBC8F" w:rsidR="00631ADE" w:rsidRPr="007D29C5" w:rsidRDefault="00573662" w:rsidP="00573662">
      <w:pPr>
        <w:pStyle w:val="ListParagraph"/>
        <w:numPr>
          <w:ilvl w:val="1"/>
          <w:numId w:val="9"/>
        </w:numPr>
        <w:spacing w:after="160" w:line="480" w:lineRule="auto"/>
        <w:jc w:val="both"/>
        <w:outlineLvl w:val="0"/>
        <w:rPr>
          <w:rFonts w:eastAsia="Calibri"/>
          <w:b/>
        </w:rPr>
      </w:pPr>
      <w:r w:rsidRPr="007D29C5">
        <w:rPr>
          <w:rFonts w:eastAsia="Calibri"/>
          <w:b/>
        </w:rPr>
        <w:t xml:space="preserve"> </w:t>
      </w:r>
      <w:r w:rsidR="00C656B1" w:rsidRPr="007D29C5">
        <w:rPr>
          <w:rFonts w:eastAsia="Calibri"/>
          <w:b/>
        </w:rPr>
        <w:t>I</w:t>
      </w:r>
      <w:r w:rsidR="0009570A" w:rsidRPr="007D29C5">
        <w:rPr>
          <w:rFonts w:eastAsia="Calibri"/>
          <w:b/>
        </w:rPr>
        <w:t>nstitutional values and cultures</w:t>
      </w:r>
    </w:p>
    <w:p w14:paraId="17D98687" w14:textId="5B50AC1F" w:rsidR="00631ADE" w:rsidRPr="007D29C5" w:rsidRDefault="00661FD8" w:rsidP="0005681D">
      <w:pPr>
        <w:spacing w:after="160" w:line="480" w:lineRule="auto"/>
        <w:jc w:val="both"/>
        <w:rPr>
          <w:rFonts w:eastAsia="Calibri"/>
        </w:rPr>
      </w:pPr>
      <w:r w:rsidRPr="007D29C5">
        <w:rPr>
          <w:rFonts w:eastAsia="Calibri"/>
        </w:rPr>
        <w:t>B</w:t>
      </w:r>
      <w:r w:rsidR="0009570A" w:rsidRPr="007D29C5">
        <w:rPr>
          <w:rFonts w:eastAsia="Calibri"/>
        </w:rPr>
        <w:t>ringing together academic, civil society</w:t>
      </w:r>
      <w:r w:rsidR="00620A02" w:rsidRPr="007D29C5">
        <w:rPr>
          <w:rFonts w:eastAsia="Calibri"/>
        </w:rPr>
        <w:t>, private sector</w:t>
      </w:r>
      <w:r w:rsidR="0009570A" w:rsidRPr="007D29C5">
        <w:rPr>
          <w:rFonts w:eastAsia="Calibri"/>
        </w:rPr>
        <w:t xml:space="preserve"> and governmental </w:t>
      </w:r>
      <w:r w:rsidR="00C656B1" w:rsidRPr="007D29C5">
        <w:rPr>
          <w:rFonts w:eastAsia="Calibri"/>
        </w:rPr>
        <w:t>organizations</w:t>
      </w:r>
      <w:r w:rsidR="0009570A" w:rsidRPr="007D29C5">
        <w:rPr>
          <w:rFonts w:eastAsia="Calibri"/>
        </w:rPr>
        <w:t xml:space="preserve">, transdisciplinary collaborations </w:t>
      </w:r>
      <w:r w:rsidR="00C656B1" w:rsidRPr="007D29C5">
        <w:rPr>
          <w:rFonts w:eastAsia="Calibri"/>
        </w:rPr>
        <w:t>bring</w:t>
      </w:r>
      <w:r w:rsidRPr="007D29C5">
        <w:rPr>
          <w:rFonts w:eastAsia="Calibri"/>
        </w:rPr>
        <w:t>s</w:t>
      </w:r>
      <w:r w:rsidR="00C656B1" w:rsidRPr="007D29C5">
        <w:rPr>
          <w:rFonts w:eastAsia="Calibri"/>
        </w:rPr>
        <w:t xml:space="preserve"> institutional values and cultures into</w:t>
      </w:r>
      <w:r w:rsidR="0009570A" w:rsidRPr="007D29C5">
        <w:rPr>
          <w:rFonts w:eastAsia="Calibri"/>
        </w:rPr>
        <w:t xml:space="preserve"> stark relief. In CARIAA</w:t>
      </w:r>
      <w:r w:rsidR="00F52D11" w:rsidRPr="007D29C5">
        <w:rPr>
          <w:rFonts w:eastAsia="Calibri"/>
        </w:rPr>
        <w:t>,</w:t>
      </w:r>
      <w:r w:rsidR="00C656B1" w:rsidRPr="007D29C5">
        <w:rPr>
          <w:rFonts w:eastAsia="Calibri"/>
        </w:rPr>
        <w:t xml:space="preserve"> we have encountered many of the challenges associated with this key systemic barrier. </w:t>
      </w:r>
      <w:r w:rsidR="00056ABF" w:rsidRPr="007D29C5">
        <w:rPr>
          <w:rFonts w:eastAsia="Calibri"/>
        </w:rPr>
        <w:t>These include</w:t>
      </w:r>
      <w:r w:rsidR="00C656B1" w:rsidRPr="007D29C5">
        <w:rPr>
          <w:rFonts w:eastAsia="Calibri"/>
        </w:rPr>
        <w:t xml:space="preserve"> differences in commitments and abilities to meet deadlines, differences in staff time allocations to projects between institutions, </w:t>
      </w:r>
      <w:r w:rsidR="00056ABF" w:rsidRPr="007D29C5">
        <w:rPr>
          <w:rFonts w:eastAsia="Calibri"/>
        </w:rPr>
        <w:t>and</w:t>
      </w:r>
      <w:r w:rsidR="00C656B1" w:rsidRPr="007D29C5">
        <w:rPr>
          <w:rFonts w:eastAsia="Calibri"/>
        </w:rPr>
        <w:t xml:space="preserve"> the growing pressure on academic staff to produce high impact publications at all costs, including at the cost of pursuing </w:t>
      </w:r>
      <w:r w:rsidR="007E445E" w:rsidRPr="007D29C5">
        <w:rPr>
          <w:rFonts w:eastAsia="Calibri"/>
        </w:rPr>
        <w:t xml:space="preserve">other types of </w:t>
      </w:r>
      <w:r w:rsidR="00C656B1" w:rsidRPr="007D29C5">
        <w:rPr>
          <w:rFonts w:eastAsia="Calibri"/>
        </w:rPr>
        <w:t xml:space="preserve">impact through collaborative efforts.  </w:t>
      </w:r>
    </w:p>
    <w:p w14:paraId="6846D1C7" w14:textId="1F57B1C7" w:rsidR="00255AFB" w:rsidRPr="007D29C5" w:rsidRDefault="0009570A" w:rsidP="0005681D">
      <w:pPr>
        <w:spacing w:after="160" w:line="480" w:lineRule="auto"/>
        <w:jc w:val="both"/>
        <w:rPr>
          <w:rFonts w:eastAsia="Calibri"/>
        </w:rPr>
      </w:pPr>
      <w:r w:rsidRPr="007D29C5">
        <w:rPr>
          <w:rFonts w:eastAsia="Calibri"/>
        </w:rPr>
        <w:lastRenderedPageBreak/>
        <w:t xml:space="preserve">Navigating </w:t>
      </w:r>
      <w:r w:rsidR="00003E6A" w:rsidRPr="007D29C5">
        <w:rPr>
          <w:rFonts w:eastAsia="Calibri"/>
        </w:rPr>
        <w:t xml:space="preserve">these deep systemic barriers </w:t>
      </w:r>
      <w:r w:rsidRPr="007D29C5">
        <w:rPr>
          <w:rFonts w:eastAsia="Calibri"/>
        </w:rPr>
        <w:t>has become a full</w:t>
      </w:r>
      <w:r w:rsidR="00FB1079" w:rsidRPr="007D29C5">
        <w:rPr>
          <w:rFonts w:eastAsia="Calibri"/>
        </w:rPr>
        <w:t>-</w:t>
      </w:r>
      <w:r w:rsidRPr="007D29C5">
        <w:rPr>
          <w:rFonts w:eastAsia="Calibri"/>
        </w:rPr>
        <w:t xml:space="preserve">time occupation for a </w:t>
      </w:r>
      <w:r w:rsidR="00702263" w:rsidRPr="007D29C5">
        <w:rPr>
          <w:rFonts w:eastAsia="Calibri"/>
        </w:rPr>
        <w:t>key</w:t>
      </w:r>
      <w:r w:rsidRPr="007D29C5">
        <w:rPr>
          <w:rFonts w:eastAsia="Calibri"/>
        </w:rPr>
        <w:t xml:space="preserve"> type of actor in clima</w:t>
      </w:r>
      <w:r w:rsidR="00D241C1" w:rsidRPr="007D29C5">
        <w:rPr>
          <w:rFonts w:eastAsia="Calibri"/>
        </w:rPr>
        <w:t xml:space="preserve">te change research: </w:t>
      </w:r>
      <w:r w:rsidR="00DC56CF" w:rsidRPr="007D29C5">
        <w:rPr>
          <w:rFonts w:eastAsia="Calibri"/>
        </w:rPr>
        <w:t xml:space="preserve">consortium </w:t>
      </w:r>
      <w:r w:rsidR="00D241C1" w:rsidRPr="007D29C5">
        <w:rPr>
          <w:rFonts w:eastAsia="Calibri"/>
        </w:rPr>
        <w:t>co</w:t>
      </w:r>
      <w:r w:rsidRPr="007D29C5">
        <w:rPr>
          <w:rFonts w:eastAsia="Calibri"/>
        </w:rPr>
        <w:t>ordinators</w:t>
      </w:r>
      <w:r w:rsidR="007A17F5" w:rsidRPr="007D29C5">
        <w:rPr>
          <w:rFonts w:eastAsia="Calibri"/>
        </w:rPr>
        <w:t>, who coordinate rather than do the research, and if effective add significant value</w:t>
      </w:r>
      <w:r w:rsidR="00003E6A" w:rsidRPr="007D29C5">
        <w:rPr>
          <w:rFonts w:eastAsia="Calibri"/>
        </w:rPr>
        <w:t xml:space="preserve">. </w:t>
      </w:r>
      <w:r w:rsidR="00DC56CF" w:rsidRPr="007D29C5">
        <w:rPr>
          <w:rFonts w:eastAsia="Calibri"/>
        </w:rPr>
        <w:t xml:space="preserve">Consortium </w:t>
      </w:r>
      <w:r w:rsidR="00003E6A" w:rsidRPr="007D29C5">
        <w:rPr>
          <w:rFonts w:eastAsia="Calibri"/>
        </w:rPr>
        <w:t>coordinators play perh</w:t>
      </w:r>
      <w:r w:rsidR="007E445E" w:rsidRPr="007D29C5">
        <w:rPr>
          <w:rFonts w:eastAsia="Calibri"/>
        </w:rPr>
        <w:t>aps the most central role in this</w:t>
      </w:r>
      <w:r w:rsidR="00003E6A" w:rsidRPr="007D29C5">
        <w:rPr>
          <w:rFonts w:eastAsia="Calibri"/>
        </w:rPr>
        <w:t xml:space="preserve"> new genre of large</w:t>
      </w:r>
      <w:r w:rsidR="007E445E" w:rsidRPr="007D29C5">
        <w:rPr>
          <w:rFonts w:eastAsia="Calibri"/>
        </w:rPr>
        <w:t>-</w:t>
      </w:r>
      <w:r w:rsidR="00003E6A" w:rsidRPr="007D29C5">
        <w:rPr>
          <w:rFonts w:eastAsia="Calibri"/>
        </w:rPr>
        <w:t xml:space="preserve">scale research projects. Effective coordinators </w:t>
      </w:r>
      <w:r w:rsidR="007E445E" w:rsidRPr="007D29C5">
        <w:rPr>
          <w:rFonts w:eastAsia="Calibri"/>
        </w:rPr>
        <w:t xml:space="preserve">go beyond traditional management roles, mediating </w:t>
      </w:r>
      <w:r w:rsidR="00003E6A" w:rsidRPr="007D29C5">
        <w:rPr>
          <w:rFonts w:eastAsia="Calibri"/>
        </w:rPr>
        <w:t>between institutions with different values</w:t>
      </w:r>
      <w:r w:rsidRPr="007D29C5">
        <w:rPr>
          <w:rFonts w:eastAsia="Calibri"/>
        </w:rPr>
        <w:t xml:space="preserve">, </w:t>
      </w:r>
      <w:r w:rsidR="007E445E" w:rsidRPr="007D29C5">
        <w:rPr>
          <w:rFonts w:eastAsia="Calibri"/>
        </w:rPr>
        <w:t>being</w:t>
      </w:r>
      <w:r w:rsidR="00003E6A" w:rsidRPr="007D29C5">
        <w:rPr>
          <w:rFonts w:eastAsia="Calibri"/>
        </w:rPr>
        <w:t xml:space="preserve"> attentive to </w:t>
      </w:r>
      <w:r w:rsidRPr="007D29C5">
        <w:rPr>
          <w:rFonts w:eastAsia="Calibri"/>
        </w:rPr>
        <w:t xml:space="preserve">power </w:t>
      </w:r>
      <w:r w:rsidR="00C656B1" w:rsidRPr="007D29C5">
        <w:rPr>
          <w:rFonts w:eastAsia="Calibri"/>
        </w:rPr>
        <w:t>asymmetries</w:t>
      </w:r>
      <w:r w:rsidRPr="007D29C5">
        <w:rPr>
          <w:rFonts w:eastAsia="Calibri"/>
        </w:rPr>
        <w:t xml:space="preserve">, </w:t>
      </w:r>
      <w:r w:rsidR="00003E6A" w:rsidRPr="007D29C5">
        <w:rPr>
          <w:rFonts w:eastAsia="Calibri"/>
        </w:rPr>
        <w:t>and work</w:t>
      </w:r>
      <w:r w:rsidR="007E445E" w:rsidRPr="007D29C5">
        <w:rPr>
          <w:rFonts w:eastAsia="Calibri"/>
        </w:rPr>
        <w:t xml:space="preserve">ing </w:t>
      </w:r>
      <w:r w:rsidR="00003E6A" w:rsidRPr="007D29C5">
        <w:rPr>
          <w:rFonts w:eastAsia="Calibri"/>
        </w:rPr>
        <w:t xml:space="preserve">to </w:t>
      </w:r>
      <w:r w:rsidR="007E445E" w:rsidRPr="007D29C5">
        <w:rPr>
          <w:rFonts w:eastAsia="Calibri"/>
        </w:rPr>
        <w:t>navigate</w:t>
      </w:r>
      <w:r w:rsidR="00003E6A" w:rsidRPr="007D29C5">
        <w:rPr>
          <w:rFonts w:eastAsia="Calibri"/>
        </w:rPr>
        <w:t xml:space="preserve"> systemic barriers such as those embodied in grant agreements</w:t>
      </w:r>
      <w:r w:rsidRPr="007D29C5">
        <w:rPr>
          <w:rFonts w:eastAsia="Calibri"/>
        </w:rPr>
        <w:t xml:space="preserve">. </w:t>
      </w:r>
      <w:r w:rsidR="00045C28" w:rsidRPr="007D29C5">
        <w:rPr>
          <w:rFonts w:eastAsia="Calibri"/>
        </w:rPr>
        <w:t xml:space="preserve">However, </w:t>
      </w:r>
      <w:r w:rsidR="00DC56CF" w:rsidRPr="007D29C5">
        <w:rPr>
          <w:rFonts w:eastAsia="Calibri"/>
        </w:rPr>
        <w:t xml:space="preserve">consortium </w:t>
      </w:r>
      <w:r w:rsidR="00045C28" w:rsidRPr="007D29C5">
        <w:rPr>
          <w:rFonts w:eastAsia="Calibri"/>
        </w:rPr>
        <w:t xml:space="preserve">coordinators cannot substitute the need for strong project leadership, and indeed may become disabled by the lack of support from a hands-on leader. </w:t>
      </w:r>
      <w:r w:rsidR="005D1434" w:rsidRPr="007D29C5">
        <w:rPr>
          <w:rFonts w:eastAsia="Calibri"/>
        </w:rPr>
        <w:t>Project</w:t>
      </w:r>
      <w:r w:rsidR="00045C28" w:rsidRPr="007D29C5">
        <w:rPr>
          <w:rFonts w:eastAsia="Calibri"/>
        </w:rPr>
        <w:t xml:space="preserve"> coordinators and research leaders thus emerge as a key unit for success in large-scale collaborative research programs.</w:t>
      </w:r>
    </w:p>
    <w:p w14:paraId="7964B084" w14:textId="77777777" w:rsidR="00255AFB" w:rsidRPr="007D29C5" w:rsidRDefault="00255AFB" w:rsidP="0005681D">
      <w:pPr>
        <w:spacing w:after="160" w:line="480" w:lineRule="auto"/>
        <w:jc w:val="both"/>
        <w:rPr>
          <w:rFonts w:eastAsia="Calibri"/>
        </w:rPr>
      </w:pPr>
    </w:p>
    <w:p w14:paraId="2620609C" w14:textId="1D798012" w:rsidR="00631ADE" w:rsidRPr="007D29C5" w:rsidRDefault="00347EA1" w:rsidP="00573662">
      <w:pPr>
        <w:pStyle w:val="ListParagraph"/>
        <w:numPr>
          <w:ilvl w:val="0"/>
          <w:numId w:val="9"/>
        </w:numPr>
        <w:spacing w:after="160" w:line="480" w:lineRule="auto"/>
        <w:jc w:val="both"/>
        <w:outlineLvl w:val="0"/>
        <w:rPr>
          <w:rFonts w:eastAsia="Calibri"/>
          <w:b/>
        </w:rPr>
      </w:pPr>
      <w:r w:rsidRPr="007D29C5">
        <w:rPr>
          <w:rFonts w:eastAsia="Calibri"/>
          <w:b/>
        </w:rPr>
        <w:t>L</w:t>
      </w:r>
      <w:r w:rsidR="0009570A" w:rsidRPr="007D29C5">
        <w:rPr>
          <w:rFonts w:eastAsia="Calibri"/>
          <w:b/>
        </w:rPr>
        <w:t>essons from self-</w:t>
      </w:r>
      <w:r w:rsidR="00003E6A" w:rsidRPr="007D29C5">
        <w:rPr>
          <w:rFonts w:eastAsia="Calibri"/>
          <w:b/>
        </w:rPr>
        <w:t>organizing collaboration</w:t>
      </w:r>
    </w:p>
    <w:p w14:paraId="432708AE" w14:textId="77777777" w:rsidR="00631ADE" w:rsidRPr="007D29C5" w:rsidRDefault="0009570A" w:rsidP="0005681D">
      <w:pPr>
        <w:spacing w:after="160" w:line="480" w:lineRule="auto"/>
        <w:jc w:val="both"/>
        <w:rPr>
          <w:rFonts w:eastAsia="Calibri"/>
        </w:rPr>
      </w:pPr>
      <w:r w:rsidRPr="007D29C5">
        <w:rPr>
          <w:rFonts w:eastAsia="Calibri"/>
        </w:rPr>
        <w:t xml:space="preserve">Despite the relational and systemic </w:t>
      </w:r>
      <w:r w:rsidR="005D1434" w:rsidRPr="007D29C5">
        <w:rPr>
          <w:rFonts w:eastAsia="Calibri"/>
        </w:rPr>
        <w:t>constraints</w:t>
      </w:r>
      <w:r w:rsidRPr="007D29C5">
        <w:rPr>
          <w:rFonts w:eastAsia="Calibri"/>
        </w:rPr>
        <w:t xml:space="preserve"> described here, the emergence of a handful of self-organizing, unplanned and highly successful collaborations</w:t>
      </w:r>
      <w:r w:rsidR="000F400F" w:rsidRPr="007D29C5">
        <w:rPr>
          <w:rFonts w:eastAsia="Calibri"/>
        </w:rPr>
        <w:t xml:space="preserve"> in CARIAA offer insight into factors that help</w:t>
      </w:r>
      <w:r w:rsidRPr="007D29C5">
        <w:rPr>
          <w:rFonts w:eastAsia="Calibri"/>
        </w:rPr>
        <w:t xml:space="preserve"> transcend the</w:t>
      </w:r>
      <w:r w:rsidR="005D1434" w:rsidRPr="007D29C5">
        <w:rPr>
          <w:rFonts w:eastAsia="Calibri"/>
        </w:rPr>
        <w:t>se</w:t>
      </w:r>
      <w:r w:rsidRPr="007D29C5">
        <w:rPr>
          <w:rFonts w:eastAsia="Calibri"/>
        </w:rPr>
        <w:t xml:space="preserve"> </w:t>
      </w:r>
      <w:r w:rsidR="005D1434" w:rsidRPr="007D29C5">
        <w:rPr>
          <w:rFonts w:eastAsia="Calibri"/>
        </w:rPr>
        <w:t>constraints</w:t>
      </w:r>
      <w:r w:rsidRPr="007D29C5">
        <w:rPr>
          <w:rFonts w:eastAsia="Calibri"/>
        </w:rPr>
        <w:t xml:space="preserve">. </w:t>
      </w:r>
    </w:p>
    <w:p w14:paraId="4B84C40A" w14:textId="2FC042D0" w:rsidR="00653254" w:rsidRPr="007D29C5" w:rsidRDefault="00844FF9" w:rsidP="0005681D">
      <w:pPr>
        <w:spacing w:after="160" w:line="480" w:lineRule="auto"/>
        <w:jc w:val="both"/>
      </w:pPr>
      <w:r w:rsidRPr="007D29C5">
        <w:rPr>
          <w:rFonts w:eastAsia="Calibri"/>
        </w:rPr>
        <w:t xml:space="preserve">In the first case, a tight knit </w:t>
      </w:r>
      <w:r w:rsidR="0009570A" w:rsidRPr="007D29C5">
        <w:rPr>
          <w:rFonts w:eastAsia="Calibri"/>
        </w:rPr>
        <w:t xml:space="preserve">group </w:t>
      </w:r>
      <w:r w:rsidR="000139A5" w:rsidRPr="007D29C5">
        <w:rPr>
          <w:rFonts w:eastAsia="Calibri"/>
        </w:rPr>
        <w:t xml:space="preserve">drawing from the four consortia </w:t>
      </w:r>
      <w:r w:rsidR="00653254" w:rsidRPr="007D29C5">
        <w:rPr>
          <w:rFonts w:eastAsia="Calibri"/>
        </w:rPr>
        <w:t>h</w:t>
      </w:r>
      <w:r w:rsidR="0009570A" w:rsidRPr="007D29C5">
        <w:rPr>
          <w:rFonts w:eastAsia="Calibri"/>
        </w:rPr>
        <w:t xml:space="preserve">as developed </w:t>
      </w:r>
      <w:r w:rsidR="0028435B" w:rsidRPr="007D29C5">
        <w:rPr>
          <w:rFonts w:eastAsia="Calibri"/>
        </w:rPr>
        <w:t xml:space="preserve">around </w:t>
      </w:r>
      <w:r w:rsidR="00F33DA4" w:rsidRPr="007D29C5">
        <w:rPr>
          <w:rFonts w:eastAsia="Calibri"/>
        </w:rPr>
        <w:t xml:space="preserve">pursuing </w:t>
      </w:r>
      <w:r w:rsidR="0028435B" w:rsidRPr="007D29C5">
        <w:rPr>
          <w:rFonts w:eastAsia="Calibri"/>
        </w:rPr>
        <w:t>r</w:t>
      </w:r>
      <w:r w:rsidRPr="007D29C5">
        <w:rPr>
          <w:rFonts w:eastAsia="Calibri"/>
        </w:rPr>
        <w:t xml:space="preserve">esearch </w:t>
      </w:r>
      <w:r w:rsidR="00F33DA4" w:rsidRPr="007D29C5">
        <w:rPr>
          <w:rFonts w:eastAsia="Calibri"/>
        </w:rPr>
        <w:t>impact</w:t>
      </w:r>
      <w:r w:rsidRPr="007D29C5">
        <w:rPr>
          <w:rFonts w:eastAsia="Calibri"/>
        </w:rPr>
        <w:t xml:space="preserve">, and </w:t>
      </w:r>
      <w:r w:rsidR="00056ABF" w:rsidRPr="007D29C5">
        <w:rPr>
          <w:rFonts w:eastAsia="Calibri"/>
        </w:rPr>
        <w:t>has</w:t>
      </w:r>
      <w:r w:rsidRPr="007D29C5">
        <w:rPr>
          <w:rFonts w:eastAsia="Calibri"/>
        </w:rPr>
        <w:t xml:space="preserve"> worked collectively to share lessons about effective approaches, co-ordinate activities and to develop joint products of </w:t>
      </w:r>
      <w:r w:rsidR="0009570A" w:rsidRPr="007D29C5">
        <w:rPr>
          <w:rFonts w:eastAsia="Calibri"/>
        </w:rPr>
        <w:t>common interest. As a self-</w:t>
      </w:r>
      <w:r w:rsidR="00842E41" w:rsidRPr="007D29C5">
        <w:rPr>
          <w:rFonts w:eastAsia="Calibri"/>
        </w:rPr>
        <w:t>selected and voluntary</w:t>
      </w:r>
      <w:r w:rsidR="0009570A" w:rsidRPr="007D29C5">
        <w:rPr>
          <w:rFonts w:eastAsia="Calibri"/>
        </w:rPr>
        <w:t xml:space="preserve"> group, </w:t>
      </w:r>
      <w:r w:rsidR="00842E41" w:rsidRPr="007D29C5">
        <w:rPr>
          <w:rFonts w:eastAsia="Calibri"/>
        </w:rPr>
        <w:t xml:space="preserve">barriers around trust </w:t>
      </w:r>
      <w:r w:rsidR="0009570A" w:rsidRPr="007D29C5">
        <w:rPr>
          <w:rFonts w:eastAsia="Calibri"/>
        </w:rPr>
        <w:t>have largely been avoided. Other key ingredients for this group have been a shared and co-developed language around which to share experiences, and a shared interest in what they are doing. In other words, this group has emerged as a community of practice.</w:t>
      </w:r>
      <w:r w:rsidR="00757732" w:rsidRPr="007D29C5">
        <w:rPr>
          <w:rFonts w:eastAsia="Calibri"/>
          <w:vertAlign w:val="superscript"/>
        </w:rPr>
        <w:t>[21</w:t>
      </w:r>
      <w:r w:rsidR="00915D16" w:rsidRPr="007D29C5">
        <w:rPr>
          <w:rFonts w:eastAsia="Calibri"/>
          <w:vertAlign w:val="superscript"/>
        </w:rPr>
        <w:t>]</w:t>
      </w:r>
      <w:r w:rsidR="0009570A" w:rsidRPr="007D29C5">
        <w:rPr>
          <w:rFonts w:eastAsia="Calibri"/>
        </w:rPr>
        <w:t xml:space="preserve"> </w:t>
      </w:r>
      <w:r w:rsidR="00653254" w:rsidRPr="007D29C5">
        <w:t xml:space="preserve">Some design elements have facilitated this group’s collaboration, including the </w:t>
      </w:r>
      <w:r w:rsidR="00653254" w:rsidRPr="007D29C5">
        <w:lastRenderedPageBreak/>
        <w:t>flexibility in the program management</w:t>
      </w:r>
      <w:r w:rsidR="00E35C05" w:rsidRPr="007D29C5">
        <w:t xml:space="preserve"> </w:t>
      </w:r>
      <w:r w:rsidR="00347EA1" w:rsidRPr="007D29C5">
        <w:t xml:space="preserve">design </w:t>
      </w:r>
      <w:r w:rsidR="00E35C05" w:rsidRPr="007D29C5">
        <w:t xml:space="preserve">which allowed for funds to be mobilized to support </w:t>
      </w:r>
      <w:r w:rsidR="0028435B" w:rsidRPr="007D29C5">
        <w:t>their interests</w:t>
      </w:r>
      <w:r w:rsidR="00653254" w:rsidRPr="007D29C5">
        <w:t>. The ability to provide budget for face-to-face meetings when the demand</w:t>
      </w:r>
      <w:r w:rsidR="00BB087E" w:rsidRPr="007D29C5">
        <w:t xml:space="preserve"> arose</w:t>
      </w:r>
      <w:r w:rsidR="00842E41" w:rsidRPr="007D29C5">
        <w:t xml:space="preserve"> was crucial</w:t>
      </w:r>
      <w:r w:rsidR="00653254" w:rsidRPr="007D29C5">
        <w:t>.</w:t>
      </w:r>
      <w:r w:rsidR="00842E41" w:rsidRPr="007D29C5">
        <w:t xml:space="preserve"> Efforts to sustain this group using virtual tools such as a shared intranet space have not been </w:t>
      </w:r>
      <w:r w:rsidR="00056ABF" w:rsidRPr="007D29C5">
        <w:t xml:space="preserve">particularly </w:t>
      </w:r>
      <w:r w:rsidR="00842E41" w:rsidRPr="007D29C5">
        <w:t xml:space="preserve">successful. This experience suggests that although communities of practice can emerge in dispersed and </w:t>
      </w:r>
      <w:r w:rsidR="00FB1079" w:rsidRPr="007D29C5">
        <w:t>large-scale</w:t>
      </w:r>
      <w:r w:rsidR="00842E41" w:rsidRPr="007D29C5">
        <w:t xml:space="preserve"> collaborative efforts, </w:t>
      </w:r>
      <w:r w:rsidR="006B5645" w:rsidRPr="007D29C5">
        <w:t>leadership and resources are</w:t>
      </w:r>
      <w:r w:rsidR="00842E41" w:rsidRPr="007D29C5">
        <w:t xml:space="preserve"> required t</w:t>
      </w:r>
      <w:r w:rsidR="00347EA1" w:rsidRPr="007D29C5">
        <w:t>o ensure opportunities for face-to-</w:t>
      </w:r>
      <w:r w:rsidR="00842E41" w:rsidRPr="007D29C5">
        <w:t>face interaction</w:t>
      </w:r>
      <w:r w:rsidR="00C51739" w:rsidRPr="007D29C5">
        <w:t xml:space="preserve"> and to create the enabling environment for these </w:t>
      </w:r>
      <w:r w:rsidR="00347EA1" w:rsidRPr="007D29C5">
        <w:t>shared interests to be discovered</w:t>
      </w:r>
      <w:r w:rsidR="00842E41" w:rsidRPr="007D29C5">
        <w:t xml:space="preserve">. </w:t>
      </w:r>
    </w:p>
    <w:p w14:paraId="3F61A2C0" w14:textId="77777777" w:rsidR="005B21CA" w:rsidRPr="007D29C5" w:rsidRDefault="003F7312" w:rsidP="0005681D">
      <w:pPr>
        <w:spacing w:after="160" w:line="480" w:lineRule="auto"/>
        <w:jc w:val="both"/>
        <w:rPr>
          <w:rFonts w:eastAsia="Calibri"/>
          <w:color w:val="auto"/>
        </w:rPr>
      </w:pPr>
      <w:r w:rsidRPr="007D29C5">
        <w:rPr>
          <w:rFonts w:eastAsia="Calibri"/>
          <w:color w:val="auto"/>
        </w:rPr>
        <w:t>Ano</w:t>
      </w:r>
      <w:r w:rsidR="005B21CA" w:rsidRPr="007D29C5">
        <w:rPr>
          <w:rFonts w:eastAsia="Calibri"/>
          <w:color w:val="auto"/>
        </w:rPr>
        <w:t xml:space="preserve">ther strong community of practice emerged </w:t>
      </w:r>
      <w:r w:rsidR="00056ABF" w:rsidRPr="007D29C5">
        <w:rPr>
          <w:rFonts w:eastAsia="Calibri"/>
          <w:color w:val="auto"/>
        </w:rPr>
        <w:t xml:space="preserve">in one consortium </w:t>
      </w:r>
      <w:r w:rsidR="005B21CA" w:rsidRPr="007D29C5">
        <w:rPr>
          <w:rFonts w:eastAsia="Calibri"/>
          <w:color w:val="auto"/>
        </w:rPr>
        <w:t>around the topic of migration. The circumstances in which this collaboration emerged could not have been planned for, although some design elements made a key difference. The collaboration was facilitated by a flexible small grant, again highlighting the importance of such f</w:t>
      </w:r>
      <w:r w:rsidR="00674C57" w:rsidRPr="007D29C5">
        <w:rPr>
          <w:rFonts w:eastAsia="Calibri"/>
          <w:color w:val="auto"/>
        </w:rPr>
        <w:t>lexible mechanisms within large-</w:t>
      </w:r>
      <w:r w:rsidR="005B21CA" w:rsidRPr="007D29C5">
        <w:rPr>
          <w:rFonts w:eastAsia="Calibri"/>
          <w:color w:val="auto"/>
        </w:rPr>
        <w:t>scale transdisciplinary teams. However</w:t>
      </w:r>
      <w:r w:rsidR="00FB1079" w:rsidRPr="007D29C5">
        <w:rPr>
          <w:rFonts w:eastAsia="Calibri"/>
          <w:color w:val="auto"/>
        </w:rPr>
        <w:t>,</w:t>
      </w:r>
      <w:r w:rsidR="005B21CA" w:rsidRPr="007D29C5">
        <w:rPr>
          <w:rFonts w:eastAsia="Calibri"/>
          <w:color w:val="auto"/>
        </w:rPr>
        <w:t xml:space="preserve"> timing was just as important: the grant became available at a moment in the life span of the project </w:t>
      </w:r>
      <w:r w:rsidR="0028435B" w:rsidRPr="007D29C5">
        <w:rPr>
          <w:rFonts w:eastAsia="Calibri"/>
          <w:color w:val="auto"/>
        </w:rPr>
        <w:t>when</w:t>
      </w:r>
      <w:r w:rsidR="005B21CA" w:rsidRPr="007D29C5">
        <w:rPr>
          <w:rFonts w:eastAsia="Calibri"/>
          <w:color w:val="auto"/>
        </w:rPr>
        <w:t xml:space="preserve"> the researchers involved </w:t>
      </w:r>
      <w:r w:rsidR="00143A35" w:rsidRPr="007D29C5">
        <w:rPr>
          <w:rFonts w:eastAsia="Calibri"/>
          <w:color w:val="auto"/>
        </w:rPr>
        <w:t xml:space="preserve">already </w:t>
      </w:r>
      <w:r w:rsidR="005B21CA" w:rsidRPr="007D29C5">
        <w:rPr>
          <w:rFonts w:eastAsia="Calibri"/>
          <w:color w:val="auto"/>
        </w:rPr>
        <w:t>had good initial relationships and trust in each other’s abilities. Furthermore, each of the researchers was able to commit to the research, and there was a willing champion of the group who played a convening function. Importantly, the focus of the work fitted into existing agendas and commitments of the individuals, the</w:t>
      </w:r>
      <w:r w:rsidRPr="007D29C5">
        <w:rPr>
          <w:rFonts w:eastAsia="Calibri"/>
          <w:color w:val="auto"/>
        </w:rPr>
        <w:t>ir</w:t>
      </w:r>
      <w:r w:rsidR="005B21CA" w:rsidRPr="007D29C5">
        <w:rPr>
          <w:rFonts w:eastAsia="Calibri"/>
          <w:color w:val="auto"/>
        </w:rPr>
        <w:t xml:space="preserve"> institutions, </w:t>
      </w:r>
      <w:r w:rsidRPr="007D29C5">
        <w:rPr>
          <w:rFonts w:eastAsia="Calibri"/>
          <w:color w:val="auto"/>
        </w:rPr>
        <w:t>and the broader program</w:t>
      </w:r>
      <w:r w:rsidR="005B21CA" w:rsidRPr="007D29C5">
        <w:rPr>
          <w:rFonts w:eastAsia="Calibri"/>
          <w:color w:val="auto"/>
        </w:rPr>
        <w:t xml:space="preserve">. This </w:t>
      </w:r>
      <w:r w:rsidRPr="007D29C5">
        <w:rPr>
          <w:rFonts w:eastAsia="Calibri"/>
          <w:color w:val="auto"/>
        </w:rPr>
        <w:t>gave the group a sense of endorsement and encouragement that maintained enthusiasm.</w:t>
      </w:r>
      <w:r w:rsidR="005B21CA" w:rsidRPr="007D29C5">
        <w:rPr>
          <w:rFonts w:eastAsia="Calibri"/>
          <w:color w:val="auto"/>
        </w:rPr>
        <w:t xml:space="preserve"> </w:t>
      </w:r>
    </w:p>
    <w:p w14:paraId="1FAD87E7" w14:textId="77777777" w:rsidR="00143A35" w:rsidRPr="007D29C5" w:rsidRDefault="00143A35" w:rsidP="0005681D">
      <w:pPr>
        <w:spacing w:after="160" w:line="480" w:lineRule="auto"/>
        <w:jc w:val="both"/>
        <w:rPr>
          <w:rFonts w:eastAsia="Calibri"/>
          <w:color w:val="auto"/>
        </w:rPr>
      </w:pPr>
      <w:r w:rsidRPr="007D29C5">
        <w:rPr>
          <w:rFonts w:eastAsia="Calibri"/>
          <w:color w:val="auto"/>
        </w:rPr>
        <w:t xml:space="preserve">In both </w:t>
      </w:r>
      <w:r w:rsidR="00056ABF" w:rsidRPr="007D29C5">
        <w:rPr>
          <w:rFonts w:eastAsia="Calibri"/>
          <w:color w:val="auto"/>
        </w:rPr>
        <w:t>examples of communities of practice</w:t>
      </w:r>
      <w:r w:rsidRPr="007D29C5">
        <w:rPr>
          <w:rFonts w:eastAsia="Calibri"/>
          <w:color w:val="auto"/>
        </w:rPr>
        <w:t>, a facilitator, or champion, was a key feature, highlighting again to the importance of leadership in collaborative efforts. Timing was also critical, as both group</w:t>
      </w:r>
      <w:r w:rsidR="00056ABF" w:rsidRPr="007D29C5">
        <w:rPr>
          <w:rFonts w:eastAsia="Calibri"/>
          <w:color w:val="auto"/>
        </w:rPr>
        <w:t>s</w:t>
      </w:r>
      <w:r w:rsidRPr="007D29C5">
        <w:rPr>
          <w:rFonts w:eastAsia="Calibri"/>
          <w:color w:val="auto"/>
        </w:rPr>
        <w:t xml:space="preserve"> emerged close to half way through the program and were unplanned at the outset. Both also depended on the availability of flexible funds to enable them to capitalize on their common interests. </w:t>
      </w:r>
    </w:p>
    <w:p w14:paraId="5F436ED3" w14:textId="77777777" w:rsidR="00143A35" w:rsidRPr="007D29C5" w:rsidRDefault="00143A35" w:rsidP="0005681D">
      <w:pPr>
        <w:spacing w:after="160" w:line="480" w:lineRule="auto"/>
        <w:jc w:val="both"/>
        <w:rPr>
          <w:rFonts w:eastAsia="Calibri"/>
          <w:color w:val="auto"/>
        </w:rPr>
      </w:pPr>
    </w:p>
    <w:p w14:paraId="38FF808D" w14:textId="705B4318" w:rsidR="00631ADE" w:rsidRPr="007D29C5" w:rsidRDefault="004F649D" w:rsidP="00573662">
      <w:pPr>
        <w:pStyle w:val="ListParagraph"/>
        <w:numPr>
          <w:ilvl w:val="0"/>
          <w:numId w:val="9"/>
        </w:numPr>
        <w:spacing w:after="160" w:line="480" w:lineRule="auto"/>
        <w:jc w:val="both"/>
        <w:outlineLvl w:val="0"/>
        <w:rPr>
          <w:rFonts w:eastAsia="Calibri"/>
          <w:b/>
        </w:rPr>
      </w:pPr>
      <w:r w:rsidRPr="007D29C5">
        <w:rPr>
          <w:rFonts w:eastAsia="Calibri"/>
          <w:b/>
        </w:rPr>
        <w:t>Conclusion</w:t>
      </w:r>
    </w:p>
    <w:p w14:paraId="61410374" w14:textId="2C69A7EA" w:rsidR="00904A2E" w:rsidRPr="007D29C5" w:rsidRDefault="002F2D75" w:rsidP="0005681D">
      <w:pPr>
        <w:spacing w:after="160" w:line="480" w:lineRule="auto"/>
        <w:jc w:val="both"/>
        <w:rPr>
          <w:rFonts w:eastAsia="Calibri"/>
        </w:rPr>
      </w:pPr>
      <w:r w:rsidRPr="007D29C5">
        <w:rPr>
          <w:rFonts w:eastAsia="Calibri"/>
        </w:rPr>
        <w:t xml:space="preserve">Environmental challenges such as climate change </w:t>
      </w:r>
      <w:r w:rsidR="000139A5" w:rsidRPr="007D29C5">
        <w:rPr>
          <w:rFonts w:eastAsia="Calibri"/>
        </w:rPr>
        <w:t xml:space="preserve">are </w:t>
      </w:r>
      <w:r w:rsidRPr="007D29C5">
        <w:rPr>
          <w:rFonts w:eastAsia="Calibri"/>
        </w:rPr>
        <w:t>urgent, highly complex, multi-scale and wicked. To tackle challenges with these characteristics, transdisciplinary collaborations that are commensurate with the scale of the challenge, learning-oriented and problem focused are necessary. However, f</w:t>
      </w:r>
      <w:r w:rsidR="007A17F5" w:rsidRPr="007D29C5">
        <w:rPr>
          <w:rFonts w:eastAsia="Calibri"/>
        </w:rPr>
        <w:t xml:space="preserve">or </w:t>
      </w:r>
      <w:r w:rsidR="00620A02" w:rsidRPr="007D29C5">
        <w:rPr>
          <w:rFonts w:eastAsia="Calibri"/>
        </w:rPr>
        <w:t>donors</w:t>
      </w:r>
      <w:r w:rsidR="00347EA1" w:rsidRPr="007D29C5">
        <w:rPr>
          <w:rFonts w:eastAsia="Calibri"/>
        </w:rPr>
        <w:t xml:space="preserve"> preparing to fund large-</w:t>
      </w:r>
      <w:r w:rsidR="007A17F5" w:rsidRPr="007D29C5">
        <w:rPr>
          <w:rFonts w:eastAsia="Calibri"/>
        </w:rPr>
        <w:t xml:space="preserve">scale collaborative efforts, and for researchers </w:t>
      </w:r>
      <w:r w:rsidR="00347EA1" w:rsidRPr="007D29C5">
        <w:rPr>
          <w:rFonts w:eastAsia="Calibri"/>
        </w:rPr>
        <w:t>submitting proposals</w:t>
      </w:r>
      <w:r w:rsidR="007A17F5" w:rsidRPr="007D29C5">
        <w:rPr>
          <w:rFonts w:eastAsia="Calibri"/>
        </w:rPr>
        <w:t xml:space="preserve"> for such </w:t>
      </w:r>
      <w:r w:rsidR="00347EA1" w:rsidRPr="007D29C5">
        <w:rPr>
          <w:rFonts w:eastAsia="Calibri"/>
        </w:rPr>
        <w:t>endeavors</w:t>
      </w:r>
      <w:r w:rsidR="007A17F5" w:rsidRPr="007D29C5">
        <w:rPr>
          <w:rFonts w:eastAsia="Calibri"/>
        </w:rPr>
        <w:t xml:space="preserve">, we recommend </w:t>
      </w:r>
      <w:r w:rsidR="005D1434" w:rsidRPr="007D29C5">
        <w:rPr>
          <w:rFonts w:eastAsia="Calibri"/>
        </w:rPr>
        <w:t>proactive steps</w:t>
      </w:r>
      <w:r w:rsidR="007A17F5" w:rsidRPr="007D29C5">
        <w:rPr>
          <w:rFonts w:eastAsia="Calibri"/>
        </w:rPr>
        <w:t>, up front, to identify and</w:t>
      </w:r>
      <w:r w:rsidR="00347EA1" w:rsidRPr="007D29C5">
        <w:rPr>
          <w:rFonts w:eastAsia="Calibri"/>
        </w:rPr>
        <w:t>,</w:t>
      </w:r>
      <w:r w:rsidR="007A17F5" w:rsidRPr="007D29C5">
        <w:rPr>
          <w:rFonts w:eastAsia="Calibri"/>
        </w:rPr>
        <w:t xml:space="preserve"> where possible</w:t>
      </w:r>
      <w:r w:rsidR="00347EA1" w:rsidRPr="007D29C5">
        <w:rPr>
          <w:rFonts w:eastAsia="Calibri"/>
        </w:rPr>
        <w:t>,</w:t>
      </w:r>
      <w:r w:rsidR="005D1434" w:rsidRPr="007D29C5">
        <w:rPr>
          <w:rFonts w:eastAsia="Calibri"/>
        </w:rPr>
        <w:t xml:space="preserve"> address </w:t>
      </w:r>
      <w:r w:rsidR="007A17F5" w:rsidRPr="007D29C5">
        <w:rPr>
          <w:rFonts w:eastAsia="Calibri"/>
        </w:rPr>
        <w:t xml:space="preserve">all three layers of </w:t>
      </w:r>
      <w:r w:rsidR="00620A02" w:rsidRPr="007D29C5">
        <w:rPr>
          <w:rFonts w:eastAsia="Calibri"/>
        </w:rPr>
        <w:t>collaborative endeavor</w:t>
      </w:r>
      <w:r w:rsidR="007A17F5" w:rsidRPr="007D29C5">
        <w:rPr>
          <w:rFonts w:eastAsia="Calibri"/>
        </w:rPr>
        <w:t xml:space="preserve"> highlighted here, from design to systemic features of </w:t>
      </w:r>
      <w:r w:rsidR="00620A02" w:rsidRPr="007D29C5">
        <w:rPr>
          <w:rFonts w:eastAsia="Calibri"/>
        </w:rPr>
        <w:t xml:space="preserve">transdisciplinary </w:t>
      </w:r>
      <w:r w:rsidR="007A17F5" w:rsidRPr="007D29C5">
        <w:rPr>
          <w:rFonts w:eastAsia="Calibri"/>
        </w:rPr>
        <w:t>collaboration</w:t>
      </w:r>
      <w:r w:rsidR="00347EA1" w:rsidRPr="007D29C5">
        <w:rPr>
          <w:rFonts w:eastAsia="Calibri"/>
        </w:rPr>
        <w:t xml:space="preserve"> (Figure 2)</w:t>
      </w:r>
      <w:r w:rsidR="00904A2E" w:rsidRPr="007D29C5">
        <w:rPr>
          <w:rFonts w:eastAsia="Calibri"/>
        </w:rPr>
        <w:t>.</w:t>
      </w:r>
      <w:r w:rsidR="007A17F5" w:rsidRPr="007D29C5">
        <w:rPr>
          <w:rFonts w:eastAsia="Calibri"/>
        </w:rPr>
        <w:t xml:space="preserve"> In the arena </w:t>
      </w:r>
      <w:r w:rsidR="00347EA1" w:rsidRPr="007D29C5">
        <w:rPr>
          <w:rFonts w:eastAsia="Calibri"/>
        </w:rPr>
        <w:t>of</w:t>
      </w:r>
      <w:r w:rsidR="007A17F5" w:rsidRPr="007D29C5">
        <w:rPr>
          <w:rFonts w:eastAsia="Calibri"/>
        </w:rPr>
        <w:t xml:space="preserve"> climate change adaptation research, and indeed global environmental change research more generally, it is no longer sufficient to approach transdisciplinary collaboration purely from a design perspective.</w:t>
      </w:r>
      <w:r w:rsidR="00904A2E" w:rsidRPr="007D29C5">
        <w:rPr>
          <w:rFonts w:eastAsia="Calibri"/>
        </w:rPr>
        <w:t xml:space="preserve"> </w:t>
      </w:r>
      <w:r w:rsidR="00884CEA" w:rsidRPr="007D29C5">
        <w:rPr>
          <w:rFonts w:eastAsia="Calibri"/>
        </w:rPr>
        <w:t>Paying attention to the barriers to collaborative endeavor in transdisciplinary settings is essential</w:t>
      </w:r>
      <w:r w:rsidR="00757732" w:rsidRPr="007D29C5">
        <w:rPr>
          <w:rFonts w:eastAsia="Calibri"/>
        </w:rPr>
        <w:t xml:space="preserve"> </w:t>
      </w:r>
      <w:r w:rsidR="00757732" w:rsidRPr="007D29C5">
        <w:rPr>
          <w:rFonts w:eastAsia="Calibri"/>
          <w:vertAlign w:val="superscript"/>
        </w:rPr>
        <w:t>[15]</w:t>
      </w:r>
      <w:r w:rsidR="00884CEA" w:rsidRPr="007D29C5">
        <w:rPr>
          <w:rFonts w:eastAsia="Calibri"/>
        </w:rPr>
        <w:t xml:space="preserve">. </w:t>
      </w:r>
      <w:r w:rsidR="00056ABF" w:rsidRPr="007D29C5">
        <w:rPr>
          <w:rFonts w:eastAsia="Calibri"/>
        </w:rPr>
        <w:t>Our learning shows that d</w:t>
      </w:r>
      <w:r w:rsidR="00904A2E" w:rsidRPr="007D29C5">
        <w:rPr>
          <w:rFonts w:eastAsia="Calibri"/>
        </w:rPr>
        <w:t xml:space="preserve">edicated </w:t>
      </w:r>
      <w:r w:rsidR="000139A5" w:rsidRPr="007D29C5">
        <w:rPr>
          <w:rFonts w:eastAsia="Calibri"/>
        </w:rPr>
        <w:t xml:space="preserve">consortium </w:t>
      </w:r>
      <w:r w:rsidR="00904A2E" w:rsidRPr="007D29C5">
        <w:rPr>
          <w:rFonts w:eastAsia="Calibri"/>
        </w:rPr>
        <w:t xml:space="preserve">coordinators, leaders at multiple levels, timing and the availability of small amounts of flexible funds </w:t>
      </w:r>
      <w:r w:rsidR="004258A8" w:rsidRPr="007D29C5">
        <w:rPr>
          <w:rFonts w:eastAsia="Calibri"/>
        </w:rPr>
        <w:t>are all</w:t>
      </w:r>
      <w:r w:rsidR="00904A2E" w:rsidRPr="007D29C5">
        <w:rPr>
          <w:rFonts w:eastAsia="Calibri"/>
        </w:rPr>
        <w:t xml:space="preserve"> </w:t>
      </w:r>
      <w:r w:rsidR="007A17F5" w:rsidRPr="007D29C5">
        <w:rPr>
          <w:rFonts w:eastAsia="Calibri"/>
        </w:rPr>
        <w:t>crucial, indicating a new kind of agility and nimbleness necessary to achieve successful outcomes</w:t>
      </w:r>
      <w:r w:rsidR="00904A2E" w:rsidRPr="007D29C5">
        <w:rPr>
          <w:rFonts w:eastAsia="Calibri"/>
        </w:rPr>
        <w:t xml:space="preserve">. </w:t>
      </w:r>
    </w:p>
    <w:p w14:paraId="1CA7B737" w14:textId="77777777" w:rsidR="00BB4C9D" w:rsidRPr="007D29C5" w:rsidRDefault="00BB4C9D" w:rsidP="004F649D">
      <w:pPr>
        <w:pStyle w:val="Head1"/>
        <w:spacing w:line="480" w:lineRule="auto"/>
      </w:pPr>
    </w:p>
    <w:p w14:paraId="7F9C2772" w14:textId="77777777" w:rsidR="004F649D" w:rsidRPr="007D29C5" w:rsidRDefault="004F649D" w:rsidP="004F649D">
      <w:pPr>
        <w:pStyle w:val="Head1"/>
        <w:spacing w:line="480" w:lineRule="auto"/>
      </w:pPr>
      <w:r w:rsidRPr="007D29C5">
        <w:t>Acknowledgements</w:t>
      </w:r>
    </w:p>
    <w:p w14:paraId="57E34537" w14:textId="77777777" w:rsidR="006F5BB7" w:rsidRPr="007D29C5" w:rsidRDefault="006F5BB7" w:rsidP="006F5BB7">
      <w:pPr>
        <w:spacing w:after="160" w:line="480" w:lineRule="auto"/>
        <w:jc w:val="both"/>
        <w:outlineLvl w:val="0"/>
        <w:rPr>
          <w:iCs/>
          <w:color w:val="333333"/>
          <w:spacing w:val="2"/>
          <w:shd w:val="clear" w:color="auto" w:fill="FCFCFC"/>
          <w:lang w:val="en-GB"/>
        </w:rPr>
      </w:pPr>
      <w:r w:rsidRPr="007D29C5">
        <w:rPr>
          <w:iCs/>
          <w:color w:val="333333"/>
          <w:spacing w:val="2"/>
          <w:shd w:val="clear" w:color="auto" w:fill="FCFCFC"/>
          <w:lang w:val="en-GB"/>
        </w:rPr>
        <w:t>This work was carried out under the Collaborative Adaptation Research Initiative in Africa and Asia (CARIAA) with financial support from the UK Government’s Department for International Development and the International Development Research Centre, Ottawa, Canada.</w:t>
      </w:r>
    </w:p>
    <w:p w14:paraId="4BD864C1" w14:textId="5AF7E292" w:rsidR="006F5BB7" w:rsidRPr="007D29C5" w:rsidRDefault="006F5BB7" w:rsidP="006F5BB7">
      <w:pPr>
        <w:spacing w:after="160" w:line="480" w:lineRule="auto"/>
        <w:jc w:val="both"/>
        <w:outlineLvl w:val="0"/>
        <w:rPr>
          <w:iCs/>
          <w:color w:val="333333"/>
          <w:spacing w:val="2"/>
          <w:shd w:val="clear" w:color="auto" w:fill="FCFCFC"/>
          <w:lang w:val="en-GB"/>
        </w:rPr>
      </w:pPr>
    </w:p>
    <w:p w14:paraId="3BBE6CED" w14:textId="6BD28300" w:rsidR="006F5BB7" w:rsidRPr="007D29C5" w:rsidRDefault="006F5BB7" w:rsidP="006F5BB7">
      <w:pPr>
        <w:spacing w:after="160" w:line="480" w:lineRule="auto"/>
        <w:jc w:val="both"/>
        <w:outlineLvl w:val="0"/>
        <w:rPr>
          <w:color w:val="333333"/>
          <w:spacing w:val="2"/>
          <w:shd w:val="clear" w:color="auto" w:fill="FCFCFC"/>
          <w:lang w:val="en-GB"/>
        </w:rPr>
      </w:pPr>
      <w:r w:rsidRPr="007D29C5">
        <w:rPr>
          <w:b/>
          <w:color w:val="333333"/>
          <w:spacing w:val="2"/>
          <w:shd w:val="clear" w:color="auto" w:fill="FCFCFC"/>
          <w:lang w:val="en-GB"/>
        </w:rPr>
        <w:lastRenderedPageBreak/>
        <w:t xml:space="preserve">Disclaimer: </w:t>
      </w:r>
      <w:r w:rsidRPr="007D29C5">
        <w:rPr>
          <w:iCs/>
          <w:color w:val="333333"/>
          <w:spacing w:val="2"/>
          <w:shd w:val="clear" w:color="auto" w:fill="FCFCFC"/>
          <w:lang w:val="en-GB"/>
        </w:rPr>
        <w:t xml:space="preserve">The views expressed in this work are those of the creators and do not necessarily represent those of the UK Government’s Department for International Development, the International Development Research Centre, Canada or its Board of Governors, and are not </w:t>
      </w:r>
      <w:r w:rsidRPr="007D29C5">
        <w:rPr>
          <w:color w:val="333333"/>
          <w:spacing w:val="2"/>
          <w:shd w:val="clear" w:color="auto" w:fill="FCFCFC"/>
          <w:lang w:val="en-GB"/>
        </w:rPr>
        <w:t>necessarily attributable to their organizations.</w:t>
      </w:r>
    </w:p>
    <w:p w14:paraId="5250849C" w14:textId="77777777" w:rsidR="000139A5" w:rsidRPr="007D29C5" w:rsidRDefault="000139A5" w:rsidP="004F649D">
      <w:pPr>
        <w:spacing w:after="160" w:line="480" w:lineRule="auto"/>
        <w:jc w:val="both"/>
        <w:outlineLvl w:val="0"/>
        <w:rPr>
          <w:rFonts w:eastAsia="Calibri"/>
        </w:rPr>
      </w:pPr>
    </w:p>
    <w:p w14:paraId="748A17C6" w14:textId="26D4A38D" w:rsidR="004913D2" w:rsidRPr="007D29C5" w:rsidRDefault="004913D2" w:rsidP="00B570B4">
      <w:pPr>
        <w:spacing w:after="160" w:line="480" w:lineRule="auto"/>
        <w:jc w:val="both"/>
        <w:outlineLvl w:val="0"/>
        <w:rPr>
          <w:rFonts w:eastAsia="Calibri"/>
          <w:b/>
          <w:lang w:val="fr-CA"/>
        </w:rPr>
      </w:pPr>
      <w:r w:rsidRPr="007D29C5">
        <w:rPr>
          <w:rFonts w:eastAsia="Calibri"/>
          <w:b/>
          <w:lang w:val="fr-CA"/>
        </w:rPr>
        <w:t>References</w:t>
      </w:r>
    </w:p>
    <w:p w14:paraId="70BEEA5B" w14:textId="77777777" w:rsidR="009E26B8" w:rsidRPr="007D29C5" w:rsidRDefault="009E26B8" w:rsidP="009E26B8">
      <w:pPr>
        <w:widowControl w:val="0"/>
        <w:autoSpaceDE w:val="0"/>
        <w:autoSpaceDN w:val="0"/>
        <w:adjustRightInd w:val="0"/>
        <w:spacing w:after="160" w:line="480" w:lineRule="auto"/>
        <w:rPr>
          <w:noProof/>
        </w:rPr>
      </w:pPr>
      <w:r w:rsidRPr="007D29C5">
        <w:rPr>
          <w:noProof/>
          <w:lang w:val="fr-CA"/>
        </w:rPr>
        <w:t>[1]</w:t>
      </w:r>
      <w:r w:rsidR="006E0F8B" w:rsidRPr="007D29C5">
        <w:rPr>
          <w:noProof/>
          <w:lang w:val="fr-CA"/>
        </w:rPr>
        <w:t xml:space="preserve"> </w:t>
      </w:r>
      <w:r w:rsidR="002B740C" w:rsidRPr="007D29C5">
        <w:rPr>
          <w:noProof/>
          <w:lang w:val="fr-CA"/>
        </w:rPr>
        <w:t>L.</w:t>
      </w:r>
      <w:r w:rsidR="00C176B0" w:rsidRPr="007D29C5">
        <w:rPr>
          <w:noProof/>
          <w:lang w:val="fr-CA"/>
        </w:rPr>
        <w:t xml:space="preserve"> </w:t>
      </w:r>
      <w:r w:rsidR="002B740C" w:rsidRPr="007D29C5">
        <w:rPr>
          <w:noProof/>
          <w:lang w:val="fr-CA"/>
        </w:rPr>
        <w:t xml:space="preserve">K. </w:t>
      </w:r>
      <w:r w:rsidR="00997EB9" w:rsidRPr="007D29C5">
        <w:rPr>
          <w:noProof/>
          <w:lang w:val="fr-CA"/>
        </w:rPr>
        <w:t xml:space="preserve">Hessels, </w:t>
      </w:r>
      <w:r w:rsidR="002B740C" w:rsidRPr="007D29C5">
        <w:rPr>
          <w:noProof/>
          <w:lang w:val="fr-CA"/>
        </w:rPr>
        <w:t>H.</w:t>
      </w:r>
      <w:r w:rsidR="00997EB9" w:rsidRPr="007D29C5">
        <w:rPr>
          <w:noProof/>
          <w:lang w:val="fr-CA"/>
        </w:rPr>
        <w:t xml:space="preserve"> van Lente</w:t>
      </w:r>
      <w:r w:rsidR="002B740C" w:rsidRPr="007D29C5">
        <w:rPr>
          <w:noProof/>
          <w:lang w:val="fr-CA"/>
        </w:rPr>
        <w:t xml:space="preserve">, R. Smits, </w:t>
      </w:r>
      <w:r w:rsidR="00997EB9" w:rsidRPr="007D29C5">
        <w:rPr>
          <w:i/>
          <w:iCs/>
          <w:noProof/>
          <w:lang w:val="fr-CA"/>
        </w:rPr>
        <w:t xml:space="preserve">Sci. </w:t>
      </w:r>
      <w:r w:rsidR="00997EB9" w:rsidRPr="007D29C5">
        <w:rPr>
          <w:i/>
          <w:iCs/>
          <w:noProof/>
        </w:rPr>
        <w:t>Public Policy</w:t>
      </w:r>
      <w:r w:rsidR="00997EB9" w:rsidRPr="007D29C5">
        <w:rPr>
          <w:noProof/>
        </w:rPr>
        <w:t xml:space="preserve"> </w:t>
      </w:r>
      <w:r w:rsidR="00997EB9" w:rsidRPr="007D29C5">
        <w:rPr>
          <w:b/>
          <w:bCs/>
          <w:noProof/>
        </w:rPr>
        <w:t>2009</w:t>
      </w:r>
      <w:r w:rsidR="00997EB9" w:rsidRPr="007D29C5">
        <w:rPr>
          <w:noProof/>
        </w:rPr>
        <w:t xml:space="preserve">, </w:t>
      </w:r>
      <w:r w:rsidR="00997EB9" w:rsidRPr="007D29C5">
        <w:rPr>
          <w:i/>
          <w:iCs/>
          <w:noProof/>
        </w:rPr>
        <w:t>36</w:t>
      </w:r>
      <w:r w:rsidR="00997EB9" w:rsidRPr="007D29C5">
        <w:rPr>
          <w:noProof/>
        </w:rPr>
        <w:t>, 387.</w:t>
      </w:r>
    </w:p>
    <w:p w14:paraId="6731A6C2" w14:textId="77777777" w:rsidR="009E26B8" w:rsidRPr="007D29C5" w:rsidRDefault="009E26B8" w:rsidP="00BA39A5">
      <w:pPr>
        <w:widowControl w:val="0"/>
        <w:autoSpaceDE w:val="0"/>
        <w:autoSpaceDN w:val="0"/>
        <w:adjustRightInd w:val="0"/>
        <w:spacing w:after="160" w:line="480" w:lineRule="auto"/>
        <w:rPr>
          <w:noProof/>
        </w:rPr>
      </w:pPr>
      <w:r w:rsidRPr="007D29C5">
        <w:rPr>
          <w:noProof/>
        </w:rPr>
        <w:t>[2]</w:t>
      </w:r>
      <w:r w:rsidR="006E0F8B" w:rsidRPr="007D29C5">
        <w:rPr>
          <w:noProof/>
        </w:rPr>
        <w:t xml:space="preserve"> a) E. </w:t>
      </w:r>
      <w:r w:rsidR="00997EB9" w:rsidRPr="007D29C5">
        <w:rPr>
          <w:noProof/>
        </w:rPr>
        <w:t>Kallerud,</w:t>
      </w:r>
      <w:r w:rsidR="006E0F8B" w:rsidRPr="007D29C5">
        <w:rPr>
          <w:noProof/>
        </w:rPr>
        <w:t xml:space="preserve"> E.</w:t>
      </w:r>
      <w:r w:rsidR="00997EB9" w:rsidRPr="007D29C5">
        <w:rPr>
          <w:noProof/>
        </w:rPr>
        <w:t xml:space="preserve"> Amanatidou, </w:t>
      </w:r>
      <w:r w:rsidR="006E0F8B" w:rsidRPr="007D29C5">
        <w:rPr>
          <w:noProof/>
        </w:rPr>
        <w:t>P.</w:t>
      </w:r>
      <w:r w:rsidR="00997EB9" w:rsidRPr="007D29C5">
        <w:rPr>
          <w:noProof/>
        </w:rPr>
        <w:t xml:space="preserve"> Upham,</w:t>
      </w:r>
      <w:r w:rsidR="006E0F8B" w:rsidRPr="007D29C5">
        <w:rPr>
          <w:noProof/>
        </w:rPr>
        <w:t xml:space="preserve"> M.</w:t>
      </w:r>
      <w:r w:rsidR="00997EB9" w:rsidRPr="007D29C5">
        <w:rPr>
          <w:noProof/>
        </w:rPr>
        <w:t xml:space="preserve"> Nieminen, </w:t>
      </w:r>
      <w:r w:rsidR="006E0F8B" w:rsidRPr="007D29C5">
        <w:rPr>
          <w:noProof/>
        </w:rPr>
        <w:t>A.</w:t>
      </w:r>
      <w:r w:rsidR="00997EB9" w:rsidRPr="007D29C5">
        <w:rPr>
          <w:noProof/>
        </w:rPr>
        <w:t xml:space="preserve"> Klitkou, </w:t>
      </w:r>
      <w:r w:rsidR="006E0F8B" w:rsidRPr="007D29C5">
        <w:rPr>
          <w:noProof/>
        </w:rPr>
        <w:t>D.</w:t>
      </w:r>
      <w:r w:rsidR="00C176B0" w:rsidRPr="007D29C5">
        <w:rPr>
          <w:noProof/>
        </w:rPr>
        <w:t xml:space="preserve"> </w:t>
      </w:r>
      <w:r w:rsidR="006E0F8B" w:rsidRPr="007D29C5">
        <w:rPr>
          <w:noProof/>
        </w:rPr>
        <w:t>S.</w:t>
      </w:r>
      <w:r w:rsidR="00997EB9" w:rsidRPr="007D29C5">
        <w:rPr>
          <w:noProof/>
        </w:rPr>
        <w:t xml:space="preserve"> Olsen, </w:t>
      </w:r>
      <w:r w:rsidR="006E0F8B" w:rsidRPr="007D29C5">
        <w:rPr>
          <w:noProof/>
        </w:rPr>
        <w:t>M.</w:t>
      </w:r>
      <w:r w:rsidR="00C176B0" w:rsidRPr="007D29C5">
        <w:rPr>
          <w:noProof/>
        </w:rPr>
        <w:t xml:space="preserve"> </w:t>
      </w:r>
      <w:r w:rsidR="006E0F8B" w:rsidRPr="007D29C5">
        <w:rPr>
          <w:noProof/>
        </w:rPr>
        <w:t>L.</w:t>
      </w:r>
      <w:r w:rsidR="00997EB9" w:rsidRPr="007D29C5">
        <w:rPr>
          <w:noProof/>
        </w:rPr>
        <w:t xml:space="preserve"> Toivanen, </w:t>
      </w:r>
      <w:r w:rsidR="006E0F8B" w:rsidRPr="007D29C5">
        <w:rPr>
          <w:noProof/>
        </w:rPr>
        <w:t>J.</w:t>
      </w:r>
      <w:r w:rsidR="00997EB9" w:rsidRPr="007D29C5">
        <w:rPr>
          <w:noProof/>
        </w:rPr>
        <w:t xml:space="preserve"> Oksanen, </w:t>
      </w:r>
      <w:r w:rsidR="006E0F8B" w:rsidRPr="007D29C5">
        <w:rPr>
          <w:noProof/>
        </w:rPr>
        <w:t>L. Scordato,</w:t>
      </w:r>
      <w:r w:rsidR="00997EB9" w:rsidRPr="007D29C5">
        <w:rPr>
          <w:noProof/>
        </w:rPr>
        <w:t xml:space="preserve"> </w:t>
      </w:r>
      <w:r w:rsidR="00997EB9" w:rsidRPr="007D29C5">
        <w:rPr>
          <w:i/>
          <w:iCs/>
          <w:noProof/>
        </w:rPr>
        <w:t>Dimensions of research and innovation policies to address grand and global challenges</w:t>
      </w:r>
      <w:r w:rsidR="006E0F8B" w:rsidRPr="007D29C5">
        <w:rPr>
          <w:noProof/>
        </w:rPr>
        <w:t>, NIFU, Oslo</w:t>
      </w:r>
      <w:r w:rsidR="00997EB9" w:rsidRPr="007D29C5">
        <w:rPr>
          <w:noProof/>
        </w:rPr>
        <w:t xml:space="preserve"> </w:t>
      </w:r>
      <w:r w:rsidR="00997EB9" w:rsidRPr="007D29C5">
        <w:rPr>
          <w:b/>
          <w:noProof/>
        </w:rPr>
        <w:t>2013</w:t>
      </w:r>
      <w:r w:rsidR="006E0F8B" w:rsidRPr="007D29C5">
        <w:rPr>
          <w:noProof/>
        </w:rPr>
        <w:t xml:space="preserve">; b) S. </w:t>
      </w:r>
      <w:r w:rsidR="00997EB9" w:rsidRPr="007D29C5">
        <w:rPr>
          <w:noProof/>
        </w:rPr>
        <w:t>Buchsbaum</w:t>
      </w:r>
      <w:r w:rsidR="006E0F8B" w:rsidRPr="007D29C5">
        <w:rPr>
          <w:noProof/>
        </w:rPr>
        <w:t>, i</w:t>
      </w:r>
      <w:r w:rsidR="00997EB9" w:rsidRPr="007D29C5">
        <w:rPr>
          <w:noProof/>
        </w:rPr>
        <w:t xml:space="preserve">n </w:t>
      </w:r>
      <w:r w:rsidR="00997EB9" w:rsidRPr="007D29C5">
        <w:rPr>
          <w:i/>
          <w:iCs/>
          <w:noProof/>
        </w:rPr>
        <w:t>Innovation for international devlopment: Navigating the paths and pitfalls</w:t>
      </w:r>
      <w:r w:rsidR="006E0F8B" w:rsidRPr="007D29C5">
        <w:rPr>
          <w:i/>
          <w:iCs/>
          <w:noProof/>
        </w:rPr>
        <w:t xml:space="preserve">, </w:t>
      </w:r>
      <w:r w:rsidR="006E0F8B" w:rsidRPr="007D29C5">
        <w:rPr>
          <w:iCs/>
          <w:noProof/>
        </w:rPr>
        <w:t>(Eds</w:t>
      </w:r>
      <w:r w:rsidR="006E0F8B" w:rsidRPr="007D29C5">
        <w:rPr>
          <w:noProof/>
        </w:rPr>
        <w:t xml:space="preserve">: B. </w:t>
      </w:r>
      <w:r w:rsidR="00997EB9" w:rsidRPr="007D29C5">
        <w:rPr>
          <w:noProof/>
        </w:rPr>
        <w:t xml:space="preserve">Ramalingam, </w:t>
      </w:r>
      <w:r w:rsidR="006E0F8B" w:rsidRPr="007D29C5">
        <w:rPr>
          <w:noProof/>
        </w:rPr>
        <w:t>K.</w:t>
      </w:r>
      <w:r w:rsidR="00997EB9" w:rsidRPr="007D29C5">
        <w:rPr>
          <w:noProof/>
        </w:rPr>
        <w:t xml:space="preserve"> Bo</w:t>
      </w:r>
      <w:r w:rsidR="006E0F8B" w:rsidRPr="007D29C5">
        <w:rPr>
          <w:noProof/>
        </w:rPr>
        <w:t>und),  Nesta,</w:t>
      </w:r>
      <w:r w:rsidR="00997EB9" w:rsidRPr="007D29C5">
        <w:rPr>
          <w:noProof/>
        </w:rPr>
        <w:t xml:space="preserve"> London,</w:t>
      </w:r>
      <w:r w:rsidR="006E0F8B" w:rsidRPr="007D29C5">
        <w:rPr>
          <w:noProof/>
        </w:rPr>
        <w:t xml:space="preserve"> UK</w:t>
      </w:r>
      <w:r w:rsidR="00997EB9" w:rsidRPr="007D29C5">
        <w:rPr>
          <w:noProof/>
        </w:rPr>
        <w:t xml:space="preserve"> </w:t>
      </w:r>
      <w:r w:rsidR="00997EB9" w:rsidRPr="007D29C5">
        <w:rPr>
          <w:b/>
          <w:noProof/>
        </w:rPr>
        <w:t>2016</w:t>
      </w:r>
      <w:r w:rsidR="006E0F8B" w:rsidRPr="007D29C5">
        <w:rPr>
          <w:noProof/>
        </w:rPr>
        <w:t>,</w:t>
      </w:r>
      <w:r w:rsidR="00997EB9" w:rsidRPr="007D29C5">
        <w:rPr>
          <w:noProof/>
        </w:rPr>
        <w:t xml:space="preserve"> pp</w:t>
      </w:r>
      <w:r w:rsidR="006E0F8B" w:rsidRPr="007D29C5">
        <w:rPr>
          <w:noProof/>
        </w:rPr>
        <w:t>.</w:t>
      </w:r>
      <w:r w:rsidR="00997EB9" w:rsidRPr="007D29C5">
        <w:rPr>
          <w:noProof/>
        </w:rPr>
        <w:t xml:space="preserve"> 35–50.</w:t>
      </w:r>
    </w:p>
    <w:p w14:paraId="614D8353" w14:textId="1F64A023" w:rsidR="00DF280E" w:rsidRPr="007D29C5" w:rsidRDefault="00DF280E" w:rsidP="00BA39A5">
      <w:pPr>
        <w:widowControl w:val="0"/>
        <w:autoSpaceDE w:val="0"/>
        <w:autoSpaceDN w:val="0"/>
        <w:adjustRightInd w:val="0"/>
        <w:spacing w:after="160" w:line="480" w:lineRule="auto"/>
        <w:rPr>
          <w:noProof/>
        </w:rPr>
      </w:pPr>
      <w:r w:rsidRPr="007D29C5">
        <w:rPr>
          <w:noProof/>
        </w:rPr>
        <w:t xml:space="preserve">[3] M. </w:t>
      </w:r>
      <w:r w:rsidR="009F68FB" w:rsidRPr="007D29C5">
        <w:rPr>
          <w:color w:val="222222"/>
          <w:shd w:val="clear" w:color="auto" w:fill="FFFFFF"/>
        </w:rPr>
        <w:t>Hulme,</w:t>
      </w:r>
      <w:r w:rsidRPr="007D29C5">
        <w:rPr>
          <w:color w:val="222222"/>
          <w:shd w:val="clear" w:color="auto" w:fill="FFFFFF"/>
        </w:rPr>
        <w:t xml:space="preserve"> </w:t>
      </w:r>
      <w:r w:rsidRPr="007D29C5">
        <w:rPr>
          <w:i/>
          <w:iCs/>
          <w:color w:val="222222"/>
          <w:shd w:val="clear" w:color="auto" w:fill="FFFFFF"/>
        </w:rPr>
        <w:t>Why we disagree about climate change: Understanding controversy, inaction and opportunity</w:t>
      </w:r>
      <w:r w:rsidR="009F68FB" w:rsidRPr="007D29C5">
        <w:rPr>
          <w:color w:val="222222"/>
          <w:shd w:val="clear" w:color="auto" w:fill="FFFFFF"/>
        </w:rPr>
        <w:t>,</w:t>
      </w:r>
      <w:r w:rsidRPr="007D29C5">
        <w:rPr>
          <w:color w:val="222222"/>
          <w:shd w:val="clear" w:color="auto" w:fill="FFFFFF"/>
        </w:rPr>
        <w:t xml:space="preserve"> Cambridge University Press</w:t>
      </w:r>
      <w:r w:rsidR="009F68FB" w:rsidRPr="007D29C5">
        <w:rPr>
          <w:color w:val="222222"/>
          <w:shd w:val="clear" w:color="auto" w:fill="FFFFFF"/>
        </w:rPr>
        <w:t xml:space="preserve">, UK </w:t>
      </w:r>
      <w:r w:rsidR="009F68FB" w:rsidRPr="007D29C5">
        <w:rPr>
          <w:b/>
          <w:color w:val="222222"/>
          <w:shd w:val="clear" w:color="auto" w:fill="FFFFFF"/>
        </w:rPr>
        <w:t>2009.</w:t>
      </w:r>
      <w:r w:rsidR="009F68FB" w:rsidRPr="007D29C5">
        <w:rPr>
          <w:color w:val="222222"/>
          <w:shd w:val="clear" w:color="auto" w:fill="FFFFFF"/>
        </w:rPr>
        <w:t> </w:t>
      </w:r>
    </w:p>
    <w:p w14:paraId="76D74A7F" w14:textId="0F1AC852" w:rsidR="00BA39A5" w:rsidRPr="007D29C5" w:rsidRDefault="00757732" w:rsidP="00BA39A5">
      <w:pPr>
        <w:widowControl w:val="0"/>
        <w:autoSpaceDE w:val="0"/>
        <w:autoSpaceDN w:val="0"/>
        <w:adjustRightInd w:val="0"/>
        <w:spacing w:after="160" w:line="480" w:lineRule="auto"/>
        <w:rPr>
          <w:noProof/>
        </w:rPr>
      </w:pPr>
      <w:r w:rsidRPr="007D29C5">
        <w:rPr>
          <w:noProof/>
          <w:lang w:val="es-ES"/>
        </w:rPr>
        <w:t>[4</w:t>
      </w:r>
      <w:r w:rsidR="009E26B8" w:rsidRPr="007D29C5">
        <w:rPr>
          <w:noProof/>
          <w:lang w:val="es-ES"/>
        </w:rPr>
        <w:t>]</w:t>
      </w:r>
      <w:r w:rsidR="00F46097" w:rsidRPr="007D29C5">
        <w:rPr>
          <w:noProof/>
          <w:lang w:val="es-ES"/>
        </w:rPr>
        <w:t xml:space="preserve"> a) D. Hegger, M. </w:t>
      </w:r>
      <w:r w:rsidR="00997EB9" w:rsidRPr="007D29C5">
        <w:rPr>
          <w:noProof/>
          <w:lang w:val="es-ES"/>
        </w:rPr>
        <w:t>Lamers</w:t>
      </w:r>
      <w:r w:rsidR="00F46097" w:rsidRPr="007D29C5">
        <w:rPr>
          <w:noProof/>
          <w:lang w:val="es-ES"/>
        </w:rPr>
        <w:t xml:space="preserve"> A.</w:t>
      </w:r>
      <w:r w:rsidR="00997EB9" w:rsidRPr="007D29C5">
        <w:rPr>
          <w:noProof/>
          <w:lang w:val="es-ES"/>
        </w:rPr>
        <w:t xml:space="preserve"> Van Zeijl-Rozema, </w:t>
      </w:r>
      <w:r w:rsidR="00F46097" w:rsidRPr="007D29C5">
        <w:rPr>
          <w:noProof/>
          <w:lang w:val="es-ES"/>
        </w:rPr>
        <w:t>C.</w:t>
      </w:r>
      <w:r w:rsidR="00997EB9" w:rsidRPr="007D29C5">
        <w:rPr>
          <w:noProof/>
          <w:lang w:val="es-ES"/>
        </w:rPr>
        <w:t xml:space="preserve"> Dieperink, </w:t>
      </w:r>
      <w:r w:rsidR="00997EB9" w:rsidRPr="007D29C5">
        <w:rPr>
          <w:i/>
          <w:iCs/>
          <w:noProof/>
          <w:lang w:val="es-ES"/>
        </w:rPr>
        <w:t xml:space="preserve">Environ. </w:t>
      </w:r>
      <w:r w:rsidR="00997EB9" w:rsidRPr="007D29C5">
        <w:rPr>
          <w:i/>
          <w:iCs/>
          <w:noProof/>
        </w:rPr>
        <w:t>Sci. Policy</w:t>
      </w:r>
      <w:r w:rsidR="00997EB9" w:rsidRPr="007D29C5">
        <w:rPr>
          <w:noProof/>
        </w:rPr>
        <w:t xml:space="preserve"> </w:t>
      </w:r>
      <w:r w:rsidR="00997EB9" w:rsidRPr="007D29C5">
        <w:rPr>
          <w:b/>
          <w:bCs/>
          <w:noProof/>
        </w:rPr>
        <w:t>2012</w:t>
      </w:r>
      <w:r w:rsidR="00997EB9" w:rsidRPr="007D29C5">
        <w:rPr>
          <w:noProof/>
        </w:rPr>
        <w:t xml:space="preserve">, </w:t>
      </w:r>
      <w:r w:rsidR="00997EB9" w:rsidRPr="007D29C5">
        <w:rPr>
          <w:i/>
          <w:iCs/>
          <w:noProof/>
        </w:rPr>
        <w:t>18</w:t>
      </w:r>
      <w:r w:rsidR="004B2E28" w:rsidRPr="007D29C5">
        <w:rPr>
          <w:noProof/>
        </w:rPr>
        <w:t>,</w:t>
      </w:r>
      <w:r w:rsidR="00BA39A5" w:rsidRPr="007D29C5">
        <w:rPr>
          <w:noProof/>
        </w:rPr>
        <w:t xml:space="preserve"> </w:t>
      </w:r>
      <w:r w:rsidR="004B2E28" w:rsidRPr="007D29C5">
        <w:rPr>
          <w:noProof/>
        </w:rPr>
        <w:t>52; b) C.</w:t>
      </w:r>
      <w:r w:rsidR="00C176B0" w:rsidRPr="007D29C5">
        <w:rPr>
          <w:noProof/>
        </w:rPr>
        <w:t xml:space="preserve"> </w:t>
      </w:r>
      <w:r w:rsidR="004B2E28" w:rsidRPr="007D29C5">
        <w:rPr>
          <w:noProof/>
        </w:rPr>
        <w:t>P.</w:t>
      </w:r>
      <w:r w:rsidR="00C176B0" w:rsidRPr="007D29C5">
        <w:rPr>
          <w:noProof/>
        </w:rPr>
        <w:t xml:space="preserve"> </w:t>
      </w:r>
      <w:r w:rsidR="004B2E28" w:rsidRPr="007D29C5">
        <w:rPr>
          <w:noProof/>
        </w:rPr>
        <w:t xml:space="preserve">O. </w:t>
      </w:r>
      <w:r w:rsidR="00997EB9" w:rsidRPr="007D29C5">
        <w:rPr>
          <w:noProof/>
        </w:rPr>
        <w:t xml:space="preserve">Reyer, </w:t>
      </w:r>
      <w:r w:rsidR="004B2E28" w:rsidRPr="007D29C5">
        <w:rPr>
          <w:noProof/>
        </w:rPr>
        <w:t>K.</w:t>
      </w:r>
      <w:r w:rsidR="00C176B0" w:rsidRPr="007D29C5">
        <w:rPr>
          <w:noProof/>
        </w:rPr>
        <w:t xml:space="preserve"> </w:t>
      </w:r>
      <w:r w:rsidR="004B2E28" w:rsidRPr="007D29C5">
        <w:rPr>
          <w:noProof/>
        </w:rPr>
        <w:t>K.</w:t>
      </w:r>
      <w:r w:rsidR="00997EB9" w:rsidRPr="007D29C5">
        <w:rPr>
          <w:noProof/>
        </w:rPr>
        <w:t xml:space="preserve"> Rigaud,</w:t>
      </w:r>
      <w:r w:rsidR="004B2E28" w:rsidRPr="007D29C5">
        <w:rPr>
          <w:noProof/>
        </w:rPr>
        <w:t xml:space="preserve"> E.</w:t>
      </w:r>
      <w:r w:rsidR="00997EB9" w:rsidRPr="007D29C5">
        <w:rPr>
          <w:noProof/>
        </w:rPr>
        <w:t xml:space="preserve"> Fernandes, </w:t>
      </w:r>
      <w:r w:rsidR="004B2E28" w:rsidRPr="007D29C5">
        <w:rPr>
          <w:noProof/>
        </w:rPr>
        <w:t>W.</w:t>
      </w:r>
      <w:r w:rsidR="00997EB9" w:rsidRPr="007D29C5">
        <w:rPr>
          <w:noProof/>
        </w:rPr>
        <w:t xml:space="preserve"> Hare, </w:t>
      </w:r>
      <w:r w:rsidR="004B2E28" w:rsidRPr="007D29C5">
        <w:rPr>
          <w:noProof/>
        </w:rPr>
        <w:t>O.</w:t>
      </w:r>
      <w:r w:rsidR="00997EB9" w:rsidRPr="007D29C5">
        <w:rPr>
          <w:noProof/>
        </w:rPr>
        <w:t xml:space="preserve"> Serdeczny, </w:t>
      </w:r>
      <w:r w:rsidR="004B2E28" w:rsidRPr="007D29C5">
        <w:rPr>
          <w:noProof/>
        </w:rPr>
        <w:t>H.</w:t>
      </w:r>
      <w:r w:rsidR="00C176B0" w:rsidRPr="007D29C5">
        <w:rPr>
          <w:noProof/>
        </w:rPr>
        <w:t xml:space="preserve"> </w:t>
      </w:r>
      <w:r w:rsidR="004B2E28" w:rsidRPr="007D29C5">
        <w:rPr>
          <w:noProof/>
        </w:rPr>
        <w:t>J.</w:t>
      </w:r>
      <w:r w:rsidR="00997EB9" w:rsidRPr="007D29C5">
        <w:rPr>
          <w:noProof/>
        </w:rPr>
        <w:t xml:space="preserve"> Schellnhuber, </w:t>
      </w:r>
      <w:r w:rsidR="00997EB9" w:rsidRPr="007D29C5">
        <w:rPr>
          <w:i/>
          <w:iCs/>
          <w:noProof/>
        </w:rPr>
        <w:t>Reg. Environ. Chang.</w:t>
      </w:r>
      <w:r w:rsidR="00997EB9" w:rsidRPr="007D29C5">
        <w:rPr>
          <w:noProof/>
        </w:rPr>
        <w:t xml:space="preserve"> </w:t>
      </w:r>
      <w:r w:rsidR="00997EB9" w:rsidRPr="007D29C5">
        <w:rPr>
          <w:b/>
          <w:bCs/>
          <w:noProof/>
        </w:rPr>
        <w:t>2017</w:t>
      </w:r>
      <w:r w:rsidR="00997EB9" w:rsidRPr="007D29C5">
        <w:rPr>
          <w:noProof/>
        </w:rPr>
        <w:t xml:space="preserve">, </w:t>
      </w:r>
      <w:r w:rsidR="00997EB9" w:rsidRPr="007D29C5">
        <w:rPr>
          <w:i/>
          <w:iCs/>
          <w:noProof/>
        </w:rPr>
        <w:t>17</w:t>
      </w:r>
      <w:r w:rsidR="004B2E28" w:rsidRPr="007D29C5">
        <w:rPr>
          <w:noProof/>
        </w:rPr>
        <w:t>, 1563; c) G.</w:t>
      </w:r>
      <w:r w:rsidR="00C176B0" w:rsidRPr="007D29C5">
        <w:rPr>
          <w:noProof/>
        </w:rPr>
        <w:t xml:space="preserve"> </w:t>
      </w:r>
      <w:r w:rsidR="004B2E28" w:rsidRPr="007D29C5">
        <w:rPr>
          <w:noProof/>
        </w:rPr>
        <w:t xml:space="preserve">H. </w:t>
      </w:r>
      <w:r w:rsidR="00997EB9" w:rsidRPr="007D29C5">
        <w:rPr>
          <w:noProof/>
        </w:rPr>
        <w:t xml:space="preserve">Hadorn, </w:t>
      </w:r>
      <w:r w:rsidR="004B2E28" w:rsidRPr="007D29C5">
        <w:rPr>
          <w:noProof/>
        </w:rPr>
        <w:t>D.</w:t>
      </w:r>
      <w:r w:rsidR="00997EB9" w:rsidRPr="007D29C5">
        <w:rPr>
          <w:noProof/>
        </w:rPr>
        <w:t xml:space="preserve"> Bradley, </w:t>
      </w:r>
      <w:r w:rsidR="004B2E28" w:rsidRPr="007D29C5">
        <w:rPr>
          <w:noProof/>
        </w:rPr>
        <w:t xml:space="preserve">C. </w:t>
      </w:r>
      <w:r w:rsidR="00997EB9" w:rsidRPr="007D29C5">
        <w:rPr>
          <w:noProof/>
        </w:rPr>
        <w:t>Pohl,</w:t>
      </w:r>
      <w:r w:rsidR="004B2E28" w:rsidRPr="007D29C5">
        <w:rPr>
          <w:noProof/>
        </w:rPr>
        <w:t xml:space="preserve"> S.</w:t>
      </w:r>
      <w:r w:rsidR="00997EB9" w:rsidRPr="007D29C5">
        <w:rPr>
          <w:noProof/>
        </w:rPr>
        <w:t xml:space="preserve"> Rist,</w:t>
      </w:r>
      <w:r w:rsidR="004B2E28" w:rsidRPr="007D29C5">
        <w:rPr>
          <w:noProof/>
        </w:rPr>
        <w:t xml:space="preserve"> U. Wiesmann, </w:t>
      </w:r>
      <w:r w:rsidR="00997EB9" w:rsidRPr="007D29C5">
        <w:rPr>
          <w:i/>
          <w:iCs/>
          <w:noProof/>
        </w:rPr>
        <w:t>Ecol. Econ.</w:t>
      </w:r>
      <w:r w:rsidR="00997EB9" w:rsidRPr="007D29C5">
        <w:rPr>
          <w:noProof/>
        </w:rPr>
        <w:t xml:space="preserve"> </w:t>
      </w:r>
      <w:r w:rsidR="00997EB9" w:rsidRPr="007D29C5">
        <w:rPr>
          <w:b/>
          <w:bCs/>
          <w:noProof/>
        </w:rPr>
        <w:t>2006</w:t>
      </w:r>
      <w:r w:rsidR="00997EB9" w:rsidRPr="007D29C5">
        <w:rPr>
          <w:noProof/>
        </w:rPr>
        <w:t xml:space="preserve">, </w:t>
      </w:r>
      <w:r w:rsidR="00997EB9" w:rsidRPr="007D29C5">
        <w:rPr>
          <w:i/>
          <w:iCs/>
          <w:noProof/>
        </w:rPr>
        <w:t>60</w:t>
      </w:r>
      <w:r w:rsidR="00997EB9" w:rsidRPr="007D29C5">
        <w:rPr>
          <w:noProof/>
        </w:rPr>
        <w:t>, 119</w:t>
      </w:r>
      <w:r w:rsidR="005173C8" w:rsidRPr="007D29C5">
        <w:rPr>
          <w:noProof/>
        </w:rPr>
        <w:t>.</w:t>
      </w:r>
    </w:p>
    <w:p w14:paraId="1183A378" w14:textId="6FB87D5C" w:rsidR="00757732" w:rsidRPr="007D29C5" w:rsidRDefault="00757732" w:rsidP="00BA39A5">
      <w:pPr>
        <w:widowControl w:val="0"/>
        <w:autoSpaceDE w:val="0"/>
        <w:autoSpaceDN w:val="0"/>
        <w:adjustRightInd w:val="0"/>
        <w:spacing w:after="160" w:line="480" w:lineRule="auto"/>
        <w:rPr>
          <w:noProof/>
        </w:rPr>
      </w:pPr>
      <w:r w:rsidRPr="007D29C5">
        <w:rPr>
          <w:noProof/>
        </w:rPr>
        <w:t xml:space="preserve">[5] R. Scholz, Steiner, G. Sustain Sci </w:t>
      </w:r>
      <w:r w:rsidRPr="007D29C5">
        <w:rPr>
          <w:b/>
          <w:noProof/>
        </w:rPr>
        <w:t>2015</w:t>
      </w:r>
      <w:r w:rsidRPr="007D29C5">
        <w:rPr>
          <w:noProof/>
        </w:rPr>
        <w:t>, 10, 527.</w:t>
      </w:r>
    </w:p>
    <w:p w14:paraId="3C51EB2A" w14:textId="18C864B1" w:rsidR="00BA39A5" w:rsidRPr="007D29C5" w:rsidRDefault="00757732" w:rsidP="00BA39A5">
      <w:pPr>
        <w:widowControl w:val="0"/>
        <w:autoSpaceDE w:val="0"/>
        <w:autoSpaceDN w:val="0"/>
        <w:adjustRightInd w:val="0"/>
        <w:spacing w:after="160" w:line="480" w:lineRule="auto"/>
        <w:rPr>
          <w:noProof/>
        </w:rPr>
      </w:pPr>
      <w:r w:rsidRPr="007D29C5">
        <w:rPr>
          <w:noProof/>
        </w:rPr>
        <w:t>[6</w:t>
      </w:r>
      <w:r w:rsidR="009E26B8" w:rsidRPr="007D29C5">
        <w:rPr>
          <w:noProof/>
        </w:rPr>
        <w:t>]</w:t>
      </w:r>
      <w:r w:rsidR="00BA39A5" w:rsidRPr="007D29C5">
        <w:rPr>
          <w:noProof/>
        </w:rPr>
        <w:t xml:space="preserve"> a) S.</w:t>
      </w:r>
      <w:r w:rsidR="00C176B0" w:rsidRPr="007D29C5">
        <w:rPr>
          <w:noProof/>
        </w:rPr>
        <w:t xml:space="preserve"> </w:t>
      </w:r>
      <w:r w:rsidR="00BA39A5" w:rsidRPr="007D29C5">
        <w:rPr>
          <w:noProof/>
        </w:rPr>
        <w:t xml:space="preserve">O. </w:t>
      </w:r>
      <w:r w:rsidR="00997EB9" w:rsidRPr="007D29C5">
        <w:rPr>
          <w:noProof/>
        </w:rPr>
        <w:t>Funtowicz,</w:t>
      </w:r>
      <w:r w:rsidR="00BA39A5" w:rsidRPr="007D29C5">
        <w:rPr>
          <w:noProof/>
        </w:rPr>
        <w:t xml:space="preserve"> J.</w:t>
      </w:r>
      <w:r w:rsidR="00C176B0" w:rsidRPr="007D29C5">
        <w:rPr>
          <w:noProof/>
        </w:rPr>
        <w:t xml:space="preserve"> </w:t>
      </w:r>
      <w:r w:rsidR="00BA39A5" w:rsidRPr="007D29C5">
        <w:rPr>
          <w:noProof/>
        </w:rPr>
        <w:t>R.</w:t>
      </w:r>
      <w:r w:rsidR="00997EB9" w:rsidRPr="007D29C5">
        <w:rPr>
          <w:noProof/>
        </w:rPr>
        <w:t xml:space="preserve"> Ravetz, </w:t>
      </w:r>
      <w:r w:rsidR="00997EB9" w:rsidRPr="007D29C5">
        <w:rPr>
          <w:i/>
          <w:iCs/>
          <w:noProof/>
        </w:rPr>
        <w:t>Futures</w:t>
      </w:r>
      <w:r w:rsidR="00997EB9" w:rsidRPr="007D29C5">
        <w:rPr>
          <w:noProof/>
        </w:rPr>
        <w:t xml:space="preserve"> </w:t>
      </w:r>
      <w:r w:rsidR="00997EB9" w:rsidRPr="007D29C5">
        <w:rPr>
          <w:b/>
          <w:bCs/>
          <w:noProof/>
        </w:rPr>
        <w:t>1993</w:t>
      </w:r>
      <w:r w:rsidR="00997EB9" w:rsidRPr="007D29C5">
        <w:rPr>
          <w:noProof/>
        </w:rPr>
        <w:t xml:space="preserve">, </w:t>
      </w:r>
      <w:r w:rsidR="00997EB9" w:rsidRPr="007D29C5">
        <w:rPr>
          <w:i/>
          <w:iCs/>
          <w:noProof/>
        </w:rPr>
        <w:t>25</w:t>
      </w:r>
      <w:r w:rsidR="00BA39A5" w:rsidRPr="007D29C5">
        <w:rPr>
          <w:noProof/>
        </w:rPr>
        <w:t>, 735; b</w:t>
      </w:r>
      <w:r w:rsidR="00997EB9" w:rsidRPr="007D29C5">
        <w:rPr>
          <w:noProof/>
        </w:rPr>
        <w:t xml:space="preserve">) </w:t>
      </w:r>
      <w:r w:rsidR="00BA39A5" w:rsidRPr="007D29C5">
        <w:rPr>
          <w:noProof/>
        </w:rPr>
        <w:t>M. G</w:t>
      </w:r>
      <w:r w:rsidR="00997EB9" w:rsidRPr="007D29C5">
        <w:rPr>
          <w:noProof/>
        </w:rPr>
        <w:t xml:space="preserve">ibbons, </w:t>
      </w:r>
      <w:r w:rsidR="00BA39A5" w:rsidRPr="007D29C5">
        <w:rPr>
          <w:noProof/>
        </w:rPr>
        <w:t>C.</w:t>
      </w:r>
      <w:r w:rsidR="00997EB9" w:rsidRPr="007D29C5">
        <w:rPr>
          <w:noProof/>
        </w:rPr>
        <w:t xml:space="preserve"> Limoges,</w:t>
      </w:r>
      <w:r w:rsidR="00BA39A5" w:rsidRPr="007D29C5">
        <w:rPr>
          <w:noProof/>
        </w:rPr>
        <w:t xml:space="preserve"> H. </w:t>
      </w:r>
    </w:p>
    <w:p w14:paraId="2DB77C02" w14:textId="77777777" w:rsidR="009E26B8" w:rsidRPr="007D29C5" w:rsidRDefault="00997EB9" w:rsidP="005173C8">
      <w:pPr>
        <w:widowControl w:val="0"/>
        <w:autoSpaceDE w:val="0"/>
        <w:autoSpaceDN w:val="0"/>
        <w:adjustRightInd w:val="0"/>
        <w:spacing w:after="160" w:line="480" w:lineRule="auto"/>
        <w:rPr>
          <w:i/>
          <w:iCs/>
          <w:noProof/>
        </w:rPr>
      </w:pPr>
      <w:r w:rsidRPr="007D29C5">
        <w:rPr>
          <w:noProof/>
        </w:rPr>
        <w:t xml:space="preserve">Nowotny, </w:t>
      </w:r>
      <w:r w:rsidR="00BA39A5" w:rsidRPr="007D29C5">
        <w:rPr>
          <w:noProof/>
        </w:rPr>
        <w:t>S.</w:t>
      </w:r>
      <w:r w:rsidRPr="007D29C5">
        <w:rPr>
          <w:noProof/>
        </w:rPr>
        <w:t xml:space="preserve"> Schwartzman, </w:t>
      </w:r>
      <w:r w:rsidR="00BA39A5" w:rsidRPr="007D29C5">
        <w:rPr>
          <w:noProof/>
        </w:rPr>
        <w:t>P.</w:t>
      </w:r>
      <w:r w:rsidRPr="007D29C5">
        <w:rPr>
          <w:noProof/>
        </w:rPr>
        <w:t xml:space="preserve"> Scott, </w:t>
      </w:r>
      <w:r w:rsidR="00BA39A5" w:rsidRPr="007D29C5">
        <w:rPr>
          <w:noProof/>
        </w:rPr>
        <w:t>M.</w:t>
      </w:r>
      <w:r w:rsidRPr="007D29C5">
        <w:rPr>
          <w:noProof/>
        </w:rPr>
        <w:t xml:space="preserve"> Trow, </w:t>
      </w:r>
      <w:r w:rsidR="00BA39A5" w:rsidRPr="007D29C5">
        <w:rPr>
          <w:i/>
          <w:noProof/>
        </w:rPr>
        <w:t>T</w:t>
      </w:r>
      <w:r w:rsidRPr="007D29C5">
        <w:rPr>
          <w:i/>
          <w:iCs/>
          <w:noProof/>
        </w:rPr>
        <w:t>he new produc</w:t>
      </w:r>
      <w:r w:rsidR="00BA39A5" w:rsidRPr="007D29C5">
        <w:rPr>
          <w:i/>
          <w:iCs/>
          <w:noProof/>
        </w:rPr>
        <w:t>tion of knowledge: the dynamics</w:t>
      </w:r>
      <w:r w:rsidR="00C176B0" w:rsidRPr="007D29C5">
        <w:rPr>
          <w:i/>
          <w:iCs/>
          <w:noProof/>
        </w:rPr>
        <w:t xml:space="preserve"> </w:t>
      </w:r>
      <w:r w:rsidRPr="007D29C5">
        <w:rPr>
          <w:i/>
          <w:iCs/>
          <w:noProof/>
        </w:rPr>
        <w:lastRenderedPageBreak/>
        <w:t>of science and research in contemporary societies</w:t>
      </w:r>
      <w:r w:rsidR="00AD6042" w:rsidRPr="007D29C5">
        <w:rPr>
          <w:iCs/>
          <w:noProof/>
        </w:rPr>
        <w:t>,</w:t>
      </w:r>
      <w:r w:rsidR="00BA39A5" w:rsidRPr="007D29C5">
        <w:rPr>
          <w:noProof/>
        </w:rPr>
        <w:t xml:space="preserve"> Sage Publications,</w:t>
      </w:r>
      <w:r w:rsidRPr="007D29C5">
        <w:rPr>
          <w:noProof/>
        </w:rPr>
        <w:t xml:space="preserve"> London, UK, </w:t>
      </w:r>
      <w:r w:rsidRPr="007D29C5">
        <w:rPr>
          <w:b/>
          <w:noProof/>
        </w:rPr>
        <w:t>1994</w:t>
      </w:r>
      <w:r w:rsidR="00AD6042" w:rsidRPr="007D29C5">
        <w:rPr>
          <w:noProof/>
        </w:rPr>
        <w:t>; c</w:t>
      </w:r>
      <w:r w:rsidR="00BA39A5" w:rsidRPr="007D29C5">
        <w:rPr>
          <w:noProof/>
        </w:rPr>
        <w:t xml:space="preserve">) A. </w:t>
      </w:r>
      <w:r w:rsidRPr="007D29C5">
        <w:rPr>
          <w:noProof/>
        </w:rPr>
        <w:t xml:space="preserve">Russell, </w:t>
      </w:r>
      <w:r w:rsidR="00AD6042" w:rsidRPr="007D29C5">
        <w:rPr>
          <w:noProof/>
        </w:rPr>
        <w:t>F.</w:t>
      </w:r>
      <w:r w:rsidRPr="007D29C5">
        <w:rPr>
          <w:noProof/>
        </w:rPr>
        <w:t xml:space="preserve"> Wickson, </w:t>
      </w:r>
      <w:r w:rsidR="00AD6042" w:rsidRPr="007D29C5">
        <w:rPr>
          <w:noProof/>
        </w:rPr>
        <w:t>A. Carew,</w:t>
      </w:r>
      <w:r w:rsidRPr="007D29C5">
        <w:rPr>
          <w:noProof/>
        </w:rPr>
        <w:t xml:space="preserve"> </w:t>
      </w:r>
      <w:r w:rsidRPr="007D29C5">
        <w:rPr>
          <w:i/>
          <w:iCs/>
          <w:noProof/>
        </w:rPr>
        <w:t>Futures</w:t>
      </w:r>
      <w:r w:rsidRPr="007D29C5">
        <w:rPr>
          <w:noProof/>
        </w:rPr>
        <w:t xml:space="preserve"> </w:t>
      </w:r>
      <w:r w:rsidRPr="007D29C5">
        <w:rPr>
          <w:b/>
          <w:bCs/>
          <w:noProof/>
        </w:rPr>
        <w:t>2008</w:t>
      </w:r>
      <w:r w:rsidRPr="007D29C5">
        <w:rPr>
          <w:noProof/>
        </w:rPr>
        <w:t xml:space="preserve">, </w:t>
      </w:r>
      <w:r w:rsidRPr="007D29C5">
        <w:rPr>
          <w:i/>
          <w:iCs/>
          <w:noProof/>
        </w:rPr>
        <w:t>40</w:t>
      </w:r>
      <w:r w:rsidR="00AD6042" w:rsidRPr="007D29C5">
        <w:rPr>
          <w:noProof/>
        </w:rPr>
        <w:t xml:space="preserve">, 460; d) M. </w:t>
      </w:r>
      <w:r w:rsidRPr="007D29C5">
        <w:rPr>
          <w:noProof/>
        </w:rPr>
        <w:t xml:space="preserve">Mobjörk, </w:t>
      </w:r>
      <w:r w:rsidRPr="007D29C5">
        <w:rPr>
          <w:i/>
          <w:iCs/>
          <w:noProof/>
        </w:rPr>
        <w:t>Futures</w:t>
      </w:r>
      <w:r w:rsidRPr="007D29C5">
        <w:rPr>
          <w:noProof/>
        </w:rPr>
        <w:t xml:space="preserve"> </w:t>
      </w:r>
      <w:r w:rsidRPr="007D29C5">
        <w:rPr>
          <w:b/>
          <w:bCs/>
          <w:noProof/>
        </w:rPr>
        <w:t>2010</w:t>
      </w:r>
      <w:r w:rsidRPr="007D29C5">
        <w:rPr>
          <w:noProof/>
        </w:rPr>
        <w:t xml:space="preserve">, </w:t>
      </w:r>
      <w:r w:rsidRPr="007D29C5">
        <w:rPr>
          <w:i/>
          <w:iCs/>
          <w:noProof/>
        </w:rPr>
        <w:t>42</w:t>
      </w:r>
      <w:r w:rsidRPr="007D29C5">
        <w:rPr>
          <w:noProof/>
        </w:rPr>
        <w:t>, 866.</w:t>
      </w:r>
    </w:p>
    <w:p w14:paraId="731D12B8" w14:textId="4E5E3937" w:rsidR="009E26B8" w:rsidRPr="007D29C5" w:rsidRDefault="00757732" w:rsidP="005173C8">
      <w:pPr>
        <w:widowControl w:val="0"/>
        <w:autoSpaceDE w:val="0"/>
        <w:autoSpaceDN w:val="0"/>
        <w:adjustRightInd w:val="0"/>
        <w:spacing w:after="160" w:line="480" w:lineRule="auto"/>
        <w:rPr>
          <w:noProof/>
        </w:rPr>
      </w:pPr>
      <w:r w:rsidRPr="007D29C5">
        <w:rPr>
          <w:noProof/>
        </w:rPr>
        <w:t>[7</w:t>
      </w:r>
      <w:r w:rsidR="009E26B8" w:rsidRPr="007D29C5">
        <w:rPr>
          <w:noProof/>
        </w:rPr>
        <w:t>]</w:t>
      </w:r>
      <w:r w:rsidR="00AD6042" w:rsidRPr="007D29C5">
        <w:rPr>
          <w:noProof/>
        </w:rPr>
        <w:t xml:space="preserve"> a) S.</w:t>
      </w:r>
      <w:r w:rsidR="00C176B0" w:rsidRPr="007D29C5">
        <w:rPr>
          <w:noProof/>
        </w:rPr>
        <w:t xml:space="preserve"> </w:t>
      </w:r>
      <w:r w:rsidR="00AD6042" w:rsidRPr="007D29C5">
        <w:rPr>
          <w:noProof/>
        </w:rPr>
        <w:t xml:space="preserve">E. </w:t>
      </w:r>
      <w:r w:rsidR="00997EB9" w:rsidRPr="007D29C5">
        <w:rPr>
          <w:noProof/>
        </w:rPr>
        <w:t xml:space="preserve">Hampton, </w:t>
      </w:r>
      <w:r w:rsidR="00AD6042" w:rsidRPr="007D29C5">
        <w:rPr>
          <w:noProof/>
        </w:rPr>
        <w:t>J.</w:t>
      </w:r>
      <w:r w:rsidR="00C176B0" w:rsidRPr="007D29C5">
        <w:rPr>
          <w:noProof/>
        </w:rPr>
        <w:t xml:space="preserve"> </w:t>
      </w:r>
      <w:r w:rsidR="00AD6042" w:rsidRPr="007D29C5">
        <w:rPr>
          <w:noProof/>
        </w:rPr>
        <w:t>N.</w:t>
      </w:r>
      <w:r w:rsidR="00997EB9" w:rsidRPr="007D29C5">
        <w:rPr>
          <w:noProof/>
        </w:rPr>
        <w:t xml:space="preserve"> Parker, </w:t>
      </w:r>
      <w:r w:rsidR="00997EB9" w:rsidRPr="007D29C5">
        <w:rPr>
          <w:i/>
          <w:iCs/>
          <w:noProof/>
        </w:rPr>
        <w:t>Bioscience</w:t>
      </w:r>
      <w:r w:rsidR="00997EB9" w:rsidRPr="007D29C5">
        <w:rPr>
          <w:noProof/>
        </w:rPr>
        <w:t xml:space="preserve"> </w:t>
      </w:r>
      <w:r w:rsidR="00997EB9" w:rsidRPr="007D29C5">
        <w:rPr>
          <w:b/>
          <w:bCs/>
          <w:noProof/>
        </w:rPr>
        <w:t>2011</w:t>
      </w:r>
      <w:r w:rsidR="00997EB9" w:rsidRPr="007D29C5">
        <w:rPr>
          <w:noProof/>
        </w:rPr>
        <w:t xml:space="preserve">, </w:t>
      </w:r>
      <w:r w:rsidR="00997EB9" w:rsidRPr="007D29C5">
        <w:rPr>
          <w:i/>
          <w:iCs/>
          <w:noProof/>
        </w:rPr>
        <w:t>61</w:t>
      </w:r>
      <w:r w:rsidR="00AD6042" w:rsidRPr="007D29C5">
        <w:rPr>
          <w:noProof/>
        </w:rPr>
        <w:t xml:space="preserve">, 900; b) D. </w:t>
      </w:r>
      <w:r w:rsidR="00997EB9" w:rsidRPr="007D29C5">
        <w:rPr>
          <w:noProof/>
        </w:rPr>
        <w:t xml:space="preserve">Pennington, </w:t>
      </w:r>
      <w:r w:rsidR="00AD6042" w:rsidRPr="007D29C5">
        <w:rPr>
          <w:noProof/>
        </w:rPr>
        <w:t>G.</w:t>
      </w:r>
      <w:r w:rsidR="00C176B0" w:rsidRPr="007D29C5">
        <w:rPr>
          <w:noProof/>
        </w:rPr>
        <w:t xml:space="preserve"> </w:t>
      </w:r>
      <w:r w:rsidR="00AD6042" w:rsidRPr="007D29C5">
        <w:rPr>
          <w:noProof/>
        </w:rPr>
        <w:t>L.</w:t>
      </w:r>
      <w:r w:rsidR="00997EB9" w:rsidRPr="007D29C5">
        <w:rPr>
          <w:noProof/>
        </w:rPr>
        <w:t xml:space="preserve"> Simpson, </w:t>
      </w:r>
      <w:r w:rsidR="00AD6042" w:rsidRPr="007D29C5">
        <w:rPr>
          <w:noProof/>
        </w:rPr>
        <w:t>M.</w:t>
      </w:r>
      <w:r w:rsidR="00C176B0" w:rsidRPr="007D29C5">
        <w:rPr>
          <w:noProof/>
        </w:rPr>
        <w:t xml:space="preserve"> </w:t>
      </w:r>
      <w:r w:rsidR="00AD6042" w:rsidRPr="007D29C5">
        <w:rPr>
          <w:noProof/>
        </w:rPr>
        <w:t>S.</w:t>
      </w:r>
      <w:r w:rsidR="00997EB9" w:rsidRPr="007D29C5">
        <w:rPr>
          <w:noProof/>
        </w:rPr>
        <w:t xml:space="preserve"> McConnell, </w:t>
      </w:r>
      <w:r w:rsidR="00AD6042" w:rsidRPr="007D29C5">
        <w:rPr>
          <w:noProof/>
        </w:rPr>
        <w:t>J.</w:t>
      </w:r>
      <w:r w:rsidR="00C176B0" w:rsidRPr="007D29C5">
        <w:rPr>
          <w:noProof/>
        </w:rPr>
        <w:t xml:space="preserve"> </w:t>
      </w:r>
      <w:r w:rsidR="00AD6042" w:rsidRPr="007D29C5">
        <w:rPr>
          <w:noProof/>
        </w:rPr>
        <w:t>M.</w:t>
      </w:r>
      <w:r w:rsidR="00997EB9" w:rsidRPr="007D29C5">
        <w:rPr>
          <w:noProof/>
        </w:rPr>
        <w:t xml:space="preserve"> Fair, </w:t>
      </w:r>
      <w:r w:rsidR="00AD6042" w:rsidRPr="007D29C5">
        <w:rPr>
          <w:noProof/>
        </w:rPr>
        <w:t>R.</w:t>
      </w:r>
      <w:r w:rsidR="00C176B0" w:rsidRPr="007D29C5">
        <w:rPr>
          <w:noProof/>
        </w:rPr>
        <w:t xml:space="preserve"> </w:t>
      </w:r>
      <w:r w:rsidR="00AD6042" w:rsidRPr="007D29C5">
        <w:rPr>
          <w:noProof/>
        </w:rPr>
        <w:t>J. Baker</w:t>
      </w:r>
      <w:r w:rsidR="00997EB9" w:rsidRPr="007D29C5">
        <w:rPr>
          <w:noProof/>
        </w:rPr>
        <w:t xml:space="preserve">, </w:t>
      </w:r>
      <w:r w:rsidR="00997EB9" w:rsidRPr="007D29C5">
        <w:rPr>
          <w:i/>
          <w:iCs/>
          <w:noProof/>
        </w:rPr>
        <w:t>Bioscience</w:t>
      </w:r>
      <w:r w:rsidR="00997EB9" w:rsidRPr="007D29C5">
        <w:rPr>
          <w:noProof/>
        </w:rPr>
        <w:t xml:space="preserve"> </w:t>
      </w:r>
      <w:r w:rsidR="00997EB9" w:rsidRPr="007D29C5">
        <w:rPr>
          <w:b/>
          <w:bCs/>
          <w:noProof/>
        </w:rPr>
        <w:t>2013</w:t>
      </w:r>
      <w:r w:rsidR="00997EB9" w:rsidRPr="007D29C5">
        <w:rPr>
          <w:noProof/>
        </w:rPr>
        <w:t xml:space="preserve">, </w:t>
      </w:r>
      <w:r w:rsidR="00997EB9" w:rsidRPr="007D29C5">
        <w:rPr>
          <w:i/>
          <w:iCs/>
          <w:noProof/>
        </w:rPr>
        <w:t>63</w:t>
      </w:r>
      <w:r w:rsidR="00997EB9" w:rsidRPr="007D29C5">
        <w:rPr>
          <w:noProof/>
        </w:rPr>
        <w:t>, 564.</w:t>
      </w:r>
    </w:p>
    <w:p w14:paraId="3D640D50" w14:textId="31948E5E" w:rsidR="009E26B8" w:rsidRPr="007D29C5" w:rsidRDefault="00757732" w:rsidP="005173C8">
      <w:pPr>
        <w:widowControl w:val="0"/>
        <w:autoSpaceDE w:val="0"/>
        <w:autoSpaceDN w:val="0"/>
        <w:adjustRightInd w:val="0"/>
        <w:spacing w:after="160" w:line="480" w:lineRule="auto"/>
        <w:ind w:left="640" w:hanging="640"/>
        <w:rPr>
          <w:noProof/>
        </w:rPr>
      </w:pPr>
      <w:r w:rsidRPr="007D29C5">
        <w:rPr>
          <w:noProof/>
        </w:rPr>
        <w:t>[8</w:t>
      </w:r>
      <w:r w:rsidR="009E26B8" w:rsidRPr="007D29C5">
        <w:rPr>
          <w:noProof/>
        </w:rPr>
        <w:t>]</w:t>
      </w:r>
      <w:r w:rsidR="00AD6042" w:rsidRPr="007D29C5">
        <w:rPr>
          <w:noProof/>
        </w:rPr>
        <w:t xml:space="preserve"> M.</w:t>
      </w:r>
      <w:r w:rsidR="00C176B0" w:rsidRPr="007D29C5">
        <w:rPr>
          <w:noProof/>
        </w:rPr>
        <w:t xml:space="preserve"> </w:t>
      </w:r>
      <w:r w:rsidR="00AD6042" w:rsidRPr="007D29C5">
        <w:rPr>
          <w:noProof/>
        </w:rPr>
        <w:t xml:space="preserve">A. </w:t>
      </w:r>
      <w:r w:rsidR="00997EB9" w:rsidRPr="007D29C5">
        <w:rPr>
          <w:noProof/>
        </w:rPr>
        <w:t xml:space="preserve">Max-Neef, </w:t>
      </w:r>
      <w:r w:rsidR="00997EB9" w:rsidRPr="007D29C5">
        <w:rPr>
          <w:i/>
          <w:iCs/>
          <w:noProof/>
        </w:rPr>
        <w:t>Ecol. Econ.</w:t>
      </w:r>
      <w:r w:rsidR="00997EB9" w:rsidRPr="007D29C5">
        <w:rPr>
          <w:noProof/>
        </w:rPr>
        <w:t xml:space="preserve"> </w:t>
      </w:r>
      <w:r w:rsidR="00997EB9" w:rsidRPr="007D29C5">
        <w:rPr>
          <w:b/>
          <w:bCs/>
          <w:noProof/>
        </w:rPr>
        <w:t>2005</w:t>
      </w:r>
      <w:r w:rsidR="00997EB9" w:rsidRPr="007D29C5">
        <w:rPr>
          <w:noProof/>
        </w:rPr>
        <w:t xml:space="preserve">, </w:t>
      </w:r>
      <w:r w:rsidR="00997EB9" w:rsidRPr="007D29C5">
        <w:rPr>
          <w:i/>
          <w:iCs/>
          <w:noProof/>
        </w:rPr>
        <w:t>53</w:t>
      </w:r>
      <w:r w:rsidR="00997EB9" w:rsidRPr="007D29C5">
        <w:rPr>
          <w:noProof/>
        </w:rPr>
        <w:t>, 5.</w:t>
      </w:r>
    </w:p>
    <w:p w14:paraId="425F8244" w14:textId="7FC3EE85" w:rsidR="009E26B8" w:rsidRPr="007D29C5" w:rsidRDefault="00757732" w:rsidP="005173C8">
      <w:pPr>
        <w:widowControl w:val="0"/>
        <w:autoSpaceDE w:val="0"/>
        <w:autoSpaceDN w:val="0"/>
        <w:adjustRightInd w:val="0"/>
        <w:spacing w:after="160" w:line="480" w:lineRule="auto"/>
        <w:rPr>
          <w:noProof/>
        </w:rPr>
      </w:pPr>
      <w:r w:rsidRPr="007D29C5">
        <w:rPr>
          <w:noProof/>
        </w:rPr>
        <w:t>[9</w:t>
      </w:r>
      <w:r w:rsidR="009E26B8" w:rsidRPr="007D29C5">
        <w:rPr>
          <w:noProof/>
        </w:rPr>
        <w:t>]</w:t>
      </w:r>
      <w:r w:rsidR="00AD6042" w:rsidRPr="007D29C5">
        <w:rPr>
          <w:noProof/>
        </w:rPr>
        <w:t xml:space="preserve"> a) D. </w:t>
      </w:r>
      <w:r w:rsidR="00997EB9" w:rsidRPr="007D29C5">
        <w:rPr>
          <w:noProof/>
        </w:rPr>
        <w:t xml:space="preserve">Stokols, </w:t>
      </w:r>
      <w:r w:rsidR="00997EB9" w:rsidRPr="007D29C5">
        <w:rPr>
          <w:i/>
          <w:iCs/>
          <w:noProof/>
        </w:rPr>
        <w:t>Am. J. Community Psychol.</w:t>
      </w:r>
      <w:r w:rsidR="00997EB9" w:rsidRPr="007D29C5">
        <w:rPr>
          <w:noProof/>
        </w:rPr>
        <w:t xml:space="preserve"> </w:t>
      </w:r>
      <w:r w:rsidR="00997EB9" w:rsidRPr="007D29C5">
        <w:rPr>
          <w:b/>
          <w:bCs/>
          <w:noProof/>
        </w:rPr>
        <w:t>2006</w:t>
      </w:r>
      <w:r w:rsidR="00997EB9" w:rsidRPr="007D29C5">
        <w:rPr>
          <w:noProof/>
        </w:rPr>
        <w:t xml:space="preserve">, </w:t>
      </w:r>
      <w:r w:rsidR="00997EB9" w:rsidRPr="007D29C5">
        <w:rPr>
          <w:i/>
          <w:iCs/>
          <w:noProof/>
        </w:rPr>
        <w:t>38</w:t>
      </w:r>
      <w:r w:rsidR="00AD6042" w:rsidRPr="007D29C5">
        <w:rPr>
          <w:noProof/>
        </w:rPr>
        <w:t>, 79; b</w:t>
      </w:r>
      <w:r w:rsidR="00997EB9" w:rsidRPr="007D29C5">
        <w:rPr>
          <w:noProof/>
        </w:rPr>
        <w:t xml:space="preserve">) </w:t>
      </w:r>
      <w:r w:rsidR="00AD6042" w:rsidRPr="007D29C5">
        <w:rPr>
          <w:noProof/>
        </w:rPr>
        <w:t>K.</w:t>
      </w:r>
      <w:r w:rsidR="00C176B0" w:rsidRPr="007D29C5">
        <w:rPr>
          <w:noProof/>
        </w:rPr>
        <w:t xml:space="preserve"> </w:t>
      </w:r>
      <w:r w:rsidR="00AD6042" w:rsidRPr="007D29C5">
        <w:rPr>
          <w:noProof/>
        </w:rPr>
        <w:t>L.</w:t>
      </w:r>
      <w:r w:rsidR="00997EB9" w:rsidRPr="007D29C5">
        <w:rPr>
          <w:noProof/>
        </w:rPr>
        <w:t xml:space="preserve">Hall, </w:t>
      </w:r>
      <w:r w:rsidR="00AD6042" w:rsidRPr="007D29C5">
        <w:rPr>
          <w:noProof/>
        </w:rPr>
        <w:t>D.</w:t>
      </w:r>
      <w:r w:rsidR="00997EB9" w:rsidRPr="007D29C5">
        <w:rPr>
          <w:noProof/>
        </w:rPr>
        <w:t xml:space="preserve"> Stokols, </w:t>
      </w:r>
      <w:r w:rsidR="00AD6042" w:rsidRPr="007D29C5">
        <w:rPr>
          <w:noProof/>
        </w:rPr>
        <w:t>R.</w:t>
      </w:r>
      <w:r w:rsidR="00C176B0" w:rsidRPr="007D29C5">
        <w:rPr>
          <w:noProof/>
        </w:rPr>
        <w:t xml:space="preserve"> </w:t>
      </w:r>
      <w:r w:rsidR="00AD6042" w:rsidRPr="007D29C5">
        <w:rPr>
          <w:noProof/>
        </w:rPr>
        <w:t>P.</w:t>
      </w:r>
      <w:r w:rsidR="00997EB9" w:rsidRPr="007D29C5">
        <w:rPr>
          <w:noProof/>
        </w:rPr>
        <w:t xml:space="preserve"> Moser, </w:t>
      </w:r>
      <w:r w:rsidR="00AD6042" w:rsidRPr="007D29C5">
        <w:rPr>
          <w:noProof/>
        </w:rPr>
        <w:t>B.</w:t>
      </w:r>
      <w:r w:rsidR="00C176B0" w:rsidRPr="007D29C5">
        <w:rPr>
          <w:noProof/>
        </w:rPr>
        <w:t xml:space="preserve"> </w:t>
      </w:r>
      <w:r w:rsidR="00AD6042" w:rsidRPr="007D29C5">
        <w:rPr>
          <w:noProof/>
        </w:rPr>
        <w:t>K.</w:t>
      </w:r>
      <w:r w:rsidR="00997EB9" w:rsidRPr="007D29C5">
        <w:rPr>
          <w:noProof/>
        </w:rPr>
        <w:t xml:space="preserve"> Taylor, </w:t>
      </w:r>
      <w:r w:rsidR="00AD6042" w:rsidRPr="007D29C5">
        <w:rPr>
          <w:noProof/>
        </w:rPr>
        <w:t>M.</w:t>
      </w:r>
      <w:r w:rsidR="00C176B0" w:rsidRPr="007D29C5">
        <w:rPr>
          <w:noProof/>
        </w:rPr>
        <w:t xml:space="preserve"> </w:t>
      </w:r>
      <w:r w:rsidR="00AD6042" w:rsidRPr="007D29C5">
        <w:rPr>
          <w:noProof/>
        </w:rPr>
        <w:t>D.</w:t>
      </w:r>
      <w:r w:rsidR="00997EB9" w:rsidRPr="007D29C5">
        <w:rPr>
          <w:noProof/>
        </w:rPr>
        <w:t xml:space="preserve"> Thornquist, </w:t>
      </w:r>
      <w:r w:rsidR="00AD6042" w:rsidRPr="007D29C5">
        <w:rPr>
          <w:noProof/>
        </w:rPr>
        <w:t>L.</w:t>
      </w:r>
      <w:r w:rsidR="00C176B0" w:rsidRPr="007D29C5">
        <w:rPr>
          <w:noProof/>
        </w:rPr>
        <w:t xml:space="preserve"> </w:t>
      </w:r>
      <w:r w:rsidR="00AD6042" w:rsidRPr="007D29C5">
        <w:rPr>
          <w:noProof/>
        </w:rPr>
        <w:t>C.</w:t>
      </w:r>
      <w:r w:rsidR="00997EB9" w:rsidRPr="007D29C5">
        <w:rPr>
          <w:noProof/>
        </w:rPr>
        <w:t xml:space="preserve"> Nebeling, </w:t>
      </w:r>
      <w:r w:rsidR="00AD6042" w:rsidRPr="007D29C5">
        <w:rPr>
          <w:noProof/>
        </w:rPr>
        <w:t>C.</w:t>
      </w:r>
      <w:r w:rsidR="00C176B0" w:rsidRPr="007D29C5">
        <w:rPr>
          <w:noProof/>
        </w:rPr>
        <w:t xml:space="preserve"> </w:t>
      </w:r>
      <w:r w:rsidR="00AD6042" w:rsidRPr="007D29C5">
        <w:rPr>
          <w:noProof/>
        </w:rPr>
        <w:t>C.</w:t>
      </w:r>
      <w:r w:rsidR="00997EB9" w:rsidRPr="007D29C5">
        <w:rPr>
          <w:noProof/>
        </w:rPr>
        <w:t xml:space="preserve"> Ehret, </w:t>
      </w:r>
      <w:r w:rsidR="00AD6042" w:rsidRPr="007D29C5">
        <w:rPr>
          <w:noProof/>
        </w:rPr>
        <w:t>M.</w:t>
      </w:r>
      <w:r w:rsidR="00C176B0" w:rsidRPr="007D29C5">
        <w:rPr>
          <w:noProof/>
        </w:rPr>
        <w:t xml:space="preserve"> </w:t>
      </w:r>
      <w:r w:rsidR="00AD6042" w:rsidRPr="007D29C5">
        <w:rPr>
          <w:noProof/>
        </w:rPr>
        <w:t>J.</w:t>
      </w:r>
      <w:r w:rsidR="00997EB9" w:rsidRPr="007D29C5">
        <w:rPr>
          <w:noProof/>
        </w:rPr>
        <w:t xml:space="preserve"> Barnett, </w:t>
      </w:r>
      <w:r w:rsidR="00AD6042" w:rsidRPr="007D29C5">
        <w:rPr>
          <w:noProof/>
        </w:rPr>
        <w:t>A.</w:t>
      </w:r>
      <w:r w:rsidR="00997EB9" w:rsidRPr="007D29C5">
        <w:rPr>
          <w:noProof/>
        </w:rPr>
        <w:t xml:space="preserve"> McTiernan, </w:t>
      </w:r>
      <w:r w:rsidR="00AD6042" w:rsidRPr="007D29C5">
        <w:rPr>
          <w:noProof/>
        </w:rPr>
        <w:t>N.</w:t>
      </w:r>
      <w:r w:rsidR="00C176B0" w:rsidRPr="007D29C5">
        <w:rPr>
          <w:noProof/>
        </w:rPr>
        <w:t xml:space="preserve"> </w:t>
      </w:r>
      <w:r w:rsidR="00AD6042" w:rsidRPr="007D29C5">
        <w:rPr>
          <w:noProof/>
        </w:rPr>
        <w:t>A.</w:t>
      </w:r>
      <w:r w:rsidR="00997EB9" w:rsidRPr="007D29C5">
        <w:rPr>
          <w:noProof/>
        </w:rPr>
        <w:t xml:space="preserve"> Berger, </w:t>
      </w:r>
      <w:r w:rsidR="00AD6042" w:rsidRPr="007D29C5">
        <w:rPr>
          <w:noProof/>
        </w:rPr>
        <w:t>M.</w:t>
      </w:r>
      <w:r w:rsidR="00C176B0" w:rsidRPr="007D29C5">
        <w:rPr>
          <w:noProof/>
        </w:rPr>
        <w:t xml:space="preserve"> </w:t>
      </w:r>
      <w:r w:rsidR="00AD6042" w:rsidRPr="007D29C5">
        <w:rPr>
          <w:noProof/>
        </w:rPr>
        <w:t>I.</w:t>
      </w:r>
      <w:r w:rsidR="00997EB9" w:rsidRPr="007D29C5">
        <w:rPr>
          <w:noProof/>
        </w:rPr>
        <w:t xml:space="preserve"> Goran, </w:t>
      </w:r>
      <w:r w:rsidR="00AD6042" w:rsidRPr="007D29C5">
        <w:rPr>
          <w:noProof/>
        </w:rPr>
        <w:t>R.</w:t>
      </w:r>
      <w:r w:rsidR="00C176B0" w:rsidRPr="007D29C5">
        <w:rPr>
          <w:noProof/>
        </w:rPr>
        <w:t xml:space="preserve"> </w:t>
      </w:r>
      <w:r w:rsidR="00AD6042" w:rsidRPr="007D29C5">
        <w:rPr>
          <w:noProof/>
        </w:rPr>
        <w:t>W.</w:t>
      </w:r>
      <w:r w:rsidR="00997EB9" w:rsidRPr="007D29C5">
        <w:rPr>
          <w:noProof/>
        </w:rPr>
        <w:t xml:space="preserve"> Jeffery, </w:t>
      </w:r>
      <w:r w:rsidR="00997EB9" w:rsidRPr="007D29C5">
        <w:rPr>
          <w:i/>
          <w:iCs/>
          <w:noProof/>
        </w:rPr>
        <w:t>Am. J. Prev. Med.</w:t>
      </w:r>
      <w:r w:rsidR="00997EB9" w:rsidRPr="007D29C5">
        <w:rPr>
          <w:noProof/>
        </w:rPr>
        <w:t xml:space="preserve"> </w:t>
      </w:r>
      <w:r w:rsidR="00997EB9" w:rsidRPr="007D29C5">
        <w:rPr>
          <w:b/>
          <w:bCs/>
          <w:noProof/>
        </w:rPr>
        <w:t>2008</w:t>
      </w:r>
      <w:r w:rsidR="00997EB9" w:rsidRPr="007D29C5">
        <w:rPr>
          <w:noProof/>
        </w:rPr>
        <w:t xml:space="preserve">, </w:t>
      </w:r>
      <w:r w:rsidR="00997EB9" w:rsidRPr="007D29C5">
        <w:rPr>
          <w:i/>
          <w:iCs/>
          <w:noProof/>
        </w:rPr>
        <w:t>35</w:t>
      </w:r>
      <w:r w:rsidR="00997EB9" w:rsidRPr="007D29C5">
        <w:rPr>
          <w:noProof/>
        </w:rPr>
        <w:t>, S161.</w:t>
      </w:r>
    </w:p>
    <w:p w14:paraId="65153A20" w14:textId="60A9CEA6" w:rsidR="009E26B8" w:rsidRPr="007D29C5" w:rsidRDefault="00757732" w:rsidP="005173C8">
      <w:pPr>
        <w:widowControl w:val="0"/>
        <w:autoSpaceDE w:val="0"/>
        <w:autoSpaceDN w:val="0"/>
        <w:adjustRightInd w:val="0"/>
        <w:spacing w:after="160" w:line="480" w:lineRule="auto"/>
        <w:rPr>
          <w:noProof/>
        </w:rPr>
      </w:pPr>
      <w:r w:rsidRPr="007D29C5">
        <w:rPr>
          <w:noProof/>
        </w:rPr>
        <w:t>[10</w:t>
      </w:r>
      <w:r w:rsidR="009E26B8" w:rsidRPr="007D29C5">
        <w:rPr>
          <w:noProof/>
        </w:rPr>
        <w:t>]</w:t>
      </w:r>
      <w:r w:rsidR="00AD6042" w:rsidRPr="007D29C5">
        <w:rPr>
          <w:noProof/>
        </w:rPr>
        <w:t xml:space="preserve"> D.</w:t>
      </w:r>
      <w:r w:rsidR="00C176B0" w:rsidRPr="007D29C5">
        <w:rPr>
          <w:noProof/>
        </w:rPr>
        <w:t xml:space="preserve"> </w:t>
      </w:r>
      <w:r w:rsidR="00AD6042" w:rsidRPr="007D29C5">
        <w:rPr>
          <w:noProof/>
        </w:rPr>
        <w:t>J. Lang, A.</w:t>
      </w:r>
      <w:r w:rsidR="00997EB9" w:rsidRPr="007D29C5">
        <w:rPr>
          <w:noProof/>
        </w:rPr>
        <w:t xml:space="preserve"> Wiek, </w:t>
      </w:r>
      <w:r w:rsidR="00AD6042" w:rsidRPr="007D29C5">
        <w:rPr>
          <w:noProof/>
        </w:rPr>
        <w:t>M.</w:t>
      </w:r>
      <w:r w:rsidR="00997EB9" w:rsidRPr="007D29C5">
        <w:rPr>
          <w:noProof/>
        </w:rPr>
        <w:t xml:space="preserve"> Bergmann, M. Stauffacher, </w:t>
      </w:r>
      <w:r w:rsidR="00AD6042" w:rsidRPr="007D29C5">
        <w:rPr>
          <w:noProof/>
        </w:rPr>
        <w:t>P.</w:t>
      </w:r>
      <w:r w:rsidR="00997EB9" w:rsidRPr="007D29C5">
        <w:rPr>
          <w:noProof/>
        </w:rPr>
        <w:t xml:space="preserve"> Martens, </w:t>
      </w:r>
      <w:r w:rsidR="00AD6042" w:rsidRPr="007D29C5">
        <w:rPr>
          <w:noProof/>
        </w:rPr>
        <w:t xml:space="preserve">P. </w:t>
      </w:r>
      <w:r w:rsidR="00997EB9" w:rsidRPr="007D29C5">
        <w:rPr>
          <w:noProof/>
        </w:rPr>
        <w:t xml:space="preserve">Moll, </w:t>
      </w:r>
      <w:r w:rsidR="00AD6042" w:rsidRPr="007D29C5">
        <w:rPr>
          <w:noProof/>
        </w:rPr>
        <w:t>M.</w:t>
      </w:r>
      <w:r w:rsidR="00997EB9" w:rsidRPr="007D29C5">
        <w:rPr>
          <w:noProof/>
        </w:rPr>
        <w:t xml:space="preserve"> Swilling, </w:t>
      </w:r>
      <w:r w:rsidR="00AD6042" w:rsidRPr="007D29C5">
        <w:rPr>
          <w:noProof/>
        </w:rPr>
        <w:t>C.</w:t>
      </w:r>
      <w:r w:rsidR="00C176B0" w:rsidRPr="007D29C5">
        <w:rPr>
          <w:noProof/>
        </w:rPr>
        <w:t xml:space="preserve"> </w:t>
      </w:r>
      <w:r w:rsidR="00AD6042" w:rsidRPr="007D29C5">
        <w:rPr>
          <w:noProof/>
        </w:rPr>
        <w:t>J.</w:t>
      </w:r>
      <w:r w:rsidR="00997EB9" w:rsidRPr="007D29C5">
        <w:rPr>
          <w:noProof/>
        </w:rPr>
        <w:t xml:space="preserve"> Thomas, </w:t>
      </w:r>
      <w:r w:rsidR="00997EB9" w:rsidRPr="007D29C5">
        <w:rPr>
          <w:i/>
          <w:iCs/>
          <w:noProof/>
        </w:rPr>
        <w:t>Sustain. Sci.</w:t>
      </w:r>
      <w:r w:rsidR="00997EB9" w:rsidRPr="007D29C5">
        <w:rPr>
          <w:noProof/>
        </w:rPr>
        <w:t xml:space="preserve"> </w:t>
      </w:r>
      <w:r w:rsidR="00997EB9" w:rsidRPr="007D29C5">
        <w:rPr>
          <w:b/>
          <w:bCs/>
          <w:noProof/>
        </w:rPr>
        <w:t>2012</w:t>
      </w:r>
      <w:r w:rsidR="00997EB9" w:rsidRPr="007D29C5">
        <w:rPr>
          <w:noProof/>
        </w:rPr>
        <w:t xml:space="preserve">, </w:t>
      </w:r>
      <w:r w:rsidR="00997EB9" w:rsidRPr="007D29C5">
        <w:rPr>
          <w:i/>
          <w:iCs/>
          <w:noProof/>
        </w:rPr>
        <w:t>7</w:t>
      </w:r>
      <w:r w:rsidR="00997EB9" w:rsidRPr="007D29C5">
        <w:rPr>
          <w:noProof/>
        </w:rPr>
        <w:t>, 25.</w:t>
      </w:r>
    </w:p>
    <w:p w14:paraId="7A63CC24" w14:textId="07F0B46A" w:rsidR="009E26B8" w:rsidRPr="007D29C5" w:rsidRDefault="00757732" w:rsidP="005173C8">
      <w:pPr>
        <w:widowControl w:val="0"/>
        <w:autoSpaceDE w:val="0"/>
        <w:autoSpaceDN w:val="0"/>
        <w:adjustRightInd w:val="0"/>
        <w:spacing w:after="160" w:line="480" w:lineRule="auto"/>
        <w:rPr>
          <w:noProof/>
        </w:rPr>
      </w:pPr>
      <w:r w:rsidRPr="007D29C5">
        <w:rPr>
          <w:noProof/>
        </w:rPr>
        <w:t>[11</w:t>
      </w:r>
      <w:r w:rsidR="009E26B8" w:rsidRPr="007D29C5">
        <w:rPr>
          <w:noProof/>
        </w:rPr>
        <w:t>]</w:t>
      </w:r>
      <w:r w:rsidR="00AD6042" w:rsidRPr="007D29C5">
        <w:rPr>
          <w:noProof/>
        </w:rPr>
        <w:t xml:space="preserve"> B. </w:t>
      </w:r>
      <w:r w:rsidR="00997EB9" w:rsidRPr="007D29C5">
        <w:rPr>
          <w:noProof/>
        </w:rPr>
        <w:t xml:space="preserve">Harvey, </w:t>
      </w:r>
      <w:r w:rsidR="00AD6042" w:rsidRPr="007D29C5">
        <w:rPr>
          <w:noProof/>
        </w:rPr>
        <w:t>T.</w:t>
      </w:r>
      <w:r w:rsidR="00997EB9" w:rsidRPr="007D29C5">
        <w:rPr>
          <w:noProof/>
        </w:rPr>
        <w:t xml:space="preserve"> Pasanen, </w:t>
      </w:r>
      <w:r w:rsidR="00AD6042" w:rsidRPr="007D29C5">
        <w:rPr>
          <w:noProof/>
        </w:rPr>
        <w:t>A.</w:t>
      </w:r>
      <w:r w:rsidR="00997EB9" w:rsidRPr="007D29C5">
        <w:rPr>
          <w:noProof/>
        </w:rPr>
        <w:t xml:space="preserve"> Pollard, </w:t>
      </w:r>
      <w:r w:rsidR="00AD6042" w:rsidRPr="007D29C5">
        <w:rPr>
          <w:noProof/>
        </w:rPr>
        <w:t>J.</w:t>
      </w:r>
      <w:r w:rsidR="00997EB9" w:rsidRPr="007D29C5">
        <w:rPr>
          <w:noProof/>
        </w:rPr>
        <w:t xml:space="preserve"> Raybould, </w:t>
      </w:r>
      <w:r w:rsidR="00997EB9" w:rsidRPr="007D29C5">
        <w:rPr>
          <w:i/>
          <w:iCs/>
          <w:noProof/>
        </w:rPr>
        <w:t>Sustain.</w:t>
      </w:r>
      <w:r w:rsidR="00997EB9" w:rsidRPr="007D29C5">
        <w:rPr>
          <w:noProof/>
        </w:rPr>
        <w:t xml:space="preserve"> </w:t>
      </w:r>
      <w:r w:rsidR="00997EB9" w:rsidRPr="007D29C5">
        <w:rPr>
          <w:b/>
          <w:bCs/>
          <w:noProof/>
        </w:rPr>
        <w:t>2017</w:t>
      </w:r>
      <w:r w:rsidR="00997EB9" w:rsidRPr="007D29C5">
        <w:rPr>
          <w:noProof/>
        </w:rPr>
        <w:t xml:space="preserve">, </w:t>
      </w:r>
      <w:r w:rsidR="00997EB9" w:rsidRPr="007D29C5">
        <w:rPr>
          <w:i/>
          <w:iCs/>
          <w:noProof/>
        </w:rPr>
        <w:t>9</w:t>
      </w:r>
      <w:r w:rsidR="00AD6042" w:rsidRPr="007D29C5">
        <w:rPr>
          <w:noProof/>
        </w:rPr>
        <w:t>, 315.</w:t>
      </w:r>
    </w:p>
    <w:p w14:paraId="619B7E35" w14:textId="1DF31C8E" w:rsidR="009E26B8" w:rsidRPr="007D29C5" w:rsidRDefault="00757732" w:rsidP="005173C8">
      <w:pPr>
        <w:widowControl w:val="0"/>
        <w:autoSpaceDE w:val="0"/>
        <w:autoSpaceDN w:val="0"/>
        <w:adjustRightInd w:val="0"/>
        <w:spacing w:after="160" w:line="480" w:lineRule="auto"/>
        <w:rPr>
          <w:noProof/>
        </w:rPr>
      </w:pPr>
      <w:r w:rsidRPr="007D29C5">
        <w:rPr>
          <w:noProof/>
        </w:rPr>
        <w:t>[12</w:t>
      </w:r>
      <w:r w:rsidR="009E26B8" w:rsidRPr="007D29C5">
        <w:rPr>
          <w:noProof/>
        </w:rPr>
        <w:t>]</w:t>
      </w:r>
      <w:r w:rsidR="00AD6042" w:rsidRPr="007D29C5">
        <w:rPr>
          <w:noProof/>
        </w:rPr>
        <w:t xml:space="preserve"> R. </w:t>
      </w:r>
      <w:r w:rsidR="00997EB9" w:rsidRPr="007D29C5">
        <w:rPr>
          <w:noProof/>
        </w:rPr>
        <w:t xml:space="preserve">Brown, </w:t>
      </w:r>
      <w:r w:rsidR="00AD6042" w:rsidRPr="007D29C5">
        <w:rPr>
          <w:noProof/>
        </w:rPr>
        <w:t>A.</w:t>
      </w:r>
      <w:r w:rsidR="00997EB9" w:rsidRPr="007D29C5">
        <w:rPr>
          <w:noProof/>
        </w:rPr>
        <w:t xml:space="preserve"> Delectic, </w:t>
      </w:r>
      <w:r w:rsidR="00AD6042" w:rsidRPr="007D29C5">
        <w:rPr>
          <w:noProof/>
        </w:rPr>
        <w:t>T.</w:t>
      </w:r>
      <w:r w:rsidR="00997EB9" w:rsidRPr="007D29C5">
        <w:rPr>
          <w:noProof/>
        </w:rPr>
        <w:t xml:space="preserve"> Wong, </w:t>
      </w:r>
      <w:r w:rsidR="00997EB9" w:rsidRPr="007D29C5">
        <w:rPr>
          <w:i/>
          <w:iCs/>
          <w:noProof/>
        </w:rPr>
        <w:t>Nature</w:t>
      </w:r>
      <w:r w:rsidR="00997EB9" w:rsidRPr="007D29C5">
        <w:rPr>
          <w:noProof/>
        </w:rPr>
        <w:t xml:space="preserve"> </w:t>
      </w:r>
      <w:r w:rsidR="00997EB9" w:rsidRPr="007D29C5">
        <w:rPr>
          <w:b/>
          <w:bCs/>
          <w:noProof/>
        </w:rPr>
        <w:t>2015</w:t>
      </w:r>
      <w:r w:rsidR="00997EB9" w:rsidRPr="007D29C5">
        <w:rPr>
          <w:noProof/>
        </w:rPr>
        <w:t xml:space="preserve">, </w:t>
      </w:r>
      <w:r w:rsidR="00997EB9" w:rsidRPr="007D29C5">
        <w:rPr>
          <w:i/>
          <w:iCs/>
          <w:noProof/>
        </w:rPr>
        <w:t>525</w:t>
      </w:r>
      <w:r w:rsidR="00997EB9" w:rsidRPr="007D29C5">
        <w:rPr>
          <w:noProof/>
        </w:rPr>
        <w:t>, 315.</w:t>
      </w:r>
    </w:p>
    <w:p w14:paraId="25459E48" w14:textId="13AFCEAB" w:rsidR="009E26B8" w:rsidRPr="007D29C5" w:rsidRDefault="00757732" w:rsidP="005173C8">
      <w:pPr>
        <w:widowControl w:val="0"/>
        <w:autoSpaceDE w:val="0"/>
        <w:autoSpaceDN w:val="0"/>
        <w:adjustRightInd w:val="0"/>
        <w:spacing w:after="160" w:line="480" w:lineRule="auto"/>
        <w:rPr>
          <w:noProof/>
        </w:rPr>
      </w:pPr>
      <w:r w:rsidRPr="007D29C5">
        <w:rPr>
          <w:noProof/>
        </w:rPr>
        <w:t>[13</w:t>
      </w:r>
      <w:r w:rsidR="009E26B8" w:rsidRPr="007D29C5">
        <w:rPr>
          <w:noProof/>
        </w:rPr>
        <w:t>]</w:t>
      </w:r>
      <w:r w:rsidR="00AD6042" w:rsidRPr="007D29C5">
        <w:rPr>
          <w:noProof/>
        </w:rPr>
        <w:t xml:space="preserve"> a)</w:t>
      </w:r>
      <w:r w:rsidR="009E26B8" w:rsidRPr="007D29C5">
        <w:rPr>
          <w:noProof/>
        </w:rPr>
        <w:t xml:space="preserve"> </w:t>
      </w:r>
      <w:r w:rsidR="00AD6042" w:rsidRPr="007D29C5">
        <w:rPr>
          <w:noProof/>
        </w:rPr>
        <w:t xml:space="preserve">R. </w:t>
      </w:r>
      <w:r w:rsidR="009E26B8" w:rsidRPr="007D29C5">
        <w:rPr>
          <w:noProof/>
        </w:rPr>
        <w:t xml:space="preserve">Brown, </w:t>
      </w:r>
      <w:r w:rsidR="00AD6042" w:rsidRPr="007D29C5">
        <w:rPr>
          <w:noProof/>
        </w:rPr>
        <w:t>A.</w:t>
      </w:r>
      <w:r w:rsidR="009E26B8" w:rsidRPr="007D29C5">
        <w:rPr>
          <w:noProof/>
        </w:rPr>
        <w:t xml:space="preserve"> Delectic, </w:t>
      </w:r>
      <w:r w:rsidR="00AD6042" w:rsidRPr="007D29C5">
        <w:rPr>
          <w:noProof/>
        </w:rPr>
        <w:t>T.</w:t>
      </w:r>
      <w:r w:rsidR="009E26B8" w:rsidRPr="007D29C5">
        <w:rPr>
          <w:noProof/>
        </w:rPr>
        <w:t xml:space="preserve"> Wong, </w:t>
      </w:r>
      <w:r w:rsidR="009E26B8" w:rsidRPr="007D29C5">
        <w:rPr>
          <w:i/>
          <w:iCs/>
          <w:noProof/>
        </w:rPr>
        <w:t>Nature</w:t>
      </w:r>
      <w:r w:rsidR="009E26B8" w:rsidRPr="007D29C5">
        <w:rPr>
          <w:noProof/>
        </w:rPr>
        <w:t xml:space="preserve"> </w:t>
      </w:r>
      <w:r w:rsidR="009E26B8" w:rsidRPr="007D29C5">
        <w:rPr>
          <w:b/>
          <w:bCs/>
          <w:noProof/>
        </w:rPr>
        <w:t>2015</w:t>
      </w:r>
      <w:r w:rsidR="009E26B8" w:rsidRPr="007D29C5">
        <w:rPr>
          <w:noProof/>
        </w:rPr>
        <w:t xml:space="preserve">, </w:t>
      </w:r>
      <w:r w:rsidR="009E26B8" w:rsidRPr="007D29C5">
        <w:rPr>
          <w:i/>
          <w:iCs/>
          <w:noProof/>
        </w:rPr>
        <w:t>525</w:t>
      </w:r>
      <w:r w:rsidR="00AD6042" w:rsidRPr="007D29C5">
        <w:rPr>
          <w:noProof/>
        </w:rPr>
        <w:t>, 315; b)</w:t>
      </w:r>
      <w:r w:rsidR="00997EB9" w:rsidRPr="007D29C5">
        <w:rPr>
          <w:noProof/>
        </w:rPr>
        <w:tab/>
      </w:r>
      <w:r w:rsidR="00AD6042" w:rsidRPr="007D29C5">
        <w:rPr>
          <w:noProof/>
        </w:rPr>
        <w:t xml:space="preserve">T. </w:t>
      </w:r>
      <w:r w:rsidR="00997EB9" w:rsidRPr="007D29C5">
        <w:rPr>
          <w:noProof/>
        </w:rPr>
        <w:t xml:space="preserve">Jahn, </w:t>
      </w:r>
      <w:r w:rsidR="00AD6042" w:rsidRPr="007D29C5">
        <w:rPr>
          <w:noProof/>
        </w:rPr>
        <w:t>M.</w:t>
      </w:r>
      <w:r w:rsidR="00997EB9" w:rsidRPr="007D29C5">
        <w:rPr>
          <w:noProof/>
        </w:rPr>
        <w:t xml:space="preserve"> Bergmann, </w:t>
      </w:r>
      <w:r w:rsidR="00AD6042" w:rsidRPr="007D29C5">
        <w:rPr>
          <w:noProof/>
        </w:rPr>
        <w:t>F.</w:t>
      </w:r>
      <w:r w:rsidR="00997EB9" w:rsidRPr="007D29C5">
        <w:rPr>
          <w:noProof/>
        </w:rPr>
        <w:t xml:space="preserve"> Keil, </w:t>
      </w:r>
      <w:r w:rsidR="00997EB9" w:rsidRPr="007D29C5">
        <w:rPr>
          <w:i/>
          <w:iCs/>
          <w:noProof/>
        </w:rPr>
        <w:t>Ecol. Econ.</w:t>
      </w:r>
      <w:r w:rsidR="00997EB9" w:rsidRPr="007D29C5">
        <w:rPr>
          <w:noProof/>
        </w:rPr>
        <w:t xml:space="preserve"> </w:t>
      </w:r>
      <w:r w:rsidR="00997EB9" w:rsidRPr="007D29C5">
        <w:rPr>
          <w:b/>
          <w:bCs/>
          <w:noProof/>
        </w:rPr>
        <w:t>2012</w:t>
      </w:r>
      <w:r w:rsidR="00997EB9" w:rsidRPr="007D29C5">
        <w:rPr>
          <w:noProof/>
        </w:rPr>
        <w:t xml:space="preserve">, </w:t>
      </w:r>
      <w:r w:rsidR="00997EB9" w:rsidRPr="007D29C5">
        <w:rPr>
          <w:i/>
          <w:iCs/>
          <w:noProof/>
        </w:rPr>
        <w:t>79</w:t>
      </w:r>
      <w:r w:rsidR="00AD6042" w:rsidRPr="007D29C5">
        <w:rPr>
          <w:noProof/>
        </w:rPr>
        <w:t>, 1; c) D.</w:t>
      </w:r>
      <w:r w:rsidR="00C176B0" w:rsidRPr="007D29C5">
        <w:rPr>
          <w:noProof/>
        </w:rPr>
        <w:t xml:space="preserve"> </w:t>
      </w:r>
      <w:r w:rsidR="00AD6042" w:rsidRPr="007D29C5">
        <w:rPr>
          <w:noProof/>
        </w:rPr>
        <w:t xml:space="preserve">J. </w:t>
      </w:r>
      <w:r w:rsidR="00997EB9" w:rsidRPr="007D29C5">
        <w:rPr>
          <w:noProof/>
        </w:rPr>
        <w:t xml:space="preserve">Roux, </w:t>
      </w:r>
      <w:r w:rsidR="00AD6042" w:rsidRPr="007D29C5">
        <w:rPr>
          <w:noProof/>
        </w:rPr>
        <w:t>J.</w:t>
      </w:r>
      <w:r w:rsidR="00C176B0" w:rsidRPr="007D29C5">
        <w:rPr>
          <w:noProof/>
        </w:rPr>
        <w:t xml:space="preserve"> </w:t>
      </w:r>
      <w:r w:rsidR="00AD6042" w:rsidRPr="007D29C5">
        <w:rPr>
          <w:noProof/>
        </w:rPr>
        <w:t>L.</w:t>
      </w:r>
      <w:r w:rsidR="00997EB9" w:rsidRPr="007D29C5">
        <w:rPr>
          <w:noProof/>
        </w:rPr>
        <w:t xml:space="preserve"> Nel,</w:t>
      </w:r>
      <w:r w:rsidR="00AD6042" w:rsidRPr="007D29C5">
        <w:rPr>
          <w:noProof/>
        </w:rPr>
        <w:t xml:space="preserve"> G.</w:t>
      </w:r>
      <w:r w:rsidR="00997EB9" w:rsidRPr="007D29C5">
        <w:rPr>
          <w:noProof/>
        </w:rPr>
        <w:t xml:space="preserve"> Cundill, </w:t>
      </w:r>
      <w:r w:rsidR="00AD6042" w:rsidRPr="007D29C5">
        <w:rPr>
          <w:noProof/>
        </w:rPr>
        <w:t>P.</w:t>
      </w:r>
      <w:r w:rsidR="00997EB9" w:rsidRPr="007D29C5">
        <w:rPr>
          <w:noProof/>
        </w:rPr>
        <w:t xml:space="preserve"> O’Farrell, </w:t>
      </w:r>
      <w:r w:rsidR="00AD6042" w:rsidRPr="007D29C5">
        <w:rPr>
          <w:noProof/>
        </w:rPr>
        <w:t xml:space="preserve">C. Fabricius, </w:t>
      </w:r>
      <w:r w:rsidR="00997EB9" w:rsidRPr="007D29C5">
        <w:rPr>
          <w:i/>
          <w:iCs/>
          <w:noProof/>
        </w:rPr>
        <w:t>Sustain. Sci.</w:t>
      </w:r>
      <w:r w:rsidR="00997EB9" w:rsidRPr="007D29C5">
        <w:rPr>
          <w:noProof/>
        </w:rPr>
        <w:t xml:space="preserve"> </w:t>
      </w:r>
      <w:r w:rsidR="00997EB9" w:rsidRPr="007D29C5">
        <w:rPr>
          <w:b/>
          <w:bCs/>
          <w:noProof/>
        </w:rPr>
        <w:t>2017</w:t>
      </w:r>
      <w:r w:rsidR="00997EB9" w:rsidRPr="007D29C5">
        <w:rPr>
          <w:noProof/>
        </w:rPr>
        <w:t xml:space="preserve">, </w:t>
      </w:r>
      <w:r w:rsidR="00997EB9" w:rsidRPr="007D29C5">
        <w:rPr>
          <w:i/>
          <w:iCs/>
          <w:noProof/>
        </w:rPr>
        <w:t>12</w:t>
      </w:r>
      <w:r w:rsidR="00997EB9" w:rsidRPr="007D29C5">
        <w:rPr>
          <w:noProof/>
        </w:rPr>
        <w:t>, 711.</w:t>
      </w:r>
    </w:p>
    <w:p w14:paraId="7AD600A0" w14:textId="6544C1D6" w:rsidR="009E26B8" w:rsidRPr="007D29C5" w:rsidRDefault="00757732" w:rsidP="005173C8">
      <w:pPr>
        <w:widowControl w:val="0"/>
        <w:autoSpaceDE w:val="0"/>
        <w:autoSpaceDN w:val="0"/>
        <w:adjustRightInd w:val="0"/>
        <w:spacing w:after="160" w:line="480" w:lineRule="auto"/>
        <w:rPr>
          <w:noProof/>
        </w:rPr>
      </w:pPr>
      <w:r w:rsidRPr="007D29C5">
        <w:rPr>
          <w:noProof/>
        </w:rPr>
        <w:t>[14</w:t>
      </w:r>
      <w:r w:rsidR="009E26B8" w:rsidRPr="007D29C5">
        <w:rPr>
          <w:noProof/>
        </w:rPr>
        <w:t>]</w:t>
      </w:r>
      <w:r w:rsidR="00AD6042" w:rsidRPr="007D29C5">
        <w:rPr>
          <w:noProof/>
        </w:rPr>
        <w:t xml:space="preserve"> D. Stokols, </w:t>
      </w:r>
      <w:r w:rsidR="009E26B8" w:rsidRPr="007D29C5">
        <w:rPr>
          <w:i/>
          <w:iCs/>
          <w:noProof/>
        </w:rPr>
        <w:t>Am. J. Community Psychol.</w:t>
      </w:r>
      <w:r w:rsidR="009E26B8" w:rsidRPr="007D29C5">
        <w:rPr>
          <w:noProof/>
        </w:rPr>
        <w:t xml:space="preserve"> </w:t>
      </w:r>
      <w:r w:rsidR="009E26B8" w:rsidRPr="007D29C5">
        <w:rPr>
          <w:b/>
          <w:bCs/>
          <w:noProof/>
        </w:rPr>
        <w:t>2006</w:t>
      </w:r>
      <w:r w:rsidR="009E26B8" w:rsidRPr="007D29C5">
        <w:rPr>
          <w:noProof/>
        </w:rPr>
        <w:t xml:space="preserve">, </w:t>
      </w:r>
      <w:r w:rsidR="009E26B8" w:rsidRPr="007D29C5">
        <w:rPr>
          <w:i/>
          <w:iCs/>
          <w:noProof/>
        </w:rPr>
        <w:t>38</w:t>
      </w:r>
      <w:r w:rsidR="009E26B8" w:rsidRPr="007D29C5">
        <w:rPr>
          <w:noProof/>
        </w:rPr>
        <w:t>, 79.</w:t>
      </w:r>
    </w:p>
    <w:p w14:paraId="19CD19E4" w14:textId="58945DBA" w:rsidR="00757732" w:rsidRPr="007D29C5" w:rsidRDefault="00757732" w:rsidP="005173C8">
      <w:pPr>
        <w:widowControl w:val="0"/>
        <w:autoSpaceDE w:val="0"/>
        <w:autoSpaceDN w:val="0"/>
        <w:adjustRightInd w:val="0"/>
        <w:spacing w:after="160" w:line="480" w:lineRule="auto"/>
        <w:rPr>
          <w:noProof/>
        </w:rPr>
      </w:pPr>
      <w:r w:rsidRPr="007D29C5">
        <w:rPr>
          <w:noProof/>
        </w:rPr>
        <w:t>[15] R. Scholz, G. Steiner, Sustain Sci</w:t>
      </w:r>
      <w:r w:rsidR="00633F87" w:rsidRPr="007D29C5">
        <w:rPr>
          <w:noProof/>
        </w:rPr>
        <w:t xml:space="preserve"> </w:t>
      </w:r>
      <w:r w:rsidR="00633F87" w:rsidRPr="007D29C5">
        <w:rPr>
          <w:b/>
          <w:noProof/>
        </w:rPr>
        <w:t>2015</w:t>
      </w:r>
      <w:r w:rsidR="00633F87" w:rsidRPr="007D29C5">
        <w:rPr>
          <w:noProof/>
        </w:rPr>
        <w:t>, 10, 653.</w:t>
      </w:r>
    </w:p>
    <w:p w14:paraId="7EE2FD79" w14:textId="7F5DE6F7" w:rsidR="009E26B8" w:rsidRPr="007D29C5" w:rsidRDefault="00633F87" w:rsidP="005173C8">
      <w:pPr>
        <w:widowControl w:val="0"/>
        <w:autoSpaceDE w:val="0"/>
        <w:autoSpaceDN w:val="0"/>
        <w:adjustRightInd w:val="0"/>
        <w:spacing w:after="160" w:line="480" w:lineRule="auto"/>
        <w:rPr>
          <w:noProof/>
        </w:rPr>
      </w:pPr>
      <w:r w:rsidRPr="007D29C5">
        <w:rPr>
          <w:noProof/>
        </w:rPr>
        <w:t>[16</w:t>
      </w:r>
      <w:r w:rsidR="009E26B8" w:rsidRPr="007D29C5">
        <w:rPr>
          <w:noProof/>
        </w:rPr>
        <w:t>]</w:t>
      </w:r>
      <w:r w:rsidR="005173C8" w:rsidRPr="007D29C5">
        <w:rPr>
          <w:noProof/>
        </w:rPr>
        <w:t xml:space="preserve"> K. </w:t>
      </w:r>
      <w:r w:rsidR="009E26B8" w:rsidRPr="007D29C5">
        <w:rPr>
          <w:noProof/>
        </w:rPr>
        <w:t>De Souza,</w:t>
      </w:r>
      <w:r w:rsidR="005173C8" w:rsidRPr="007D29C5">
        <w:rPr>
          <w:noProof/>
        </w:rPr>
        <w:t xml:space="preserve"> E.</w:t>
      </w:r>
      <w:r w:rsidR="009E26B8" w:rsidRPr="007D29C5">
        <w:rPr>
          <w:noProof/>
        </w:rPr>
        <w:t xml:space="preserve"> Kituyi, </w:t>
      </w:r>
      <w:r w:rsidR="005173C8" w:rsidRPr="007D29C5">
        <w:rPr>
          <w:noProof/>
        </w:rPr>
        <w:t>B.</w:t>
      </w:r>
      <w:r w:rsidR="009E26B8" w:rsidRPr="007D29C5">
        <w:rPr>
          <w:noProof/>
        </w:rPr>
        <w:t xml:space="preserve"> Harvey, </w:t>
      </w:r>
      <w:r w:rsidR="005173C8" w:rsidRPr="007D29C5">
        <w:rPr>
          <w:noProof/>
        </w:rPr>
        <w:t>M.</w:t>
      </w:r>
      <w:r w:rsidR="009E26B8" w:rsidRPr="007D29C5">
        <w:rPr>
          <w:noProof/>
        </w:rPr>
        <w:t xml:space="preserve"> Leone, </w:t>
      </w:r>
      <w:r w:rsidR="005173C8" w:rsidRPr="007D29C5">
        <w:rPr>
          <w:noProof/>
        </w:rPr>
        <w:t>K.</w:t>
      </w:r>
      <w:r w:rsidR="00C176B0" w:rsidRPr="007D29C5">
        <w:rPr>
          <w:noProof/>
        </w:rPr>
        <w:t xml:space="preserve"> </w:t>
      </w:r>
      <w:r w:rsidR="005173C8" w:rsidRPr="007D29C5">
        <w:rPr>
          <w:noProof/>
        </w:rPr>
        <w:t>S.</w:t>
      </w:r>
      <w:r w:rsidR="009E26B8" w:rsidRPr="007D29C5">
        <w:rPr>
          <w:noProof/>
        </w:rPr>
        <w:t xml:space="preserve"> Murali, </w:t>
      </w:r>
      <w:r w:rsidR="005173C8" w:rsidRPr="007D29C5">
        <w:rPr>
          <w:noProof/>
        </w:rPr>
        <w:t>J.</w:t>
      </w:r>
      <w:r w:rsidR="00C176B0" w:rsidRPr="007D29C5">
        <w:rPr>
          <w:noProof/>
        </w:rPr>
        <w:t xml:space="preserve"> </w:t>
      </w:r>
      <w:r w:rsidR="005173C8" w:rsidRPr="007D29C5">
        <w:rPr>
          <w:noProof/>
        </w:rPr>
        <w:t>D.</w:t>
      </w:r>
      <w:r w:rsidR="009E26B8" w:rsidRPr="007D29C5">
        <w:rPr>
          <w:noProof/>
        </w:rPr>
        <w:t xml:space="preserve"> Ford, </w:t>
      </w:r>
      <w:r w:rsidR="009E26B8" w:rsidRPr="007D29C5">
        <w:rPr>
          <w:i/>
          <w:iCs/>
          <w:noProof/>
        </w:rPr>
        <w:t>Reg. Environ. Chang.</w:t>
      </w:r>
      <w:r w:rsidR="009E26B8" w:rsidRPr="007D29C5">
        <w:rPr>
          <w:noProof/>
        </w:rPr>
        <w:t xml:space="preserve"> </w:t>
      </w:r>
      <w:r w:rsidR="009E26B8" w:rsidRPr="007D29C5">
        <w:rPr>
          <w:b/>
          <w:bCs/>
          <w:noProof/>
        </w:rPr>
        <w:t>2015</w:t>
      </w:r>
      <w:r w:rsidR="009E26B8" w:rsidRPr="007D29C5">
        <w:rPr>
          <w:noProof/>
        </w:rPr>
        <w:t xml:space="preserve">, </w:t>
      </w:r>
      <w:r w:rsidR="009E26B8" w:rsidRPr="007D29C5">
        <w:rPr>
          <w:i/>
          <w:iCs/>
          <w:noProof/>
        </w:rPr>
        <w:t>15</w:t>
      </w:r>
      <w:r w:rsidR="009E26B8" w:rsidRPr="007D29C5">
        <w:rPr>
          <w:noProof/>
        </w:rPr>
        <w:t>, 747.</w:t>
      </w:r>
    </w:p>
    <w:p w14:paraId="6522F4D4" w14:textId="54A0633A" w:rsidR="002B740C" w:rsidRPr="007D29C5" w:rsidRDefault="00633F87" w:rsidP="005173C8">
      <w:pPr>
        <w:widowControl w:val="0"/>
        <w:autoSpaceDE w:val="0"/>
        <w:autoSpaceDN w:val="0"/>
        <w:adjustRightInd w:val="0"/>
        <w:spacing w:after="160" w:line="480" w:lineRule="auto"/>
        <w:rPr>
          <w:noProof/>
        </w:rPr>
      </w:pPr>
      <w:r w:rsidRPr="007D29C5">
        <w:rPr>
          <w:noProof/>
        </w:rPr>
        <w:t>[17</w:t>
      </w:r>
      <w:r w:rsidR="002B740C" w:rsidRPr="007D29C5">
        <w:rPr>
          <w:noProof/>
        </w:rPr>
        <w:t>]</w:t>
      </w:r>
      <w:r w:rsidR="005173C8" w:rsidRPr="007D29C5">
        <w:rPr>
          <w:noProof/>
        </w:rPr>
        <w:t xml:space="preserve"> a</w:t>
      </w:r>
      <w:r w:rsidR="00997EB9" w:rsidRPr="007D29C5">
        <w:rPr>
          <w:noProof/>
        </w:rPr>
        <w:t xml:space="preserve">) </w:t>
      </w:r>
      <w:r w:rsidR="005173C8" w:rsidRPr="007D29C5">
        <w:rPr>
          <w:noProof/>
        </w:rPr>
        <w:t xml:space="preserve">H. </w:t>
      </w:r>
      <w:r w:rsidR="00997EB9" w:rsidRPr="007D29C5">
        <w:rPr>
          <w:noProof/>
        </w:rPr>
        <w:t xml:space="preserve">Creech, </w:t>
      </w:r>
      <w:r w:rsidR="005173C8" w:rsidRPr="007D29C5">
        <w:rPr>
          <w:noProof/>
        </w:rPr>
        <w:t>T.</w:t>
      </w:r>
      <w:r w:rsidR="00997EB9" w:rsidRPr="007D29C5">
        <w:rPr>
          <w:noProof/>
        </w:rPr>
        <w:t xml:space="preserve"> Vetter, </w:t>
      </w:r>
      <w:r w:rsidR="005173C8" w:rsidRPr="007D29C5">
        <w:rPr>
          <w:noProof/>
        </w:rPr>
        <w:t>K.</w:t>
      </w:r>
      <w:r w:rsidR="00997EB9" w:rsidRPr="007D29C5">
        <w:rPr>
          <w:noProof/>
        </w:rPr>
        <w:t xml:space="preserve"> Matus, </w:t>
      </w:r>
      <w:r w:rsidR="005173C8" w:rsidRPr="007D29C5">
        <w:rPr>
          <w:noProof/>
        </w:rPr>
        <w:t>R.</w:t>
      </w:r>
      <w:r w:rsidR="00997EB9" w:rsidRPr="007D29C5">
        <w:rPr>
          <w:noProof/>
        </w:rPr>
        <w:t xml:space="preserve"> Seymour, </w:t>
      </w:r>
      <w:r w:rsidR="00997EB9" w:rsidRPr="007D29C5">
        <w:rPr>
          <w:i/>
          <w:iCs/>
          <w:noProof/>
        </w:rPr>
        <w:t>The Governance of Non</w:t>
      </w:r>
      <w:r w:rsidR="00997EB9" w:rsidRPr="007D29C5">
        <w:rPr>
          <w:rFonts w:ascii="Calibri" w:eastAsia="Calibri" w:hAnsi="Calibri" w:cs="Calibri"/>
          <w:i/>
          <w:iCs/>
          <w:noProof/>
        </w:rPr>
        <w:t>‐</w:t>
      </w:r>
      <w:r w:rsidR="00997EB9" w:rsidRPr="007D29C5">
        <w:rPr>
          <w:i/>
          <w:iCs/>
          <w:noProof/>
        </w:rPr>
        <w:t xml:space="preserve">Legal Entities: An </w:t>
      </w:r>
      <w:r w:rsidR="00997EB9" w:rsidRPr="007D29C5">
        <w:rPr>
          <w:i/>
          <w:iCs/>
          <w:noProof/>
        </w:rPr>
        <w:lastRenderedPageBreak/>
        <w:t>exploration into the challenges facing collaborative, multistakeholder enterprises that are hosted by institutions</w:t>
      </w:r>
      <w:r w:rsidR="005173C8" w:rsidRPr="007D29C5">
        <w:rPr>
          <w:noProof/>
        </w:rPr>
        <w:t>, IISD, Winnipeg, Canada</w:t>
      </w:r>
      <w:r w:rsidR="00997EB9" w:rsidRPr="007D29C5">
        <w:rPr>
          <w:noProof/>
        </w:rPr>
        <w:t xml:space="preserve"> </w:t>
      </w:r>
      <w:r w:rsidR="00997EB9" w:rsidRPr="007D29C5">
        <w:rPr>
          <w:b/>
          <w:noProof/>
        </w:rPr>
        <w:t>2008</w:t>
      </w:r>
      <w:r w:rsidR="005173C8" w:rsidRPr="007D29C5">
        <w:rPr>
          <w:noProof/>
        </w:rPr>
        <w:t xml:space="preserve">; b) K. G. </w:t>
      </w:r>
      <w:r w:rsidR="00997EB9" w:rsidRPr="007D29C5">
        <w:rPr>
          <w:noProof/>
        </w:rPr>
        <w:t xml:space="preserve">Lonsdale, </w:t>
      </w:r>
      <w:r w:rsidR="005173C8" w:rsidRPr="007D29C5">
        <w:rPr>
          <w:noProof/>
        </w:rPr>
        <w:t>M.</w:t>
      </w:r>
      <w:r w:rsidR="00997EB9" w:rsidRPr="007D29C5">
        <w:rPr>
          <w:noProof/>
        </w:rPr>
        <w:t xml:space="preserve"> Goldthorpe</w:t>
      </w:r>
      <w:r w:rsidR="005173C8" w:rsidRPr="007D29C5">
        <w:rPr>
          <w:noProof/>
        </w:rPr>
        <w:t>,</w:t>
      </w:r>
      <w:r w:rsidR="00997EB9" w:rsidRPr="007D29C5">
        <w:rPr>
          <w:noProof/>
        </w:rPr>
        <w:t xml:space="preserve"> In </w:t>
      </w:r>
      <w:r w:rsidR="00997EB9" w:rsidRPr="007D29C5">
        <w:rPr>
          <w:i/>
          <w:iCs/>
          <w:noProof/>
        </w:rPr>
        <w:t>Adaptation and resilience in a changing climate coordination network</w:t>
      </w:r>
      <w:r w:rsidR="005173C8" w:rsidRPr="007D29C5">
        <w:rPr>
          <w:noProof/>
        </w:rPr>
        <w:t>, UKCIP, Oxford</w:t>
      </w:r>
      <w:r w:rsidR="00997EB9" w:rsidRPr="007D29C5">
        <w:rPr>
          <w:noProof/>
        </w:rPr>
        <w:t xml:space="preserve"> </w:t>
      </w:r>
      <w:r w:rsidR="00997EB9" w:rsidRPr="007D29C5">
        <w:rPr>
          <w:b/>
          <w:noProof/>
        </w:rPr>
        <w:t>2012</w:t>
      </w:r>
      <w:r w:rsidR="005173C8" w:rsidRPr="007D29C5">
        <w:rPr>
          <w:noProof/>
        </w:rPr>
        <w:t xml:space="preserve">; c) P. </w:t>
      </w:r>
      <w:r w:rsidR="00997EB9" w:rsidRPr="007D29C5">
        <w:rPr>
          <w:noProof/>
        </w:rPr>
        <w:t xml:space="preserve">Holm, </w:t>
      </w:r>
      <w:r w:rsidR="005173C8" w:rsidRPr="007D29C5">
        <w:rPr>
          <w:noProof/>
        </w:rPr>
        <w:t xml:space="preserve">M. E. </w:t>
      </w:r>
      <w:r w:rsidR="00997EB9" w:rsidRPr="007D29C5">
        <w:rPr>
          <w:noProof/>
        </w:rPr>
        <w:t xml:space="preserve"> Goodsite, </w:t>
      </w:r>
      <w:r w:rsidR="00BB5D71" w:rsidRPr="007D29C5">
        <w:rPr>
          <w:noProof/>
        </w:rPr>
        <w:t>S.</w:t>
      </w:r>
      <w:r w:rsidR="00997EB9" w:rsidRPr="007D29C5">
        <w:rPr>
          <w:noProof/>
        </w:rPr>
        <w:t xml:space="preserve"> Cloetingh, </w:t>
      </w:r>
      <w:r w:rsidR="00BB5D71" w:rsidRPr="007D29C5">
        <w:rPr>
          <w:noProof/>
        </w:rPr>
        <w:t>M.</w:t>
      </w:r>
      <w:r w:rsidR="00997EB9" w:rsidRPr="007D29C5">
        <w:rPr>
          <w:noProof/>
        </w:rPr>
        <w:t xml:space="preserve"> Agnoletti, </w:t>
      </w:r>
      <w:r w:rsidR="00BB5D71" w:rsidRPr="007D29C5">
        <w:rPr>
          <w:noProof/>
        </w:rPr>
        <w:t>B.</w:t>
      </w:r>
      <w:r w:rsidR="00997EB9" w:rsidRPr="007D29C5">
        <w:rPr>
          <w:noProof/>
        </w:rPr>
        <w:t xml:space="preserve"> Moldan, </w:t>
      </w:r>
      <w:r w:rsidR="00BB5D71" w:rsidRPr="007D29C5">
        <w:rPr>
          <w:noProof/>
        </w:rPr>
        <w:t>D. J.</w:t>
      </w:r>
      <w:r w:rsidR="00997EB9" w:rsidRPr="007D29C5">
        <w:rPr>
          <w:noProof/>
        </w:rPr>
        <w:t xml:space="preserve"> Lang, </w:t>
      </w:r>
      <w:r w:rsidR="00BB5D71" w:rsidRPr="007D29C5">
        <w:rPr>
          <w:noProof/>
        </w:rPr>
        <w:t>R.</w:t>
      </w:r>
      <w:r w:rsidR="00997EB9" w:rsidRPr="007D29C5">
        <w:rPr>
          <w:noProof/>
        </w:rPr>
        <w:t xml:space="preserve"> Leemans, </w:t>
      </w:r>
      <w:r w:rsidR="00BB5D71" w:rsidRPr="007D29C5">
        <w:rPr>
          <w:noProof/>
        </w:rPr>
        <w:t>J. O.</w:t>
      </w:r>
      <w:r w:rsidR="00997EB9" w:rsidRPr="007D29C5">
        <w:rPr>
          <w:noProof/>
        </w:rPr>
        <w:t xml:space="preserve"> Moeller, </w:t>
      </w:r>
      <w:r w:rsidR="00BB5D71" w:rsidRPr="007D29C5">
        <w:rPr>
          <w:noProof/>
        </w:rPr>
        <w:t>M. P.</w:t>
      </w:r>
      <w:r w:rsidR="00997EB9" w:rsidRPr="007D29C5">
        <w:rPr>
          <w:noProof/>
        </w:rPr>
        <w:t xml:space="preserve"> Buendía, </w:t>
      </w:r>
      <w:r w:rsidR="00BB5D71" w:rsidRPr="007D29C5">
        <w:rPr>
          <w:noProof/>
        </w:rPr>
        <w:t>W.</w:t>
      </w:r>
      <w:r w:rsidR="00997EB9" w:rsidRPr="007D29C5">
        <w:rPr>
          <w:noProof/>
        </w:rPr>
        <w:t xml:space="preserve"> Pohl, </w:t>
      </w:r>
      <w:r w:rsidR="00BB5D71" w:rsidRPr="007D29C5">
        <w:rPr>
          <w:noProof/>
        </w:rPr>
        <w:t>R.</w:t>
      </w:r>
      <w:r w:rsidR="00C176B0" w:rsidRPr="007D29C5">
        <w:rPr>
          <w:noProof/>
        </w:rPr>
        <w:t xml:space="preserve"> </w:t>
      </w:r>
      <w:r w:rsidR="00BB5D71" w:rsidRPr="007D29C5">
        <w:rPr>
          <w:noProof/>
        </w:rPr>
        <w:t>W.</w:t>
      </w:r>
      <w:r w:rsidR="00997EB9" w:rsidRPr="007D29C5">
        <w:rPr>
          <w:noProof/>
        </w:rPr>
        <w:t xml:space="preserve"> Scholz, </w:t>
      </w:r>
      <w:r w:rsidR="00BB5D71" w:rsidRPr="007D29C5">
        <w:rPr>
          <w:noProof/>
        </w:rPr>
        <w:t>A.</w:t>
      </w:r>
      <w:r w:rsidR="00997EB9" w:rsidRPr="007D29C5">
        <w:rPr>
          <w:noProof/>
        </w:rPr>
        <w:t xml:space="preserve"> Sors, </w:t>
      </w:r>
      <w:r w:rsidR="00BB5D71" w:rsidRPr="007D29C5">
        <w:rPr>
          <w:noProof/>
        </w:rPr>
        <w:t>B.</w:t>
      </w:r>
      <w:r w:rsidR="00997EB9" w:rsidRPr="007D29C5">
        <w:rPr>
          <w:noProof/>
        </w:rPr>
        <w:t xml:space="preserve"> Vanheusden, </w:t>
      </w:r>
      <w:r w:rsidR="00BB5D71" w:rsidRPr="007D29C5">
        <w:rPr>
          <w:noProof/>
        </w:rPr>
        <w:t>K.</w:t>
      </w:r>
      <w:r w:rsidR="00997EB9" w:rsidRPr="007D29C5">
        <w:rPr>
          <w:noProof/>
        </w:rPr>
        <w:t xml:space="preserve"> Yusoff, </w:t>
      </w:r>
      <w:r w:rsidR="00BB5D71" w:rsidRPr="007D29C5">
        <w:rPr>
          <w:noProof/>
        </w:rPr>
        <w:t>R.</w:t>
      </w:r>
      <w:r w:rsidR="00997EB9" w:rsidRPr="007D29C5">
        <w:rPr>
          <w:noProof/>
        </w:rPr>
        <w:t xml:space="preserve"> Zondervan, </w:t>
      </w:r>
      <w:r w:rsidR="00997EB9" w:rsidRPr="007D29C5">
        <w:rPr>
          <w:i/>
          <w:iCs/>
          <w:noProof/>
        </w:rPr>
        <w:t>Environ. Sci. Policy</w:t>
      </w:r>
      <w:r w:rsidR="00997EB9" w:rsidRPr="007D29C5">
        <w:rPr>
          <w:noProof/>
        </w:rPr>
        <w:t xml:space="preserve"> </w:t>
      </w:r>
      <w:r w:rsidR="00997EB9" w:rsidRPr="007D29C5">
        <w:rPr>
          <w:b/>
          <w:bCs/>
          <w:noProof/>
        </w:rPr>
        <w:t>2013</w:t>
      </w:r>
      <w:r w:rsidR="00997EB9" w:rsidRPr="007D29C5">
        <w:rPr>
          <w:noProof/>
        </w:rPr>
        <w:t xml:space="preserve">, </w:t>
      </w:r>
      <w:r w:rsidR="00997EB9" w:rsidRPr="007D29C5">
        <w:rPr>
          <w:i/>
          <w:iCs/>
          <w:noProof/>
        </w:rPr>
        <w:t>28</w:t>
      </w:r>
      <w:r w:rsidR="00BB5D71" w:rsidRPr="007D29C5">
        <w:rPr>
          <w:noProof/>
        </w:rPr>
        <w:t xml:space="preserve">, 25; d) A. </w:t>
      </w:r>
      <w:r w:rsidR="00997EB9" w:rsidRPr="007D29C5">
        <w:rPr>
          <w:noProof/>
        </w:rPr>
        <w:t xml:space="preserve">Gonsalves, </w:t>
      </w:r>
      <w:r w:rsidR="00997EB9" w:rsidRPr="007D29C5">
        <w:rPr>
          <w:i/>
          <w:iCs/>
          <w:noProof/>
        </w:rPr>
        <w:t>Lessons learned on consortium-based research in climate change and development</w:t>
      </w:r>
      <w:r w:rsidR="00BB5D71" w:rsidRPr="007D29C5">
        <w:rPr>
          <w:noProof/>
        </w:rPr>
        <w:t>, CARIAA Working Paper 1, IDRC/UK Aid, Ottawa/London,</w:t>
      </w:r>
      <w:r w:rsidR="00997EB9" w:rsidRPr="007D29C5">
        <w:rPr>
          <w:noProof/>
        </w:rPr>
        <w:t xml:space="preserve"> </w:t>
      </w:r>
      <w:r w:rsidR="00997EB9" w:rsidRPr="007D29C5">
        <w:rPr>
          <w:b/>
          <w:noProof/>
        </w:rPr>
        <w:t>2014</w:t>
      </w:r>
      <w:r w:rsidR="00C176B0" w:rsidRPr="007D29C5">
        <w:rPr>
          <w:noProof/>
        </w:rPr>
        <w:t xml:space="preserve">; e) J. </w:t>
      </w:r>
      <w:r w:rsidR="00997EB9" w:rsidRPr="007D29C5">
        <w:rPr>
          <w:noProof/>
        </w:rPr>
        <w:t xml:space="preserve">Ensor, </w:t>
      </w:r>
      <w:r w:rsidR="00C176B0" w:rsidRPr="007D29C5">
        <w:rPr>
          <w:noProof/>
        </w:rPr>
        <w:t>B.</w:t>
      </w:r>
      <w:r w:rsidR="00997EB9" w:rsidRPr="007D29C5">
        <w:rPr>
          <w:noProof/>
        </w:rPr>
        <w:t xml:space="preserve"> Harvey, </w:t>
      </w:r>
      <w:r w:rsidR="00997EB9" w:rsidRPr="007D29C5">
        <w:rPr>
          <w:i/>
          <w:iCs/>
          <w:noProof/>
        </w:rPr>
        <w:t>Wiley Interdiscip. Rev. Clim. Chang.</w:t>
      </w:r>
      <w:r w:rsidR="00997EB9" w:rsidRPr="007D29C5">
        <w:rPr>
          <w:noProof/>
        </w:rPr>
        <w:t xml:space="preserve"> </w:t>
      </w:r>
      <w:r w:rsidR="00997EB9" w:rsidRPr="007D29C5">
        <w:rPr>
          <w:b/>
          <w:bCs/>
          <w:noProof/>
        </w:rPr>
        <w:t>2015</w:t>
      </w:r>
      <w:r w:rsidR="00997EB9" w:rsidRPr="007D29C5">
        <w:rPr>
          <w:noProof/>
        </w:rPr>
        <w:t xml:space="preserve">, </w:t>
      </w:r>
      <w:r w:rsidR="00997EB9" w:rsidRPr="007D29C5">
        <w:rPr>
          <w:i/>
          <w:iCs/>
          <w:noProof/>
        </w:rPr>
        <w:t>6</w:t>
      </w:r>
      <w:r w:rsidR="00997EB9" w:rsidRPr="007D29C5">
        <w:rPr>
          <w:noProof/>
        </w:rPr>
        <w:t>, 509.</w:t>
      </w:r>
    </w:p>
    <w:p w14:paraId="09175C2F" w14:textId="5F609856" w:rsidR="002B740C" w:rsidRPr="007D29C5" w:rsidRDefault="00633F87" w:rsidP="005173C8">
      <w:pPr>
        <w:widowControl w:val="0"/>
        <w:autoSpaceDE w:val="0"/>
        <w:autoSpaceDN w:val="0"/>
        <w:adjustRightInd w:val="0"/>
        <w:spacing w:after="160" w:line="480" w:lineRule="auto"/>
        <w:rPr>
          <w:noProof/>
        </w:rPr>
      </w:pPr>
      <w:r w:rsidRPr="007D29C5">
        <w:rPr>
          <w:noProof/>
        </w:rPr>
        <w:t>[18</w:t>
      </w:r>
      <w:r w:rsidR="002B740C" w:rsidRPr="007D29C5">
        <w:rPr>
          <w:noProof/>
        </w:rPr>
        <w:t>]</w:t>
      </w:r>
      <w:r w:rsidR="00C176B0" w:rsidRPr="007D29C5">
        <w:rPr>
          <w:noProof/>
        </w:rPr>
        <w:t xml:space="preserve"> </w:t>
      </w:r>
      <w:r w:rsidR="00997EB9" w:rsidRPr="007D29C5">
        <w:rPr>
          <w:noProof/>
        </w:rPr>
        <w:t xml:space="preserve">IPCC. </w:t>
      </w:r>
      <w:r w:rsidR="00997EB9" w:rsidRPr="007D29C5">
        <w:rPr>
          <w:i/>
          <w:iCs/>
          <w:noProof/>
        </w:rPr>
        <w:t>Climate Change 2014: Impacts, Adaptation, and Vulnerability – Summary for Policymakers. Contribution of Working Group II to the Fifth Assessment Report of the Intergovernmental Panel on Climate Change</w:t>
      </w:r>
      <w:r w:rsidR="00C176B0" w:rsidRPr="007D29C5">
        <w:rPr>
          <w:noProof/>
        </w:rPr>
        <w:t xml:space="preserve">, (Eds: </w:t>
      </w:r>
      <w:r w:rsidR="00997EB9" w:rsidRPr="007D29C5">
        <w:rPr>
          <w:noProof/>
        </w:rPr>
        <w:t xml:space="preserve"> C.</w:t>
      </w:r>
      <w:r w:rsidR="00C176B0" w:rsidRPr="007D29C5">
        <w:rPr>
          <w:noProof/>
        </w:rPr>
        <w:t xml:space="preserve"> </w:t>
      </w:r>
      <w:r w:rsidR="00997EB9" w:rsidRPr="007D29C5">
        <w:rPr>
          <w:noProof/>
        </w:rPr>
        <w:t>B. Field, V.</w:t>
      </w:r>
      <w:r w:rsidR="00C176B0" w:rsidRPr="007D29C5">
        <w:rPr>
          <w:noProof/>
        </w:rPr>
        <w:t xml:space="preserve"> </w:t>
      </w:r>
      <w:r w:rsidR="00997EB9" w:rsidRPr="007D29C5">
        <w:rPr>
          <w:noProof/>
        </w:rPr>
        <w:t>R. Barros, D.</w:t>
      </w:r>
      <w:r w:rsidR="00C176B0" w:rsidRPr="007D29C5">
        <w:rPr>
          <w:noProof/>
        </w:rPr>
        <w:t xml:space="preserve"> </w:t>
      </w:r>
      <w:r w:rsidR="00997EB9" w:rsidRPr="007D29C5">
        <w:rPr>
          <w:noProof/>
        </w:rPr>
        <w:t>J. Dokken, K.</w:t>
      </w:r>
      <w:r w:rsidR="00C176B0" w:rsidRPr="007D29C5">
        <w:rPr>
          <w:noProof/>
        </w:rPr>
        <w:t xml:space="preserve"> </w:t>
      </w:r>
      <w:r w:rsidR="00997EB9" w:rsidRPr="007D29C5">
        <w:rPr>
          <w:noProof/>
        </w:rPr>
        <w:t>J. Mach, M.</w:t>
      </w:r>
      <w:r w:rsidR="00C176B0" w:rsidRPr="007D29C5">
        <w:rPr>
          <w:noProof/>
        </w:rPr>
        <w:t xml:space="preserve"> </w:t>
      </w:r>
      <w:r w:rsidR="00997EB9" w:rsidRPr="007D29C5">
        <w:rPr>
          <w:noProof/>
        </w:rPr>
        <w:t>D. Mastrandrea, T.</w:t>
      </w:r>
      <w:r w:rsidR="00C176B0" w:rsidRPr="007D29C5">
        <w:rPr>
          <w:noProof/>
        </w:rPr>
        <w:t xml:space="preserve"> </w:t>
      </w:r>
      <w:r w:rsidR="00997EB9" w:rsidRPr="007D29C5">
        <w:rPr>
          <w:noProof/>
        </w:rPr>
        <w:t>E. Bilir, M. Chatterjee, K.</w:t>
      </w:r>
      <w:r w:rsidR="00C176B0" w:rsidRPr="007D29C5">
        <w:rPr>
          <w:noProof/>
        </w:rPr>
        <w:t xml:space="preserve"> </w:t>
      </w:r>
      <w:r w:rsidR="00997EB9" w:rsidRPr="007D29C5">
        <w:rPr>
          <w:noProof/>
        </w:rPr>
        <w:t>L. Ebi, Y.</w:t>
      </w:r>
      <w:r w:rsidR="00C176B0" w:rsidRPr="007D29C5">
        <w:rPr>
          <w:noProof/>
        </w:rPr>
        <w:t xml:space="preserve"> </w:t>
      </w:r>
      <w:r w:rsidR="00997EB9" w:rsidRPr="007D29C5">
        <w:rPr>
          <w:noProof/>
        </w:rPr>
        <w:t>O. Estrada, R.</w:t>
      </w:r>
      <w:r w:rsidR="00C176B0" w:rsidRPr="007D29C5">
        <w:rPr>
          <w:noProof/>
        </w:rPr>
        <w:t xml:space="preserve"> </w:t>
      </w:r>
      <w:r w:rsidR="00997EB9" w:rsidRPr="007D29C5">
        <w:rPr>
          <w:noProof/>
        </w:rPr>
        <w:t>C. Genova, B. Girma, E.</w:t>
      </w:r>
      <w:r w:rsidR="00C176B0" w:rsidRPr="007D29C5">
        <w:rPr>
          <w:noProof/>
        </w:rPr>
        <w:t xml:space="preserve"> </w:t>
      </w:r>
      <w:r w:rsidR="00997EB9" w:rsidRPr="007D29C5">
        <w:rPr>
          <w:noProof/>
        </w:rPr>
        <w:t>S. Kissel, A.</w:t>
      </w:r>
      <w:r w:rsidR="00C176B0" w:rsidRPr="007D29C5">
        <w:rPr>
          <w:noProof/>
        </w:rPr>
        <w:t xml:space="preserve"> </w:t>
      </w:r>
      <w:r w:rsidR="00997EB9" w:rsidRPr="007D29C5">
        <w:rPr>
          <w:noProof/>
        </w:rPr>
        <w:t>N. Levy, S. MacCracken, P.</w:t>
      </w:r>
      <w:r w:rsidR="00C176B0" w:rsidRPr="007D29C5">
        <w:rPr>
          <w:noProof/>
        </w:rPr>
        <w:t xml:space="preserve"> </w:t>
      </w:r>
      <w:r w:rsidR="00997EB9" w:rsidRPr="007D29C5">
        <w:rPr>
          <w:noProof/>
        </w:rPr>
        <w:t xml:space="preserve">R. </w:t>
      </w:r>
      <w:r w:rsidR="00C176B0" w:rsidRPr="007D29C5">
        <w:rPr>
          <w:noProof/>
        </w:rPr>
        <w:t>Mastrandrea), Cambrudge University Press,</w:t>
      </w:r>
      <w:r w:rsidR="00997EB9" w:rsidRPr="007D29C5">
        <w:rPr>
          <w:noProof/>
        </w:rPr>
        <w:t xml:space="preserve"> Cambridge, U</w:t>
      </w:r>
      <w:r w:rsidR="00C176B0" w:rsidRPr="007D29C5">
        <w:rPr>
          <w:noProof/>
        </w:rPr>
        <w:t>nited Kingdom and New York, USA</w:t>
      </w:r>
      <w:r w:rsidR="00997EB9" w:rsidRPr="007D29C5">
        <w:rPr>
          <w:noProof/>
        </w:rPr>
        <w:t xml:space="preserve"> </w:t>
      </w:r>
      <w:r w:rsidR="00997EB9" w:rsidRPr="007D29C5">
        <w:rPr>
          <w:b/>
          <w:noProof/>
        </w:rPr>
        <w:t>2014</w:t>
      </w:r>
      <w:r w:rsidR="00997EB9" w:rsidRPr="007D29C5">
        <w:rPr>
          <w:noProof/>
        </w:rPr>
        <w:t>.</w:t>
      </w:r>
    </w:p>
    <w:p w14:paraId="400515AA" w14:textId="13E069AC" w:rsidR="009F68FB" w:rsidRPr="007D29C5" w:rsidRDefault="009F68FB" w:rsidP="005173C8">
      <w:pPr>
        <w:widowControl w:val="0"/>
        <w:autoSpaceDE w:val="0"/>
        <w:autoSpaceDN w:val="0"/>
        <w:adjustRightInd w:val="0"/>
        <w:spacing w:after="160" w:line="480" w:lineRule="auto"/>
        <w:rPr>
          <w:noProof/>
        </w:rPr>
      </w:pPr>
      <w:r w:rsidRPr="007D29C5">
        <w:rPr>
          <w:noProof/>
        </w:rPr>
        <w:t xml:space="preserve">[19] </w:t>
      </w:r>
      <w:r w:rsidR="00824BEC" w:rsidRPr="007D29C5">
        <w:rPr>
          <w:noProof/>
        </w:rPr>
        <w:t xml:space="preserve">B. </w:t>
      </w:r>
      <w:r w:rsidR="00824BEC" w:rsidRPr="007D29C5">
        <w:t>Harvey, T. Pasanen</w:t>
      </w:r>
      <w:r w:rsidRPr="007D29C5">
        <w:t xml:space="preserve">, </w:t>
      </w:r>
      <w:r w:rsidR="00824BEC" w:rsidRPr="007D29C5">
        <w:t>A. Pollard,</w:t>
      </w:r>
      <w:r w:rsidRPr="007D29C5">
        <w:t xml:space="preserve"> </w:t>
      </w:r>
      <w:r w:rsidR="00824BEC" w:rsidRPr="007D29C5">
        <w:t xml:space="preserve">J. Raybould, </w:t>
      </w:r>
      <w:r w:rsidR="00824BEC" w:rsidRPr="007D29C5">
        <w:rPr>
          <w:i/>
          <w:iCs/>
        </w:rPr>
        <w:t>Sustainability</w:t>
      </w:r>
      <w:r w:rsidR="00824BEC" w:rsidRPr="007D29C5">
        <w:t xml:space="preserve">, </w:t>
      </w:r>
      <w:r w:rsidR="00824BEC" w:rsidRPr="007D29C5">
        <w:rPr>
          <w:b/>
        </w:rPr>
        <w:t>2017</w:t>
      </w:r>
      <w:r w:rsidR="00824BEC" w:rsidRPr="007D29C5">
        <w:t>,</w:t>
      </w:r>
      <w:r w:rsidRPr="007D29C5">
        <w:t xml:space="preserve"> </w:t>
      </w:r>
      <w:r w:rsidR="00824BEC" w:rsidRPr="007D29C5">
        <w:t xml:space="preserve">9(2), 315. </w:t>
      </w:r>
    </w:p>
    <w:p w14:paraId="60383184" w14:textId="63F3B0DB" w:rsidR="002B740C" w:rsidRPr="007D29C5" w:rsidRDefault="00633F87" w:rsidP="005173C8">
      <w:pPr>
        <w:widowControl w:val="0"/>
        <w:autoSpaceDE w:val="0"/>
        <w:autoSpaceDN w:val="0"/>
        <w:adjustRightInd w:val="0"/>
        <w:spacing w:after="160" w:line="480" w:lineRule="auto"/>
        <w:rPr>
          <w:noProof/>
        </w:rPr>
      </w:pPr>
      <w:r w:rsidRPr="007D29C5">
        <w:rPr>
          <w:noProof/>
        </w:rPr>
        <w:t>[20</w:t>
      </w:r>
      <w:r w:rsidR="002B740C" w:rsidRPr="007D29C5">
        <w:rPr>
          <w:noProof/>
        </w:rPr>
        <w:t>]</w:t>
      </w:r>
      <w:r w:rsidR="00C176B0" w:rsidRPr="007D29C5">
        <w:rPr>
          <w:noProof/>
        </w:rPr>
        <w:t xml:space="preserve"> C. </w:t>
      </w:r>
      <w:r w:rsidR="00997EB9" w:rsidRPr="007D29C5">
        <w:rPr>
          <w:noProof/>
        </w:rPr>
        <w:t xml:space="preserve">Tenopir, </w:t>
      </w:r>
      <w:r w:rsidR="00C176B0" w:rsidRPr="007D29C5">
        <w:rPr>
          <w:noProof/>
        </w:rPr>
        <w:t>S.</w:t>
      </w:r>
      <w:r w:rsidR="00997EB9" w:rsidRPr="007D29C5">
        <w:rPr>
          <w:noProof/>
        </w:rPr>
        <w:t xml:space="preserve"> Allard, </w:t>
      </w:r>
      <w:r w:rsidR="00C176B0" w:rsidRPr="007D29C5">
        <w:rPr>
          <w:noProof/>
        </w:rPr>
        <w:t>K.</w:t>
      </w:r>
      <w:r w:rsidR="00997EB9" w:rsidRPr="007D29C5">
        <w:rPr>
          <w:noProof/>
        </w:rPr>
        <w:t xml:space="preserve"> Douglass, </w:t>
      </w:r>
      <w:r w:rsidR="00C176B0" w:rsidRPr="007D29C5">
        <w:rPr>
          <w:noProof/>
        </w:rPr>
        <w:t>A. U.</w:t>
      </w:r>
      <w:r w:rsidR="00997EB9" w:rsidRPr="007D29C5">
        <w:rPr>
          <w:noProof/>
        </w:rPr>
        <w:t xml:space="preserve"> Aydinoglu, </w:t>
      </w:r>
      <w:r w:rsidR="00C176B0" w:rsidRPr="007D29C5">
        <w:rPr>
          <w:noProof/>
        </w:rPr>
        <w:t>L.</w:t>
      </w:r>
      <w:r w:rsidR="00997EB9" w:rsidRPr="007D29C5">
        <w:rPr>
          <w:noProof/>
        </w:rPr>
        <w:t xml:space="preserve"> Wu, </w:t>
      </w:r>
      <w:r w:rsidR="00C176B0" w:rsidRPr="007D29C5">
        <w:rPr>
          <w:noProof/>
        </w:rPr>
        <w:t>E.</w:t>
      </w:r>
      <w:r w:rsidR="00997EB9" w:rsidRPr="007D29C5">
        <w:rPr>
          <w:noProof/>
        </w:rPr>
        <w:t xml:space="preserve"> Read, </w:t>
      </w:r>
      <w:r w:rsidR="00C176B0" w:rsidRPr="007D29C5">
        <w:rPr>
          <w:noProof/>
        </w:rPr>
        <w:t>M.</w:t>
      </w:r>
      <w:r w:rsidR="00997EB9" w:rsidRPr="007D29C5">
        <w:rPr>
          <w:noProof/>
        </w:rPr>
        <w:t xml:space="preserve"> Manoff, M. Frame, </w:t>
      </w:r>
      <w:r w:rsidR="00997EB9" w:rsidRPr="007D29C5">
        <w:rPr>
          <w:i/>
          <w:iCs/>
          <w:noProof/>
        </w:rPr>
        <w:t>PLoS One</w:t>
      </w:r>
      <w:r w:rsidR="00997EB9" w:rsidRPr="007D29C5">
        <w:rPr>
          <w:noProof/>
        </w:rPr>
        <w:t xml:space="preserve"> </w:t>
      </w:r>
      <w:r w:rsidR="00997EB9" w:rsidRPr="007D29C5">
        <w:rPr>
          <w:b/>
          <w:bCs/>
          <w:noProof/>
        </w:rPr>
        <w:t>2011</w:t>
      </w:r>
      <w:r w:rsidR="00997EB9" w:rsidRPr="007D29C5">
        <w:rPr>
          <w:noProof/>
        </w:rPr>
        <w:t xml:space="preserve">, </w:t>
      </w:r>
      <w:r w:rsidR="00997EB9" w:rsidRPr="007D29C5">
        <w:rPr>
          <w:i/>
          <w:iCs/>
          <w:noProof/>
        </w:rPr>
        <w:t>6</w:t>
      </w:r>
      <w:r w:rsidR="00997EB9" w:rsidRPr="007D29C5">
        <w:rPr>
          <w:noProof/>
        </w:rPr>
        <w:t>, 1.</w:t>
      </w:r>
    </w:p>
    <w:p w14:paraId="66D088DD" w14:textId="76A4FADA" w:rsidR="00997EB9" w:rsidRPr="00997EB9" w:rsidRDefault="00633F87" w:rsidP="005173C8">
      <w:pPr>
        <w:widowControl w:val="0"/>
        <w:autoSpaceDE w:val="0"/>
        <w:autoSpaceDN w:val="0"/>
        <w:adjustRightInd w:val="0"/>
        <w:spacing w:after="160" w:line="480" w:lineRule="auto"/>
        <w:rPr>
          <w:noProof/>
        </w:rPr>
      </w:pPr>
      <w:r w:rsidRPr="007D29C5">
        <w:rPr>
          <w:noProof/>
        </w:rPr>
        <w:t>[21</w:t>
      </w:r>
      <w:r w:rsidR="002B740C" w:rsidRPr="007D29C5">
        <w:rPr>
          <w:noProof/>
        </w:rPr>
        <w:t>]</w:t>
      </w:r>
      <w:r w:rsidR="00C176B0" w:rsidRPr="007D29C5">
        <w:rPr>
          <w:noProof/>
        </w:rPr>
        <w:t xml:space="preserve"> E. Wenger,</w:t>
      </w:r>
      <w:r w:rsidR="00997EB9" w:rsidRPr="007D29C5">
        <w:rPr>
          <w:noProof/>
        </w:rPr>
        <w:t xml:space="preserve"> </w:t>
      </w:r>
      <w:r w:rsidR="00997EB9" w:rsidRPr="007D29C5">
        <w:rPr>
          <w:i/>
          <w:iCs/>
          <w:noProof/>
        </w:rPr>
        <w:t>Communities of practice: learning, meaning and identity</w:t>
      </w:r>
      <w:r w:rsidR="00C176B0" w:rsidRPr="007D29C5">
        <w:rPr>
          <w:i/>
          <w:iCs/>
          <w:noProof/>
        </w:rPr>
        <w:t xml:space="preserve">, </w:t>
      </w:r>
      <w:r w:rsidR="00997EB9" w:rsidRPr="007D29C5">
        <w:rPr>
          <w:noProof/>
        </w:rPr>
        <w:t xml:space="preserve">Cambridge </w:t>
      </w:r>
      <w:r w:rsidR="00C176B0" w:rsidRPr="007D29C5">
        <w:rPr>
          <w:noProof/>
        </w:rPr>
        <w:t>University Press, Cambridge, UK</w:t>
      </w:r>
      <w:r w:rsidR="00997EB9" w:rsidRPr="007D29C5">
        <w:rPr>
          <w:noProof/>
        </w:rPr>
        <w:t xml:space="preserve"> </w:t>
      </w:r>
      <w:r w:rsidR="00997EB9" w:rsidRPr="007D29C5">
        <w:rPr>
          <w:b/>
          <w:noProof/>
        </w:rPr>
        <w:t>1998</w:t>
      </w:r>
      <w:r w:rsidR="00997EB9" w:rsidRPr="007D29C5">
        <w:rPr>
          <w:noProof/>
        </w:rPr>
        <w:t>.</w:t>
      </w:r>
    </w:p>
    <w:p w14:paraId="691F8669" w14:textId="77777777" w:rsidR="004913D2" w:rsidRDefault="004913D2" w:rsidP="00997EB9">
      <w:pPr>
        <w:widowControl w:val="0"/>
        <w:autoSpaceDE w:val="0"/>
        <w:autoSpaceDN w:val="0"/>
        <w:adjustRightInd w:val="0"/>
        <w:spacing w:after="160" w:line="480" w:lineRule="auto"/>
        <w:ind w:left="480" w:hanging="480"/>
        <w:rPr>
          <w:rFonts w:eastAsia="Calibri"/>
        </w:rPr>
      </w:pPr>
    </w:p>
    <w:sectPr w:rsidR="004913D2">
      <w:footnotePr>
        <w:numFmt w:val="lowerLetter"/>
      </w:foot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7C3F4" w14:textId="77777777" w:rsidR="005748B2" w:rsidRDefault="005748B2">
      <w:r>
        <w:separator/>
      </w:r>
    </w:p>
  </w:endnote>
  <w:endnote w:type="continuationSeparator" w:id="0">
    <w:p w14:paraId="38A956D6" w14:textId="77777777" w:rsidR="005748B2" w:rsidRDefault="0057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2532" w14:textId="77777777" w:rsidR="005748B2" w:rsidRDefault="005748B2">
      <w:r>
        <w:separator/>
      </w:r>
    </w:p>
  </w:footnote>
  <w:footnote w:type="continuationSeparator" w:id="0">
    <w:p w14:paraId="28005824" w14:textId="77777777" w:rsidR="005748B2" w:rsidRDefault="00574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30943"/>
    <w:multiLevelType w:val="hybridMultilevel"/>
    <w:tmpl w:val="89528B32"/>
    <w:lvl w:ilvl="0" w:tplc="28B882A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97DDF"/>
    <w:multiLevelType w:val="multilevel"/>
    <w:tmpl w:val="CD96707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B1D3B64"/>
    <w:multiLevelType w:val="hybridMultilevel"/>
    <w:tmpl w:val="5A82B1A4"/>
    <w:lvl w:ilvl="0" w:tplc="FA9A9CD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BC4DA9"/>
    <w:multiLevelType w:val="hybridMultilevel"/>
    <w:tmpl w:val="3154D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13CB3"/>
    <w:multiLevelType w:val="hybridMultilevel"/>
    <w:tmpl w:val="9E9A0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332A2"/>
    <w:multiLevelType w:val="hybridMultilevel"/>
    <w:tmpl w:val="7D32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46255"/>
    <w:multiLevelType w:val="hybridMultilevel"/>
    <w:tmpl w:val="BFC0D3A8"/>
    <w:lvl w:ilvl="0" w:tplc="C8C6C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87303"/>
    <w:multiLevelType w:val="hybridMultilevel"/>
    <w:tmpl w:val="F72C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F706A"/>
    <w:multiLevelType w:val="hybridMultilevel"/>
    <w:tmpl w:val="B5A6598E"/>
    <w:lvl w:ilvl="0" w:tplc="62A0157C">
      <w:start w:val="1"/>
      <w:numFmt w:val="decimal"/>
      <w:lvlText w:val="%1."/>
      <w:lvlJc w:val="left"/>
      <w:pPr>
        <w:ind w:left="720" w:hanging="360"/>
      </w:pPr>
      <w:rPr>
        <w:rFonts w:ascii="Calibri" w:eastAsia="Calibri" w:hAnsi="Calibri" w:cs="Calibr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DE"/>
    <w:rsid w:val="00001DD8"/>
    <w:rsid w:val="0000353C"/>
    <w:rsid w:val="0000378E"/>
    <w:rsid w:val="00003E6A"/>
    <w:rsid w:val="00011610"/>
    <w:rsid w:val="00012052"/>
    <w:rsid w:val="000139A5"/>
    <w:rsid w:val="0001551F"/>
    <w:rsid w:val="000317F8"/>
    <w:rsid w:val="000419CC"/>
    <w:rsid w:val="00045C28"/>
    <w:rsid w:val="00046324"/>
    <w:rsid w:val="0005681D"/>
    <w:rsid w:val="00056ABF"/>
    <w:rsid w:val="0007654A"/>
    <w:rsid w:val="000877BE"/>
    <w:rsid w:val="0009570A"/>
    <w:rsid w:val="000B3C7F"/>
    <w:rsid w:val="000B48A6"/>
    <w:rsid w:val="000E031D"/>
    <w:rsid w:val="000E30FD"/>
    <w:rsid w:val="000F400F"/>
    <w:rsid w:val="000F4D7E"/>
    <w:rsid w:val="000F7DA7"/>
    <w:rsid w:val="00102421"/>
    <w:rsid w:val="0012121E"/>
    <w:rsid w:val="00121CF9"/>
    <w:rsid w:val="00125C08"/>
    <w:rsid w:val="0012711E"/>
    <w:rsid w:val="00127EFC"/>
    <w:rsid w:val="001323BE"/>
    <w:rsid w:val="0013481D"/>
    <w:rsid w:val="00143A35"/>
    <w:rsid w:val="00146DE5"/>
    <w:rsid w:val="00150BE5"/>
    <w:rsid w:val="00162ECA"/>
    <w:rsid w:val="00163B1E"/>
    <w:rsid w:val="00175E24"/>
    <w:rsid w:val="00175F4D"/>
    <w:rsid w:val="001A2B50"/>
    <w:rsid w:val="001B0458"/>
    <w:rsid w:val="001C627D"/>
    <w:rsid w:val="001D1637"/>
    <w:rsid w:val="001D2607"/>
    <w:rsid w:val="001D4ED7"/>
    <w:rsid w:val="001E00A6"/>
    <w:rsid w:val="001E73C7"/>
    <w:rsid w:val="001F0E66"/>
    <w:rsid w:val="001F297D"/>
    <w:rsid w:val="00205032"/>
    <w:rsid w:val="00210D1D"/>
    <w:rsid w:val="0021113F"/>
    <w:rsid w:val="00217992"/>
    <w:rsid w:val="00217C15"/>
    <w:rsid w:val="0022053D"/>
    <w:rsid w:val="00230903"/>
    <w:rsid w:val="00230BA8"/>
    <w:rsid w:val="00255AFB"/>
    <w:rsid w:val="00264381"/>
    <w:rsid w:val="0028435B"/>
    <w:rsid w:val="00286B9E"/>
    <w:rsid w:val="002B0730"/>
    <w:rsid w:val="002B740C"/>
    <w:rsid w:val="002D333A"/>
    <w:rsid w:val="002D529B"/>
    <w:rsid w:val="002D577F"/>
    <w:rsid w:val="002F0BF3"/>
    <w:rsid w:val="002F1178"/>
    <w:rsid w:val="002F2D75"/>
    <w:rsid w:val="00303296"/>
    <w:rsid w:val="00312DE8"/>
    <w:rsid w:val="00320CC0"/>
    <w:rsid w:val="0032782A"/>
    <w:rsid w:val="00335387"/>
    <w:rsid w:val="00336792"/>
    <w:rsid w:val="003376E2"/>
    <w:rsid w:val="00340A49"/>
    <w:rsid w:val="00347EA1"/>
    <w:rsid w:val="003530AD"/>
    <w:rsid w:val="00353F7C"/>
    <w:rsid w:val="003B7002"/>
    <w:rsid w:val="003C79B0"/>
    <w:rsid w:val="003E21A7"/>
    <w:rsid w:val="003F10A7"/>
    <w:rsid w:val="003F7312"/>
    <w:rsid w:val="00400BAF"/>
    <w:rsid w:val="00402A10"/>
    <w:rsid w:val="00405222"/>
    <w:rsid w:val="00417F97"/>
    <w:rsid w:val="004258A8"/>
    <w:rsid w:val="004304C1"/>
    <w:rsid w:val="0044233F"/>
    <w:rsid w:val="0047448C"/>
    <w:rsid w:val="00487DB2"/>
    <w:rsid w:val="004913D2"/>
    <w:rsid w:val="004928B6"/>
    <w:rsid w:val="004A088D"/>
    <w:rsid w:val="004B1B04"/>
    <w:rsid w:val="004B2E28"/>
    <w:rsid w:val="004B4863"/>
    <w:rsid w:val="004C1499"/>
    <w:rsid w:val="004D345A"/>
    <w:rsid w:val="004D644F"/>
    <w:rsid w:val="004E3000"/>
    <w:rsid w:val="004E4DBB"/>
    <w:rsid w:val="004F649D"/>
    <w:rsid w:val="005016A2"/>
    <w:rsid w:val="005072EF"/>
    <w:rsid w:val="00513F84"/>
    <w:rsid w:val="00515BEE"/>
    <w:rsid w:val="005173C8"/>
    <w:rsid w:val="00521D71"/>
    <w:rsid w:val="00534169"/>
    <w:rsid w:val="005459D6"/>
    <w:rsid w:val="00551507"/>
    <w:rsid w:val="00563A65"/>
    <w:rsid w:val="00573662"/>
    <w:rsid w:val="005748B2"/>
    <w:rsid w:val="0058034E"/>
    <w:rsid w:val="00597399"/>
    <w:rsid w:val="005A374E"/>
    <w:rsid w:val="005B21CA"/>
    <w:rsid w:val="005B3B2A"/>
    <w:rsid w:val="005B4050"/>
    <w:rsid w:val="005D1434"/>
    <w:rsid w:val="005D7CF3"/>
    <w:rsid w:val="005E5A7B"/>
    <w:rsid w:val="00601106"/>
    <w:rsid w:val="00612708"/>
    <w:rsid w:val="0061270D"/>
    <w:rsid w:val="00620A02"/>
    <w:rsid w:val="006259D3"/>
    <w:rsid w:val="00631ADE"/>
    <w:rsid w:val="00633F87"/>
    <w:rsid w:val="00642CE6"/>
    <w:rsid w:val="00653254"/>
    <w:rsid w:val="00661FD8"/>
    <w:rsid w:val="00667F66"/>
    <w:rsid w:val="00674C57"/>
    <w:rsid w:val="006756A8"/>
    <w:rsid w:val="006758F4"/>
    <w:rsid w:val="0067644D"/>
    <w:rsid w:val="0068353D"/>
    <w:rsid w:val="00683C23"/>
    <w:rsid w:val="00685CD0"/>
    <w:rsid w:val="006B5645"/>
    <w:rsid w:val="006B7F41"/>
    <w:rsid w:val="006C1BBA"/>
    <w:rsid w:val="006C783B"/>
    <w:rsid w:val="006D0D2F"/>
    <w:rsid w:val="006E0F8B"/>
    <w:rsid w:val="006E6BA3"/>
    <w:rsid w:val="006F012A"/>
    <w:rsid w:val="006F5BB7"/>
    <w:rsid w:val="00702263"/>
    <w:rsid w:val="00712C31"/>
    <w:rsid w:val="00712EB3"/>
    <w:rsid w:val="00737EDA"/>
    <w:rsid w:val="0075246F"/>
    <w:rsid w:val="00757732"/>
    <w:rsid w:val="00781F09"/>
    <w:rsid w:val="007828FA"/>
    <w:rsid w:val="007A17F5"/>
    <w:rsid w:val="007A77E6"/>
    <w:rsid w:val="007C6E35"/>
    <w:rsid w:val="007D29C5"/>
    <w:rsid w:val="007D5D94"/>
    <w:rsid w:val="007E445E"/>
    <w:rsid w:val="007E5223"/>
    <w:rsid w:val="008006EE"/>
    <w:rsid w:val="008060D3"/>
    <w:rsid w:val="00815B32"/>
    <w:rsid w:val="00824BEC"/>
    <w:rsid w:val="00842E41"/>
    <w:rsid w:val="00844FF9"/>
    <w:rsid w:val="00865C10"/>
    <w:rsid w:val="0087711E"/>
    <w:rsid w:val="00881F4C"/>
    <w:rsid w:val="00884CEA"/>
    <w:rsid w:val="00886CB9"/>
    <w:rsid w:val="008968D5"/>
    <w:rsid w:val="00896C61"/>
    <w:rsid w:val="00897BE8"/>
    <w:rsid w:val="008A30D4"/>
    <w:rsid w:val="008B6A24"/>
    <w:rsid w:val="008C257C"/>
    <w:rsid w:val="008E3D8B"/>
    <w:rsid w:val="008E5DDE"/>
    <w:rsid w:val="008E76C7"/>
    <w:rsid w:val="008F1A89"/>
    <w:rsid w:val="008F235D"/>
    <w:rsid w:val="008F236D"/>
    <w:rsid w:val="00904A2E"/>
    <w:rsid w:val="00913B07"/>
    <w:rsid w:val="00915D16"/>
    <w:rsid w:val="00926879"/>
    <w:rsid w:val="009463D1"/>
    <w:rsid w:val="00947CF0"/>
    <w:rsid w:val="0095460E"/>
    <w:rsid w:val="009576C0"/>
    <w:rsid w:val="00960FE9"/>
    <w:rsid w:val="0096207F"/>
    <w:rsid w:val="00965D7D"/>
    <w:rsid w:val="00984688"/>
    <w:rsid w:val="0098627E"/>
    <w:rsid w:val="00997EB9"/>
    <w:rsid w:val="009B4BBC"/>
    <w:rsid w:val="009B5B34"/>
    <w:rsid w:val="009C2B5E"/>
    <w:rsid w:val="009C3A19"/>
    <w:rsid w:val="009D1539"/>
    <w:rsid w:val="009E26B8"/>
    <w:rsid w:val="009F5914"/>
    <w:rsid w:val="009F68FB"/>
    <w:rsid w:val="009F7086"/>
    <w:rsid w:val="00A02A1A"/>
    <w:rsid w:val="00A05C66"/>
    <w:rsid w:val="00A14568"/>
    <w:rsid w:val="00A17F19"/>
    <w:rsid w:val="00A35EC3"/>
    <w:rsid w:val="00A36944"/>
    <w:rsid w:val="00A76C73"/>
    <w:rsid w:val="00A83394"/>
    <w:rsid w:val="00A90828"/>
    <w:rsid w:val="00A92583"/>
    <w:rsid w:val="00A95C1F"/>
    <w:rsid w:val="00AB131E"/>
    <w:rsid w:val="00AD6042"/>
    <w:rsid w:val="00B008EB"/>
    <w:rsid w:val="00B0731E"/>
    <w:rsid w:val="00B11B38"/>
    <w:rsid w:val="00B30BFD"/>
    <w:rsid w:val="00B32E92"/>
    <w:rsid w:val="00B570B4"/>
    <w:rsid w:val="00B63141"/>
    <w:rsid w:val="00B72BAD"/>
    <w:rsid w:val="00B837AC"/>
    <w:rsid w:val="00B863C0"/>
    <w:rsid w:val="00B93B71"/>
    <w:rsid w:val="00BA39A5"/>
    <w:rsid w:val="00BA6080"/>
    <w:rsid w:val="00BB087E"/>
    <w:rsid w:val="00BB1460"/>
    <w:rsid w:val="00BB4C9D"/>
    <w:rsid w:val="00BB5D71"/>
    <w:rsid w:val="00BC1251"/>
    <w:rsid w:val="00BD7835"/>
    <w:rsid w:val="00BE1692"/>
    <w:rsid w:val="00BE1B81"/>
    <w:rsid w:val="00C000C4"/>
    <w:rsid w:val="00C040BA"/>
    <w:rsid w:val="00C043C3"/>
    <w:rsid w:val="00C13321"/>
    <w:rsid w:val="00C176B0"/>
    <w:rsid w:val="00C35817"/>
    <w:rsid w:val="00C369E8"/>
    <w:rsid w:val="00C51739"/>
    <w:rsid w:val="00C519E7"/>
    <w:rsid w:val="00C61F6F"/>
    <w:rsid w:val="00C656B1"/>
    <w:rsid w:val="00C70A0D"/>
    <w:rsid w:val="00C71749"/>
    <w:rsid w:val="00C91E46"/>
    <w:rsid w:val="00CB3FB7"/>
    <w:rsid w:val="00CE0413"/>
    <w:rsid w:val="00CE123E"/>
    <w:rsid w:val="00CE38F7"/>
    <w:rsid w:val="00CE392E"/>
    <w:rsid w:val="00D22B72"/>
    <w:rsid w:val="00D23EF5"/>
    <w:rsid w:val="00D241C1"/>
    <w:rsid w:val="00D244F4"/>
    <w:rsid w:val="00D25E7E"/>
    <w:rsid w:val="00D30564"/>
    <w:rsid w:val="00D3598A"/>
    <w:rsid w:val="00D37043"/>
    <w:rsid w:val="00D370CE"/>
    <w:rsid w:val="00D47576"/>
    <w:rsid w:val="00D52E29"/>
    <w:rsid w:val="00D56987"/>
    <w:rsid w:val="00D57D05"/>
    <w:rsid w:val="00D62E96"/>
    <w:rsid w:val="00D7118B"/>
    <w:rsid w:val="00D72E56"/>
    <w:rsid w:val="00D74750"/>
    <w:rsid w:val="00D75D30"/>
    <w:rsid w:val="00D80B5D"/>
    <w:rsid w:val="00D829B1"/>
    <w:rsid w:val="00D90F67"/>
    <w:rsid w:val="00D93F87"/>
    <w:rsid w:val="00DA26E8"/>
    <w:rsid w:val="00DA4430"/>
    <w:rsid w:val="00DB480F"/>
    <w:rsid w:val="00DC56CF"/>
    <w:rsid w:val="00DC7C6E"/>
    <w:rsid w:val="00DD540E"/>
    <w:rsid w:val="00DE420F"/>
    <w:rsid w:val="00DF280E"/>
    <w:rsid w:val="00DF47E3"/>
    <w:rsid w:val="00E051E3"/>
    <w:rsid w:val="00E134DC"/>
    <w:rsid w:val="00E23E0D"/>
    <w:rsid w:val="00E26CD5"/>
    <w:rsid w:val="00E35C05"/>
    <w:rsid w:val="00E458B0"/>
    <w:rsid w:val="00E645BD"/>
    <w:rsid w:val="00EA540C"/>
    <w:rsid w:val="00EA69C4"/>
    <w:rsid w:val="00EB0990"/>
    <w:rsid w:val="00ED37C7"/>
    <w:rsid w:val="00EE6B0A"/>
    <w:rsid w:val="00F04379"/>
    <w:rsid w:val="00F05D96"/>
    <w:rsid w:val="00F20A41"/>
    <w:rsid w:val="00F33DA4"/>
    <w:rsid w:val="00F46097"/>
    <w:rsid w:val="00F52D11"/>
    <w:rsid w:val="00F65E15"/>
    <w:rsid w:val="00F66D2F"/>
    <w:rsid w:val="00F67FF8"/>
    <w:rsid w:val="00F7776A"/>
    <w:rsid w:val="00F8315F"/>
    <w:rsid w:val="00F935AE"/>
    <w:rsid w:val="00FA518E"/>
    <w:rsid w:val="00FA6C66"/>
    <w:rsid w:val="00FB1079"/>
    <w:rsid w:val="00FB33B5"/>
    <w:rsid w:val="00FB7855"/>
    <w:rsid w:val="00FC2134"/>
    <w:rsid w:val="00FC31D2"/>
    <w:rsid w:val="00FC5A0D"/>
    <w:rsid w:val="00FD4A1B"/>
    <w:rsid w:val="00FD6720"/>
    <w:rsid w:val="00FE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57D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pBdr>
    </w:pPr>
    <w:rPr>
      <w:color w:val="000000"/>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line="259" w:lineRule="auto"/>
      <w:ind w:left="720"/>
      <w:outlineLvl w:val="1"/>
    </w:pPr>
    <w:rPr>
      <w:rFonts w:ascii="Calibri" w:eastAsia="Calibri" w:hAnsi="Calibri" w:cs="Calibri"/>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75246F"/>
    <w:rPr>
      <w:rFonts w:ascii="Segoe UI" w:hAnsi="Segoe UI" w:cs="Segoe UI"/>
      <w:sz w:val="18"/>
      <w:szCs w:val="18"/>
    </w:rPr>
  </w:style>
  <w:style w:type="character" w:customStyle="1" w:styleId="BalloonTextChar">
    <w:name w:val="Balloon Text Char"/>
    <w:link w:val="BalloonText"/>
    <w:uiPriority w:val="99"/>
    <w:semiHidden/>
    <w:rsid w:val="007524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F236D"/>
    <w:rPr>
      <w:b/>
      <w:bCs/>
    </w:rPr>
  </w:style>
  <w:style w:type="character" w:customStyle="1" w:styleId="CommentSubjectChar">
    <w:name w:val="Comment Subject Char"/>
    <w:link w:val="CommentSubject"/>
    <w:uiPriority w:val="99"/>
    <w:semiHidden/>
    <w:rsid w:val="008F236D"/>
    <w:rPr>
      <w:b/>
      <w:bCs/>
      <w:sz w:val="20"/>
      <w:szCs w:val="20"/>
    </w:rPr>
  </w:style>
  <w:style w:type="character" w:styleId="Hyperlink">
    <w:name w:val="Hyperlink"/>
    <w:uiPriority w:val="99"/>
    <w:unhideWhenUsed/>
    <w:rsid w:val="00965D7D"/>
    <w:rPr>
      <w:color w:val="0563C1"/>
      <w:u w:val="single"/>
    </w:rPr>
  </w:style>
  <w:style w:type="table" w:styleId="TableGrid">
    <w:name w:val="Table Grid"/>
    <w:basedOn w:val="TableNormal"/>
    <w:uiPriority w:val="39"/>
    <w:rsid w:val="008E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D8B"/>
    <w:pPr>
      <w:ind w:left="720"/>
      <w:contextualSpacing/>
    </w:pPr>
  </w:style>
  <w:style w:type="paragraph" w:styleId="NormalWeb">
    <w:name w:val="Normal (Web)"/>
    <w:basedOn w:val="Normal"/>
    <w:uiPriority w:val="99"/>
    <w:unhideWhenUsed/>
    <w:rsid w:val="00340A4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CA" w:eastAsia="en-CA"/>
    </w:rPr>
  </w:style>
  <w:style w:type="character" w:customStyle="1" w:styleId="title-text">
    <w:name w:val="title-text"/>
    <w:basedOn w:val="DefaultParagraphFont"/>
    <w:rsid w:val="00FB33B5"/>
  </w:style>
  <w:style w:type="character" w:customStyle="1" w:styleId="sr-only">
    <w:name w:val="sr-only"/>
    <w:basedOn w:val="DefaultParagraphFont"/>
    <w:rsid w:val="00FB33B5"/>
  </w:style>
  <w:style w:type="character" w:customStyle="1" w:styleId="text">
    <w:name w:val="text"/>
    <w:basedOn w:val="DefaultParagraphFont"/>
    <w:rsid w:val="00FB33B5"/>
  </w:style>
  <w:style w:type="character" w:customStyle="1" w:styleId="author-ref">
    <w:name w:val="author-ref"/>
    <w:basedOn w:val="DefaultParagraphFont"/>
    <w:rsid w:val="00FB33B5"/>
  </w:style>
  <w:style w:type="character" w:customStyle="1" w:styleId="affiliationdepartment">
    <w:name w:val="affiliation__department"/>
    <w:basedOn w:val="DefaultParagraphFont"/>
    <w:rsid w:val="001D2607"/>
  </w:style>
  <w:style w:type="character" w:customStyle="1" w:styleId="affiliationname">
    <w:name w:val="affiliation__name"/>
    <w:basedOn w:val="DefaultParagraphFont"/>
    <w:rsid w:val="001D2607"/>
  </w:style>
  <w:style w:type="character" w:customStyle="1" w:styleId="affiliationcity">
    <w:name w:val="affiliation__city"/>
    <w:basedOn w:val="DefaultParagraphFont"/>
    <w:rsid w:val="001D2607"/>
  </w:style>
  <w:style w:type="character" w:customStyle="1" w:styleId="affiliationcountry">
    <w:name w:val="affiliation__country"/>
    <w:basedOn w:val="DefaultParagraphFont"/>
    <w:rsid w:val="001D2607"/>
  </w:style>
  <w:style w:type="paragraph" w:customStyle="1" w:styleId="Head1">
    <w:name w:val="Head 1"/>
    <w:basedOn w:val="Normal"/>
    <w:autoRedefine/>
    <w:rsid w:val="004F649D"/>
    <w:pPr>
      <w:pBdr>
        <w:top w:val="none" w:sz="0" w:space="0" w:color="auto"/>
        <w:left w:val="none" w:sz="0" w:space="0" w:color="auto"/>
        <w:bottom w:val="none" w:sz="0" w:space="0" w:color="auto"/>
        <w:right w:val="none" w:sz="0" w:space="0" w:color="auto"/>
        <w:between w:val="none" w:sz="0" w:space="0" w:color="auto"/>
      </w:pBdr>
      <w:spacing w:line="360" w:lineRule="auto"/>
    </w:pPr>
    <w:rPr>
      <w:rFonts w:eastAsia="MS Mincho"/>
      <w:b/>
      <w:color w:val="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1810">
      <w:bodyDiv w:val="1"/>
      <w:marLeft w:val="0"/>
      <w:marRight w:val="0"/>
      <w:marTop w:val="0"/>
      <w:marBottom w:val="0"/>
      <w:divBdr>
        <w:top w:val="none" w:sz="0" w:space="0" w:color="auto"/>
        <w:left w:val="none" w:sz="0" w:space="0" w:color="auto"/>
        <w:bottom w:val="none" w:sz="0" w:space="0" w:color="auto"/>
        <w:right w:val="none" w:sz="0" w:space="0" w:color="auto"/>
      </w:divBdr>
    </w:div>
    <w:div w:id="345788874">
      <w:bodyDiv w:val="1"/>
      <w:marLeft w:val="0"/>
      <w:marRight w:val="0"/>
      <w:marTop w:val="0"/>
      <w:marBottom w:val="0"/>
      <w:divBdr>
        <w:top w:val="none" w:sz="0" w:space="0" w:color="auto"/>
        <w:left w:val="none" w:sz="0" w:space="0" w:color="auto"/>
        <w:bottom w:val="none" w:sz="0" w:space="0" w:color="auto"/>
        <w:right w:val="none" w:sz="0" w:space="0" w:color="auto"/>
      </w:divBdr>
    </w:div>
    <w:div w:id="377052872">
      <w:bodyDiv w:val="1"/>
      <w:marLeft w:val="0"/>
      <w:marRight w:val="0"/>
      <w:marTop w:val="0"/>
      <w:marBottom w:val="0"/>
      <w:divBdr>
        <w:top w:val="none" w:sz="0" w:space="0" w:color="auto"/>
        <w:left w:val="none" w:sz="0" w:space="0" w:color="auto"/>
        <w:bottom w:val="none" w:sz="0" w:space="0" w:color="auto"/>
        <w:right w:val="none" w:sz="0" w:space="0" w:color="auto"/>
      </w:divBdr>
    </w:div>
    <w:div w:id="765225189">
      <w:bodyDiv w:val="1"/>
      <w:marLeft w:val="0"/>
      <w:marRight w:val="0"/>
      <w:marTop w:val="0"/>
      <w:marBottom w:val="0"/>
      <w:divBdr>
        <w:top w:val="none" w:sz="0" w:space="0" w:color="auto"/>
        <w:left w:val="none" w:sz="0" w:space="0" w:color="auto"/>
        <w:bottom w:val="none" w:sz="0" w:space="0" w:color="auto"/>
        <w:right w:val="none" w:sz="0" w:space="0" w:color="auto"/>
      </w:divBdr>
    </w:div>
    <w:div w:id="967316351">
      <w:bodyDiv w:val="1"/>
      <w:marLeft w:val="0"/>
      <w:marRight w:val="0"/>
      <w:marTop w:val="0"/>
      <w:marBottom w:val="0"/>
      <w:divBdr>
        <w:top w:val="none" w:sz="0" w:space="0" w:color="auto"/>
        <w:left w:val="none" w:sz="0" w:space="0" w:color="auto"/>
        <w:bottom w:val="none" w:sz="0" w:space="0" w:color="auto"/>
        <w:right w:val="none" w:sz="0" w:space="0" w:color="auto"/>
      </w:divBdr>
    </w:div>
    <w:div w:id="1351948440">
      <w:bodyDiv w:val="1"/>
      <w:marLeft w:val="0"/>
      <w:marRight w:val="0"/>
      <w:marTop w:val="0"/>
      <w:marBottom w:val="0"/>
      <w:divBdr>
        <w:top w:val="none" w:sz="0" w:space="0" w:color="auto"/>
        <w:left w:val="none" w:sz="0" w:space="0" w:color="auto"/>
        <w:bottom w:val="none" w:sz="0" w:space="0" w:color="auto"/>
        <w:right w:val="none" w:sz="0" w:space="0" w:color="auto"/>
      </w:divBdr>
    </w:div>
    <w:div w:id="1369380955">
      <w:bodyDiv w:val="1"/>
      <w:marLeft w:val="0"/>
      <w:marRight w:val="0"/>
      <w:marTop w:val="0"/>
      <w:marBottom w:val="0"/>
      <w:divBdr>
        <w:top w:val="none" w:sz="0" w:space="0" w:color="auto"/>
        <w:left w:val="none" w:sz="0" w:space="0" w:color="auto"/>
        <w:bottom w:val="none" w:sz="0" w:space="0" w:color="auto"/>
        <w:right w:val="none" w:sz="0" w:space="0" w:color="auto"/>
      </w:divBdr>
    </w:div>
    <w:div w:id="1830897730">
      <w:bodyDiv w:val="1"/>
      <w:marLeft w:val="0"/>
      <w:marRight w:val="0"/>
      <w:marTop w:val="0"/>
      <w:marBottom w:val="0"/>
      <w:divBdr>
        <w:top w:val="none" w:sz="0" w:space="0" w:color="auto"/>
        <w:left w:val="none" w:sz="0" w:space="0" w:color="auto"/>
        <w:bottom w:val="none" w:sz="0" w:space="0" w:color="auto"/>
        <w:right w:val="none" w:sz="0" w:space="0" w:color="auto"/>
      </w:divBdr>
    </w:div>
    <w:div w:id="1883635989">
      <w:bodyDiv w:val="1"/>
      <w:marLeft w:val="0"/>
      <w:marRight w:val="0"/>
      <w:marTop w:val="0"/>
      <w:marBottom w:val="0"/>
      <w:divBdr>
        <w:top w:val="none" w:sz="0" w:space="0" w:color="auto"/>
        <w:left w:val="none" w:sz="0" w:space="0" w:color="auto"/>
        <w:bottom w:val="none" w:sz="0" w:space="0" w:color="auto"/>
        <w:right w:val="none" w:sz="0" w:space="0" w:color="auto"/>
      </w:divBdr>
    </w:div>
    <w:div w:id="2004158707">
      <w:bodyDiv w:val="1"/>
      <w:marLeft w:val="0"/>
      <w:marRight w:val="0"/>
      <w:marTop w:val="0"/>
      <w:marBottom w:val="0"/>
      <w:divBdr>
        <w:top w:val="none" w:sz="0" w:space="0" w:color="auto"/>
        <w:left w:val="none" w:sz="0" w:space="0" w:color="auto"/>
        <w:bottom w:val="none" w:sz="0" w:space="0" w:color="auto"/>
        <w:right w:val="none" w:sz="0" w:space="0" w:color="auto"/>
      </w:divBdr>
    </w:div>
    <w:div w:id="2020309320">
      <w:bodyDiv w:val="1"/>
      <w:marLeft w:val="0"/>
      <w:marRight w:val="0"/>
      <w:marTop w:val="0"/>
      <w:marBottom w:val="0"/>
      <w:divBdr>
        <w:top w:val="none" w:sz="0" w:space="0" w:color="auto"/>
        <w:left w:val="none" w:sz="0" w:space="0" w:color="auto"/>
        <w:bottom w:val="none" w:sz="0" w:space="0" w:color="auto"/>
        <w:right w:val="none" w:sz="0" w:space="0" w:color="auto"/>
      </w:divBdr>
      <w:divsChild>
        <w:div w:id="732852535">
          <w:marLeft w:val="0"/>
          <w:marRight w:val="0"/>
          <w:marTop w:val="0"/>
          <w:marBottom w:val="120"/>
          <w:divBdr>
            <w:top w:val="none" w:sz="0" w:space="0" w:color="auto"/>
            <w:left w:val="none" w:sz="0" w:space="0" w:color="auto"/>
            <w:bottom w:val="none" w:sz="0" w:space="0" w:color="auto"/>
            <w:right w:val="none" w:sz="0" w:space="0" w:color="auto"/>
          </w:divBdr>
          <w:divsChild>
            <w:div w:id="757868738">
              <w:marLeft w:val="0"/>
              <w:marRight w:val="0"/>
              <w:marTop w:val="0"/>
              <w:marBottom w:val="0"/>
              <w:divBdr>
                <w:top w:val="none" w:sz="0" w:space="0" w:color="auto"/>
                <w:left w:val="none" w:sz="0" w:space="0" w:color="auto"/>
                <w:bottom w:val="none" w:sz="0" w:space="0" w:color="auto"/>
                <w:right w:val="none" w:sz="0" w:space="0" w:color="auto"/>
              </w:divBdr>
              <w:divsChild>
                <w:div w:id="1515874332">
                  <w:marLeft w:val="0"/>
                  <w:marRight w:val="0"/>
                  <w:marTop w:val="0"/>
                  <w:marBottom w:val="0"/>
                  <w:divBdr>
                    <w:top w:val="none" w:sz="0" w:space="0" w:color="auto"/>
                    <w:left w:val="none" w:sz="0" w:space="0" w:color="auto"/>
                    <w:bottom w:val="none" w:sz="0" w:space="0" w:color="auto"/>
                    <w:right w:val="none" w:sz="0" w:space="0" w:color="auto"/>
                  </w:divBdr>
                  <w:divsChild>
                    <w:div w:id="126892274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2A1A-7899-4805-8C54-EC52BE3F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21</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Cochrane</dc:creator>
  <cp:keywords/>
  <dc:description/>
  <cp:lastModifiedBy>Georgina Kemp</cp:lastModifiedBy>
  <cp:revision>7</cp:revision>
  <cp:lastPrinted>2018-03-19T18:57:00Z</cp:lastPrinted>
  <dcterms:created xsi:type="dcterms:W3CDTF">2018-03-19T15:35:00Z</dcterms:created>
  <dcterms:modified xsi:type="dcterms:W3CDTF">2018-03-21T14:04:00Z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http://csl.mendeley.com/styles/268424991/JKthesis</vt:lpwstr>
  </property>
  <property fmtid="{D5CDD505-2E9C-101B-9397-08002B2CF9AE}" pid="9" name="Mendeley Recent Style Name 3_1">
    <vt:lpwstr>American Psychological Association 6th edition - Justin Kemp</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http://www.zotero.org/styles/aquacultural-engineering</vt:lpwstr>
  </property>
  <property fmtid="{D5CDD505-2E9C-101B-9397-08002B2CF9AE}" pid="13" name="Mendeley Recent Style Name 5_1">
    <vt:lpwstr>Aquacultural Engineering</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http://www.zotero.org/styles/journal-of-the-american-chemical-society</vt:lpwstr>
  </property>
  <property fmtid="{D5CDD505-2E9C-101B-9397-08002B2CF9AE}" pid="19" name="Mendeley Recent Style Name 8_1">
    <vt:lpwstr>Journal of the American Chemical Society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