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9588C" w14:textId="367A4D11" w:rsidR="00C438D5" w:rsidRPr="00CB66E3" w:rsidRDefault="001608EA" w:rsidP="00954DDD">
      <w:pPr>
        <w:spacing w:after="0" w:line="240" w:lineRule="auto"/>
        <w:jc w:val="right"/>
        <w:rPr>
          <w:b/>
          <w:sz w:val="20"/>
          <w:szCs w:val="24"/>
          <w:lang w:val="en-GB"/>
        </w:rPr>
      </w:pPr>
      <w:r w:rsidRPr="00CB66E3">
        <w:rPr>
          <w:b/>
          <w:sz w:val="20"/>
          <w:szCs w:val="24"/>
          <w:lang w:val="en-GB"/>
        </w:rPr>
        <w:t>Politics and Governance</w:t>
      </w:r>
      <w:r w:rsidR="006F170E" w:rsidRPr="00CB66E3">
        <w:rPr>
          <w:b/>
          <w:sz w:val="20"/>
          <w:szCs w:val="24"/>
          <w:lang w:val="en-GB"/>
        </w:rPr>
        <w:t xml:space="preserve"> (ISSN: </w:t>
      </w:r>
      <w:r w:rsidR="009762A1" w:rsidRPr="00CB66E3">
        <w:rPr>
          <w:b/>
          <w:sz w:val="20"/>
          <w:szCs w:val="24"/>
          <w:lang w:val="en-GB"/>
        </w:rPr>
        <w:t>2183-2463</w:t>
      </w:r>
      <w:r w:rsidR="006F170E" w:rsidRPr="00CB66E3">
        <w:rPr>
          <w:b/>
          <w:sz w:val="20"/>
          <w:szCs w:val="24"/>
          <w:lang w:val="en-GB"/>
        </w:rPr>
        <w:t>)</w:t>
      </w:r>
      <w:r w:rsidR="00DC5FAB" w:rsidRPr="00CB66E3">
        <w:rPr>
          <w:b/>
          <w:sz w:val="20"/>
          <w:szCs w:val="24"/>
          <w:lang w:val="en-GB"/>
        </w:rPr>
        <w:br/>
      </w:r>
      <w:r w:rsidR="001F72F7">
        <w:rPr>
          <w:b/>
          <w:sz w:val="20"/>
          <w:szCs w:val="24"/>
          <w:lang w:val="en-GB"/>
        </w:rPr>
        <w:t>2018</w:t>
      </w:r>
      <w:r w:rsidR="001C490E" w:rsidRPr="00CB66E3">
        <w:rPr>
          <w:b/>
          <w:sz w:val="20"/>
          <w:szCs w:val="24"/>
          <w:lang w:val="en-GB"/>
        </w:rPr>
        <w:t xml:space="preserve">, </w:t>
      </w:r>
      <w:r w:rsidR="00917E73" w:rsidRPr="00CB66E3">
        <w:rPr>
          <w:b/>
          <w:sz w:val="20"/>
          <w:szCs w:val="24"/>
          <w:lang w:val="en-GB"/>
        </w:rPr>
        <w:t>Volume</w:t>
      </w:r>
      <w:r w:rsidR="001F72F7">
        <w:rPr>
          <w:b/>
          <w:sz w:val="20"/>
          <w:szCs w:val="24"/>
          <w:lang w:val="en-GB"/>
        </w:rPr>
        <w:t xml:space="preserve"> 6</w:t>
      </w:r>
      <w:r w:rsidR="00917E73" w:rsidRPr="00CB66E3">
        <w:rPr>
          <w:b/>
          <w:sz w:val="20"/>
          <w:szCs w:val="24"/>
          <w:lang w:val="en-GB"/>
        </w:rPr>
        <w:t>, Issue</w:t>
      </w:r>
      <w:r w:rsidR="001F72F7">
        <w:rPr>
          <w:b/>
          <w:sz w:val="20"/>
          <w:szCs w:val="24"/>
          <w:lang w:val="en-GB"/>
        </w:rPr>
        <w:t xml:space="preserve"> 2</w:t>
      </w:r>
      <w:r w:rsidR="00DC5FAB" w:rsidRPr="00CB66E3">
        <w:rPr>
          <w:b/>
          <w:sz w:val="20"/>
          <w:szCs w:val="24"/>
          <w:lang w:val="en-GB"/>
        </w:rPr>
        <w:t xml:space="preserve">, Pages </w:t>
      </w:r>
      <w:r w:rsidR="0064749A" w:rsidRPr="00CB66E3">
        <w:rPr>
          <w:b/>
          <w:sz w:val="20"/>
          <w:szCs w:val="24"/>
          <w:lang w:val="en-GB"/>
        </w:rPr>
        <w:t>X</w:t>
      </w:r>
      <w:r w:rsidR="00DC5FAB" w:rsidRPr="00CB66E3">
        <w:rPr>
          <w:b/>
          <w:sz w:val="20"/>
          <w:szCs w:val="24"/>
          <w:lang w:val="en-GB"/>
        </w:rPr>
        <w:t>–</w:t>
      </w:r>
      <w:r w:rsidR="0064749A" w:rsidRPr="00CB66E3">
        <w:rPr>
          <w:b/>
          <w:sz w:val="20"/>
          <w:szCs w:val="24"/>
          <w:lang w:val="en-GB"/>
        </w:rPr>
        <w:t>X</w:t>
      </w:r>
      <w:r w:rsidR="001455D2" w:rsidRPr="00CB66E3">
        <w:rPr>
          <w:b/>
          <w:sz w:val="20"/>
          <w:szCs w:val="24"/>
          <w:lang w:val="en-GB"/>
        </w:rPr>
        <w:br/>
      </w:r>
      <w:r w:rsidRPr="00CB66E3">
        <w:rPr>
          <w:b/>
          <w:sz w:val="20"/>
          <w:szCs w:val="24"/>
          <w:lang w:val="en-GB"/>
        </w:rPr>
        <w:t>DOI: 10.17645/pag</w:t>
      </w:r>
      <w:r w:rsidR="00D21299">
        <w:rPr>
          <w:b/>
          <w:sz w:val="20"/>
          <w:szCs w:val="24"/>
          <w:lang w:val="en-GB"/>
        </w:rPr>
        <w:t>e</w:t>
      </w:r>
      <w:r w:rsidR="00F84696" w:rsidRPr="00CB66E3">
        <w:rPr>
          <w:b/>
          <w:sz w:val="20"/>
          <w:szCs w:val="24"/>
          <w:lang w:val="en-GB"/>
        </w:rPr>
        <w:t>.v</w:t>
      </w:r>
      <w:r w:rsidR="001F72F7">
        <w:rPr>
          <w:b/>
          <w:sz w:val="20"/>
          <w:szCs w:val="24"/>
          <w:lang w:val="en-GB"/>
        </w:rPr>
        <w:t>6</w:t>
      </w:r>
      <w:r w:rsidR="00F84696" w:rsidRPr="00CB66E3">
        <w:rPr>
          <w:b/>
          <w:sz w:val="20"/>
          <w:szCs w:val="24"/>
          <w:lang w:val="en-GB"/>
        </w:rPr>
        <w:t>i</w:t>
      </w:r>
      <w:r w:rsidR="001F72F7">
        <w:rPr>
          <w:b/>
          <w:sz w:val="20"/>
          <w:szCs w:val="24"/>
          <w:lang w:val="en-GB"/>
        </w:rPr>
        <w:t>2</w:t>
      </w:r>
      <w:r w:rsidR="00F84696" w:rsidRPr="00CB66E3">
        <w:rPr>
          <w:b/>
          <w:sz w:val="20"/>
          <w:szCs w:val="24"/>
          <w:lang w:val="en-GB"/>
        </w:rPr>
        <w:t>.</w:t>
      </w:r>
      <w:r w:rsidR="001F72F7">
        <w:rPr>
          <w:b/>
          <w:sz w:val="20"/>
          <w:szCs w:val="24"/>
          <w:lang w:val="en-GB"/>
        </w:rPr>
        <w:t>1333</w:t>
      </w:r>
      <w:r w:rsidR="00C438D5" w:rsidRPr="00CB66E3">
        <w:rPr>
          <w:b/>
          <w:sz w:val="20"/>
          <w:szCs w:val="24"/>
          <w:lang w:val="en-GB"/>
        </w:rPr>
        <w:br/>
      </w:r>
    </w:p>
    <w:p w14:paraId="1A26C881" w14:textId="77777777" w:rsidR="000756C9" w:rsidRPr="00CB66E3" w:rsidRDefault="000A1A9E" w:rsidP="00954DDD">
      <w:pPr>
        <w:spacing w:after="0" w:line="240" w:lineRule="auto"/>
        <w:rPr>
          <w:sz w:val="20"/>
          <w:lang w:val="en-GB"/>
        </w:rPr>
      </w:pPr>
      <w:r w:rsidRPr="00CB66E3">
        <w:rPr>
          <w:sz w:val="20"/>
          <w:lang w:val="en-GB"/>
        </w:rPr>
        <w:t>Article</w:t>
      </w:r>
    </w:p>
    <w:p w14:paraId="5CE6C7F1" w14:textId="5F372A64" w:rsidR="000756C9" w:rsidRPr="00CB66E3" w:rsidRDefault="001B548A" w:rsidP="00954DDD">
      <w:pPr>
        <w:spacing w:after="0" w:line="240" w:lineRule="auto"/>
        <w:rPr>
          <w:b/>
          <w:sz w:val="36"/>
          <w:lang w:val="en-GB"/>
        </w:rPr>
      </w:pPr>
      <w:r w:rsidRPr="00CB66E3">
        <w:rPr>
          <w:b/>
          <w:sz w:val="36"/>
          <w:lang w:val="en-GB"/>
        </w:rPr>
        <w:t>Why Should I? Cybersecurity</w:t>
      </w:r>
      <w:r w:rsidR="00EB7FD9">
        <w:rPr>
          <w:b/>
          <w:sz w:val="36"/>
          <w:lang w:val="en-GB"/>
        </w:rPr>
        <w:t>,</w:t>
      </w:r>
      <w:r w:rsidRPr="00CB66E3">
        <w:rPr>
          <w:b/>
          <w:sz w:val="36"/>
          <w:lang w:val="en-GB"/>
        </w:rPr>
        <w:t xml:space="preserve"> </w:t>
      </w:r>
      <w:r w:rsidR="00EB7FD9">
        <w:rPr>
          <w:b/>
          <w:sz w:val="36"/>
          <w:lang w:val="en-GB"/>
        </w:rPr>
        <w:t xml:space="preserve">the </w:t>
      </w:r>
      <w:r w:rsidR="003E6D55">
        <w:rPr>
          <w:b/>
          <w:sz w:val="36"/>
          <w:lang w:val="en-GB"/>
        </w:rPr>
        <w:t>Security of the State and the Ins</w:t>
      </w:r>
      <w:r w:rsidR="00EB7FD9">
        <w:rPr>
          <w:b/>
          <w:sz w:val="36"/>
          <w:lang w:val="en-GB"/>
        </w:rPr>
        <w:t>ecurity of the Citizen</w:t>
      </w:r>
      <w:r w:rsidRPr="00CB66E3">
        <w:rPr>
          <w:b/>
          <w:sz w:val="36"/>
          <w:lang w:val="en-GB"/>
        </w:rPr>
        <w:t xml:space="preserve"> </w:t>
      </w:r>
    </w:p>
    <w:p w14:paraId="1C91428B" w14:textId="3B73C63D" w:rsidR="000756C9" w:rsidRPr="00CB66E3" w:rsidRDefault="001B548A" w:rsidP="00954DDD">
      <w:pPr>
        <w:spacing w:before="120" w:after="120" w:line="240" w:lineRule="auto"/>
        <w:rPr>
          <w:vertAlign w:val="superscript"/>
          <w:lang w:val="en-GB"/>
        </w:rPr>
      </w:pPr>
      <w:r w:rsidRPr="00CB66E3">
        <w:rPr>
          <w:lang w:val="en-GB"/>
        </w:rPr>
        <w:t>Lizzie Coles-Kemp</w:t>
      </w:r>
      <w:r w:rsidR="000756C9" w:rsidRPr="00CB66E3">
        <w:rPr>
          <w:vertAlign w:val="superscript"/>
          <w:lang w:val="en-GB"/>
        </w:rPr>
        <w:t xml:space="preserve"> 1,</w:t>
      </w:r>
      <w:r w:rsidR="000756C9" w:rsidRPr="00CB66E3">
        <w:rPr>
          <w:lang w:val="en-GB"/>
        </w:rPr>
        <w:t>*</w:t>
      </w:r>
      <w:r w:rsidR="00AC0900" w:rsidRPr="00CB66E3">
        <w:rPr>
          <w:lang w:val="en-GB"/>
        </w:rPr>
        <w:t xml:space="preserve">, </w:t>
      </w:r>
      <w:r w:rsidRPr="00CB66E3">
        <w:rPr>
          <w:lang w:val="en-GB"/>
        </w:rPr>
        <w:t>Debi Ashenden</w:t>
      </w:r>
      <w:r w:rsidR="00AC0900" w:rsidRPr="00CB66E3">
        <w:rPr>
          <w:vertAlign w:val="superscript"/>
          <w:lang w:val="en-GB"/>
        </w:rPr>
        <w:t xml:space="preserve"> 2</w:t>
      </w:r>
      <w:r w:rsidR="00AC0900" w:rsidRPr="00CB66E3">
        <w:rPr>
          <w:lang w:val="en-GB"/>
        </w:rPr>
        <w:t xml:space="preserve"> and </w:t>
      </w:r>
      <w:r w:rsidRPr="00CB66E3">
        <w:rPr>
          <w:lang w:val="en-GB"/>
        </w:rPr>
        <w:t>Kieron O’Hara</w:t>
      </w:r>
      <w:r w:rsidR="00AC0900" w:rsidRPr="00CB66E3">
        <w:rPr>
          <w:vertAlign w:val="superscript"/>
          <w:lang w:val="en-GB"/>
        </w:rPr>
        <w:t xml:space="preserve"> </w:t>
      </w:r>
      <w:r w:rsidR="00D565A4">
        <w:rPr>
          <w:vertAlign w:val="superscript"/>
          <w:lang w:val="en-GB"/>
        </w:rPr>
        <w:t>3</w:t>
      </w:r>
    </w:p>
    <w:p w14:paraId="0BB287BF" w14:textId="75A453FD" w:rsidR="000A1A9E" w:rsidRPr="00CB66E3" w:rsidRDefault="000A1A9E" w:rsidP="00954DDD">
      <w:pPr>
        <w:tabs>
          <w:tab w:val="left" w:pos="142"/>
        </w:tabs>
        <w:spacing w:after="0" w:line="240" w:lineRule="auto"/>
        <w:rPr>
          <w:sz w:val="20"/>
          <w:lang w:val="en-GB"/>
        </w:rPr>
      </w:pPr>
      <w:r w:rsidRPr="00CB66E3">
        <w:rPr>
          <w:sz w:val="20"/>
          <w:vertAlign w:val="superscript"/>
          <w:lang w:val="en-GB"/>
        </w:rPr>
        <w:t xml:space="preserve">1 </w:t>
      </w:r>
      <w:r w:rsidR="001B548A" w:rsidRPr="00CB66E3">
        <w:rPr>
          <w:sz w:val="20"/>
          <w:lang w:val="en-GB"/>
        </w:rPr>
        <w:t>Information Security Group</w:t>
      </w:r>
      <w:r w:rsidR="00AC0900" w:rsidRPr="00CB66E3">
        <w:rPr>
          <w:sz w:val="20"/>
          <w:lang w:val="en-GB"/>
        </w:rPr>
        <w:t xml:space="preserve">, </w:t>
      </w:r>
      <w:r w:rsidR="001B548A" w:rsidRPr="00CB66E3">
        <w:rPr>
          <w:sz w:val="20"/>
          <w:lang w:val="en-GB"/>
        </w:rPr>
        <w:t>Royal Holloway University of London</w:t>
      </w:r>
      <w:r w:rsidR="00AC0900" w:rsidRPr="00CB66E3">
        <w:rPr>
          <w:sz w:val="20"/>
          <w:lang w:val="en-GB"/>
        </w:rPr>
        <w:t xml:space="preserve">, </w:t>
      </w:r>
      <w:r w:rsidR="001A2932">
        <w:rPr>
          <w:sz w:val="20"/>
          <w:lang w:val="en-GB"/>
        </w:rPr>
        <w:t>TW20 0EX, Egham</w:t>
      </w:r>
      <w:r w:rsidR="00AC0900" w:rsidRPr="00CB66E3">
        <w:rPr>
          <w:sz w:val="20"/>
          <w:lang w:val="en-GB"/>
        </w:rPr>
        <w:t>,</w:t>
      </w:r>
      <w:r w:rsidR="001A2932">
        <w:rPr>
          <w:sz w:val="20"/>
          <w:lang w:val="en-GB"/>
        </w:rPr>
        <w:t xml:space="preserve"> UK</w:t>
      </w:r>
      <w:r w:rsidRPr="00CB66E3">
        <w:rPr>
          <w:sz w:val="20"/>
          <w:lang w:val="en-GB"/>
        </w:rPr>
        <w:t xml:space="preserve">; </w:t>
      </w:r>
      <w:r w:rsidR="00F54114">
        <w:rPr>
          <w:sz w:val="20"/>
          <w:lang w:val="en-GB"/>
        </w:rPr>
        <w:t xml:space="preserve">E-mail: </w:t>
      </w:r>
      <w:r w:rsidR="001A2932">
        <w:rPr>
          <w:sz w:val="20"/>
          <w:lang w:val="en-GB"/>
        </w:rPr>
        <w:t>lizzie.coles-kemp@rhul.ac.uk</w:t>
      </w:r>
    </w:p>
    <w:p w14:paraId="5B0E552B" w14:textId="44B6273F" w:rsidR="000756C9" w:rsidRDefault="000A1A9E" w:rsidP="00954DDD">
      <w:pPr>
        <w:tabs>
          <w:tab w:val="left" w:pos="142"/>
        </w:tabs>
        <w:spacing w:after="0" w:line="240" w:lineRule="auto"/>
        <w:rPr>
          <w:sz w:val="20"/>
          <w:lang w:val="en-GB"/>
        </w:rPr>
      </w:pPr>
      <w:r w:rsidRPr="00CB66E3">
        <w:rPr>
          <w:sz w:val="20"/>
          <w:vertAlign w:val="superscript"/>
          <w:lang w:val="en-GB"/>
        </w:rPr>
        <w:t xml:space="preserve">2 </w:t>
      </w:r>
      <w:r w:rsidR="001B548A" w:rsidRPr="00CB66E3">
        <w:rPr>
          <w:sz w:val="20"/>
          <w:lang w:val="en-GB"/>
        </w:rPr>
        <w:t>School of Computing</w:t>
      </w:r>
      <w:r w:rsidR="00AC0900" w:rsidRPr="00CB66E3">
        <w:rPr>
          <w:sz w:val="20"/>
          <w:lang w:val="en-GB"/>
        </w:rPr>
        <w:t xml:space="preserve">, </w:t>
      </w:r>
      <w:r w:rsidR="001B548A" w:rsidRPr="00CB66E3">
        <w:rPr>
          <w:sz w:val="20"/>
          <w:lang w:val="en-GB"/>
        </w:rPr>
        <w:t>University of Portsmouth</w:t>
      </w:r>
      <w:r w:rsidR="00AC0900" w:rsidRPr="00CB66E3">
        <w:rPr>
          <w:sz w:val="20"/>
          <w:lang w:val="en-GB"/>
        </w:rPr>
        <w:t xml:space="preserve">, </w:t>
      </w:r>
      <w:r w:rsidR="00F54114">
        <w:rPr>
          <w:sz w:val="20"/>
          <w:lang w:val="en-GB"/>
        </w:rPr>
        <w:t>PO1 2UP,</w:t>
      </w:r>
      <w:r w:rsidRPr="00CB66E3">
        <w:rPr>
          <w:sz w:val="20"/>
          <w:lang w:val="en-GB"/>
        </w:rPr>
        <w:t xml:space="preserve"> </w:t>
      </w:r>
      <w:r w:rsidR="001B548A" w:rsidRPr="00CB66E3">
        <w:rPr>
          <w:sz w:val="20"/>
          <w:lang w:val="en-GB"/>
        </w:rPr>
        <w:t>Portsmouth, UK</w:t>
      </w:r>
      <w:r w:rsidR="00F54114">
        <w:rPr>
          <w:sz w:val="20"/>
          <w:lang w:val="en-GB"/>
        </w:rPr>
        <w:t>; E-Mail</w:t>
      </w:r>
      <w:r w:rsidR="00AC0900" w:rsidRPr="00CB66E3">
        <w:rPr>
          <w:sz w:val="20"/>
          <w:lang w:val="en-GB"/>
        </w:rPr>
        <w:t xml:space="preserve">: </w:t>
      </w:r>
      <w:r w:rsidR="001B548A" w:rsidRPr="00CB66E3">
        <w:rPr>
          <w:sz w:val="20"/>
          <w:lang w:val="en-GB"/>
        </w:rPr>
        <w:t>debi.ashenden@port.ac.uk</w:t>
      </w:r>
      <w:r w:rsidR="00AC0900" w:rsidRPr="00CB66E3">
        <w:rPr>
          <w:sz w:val="20"/>
          <w:lang w:val="en-GB"/>
        </w:rPr>
        <w:t xml:space="preserve"> </w:t>
      </w:r>
    </w:p>
    <w:p w14:paraId="4DA9C8F7" w14:textId="77EA048E" w:rsidR="00D565A4" w:rsidRPr="00F54114" w:rsidRDefault="00D565A4" w:rsidP="00F54114">
      <w:pPr>
        <w:spacing w:after="0" w:line="288" w:lineRule="atLeast"/>
        <w:rPr>
          <w:rFonts w:ascii="Segoe UI" w:eastAsia="Times New Roman" w:hAnsi="Segoe UI" w:cs="Segoe UI"/>
          <w:sz w:val="24"/>
          <w:szCs w:val="24"/>
          <w:lang w:val="en-US"/>
        </w:rPr>
      </w:pPr>
      <w:r>
        <w:rPr>
          <w:sz w:val="20"/>
          <w:vertAlign w:val="superscript"/>
          <w:lang w:val="en-GB"/>
        </w:rPr>
        <w:t>3</w:t>
      </w:r>
      <w:r w:rsidR="00F54114">
        <w:rPr>
          <w:sz w:val="20"/>
          <w:lang w:val="en-GB"/>
        </w:rPr>
        <w:t xml:space="preserve"> Electronics &amp; Computer Science, University</w:t>
      </w:r>
      <w:r w:rsidR="00220282">
        <w:rPr>
          <w:sz w:val="20"/>
          <w:lang w:val="en-GB"/>
        </w:rPr>
        <w:t xml:space="preserve"> of Southampton</w:t>
      </w:r>
      <w:r w:rsidR="00F54114">
        <w:rPr>
          <w:sz w:val="20"/>
          <w:lang w:val="en-GB"/>
        </w:rPr>
        <w:t xml:space="preserve">, </w:t>
      </w:r>
      <w:r w:rsidR="00F54114" w:rsidRPr="00F54114">
        <w:rPr>
          <w:rFonts w:eastAsia="Times New Roman" w:cs="Segoe UI"/>
          <w:sz w:val="20"/>
          <w:szCs w:val="20"/>
          <w:lang w:val="en-US"/>
        </w:rPr>
        <w:t>SO17 1BJ</w:t>
      </w:r>
      <w:r w:rsidR="00F54114">
        <w:rPr>
          <w:rFonts w:eastAsia="Times New Roman" w:cs="Segoe UI"/>
          <w:sz w:val="20"/>
          <w:szCs w:val="20"/>
          <w:lang w:val="en-US"/>
        </w:rPr>
        <w:t>, Southampton, UK; E-Mail:</w:t>
      </w:r>
      <w:r w:rsidR="00F54114">
        <w:rPr>
          <w:rFonts w:ascii="Segoe UI" w:eastAsia="Times New Roman" w:hAnsi="Segoe UI" w:cs="Segoe UI"/>
          <w:sz w:val="24"/>
          <w:szCs w:val="24"/>
          <w:lang w:val="en-US"/>
        </w:rPr>
        <w:t xml:space="preserve"> </w:t>
      </w:r>
      <w:r w:rsidR="00F54114">
        <w:rPr>
          <w:sz w:val="20"/>
          <w:lang w:val="en-GB"/>
        </w:rPr>
        <w:t>kmo@ecs.soton.ac.uk</w:t>
      </w:r>
    </w:p>
    <w:p w14:paraId="4FE647F5" w14:textId="32AB3DCB" w:rsidR="000756C9" w:rsidRDefault="001C490E" w:rsidP="00DD7CDF">
      <w:pPr>
        <w:tabs>
          <w:tab w:val="left" w:pos="142"/>
        </w:tabs>
        <w:spacing w:before="120" w:after="120" w:line="240" w:lineRule="auto"/>
        <w:rPr>
          <w:sz w:val="20"/>
          <w:lang w:val="en-GB"/>
        </w:rPr>
      </w:pPr>
      <w:r w:rsidRPr="00CB66E3">
        <w:rPr>
          <w:sz w:val="20"/>
          <w:lang w:val="en-GB"/>
        </w:rPr>
        <w:t xml:space="preserve">* </w:t>
      </w:r>
      <w:r w:rsidR="000756C9" w:rsidRPr="00CB66E3">
        <w:rPr>
          <w:sz w:val="20"/>
          <w:lang w:val="en-GB"/>
        </w:rPr>
        <w:t>Corresponding author</w:t>
      </w:r>
    </w:p>
    <w:p w14:paraId="6E6E73AD" w14:textId="63BFF135" w:rsidR="001F72F7" w:rsidRPr="00CB66E3" w:rsidRDefault="001F72F7" w:rsidP="00DD7CDF">
      <w:pPr>
        <w:tabs>
          <w:tab w:val="left" w:pos="142"/>
        </w:tabs>
        <w:spacing w:before="120" w:after="120" w:line="240" w:lineRule="auto"/>
        <w:rPr>
          <w:sz w:val="20"/>
          <w:lang w:val="en-GB"/>
        </w:rPr>
      </w:pPr>
      <w:r>
        <w:rPr>
          <w:sz w:val="20"/>
          <w:lang w:val="en-GB"/>
        </w:rPr>
        <w:t>Submitted: 30 December 2017 | Accepted: 7 March 2018 | Published: in press</w:t>
      </w:r>
    </w:p>
    <w:p w14:paraId="50636D13" w14:textId="77777777" w:rsidR="000756C9" w:rsidRPr="00CB66E3" w:rsidRDefault="000756C9" w:rsidP="000309ED">
      <w:pPr>
        <w:spacing w:before="240" w:after="0" w:line="240" w:lineRule="auto"/>
        <w:rPr>
          <w:b/>
          <w:sz w:val="20"/>
          <w:lang w:val="en-GB"/>
        </w:rPr>
      </w:pPr>
      <w:r w:rsidRPr="00CB66E3">
        <w:rPr>
          <w:b/>
          <w:sz w:val="20"/>
          <w:lang w:val="en-GB"/>
        </w:rPr>
        <w:t>Abstract</w:t>
      </w:r>
    </w:p>
    <w:p w14:paraId="64F73F8B" w14:textId="6484FC40" w:rsidR="008F378D" w:rsidRDefault="008F378D" w:rsidP="008F378D">
      <w:pPr>
        <w:jc w:val="both"/>
        <w:rPr>
          <w:sz w:val="20"/>
          <w:szCs w:val="20"/>
          <w:lang w:val="en-GB"/>
        </w:rPr>
      </w:pPr>
      <w:r w:rsidRPr="00CB66E3">
        <w:rPr>
          <w:sz w:val="20"/>
          <w:szCs w:val="20"/>
          <w:lang w:val="en-GB"/>
        </w:rPr>
        <w:t>Assumptions are made by government and technology providers about the power relationships that shape the use of technological security controls and the norms under which technology usage occur</w:t>
      </w:r>
      <w:r>
        <w:rPr>
          <w:sz w:val="20"/>
          <w:szCs w:val="20"/>
          <w:lang w:val="en-GB"/>
        </w:rPr>
        <w:t>s</w:t>
      </w:r>
      <w:r w:rsidRPr="00CB66E3">
        <w:rPr>
          <w:sz w:val="20"/>
          <w:szCs w:val="20"/>
          <w:lang w:val="en-GB"/>
        </w:rPr>
        <w:t xml:space="preserve">. </w:t>
      </w:r>
      <w:r>
        <w:rPr>
          <w:sz w:val="20"/>
          <w:szCs w:val="20"/>
          <w:lang w:val="en-GB"/>
        </w:rPr>
        <w:t>W</w:t>
      </w:r>
      <w:r w:rsidRPr="00CB66E3">
        <w:rPr>
          <w:sz w:val="20"/>
          <w:szCs w:val="20"/>
          <w:lang w:val="en-GB"/>
        </w:rPr>
        <w:t xml:space="preserve">e </w:t>
      </w:r>
      <w:r>
        <w:rPr>
          <w:sz w:val="20"/>
          <w:szCs w:val="20"/>
          <w:lang w:val="en-GB"/>
        </w:rPr>
        <w:t>present</w:t>
      </w:r>
      <w:r w:rsidRPr="00CB66E3">
        <w:rPr>
          <w:sz w:val="20"/>
          <w:szCs w:val="20"/>
          <w:lang w:val="en-GB"/>
        </w:rPr>
        <w:t xml:space="preserve"> a case study</w:t>
      </w:r>
      <w:r w:rsidR="006705A7">
        <w:rPr>
          <w:sz w:val="20"/>
          <w:szCs w:val="20"/>
          <w:lang w:val="en-GB"/>
        </w:rPr>
        <w:t xml:space="preserve"> carried out in the North </w:t>
      </w:r>
      <w:r>
        <w:rPr>
          <w:sz w:val="20"/>
          <w:szCs w:val="20"/>
          <w:lang w:val="en-GB"/>
        </w:rPr>
        <w:t>East of England</w:t>
      </w:r>
      <w:r w:rsidRPr="00CB66E3">
        <w:rPr>
          <w:sz w:val="20"/>
          <w:szCs w:val="20"/>
          <w:lang w:val="en-GB"/>
        </w:rPr>
        <w:t xml:space="preserve"> </w:t>
      </w:r>
      <w:r>
        <w:rPr>
          <w:sz w:val="20"/>
          <w:szCs w:val="20"/>
          <w:lang w:val="en-GB"/>
        </w:rPr>
        <w:t>that examined how a community might work together using a digital information sharing platform to respond to the pressures of welfare policy change. We describe an inductive consideration of this highly local case study before reviewing it in the light of broader security theory.  By taking this approach we problematise the tendency of the state to focus on the security of technology at the expense of the security of the citizen.  From</w:t>
      </w:r>
      <w:r w:rsidR="00B710E1">
        <w:rPr>
          <w:sz w:val="20"/>
          <w:szCs w:val="20"/>
          <w:lang w:val="en-GB"/>
        </w:rPr>
        <w:t xml:space="preserve"> insights gained from</w:t>
      </w:r>
      <w:r>
        <w:rPr>
          <w:sz w:val="20"/>
          <w:szCs w:val="20"/>
          <w:lang w:val="en-GB"/>
        </w:rPr>
        <w:t xml:space="preserve"> the case study and the subsequent literature review, w</w:t>
      </w:r>
      <w:r w:rsidRPr="00CB66E3">
        <w:rPr>
          <w:sz w:val="20"/>
          <w:szCs w:val="20"/>
          <w:lang w:val="en-GB"/>
        </w:rPr>
        <w:t xml:space="preserve">e </w:t>
      </w:r>
      <w:r>
        <w:rPr>
          <w:sz w:val="20"/>
          <w:szCs w:val="20"/>
          <w:lang w:val="en-GB"/>
        </w:rPr>
        <w:t>conclude that there are</w:t>
      </w:r>
      <w:r w:rsidRPr="00CB66E3">
        <w:rPr>
          <w:sz w:val="20"/>
          <w:szCs w:val="20"/>
          <w:lang w:val="en-GB"/>
        </w:rPr>
        <w:t xml:space="preserve"> three main absences </w:t>
      </w:r>
      <w:r>
        <w:rPr>
          <w:sz w:val="20"/>
          <w:szCs w:val="20"/>
          <w:lang w:val="en-GB"/>
        </w:rPr>
        <w:t>not addressed by the current designs of</w:t>
      </w:r>
      <w:r w:rsidRPr="00CB66E3">
        <w:rPr>
          <w:sz w:val="20"/>
          <w:szCs w:val="20"/>
          <w:lang w:val="en-GB"/>
        </w:rPr>
        <w:t xml:space="preserve"> </w:t>
      </w:r>
      <w:r>
        <w:rPr>
          <w:sz w:val="20"/>
          <w:szCs w:val="20"/>
          <w:lang w:val="en-GB"/>
        </w:rPr>
        <w:t>cybersecurity architectures</w:t>
      </w:r>
      <w:r w:rsidR="00F920DC">
        <w:rPr>
          <w:sz w:val="20"/>
          <w:szCs w:val="20"/>
          <w:lang w:val="en-GB"/>
        </w:rPr>
        <w:t>. These</w:t>
      </w:r>
      <w:r>
        <w:rPr>
          <w:sz w:val="20"/>
          <w:szCs w:val="20"/>
          <w:lang w:val="en-GB"/>
        </w:rPr>
        <w:t xml:space="preserve"> </w:t>
      </w:r>
      <w:r w:rsidR="00F920DC">
        <w:rPr>
          <w:sz w:val="20"/>
          <w:szCs w:val="20"/>
          <w:lang w:val="en-GB"/>
        </w:rPr>
        <w:t>are absences</w:t>
      </w:r>
      <w:r>
        <w:rPr>
          <w:sz w:val="20"/>
          <w:szCs w:val="20"/>
          <w:lang w:val="en-GB"/>
        </w:rPr>
        <w:t xml:space="preserve"> of</w:t>
      </w:r>
      <w:r w:rsidR="005A5B7E">
        <w:rPr>
          <w:sz w:val="20"/>
          <w:szCs w:val="20"/>
          <w:lang w:val="en-GB"/>
        </w:rPr>
        <w:t>:</w:t>
      </w:r>
      <w:r>
        <w:rPr>
          <w:sz w:val="20"/>
          <w:szCs w:val="20"/>
          <w:lang w:val="en-GB"/>
        </w:rPr>
        <w:t xml:space="preserve"> consensus as to whose security is being addressed, </w:t>
      </w:r>
      <w:r w:rsidRPr="00633541">
        <w:rPr>
          <w:sz w:val="20"/>
          <w:szCs w:val="20"/>
          <w:lang w:val="en-GB"/>
        </w:rPr>
        <w:t>evidence of equivalence between the mechanisms that control behaviour</w:t>
      </w:r>
      <w:r w:rsidR="006705A7">
        <w:rPr>
          <w:sz w:val="20"/>
          <w:szCs w:val="20"/>
          <w:lang w:val="en-GB"/>
        </w:rPr>
        <w:t>,</w:t>
      </w:r>
      <w:r>
        <w:rPr>
          <w:sz w:val="20"/>
          <w:szCs w:val="20"/>
          <w:lang w:val="en-GB"/>
        </w:rPr>
        <w:t xml:space="preserve"> and two-way legibility.  We argue that by addressing these absences the foundations of trust and collaboration can be built which are necessary for effective cybersecurity.  Our consideration of the case study within the context of sovereignty </w:t>
      </w:r>
      <w:r w:rsidR="002459A6">
        <w:rPr>
          <w:sz w:val="20"/>
          <w:szCs w:val="20"/>
          <w:lang w:val="en-GB"/>
        </w:rPr>
        <w:t xml:space="preserve">indicates that the design of the </w:t>
      </w:r>
      <w:r w:rsidR="009B2072">
        <w:rPr>
          <w:sz w:val="20"/>
          <w:szCs w:val="20"/>
          <w:lang w:val="en-GB"/>
        </w:rPr>
        <w:t xml:space="preserve">cybersecurity architecture and its concomitant service design </w:t>
      </w:r>
      <w:r w:rsidR="002459A6">
        <w:rPr>
          <w:sz w:val="20"/>
          <w:szCs w:val="20"/>
          <w:lang w:val="en-GB"/>
        </w:rPr>
        <w:t xml:space="preserve">has a significant bearing on </w:t>
      </w:r>
      <w:r w:rsidRPr="00CB66E3">
        <w:rPr>
          <w:sz w:val="20"/>
          <w:szCs w:val="20"/>
          <w:lang w:val="en-GB"/>
        </w:rPr>
        <w:t xml:space="preserve">the social contract between citizen and state. </w:t>
      </w:r>
      <w:r>
        <w:rPr>
          <w:sz w:val="20"/>
          <w:szCs w:val="20"/>
          <w:lang w:val="en-GB"/>
        </w:rPr>
        <w:t xml:space="preserve">By taking this </w:t>
      </w:r>
      <w:r w:rsidR="00D21299">
        <w:rPr>
          <w:sz w:val="20"/>
          <w:szCs w:val="20"/>
          <w:lang w:val="en-GB"/>
        </w:rPr>
        <w:t xml:space="preserve">novel </w:t>
      </w:r>
      <w:r>
        <w:rPr>
          <w:sz w:val="20"/>
          <w:szCs w:val="20"/>
          <w:lang w:val="en-GB"/>
        </w:rPr>
        <w:t>perspective new directions emerge for the understanding of the effectiveness of cybersecurity technologies.</w:t>
      </w:r>
      <w:r w:rsidRPr="00633541">
        <w:rPr>
          <w:sz w:val="20"/>
          <w:szCs w:val="20"/>
          <w:lang w:val="en-GB"/>
        </w:rPr>
        <w:t xml:space="preserve"> </w:t>
      </w:r>
    </w:p>
    <w:p w14:paraId="20114453" w14:textId="77777777" w:rsidR="000756C9" w:rsidRPr="00CB66E3" w:rsidRDefault="000756C9" w:rsidP="0064153D">
      <w:pPr>
        <w:spacing w:before="240" w:after="0" w:line="240" w:lineRule="auto"/>
        <w:rPr>
          <w:b/>
          <w:sz w:val="20"/>
          <w:lang w:val="en-GB"/>
        </w:rPr>
      </w:pPr>
      <w:r w:rsidRPr="00CB66E3">
        <w:rPr>
          <w:b/>
          <w:sz w:val="20"/>
          <w:lang w:val="en-GB"/>
        </w:rPr>
        <w:t>Keywords</w:t>
      </w:r>
    </w:p>
    <w:p w14:paraId="5176D574" w14:textId="4E232E22" w:rsidR="00777349" w:rsidRDefault="00F54114" w:rsidP="00917E73">
      <w:pPr>
        <w:spacing w:after="0" w:line="240" w:lineRule="auto"/>
        <w:rPr>
          <w:sz w:val="20"/>
          <w:lang w:val="en-GB"/>
        </w:rPr>
      </w:pPr>
      <w:r>
        <w:rPr>
          <w:sz w:val="20"/>
          <w:lang w:val="en-GB"/>
        </w:rPr>
        <w:t>cybersecurity</w:t>
      </w:r>
      <w:r w:rsidR="003537C5" w:rsidRPr="00CB66E3">
        <w:rPr>
          <w:sz w:val="20"/>
          <w:lang w:val="en-GB"/>
        </w:rPr>
        <w:t xml:space="preserve">; </w:t>
      </w:r>
      <w:r>
        <w:rPr>
          <w:sz w:val="20"/>
          <w:lang w:val="en-GB"/>
        </w:rPr>
        <w:t>cyberspace; social contract; sovereignty</w:t>
      </w:r>
      <w:r w:rsidR="003537C5" w:rsidRPr="00CB66E3">
        <w:rPr>
          <w:sz w:val="20"/>
          <w:lang w:val="en-GB"/>
        </w:rPr>
        <w:t>;</w:t>
      </w:r>
      <w:r>
        <w:rPr>
          <w:sz w:val="20"/>
          <w:lang w:val="en-GB"/>
        </w:rPr>
        <w:t xml:space="preserve"> power; </w:t>
      </w:r>
    </w:p>
    <w:p w14:paraId="225B2EF3" w14:textId="77777777" w:rsidR="001F72F7" w:rsidRPr="000476D7" w:rsidRDefault="001F72F7" w:rsidP="001F72F7">
      <w:pPr>
        <w:spacing w:before="240" w:after="0" w:line="240" w:lineRule="auto"/>
        <w:rPr>
          <w:b/>
          <w:sz w:val="20"/>
          <w:lang w:val="en-US"/>
        </w:rPr>
      </w:pPr>
      <w:r w:rsidRPr="000476D7">
        <w:rPr>
          <w:b/>
          <w:sz w:val="20"/>
          <w:lang w:val="en-US"/>
        </w:rPr>
        <w:t>Issue</w:t>
      </w:r>
    </w:p>
    <w:p w14:paraId="36ADBFB8" w14:textId="3CE251EF" w:rsidR="001F72F7" w:rsidRPr="001F72F7" w:rsidRDefault="001F72F7" w:rsidP="00917E73">
      <w:pPr>
        <w:spacing w:after="0" w:line="240" w:lineRule="auto"/>
        <w:rPr>
          <w:sz w:val="20"/>
          <w:lang w:val="en-US"/>
        </w:rPr>
      </w:pPr>
      <w:r w:rsidRPr="000476D7">
        <w:rPr>
          <w:sz w:val="20"/>
          <w:lang w:val="en-US"/>
        </w:rPr>
        <w:t>This article is part of the issue</w:t>
      </w:r>
      <w:r>
        <w:rPr>
          <w:sz w:val="20"/>
          <w:lang w:val="en-US"/>
        </w:rPr>
        <w:t xml:space="preserve"> “</w:t>
      </w:r>
      <w:r w:rsidRPr="000476D7">
        <w:rPr>
          <w:sz w:val="20"/>
          <w:lang w:val="en-US"/>
        </w:rPr>
        <w:t>Global Cybersecurity: New Directions in Theory and Methods</w:t>
      </w:r>
      <w:r>
        <w:rPr>
          <w:sz w:val="20"/>
          <w:lang w:val="en-US"/>
        </w:rPr>
        <w:t xml:space="preserve">”, edited by Tim Stevens </w:t>
      </w:r>
      <w:r w:rsidRPr="000476D7">
        <w:rPr>
          <w:sz w:val="20"/>
          <w:lang w:val="en-US"/>
        </w:rPr>
        <w:t>(King</w:t>
      </w:r>
      <w:r>
        <w:rPr>
          <w:sz w:val="20"/>
          <w:lang w:val="en-US"/>
        </w:rPr>
        <w:t>’</w:t>
      </w:r>
      <w:r w:rsidRPr="000476D7">
        <w:rPr>
          <w:sz w:val="20"/>
          <w:lang w:val="en-US"/>
        </w:rPr>
        <w:t>s College London, UK)</w:t>
      </w:r>
      <w:r>
        <w:rPr>
          <w:sz w:val="20"/>
          <w:lang w:val="en-US"/>
        </w:rPr>
        <w:t>.</w:t>
      </w:r>
    </w:p>
    <w:p w14:paraId="56E7B0E9" w14:textId="4A1733A2" w:rsidR="000A1A9E" w:rsidRPr="00CB66E3" w:rsidRDefault="005B31BD" w:rsidP="000A1A9E">
      <w:pPr>
        <w:pBdr>
          <w:bottom w:val="single" w:sz="4" w:space="1" w:color="auto"/>
        </w:pBdr>
        <w:spacing w:before="240" w:after="0" w:line="240" w:lineRule="auto"/>
        <w:jc w:val="both"/>
        <w:rPr>
          <w:sz w:val="20"/>
          <w:lang w:val="en-GB"/>
        </w:rPr>
      </w:pPr>
      <w:r w:rsidRPr="00CB66E3">
        <w:rPr>
          <w:sz w:val="20"/>
          <w:lang w:val="en-GB"/>
        </w:rPr>
        <w:t xml:space="preserve">© </w:t>
      </w:r>
      <w:r w:rsidR="00BA4B16" w:rsidRPr="00CB66E3">
        <w:rPr>
          <w:sz w:val="20"/>
          <w:lang w:val="en-GB"/>
        </w:rPr>
        <w:t>2018</w:t>
      </w:r>
      <w:r w:rsidRPr="00CB66E3">
        <w:rPr>
          <w:sz w:val="20"/>
          <w:lang w:val="en-GB"/>
        </w:rPr>
        <w:t xml:space="preserve"> by the author</w:t>
      </w:r>
      <w:r w:rsidR="001F72F7">
        <w:rPr>
          <w:sz w:val="20"/>
          <w:lang w:val="en-GB"/>
        </w:rPr>
        <w:t>s</w:t>
      </w:r>
      <w:r w:rsidRPr="00CB66E3">
        <w:rPr>
          <w:sz w:val="20"/>
          <w:lang w:val="en-GB"/>
        </w:rPr>
        <w:t>; licensee Cogitatio (Lisbon, Portugal). This article is licensed under a Creative Commons Attribution 4.0 International License (CC BY).</w:t>
      </w:r>
    </w:p>
    <w:p w14:paraId="117AB875" w14:textId="77777777" w:rsidR="000A1A9E" w:rsidRPr="00CB66E3" w:rsidRDefault="000A1A9E" w:rsidP="000A1A9E">
      <w:pPr>
        <w:pBdr>
          <w:bottom w:val="single" w:sz="4" w:space="1" w:color="auto"/>
        </w:pBdr>
        <w:spacing w:after="0" w:line="240" w:lineRule="auto"/>
        <w:jc w:val="both"/>
        <w:rPr>
          <w:sz w:val="18"/>
          <w:lang w:val="en-GB"/>
        </w:rPr>
      </w:pPr>
    </w:p>
    <w:p w14:paraId="2892B403" w14:textId="71D32C53" w:rsidR="00DB7B43" w:rsidRPr="00CB66E3" w:rsidRDefault="00D84E76" w:rsidP="004100E3">
      <w:pPr>
        <w:spacing w:before="120" w:after="120" w:line="240" w:lineRule="auto"/>
        <w:jc w:val="both"/>
        <w:rPr>
          <w:b/>
          <w:sz w:val="20"/>
          <w:szCs w:val="18"/>
          <w:lang w:val="en-GB"/>
        </w:rPr>
      </w:pPr>
      <w:r w:rsidRPr="00CB66E3">
        <w:rPr>
          <w:b/>
          <w:sz w:val="20"/>
          <w:szCs w:val="18"/>
          <w:lang w:val="en-GB"/>
        </w:rPr>
        <w:t>1. Introduction</w:t>
      </w:r>
    </w:p>
    <w:p w14:paraId="789D1B6D" w14:textId="5B5C748A" w:rsidR="00BB5AF4" w:rsidRDefault="00091B80" w:rsidP="00B141F6">
      <w:pPr>
        <w:jc w:val="both"/>
        <w:rPr>
          <w:sz w:val="20"/>
          <w:szCs w:val="20"/>
          <w:lang w:val="en-GB"/>
        </w:rPr>
      </w:pPr>
      <w:r w:rsidRPr="00CB66E3">
        <w:rPr>
          <w:sz w:val="20"/>
          <w:szCs w:val="20"/>
          <w:lang w:val="en-GB"/>
        </w:rPr>
        <w:t>Assumptions are made by government and technology providers about the power relationships that shape the use of technological security controls, and about the norms under which technology usage occur</w:t>
      </w:r>
      <w:r>
        <w:rPr>
          <w:sz w:val="20"/>
          <w:szCs w:val="20"/>
          <w:lang w:val="en-GB"/>
        </w:rPr>
        <w:t>s</w:t>
      </w:r>
      <w:r w:rsidRPr="00CB66E3">
        <w:rPr>
          <w:sz w:val="20"/>
          <w:szCs w:val="20"/>
          <w:lang w:val="en-GB"/>
        </w:rPr>
        <w:t xml:space="preserve">. These assumptions are coloured by notions of sovereignty and the importance of not only protecting boundaries (including national borders) in whatever space they manifest themselves (digital or otherwise) but also in demonstrating the </w:t>
      </w:r>
      <w:r w:rsidR="00EB7FD9">
        <w:rPr>
          <w:sz w:val="20"/>
          <w:szCs w:val="20"/>
          <w:lang w:val="en-GB"/>
        </w:rPr>
        <w:t xml:space="preserve">exclusive </w:t>
      </w:r>
      <w:r w:rsidRPr="00CB66E3">
        <w:rPr>
          <w:sz w:val="20"/>
          <w:szCs w:val="20"/>
          <w:lang w:val="en-GB"/>
        </w:rPr>
        <w:t xml:space="preserve">control that legitimizes the existence and the authority of the state. </w:t>
      </w:r>
      <w:r w:rsidR="00DB7B43" w:rsidRPr="00CB66E3">
        <w:rPr>
          <w:sz w:val="20"/>
          <w:szCs w:val="20"/>
          <w:lang w:val="en-GB"/>
        </w:rPr>
        <w:t xml:space="preserve">In this paper, we </w:t>
      </w:r>
      <w:r w:rsidR="00BB5AF4">
        <w:rPr>
          <w:sz w:val="20"/>
          <w:szCs w:val="20"/>
          <w:lang w:val="en-GB"/>
        </w:rPr>
        <w:t>present</w:t>
      </w:r>
      <w:r w:rsidR="00BB5AF4" w:rsidRPr="00CB66E3">
        <w:rPr>
          <w:sz w:val="20"/>
          <w:szCs w:val="20"/>
          <w:lang w:val="en-GB"/>
        </w:rPr>
        <w:t xml:space="preserve"> a case study</w:t>
      </w:r>
      <w:r w:rsidR="00BB5AF4">
        <w:rPr>
          <w:sz w:val="20"/>
          <w:szCs w:val="20"/>
          <w:lang w:val="en-GB"/>
        </w:rPr>
        <w:t xml:space="preserve"> that </w:t>
      </w:r>
      <w:r w:rsidR="00F55F8A">
        <w:rPr>
          <w:sz w:val="20"/>
          <w:szCs w:val="20"/>
          <w:lang w:val="en-GB"/>
        </w:rPr>
        <w:t xml:space="preserve">examined </w:t>
      </w:r>
      <w:r w:rsidR="00F56212">
        <w:rPr>
          <w:sz w:val="20"/>
          <w:szCs w:val="20"/>
          <w:lang w:val="en-GB"/>
        </w:rPr>
        <w:t xml:space="preserve">how a community might work together using a digital information sharing platform to respond to </w:t>
      </w:r>
      <w:r w:rsidR="00F55F8A">
        <w:rPr>
          <w:sz w:val="20"/>
          <w:szCs w:val="20"/>
          <w:lang w:val="en-GB"/>
        </w:rPr>
        <w:t>the pressures of welfare policy change</w:t>
      </w:r>
      <w:r w:rsidR="00156E49">
        <w:rPr>
          <w:sz w:val="20"/>
          <w:szCs w:val="20"/>
          <w:lang w:val="en-GB"/>
        </w:rPr>
        <w:t xml:space="preserve">. </w:t>
      </w:r>
      <w:r w:rsidR="00F55F8A">
        <w:rPr>
          <w:sz w:val="20"/>
          <w:szCs w:val="20"/>
          <w:lang w:val="en-GB"/>
        </w:rPr>
        <w:t xml:space="preserve">Insights gained from this case study </w:t>
      </w:r>
      <w:r w:rsidR="00EB7FD9">
        <w:rPr>
          <w:sz w:val="20"/>
          <w:szCs w:val="20"/>
          <w:lang w:val="en-GB"/>
        </w:rPr>
        <w:t>cast light</w:t>
      </w:r>
      <w:r w:rsidR="00E7666A">
        <w:rPr>
          <w:sz w:val="20"/>
          <w:szCs w:val="20"/>
          <w:lang w:val="en-GB"/>
        </w:rPr>
        <w:t xml:space="preserve"> on</w:t>
      </w:r>
      <w:r w:rsidR="001D783A">
        <w:rPr>
          <w:sz w:val="20"/>
          <w:szCs w:val="20"/>
          <w:lang w:val="en-GB"/>
        </w:rPr>
        <w:t xml:space="preserve"> the relationships between the security of the digital infrastructure and the security of the people using that infrastructure</w:t>
      </w:r>
      <w:r w:rsidR="00EB7FD9">
        <w:rPr>
          <w:sz w:val="20"/>
          <w:szCs w:val="20"/>
          <w:lang w:val="en-GB"/>
        </w:rPr>
        <w:t xml:space="preserve"> </w:t>
      </w:r>
      <w:r w:rsidR="00EB7FD9" w:rsidRPr="002008C0">
        <w:rPr>
          <w:i/>
          <w:sz w:val="20"/>
          <w:szCs w:val="20"/>
          <w:lang w:val="en-GB"/>
        </w:rPr>
        <w:t>as they perceive it</w:t>
      </w:r>
      <w:r w:rsidR="0028638B">
        <w:rPr>
          <w:sz w:val="20"/>
          <w:szCs w:val="20"/>
          <w:lang w:val="en-GB"/>
        </w:rPr>
        <w:t xml:space="preserve">. </w:t>
      </w:r>
      <w:r w:rsidR="004817B1">
        <w:rPr>
          <w:sz w:val="20"/>
          <w:szCs w:val="20"/>
          <w:lang w:val="en-GB"/>
        </w:rPr>
        <w:t>Contrary to the typical start point for the security of such a platform</w:t>
      </w:r>
      <w:r w:rsidR="00D21299">
        <w:rPr>
          <w:sz w:val="20"/>
          <w:szCs w:val="20"/>
          <w:lang w:val="en-GB"/>
        </w:rPr>
        <w:t>,</w:t>
      </w:r>
      <w:r w:rsidR="004817B1">
        <w:rPr>
          <w:sz w:val="20"/>
          <w:szCs w:val="20"/>
          <w:lang w:val="en-GB"/>
        </w:rPr>
        <w:t xml:space="preserve"> which might best </w:t>
      </w:r>
      <w:r w:rsidR="001257D8">
        <w:rPr>
          <w:sz w:val="20"/>
          <w:szCs w:val="20"/>
          <w:lang w:val="en-GB"/>
        </w:rPr>
        <w:t>be</w:t>
      </w:r>
      <w:r w:rsidR="004817B1">
        <w:rPr>
          <w:sz w:val="20"/>
          <w:szCs w:val="20"/>
          <w:lang w:val="en-GB"/>
        </w:rPr>
        <w:t xml:space="preserve"> described as controls to protect the data and the technologies, the community start point was to build networks of trust</w:t>
      </w:r>
      <w:r w:rsidR="00EB7D3F">
        <w:rPr>
          <w:sz w:val="20"/>
          <w:szCs w:val="20"/>
          <w:lang w:val="en-GB"/>
        </w:rPr>
        <w:t xml:space="preserve"> and collaboration</w:t>
      </w:r>
      <w:r w:rsidR="004817B1">
        <w:rPr>
          <w:sz w:val="20"/>
          <w:szCs w:val="20"/>
          <w:lang w:val="en-GB"/>
        </w:rPr>
        <w:t xml:space="preserve"> </w:t>
      </w:r>
      <w:r w:rsidR="004817B1">
        <w:rPr>
          <w:sz w:val="20"/>
          <w:szCs w:val="20"/>
          <w:lang w:val="en-GB"/>
        </w:rPr>
        <w:lastRenderedPageBreak/>
        <w:t xml:space="preserve">into which the digital sharing technologies could be </w:t>
      </w:r>
      <w:r w:rsidR="00EB7FD9">
        <w:rPr>
          <w:sz w:val="20"/>
          <w:szCs w:val="20"/>
          <w:lang w:val="en-GB"/>
        </w:rPr>
        <w:t xml:space="preserve">productively </w:t>
      </w:r>
      <w:r w:rsidR="004817B1">
        <w:rPr>
          <w:sz w:val="20"/>
          <w:szCs w:val="20"/>
          <w:lang w:val="en-GB"/>
        </w:rPr>
        <w:t xml:space="preserve">deployed. </w:t>
      </w:r>
      <w:r w:rsidR="00D21299">
        <w:rPr>
          <w:sz w:val="20"/>
          <w:szCs w:val="20"/>
          <w:lang w:val="en-GB"/>
        </w:rPr>
        <w:t xml:space="preserve">Our conclusions are that whereas </w:t>
      </w:r>
      <w:r w:rsidR="00F56212">
        <w:rPr>
          <w:sz w:val="20"/>
          <w:szCs w:val="20"/>
          <w:lang w:val="en-GB"/>
        </w:rPr>
        <w:t xml:space="preserve">theories of </w:t>
      </w:r>
      <w:r w:rsidR="00226CBF">
        <w:rPr>
          <w:sz w:val="20"/>
          <w:szCs w:val="20"/>
          <w:lang w:val="en-GB"/>
        </w:rPr>
        <w:t xml:space="preserve">security </w:t>
      </w:r>
      <w:r w:rsidR="00F56212">
        <w:rPr>
          <w:sz w:val="20"/>
          <w:szCs w:val="20"/>
          <w:lang w:val="en-GB"/>
        </w:rPr>
        <w:t xml:space="preserve">focus on the relationships between the political, the social, the economic and the technological, </w:t>
      </w:r>
      <w:r w:rsidR="00B574B7">
        <w:rPr>
          <w:sz w:val="20"/>
          <w:szCs w:val="20"/>
          <w:lang w:val="en-GB"/>
        </w:rPr>
        <w:t xml:space="preserve">the application of cybersecurity controls </w:t>
      </w:r>
      <w:r w:rsidR="00C00AC2">
        <w:rPr>
          <w:sz w:val="20"/>
          <w:szCs w:val="20"/>
          <w:lang w:val="en-GB"/>
        </w:rPr>
        <w:t xml:space="preserve">is often </w:t>
      </w:r>
      <w:r w:rsidR="0062774E">
        <w:rPr>
          <w:sz w:val="20"/>
          <w:szCs w:val="20"/>
          <w:lang w:val="en-GB"/>
        </w:rPr>
        <w:t>focused on the</w:t>
      </w:r>
      <w:r w:rsidR="00C00AC2">
        <w:rPr>
          <w:sz w:val="20"/>
          <w:szCs w:val="20"/>
          <w:lang w:val="en-GB"/>
        </w:rPr>
        <w:t xml:space="preserve"> </w:t>
      </w:r>
      <w:r w:rsidR="00E7666A">
        <w:rPr>
          <w:sz w:val="20"/>
          <w:szCs w:val="20"/>
          <w:lang w:val="en-GB"/>
        </w:rPr>
        <w:t xml:space="preserve">technical or physical protection </w:t>
      </w:r>
      <w:r w:rsidR="0062774E">
        <w:rPr>
          <w:sz w:val="20"/>
          <w:szCs w:val="20"/>
          <w:lang w:val="en-GB"/>
        </w:rPr>
        <w:t>of the digital infrastructure</w:t>
      </w:r>
      <w:r w:rsidR="00EB7FD9">
        <w:rPr>
          <w:sz w:val="20"/>
          <w:szCs w:val="20"/>
          <w:lang w:val="en-GB"/>
        </w:rPr>
        <w:t>, thereby missing the social part of the sociotechnical security system</w:t>
      </w:r>
      <w:r w:rsidR="006717B2">
        <w:rPr>
          <w:sz w:val="20"/>
          <w:szCs w:val="20"/>
          <w:lang w:val="en-GB"/>
        </w:rPr>
        <w:t xml:space="preserve">. </w:t>
      </w:r>
    </w:p>
    <w:p w14:paraId="01F8BA1E" w14:textId="6C2C26F1" w:rsidR="006467CA" w:rsidRDefault="00E7666A" w:rsidP="00CB66E3">
      <w:pPr>
        <w:rPr>
          <w:sz w:val="20"/>
          <w:szCs w:val="20"/>
          <w:lang w:val="en-GB"/>
        </w:rPr>
      </w:pPr>
      <w:r>
        <w:rPr>
          <w:sz w:val="20"/>
          <w:szCs w:val="20"/>
          <w:lang w:val="en-GB"/>
        </w:rPr>
        <w:t>The case study leads us to</w:t>
      </w:r>
      <w:r w:rsidR="00A8337B">
        <w:rPr>
          <w:sz w:val="20"/>
          <w:szCs w:val="20"/>
          <w:lang w:val="en-GB"/>
        </w:rPr>
        <w:t xml:space="preserve"> question</w:t>
      </w:r>
      <w:r>
        <w:rPr>
          <w:sz w:val="20"/>
          <w:szCs w:val="20"/>
          <w:lang w:val="en-GB"/>
        </w:rPr>
        <w:t xml:space="preserve"> </w:t>
      </w:r>
      <w:r w:rsidR="00A8337B">
        <w:rPr>
          <w:sz w:val="20"/>
          <w:szCs w:val="20"/>
          <w:lang w:val="en-GB"/>
        </w:rPr>
        <w:t xml:space="preserve">the </w:t>
      </w:r>
      <w:r w:rsidR="004817B1">
        <w:rPr>
          <w:sz w:val="20"/>
          <w:szCs w:val="20"/>
          <w:lang w:val="en-GB"/>
        </w:rPr>
        <w:t>sufficien</w:t>
      </w:r>
      <w:r w:rsidR="004D71C7">
        <w:rPr>
          <w:sz w:val="20"/>
          <w:szCs w:val="20"/>
          <w:lang w:val="en-GB"/>
        </w:rPr>
        <w:t>cy of the</w:t>
      </w:r>
      <w:r w:rsidR="004817B1">
        <w:rPr>
          <w:sz w:val="20"/>
          <w:szCs w:val="20"/>
          <w:lang w:val="en-GB"/>
        </w:rPr>
        <w:t xml:space="preserve"> security focus on the protection of the data and the digital technologies</w:t>
      </w:r>
      <w:r w:rsidR="004D71C7">
        <w:rPr>
          <w:sz w:val="20"/>
          <w:szCs w:val="20"/>
          <w:lang w:val="en-GB"/>
        </w:rPr>
        <w:t>,</w:t>
      </w:r>
      <w:r w:rsidR="00A8337B">
        <w:rPr>
          <w:sz w:val="20"/>
          <w:szCs w:val="20"/>
          <w:lang w:val="en-GB"/>
        </w:rPr>
        <w:t xml:space="preserve"> turn</w:t>
      </w:r>
      <w:r w:rsidR="004D71C7">
        <w:rPr>
          <w:sz w:val="20"/>
          <w:szCs w:val="20"/>
          <w:lang w:val="en-GB"/>
        </w:rPr>
        <w:t>ing</w:t>
      </w:r>
      <w:r w:rsidR="00A8337B">
        <w:rPr>
          <w:sz w:val="20"/>
          <w:szCs w:val="20"/>
          <w:lang w:val="en-GB"/>
        </w:rPr>
        <w:t xml:space="preserve"> to security theory</w:t>
      </w:r>
      <w:r w:rsidR="00045DDF">
        <w:rPr>
          <w:sz w:val="20"/>
          <w:szCs w:val="20"/>
          <w:lang w:val="en-GB"/>
        </w:rPr>
        <w:t>, stemming from Hobbes and also the work of Mark Neocleous (2008),</w:t>
      </w:r>
      <w:r w:rsidR="00A8337B">
        <w:rPr>
          <w:sz w:val="20"/>
          <w:szCs w:val="20"/>
          <w:lang w:val="en-GB"/>
        </w:rPr>
        <w:t xml:space="preserve"> for possible explanations of </w:t>
      </w:r>
      <w:r w:rsidR="004D71C7">
        <w:rPr>
          <w:sz w:val="20"/>
          <w:szCs w:val="20"/>
          <w:lang w:val="en-GB"/>
        </w:rPr>
        <w:t xml:space="preserve">the </w:t>
      </w:r>
      <w:r w:rsidR="00A8337B">
        <w:rPr>
          <w:sz w:val="20"/>
          <w:szCs w:val="20"/>
          <w:lang w:val="en-GB"/>
        </w:rPr>
        <w:t xml:space="preserve">apparent gap between </w:t>
      </w:r>
      <w:r w:rsidR="007C18CA">
        <w:rPr>
          <w:sz w:val="20"/>
          <w:szCs w:val="20"/>
          <w:lang w:val="en-GB"/>
        </w:rPr>
        <w:t xml:space="preserve">the state’s use of </w:t>
      </w:r>
      <w:r w:rsidR="00A8337B">
        <w:rPr>
          <w:sz w:val="20"/>
          <w:szCs w:val="20"/>
          <w:lang w:val="en-GB"/>
        </w:rPr>
        <w:t>cybersecurity technologies and the</w:t>
      </w:r>
      <w:r w:rsidR="004817B1">
        <w:rPr>
          <w:sz w:val="20"/>
          <w:szCs w:val="20"/>
          <w:lang w:val="en-GB"/>
        </w:rPr>
        <w:t xml:space="preserve"> security needs of citizens</w:t>
      </w:r>
      <w:r w:rsidR="00D708C2">
        <w:rPr>
          <w:sz w:val="20"/>
          <w:szCs w:val="20"/>
          <w:lang w:val="en-GB"/>
        </w:rPr>
        <w:t xml:space="preserve">. Cybersecurity research focuses primarily on the ‘cyber’ part of </w:t>
      </w:r>
      <w:r w:rsidR="00EB7FD9">
        <w:rPr>
          <w:sz w:val="20"/>
          <w:szCs w:val="20"/>
          <w:lang w:val="en-GB"/>
        </w:rPr>
        <w:t>‘</w:t>
      </w:r>
      <w:r w:rsidR="00D708C2">
        <w:rPr>
          <w:sz w:val="20"/>
          <w:szCs w:val="20"/>
          <w:lang w:val="en-GB"/>
        </w:rPr>
        <w:t>cybersecurity</w:t>
      </w:r>
      <w:r w:rsidR="00EB7FD9">
        <w:rPr>
          <w:sz w:val="20"/>
          <w:szCs w:val="20"/>
          <w:lang w:val="en-GB"/>
        </w:rPr>
        <w:t>’</w:t>
      </w:r>
      <w:r w:rsidR="00045DDF">
        <w:rPr>
          <w:sz w:val="20"/>
          <w:szCs w:val="20"/>
          <w:lang w:val="en-GB"/>
        </w:rPr>
        <w:t>,</w:t>
      </w:r>
      <w:r w:rsidR="00D708C2">
        <w:rPr>
          <w:sz w:val="20"/>
          <w:szCs w:val="20"/>
          <w:lang w:val="en-GB"/>
        </w:rPr>
        <w:t xml:space="preserve"> </w:t>
      </w:r>
      <w:r w:rsidR="00045DDF">
        <w:rPr>
          <w:sz w:val="20"/>
          <w:szCs w:val="20"/>
          <w:lang w:val="en-GB"/>
        </w:rPr>
        <w:t>with the unfortunate consequence that the security concerns of the citizen are literally invisible to it. W</w:t>
      </w:r>
      <w:r w:rsidR="00D708C2">
        <w:rPr>
          <w:sz w:val="20"/>
          <w:szCs w:val="20"/>
          <w:lang w:val="en-GB"/>
        </w:rPr>
        <w:t xml:space="preserve">e argue that </w:t>
      </w:r>
      <w:r w:rsidR="006467CA">
        <w:rPr>
          <w:sz w:val="20"/>
          <w:szCs w:val="20"/>
          <w:lang w:val="en-GB"/>
        </w:rPr>
        <w:t>by locating cybersecurity issue</w:t>
      </w:r>
      <w:r w:rsidR="00045DDF">
        <w:rPr>
          <w:sz w:val="20"/>
          <w:szCs w:val="20"/>
          <w:lang w:val="en-GB"/>
        </w:rPr>
        <w:t>s</w:t>
      </w:r>
      <w:r w:rsidR="006467CA">
        <w:rPr>
          <w:sz w:val="20"/>
          <w:szCs w:val="20"/>
          <w:lang w:val="en-GB"/>
        </w:rPr>
        <w:t xml:space="preserve"> within </w:t>
      </w:r>
      <w:r w:rsidR="00045DDF">
        <w:rPr>
          <w:sz w:val="20"/>
          <w:szCs w:val="20"/>
          <w:lang w:val="en-GB"/>
        </w:rPr>
        <w:t xml:space="preserve">a </w:t>
      </w:r>
      <w:r w:rsidR="006467CA">
        <w:rPr>
          <w:sz w:val="20"/>
          <w:szCs w:val="20"/>
          <w:lang w:val="en-GB"/>
        </w:rPr>
        <w:t xml:space="preserve">broader security literature </w:t>
      </w:r>
      <w:r w:rsidR="004817B1">
        <w:rPr>
          <w:sz w:val="20"/>
          <w:szCs w:val="20"/>
          <w:lang w:val="en-GB"/>
        </w:rPr>
        <w:t xml:space="preserve">that takes into account the need to respond to human </w:t>
      </w:r>
      <w:r w:rsidR="004817B1" w:rsidRPr="002008C0">
        <w:rPr>
          <w:i/>
          <w:sz w:val="20"/>
          <w:szCs w:val="20"/>
          <w:lang w:val="en-GB"/>
        </w:rPr>
        <w:t>insecurities</w:t>
      </w:r>
      <w:r w:rsidR="004817B1">
        <w:rPr>
          <w:sz w:val="20"/>
          <w:szCs w:val="20"/>
          <w:lang w:val="en-GB"/>
        </w:rPr>
        <w:t xml:space="preserve">, </w:t>
      </w:r>
      <w:r w:rsidR="006467CA">
        <w:rPr>
          <w:sz w:val="20"/>
          <w:szCs w:val="20"/>
          <w:lang w:val="en-GB"/>
        </w:rPr>
        <w:t>new direction</w:t>
      </w:r>
      <w:r w:rsidR="001257D8">
        <w:rPr>
          <w:sz w:val="20"/>
          <w:szCs w:val="20"/>
          <w:lang w:val="en-GB"/>
        </w:rPr>
        <w:t>s</w:t>
      </w:r>
      <w:r w:rsidR="004D71C7">
        <w:rPr>
          <w:sz w:val="20"/>
          <w:szCs w:val="20"/>
          <w:lang w:val="en-GB"/>
        </w:rPr>
        <w:t xml:space="preserve"> emerge</w:t>
      </w:r>
      <w:r w:rsidR="006467CA">
        <w:rPr>
          <w:sz w:val="20"/>
          <w:szCs w:val="20"/>
          <w:lang w:val="en-GB"/>
        </w:rPr>
        <w:t xml:space="preserve"> for the understand</w:t>
      </w:r>
      <w:r w:rsidR="004D71C7">
        <w:rPr>
          <w:sz w:val="20"/>
          <w:szCs w:val="20"/>
          <w:lang w:val="en-GB"/>
        </w:rPr>
        <w:t>ing of</w:t>
      </w:r>
      <w:r w:rsidR="006467CA">
        <w:rPr>
          <w:sz w:val="20"/>
          <w:szCs w:val="20"/>
          <w:lang w:val="en-GB"/>
        </w:rPr>
        <w:t xml:space="preserve"> the effectiveness of cybersecurity technologies. </w:t>
      </w:r>
      <w:r w:rsidR="00045DDF">
        <w:rPr>
          <w:sz w:val="20"/>
          <w:szCs w:val="20"/>
          <w:lang w:val="en-GB"/>
        </w:rPr>
        <w:t>When, on the other hand, we neglect the citizen-centric view, the security implications of digital service delivery are obscured.</w:t>
      </w:r>
    </w:p>
    <w:p w14:paraId="499EA781" w14:textId="24788774" w:rsidR="00DB7B43" w:rsidRPr="00CB66E3" w:rsidRDefault="00F55F8A" w:rsidP="00CB66E3">
      <w:pPr>
        <w:rPr>
          <w:sz w:val="20"/>
          <w:szCs w:val="20"/>
          <w:lang w:val="en-GB"/>
        </w:rPr>
      </w:pPr>
      <w:r>
        <w:rPr>
          <w:sz w:val="20"/>
          <w:szCs w:val="20"/>
          <w:lang w:val="en-GB"/>
        </w:rPr>
        <w:t xml:space="preserve">From the </w:t>
      </w:r>
      <w:r w:rsidR="00946A94">
        <w:rPr>
          <w:sz w:val="20"/>
          <w:szCs w:val="20"/>
          <w:lang w:val="en-GB"/>
        </w:rPr>
        <w:t xml:space="preserve">case study insights </w:t>
      </w:r>
      <w:r>
        <w:rPr>
          <w:sz w:val="20"/>
          <w:szCs w:val="20"/>
          <w:lang w:val="en-GB"/>
        </w:rPr>
        <w:t>and the subsequent literature review</w:t>
      </w:r>
      <w:r w:rsidR="00197EC4">
        <w:rPr>
          <w:sz w:val="20"/>
          <w:szCs w:val="20"/>
          <w:lang w:val="en-GB"/>
        </w:rPr>
        <w:t>, w</w:t>
      </w:r>
      <w:r w:rsidR="00DB7B43" w:rsidRPr="00CB66E3">
        <w:rPr>
          <w:sz w:val="20"/>
          <w:szCs w:val="20"/>
          <w:lang w:val="en-GB"/>
        </w:rPr>
        <w:t xml:space="preserve">e </w:t>
      </w:r>
      <w:r w:rsidR="007C18CA">
        <w:rPr>
          <w:sz w:val="20"/>
          <w:szCs w:val="20"/>
          <w:lang w:val="en-GB"/>
        </w:rPr>
        <w:t>conclude that there are</w:t>
      </w:r>
      <w:r w:rsidR="00DB7B43" w:rsidRPr="00CB66E3">
        <w:rPr>
          <w:sz w:val="20"/>
          <w:szCs w:val="20"/>
          <w:lang w:val="en-GB"/>
        </w:rPr>
        <w:t xml:space="preserve"> three main absences </w:t>
      </w:r>
      <w:r w:rsidR="00FA4AD7">
        <w:rPr>
          <w:sz w:val="20"/>
          <w:szCs w:val="20"/>
          <w:lang w:val="en-GB"/>
        </w:rPr>
        <w:t>not addressed by the current designs of</w:t>
      </w:r>
      <w:r w:rsidR="00DB7B43" w:rsidRPr="00CB66E3">
        <w:rPr>
          <w:sz w:val="20"/>
          <w:szCs w:val="20"/>
          <w:lang w:val="en-GB"/>
        </w:rPr>
        <w:t xml:space="preserve"> </w:t>
      </w:r>
      <w:r>
        <w:rPr>
          <w:sz w:val="20"/>
          <w:szCs w:val="20"/>
          <w:lang w:val="en-GB"/>
        </w:rPr>
        <w:t>cybersecurity architectures</w:t>
      </w:r>
      <w:r w:rsidR="00FA4AD7">
        <w:rPr>
          <w:sz w:val="20"/>
          <w:szCs w:val="20"/>
          <w:lang w:val="en-GB"/>
        </w:rPr>
        <w:t>. We argue that by addressing the</w:t>
      </w:r>
      <w:r w:rsidR="00C678C9">
        <w:rPr>
          <w:sz w:val="20"/>
          <w:szCs w:val="20"/>
          <w:lang w:val="en-GB"/>
        </w:rPr>
        <w:t xml:space="preserve">se </w:t>
      </w:r>
      <w:r w:rsidR="00FA4AD7">
        <w:rPr>
          <w:sz w:val="20"/>
          <w:szCs w:val="20"/>
          <w:lang w:val="en-GB"/>
        </w:rPr>
        <w:t>absences, the foundations of trust and collaboration can be built which are necessary for effective cybersecurity</w:t>
      </w:r>
      <w:r w:rsidR="00DB7B43" w:rsidRPr="00CB66E3">
        <w:rPr>
          <w:sz w:val="20"/>
          <w:szCs w:val="20"/>
          <w:lang w:val="en-GB"/>
        </w:rPr>
        <w:t>:</w:t>
      </w:r>
    </w:p>
    <w:p w14:paraId="183E05E9" w14:textId="60053379" w:rsidR="00CB66E3" w:rsidRPr="000149D8" w:rsidRDefault="00DB7B43" w:rsidP="000149D8">
      <w:pPr>
        <w:pStyle w:val="ListParagraph"/>
        <w:numPr>
          <w:ilvl w:val="1"/>
          <w:numId w:val="8"/>
        </w:numPr>
        <w:ind w:left="720"/>
        <w:jc w:val="both"/>
        <w:rPr>
          <w:sz w:val="20"/>
          <w:szCs w:val="20"/>
          <w:lang w:val="en-GB"/>
        </w:rPr>
      </w:pPr>
      <w:r w:rsidRPr="00CB66E3">
        <w:rPr>
          <w:b/>
          <w:sz w:val="20"/>
          <w:szCs w:val="20"/>
          <w:lang w:val="en-GB"/>
        </w:rPr>
        <w:t>Lack of consensus as to whose security is being addressed:</w:t>
      </w:r>
      <w:r w:rsidRPr="00CB66E3">
        <w:rPr>
          <w:sz w:val="20"/>
          <w:szCs w:val="20"/>
          <w:lang w:val="en-GB"/>
        </w:rPr>
        <w:t xml:space="preserve"> in order for security to work to the public benefit, </w:t>
      </w:r>
      <w:r w:rsidR="002C4C90">
        <w:rPr>
          <w:sz w:val="20"/>
          <w:szCs w:val="20"/>
          <w:lang w:val="en-GB"/>
        </w:rPr>
        <w:t>it is apparent that citizens</w:t>
      </w:r>
      <w:r w:rsidR="002C4C90" w:rsidRPr="00CB66E3">
        <w:rPr>
          <w:sz w:val="20"/>
          <w:szCs w:val="20"/>
          <w:lang w:val="en-GB"/>
        </w:rPr>
        <w:t xml:space="preserve"> </w:t>
      </w:r>
      <w:r w:rsidRPr="00CB66E3">
        <w:rPr>
          <w:sz w:val="20"/>
          <w:szCs w:val="20"/>
          <w:lang w:val="en-GB"/>
        </w:rPr>
        <w:t xml:space="preserve">need to feel secure as a result of its operation. If they do not, then they take security into their own hands, which might increase their local security at the cost of undermining their ability to cooperate with outsiders. Therefore, concentrating on the security and well-being of its citizens is also for the benefit of the state. </w:t>
      </w:r>
    </w:p>
    <w:p w14:paraId="2CFE2EEB" w14:textId="41048833" w:rsidR="00CB66E3" w:rsidRPr="000149D8" w:rsidRDefault="00DB7B43" w:rsidP="000149D8">
      <w:pPr>
        <w:pStyle w:val="ListParagraph"/>
        <w:numPr>
          <w:ilvl w:val="1"/>
          <w:numId w:val="8"/>
        </w:numPr>
        <w:ind w:left="720"/>
        <w:jc w:val="both"/>
        <w:rPr>
          <w:sz w:val="20"/>
          <w:szCs w:val="20"/>
          <w:lang w:val="en-GB"/>
        </w:rPr>
      </w:pPr>
      <w:r w:rsidRPr="00CB66E3">
        <w:rPr>
          <w:b/>
          <w:sz w:val="20"/>
          <w:szCs w:val="20"/>
          <w:lang w:val="en-GB"/>
        </w:rPr>
        <w:t>Lack of evidence of equivalence between the mechanisms that control behaviour:</w:t>
      </w:r>
      <w:r w:rsidRPr="00CB66E3">
        <w:rPr>
          <w:sz w:val="20"/>
          <w:szCs w:val="20"/>
          <w:lang w:val="en-GB"/>
        </w:rPr>
        <w:t xml:space="preserve"> we argue that when designing a digital service, a control </w:t>
      </w:r>
      <w:r w:rsidR="002B1C59">
        <w:rPr>
          <w:sz w:val="20"/>
          <w:szCs w:val="20"/>
          <w:lang w:val="en-GB"/>
        </w:rPr>
        <w:t>is not independent</w:t>
      </w:r>
      <w:r w:rsidR="002C4C90">
        <w:rPr>
          <w:sz w:val="20"/>
          <w:szCs w:val="20"/>
          <w:lang w:val="en-GB"/>
        </w:rPr>
        <w:t xml:space="preserve"> of the medium used to implement it</w:t>
      </w:r>
      <w:r w:rsidR="002B1C59">
        <w:rPr>
          <w:sz w:val="20"/>
          <w:szCs w:val="20"/>
          <w:lang w:val="en-GB"/>
        </w:rPr>
        <w:t xml:space="preserve"> and a change in medium </w:t>
      </w:r>
      <w:r w:rsidRPr="00CB66E3">
        <w:rPr>
          <w:sz w:val="20"/>
          <w:szCs w:val="20"/>
          <w:lang w:val="en-GB"/>
        </w:rPr>
        <w:t>change</w:t>
      </w:r>
      <w:r w:rsidR="002B1C59">
        <w:rPr>
          <w:sz w:val="20"/>
          <w:szCs w:val="20"/>
          <w:lang w:val="en-GB"/>
        </w:rPr>
        <w:t>s</w:t>
      </w:r>
      <w:r w:rsidRPr="00CB66E3">
        <w:rPr>
          <w:sz w:val="20"/>
          <w:szCs w:val="20"/>
          <w:lang w:val="en-GB"/>
        </w:rPr>
        <w:t xml:space="preserve"> some of the qualities of the control, leading to changes in its effectiveness. For example, when we replace socially-based controls with technology we lose a whole layer of communicative structures when certain options are simply ‘greyed out’</w:t>
      </w:r>
      <w:r w:rsidR="002C4C90">
        <w:rPr>
          <w:sz w:val="20"/>
          <w:szCs w:val="20"/>
          <w:lang w:val="en-GB"/>
        </w:rPr>
        <w:t xml:space="preserve"> online.</w:t>
      </w:r>
    </w:p>
    <w:p w14:paraId="29E8229B" w14:textId="6A74199F" w:rsidR="00DB7B43" w:rsidRPr="00CB66E3" w:rsidRDefault="00DB7B43" w:rsidP="000D4BAF">
      <w:pPr>
        <w:pStyle w:val="ListParagraph"/>
        <w:numPr>
          <w:ilvl w:val="1"/>
          <w:numId w:val="8"/>
        </w:numPr>
        <w:ind w:left="720"/>
        <w:jc w:val="both"/>
        <w:rPr>
          <w:sz w:val="20"/>
          <w:szCs w:val="20"/>
          <w:lang w:val="en-GB"/>
        </w:rPr>
      </w:pPr>
      <w:r w:rsidRPr="00CB66E3">
        <w:rPr>
          <w:b/>
          <w:sz w:val="20"/>
          <w:szCs w:val="20"/>
          <w:lang w:val="en-GB"/>
        </w:rPr>
        <w:t xml:space="preserve">One-way </w:t>
      </w:r>
      <w:r w:rsidR="00E8121A">
        <w:rPr>
          <w:b/>
          <w:sz w:val="20"/>
          <w:szCs w:val="20"/>
          <w:lang w:val="en-GB"/>
        </w:rPr>
        <w:t>legibility</w:t>
      </w:r>
      <w:r w:rsidRPr="00CB66E3">
        <w:rPr>
          <w:b/>
          <w:sz w:val="20"/>
          <w:szCs w:val="20"/>
          <w:lang w:val="en-GB"/>
        </w:rPr>
        <w:t>:</w:t>
      </w:r>
      <w:r w:rsidRPr="00CB66E3">
        <w:rPr>
          <w:sz w:val="20"/>
          <w:szCs w:val="20"/>
          <w:lang w:val="en-GB"/>
        </w:rPr>
        <w:t xml:space="preserve"> the state has a need to make the citizen </w:t>
      </w:r>
      <w:r w:rsidR="00B53F20">
        <w:rPr>
          <w:sz w:val="20"/>
          <w:szCs w:val="20"/>
          <w:lang w:val="en-GB"/>
        </w:rPr>
        <w:t>readable</w:t>
      </w:r>
      <w:r w:rsidR="00B53F20" w:rsidRPr="00CB66E3">
        <w:rPr>
          <w:sz w:val="20"/>
          <w:szCs w:val="20"/>
          <w:lang w:val="en-GB"/>
        </w:rPr>
        <w:t xml:space="preserve"> </w:t>
      </w:r>
      <w:r w:rsidR="002C4C90">
        <w:rPr>
          <w:sz w:val="20"/>
          <w:szCs w:val="20"/>
          <w:lang w:val="en-GB"/>
        </w:rPr>
        <w:t>by</w:t>
      </w:r>
      <w:r w:rsidRPr="00CB66E3">
        <w:rPr>
          <w:sz w:val="20"/>
          <w:szCs w:val="20"/>
          <w:lang w:val="en-GB"/>
        </w:rPr>
        <w:t xml:space="preserve"> its standardised processes</w:t>
      </w:r>
      <w:r w:rsidR="007C5B7D">
        <w:rPr>
          <w:sz w:val="20"/>
          <w:szCs w:val="20"/>
          <w:lang w:val="en-GB"/>
        </w:rPr>
        <w:t xml:space="preserve"> (Scott 1998)</w:t>
      </w:r>
      <w:r w:rsidRPr="00CB66E3">
        <w:rPr>
          <w:sz w:val="20"/>
          <w:szCs w:val="20"/>
          <w:lang w:val="en-GB"/>
        </w:rPr>
        <w:t xml:space="preserve"> but no corresponding imperative to make itself</w:t>
      </w:r>
      <w:r w:rsidR="002C4C90">
        <w:rPr>
          <w:sz w:val="20"/>
          <w:szCs w:val="20"/>
          <w:lang w:val="en-GB"/>
        </w:rPr>
        <w:t xml:space="preserve"> or its systems</w:t>
      </w:r>
      <w:r w:rsidRPr="00CB66E3">
        <w:rPr>
          <w:sz w:val="20"/>
          <w:szCs w:val="20"/>
          <w:lang w:val="en-GB"/>
        </w:rPr>
        <w:t xml:space="preserve"> </w:t>
      </w:r>
      <w:r w:rsidR="00E8121A">
        <w:rPr>
          <w:sz w:val="20"/>
          <w:szCs w:val="20"/>
          <w:lang w:val="en-GB"/>
        </w:rPr>
        <w:t>legible</w:t>
      </w:r>
      <w:r w:rsidR="007C18CA" w:rsidRPr="00CB66E3">
        <w:rPr>
          <w:sz w:val="20"/>
          <w:szCs w:val="20"/>
          <w:lang w:val="en-GB"/>
        </w:rPr>
        <w:t xml:space="preserve"> </w:t>
      </w:r>
      <w:r w:rsidRPr="00CB66E3">
        <w:rPr>
          <w:sz w:val="20"/>
          <w:szCs w:val="20"/>
          <w:lang w:val="en-GB"/>
        </w:rPr>
        <w:t xml:space="preserve">to the citizen. However, </w:t>
      </w:r>
      <w:r w:rsidR="002C4C90">
        <w:rPr>
          <w:sz w:val="20"/>
          <w:szCs w:val="20"/>
          <w:lang w:val="en-GB"/>
        </w:rPr>
        <w:t xml:space="preserve">it is apparent that </w:t>
      </w:r>
      <w:r w:rsidRPr="00CB66E3">
        <w:rPr>
          <w:sz w:val="20"/>
          <w:szCs w:val="20"/>
          <w:lang w:val="en-GB"/>
        </w:rPr>
        <w:t>th</w:t>
      </w:r>
      <w:r w:rsidR="007C18CA">
        <w:rPr>
          <w:sz w:val="20"/>
          <w:szCs w:val="20"/>
          <w:lang w:val="en-GB"/>
        </w:rPr>
        <w:t>is</w:t>
      </w:r>
      <w:r w:rsidRPr="00CB66E3">
        <w:rPr>
          <w:sz w:val="20"/>
          <w:szCs w:val="20"/>
          <w:lang w:val="en-GB"/>
        </w:rPr>
        <w:t xml:space="preserve"> lack of </w:t>
      </w:r>
      <w:r w:rsidR="00E8121A">
        <w:rPr>
          <w:sz w:val="20"/>
          <w:szCs w:val="20"/>
          <w:lang w:val="en-GB"/>
        </w:rPr>
        <w:t>legibility</w:t>
      </w:r>
      <w:r w:rsidRPr="00CB66E3">
        <w:rPr>
          <w:sz w:val="20"/>
          <w:szCs w:val="20"/>
          <w:lang w:val="en-GB"/>
        </w:rPr>
        <w:t xml:space="preserve"> makes the citizen feel insecure – particularly when the citizen feels that the state views it as the threat.</w:t>
      </w:r>
    </w:p>
    <w:p w14:paraId="3ED51DCE" w14:textId="1E753C68" w:rsidR="00DB7B43" w:rsidRDefault="009E7A87" w:rsidP="003D33FF">
      <w:pPr>
        <w:rPr>
          <w:sz w:val="20"/>
          <w:szCs w:val="20"/>
          <w:lang w:val="en-GB"/>
        </w:rPr>
      </w:pPr>
      <w:r>
        <w:rPr>
          <w:sz w:val="20"/>
          <w:szCs w:val="20"/>
          <w:lang w:val="en-GB"/>
        </w:rPr>
        <w:t>We first present an</w:t>
      </w:r>
      <w:r w:rsidR="006467CA">
        <w:rPr>
          <w:sz w:val="20"/>
          <w:szCs w:val="20"/>
          <w:lang w:val="en-GB"/>
        </w:rPr>
        <w:t xml:space="preserve"> inductive consideration of a </w:t>
      </w:r>
      <w:r w:rsidR="00B52D91">
        <w:rPr>
          <w:sz w:val="20"/>
          <w:szCs w:val="20"/>
          <w:lang w:val="en-GB"/>
        </w:rPr>
        <w:t xml:space="preserve">highly local </w:t>
      </w:r>
      <w:r w:rsidR="006467CA">
        <w:rPr>
          <w:sz w:val="20"/>
          <w:szCs w:val="20"/>
          <w:lang w:val="en-GB"/>
        </w:rPr>
        <w:t>case study</w:t>
      </w:r>
      <w:r>
        <w:rPr>
          <w:sz w:val="20"/>
          <w:szCs w:val="20"/>
          <w:lang w:val="en-GB"/>
        </w:rPr>
        <w:t>. Whilst such a case study</w:t>
      </w:r>
      <w:r w:rsidR="006467CA">
        <w:rPr>
          <w:sz w:val="20"/>
          <w:szCs w:val="20"/>
          <w:lang w:val="en-GB"/>
        </w:rPr>
        <w:t xml:space="preserve"> does not </w:t>
      </w:r>
      <w:r w:rsidR="00B52D91">
        <w:rPr>
          <w:sz w:val="20"/>
          <w:szCs w:val="20"/>
          <w:lang w:val="en-GB"/>
        </w:rPr>
        <w:t xml:space="preserve">of course </w:t>
      </w:r>
      <w:r w:rsidR="006467CA">
        <w:rPr>
          <w:sz w:val="20"/>
          <w:szCs w:val="20"/>
          <w:lang w:val="en-GB"/>
        </w:rPr>
        <w:t>allow us to generalise the findings</w:t>
      </w:r>
      <w:r>
        <w:rPr>
          <w:sz w:val="20"/>
          <w:szCs w:val="20"/>
          <w:lang w:val="en-GB"/>
        </w:rPr>
        <w:t>,</w:t>
      </w:r>
      <w:r w:rsidR="006467CA">
        <w:rPr>
          <w:sz w:val="20"/>
          <w:szCs w:val="20"/>
          <w:lang w:val="en-GB"/>
        </w:rPr>
        <w:t xml:space="preserve"> it does </w:t>
      </w:r>
      <w:r w:rsidR="007C5B7D">
        <w:rPr>
          <w:sz w:val="20"/>
          <w:szCs w:val="20"/>
          <w:lang w:val="en-GB"/>
        </w:rPr>
        <w:t>compel us to problematise the focus on the security of the technology at the expense of the security of the citizen. We will then</w:t>
      </w:r>
      <w:r w:rsidR="006467CA">
        <w:rPr>
          <w:sz w:val="20"/>
          <w:szCs w:val="20"/>
          <w:lang w:val="en-GB"/>
        </w:rPr>
        <w:t xml:space="preserve"> consider the contribution that </w:t>
      </w:r>
      <w:r>
        <w:rPr>
          <w:sz w:val="20"/>
          <w:szCs w:val="20"/>
          <w:lang w:val="en-GB"/>
        </w:rPr>
        <w:t xml:space="preserve">theorising about social, economic and political security </w:t>
      </w:r>
      <w:r w:rsidR="006467CA">
        <w:rPr>
          <w:sz w:val="20"/>
          <w:szCs w:val="20"/>
          <w:lang w:val="en-GB"/>
        </w:rPr>
        <w:t>can make</w:t>
      </w:r>
      <w:r w:rsidR="00197EC4">
        <w:rPr>
          <w:sz w:val="20"/>
          <w:szCs w:val="20"/>
          <w:lang w:val="en-GB"/>
        </w:rPr>
        <w:t xml:space="preserve"> to the </w:t>
      </w:r>
      <w:r>
        <w:rPr>
          <w:sz w:val="20"/>
          <w:szCs w:val="20"/>
          <w:lang w:val="en-GB"/>
        </w:rPr>
        <w:t xml:space="preserve">design of </w:t>
      </w:r>
      <w:r w:rsidR="00197EC4">
        <w:rPr>
          <w:sz w:val="20"/>
          <w:szCs w:val="20"/>
          <w:lang w:val="en-GB"/>
        </w:rPr>
        <w:t>cybersecurity</w:t>
      </w:r>
      <w:r w:rsidR="00C678C9">
        <w:rPr>
          <w:sz w:val="20"/>
          <w:szCs w:val="20"/>
          <w:lang w:val="en-GB"/>
        </w:rPr>
        <w:t xml:space="preserve"> technologies</w:t>
      </w:r>
      <w:r w:rsidR="006467CA">
        <w:rPr>
          <w:sz w:val="20"/>
          <w:szCs w:val="20"/>
          <w:lang w:val="en-GB"/>
        </w:rPr>
        <w:t>.</w:t>
      </w:r>
    </w:p>
    <w:p w14:paraId="64F02270" w14:textId="092F8B22" w:rsidR="00C75627" w:rsidRPr="00CB66E3" w:rsidRDefault="00977D7A" w:rsidP="00C75627">
      <w:pPr>
        <w:rPr>
          <w:b/>
          <w:sz w:val="20"/>
          <w:szCs w:val="20"/>
          <w:lang w:val="en-GB"/>
        </w:rPr>
      </w:pPr>
      <w:r>
        <w:rPr>
          <w:b/>
          <w:sz w:val="20"/>
          <w:szCs w:val="20"/>
          <w:lang w:val="en-GB"/>
        </w:rPr>
        <w:t>2</w:t>
      </w:r>
      <w:r w:rsidR="00C75627" w:rsidRPr="00CB66E3">
        <w:rPr>
          <w:b/>
          <w:sz w:val="20"/>
          <w:szCs w:val="20"/>
          <w:lang w:val="en-GB"/>
        </w:rPr>
        <w:t xml:space="preserve">. </w:t>
      </w:r>
      <w:r w:rsidR="00FF2E5B">
        <w:rPr>
          <w:b/>
          <w:sz w:val="20"/>
          <w:szCs w:val="20"/>
          <w:lang w:val="en-GB"/>
        </w:rPr>
        <w:t>A Community Information Sharing Platfor</w:t>
      </w:r>
      <w:r w:rsidR="00E8121A">
        <w:rPr>
          <w:b/>
          <w:sz w:val="20"/>
          <w:szCs w:val="20"/>
          <w:lang w:val="en-GB"/>
        </w:rPr>
        <w:t>m</w:t>
      </w:r>
      <w:r w:rsidR="00C75627" w:rsidRPr="00CB66E3">
        <w:rPr>
          <w:b/>
          <w:sz w:val="20"/>
          <w:szCs w:val="20"/>
          <w:lang w:val="en-GB"/>
        </w:rPr>
        <w:t>: A Case Study</w:t>
      </w:r>
    </w:p>
    <w:p w14:paraId="6B66031E" w14:textId="481AC638" w:rsidR="00C75627" w:rsidRPr="00CB66E3" w:rsidRDefault="00C75627" w:rsidP="00C75627">
      <w:pPr>
        <w:rPr>
          <w:sz w:val="20"/>
          <w:szCs w:val="20"/>
          <w:lang w:val="en-GB"/>
        </w:rPr>
      </w:pPr>
      <w:r w:rsidRPr="00CB66E3">
        <w:rPr>
          <w:sz w:val="20"/>
          <w:szCs w:val="20"/>
          <w:lang w:val="en-GB"/>
        </w:rPr>
        <w:t xml:space="preserve">Our case study took place </w:t>
      </w:r>
      <w:r>
        <w:rPr>
          <w:sz w:val="20"/>
          <w:szCs w:val="20"/>
          <w:lang w:val="en-GB"/>
        </w:rPr>
        <w:t>in the North East of England</w:t>
      </w:r>
      <w:r w:rsidRPr="00CB66E3">
        <w:rPr>
          <w:sz w:val="20"/>
          <w:szCs w:val="20"/>
          <w:lang w:val="en-GB"/>
        </w:rPr>
        <w:t xml:space="preserve">, </w:t>
      </w:r>
      <w:r w:rsidR="00C678C9">
        <w:rPr>
          <w:sz w:val="20"/>
          <w:szCs w:val="20"/>
          <w:lang w:val="en-GB"/>
        </w:rPr>
        <w:t xml:space="preserve">in a community </w:t>
      </w:r>
      <w:r w:rsidRPr="00CB66E3">
        <w:rPr>
          <w:sz w:val="20"/>
          <w:szCs w:val="20"/>
          <w:lang w:val="en-GB"/>
        </w:rPr>
        <w:t>suffering the effects of long-term unemployment and degrading social, physical and political infrastructure.</w:t>
      </w:r>
      <w:r w:rsidR="00E92AE3">
        <w:rPr>
          <w:sz w:val="20"/>
          <w:szCs w:val="20"/>
          <w:lang w:val="en-GB"/>
        </w:rPr>
        <w:t xml:space="preserve"> Researchers and arts organisation</w:t>
      </w:r>
      <w:r w:rsidR="00996B86">
        <w:rPr>
          <w:sz w:val="20"/>
          <w:szCs w:val="20"/>
          <w:lang w:val="en-GB"/>
        </w:rPr>
        <w:t>, Proboscis,</w:t>
      </w:r>
      <w:r w:rsidR="00E92AE3">
        <w:rPr>
          <w:sz w:val="20"/>
          <w:szCs w:val="20"/>
          <w:lang w:val="en-GB"/>
        </w:rPr>
        <w:t xml:space="preserve"> worked together to support a community group in the design of an information sharing system that would help their community respond to challenges associated with welfare change.</w:t>
      </w:r>
      <w:r w:rsidR="004F1CBD">
        <w:rPr>
          <w:sz w:val="20"/>
          <w:szCs w:val="20"/>
          <w:lang w:val="en-GB"/>
        </w:rPr>
        <w:t xml:space="preserve"> </w:t>
      </w:r>
    </w:p>
    <w:p w14:paraId="7898514C" w14:textId="4CC140CC" w:rsidR="00FF2E5B" w:rsidRDefault="00FF2E5B" w:rsidP="003B2CA3">
      <w:pPr>
        <w:rPr>
          <w:sz w:val="20"/>
          <w:szCs w:val="20"/>
          <w:lang w:val="en-GB"/>
        </w:rPr>
      </w:pPr>
      <w:r>
        <w:rPr>
          <w:sz w:val="20"/>
          <w:szCs w:val="20"/>
          <w:lang w:val="en-GB"/>
        </w:rPr>
        <w:t xml:space="preserve">The community group wanted to develop a system of information sharing that used </w:t>
      </w:r>
      <w:r w:rsidR="005B1F9A">
        <w:rPr>
          <w:sz w:val="20"/>
          <w:szCs w:val="20"/>
          <w:lang w:val="en-GB"/>
        </w:rPr>
        <w:t>digital technologies</w:t>
      </w:r>
      <w:r w:rsidR="00A5296F">
        <w:rPr>
          <w:sz w:val="20"/>
          <w:szCs w:val="20"/>
          <w:lang w:val="en-GB"/>
        </w:rPr>
        <w:t xml:space="preserve"> to enhance their capabilities to respond to welfare system changes</w:t>
      </w:r>
      <w:r w:rsidR="009E7A87">
        <w:rPr>
          <w:sz w:val="20"/>
          <w:szCs w:val="20"/>
          <w:lang w:val="en-GB"/>
        </w:rPr>
        <w:t xml:space="preserve"> and provide community support for job seeking, debt management, housing and tenancy advice and benefit claiming</w:t>
      </w:r>
      <w:r w:rsidR="005B1F9A">
        <w:rPr>
          <w:sz w:val="20"/>
          <w:szCs w:val="20"/>
          <w:lang w:val="en-GB"/>
        </w:rPr>
        <w:t>. The research team wanted</w:t>
      </w:r>
      <w:r w:rsidR="00E06C9A">
        <w:rPr>
          <w:sz w:val="20"/>
          <w:szCs w:val="20"/>
          <w:lang w:val="en-GB"/>
        </w:rPr>
        <w:t xml:space="preserve"> </w:t>
      </w:r>
      <w:r w:rsidR="005B1F9A">
        <w:rPr>
          <w:sz w:val="20"/>
          <w:szCs w:val="20"/>
          <w:lang w:val="en-GB"/>
        </w:rPr>
        <w:t>to</w:t>
      </w:r>
      <w:r w:rsidR="00E06C9A">
        <w:rPr>
          <w:sz w:val="20"/>
          <w:szCs w:val="20"/>
          <w:lang w:val="en-GB"/>
        </w:rPr>
        <w:t xml:space="preserve"> observe how such a community might design this type of information sharing system as a means to better understand individual and community securities</w:t>
      </w:r>
      <w:r w:rsidR="005B1F9A">
        <w:rPr>
          <w:sz w:val="20"/>
          <w:szCs w:val="20"/>
          <w:lang w:val="en-GB"/>
        </w:rPr>
        <w:t xml:space="preserve">. </w:t>
      </w:r>
      <w:r w:rsidR="00C75627" w:rsidRPr="00CB66E3">
        <w:rPr>
          <w:sz w:val="20"/>
          <w:szCs w:val="20"/>
          <w:lang w:val="en-GB"/>
        </w:rPr>
        <w:t xml:space="preserve">The research centred on two questions: (i) Which everyday issues become most pressing due to changes in welfare rules and the move to digital welfare delivery? (ii) How might communities work together to alleviate those pressures? </w:t>
      </w:r>
    </w:p>
    <w:p w14:paraId="337E55FB" w14:textId="2CDFA5F5" w:rsidR="009F2946" w:rsidRPr="00CB66E3" w:rsidRDefault="009F2946" w:rsidP="009F2946">
      <w:pPr>
        <w:jc w:val="both"/>
        <w:rPr>
          <w:sz w:val="20"/>
          <w:szCs w:val="20"/>
          <w:lang w:val="en-GB"/>
        </w:rPr>
      </w:pPr>
      <w:r>
        <w:rPr>
          <w:sz w:val="20"/>
          <w:szCs w:val="20"/>
          <w:lang w:val="en-GB"/>
        </w:rPr>
        <w:t>When designing the case study, researchers wanted to develop a</w:t>
      </w:r>
      <w:r w:rsidR="009F21DB">
        <w:rPr>
          <w:sz w:val="20"/>
          <w:szCs w:val="20"/>
          <w:lang w:val="en-GB"/>
        </w:rPr>
        <w:t>n</w:t>
      </w:r>
      <w:r>
        <w:rPr>
          <w:sz w:val="20"/>
          <w:szCs w:val="20"/>
          <w:lang w:val="en-GB"/>
        </w:rPr>
        <w:t xml:space="preserve"> empowering space in which participants could reflect on </w:t>
      </w:r>
      <w:r w:rsidR="00D91D0D">
        <w:rPr>
          <w:sz w:val="20"/>
          <w:szCs w:val="20"/>
          <w:lang w:val="en-GB"/>
        </w:rPr>
        <w:t xml:space="preserve">and design for </w:t>
      </w:r>
      <w:r>
        <w:rPr>
          <w:sz w:val="20"/>
          <w:szCs w:val="20"/>
          <w:lang w:val="en-GB"/>
        </w:rPr>
        <w:t xml:space="preserve">the types of support that would help them and where the interactions between the research team and participants were transparent. </w:t>
      </w:r>
      <w:r w:rsidR="00996B86">
        <w:rPr>
          <w:sz w:val="20"/>
          <w:szCs w:val="20"/>
          <w:lang w:val="en-GB"/>
        </w:rPr>
        <w:t xml:space="preserve">Accordingly, </w:t>
      </w:r>
      <w:r>
        <w:rPr>
          <w:sz w:val="20"/>
          <w:szCs w:val="20"/>
          <w:lang w:val="en-GB"/>
        </w:rPr>
        <w:t>t</w:t>
      </w:r>
      <w:r w:rsidRPr="00CB66E3">
        <w:rPr>
          <w:sz w:val="20"/>
          <w:szCs w:val="20"/>
          <w:lang w:val="en-GB"/>
        </w:rPr>
        <w:t>he research design was grounded in participatory design principles (</w:t>
      </w:r>
      <w:r w:rsidR="00D80926">
        <w:rPr>
          <w:sz w:val="20"/>
          <w:szCs w:val="20"/>
          <w:lang w:val="en-GB"/>
        </w:rPr>
        <w:t xml:space="preserve">e.g. </w:t>
      </w:r>
      <w:r w:rsidRPr="00EC041C">
        <w:rPr>
          <w:sz w:val="20"/>
          <w:szCs w:val="20"/>
          <w:lang w:val="en-GB"/>
        </w:rPr>
        <w:t>Coles-Kemp &amp; Ashenden, 2012</w:t>
      </w:r>
      <w:r>
        <w:rPr>
          <w:sz w:val="20"/>
          <w:szCs w:val="20"/>
          <w:lang w:val="en-GB"/>
        </w:rPr>
        <w:t xml:space="preserve">; </w:t>
      </w:r>
      <w:r w:rsidRPr="00EC041C">
        <w:rPr>
          <w:sz w:val="20"/>
          <w:szCs w:val="20"/>
          <w:lang w:val="en-GB"/>
        </w:rPr>
        <w:t>Vines et al</w:t>
      </w:r>
      <w:r>
        <w:rPr>
          <w:sz w:val="20"/>
          <w:szCs w:val="20"/>
          <w:lang w:val="en-GB"/>
        </w:rPr>
        <w:t>.</w:t>
      </w:r>
      <w:r w:rsidRPr="00EC041C">
        <w:rPr>
          <w:sz w:val="20"/>
          <w:szCs w:val="20"/>
          <w:lang w:val="en-GB"/>
        </w:rPr>
        <w:t>,</w:t>
      </w:r>
      <w:r>
        <w:rPr>
          <w:sz w:val="20"/>
          <w:szCs w:val="20"/>
          <w:lang w:val="en-GB"/>
        </w:rPr>
        <w:t xml:space="preserve"> 2013</w:t>
      </w:r>
      <w:r w:rsidRPr="00CB66E3">
        <w:rPr>
          <w:sz w:val="20"/>
          <w:szCs w:val="20"/>
          <w:lang w:val="en-GB"/>
        </w:rPr>
        <w:t xml:space="preserve">) that encouraged participants to co-design the research questions, to influence the design of the data gathering methods and to actively reflect on and </w:t>
      </w:r>
      <w:r w:rsidRPr="00CB66E3">
        <w:rPr>
          <w:sz w:val="20"/>
          <w:szCs w:val="20"/>
          <w:lang w:val="en-GB"/>
        </w:rPr>
        <w:lastRenderedPageBreak/>
        <w:t xml:space="preserve">contribute to the presentation of the research findings. Following the </w:t>
      </w:r>
      <w:r w:rsidR="00EE07C7">
        <w:rPr>
          <w:sz w:val="20"/>
          <w:szCs w:val="20"/>
          <w:lang w:val="en-GB"/>
        </w:rPr>
        <w:t xml:space="preserve">community participatory engagement </w:t>
      </w:r>
      <w:r w:rsidRPr="00CB66E3">
        <w:rPr>
          <w:sz w:val="20"/>
          <w:szCs w:val="20"/>
          <w:lang w:val="en-GB"/>
        </w:rPr>
        <w:t xml:space="preserve">principles set out by Coles-Kemp and Ashenden (2012), the research took place in a community centre which was a familiar space for the participants, the </w:t>
      </w:r>
      <w:r>
        <w:rPr>
          <w:sz w:val="20"/>
          <w:szCs w:val="20"/>
          <w:lang w:val="en-GB"/>
        </w:rPr>
        <w:t xml:space="preserve">research </w:t>
      </w:r>
      <w:r w:rsidRPr="00CB66E3">
        <w:rPr>
          <w:sz w:val="20"/>
          <w:szCs w:val="20"/>
          <w:lang w:val="en-GB"/>
        </w:rPr>
        <w:t>focus was shaped in partnership with the participants</w:t>
      </w:r>
      <w:r>
        <w:rPr>
          <w:sz w:val="20"/>
          <w:szCs w:val="20"/>
          <w:lang w:val="en-GB"/>
        </w:rPr>
        <w:t>,</w:t>
      </w:r>
      <w:r w:rsidRPr="00CB66E3">
        <w:rPr>
          <w:sz w:val="20"/>
          <w:szCs w:val="20"/>
          <w:lang w:val="en-GB"/>
        </w:rPr>
        <w:t xml:space="preserve"> the data gathering methods were adapted to fit with the participant group</w:t>
      </w:r>
      <w:r>
        <w:rPr>
          <w:sz w:val="20"/>
          <w:szCs w:val="20"/>
          <w:lang w:val="en-GB"/>
        </w:rPr>
        <w:t xml:space="preserve">s and, to nurture </w:t>
      </w:r>
      <w:r w:rsidRPr="00CB66E3">
        <w:rPr>
          <w:sz w:val="20"/>
          <w:szCs w:val="20"/>
          <w:lang w:val="en-GB"/>
        </w:rPr>
        <w:t>a sense of empowerment and agency</w:t>
      </w:r>
      <w:r>
        <w:rPr>
          <w:sz w:val="20"/>
          <w:szCs w:val="20"/>
          <w:lang w:val="en-GB"/>
        </w:rPr>
        <w:t>,</w:t>
      </w:r>
      <w:r w:rsidRPr="00CB66E3">
        <w:rPr>
          <w:sz w:val="20"/>
          <w:szCs w:val="20"/>
          <w:lang w:val="en-GB"/>
        </w:rPr>
        <w:t xml:space="preserve"> participants were encouraged to </w:t>
      </w:r>
      <w:r>
        <w:rPr>
          <w:sz w:val="20"/>
          <w:szCs w:val="20"/>
          <w:lang w:val="en-GB"/>
        </w:rPr>
        <w:t xml:space="preserve">consider community responses to the issues identified. </w:t>
      </w:r>
      <w:r w:rsidR="00E06C9A">
        <w:rPr>
          <w:sz w:val="20"/>
          <w:szCs w:val="20"/>
          <w:lang w:val="en-GB"/>
        </w:rPr>
        <w:t xml:space="preserve">Such an </w:t>
      </w:r>
      <w:r w:rsidR="00B20B95">
        <w:rPr>
          <w:sz w:val="20"/>
          <w:szCs w:val="20"/>
          <w:lang w:val="en-GB"/>
        </w:rPr>
        <w:t xml:space="preserve">anthropologically informed design </w:t>
      </w:r>
      <w:r w:rsidR="00E06C9A">
        <w:rPr>
          <w:sz w:val="20"/>
          <w:szCs w:val="20"/>
          <w:lang w:val="en-GB"/>
        </w:rPr>
        <w:t>approach is particularly appropriate for design projects that produce outputs that are to be embedded and sustained within community practices.</w:t>
      </w:r>
      <w:r w:rsidR="006705A7">
        <w:rPr>
          <w:sz w:val="20"/>
          <w:szCs w:val="20"/>
          <w:lang w:val="en-GB"/>
        </w:rPr>
        <w:t xml:space="preserve"> </w:t>
      </w:r>
      <w:r w:rsidR="00B20B95">
        <w:rPr>
          <w:sz w:val="20"/>
          <w:szCs w:val="20"/>
          <w:lang w:val="en-GB"/>
        </w:rPr>
        <w:t xml:space="preserve">The </w:t>
      </w:r>
      <w:r w:rsidR="006705A7">
        <w:rPr>
          <w:sz w:val="20"/>
          <w:szCs w:val="20"/>
          <w:lang w:val="en-GB"/>
        </w:rPr>
        <w:t xml:space="preserve">case study acted as a provocation for us as researchers by encouraging us to think about security theory in </w:t>
      </w:r>
      <w:r w:rsidR="009E2213">
        <w:rPr>
          <w:sz w:val="20"/>
          <w:szCs w:val="20"/>
          <w:lang w:val="en-GB"/>
        </w:rPr>
        <w:t>relation to the use of technological cybersecurity controls</w:t>
      </w:r>
      <w:r w:rsidR="006705A7">
        <w:rPr>
          <w:sz w:val="20"/>
          <w:szCs w:val="20"/>
          <w:lang w:val="en-GB"/>
        </w:rPr>
        <w:t>.</w:t>
      </w:r>
    </w:p>
    <w:p w14:paraId="6844E465" w14:textId="62F9C006" w:rsidR="00C75627" w:rsidRPr="00CB66E3" w:rsidRDefault="00C75627" w:rsidP="00C75627">
      <w:pPr>
        <w:jc w:val="both"/>
        <w:rPr>
          <w:sz w:val="20"/>
          <w:szCs w:val="20"/>
          <w:lang w:val="en-GB"/>
        </w:rPr>
      </w:pPr>
      <w:r w:rsidRPr="00CB66E3">
        <w:rPr>
          <w:sz w:val="20"/>
          <w:szCs w:val="20"/>
          <w:lang w:val="en-GB"/>
        </w:rPr>
        <w:t>Five focus groups were carried out each with between 4 and 8 participants. In the initial group, the participants were asked to articulate the range of</w:t>
      </w:r>
      <w:r>
        <w:rPr>
          <w:sz w:val="20"/>
          <w:szCs w:val="20"/>
          <w:lang w:val="en-GB"/>
        </w:rPr>
        <w:t xml:space="preserve"> </w:t>
      </w:r>
      <w:r w:rsidRPr="00CB66E3">
        <w:rPr>
          <w:sz w:val="20"/>
          <w:szCs w:val="20"/>
          <w:lang w:val="en-GB"/>
        </w:rPr>
        <w:t>economic, emotional and administrative pressures that they experienced</w:t>
      </w:r>
      <w:r>
        <w:rPr>
          <w:sz w:val="20"/>
          <w:szCs w:val="20"/>
          <w:lang w:val="en-GB"/>
        </w:rPr>
        <w:t xml:space="preserve"> as part of everyday life</w:t>
      </w:r>
      <w:r w:rsidRPr="00CB66E3">
        <w:rPr>
          <w:sz w:val="20"/>
          <w:szCs w:val="20"/>
          <w:lang w:val="en-GB"/>
        </w:rPr>
        <w:t xml:space="preserve">. </w:t>
      </w:r>
      <w:r w:rsidR="009F2946">
        <w:rPr>
          <w:sz w:val="20"/>
          <w:szCs w:val="20"/>
          <w:lang w:val="en-GB"/>
        </w:rPr>
        <w:t>Such</w:t>
      </w:r>
      <w:r w:rsidRPr="00CB66E3">
        <w:rPr>
          <w:sz w:val="20"/>
          <w:szCs w:val="20"/>
          <w:lang w:val="en-GB"/>
        </w:rPr>
        <w:t xml:space="preserve"> pressures </w:t>
      </w:r>
      <w:r w:rsidR="00E06C9A">
        <w:rPr>
          <w:sz w:val="20"/>
          <w:szCs w:val="20"/>
          <w:lang w:val="en-GB"/>
        </w:rPr>
        <w:t xml:space="preserve">shed light on the conditions under which </w:t>
      </w:r>
      <w:r w:rsidR="00714872">
        <w:rPr>
          <w:sz w:val="20"/>
          <w:szCs w:val="20"/>
          <w:lang w:val="en-GB"/>
        </w:rPr>
        <w:t>interaction</w:t>
      </w:r>
      <w:r>
        <w:rPr>
          <w:sz w:val="20"/>
          <w:szCs w:val="20"/>
          <w:lang w:val="en-GB"/>
        </w:rPr>
        <w:t xml:space="preserve"> with state services </w:t>
      </w:r>
      <w:r w:rsidR="00714872">
        <w:rPr>
          <w:sz w:val="20"/>
          <w:szCs w:val="20"/>
          <w:lang w:val="en-GB"/>
        </w:rPr>
        <w:t xml:space="preserve">might occur and the challenges such pressures present for conformant use of digital state services. </w:t>
      </w:r>
      <w:r w:rsidR="00E06C9A">
        <w:rPr>
          <w:sz w:val="20"/>
          <w:szCs w:val="20"/>
          <w:lang w:val="en-GB"/>
        </w:rPr>
        <w:t xml:space="preserve">  In line with participatory design philosophy, t</w:t>
      </w:r>
      <w:r w:rsidRPr="00CB66E3">
        <w:rPr>
          <w:sz w:val="20"/>
          <w:szCs w:val="20"/>
          <w:lang w:val="en-GB"/>
        </w:rPr>
        <w:t xml:space="preserve">he research method used in this initial session was a simple storytelling method which encouraged participants to describe the pressures experienced in different scenarios. The second focus group further </w:t>
      </w:r>
      <w:r w:rsidR="009F2946">
        <w:rPr>
          <w:sz w:val="20"/>
          <w:szCs w:val="20"/>
          <w:lang w:val="en-GB"/>
        </w:rPr>
        <w:t>deepened the researchers</w:t>
      </w:r>
      <w:r w:rsidR="00CB75E5">
        <w:rPr>
          <w:sz w:val="20"/>
          <w:szCs w:val="20"/>
          <w:lang w:val="en-GB"/>
        </w:rPr>
        <w:t>’</w:t>
      </w:r>
      <w:r w:rsidR="009F2946">
        <w:rPr>
          <w:sz w:val="20"/>
          <w:szCs w:val="20"/>
          <w:lang w:val="en-GB"/>
        </w:rPr>
        <w:t xml:space="preserve"> understanding of these pressures</w:t>
      </w:r>
      <w:r>
        <w:rPr>
          <w:sz w:val="20"/>
          <w:szCs w:val="20"/>
          <w:lang w:val="en-GB"/>
        </w:rPr>
        <w:t xml:space="preserve"> using</w:t>
      </w:r>
      <w:r w:rsidRPr="00CB66E3">
        <w:rPr>
          <w:sz w:val="20"/>
          <w:szCs w:val="20"/>
          <w:lang w:val="en-GB"/>
        </w:rPr>
        <w:t xml:space="preserve"> story telling </w:t>
      </w:r>
      <w:r>
        <w:rPr>
          <w:sz w:val="20"/>
          <w:szCs w:val="20"/>
          <w:lang w:val="en-GB"/>
        </w:rPr>
        <w:t>together with</w:t>
      </w:r>
      <w:r w:rsidRPr="00CB66E3">
        <w:rPr>
          <w:sz w:val="20"/>
          <w:szCs w:val="20"/>
          <w:lang w:val="en-GB"/>
        </w:rPr>
        <w:t xml:space="preserve"> an icon-library to help participants build up a visual and lexical vocabulary of pressures and</w:t>
      </w:r>
      <w:r>
        <w:rPr>
          <w:sz w:val="20"/>
          <w:szCs w:val="20"/>
          <w:lang w:val="en-GB"/>
        </w:rPr>
        <w:t xml:space="preserve"> </w:t>
      </w:r>
      <w:r w:rsidR="009F2946">
        <w:rPr>
          <w:sz w:val="20"/>
          <w:szCs w:val="20"/>
          <w:lang w:val="en-GB"/>
        </w:rPr>
        <w:t xml:space="preserve">their </w:t>
      </w:r>
      <w:r>
        <w:rPr>
          <w:sz w:val="20"/>
          <w:szCs w:val="20"/>
          <w:lang w:val="en-GB"/>
        </w:rPr>
        <w:t>responses</w:t>
      </w:r>
      <w:r w:rsidRPr="00CB66E3">
        <w:rPr>
          <w:sz w:val="20"/>
          <w:szCs w:val="20"/>
          <w:lang w:val="en-GB"/>
        </w:rPr>
        <w:t xml:space="preserve">. For the third focus group, story sheets </w:t>
      </w:r>
      <w:r w:rsidR="00FC5D1C">
        <w:rPr>
          <w:sz w:val="20"/>
          <w:szCs w:val="20"/>
          <w:lang w:val="en-GB"/>
        </w:rPr>
        <w:t xml:space="preserve">were developed </w:t>
      </w:r>
      <w:r w:rsidRPr="00CB66E3">
        <w:rPr>
          <w:sz w:val="20"/>
          <w:szCs w:val="20"/>
          <w:lang w:val="en-GB"/>
        </w:rPr>
        <w:t xml:space="preserve">that </w:t>
      </w:r>
      <w:r w:rsidR="009F2946">
        <w:rPr>
          <w:sz w:val="20"/>
          <w:szCs w:val="20"/>
          <w:lang w:val="en-GB"/>
        </w:rPr>
        <w:t>were</w:t>
      </w:r>
      <w:r w:rsidRPr="00CB66E3">
        <w:rPr>
          <w:sz w:val="20"/>
          <w:szCs w:val="20"/>
          <w:lang w:val="en-GB"/>
        </w:rPr>
        <w:t xml:space="preserve"> used to systematically capture the pressures</w:t>
      </w:r>
      <w:r>
        <w:rPr>
          <w:sz w:val="20"/>
          <w:szCs w:val="20"/>
          <w:lang w:val="en-GB"/>
        </w:rPr>
        <w:t>, the needs for information sharing</w:t>
      </w:r>
      <w:r w:rsidRPr="00CB66E3">
        <w:rPr>
          <w:sz w:val="20"/>
          <w:szCs w:val="20"/>
          <w:lang w:val="en-GB"/>
        </w:rPr>
        <w:t xml:space="preserve"> and</w:t>
      </w:r>
      <w:r>
        <w:rPr>
          <w:sz w:val="20"/>
          <w:szCs w:val="20"/>
          <w:lang w:val="en-GB"/>
        </w:rPr>
        <w:t xml:space="preserve"> possible community responses</w:t>
      </w:r>
      <w:r w:rsidR="00196759">
        <w:rPr>
          <w:sz w:val="20"/>
          <w:szCs w:val="20"/>
          <w:lang w:val="en-GB"/>
        </w:rPr>
        <w:t xml:space="preserve">. This enabled a wider, </w:t>
      </w:r>
      <w:r w:rsidRPr="00CB66E3">
        <w:rPr>
          <w:sz w:val="20"/>
          <w:szCs w:val="20"/>
          <w:lang w:val="en-GB"/>
        </w:rPr>
        <w:t xml:space="preserve">more systematic gathering of </w:t>
      </w:r>
      <w:r w:rsidR="00196759">
        <w:rPr>
          <w:sz w:val="20"/>
          <w:szCs w:val="20"/>
          <w:lang w:val="en-GB"/>
        </w:rPr>
        <w:t xml:space="preserve">the issues and ideas for </w:t>
      </w:r>
      <w:r w:rsidRPr="00CB66E3">
        <w:rPr>
          <w:sz w:val="20"/>
          <w:szCs w:val="20"/>
          <w:lang w:val="en-GB"/>
        </w:rPr>
        <w:t xml:space="preserve">potential </w:t>
      </w:r>
      <w:r>
        <w:rPr>
          <w:sz w:val="20"/>
          <w:szCs w:val="20"/>
          <w:lang w:val="en-GB"/>
        </w:rPr>
        <w:t>community responses and support</w:t>
      </w:r>
      <w:r w:rsidRPr="00CB66E3">
        <w:rPr>
          <w:sz w:val="20"/>
          <w:szCs w:val="20"/>
          <w:lang w:val="en-GB"/>
        </w:rPr>
        <w:t xml:space="preserve">. The fourth and fifth focus groups used a refined version of this story gathering process until the principles </w:t>
      </w:r>
      <w:r w:rsidR="009F2946">
        <w:rPr>
          <w:sz w:val="20"/>
          <w:szCs w:val="20"/>
          <w:lang w:val="en-GB"/>
        </w:rPr>
        <w:t>for</w:t>
      </w:r>
      <w:r w:rsidRPr="00CB66E3">
        <w:rPr>
          <w:sz w:val="20"/>
          <w:szCs w:val="20"/>
          <w:lang w:val="en-GB"/>
        </w:rPr>
        <w:t xml:space="preserve"> community </w:t>
      </w:r>
      <w:r>
        <w:rPr>
          <w:sz w:val="20"/>
          <w:szCs w:val="20"/>
          <w:lang w:val="en-GB"/>
        </w:rPr>
        <w:t xml:space="preserve">support </w:t>
      </w:r>
      <w:r w:rsidRPr="00CB66E3">
        <w:rPr>
          <w:sz w:val="20"/>
          <w:szCs w:val="20"/>
          <w:lang w:val="en-GB"/>
        </w:rPr>
        <w:t>had been developed. The focus groups were recorded, transcripts produced and an</w:t>
      </w:r>
      <w:r w:rsidR="00196759">
        <w:rPr>
          <w:sz w:val="20"/>
          <w:szCs w:val="20"/>
          <w:lang w:val="en-GB"/>
        </w:rPr>
        <w:t xml:space="preserve">alysed using thematic analysis before the results </w:t>
      </w:r>
      <w:r w:rsidRPr="00CB66E3">
        <w:rPr>
          <w:sz w:val="20"/>
          <w:szCs w:val="20"/>
          <w:lang w:val="en-GB"/>
        </w:rPr>
        <w:t>were then presented to the wider community for consultation.</w:t>
      </w:r>
    </w:p>
    <w:p w14:paraId="35FAF3D3" w14:textId="77C5B70B" w:rsidR="00C75627" w:rsidRPr="00CB66E3" w:rsidRDefault="00977D7A" w:rsidP="00C75627">
      <w:pPr>
        <w:rPr>
          <w:i/>
          <w:sz w:val="20"/>
          <w:szCs w:val="20"/>
          <w:lang w:val="en-GB"/>
        </w:rPr>
      </w:pPr>
      <w:r>
        <w:rPr>
          <w:i/>
          <w:sz w:val="20"/>
          <w:szCs w:val="20"/>
          <w:lang w:val="en-GB"/>
        </w:rPr>
        <w:t>2</w:t>
      </w:r>
      <w:r w:rsidR="00C75627" w:rsidRPr="00CB66E3">
        <w:rPr>
          <w:i/>
          <w:sz w:val="20"/>
          <w:szCs w:val="20"/>
          <w:lang w:val="en-GB"/>
        </w:rPr>
        <w:t>.1 Results &amp; Discussion</w:t>
      </w:r>
    </w:p>
    <w:p w14:paraId="74AF3E8B" w14:textId="1C2FC539" w:rsidR="004F5314" w:rsidRPr="00CB66E3" w:rsidRDefault="00C75627" w:rsidP="00C75627">
      <w:pPr>
        <w:jc w:val="both"/>
        <w:rPr>
          <w:sz w:val="20"/>
          <w:szCs w:val="20"/>
          <w:lang w:val="en-GB"/>
        </w:rPr>
      </w:pPr>
      <w:r w:rsidRPr="00CB66E3">
        <w:rPr>
          <w:sz w:val="20"/>
          <w:szCs w:val="20"/>
          <w:lang w:val="en-GB"/>
        </w:rPr>
        <w:t xml:space="preserve">The strongest theme to emerge from the </w:t>
      </w:r>
      <w:r>
        <w:rPr>
          <w:sz w:val="20"/>
          <w:szCs w:val="20"/>
          <w:lang w:val="en-GB"/>
        </w:rPr>
        <w:t xml:space="preserve">data </w:t>
      </w:r>
      <w:r w:rsidRPr="00CB66E3">
        <w:rPr>
          <w:sz w:val="20"/>
          <w:szCs w:val="20"/>
          <w:lang w:val="en-GB"/>
        </w:rPr>
        <w:t xml:space="preserve">analysis was that of citizen insecurity and precarity. The </w:t>
      </w:r>
      <w:r>
        <w:rPr>
          <w:sz w:val="20"/>
          <w:szCs w:val="20"/>
          <w:lang w:val="en-GB"/>
        </w:rPr>
        <w:t xml:space="preserve">data </w:t>
      </w:r>
      <w:r w:rsidRPr="00CB66E3">
        <w:rPr>
          <w:sz w:val="20"/>
          <w:szCs w:val="20"/>
          <w:lang w:val="en-GB"/>
        </w:rPr>
        <w:t xml:space="preserve">illustrated </w:t>
      </w:r>
      <w:r w:rsidR="00DC7D7A">
        <w:rPr>
          <w:sz w:val="20"/>
          <w:szCs w:val="20"/>
          <w:lang w:val="en-GB"/>
        </w:rPr>
        <w:t xml:space="preserve">the ways in which the interactions with the </w:t>
      </w:r>
      <w:r w:rsidR="004F5314">
        <w:rPr>
          <w:sz w:val="20"/>
          <w:szCs w:val="20"/>
          <w:lang w:val="en-GB"/>
        </w:rPr>
        <w:t xml:space="preserve">welfare systems </w:t>
      </w:r>
      <w:r w:rsidR="00DC7D7A">
        <w:rPr>
          <w:sz w:val="20"/>
          <w:szCs w:val="20"/>
          <w:lang w:val="en-GB"/>
        </w:rPr>
        <w:t xml:space="preserve">generated </w:t>
      </w:r>
      <w:r w:rsidR="00C370E5">
        <w:rPr>
          <w:sz w:val="20"/>
          <w:szCs w:val="20"/>
          <w:lang w:val="en-GB"/>
        </w:rPr>
        <w:t xml:space="preserve">feelings of </w:t>
      </w:r>
      <w:r w:rsidRPr="00CB66E3">
        <w:rPr>
          <w:sz w:val="20"/>
          <w:szCs w:val="20"/>
          <w:lang w:val="en-GB"/>
        </w:rPr>
        <w:t>insecurity</w:t>
      </w:r>
      <w:r w:rsidR="00DC7D7A">
        <w:rPr>
          <w:sz w:val="20"/>
          <w:szCs w:val="20"/>
          <w:lang w:val="en-GB"/>
        </w:rPr>
        <w:t xml:space="preserve"> for the individual</w:t>
      </w:r>
      <w:r w:rsidRPr="00CB66E3">
        <w:rPr>
          <w:sz w:val="20"/>
          <w:szCs w:val="20"/>
          <w:lang w:val="en-GB"/>
        </w:rPr>
        <w:t xml:space="preserve">. For example, </w:t>
      </w:r>
      <w:r w:rsidR="00DC7D7A">
        <w:rPr>
          <w:sz w:val="20"/>
          <w:szCs w:val="20"/>
          <w:lang w:val="en-GB"/>
        </w:rPr>
        <w:t xml:space="preserve">participants felt that they were </w:t>
      </w:r>
      <w:r w:rsidRPr="00CB66E3">
        <w:rPr>
          <w:sz w:val="20"/>
          <w:szCs w:val="20"/>
          <w:lang w:val="en-GB"/>
        </w:rPr>
        <w:t xml:space="preserve">not able to question or negotiate with </w:t>
      </w:r>
      <w:r w:rsidR="004F5314">
        <w:rPr>
          <w:sz w:val="20"/>
          <w:szCs w:val="20"/>
          <w:lang w:val="en-GB"/>
        </w:rPr>
        <w:t xml:space="preserve">the system </w:t>
      </w:r>
      <w:r w:rsidRPr="00CB66E3">
        <w:rPr>
          <w:sz w:val="20"/>
          <w:szCs w:val="20"/>
          <w:lang w:val="en-GB"/>
        </w:rPr>
        <w:t xml:space="preserve">and yet </w:t>
      </w:r>
      <w:r w:rsidR="00DC7D7A">
        <w:rPr>
          <w:sz w:val="20"/>
          <w:szCs w:val="20"/>
          <w:lang w:val="en-GB"/>
        </w:rPr>
        <w:t xml:space="preserve">experienced </w:t>
      </w:r>
      <w:r w:rsidRPr="00CB66E3">
        <w:rPr>
          <w:sz w:val="20"/>
          <w:szCs w:val="20"/>
          <w:lang w:val="en-GB"/>
        </w:rPr>
        <w:t>heavy penalties for making error</w:t>
      </w:r>
      <w:r w:rsidR="00DC7D7A">
        <w:rPr>
          <w:sz w:val="20"/>
          <w:szCs w:val="20"/>
          <w:lang w:val="en-GB"/>
        </w:rPr>
        <w:t>s. A</w:t>
      </w:r>
      <w:r w:rsidRPr="00CB66E3">
        <w:rPr>
          <w:sz w:val="20"/>
          <w:szCs w:val="20"/>
          <w:lang w:val="en-GB"/>
        </w:rPr>
        <w:t>s one participant pointed out, “</w:t>
      </w:r>
      <w:r w:rsidRPr="007F2EBC">
        <w:rPr>
          <w:i/>
          <w:sz w:val="20"/>
          <w:szCs w:val="20"/>
          <w:lang w:val="en-GB"/>
        </w:rPr>
        <w:t>If you are underpaid, you don’t get it back. If you are overpaid they expect you to pay it back</w:t>
      </w:r>
      <w:r w:rsidRPr="00CB66E3">
        <w:rPr>
          <w:sz w:val="20"/>
          <w:szCs w:val="20"/>
          <w:lang w:val="en-GB"/>
        </w:rPr>
        <w:t xml:space="preserve">.” Participants </w:t>
      </w:r>
      <w:r w:rsidR="00BA1594">
        <w:rPr>
          <w:sz w:val="20"/>
          <w:szCs w:val="20"/>
          <w:lang w:val="en-GB"/>
        </w:rPr>
        <w:t>highlighted</w:t>
      </w:r>
      <w:r w:rsidRPr="00CB66E3">
        <w:rPr>
          <w:sz w:val="20"/>
          <w:szCs w:val="20"/>
          <w:lang w:val="en-GB"/>
        </w:rPr>
        <w:t xml:space="preserve"> that the problems they experience</w:t>
      </w:r>
      <w:r w:rsidR="00DC7D7A">
        <w:rPr>
          <w:sz w:val="20"/>
          <w:szCs w:val="20"/>
          <w:lang w:val="en-GB"/>
        </w:rPr>
        <w:t>d</w:t>
      </w:r>
      <w:r w:rsidRPr="00CB66E3">
        <w:rPr>
          <w:sz w:val="20"/>
          <w:szCs w:val="20"/>
          <w:lang w:val="en-GB"/>
        </w:rPr>
        <w:t xml:space="preserve"> </w:t>
      </w:r>
      <w:r w:rsidR="00DC7D7A">
        <w:rPr>
          <w:sz w:val="20"/>
          <w:szCs w:val="20"/>
          <w:lang w:val="en-GB"/>
        </w:rPr>
        <w:t>were</w:t>
      </w:r>
      <w:r w:rsidRPr="00CB66E3">
        <w:rPr>
          <w:sz w:val="20"/>
          <w:szCs w:val="20"/>
          <w:lang w:val="en-GB"/>
        </w:rPr>
        <w:t xml:space="preserve"> due to the complexity of the system and the constant rolling programme of changes.</w:t>
      </w:r>
      <w:r w:rsidR="004F5314">
        <w:rPr>
          <w:sz w:val="20"/>
          <w:szCs w:val="20"/>
          <w:lang w:val="en-GB"/>
        </w:rPr>
        <w:t xml:space="preserve"> </w:t>
      </w:r>
      <w:r w:rsidR="00107C00" w:rsidRPr="00CB66E3">
        <w:rPr>
          <w:sz w:val="20"/>
          <w:szCs w:val="20"/>
          <w:lang w:val="en-GB"/>
        </w:rPr>
        <w:t xml:space="preserve">The data </w:t>
      </w:r>
      <w:r w:rsidR="00196759">
        <w:rPr>
          <w:sz w:val="20"/>
          <w:szCs w:val="20"/>
          <w:lang w:val="en-GB"/>
        </w:rPr>
        <w:t>from the</w:t>
      </w:r>
      <w:r w:rsidR="00107C00" w:rsidRPr="00CB66E3">
        <w:rPr>
          <w:sz w:val="20"/>
          <w:szCs w:val="20"/>
          <w:lang w:val="en-GB"/>
        </w:rPr>
        <w:t xml:space="preserve"> first focus group showed that participants experienced many such pressures on a day-to-day basis that were exacerbated by</w:t>
      </w:r>
      <w:r w:rsidR="00107C00">
        <w:rPr>
          <w:sz w:val="20"/>
          <w:szCs w:val="20"/>
          <w:lang w:val="en-GB"/>
        </w:rPr>
        <w:t xml:space="preserve"> the mechanisms used to interact with the system</w:t>
      </w:r>
      <w:r w:rsidR="00107C00" w:rsidRPr="00CB66E3">
        <w:rPr>
          <w:sz w:val="20"/>
          <w:szCs w:val="20"/>
          <w:lang w:val="en-GB"/>
        </w:rPr>
        <w:t>.</w:t>
      </w:r>
      <w:r w:rsidR="00107C00">
        <w:rPr>
          <w:sz w:val="20"/>
          <w:szCs w:val="20"/>
          <w:lang w:val="en-GB"/>
        </w:rPr>
        <w:t xml:space="preserve"> </w:t>
      </w:r>
      <w:r w:rsidR="004F5314">
        <w:rPr>
          <w:sz w:val="20"/>
          <w:szCs w:val="20"/>
          <w:lang w:val="en-GB"/>
        </w:rPr>
        <w:t>At the same time, finding ways to work outside the system was also difficult</w:t>
      </w:r>
      <w:r w:rsidRPr="00CB66E3">
        <w:rPr>
          <w:sz w:val="20"/>
          <w:szCs w:val="20"/>
          <w:lang w:val="en-GB"/>
        </w:rPr>
        <w:t xml:space="preserve">. As another participant </w:t>
      </w:r>
      <w:r w:rsidR="00196759">
        <w:rPr>
          <w:sz w:val="20"/>
          <w:szCs w:val="20"/>
          <w:lang w:val="en-GB"/>
        </w:rPr>
        <w:t>commented</w:t>
      </w:r>
      <w:r w:rsidRPr="00CB66E3">
        <w:rPr>
          <w:sz w:val="20"/>
          <w:szCs w:val="20"/>
          <w:lang w:val="en-GB"/>
        </w:rPr>
        <w:t>, “</w:t>
      </w:r>
      <w:r w:rsidRPr="007F2EBC">
        <w:rPr>
          <w:i/>
          <w:sz w:val="20"/>
          <w:szCs w:val="20"/>
          <w:lang w:val="en-GB"/>
        </w:rPr>
        <w:t>The self-help route is fraught with problems</w:t>
      </w:r>
      <w:r w:rsidRPr="00CB66E3">
        <w:rPr>
          <w:sz w:val="20"/>
          <w:szCs w:val="20"/>
          <w:lang w:val="en-GB"/>
        </w:rPr>
        <w:t xml:space="preserve">”. </w:t>
      </w:r>
      <w:r w:rsidR="004F5314">
        <w:rPr>
          <w:sz w:val="20"/>
          <w:szCs w:val="20"/>
          <w:lang w:val="en-GB"/>
        </w:rPr>
        <w:t xml:space="preserve">This insight led us to </w:t>
      </w:r>
      <w:r w:rsidR="001B6BDB">
        <w:rPr>
          <w:sz w:val="20"/>
          <w:szCs w:val="20"/>
          <w:lang w:val="en-GB"/>
        </w:rPr>
        <w:t>reflect on how</w:t>
      </w:r>
      <w:r w:rsidR="004F5314">
        <w:rPr>
          <w:sz w:val="20"/>
          <w:szCs w:val="20"/>
          <w:lang w:val="en-GB"/>
        </w:rPr>
        <w:t xml:space="preserve"> interaction with systems connects to an individual’s feelings of security and insecurity</w:t>
      </w:r>
      <w:r w:rsidR="001B6BDB">
        <w:rPr>
          <w:sz w:val="20"/>
          <w:szCs w:val="20"/>
          <w:lang w:val="en-GB"/>
        </w:rPr>
        <w:t xml:space="preserve"> that operate at a deeper level than is assumed by the presence (or absence) of technical security controls.</w:t>
      </w:r>
    </w:p>
    <w:p w14:paraId="5961416E" w14:textId="3CE64A6D" w:rsidR="00DE1546" w:rsidRPr="00CB66E3" w:rsidRDefault="00C75627" w:rsidP="00C75627">
      <w:pPr>
        <w:jc w:val="both"/>
        <w:rPr>
          <w:sz w:val="20"/>
          <w:szCs w:val="20"/>
          <w:lang w:val="en-GB"/>
        </w:rPr>
      </w:pPr>
      <w:r w:rsidRPr="00CB66E3">
        <w:rPr>
          <w:sz w:val="20"/>
          <w:szCs w:val="20"/>
          <w:lang w:val="en-GB"/>
        </w:rPr>
        <w:t xml:space="preserve">Analysis of the transcripts from the first and second focus groups </w:t>
      </w:r>
      <w:r w:rsidR="001B6BDB">
        <w:rPr>
          <w:sz w:val="20"/>
          <w:szCs w:val="20"/>
          <w:lang w:val="en-GB"/>
        </w:rPr>
        <w:t xml:space="preserve">demonstrated </w:t>
      </w:r>
      <w:r w:rsidR="00720239">
        <w:rPr>
          <w:sz w:val="20"/>
          <w:szCs w:val="20"/>
          <w:lang w:val="en-GB"/>
        </w:rPr>
        <w:t xml:space="preserve">how </w:t>
      </w:r>
      <w:r w:rsidRPr="00CB66E3">
        <w:rPr>
          <w:sz w:val="20"/>
          <w:szCs w:val="20"/>
          <w:lang w:val="en-GB"/>
        </w:rPr>
        <w:t xml:space="preserve">technology </w:t>
      </w:r>
      <w:r w:rsidR="001B6BDB">
        <w:rPr>
          <w:sz w:val="20"/>
          <w:szCs w:val="20"/>
          <w:lang w:val="en-GB"/>
        </w:rPr>
        <w:t>is</w:t>
      </w:r>
      <w:r w:rsidR="005162FF">
        <w:rPr>
          <w:sz w:val="20"/>
          <w:szCs w:val="20"/>
          <w:lang w:val="en-GB"/>
        </w:rPr>
        <w:t xml:space="preserve"> conceptualised as being</w:t>
      </w:r>
      <w:r w:rsidR="001B6BDB">
        <w:rPr>
          <w:sz w:val="20"/>
          <w:szCs w:val="20"/>
          <w:lang w:val="en-GB"/>
        </w:rPr>
        <w:t xml:space="preserve"> interwoven with </w:t>
      </w:r>
      <w:r w:rsidRPr="00CB66E3">
        <w:rPr>
          <w:sz w:val="20"/>
          <w:szCs w:val="20"/>
          <w:lang w:val="en-GB"/>
        </w:rPr>
        <w:t xml:space="preserve">human social networks and </w:t>
      </w:r>
      <w:r w:rsidR="001B6BDB">
        <w:rPr>
          <w:sz w:val="20"/>
          <w:szCs w:val="20"/>
          <w:lang w:val="en-GB"/>
        </w:rPr>
        <w:t>does not operate as</w:t>
      </w:r>
      <w:r w:rsidRPr="00CB66E3">
        <w:rPr>
          <w:sz w:val="20"/>
          <w:szCs w:val="20"/>
          <w:lang w:val="en-GB"/>
        </w:rPr>
        <w:t xml:space="preserve"> a replacement to them</w:t>
      </w:r>
      <w:r w:rsidR="001B6BDB">
        <w:rPr>
          <w:sz w:val="20"/>
          <w:szCs w:val="20"/>
          <w:lang w:val="en-GB"/>
        </w:rPr>
        <w:t>. This</w:t>
      </w:r>
      <w:r w:rsidRPr="00CB66E3">
        <w:rPr>
          <w:sz w:val="20"/>
          <w:szCs w:val="20"/>
          <w:lang w:val="en-GB"/>
        </w:rPr>
        <w:t xml:space="preserve"> socio-technological enmeshing connects security technologies to the </w:t>
      </w:r>
      <w:r>
        <w:rPr>
          <w:sz w:val="20"/>
          <w:szCs w:val="20"/>
          <w:lang w:val="en-GB"/>
        </w:rPr>
        <w:t xml:space="preserve">human networks in which </w:t>
      </w:r>
      <w:r w:rsidRPr="00CB66E3">
        <w:rPr>
          <w:sz w:val="20"/>
          <w:szCs w:val="20"/>
          <w:lang w:val="en-GB"/>
        </w:rPr>
        <w:t>they operate</w:t>
      </w:r>
      <w:r w:rsidR="001B6BDB">
        <w:rPr>
          <w:sz w:val="20"/>
          <w:szCs w:val="20"/>
          <w:lang w:val="en-GB"/>
        </w:rPr>
        <w:t xml:space="preserve">, such that as one participant </w:t>
      </w:r>
      <w:r w:rsidRPr="00CB66E3">
        <w:rPr>
          <w:sz w:val="20"/>
          <w:szCs w:val="20"/>
          <w:lang w:val="en-GB"/>
        </w:rPr>
        <w:t>commented, “</w:t>
      </w:r>
      <w:r w:rsidRPr="007F2EBC">
        <w:rPr>
          <w:i/>
          <w:sz w:val="20"/>
          <w:szCs w:val="20"/>
          <w:lang w:val="en-GB"/>
        </w:rPr>
        <w:t>It was better when you could see someone face to face. It was better when you could phone for an appointment</w:t>
      </w:r>
      <w:r w:rsidRPr="00CB66E3">
        <w:rPr>
          <w:sz w:val="20"/>
          <w:szCs w:val="20"/>
          <w:lang w:val="en-GB"/>
        </w:rPr>
        <w:t>.” Not only was technology not seen as a viable alternative for human interaction, these focus groups highlighted that</w:t>
      </w:r>
      <w:r w:rsidR="00512A09">
        <w:rPr>
          <w:sz w:val="20"/>
          <w:szCs w:val="20"/>
          <w:lang w:val="en-GB"/>
        </w:rPr>
        <w:t xml:space="preserve"> human networks help to overcome the fear of engaging</w:t>
      </w:r>
      <w:r w:rsidR="001B6BDB">
        <w:rPr>
          <w:sz w:val="20"/>
          <w:szCs w:val="20"/>
          <w:lang w:val="en-GB"/>
        </w:rPr>
        <w:t xml:space="preserve">, as </w:t>
      </w:r>
      <w:r w:rsidRPr="00CB66E3">
        <w:rPr>
          <w:sz w:val="20"/>
          <w:szCs w:val="20"/>
          <w:lang w:val="en-GB"/>
        </w:rPr>
        <w:t>one participant confessed</w:t>
      </w:r>
      <w:r>
        <w:rPr>
          <w:sz w:val="20"/>
          <w:szCs w:val="20"/>
          <w:lang w:val="en-GB"/>
        </w:rPr>
        <w:t xml:space="preserve"> that</w:t>
      </w:r>
      <w:r w:rsidR="001B6BDB">
        <w:rPr>
          <w:sz w:val="20"/>
          <w:szCs w:val="20"/>
          <w:lang w:val="en-GB"/>
        </w:rPr>
        <w:t xml:space="preserve"> </w:t>
      </w:r>
      <w:r>
        <w:rPr>
          <w:sz w:val="20"/>
          <w:szCs w:val="20"/>
          <w:lang w:val="en-GB"/>
        </w:rPr>
        <w:t>when reporting to a change in status</w:t>
      </w:r>
      <w:r w:rsidR="005A370B">
        <w:rPr>
          <w:sz w:val="20"/>
          <w:szCs w:val="20"/>
          <w:lang w:val="en-GB"/>
        </w:rPr>
        <w:t xml:space="preserve"> </w:t>
      </w:r>
      <w:r w:rsidRPr="00CB66E3">
        <w:rPr>
          <w:sz w:val="20"/>
          <w:szCs w:val="20"/>
          <w:lang w:val="en-GB"/>
        </w:rPr>
        <w:t>it</w:t>
      </w:r>
      <w:r>
        <w:rPr>
          <w:sz w:val="20"/>
          <w:szCs w:val="20"/>
          <w:lang w:val="en-GB"/>
        </w:rPr>
        <w:t>,</w:t>
      </w:r>
      <w:r w:rsidRPr="00CB66E3">
        <w:rPr>
          <w:sz w:val="20"/>
          <w:szCs w:val="20"/>
          <w:lang w:val="en-GB"/>
        </w:rPr>
        <w:t xml:space="preserve"> “</w:t>
      </w:r>
      <w:r w:rsidRPr="007F2EBC">
        <w:rPr>
          <w:i/>
          <w:sz w:val="20"/>
          <w:szCs w:val="20"/>
          <w:lang w:val="en-GB"/>
        </w:rPr>
        <w:t>took me nearly 18 months to ‘phone the Council</w:t>
      </w:r>
      <w:r w:rsidRPr="00CB66E3">
        <w:rPr>
          <w:sz w:val="20"/>
          <w:szCs w:val="20"/>
          <w:lang w:val="en-GB"/>
        </w:rPr>
        <w:t xml:space="preserve">”. </w:t>
      </w:r>
      <w:r w:rsidR="00DE1546">
        <w:rPr>
          <w:sz w:val="20"/>
          <w:szCs w:val="20"/>
          <w:lang w:val="en-GB"/>
        </w:rPr>
        <w:t xml:space="preserve">This led us to think about </w:t>
      </w:r>
      <w:r w:rsidR="00A83367">
        <w:rPr>
          <w:sz w:val="20"/>
          <w:szCs w:val="20"/>
          <w:lang w:val="en-GB"/>
        </w:rPr>
        <w:t>in what ways</w:t>
      </w:r>
      <w:r w:rsidR="00DE1546">
        <w:rPr>
          <w:sz w:val="20"/>
          <w:szCs w:val="20"/>
          <w:lang w:val="en-GB"/>
        </w:rPr>
        <w:t xml:space="preserve"> the </w:t>
      </w:r>
      <w:r w:rsidR="001B6BDB">
        <w:rPr>
          <w:sz w:val="20"/>
          <w:szCs w:val="20"/>
          <w:lang w:val="en-GB"/>
        </w:rPr>
        <w:t xml:space="preserve">design </w:t>
      </w:r>
      <w:r w:rsidR="00DE1546">
        <w:rPr>
          <w:sz w:val="20"/>
          <w:szCs w:val="20"/>
          <w:lang w:val="en-GB"/>
        </w:rPr>
        <w:t xml:space="preserve">of a system </w:t>
      </w:r>
      <w:r w:rsidR="001B6BDB">
        <w:rPr>
          <w:sz w:val="20"/>
          <w:szCs w:val="20"/>
          <w:lang w:val="en-GB"/>
        </w:rPr>
        <w:t xml:space="preserve">that operates </w:t>
      </w:r>
      <w:r w:rsidR="00DE1546">
        <w:rPr>
          <w:sz w:val="20"/>
          <w:szCs w:val="20"/>
          <w:lang w:val="en-GB"/>
        </w:rPr>
        <w:t xml:space="preserve">within human social networks </w:t>
      </w:r>
      <w:r w:rsidR="00CA1B00">
        <w:rPr>
          <w:sz w:val="20"/>
          <w:szCs w:val="20"/>
          <w:lang w:val="en-GB"/>
        </w:rPr>
        <w:t>might</w:t>
      </w:r>
      <w:r w:rsidR="001B6BDB">
        <w:rPr>
          <w:sz w:val="20"/>
          <w:szCs w:val="20"/>
          <w:lang w:val="en-GB"/>
        </w:rPr>
        <w:t xml:space="preserve"> </w:t>
      </w:r>
      <w:r w:rsidR="00DE1546">
        <w:rPr>
          <w:sz w:val="20"/>
          <w:szCs w:val="20"/>
          <w:lang w:val="en-GB"/>
        </w:rPr>
        <w:t xml:space="preserve">increase trust and confidence in working with that system. </w:t>
      </w:r>
    </w:p>
    <w:p w14:paraId="142FC3C5" w14:textId="060ABAFE" w:rsidR="00F04672" w:rsidRPr="00CB66E3" w:rsidRDefault="00C75627" w:rsidP="00C75627">
      <w:pPr>
        <w:jc w:val="both"/>
        <w:rPr>
          <w:sz w:val="20"/>
          <w:szCs w:val="20"/>
          <w:lang w:val="en-GB"/>
        </w:rPr>
      </w:pPr>
      <w:r w:rsidRPr="00CB66E3">
        <w:rPr>
          <w:sz w:val="20"/>
          <w:szCs w:val="20"/>
          <w:lang w:val="en-GB"/>
        </w:rPr>
        <w:t>Analysis of the data from the first two focus groups shows that receiving understandable information about</w:t>
      </w:r>
      <w:r w:rsidR="008E0B74">
        <w:rPr>
          <w:sz w:val="20"/>
          <w:szCs w:val="20"/>
          <w:lang w:val="en-GB"/>
        </w:rPr>
        <w:t xml:space="preserve"> welfare</w:t>
      </w:r>
      <w:r w:rsidRPr="00CB66E3">
        <w:rPr>
          <w:sz w:val="20"/>
          <w:szCs w:val="20"/>
          <w:lang w:val="en-GB"/>
        </w:rPr>
        <w:t xml:space="preserve"> changes from trusted sources was an important means of reducing anxieties</w:t>
      </w:r>
      <w:r w:rsidR="00DB2506">
        <w:rPr>
          <w:sz w:val="20"/>
          <w:szCs w:val="20"/>
          <w:lang w:val="en-GB"/>
        </w:rPr>
        <w:t>, thereby increasing the feeling of security</w:t>
      </w:r>
      <w:r w:rsidRPr="00CB66E3">
        <w:rPr>
          <w:sz w:val="20"/>
          <w:szCs w:val="20"/>
          <w:lang w:val="en-GB"/>
        </w:rPr>
        <w:t xml:space="preserve">. </w:t>
      </w:r>
      <w:r w:rsidR="00DB2506">
        <w:rPr>
          <w:sz w:val="20"/>
          <w:szCs w:val="20"/>
          <w:lang w:val="en-GB"/>
        </w:rPr>
        <w:t>For these participants</w:t>
      </w:r>
      <w:r w:rsidR="00CA1B00">
        <w:rPr>
          <w:sz w:val="20"/>
          <w:szCs w:val="20"/>
          <w:lang w:val="en-GB"/>
        </w:rPr>
        <w:t>,</w:t>
      </w:r>
      <w:r w:rsidR="00DB2506">
        <w:rPr>
          <w:sz w:val="20"/>
          <w:szCs w:val="20"/>
          <w:lang w:val="en-GB"/>
        </w:rPr>
        <w:t xml:space="preserve"> </w:t>
      </w:r>
      <w:r w:rsidRPr="00CB66E3">
        <w:rPr>
          <w:sz w:val="20"/>
          <w:szCs w:val="20"/>
          <w:lang w:val="en-GB"/>
        </w:rPr>
        <w:t>the information you share and how you use it depends on your values and morals as well as your individual circumstances. As one participant said, “</w:t>
      </w:r>
      <w:r w:rsidRPr="007F2EBC">
        <w:rPr>
          <w:i/>
          <w:sz w:val="20"/>
          <w:szCs w:val="20"/>
          <w:lang w:val="en-GB"/>
        </w:rPr>
        <w:t>it’s a lot to do with your priorities</w:t>
      </w:r>
      <w:r w:rsidRPr="00CB66E3">
        <w:rPr>
          <w:sz w:val="20"/>
          <w:szCs w:val="20"/>
          <w:lang w:val="en-GB"/>
        </w:rPr>
        <w:t>”. This is an element that digital service</w:t>
      </w:r>
      <w:r>
        <w:rPr>
          <w:sz w:val="20"/>
          <w:szCs w:val="20"/>
          <w:lang w:val="en-GB"/>
        </w:rPr>
        <w:t xml:space="preserve"> design</w:t>
      </w:r>
      <w:r w:rsidRPr="00CB66E3">
        <w:rPr>
          <w:sz w:val="20"/>
          <w:szCs w:val="20"/>
          <w:lang w:val="en-GB"/>
        </w:rPr>
        <w:t xml:space="preserve"> fail</w:t>
      </w:r>
      <w:r>
        <w:rPr>
          <w:sz w:val="20"/>
          <w:szCs w:val="20"/>
          <w:lang w:val="en-GB"/>
        </w:rPr>
        <w:t>s</w:t>
      </w:r>
      <w:r w:rsidRPr="00CB66E3">
        <w:rPr>
          <w:sz w:val="20"/>
          <w:szCs w:val="20"/>
          <w:lang w:val="en-GB"/>
        </w:rPr>
        <w:t xml:space="preserve"> to make allowances for – individuals have different priorities in their lives and therefore have different positions on what constitutes security. </w:t>
      </w:r>
      <w:r w:rsidR="00D26343" w:rsidRPr="00CB66E3">
        <w:rPr>
          <w:sz w:val="20"/>
          <w:szCs w:val="20"/>
          <w:lang w:val="en-GB"/>
        </w:rPr>
        <w:t xml:space="preserve">One participant in </w:t>
      </w:r>
      <w:r w:rsidR="00D26343">
        <w:rPr>
          <w:sz w:val="20"/>
          <w:szCs w:val="20"/>
          <w:lang w:val="en-GB"/>
        </w:rPr>
        <w:t xml:space="preserve">the third </w:t>
      </w:r>
      <w:r w:rsidR="00D26343" w:rsidRPr="00CB66E3">
        <w:rPr>
          <w:sz w:val="20"/>
          <w:szCs w:val="20"/>
          <w:lang w:val="en-GB"/>
        </w:rPr>
        <w:t>focus group told the following story of how she had recently lost her job: “</w:t>
      </w:r>
      <w:r w:rsidR="00D26343" w:rsidRPr="007F2EBC">
        <w:rPr>
          <w:i/>
          <w:sz w:val="20"/>
          <w:szCs w:val="20"/>
          <w:lang w:val="en-GB"/>
        </w:rPr>
        <w:t xml:space="preserve">The senior that was on, didn’t like us because she was me ex’s </w:t>
      </w:r>
      <w:r w:rsidR="00D26343" w:rsidRPr="007F2EBC">
        <w:rPr>
          <w:i/>
          <w:sz w:val="20"/>
          <w:szCs w:val="20"/>
          <w:lang w:val="en-GB"/>
        </w:rPr>
        <w:lastRenderedPageBreak/>
        <w:t>wife. She hated us and grassed us up for everything. But I should have grassed her up first because she was drinking on the job [….] But you cannot do that</w:t>
      </w:r>
      <w:r w:rsidR="00D26343" w:rsidRPr="00CB66E3">
        <w:rPr>
          <w:sz w:val="20"/>
          <w:szCs w:val="20"/>
          <w:lang w:val="en-GB"/>
        </w:rPr>
        <w:t>.” This story highlights that</w:t>
      </w:r>
      <w:r w:rsidR="00655091">
        <w:rPr>
          <w:sz w:val="20"/>
          <w:szCs w:val="20"/>
          <w:lang w:val="en-GB"/>
        </w:rPr>
        <w:t xml:space="preserve"> v</w:t>
      </w:r>
      <w:r w:rsidR="00655091" w:rsidRPr="00CB66E3">
        <w:rPr>
          <w:sz w:val="20"/>
          <w:szCs w:val="20"/>
          <w:lang w:val="en-GB"/>
        </w:rPr>
        <w:t>alues and morals shape what information is shared, and how it is used.</w:t>
      </w:r>
      <w:r w:rsidR="00D26343">
        <w:rPr>
          <w:sz w:val="20"/>
          <w:szCs w:val="20"/>
          <w:lang w:val="en-GB"/>
        </w:rPr>
        <w:t xml:space="preserve"> </w:t>
      </w:r>
      <w:r w:rsidRPr="00CB66E3">
        <w:rPr>
          <w:sz w:val="20"/>
          <w:szCs w:val="20"/>
          <w:lang w:val="en-GB"/>
        </w:rPr>
        <w:t>Yet digital s</w:t>
      </w:r>
      <w:r w:rsidR="00196759">
        <w:rPr>
          <w:sz w:val="20"/>
          <w:szCs w:val="20"/>
          <w:lang w:val="en-GB"/>
        </w:rPr>
        <w:t>ervices assume an ‘idealised’,</w:t>
      </w:r>
      <w:r w:rsidRPr="00CB66E3">
        <w:rPr>
          <w:sz w:val="20"/>
          <w:szCs w:val="20"/>
          <w:lang w:val="en-GB"/>
        </w:rPr>
        <w:t xml:space="preserve"> ‘abstract’ or ‘model’ individual </w:t>
      </w:r>
      <w:r w:rsidR="00D26343">
        <w:rPr>
          <w:sz w:val="20"/>
          <w:szCs w:val="20"/>
          <w:lang w:val="en-GB"/>
        </w:rPr>
        <w:t>interacting with systems and such abstractions often lack</w:t>
      </w:r>
      <w:r w:rsidR="00DB2506">
        <w:rPr>
          <w:sz w:val="20"/>
          <w:szCs w:val="20"/>
          <w:lang w:val="en-GB"/>
        </w:rPr>
        <w:t xml:space="preserve"> ecological validity</w:t>
      </w:r>
      <w:r w:rsidR="0048170E">
        <w:rPr>
          <w:sz w:val="20"/>
          <w:szCs w:val="20"/>
          <w:lang w:val="en-GB"/>
        </w:rPr>
        <w:t xml:space="preserve"> – a ‘cultural disconnect’ in which system designers illegitimately assume that system users share similar characteristics to a dominant social </w:t>
      </w:r>
      <w:r w:rsidR="00F274BB">
        <w:rPr>
          <w:sz w:val="20"/>
          <w:szCs w:val="20"/>
          <w:lang w:val="en-GB"/>
        </w:rPr>
        <w:t>type</w:t>
      </w:r>
      <w:r w:rsidR="0048170E">
        <w:rPr>
          <w:sz w:val="20"/>
          <w:szCs w:val="20"/>
          <w:lang w:val="en-GB"/>
        </w:rPr>
        <w:t xml:space="preserve">, </w:t>
      </w:r>
      <w:r w:rsidR="00F274BB">
        <w:rPr>
          <w:sz w:val="20"/>
          <w:szCs w:val="20"/>
          <w:lang w:val="en-GB"/>
        </w:rPr>
        <w:t>able</w:t>
      </w:r>
      <w:r w:rsidR="0048170E">
        <w:rPr>
          <w:sz w:val="20"/>
          <w:szCs w:val="20"/>
          <w:lang w:val="en-GB"/>
        </w:rPr>
        <w:t xml:space="preserve">, for example, </w:t>
      </w:r>
      <w:r w:rsidR="00F274BB">
        <w:rPr>
          <w:sz w:val="20"/>
          <w:szCs w:val="20"/>
          <w:lang w:val="en-GB"/>
        </w:rPr>
        <w:t xml:space="preserve">to </w:t>
      </w:r>
      <w:r w:rsidR="0048170E">
        <w:rPr>
          <w:sz w:val="20"/>
          <w:szCs w:val="20"/>
          <w:lang w:val="en-GB"/>
        </w:rPr>
        <w:t>manage passwords, absorb complex instructions and adapt easily to change (King &amp; Crewe</w:t>
      </w:r>
      <w:r w:rsidR="00D0144C">
        <w:rPr>
          <w:sz w:val="20"/>
          <w:szCs w:val="20"/>
          <w:lang w:val="en-GB"/>
        </w:rPr>
        <w:t>,</w:t>
      </w:r>
      <w:r w:rsidR="0048170E">
        <w:rPr>
          <w:sz w:val="20"/>
          <w:szCs w:val="20"/>
          <w:lang w:val="en-GB"/>
        </w:rPr>
        <w:t xml:space="preserve"> 2013)</w:t>
      </w:r>
      <w:r w:rsidR="00DB2506">
        <w:rPr>
          <w:sz w:val="20"/>
          <w:szCs w:val="20"/>
          <w:lang w:val="en-GB"/>
        </w:rPr>
        <w:t>. In such models attitudes and behaviours appear predictable and the state assumes that it understands</w:t>
      </w:r>
      <w:r w:rsidR="00D26343">
        <w:rPr>
          <w:sz w:val="20"/>
          <w:szCs w:val="20"/>
          <w:lang w:val="en-GB"/>
        </w:rPr>
        <w:t>, and can</w:t>
      </w:r>
      <w:r w:rsidR="00DB2506">
        <w:rPr>
          <w:sz w:val="20"/>
          <w:szCs w:val="20"/>
          <w:lang w:val="en-GB"/>
        </w:rPr>
        <w:t xml:space="preserve"> make sense of, its citizens. </w:t>
      </w:r>
      <w:r w:rsidR="00F04672">
        <w:rPr>
          <w:sz w:val="20"/>
          <w:szCs w:val="20"/>
          <w:lang w:val="en-GB"/>
        </w:rPr>
        <w:t xml:space="preserve">This insight led us to think about the importance of </w:t>
      </w:r>
      <w:r w:rsidR="00A61322">
        <w:rPr>
          <w:sz w:val="20"/>
          <w:szCs w:val="20"/>
          <w:lang w:val="en-GB"/>
        </w:rPr>
        <w:t xml:space="preserve">different types of </w:t>
      </w:r>
      <w:r w:rsidR="00F04672">
        <w:rPr>
          <w:sz w:val="20"/>
          <w:szCs w:val="20"/>
          <w:lang w:val="en-GB"/>
        </w:rPr>
        <w:t xml:space="preserve">legibility and how the </w:t>
      </w:r>
      <w:r w:rsidR="00BA1594">
        <w:rPr>
          <w:sz w:val="20"/>
          <w:szCs w:val="20"/>
          <w:lang w:val="en-GB"/>
        </w:rPr>
        <w:t>design of systems needs</w:t>
      </w:r>
      <w:r w:rsidR="00A61322">
        <w:rPr>
          <w:sz w:val="20"/>
          <w:szCs w:val="20"/>
          <w:lang w:val="en-GB"/>
        </w:rPr>
        <w:t xml:space="preserve"> to be able to adjust to different patterns of information sharing and protection</w:t>
      </w:r>
      <w:r w:rsidR="00F04672">
        <w:rPr>
          <w:sz w:val="20"/>
          <w:szCs w:val="20"/>
          <w:lang w:val="en-GB"/>
        </w:rPr>
        <w:t>.</w:t>
      </w:r>
    </w:p>
    <w:p w14:paraId="64956E46" w14:textId="64CF2359" w:rsidR="00C75627" w:rsidRPr="00CB66E3" w:rsidRDefault="00977D7A" w:rsidP="00C75627">
      <w:pPr>
        <w:rPr>
          <w:i/>
          <w:sz w:val="20"/>
          <w:szCs w:val="20"/>
          <w:lang w:val="en-GB"/>
        </w:rPr>
      </w:pPr>
      <w:r>
        <w:rPr>
          <w:i/>
          <w:sz w:val="20"/>
          <w:szCs w:val="20"/>
          <w:lang w:val="en-GB"/>
        </w:rPr>
        <w:t>2</w:t>
      </w:r>
      <w:r w:rsidR="00C75627" w:rsidRPr="00CB66E3">
        <w:rPr>
          <w:i/>
          <w:sz w:val="20"/>
          <w:szCs w:val="20"/>
          <w:lang w:val="en-GB"/>
        </w:rPr>
        <w:t>.2</w:t>
      </w:r>
      <w:r w:rsidR="00DE1546">
        <w:rPr>
          <w:i/>
          <w:sz w:val="20"/>
          <w:szCs w:val="20"/>
          <w:lang w:val="en-GB"/>
        </w:rPr>
        <w:t xml:space="preserve"> </w:t>
      </w:r>
      <w:r w:rsidR="00F04672">
        <w:rPr>
          <w:i/>
          <w:sz w:val="20"/>
          <w:szCs w:val="20"/>
          <w:lang w:val="en-GB"/>
        </w:rPr>
        <w:t>Trust rather than protection: a</w:t>
      </w:r>
      <w:r w:rsidR="00DE1546">
        <w:rPr>
          <w:i/>
          <w:sz w:val="20"/>
          <w:szCs w:val="20"/>
          <w:lang w:val="en-GB"/>
        </w:rPr>
        <w:t xml:space="preserve"> new start point for security design</w:t>
      </w:r>
    </w:p>
    <w:p w14:paraId="1C26E391" w14:textId="629BDD8A" w:rsidR="00D06AFD" w:rsidRPr="00CB66E3" w:rsidRDefault="00D06AFD" w:rsidP="00D06AFD">
      <w:pPr>
        <w:jc w:val="both"/>
        <w:rPr>
          <w:sz w:val="20"/>
          <w:szCs w:val="20"/>
          <w:lang w:val="en-GB"/>
        </w:rPr>
      </w:pPr>
      <w:r>
        <w:rPr>
          <w:sz w:val="20"/>
          <w:szCs w:val="20"/>
          <w:lang w:val="en-GB"/>
        </w:rPr>
        <w:t>W</w:t>
      </w:r>
      <w:r w:rsidRPr="00CB66E3">
        <w:rPr>
          <w:sz w:val="20"/>
          <w:szCs w:val="20"/>
          <w:lang w:val="en-GB"/>
        </w:rPr>
        <w:t>hilst</w:t>
      </w:r>
      <w:r w:rsidR="00680638">
        <w:rPr>
          <w:sz w:val="20"/>
          <w:szCs w:val="20"/>
          <w:lang w:val="en-GB"/>
        </w:rPr>
        <w:t xml:space="preserve"> a</w:t>
      </w:r>
      <w:r w:rsidRPr="00CB66E3">
        <w:rPr>
          <w:sz w:val="20"/>
          <w:szCs w:val="20"/>
          <w:lang w:val="en-GB"/>
        </w:rPr>
        <w:t xml:space="preserve"> </w:t>
      </w:r>
      <w:r w:rsidR="00520003">
        <w:rPr>
          <w:sz w:val="20"/>
          <w:szCs w:val="20"/>
          <w:lang w:val="en-GB"/>
        </w:rPr>
        <w:t xml:space="preserve">Government </w:t>
      </w:r>
      <w:r w:rsidRPr="00CB66E3">
        <w:rPr>
          <w:sz w:val="20"/>
          <w:szCs w:val="20"/>
          <w:lang w:val="en-GB"/>
        </w:rPr>
        <w:t>cybersecurity response is more likely to encompass access control and surveillance, t</w:t>
      </w:r>
      <w:r>
        <w:rPr>
          <w:sz w:val="20"/>
          <w:szCs w:val="20"/>
          <w:lang w:val="en-GB"/>
        </w:rPr>
        <w:t>his case study indicates that a</w:t>
      </w:r>
      <w:r w:rsidRPr="00CB66E3">
        <w:rPr>
          <w:sz w:val="20"/>
          <w:szCs w:val="20"/>
          <w:lang w:val="en-GB"/>
        </w:rPr>
        <w:t xml:space="preserve"> community approach </w:t>
      </w:r>
      <w:r>
        <w:rPr>
          <w:sz w:val="20"/>
          <w:szCs w:val="20"/>
          <w:lang w:val="en-GB"/>
        </w:rPr>
        <w:t xml:space="preserve">is more likely to </w:t>
      </w:r>
      <w:r w:rsidRPr="00CB66E3">
        <w:rPr>
          <w:sz w:val="20"/>
          <w:szCs w:val="20"/>
          <w:lang w:val="en-GB"/>
        </w:rPr>
        <w:t xml:space="preserve">focus on trust points, crowdsourced trust recommendations and the </w:t>
      </w:r>
      <w:r w:rsidR="00680638">
        <w:rPr>
          <w:sz w:val="20"/>
          <w:szCs w:val="20"/>
          <w:lang w:val="en-GB"/>
        </w:rPr>
        <w:t xml:space="preserve">collaborative </w:t>
      </w:r>
      <w:r w:rsidRPr="00CB66E3">
        <w:rPr>
          <w:sz w:val="20"/>
          <w:szCs w:val="20"/>
          <w:lang w:val="en-GB"/>
        </w:rPr>
        <w:t xml:space="preserve">use of the community’s own resources to dispel abusive behaviour. </w:t>
      </w:r>
      <w:r w:rsidR="0048170E">
        <w:rPr>
          <w:sz w:val="20"/>
          <w:szCs w:val="20"/>
          <w:lang w:val="en-GB"/>
        </w:rPr>
        <w:t xml:space="preserve">This </w:t>
      </w:r>
      <w:r w:rsidR="00F274BB">
        <w:rPr>
          <w:sz w:val="20"/>
          <w:szCs w:val="20"/>
          <w:lang w:val="en-GB"/>
        </w:rPr>
        <w:t>understanding</w:t>
      </w:r>
      <w:r w:rsidR="0048170E">
        <w:rPr>
          <w:sz w:val="20"/>
          <w:szCs w:val="20"/>
          <w:lang w:val="en-GB"/>
        </w:rPr>
        <w:t xml:space="preserve"> of how communities work might well be </w:t>
      </w:r>
      <w:r w:rsidR="00F274BB">
        <w:rPr>
          <w:sz w:val="20"/>
          <w:szCs w:val="20"/>
          <w:lang w:val="en-GB"/>
        </w:rPr>
        <w:t>possessed</w:t>
      </w:r>
      <w:r w:rsidR="0048170E">
        <w:rPr>
          <w:sz w:val="20"/>
          <w:szCs w:val="20"/>
          <w:lang w:val="en-GB"/>
        </w:rPr>
        <w:t xml:space="preserve"> by those tasked with </w:t>
      </w:r>
      <w:r w:rsidR="00F274BB">
        <w:rPr>
          <w:sz w:val="20"/>
          <w:szCs w:val="20"/>
          <w:lang w:val="en-GB"/>
        </w:rPr>
        <w:t xml:space="preserve">local </w:t>
      </w:r>
      <w:r w:rsidR="0048170E">
        <w:rPr>
          <w:sz w:val="20"/>
          <w:szCs w:val="20"/>
          <w:lang w:val="en-GB"/>
        </w:rPr>
        <w:t xml:space="preserve">delivery of systems, but is typically lacking in the higher echelons of policymakers and system designers, a </w:t>
      </w:r>
      <w:r w:rsidR="00F274BB">
        <w:rPr>
          <w:sz w:val="20"/>
          <w:szCs w:val="20"/>
          <w:lang w:val="en-GB"/>
        </w:rPr>
        <w:t>phenomenon which has been called</w:t>
      </w:r>
      <w:r w:rsidR="0048170E">
        <w:rPr>
          <w:sz w:val="20"/>
          <w:szCs w:val="20"/>
          <w:lang w:val="en-GB"/>
        </w:rPr>
        <w:t xml:space="preserve"> ‘operational disconnect’ (King &amp; Crewe</w:t>
      </w:r>
      <w:r w:rsidR="00CE6C96">
        <w:rPr>
          <w:sz w:val="20"/>
          <w:szCs w:val="20"/>
          <w:lang w:val="en-GB"/>
        </w:rPr>
        <w:t>,</w:t>
      </w:r>
      <w:r w:rsidR="0048170E">
        <w:rPr>
          <w:sz w:val="20"/>
          <w:szCs w:val="20"/>
          <w:lang w:val="en-GB"/>
        </w:rPr>
        <w:t xml:space="preserve"> 2013).</w:t>
      </w:r>
    </w:p>
    <w:p w14:paraId="53B46758" w14:textId="1006A584" w:rsidR="00C75627" w:rsidRPr="00CB66E3" w:rsidRDefault="005F75BE" w:rsidP="00C75627">
      <w:pPr>
        <w:jc w:val="both"/>
        <w:rPr>
          <w:sz w:val="20"/>
          <w:szCs w:val="20"/>
          <w:lang w:val="en-GB"/>
        </w:rPr>
      </w:pPr>
      <w:r>
        <w:rPr>
          <w:sz w:val="20"/>
          <w:szCs w:val="20"/>
          <w:lang w:val="en-GB"/>
        </w:rPr>
        <w:t xml:space="preserve">The types of trust </w:t>
      </w:r>
      <w:r w:rsidR="00196759">
        <w:rPr>
          <w:sz w:val="20"/>
          <w:szCs w:val="20"/>
          <w:lang w:val="en-GB"/>
        </w:rPr>
        <w:t>discussed</w:t>
      </w:r>
      <w:r>
        <w:rPr>
          <w:sz w:val="20"/>
          <w:szCs w:val="20"/>
          <w:lang w:val="en-GB"/>
        </w:rPr>
        <w:t xml:space="preserve"> during the study were many and varied</w:t>
      </w:r>
      <w:r w:rsidR="00C75627" w:rsidRPr="00CB66E3">
        <w:rPr>
          <w:sz w:val="20"/>
          <w:szCs w:val="20"/>
          <w:lang w:val="en-GB"/>
        </w:rPr>
        <w:t>, including trust in the quality of the information, trust in the individuals providing the information</w:t>
      </w:r>
      <w:r w:rsidR="00C75627">
        <w:rPr>
          <w:sz w:val="20"/>
          <w:szCs w:val="20"/>
          <w:lang w:val="en-GB"/>
        </w:rPr>
        <w:t>, trust that the information exchange will help their circumstances</w:t>
      </w:r>
      <w:r w:rsidR="00C75627" w:rsidRPr="00CB66E3">
        <w:rPr>
          <w:sz w:val="20"/>
          <w:szCs w:val="20"/>
          <w:lang w:val="en-GB"/>
        </w:rPr>
        <w:t xml:space="preserve"> and trust that personal details would be kept private. The participants showed that trust in the quality of the information </w:t>
      </w:r>
      <w:r w:rsidR="00C75627">
        <w:rPr>
          <w:sz w:val="20"/>
          <w:szCs w:val="20"/>
          <w:lang w:val="en-GB"/>
        </w:rPr>
        <w:t>can be</w:t>
      </w:r>
      <w:r w:rsidR="00C75627" w:rsidRPr="00CB66E3">
        <w:rPr>
          <w:sz w:val="20"/>
          <w:szCs w:val="20"/>
          <w:lang w:val="en-GB"/>
        </w:rPr>
        <w:t xml:space="preserve"> engendered through knowledge champions who </w:t>
      </w:r>
      <w:r w:rsidR="00C75627">
        <w:rPr>
          <w:sz w:val="20"/>
          <w:szCs w:val="20"/>
          <w:lang w:val="en-GB"/>
        </w:rPr>
        <w:t xml:space="preserve">are </w:t>
      </w:r>
      <w:r w:rsidR="00520003">
        <w:rPr>
          <w:sz w:val="20"/>
          <w:szCs w:val="20"/>
          <w:lang w:val="en-GB"/>
        </w:rPr>
        <w:t>seen as having</w:t>
      </w:r>
      <w:r w:rsidR="00C75627" w:rsidRPr="00CB66E3">
        <w:rPr>
          <w:sz w:val="20"/>
          <w:szCs w:val="20"/>
          <w:lang w:val="en-GB"/>
        </w:rPr>
        <w:t xml:space="preserve"> specialist knowledge</w:t>
      </w:r>
      <w:r w:rsidR="00520003">
        <w:rPr>
          <w:sz w:val="20"/>
          <w:szCs w:val="20"/>
          <w:lang w:val="en-GB"/>
        </w:rPr>
        <w:t xml:space="preserve"> and are </w:t>
      </w:r>
      <w:r w:rsidR="00C75627" w:rsidRPr="00CB66E3">
        <w:rPr>
          <w:sz w:val="20"/>
          <w:szCs w:val="20"/>
          <w:lang w:val="en-GB"/>
        </w:rPr>
        <w:t>validated through recommendations</w:t>
      </w:r>
      <w:r w:rsidR="00520003">
        <w:rPr>
          <w:sz w:val="20"/>
          <w:szCs w:val="20"/>
          <w:lang w:val="en-GB"/>
        </w:rPr>
        <w:t xml:space="preserve">, </w:t>
      </w:r>
      <w:r w:rsidR="00C75627" w:rsidRPr="00CB66E3">
        <w:rPr>
          <w:sz w:val="20"/>
          <w:szCs w:val="20"/>
          <w:lang w:val="en-GB"/>
        </w:rPr>
        <w:t>through their jobs in related areas</w:t>
      </w:r>
      <w:r w:rsidR="00520003">
        <w:rPr>
          <w:sz w:val="20"/>
          <w:szCs w:val="20"/>
          <w:lang w:val="en-GB"/>
        </w:rPr>
        <w:t>,</w:t>
      </w:r>
      <w:r w:rsidR="00C75627" w:rsidRPr="00CB66E3">
        <w:rPr>
          <w:sz w:val="20"/>
          <w:szCs w:val="20"/>
          <w:lang w:val="en-GB"/>
        </w:rPr>
        <w:t xml:space="preserve"> as well as through their track record in providing specialist advice. Trust in the quality of information was further engendered by peer review of information shared within the community. </w:t>
      </w:r>
    </w:p>
    <w:p w14:paraId="03F7EE63" w14:textId="6B9F407D" w:rsidR="00F04672" w:rsidRPr="00CB66E3" w:rsidRDefault="00C75627" w:rsidP="00F04672">
      <w:pPr>
        <w:jc w:val="both"/>
        <w:rPr>
          <w:sz w:val="20"/>
          <w:szCs w:val="20"/>
          <w:lang w:val="en-GB"/>
        </w:rPr>
      </w:pPr>
      <w:r w:rsidRPr="00CB66E3">
        <w:rPr>
          <w:sz w:val="20"/>
          <w:szCs w:val="20"/>
          <w:lang w:val="en-GB"/>
        </w:rPr>
        <w:t xml:space="preserve">In the later focus groups, concern for the security and safety of </w:t>
      </w:r>
      <w:r w:rsidR="00520003">
        <w:rPr>
          <w:sz w:val="20"/>
          <w:szCs w:val="20"/>
          <w:lang w:val="en-GB"/>
        </w:rPr>
        <w:t>community members who were</w:t>
      </w:r>
      <w:r w:rsidRPr="00CB66E3">
        <w:rPr>
          <w:sz w:val="20"/>
          <w:szCs w:val="20"/>
          <w:lang w:val="en-GB"/>
        </w:rPr>
        <w:t xml:space="preserve"> information providers emerged as a dominant theme. These concerns included liability if the information turned out to be incorrect and concerns for the safety of the provider if they gave information that involved local intelligence about community activities. Of particular concern was information shared about loan sharks and</w:t>
      </w:r>
      <w:r>
        <w:rPr>
          <w:sz w:val="20"/>
          <w:szCs w:val="20"/>
          <w:lang w:val="en-GB"/>
        </w:rPr>
        <w:t xml:space="preserve"> unhelpful or abusive staff who</w:t>
      </w:r>
      <w:r w:rsidRPr="00CB66E3">
        <w:rPr>
          <w:sz w:val="20"/>
          <w:szCs w:val="20"/>
          <w:lang w:val="en-GB"/>
        </w:rPr>
        <w:t xml:space="preserve"> provided state or state-endorsed support. A further concern was the potential for individuals to use the information that was provided to them to defraud the state or other institutions. </w:t>
      </w:r>
      <w:r w:rsidR="00F04672" w:rsidRPr="00CB66E3">
        <w:rPr>
          <w:sz w:val="20"/>
          <w:szCs w:val="20"/>
          <w:lang w:val="en-GB"/>
        </w:rPr>
        <w:t xml:space="preserve">The third, fourth and fifth focus groups focused on ideas of information sharing to better support each other in responding to the pressures articulated. </w:t>
      </w:r>
      <w:r w:rsidR="00F04672">
        <w:rPr>
          <w:sz w:val="20"/>
          <w:szCs w:val="20"/>
          <w:lang w:val="en-GB"/>
        </w:rPr>
        <w:t>During this process, s</w:t>
      </w:r>
      <w:r w:rsidR="00F04672" w:rsidRPr="00CB66E3">
        <w:rPr>
          <w:sz w:val="20"/>
          <w:szCs w:val="20"/>
          <w:lang w:val="en-GB"/>
        </w:rPr>
        <w:t xml:space="preserve">everal key security concerns were identified: trust in the quality of the information, the safety of the information providers and the potential for manipulation or abuse of the information provided.  </w:t>
      </w:r>
    </w:p>
    <w:p w14:paraId="14CC022C" w14:textId="46B0DE6A" w:rsidR="00C75627" w:rsidRPr="00CB66E3" w:rsidRDefault="00C75627" w:rsidP="00C75627">
      <w:pPr>
        <w:jc w:val="both"/>
        <w:rPr>
          <w:sz w:val="20"/>
          <w:szCs w:val="20"/>
          <w:lang w:val="en-GB"/>
        </w:rPr>
      </w:pPr>
      <w:r w:rsidRPr="00CB66E3">
        <w:rPr>
          <w:sz w:val="20"/>
          <w:szCs w:val="20"/>
          <w:lang w:val="en-GB"/>
        </w:rPr>
        <w:t>These security concerns focus on the close proximal relationships in everyday life. Th</w:t>
      </w:r>
      <w:r w:rsidR="00A966C0">
        <w:rPr>
          <w:sz w:val="20"/>
          <w:szCs w:val="20"/>
          <w:lang w:val="en-GB"/>
        </w:rPr>
        <w:t>e</w:t>
      </w:r>
      <w:r w:rsidRPr="00CB66E3">
        <w:rPr>
          <w:sz w:val="20"/>
          <w:szCs w:val="20"/>
          <w:lang w:val="en-GB"/>
        </w:rPr>
        <w:t>s</w:t>
      </w:r>
      <w:r w:rsidR="00A966C0">
        <w:rPr>
          <w:sz w:val="20"/>
          <w:szCs w:val="20"/>
          <w:lang w:val="en-GB"/>
        </w:rPr>
        <w:t>e</w:t>
      </w:r>
      <w:r w:rsidRPr="00CB66E3">
        <w:rPr>
          <w:sz w:val="20"/>
          <w:szCs w:val="20"/>
          <w:lang w:val="en-GB"/>
        </w:rPr>
        <w:t xml:space="preserve"> concern</w:t>
      </w:r>
      <w:r w:rsidR="00A966C0">
        <w:rPr>
          <w:sz w:val="20"/>
          <w:szCs w:val="20"/>
          <w:lang w:val="en-GB"/>
        </w:rPr>
        <w:t>s</w:t>
      </w:r>
      <w:r w:rsidRPr="00CB66E3">
        <w:rPr>
          <w:sz w:val="20"/>
          <w:szCs w:val="20"/>
          <w:lang w:val="en-GB"/>
        </w:rPr>
        <w:t xml:space="preserve"> contrast sharply</w:t>
      </w:r>
      <w:r w:rsidR="00BA1594">
        <w:rPr>
          <w:sz w:val="20"/>
          <w:szCs w:val="20"/>
          <w:lang w:val="en-GB"/>
        </w:rPr>
        <w:t xml:space="preserve"> with</w:t>
      </w:r>
      <w:r w:rsidRPr="00CB66E3">
        <w:rPr>
          <w:sz w:val="20"/>
          <w:szCs w:val="20"/>
          <w:lang w:val="en-GB"/>
        </w:rPr>
        <w:t xml:space="preserve"> the more conventional cybersecurity </w:t>
      </w:r>
      <w:r w:rsidR="00DD60FD">
        <w:rPr>
          <w:sz w:val="20"/>
          <w:szCs w:val="20"/>
          <w:lang w:val="en-GB"/>
        </w:rPr>
        <w:t xml:space="preserve">systems’ protection </w:t>
      </w:r>
      <w:r w:rsidRPr="00CB66E3">
        <w:rPr>
          <w:sz w:val="20"/>
          <w:szCs w:val="20"/>
          <w:lang w:val="en-GB"/>
        </w:rPr>
        <w:t xml:space="preserve">approach </w:t>
      </w:r>
      <w:r w:rsidR="00006B2C">
        <w:rPr>
          <w:sz w:val="20"/>
          <w:szCs w:val="20"/>
          <w:lang w:val="en-GB"/>
        </w:rPr>
        <w:t xml:space="preserve">that </w:t>
      </w:r>
      <w:r>
        <w:rPr>
          <w:sz w:val="20"/>
          <w:szCs w:val="20"/>
          <w:lang w:val="en-GB"/>
        </w:rPr>
        <w:t>focus</w:t>
      </w:r>
      <w:r w:rsidR="00006B2C">
        <w:rPr>
          <w:sz w:val="20"/>
          <w:szCs w:val="20"/>
          <w:lang w:val="en-GB"/>
        </w:rPr>
        <w:t>es</w:t>
      </w:r>
      <w:r>
        <w:rPr>
          <w:sz w:val="20"/>
          <w:szCs w:val="20"/>
          <w:lang w:val="en-GB"/>
        </w:rPr>
        <w:t xml:space="preserve"> </w:t>
      </w:r>
      <w:r w:rsidRPr="00CB66E3">
        <w:rPr>
          <w:sz w:val="20"/>
          <w:szCs w:val="20"/>
          <w:lang w:val="en-GB"/>
        </w:rPr>
        <w:t xml:space="preserve">on attackers </w:t>
      </w:r>
      <w:r>
        <w:rPr>
          <w:sz w:val="20"/>
          <w:szCs w:val="20"/>
          <w:lang w:val="en-GB"/>
        </w:rPr>
        <w:t xml:space="preserve">misusing </w:t>
      </w:r>
      <w:r w:rsidRPr="00CB66E3">
        <w:rPr>
          <w:sz w:val="20"/>
          <w:szCs w:val="20"/>
          <w:lang w:val="en-GB"/>
        </w:rPr>
        <w:t>the system</w:t>
      </w:r>
      <w:r w:rsidR="00BA1594">
        <w:rPr>
          <w:sz w:val="20"/>
          <w:szCs w:val="20"/>
          <w:lang w:val="en-GB"/>
        </w:rPr>
        <w:t>.</w:t>
      </w:r>
      <w:r w:rsidRPr="00CB66E3">
        <w:rPr>
          <w:sz w:val="20"/>
          <w:szCs w:val="20"/>
          <w:lang w:val="en-GB"/>
        </w:rPr>
        <w:t xml:space="preserve"> </w:t>
      </w:r>
      <w:r w:rsidR="00BA1594">
        <w:rPr>
          <w:sz w:val="20"/>
          <w:szCs w:val="20"/>
          <w:lang w:val="en-GB"/>
        </w:rPr>
        <w:t>It suggests</w:t>
      </w:r>
      <w:r w:rsidR="00BA1594" w:rsidRPr="00CB66E3">
        <w:rPr>
          <w:sz w:val="20"/>
          <w:szCs w:val="20"/>
          <w:lang w:val="en-GB"/>
        </w:rPr>
        <w:t xml:space="preserve"> </w:t>
      </w:r>
      <w:r w:rsidR="00006B2C">
        <w:rPr>
          <w:sz w:val="20"/>
          <w:szCs w:val="20"/>
          <w:lang w:val="en-GB"/>
        </w:rPr>
        <w:t>an approach to protect</w:t>
      </w:r>
      <w:r w:rsidRPr="00CB66E3">
        <w:rPr>
          <w:sz w:val="20"/>
          <w:szCs w:val="20"/>
          <w:lang w:val="en-GB"/>
        </w:rPr>
        <w:t xml:space="preserve"> </w:t>
      </w:r>
      <w:r w:rsidR="00006B2C">
        <w:rPr>
          <w:sz w:val="20"/>
          <w:szCs w:val="20"/>
          <w:lang w:val="en-GB"/>
        </w:rPr>
        <w:t xml:space="preserve">citizens </w:t>
      </w:r>
      <w:r w:rsidRPr="00CB66E3">
        <w:rPr>
          <w:sz w:val="20"/>
          <w:szCs w:val="20"/>
          <w:lang w:val="en-GB"/>
        </w:rPr>
        <w:t>who suffer as a result of the lack of information, the flow of false information, the misrouting of information by those who want to abuse the network and the pressure</w:t>
      </w:r>
      <w:r>
        <w:rPr>
          <w:sz w:val="20"/>
          <w:szCs w:val="20"/>
          <w:lang w:val="en-GB"/>
        </w:rPr>
        <w:t xml:space="preserve">s inherent within the context of use. </w:t>
      </w:r>
      <w:r w:rsidR="005F75BE">
        <w:rPr>
          <w:sz w:val="20"/>
          <w:szCs w:val="20"/>
          <w:lang w:val="en-GB"/>
        </w:rPr>
        <w:t xml:space="preserve">To address these latter concerns, the start point is </w:t>
      </w:r>
      <w:r w:rsidR="004064DB">
        <w:rPr>
          <w:sz w:val="20"/>
          <w:szCs w:val="20"/>
          <w:lang w:val="en-GB"/>
        </w:rPr>
        <w:t xml:space="preserve">trust and collaboration rather than </w:t>
      </w:r>
      <w:r w:rsidR="008A2C29">
        <w:rPr>
          <w:sz w:val="20"/>
          <w:szCs w:val="20"/>
          <w:lang w:val="en-GB"/>
        </w:rPr>
        <w:t xml:space="preserve">a control architecture </w:t>
      </w:r>
      <w:r w:rsidR="00C95932">
        <w:rPr>
          <w:sz w:val="20"/>
          <w:szCs w:val="20"/>
          <w:lang w:val="en-GB"/>
        </w:rPr>
        <w:t xml:space="preserve">to protect against </w:t>
      </w:r>
      <w:r w:rsidR="004064DB">
        <w:rPr>
          <w:sz w:val="20"/>
          <w:szCs w:val="20"/>
          <w:lang w:val="en-GB"/>
        </w:rPr>
        <w:t xml:space="preserve">attackers and malicious activities. </w:t>
      </w:r>
    </w:p>
    <w:p w14:paraId="002D2CFC" w14:textId="0A515F21" w:rsidR="00B869A0" w:rsidRDefault="00F17DF4" w:rsidP="00B94B0C">
      <w:pPr>
        <w:rPr>
          <w:sz w:val="20"/>
          <w:szCs w:val="20"/>
          <w:lang w:val="en-GB"/>
        </w:rPr>
      </w:pPr>
      <w:r>
        <w:rPr>
          <w:sz w:val="20"/>
          <w:szCs w:val="20"/>
          <w:lang w:val="en-GB"/>
        </w:rPr>
        <w:t>Our case study insights led us to conclude that a</w:t>
      </w:r>
      <w:r w:rsidRPr="00CB66E3">
        <w:rPr>
          <w:sz w:val="20"/>
          <w:szCs w:val="20"/>
          <w:lang w:val="en-GB"/>
        </w:rPr>
        <w:t xml:space="preserve"> community approach </w:t>
      </w:r>
      <w:r w:rsidR="00EF5D99">
        <w:rPr>
          <w:sz w:val="20"/>
          <w:szCs w:val="20"/>
          <w:lang w:val="en-GB"/>
        </w:rPr>
        <w:t xml:space="preserve">to security might </w:t>
      </w:r>
      <w:r w:rsidRPr="00CB66E3">
        <w:rPr>
          <w:sz w:val="20"/>
          <w:szCs w:val="20"/>
          <w:lang w:val="en-GB"/>
        </w:rPr>
        <w:t>focus on trust points, crowdsourced trust recommendations and the use of the community’s own resources to dispel abusive behaviour. From our analysis of focus group data</w:t>
      </w:r>
      <w:r w:rsidR="00FD4F95">
        <w:rPr>
          <w:sz w:val="20"/>
          <w:szCs w:val="20"/>
          <w:lang w:val="en-GB"/>
        </w:rPr>
        <w:t xml:space="preserve"> and a comparison </w:t>
      </w:r>
      <w:r w:rsidR="0021543F">
        <w:rPr>
          <w:sz w:val="20"/>
          <w:szCs w:val="20"/>
          <w:lang w:val="en-GB"/>
        </w:rPr>
        <w:t xml:space="preserve">of the community response </w:t>
      </w:r>
      <w:r w:rsidR="00FD4F95">
        <w:rPr>
          <w:sz w:val="20"/>
          <w:szCs w:val="20"/>
          <w:lang w:val="en-GB"/>
        </w:rPr>
        <w:t xml:space="preserve">with </w:t>
      </w:r>
      <w:r w:rsidR="005F07C6">
        <w:rPr>
          <w:sz w:val="20"/>
          <w:szCs w:val="20"/>
          <w:lang w:val="en-GB"/>
        </w:rPr>
        <w:t>the typical state approaches to technological control</w:t>
      </w:r>
      <w:r w:rsidRPr="00CB66E3">
        <w:rPr>
          <w:sz w:val="20"/>
          <w:szCs w:val="20"/>
          <w:lang w:val="en-GB"/>
        </w:rPr>
        <w:t xml:space="preserve">, </w:t>
      </w:r>
      <w:r>
        <w:rPr>
          <w:sz w:val="20"/>
          <w:szCs w:val="20"/>
          <w:lang w:val="en-GB"/>
        </w:rPr>
        <w:t xml:space="preserve">we </w:t>
      </w:r>
      <w:r w:rsidR="005F07C6">
        <w:rPr>
          <w:sz w:val="20"/>
          <w:szCs w:val="20"/>
          <w:lang w:val="en-GB"/>
        </w:rPr>
        <w:t>focused our attention on</w:t>
      </w:r>
      <w:r>
        <w:rPr>
          <w:sz w:val="20"/>
          <w:szCs w:val="20"/>
          <w:lang w:val="en-GB"/>
        </w:rPr>
        <w:t xml:space="preserve"> the theoretical underpinnings of a security design that speaks </w:t>
      </w:r>
      <w:r w:rsidRPr="00CB66E3">
        <w:rPr>
          <w:sz w:val="20"/>
          <w:szCs w:val="20"/>
          <w:lang w:val="en-GB"/>
        </w:rPr>
        <w:t xml:space="preserve">to the three absences of security consensus, control equivalence and two-way legibility that we identified above. We conclude that such principles </w:t>
      </w:r>
      <w:r>
        <w:rPr>
          <w:sz w:val="20"/>
          <w:szCs w:val="20"/>
          <w:lang w:val="en-GB"/>
        </w:rPr>
        <w:t xml:space="preserve">have the potential to </w:t>
      </w:r>
      <w:r w:rsidRPr="00CB66E3">
        <w:rPr>
          <w:sz w:val="20"/>
          <w:szCs w:val="20"/>
          <w:lang w:val="en-GB"/>
        </w:rPr>
        <w:t>encourage a collective notion of cybersecurity and engender positive buy-in and active engagement from citizens</w:t>
      </w:r>
      <w:r w:rsidR="00B52D91">
        <w:rPr>
          <w:sz w:val="20"/>
          <w:szCs w:val="20"/>
          <w:lang w:val="en-GB"/>
        </w:rPr>
        <w:t>, facilitating a genuinely sociotechnical cybersecurity system</w:t>
      </w:r>
      <w:r w:rsidRPr="00CB66E3">
        <w:rPr>
          <w:sz w:val="20"/>
          <w:szCs w:val="20"/>
          <w:lang w:val="en-GB"/>
        </w:rPr>
        <w:t>.</w:t>
      </w:r>
      <w:r>
        <w:rPr>
          <w:sz w:val="20"/>
          <w:szCs w:val="20"/>
          <w:lang w:val="en-GB"/>
        </w:rPr>
        <w:t xml:space="preserve"> We conclude that</w:t>
      </w:r>
      <w:r w:rsidR="00C61A62">
        <w:rPr>
          <w:sz w:val="20"/>
          <w:szCs w:val="20"/>
          <w:lang w:val="en-GB"/>
        </w:rPr>
        <w:t xml:space="preserve"> in the digital by default era, </w:t>
      </w:r>
      <w:r>
        <w:rPr>
          <w:sz w:val="20"/>
          <w:szCs w:val="20"/>
          <w:lang w:val="en-GB"/>
        </w:rPr>
        <w:t xml:space="preserve">trust </w:t>
      </w:r>
      <w:r w:rsidR="00C61A62">
        <w:rPr>
          <w:sz w:val="20"/>
          <w:szCs w:val="20"/>
          <w:lang w:val="en-GB"/>
        </w:rPr>
        <w:t xml:space="preserve">between state and citizen </w:t>
      </w:r>
      <w:r>
        <w:rPr>
          <w:sz w:val="20"/>
          <w:szCs w:val="20"/>
          <w:lang w:val="en-GB"/>
        </w:rPr>
        <w:t>is</w:t>
      </w:r>
      <w:r w:rsidR="00C61A62">
        <w:rPr>
          <w:sz w:val="20"/>
          <w:szCs w:val="20"/>
          <w:lang w:val="en-GB"/>
        </w:rPr>
        <w:t xml:space="preserve"> in large part</w:t>
      </w:r>
      <w:r>
        <w:rPr>
          <w:sz w:val="20"/>
          <w:szCs w:val="20"/>
          <w:lang w:val="en-GB"/>
        </w:rPr>
        <w:t xml:space="preserve"> built by developing a cybersecurity model that can </w:t>
      </w:r>
      <w:r w:rsidR="005D3702">
        <w:rPr>
          <w:sz w:val="20"/>
          <w:szCs w:val="20"/>
          <w:lang w:val="en-GB"/>
        </w:rPr>
        <w:t xml:space="preserve">1) </w:t>
      </w:r>
      <w:r>
        <w:rPr>
          <w:sz w:val="20"/>
          <w:szCs w:val="20"/>
          <w:lang w:val="en-GB"/>
        </w:rPr>
        <w:t xml:space="preserve">adjust to the security needs of the citizen, </w:t>
      </w:r>
      <w:r w:rsidR="005D3702">
        <w:rPr>
          <w:sz w:val="20"/>
          <w:szCs w:val="20"/>
          <w:lang w:val="en-GB"/>
        </w:rPr>
        <w:t xml:space="preserve">2) </w:t>
      </w:r>
      <w:r>
        <w:rPr>
          <w:sz w:val="20"/>
          <w:szCs w:val="20"/>
          <w:lang w:val="en-GB"/>
        </w:rPr>
        <w:t>that provides a more comprehensive range of security qualities and</w:t>
      </w:r>
      <w:r w:rsidR="005D3702">
        <w:rPr>
          <w:sz w:val="20"/>
          <w:szCs w:val="20"/>
          <w:lang w:val="en-GB"/>
        </w:rPr>
        <w:t xml:space="preserve"> 3)</w:t>
      </w:r>
      <w:r>
        <w:rPr>
          <w:sz w:val="20"/>
          <w:szCs w:val="20"/>
          <w:lang w:val="en-GB"/>
        </w:rPr>
        <w:t xml:space="preserve"> is legible to the citizen. We explore these three principles below.</w:t>
      </w:r>
    </w:p>
    <w:p w14:paraId="4FBCA0AC" w14:textId="602372A5" w:rsidR="00726428" w:rsidRPr="00CB66E3" w:rsidRDefault="00FA6C84" w:rsidP="00B94B0C">
      <w:pPr>
        <w:rPr>
          <w:b/>
          <w:sz w:val="20"/>
          <w:szCs w:val="20"/>
          <w:lang w:val="en-GB"/>
        </w:rPr>
      </w:pPr>
      <w:r>
        <w:rPr>
          <w:b/>
          <w:sz w:val="20"/>
          <w:szCs w:val="20"/>
          <w:lang w:val="en-GB"/>
        </w:rPr>
        <w:t>3</w:t>
      </w:r>
      <w:r w:rsidR="00726428" w:rsidRPr="00CB66E3">
        <w:rPr>
          <w:b/>
          <w:sz w:val="20"/>
          <w:szCs w:val="20"/>
          <w:lang w:val="en-GB"/>
        </w:rPr>
        <w:t xml:space="preserve">. </w:t>
      </w:r>
      <w:r w:rsidR="00F274BB">
        <w:rPr>
          <w:b/>
          <w:sz w:val="20"/>
          <w:szCs w:val="20"/>
          <w:lang w:val="en-GB"/>
        </w:rPr>
        <w:t xml:space="preserve">The First Absence: </w:t>
      </w:r>
      <w:r>
        <w:rPr>
          <w:b/>
          <w:sz w:val="20"/>
          <w:szCs w:val="20"/>
          <w:lang w:val="en-GB"/>
        </w:rPr>
        <w:t>The</w:t>
      </w:r>
      <w:r w:rsidRPr="00CB66E3">
        <w:rPr>
          <w:b/>
          <w:sz w:val="20"/>
          <w:szCs w:val="20"/>
          <w:lang w:val="en-GB"/>
        </w:rPr>
        <w:t xml:space="preserve"> </w:t>
      </w:r>
      <w:r w:rsidR="00726428" w:rsidRPr="00CB66E3">
        <w:rPr>
          <w:b/>
          <w:sz w:val="20"/>
          <w:szCs w:val="20"/>
          <w:lang w:val="en-GB"/>
        </w:rPr>
        <w:t>Security</w:t>
      </w:r>
      <w:r>
        <w:rPr>
          <w:b/>
          <w:sz w:val="20"/>
          <w:szCs w:val="20"/>
          <w:lang w:val="en-GB"/>
        </w:rPr>
        <w:t xml:space="preserve"> of the Citizen</w:t>
      </w:r>
    </w:p>
    <w:p w14:paraId="59AAB166" w14:textId="63576A19" w:rsidR="00726428" w:rsidRPr="00CB66E3" w:rsidRDefault="00236C89" w:rsidP="00B94B0C">
      <w:pPr>
        <w:jc w:val="both"/>
        <w:rPr>
          <w:sz w:val="20"/>
          <w:szCs w:val="20"/>
          <w:lang w:val="en-GB"/>
        </w:rPr>
      </w:pPr>
      <w:r>
        <w:rPr>
          <w:sz w:val="20"/>
          <w:szCs w:val="20"/>
          <w:lang w:val="en-GB"/>
        </w:rPr>
        <w:lastRenderedPageBreak/>
        <w:t xml:space="preserve">The insights from the case study reflect that </w:t>
      </w:r>
      <w:r w:rsidR="009D539C">
        <w:rPr>
          <w:sz w:val="20"/>
          <w:szCs w:val="20"/>
          <w:lang w:val="en-GB"/>
        </w:rPr>
        <w:t xml:space="preserve">security requirements are often conflicting, culturally and morally constructed and both individualistic and communal. To explore how a cybersecurity model might better reflect this, we need to look at the roots of modern conceptualisations of sovereignty. </w:t>
      </w:r>
      <w:r w:rsidR="00726428" w:rsidRPr="00CB66E3">
        <w:rPr>
          <w:sz w:val="20"/>
          <w:szCs w:val="20"/>
          <w:lang w:val="en-GB"/>
        </w:rPr>
        <w:t>The modern security community theorises sovereignty of cyberspace along the lines of the pioneering conceptualisation of Thomas Hobbes (1588-1679), which still underpins both liberal and conservative theorising of the nature of the state. In particular, Hobbes suggested that sovereignty, to be effective and legitimate, needed to take a particular form, and fulfil particular functions</w:t>
      </w:r>
      <w:r w:rsidR="00F274BB">
        <w:rPr>
          <w:sz w:val="20"/>
          <w:szCs w:val="20"/>
          <w:lang w:val="en-GB"/>
        </w:rPr>
        <w:t>:</w:t>
      </w:r>
      <w:r w:rsidR="00726428" w:rsidRPr="00CB66E3">
        <w:rPr>
          <w:sz w:val="20"/>
          <w:szCs w:val="20"/>
          <w:lang w:val="en-GB"/>
        </w:rPr>
        <w:t xml:space="preserve"> </w:t>
      </w:r>
      <w:r w:rsidR="00F274BB">
        <w:rPr>
          <w:sz w:val="20"/>
          <w:szCs w:val="20"/>
          <w:lang w:val="en-GB"/>
        </w:rPr>
        <w:t>it</w:t>
      </w:r>
      <w:r w:rsidR="00F274BB" w:rsidRPr="00CB66E3">
        <w:rPr>
          <w:sz w:val="20"/>
          <w:szCs w:val="20"/>
          <w:lang w:val="en-GB"/>
        </w:rPr>
        <w:t xml:space="preserve"> </w:t>
      </w:r>
      <w:r w:rsidR="00726428" w:rsidRPr="00CB66E3">
        <w:rPr>
          <w:sz w:val="20"/>
          <w:szCs w:val="20"/>
          <w:lang w:val="en-GB"/>
        </w:rPr>
        <w:t>was contractual</w:t>
      </w:r>
      <w:r w:rsidR="00F274BB">
        <w:rPr>
          <w:sz w:val="20"/>
          <w:szCs w:val="20"/>
          <w:lang w:val="en-GB"/>
        </w:rPr>
        <w:t>, and</w:t>
      </w:r>
      <w:r w:rsidR="00726428" w:rsidRPr="00CB66E3">
        <w:rPr>
          <w:sz w:val="20"/>
          <w:szCs w:val="20"/>
          <w:lang w:val="en-GB"/>
        </w:rPr>
        <w:t xml:space="preserve"> co-c</w:t>
      </w:r>
      <w:r w:rsidR="0036203D">
        <w:rPr>
          <w:sz w:val="20"/>
          <w:szCs w:val="20"/>
          <w:lang w:val="en-GB"/>
        </w:rPr>
        <w:t>onstructed</w:t>
      </w:r>
      <w:r w:rsidR="00F274BB">
        <w:rPr>
          <w:sz w:val="20"/>
          <w:szCs w:val="20"/>
          <w:lang w:val="en-GB"/>
        </w:rPr>
        <w:t xml:space="preserve"> with</w:t>
      </w:r>
      <w:r w:rsidR="00726428" w:rsidRPr="00CB66E3">
        <w:rPr>
          <w:sz w:val="20"/>
          <w:szCs w:val="20"/>
          <w:lang w:val="en-GB"/>
        </w:rPr>
        <w:t xml:space="preserve"> (though not co-constituted</w:t>
      </w:r>
      <w:r w:rsidR="00F274BB">
        <w:rPr>
          <w:sz w:val="20"/>
          <w:szCs w:val="20"/>
          <w:lang w:val="en-GB"/>
        </w:rPr>
        <w:t xml:space="preserve"> by</w:t>
      </w:r>
      <w:r w:rsidR="00726428" w:rsidRPr="00CB66E3">
        <w:rPr>
          <w:sz w:val="20"/>
          <w:szCs w:val="20"/>
          <w:lang w:val="en-GB"/>
        </w:rPr>
        <w:t>)</w:t>
      </w:r>
      <w:r w:rsidR="00F274BB">
        <w:rPr>
          <w:sz w:val="20"/>
          <w:szCs w:val="20"/>
          <w:lang w:val="en-GB"/>
        </w:rPr>
        <w:t xml:space="preserve"> the citizens</w:t>
      </w:r>
      <w:r w:rsidR="00726428" w:rsidRPr="00CB66E3">
        <w:rPr>
          <w:sz w:val="20"/>
          <w:szCs w:val="20"/>
          <w:lang w:val="en-GB"/>
        </w:rPr>
        <w:t>. People would rationally seek wider protection than they could provide for themselves by surrendering their rights of self-protection to a more powerful sovereign which could protect a community from outsiders and the members of the community from each other, therefore promoting cooperation, trust and other forms of social behaviour. It follows that, if people feel unprotected by the state, then it is reasonable</w:t>
      </w:r>
      <w:r w:rsidR="00F274BB">
        <w:rPr>
          <w:sz w:val="20"/>
          <w:szCs w:val="20"/>
          <w:lang w:val="en-GB"/>
        </w:rPr>
        <w:t xml:space="preserve"> and rational</w:t>
      </w:r>
      <w:r w:rsidR="00726428" w:rsidRPr="00CB66E3">
        <w:rPr>
          <w:sz w:val="20"/>
          <w:szCs w:val="20"/>
          <w:lang w:val="en-GB"/>
        </w:rPr>
        <w:t xml:space="preserve"> for them to seek protection elsewhere. </w:t>
      </w:r>
      <w:r w:rsidR="007F2EBC">
        <w:rPr>
          <w:sz w:val="20"/>
          <w:szCs w:val="20"/>
          <w:lang w:val="en-GB"/>
        </w:rPr>
        <w:t>‘</w:t>
      </w:r>
      <w:r w:rsidR="00726428" w:rsidRPr="00CB66E3">
        <w:rPr>
          <w:sz w:val="20"/>
          <w:szCs w:val="20"/>
          <w:lang w:val="en-GB"/>
        </w:rPr>
        <w:t>The end of obedience is protection</w:t>
      </w:r>
      <w:r w:rsidR="007F2EBC">
        <w:rPr>
          <w:sz w:val="20"/>
          <w:szCs w:val="20"/>
          <w:lang w:val="en-GB"/>
        </w:rPr>
        <w:t>’</w:t>
      </w:r>
      <w:r w:rsidR="00726428" w:rsidRPr="00CB66E3">
        <w:rPr>
          <w:sz w:val="20"/>
          <w:szCs w:val="20"/>
          <w:lang w:val="en-GB"/>
        </w:rPr>
        <w:t xml:space="preserve"> (</w:t>
      </w:r>
      <w:r w:rsidR="00726428" w:rsidRPr="00EC041C">
        <w:rPr>
          <w:sz w:val="20"/>
          <w:szCs w:val="20"/>
          <w:lang w:val="en-GB"/>
        </w:rPr>
        <w:t>Hobbes</w:t>
      </w:r>
      <w:r w:rsidR="007F2EBC" w:rsidRPr="00EC041C">
        <w:rPr>
          <w:sz w:val="20"/>
          <w:szCs w:val="20"/>
          <w:lang w:val="en-GB"/>
        </w:rPr>
        <w:t>,</w:t>
      </w:r>
      <w:r w:rsidR="00726428" w:rsidRPr="00EC041C">
        <w:rPr>
          <w:sz w:val="20"/>
          <w:szCs w:val="20"/>
          <w:lang w:val="en-GB"/>
        </w:rPr>
        <w:t xml:space="preserve"> 1996, </w:t>
      </w:r>
      <w:r w:rsidR="007F2EBC" w:rsidRPr="00EC041C">
        <w:rPr>
          <w:sz w:val="20"/>
          <w:szCs w:val="20"/>
          <w:lang w:val="en-GB"/>
        </w:rPr>
        <w:t>p.</w:t>
      </w:r>
      <w:r w:rsidR="00726428" w:rsidRPr="00EC041C">
        <w:rPr>
          <w:sz w:val="20"/>
          <w:szCs w:val="20"/>
          <w:lang w:val="en-GB"/>
        </w:rPr>
        <w:t>152</w:t>
      </w:r>
      <w:r w:rsidR="00726428" w:rsidRPr="00CB66E3">
        <w:rPr>
          <w:sz w:val="20"/>
          <w:szCs w:val="20"/>
          <w:lang w:val="en-GB"/>
        </w:rPr>
        <w:t xml:space="preserve">), and therefore if obedience to the state does not give you protection, </w:t>
      </w:r>
      <w:r w:rsidR="00F274BB">
        <w:rPr>
          <w:sz w:val="20"/>
          <w:szCs w:val="20"/>
          <w:lang w:val="en-GB"/>
        </w:rPr>
        <w:t>(a) </w:t>
      </w:r>
      <w:r w:rsidR="00726428" w:rsidRPr="00CB66E3">
        <w:rPr>
          <w:sz w:val="20"/>
          <w:szCs w:val="20"/>
          <w:lang w:val="en-GB"/>
        </w:rPr>
        <w:t>protection needs to be found elsewhere</w:t>
      </w:r>
      <w:r w:rsidR="00F274BB">
        <w:rPr>
          <w:sz w:val="20"/>
          <w:szCs w:val="20"/>
          <w:lang w:val="en-GB"/>
        </w:rPr>
        <w:t>, and (b) the duty of obedience evaporates</w:t>
      </w:r>
      <w:r w:rsidR="00726428" w:rsidRPr="00CB66E3">
        <w:rPr>
          <w:sz w:val="20"/>
          <w:szCs w:val="20"/>
          <w:lang w:val="en-GB"/>
        </w:rPr>
        <w:t>.</w:t>
      </w:r>
    </w:p>
    <w:p w14:paraId="1C8FD115" w14:textId="14B37E8B" w:rsidR="00726428" w:rsidRPr="00CB66E3" w:rsidRDefault="00726428" w:rsidP="00B94B0C">
      <w:pPr>
        <w:jc w:val="both"/>
        <w:rPr>
          <w:sz w:val="20"/>
          <w:szCs w:val="20"/>
          <w:lang w:val="en-GB"/>
        </w:rPr>
      </w:pPr>
      <w:r w:rsidRPr="00CB66E3">
        <w:rPr>
          <w:sz w:val="20"/>
          <w:szCs w:val="20"/>
          <w:lang w:val="en-GB"/>
        </w:rPr>
        <w:t xml:space="preserve">We argue that as the state withdraws from in-person contact to digitally-mediated interaction and as digital technology </w:t>
      </w:r>
      <w:r w:rsidR="00196759">
        <w:rPr>
          <w:sz w:val="20"/>
          <w:szCs w:val="20"/>
          <w:lang w:val="en-GB"/>
        </w:rPr>
        <w:t>facilitates</w:t>
      </w:r>
      <w:r w:rsidRPr="00CB66E3">
        <w:rPr>
          <w:sz w:val="20"/>
          <w:szCs w:val="20"/>
          <w:lang w:val="en-GB"/>
        </w:rPr>
        <w:t xml:space="preserve"> the </w:t>
      </w:r>
      <w:r w:rsidR="006C7BA8">
        <w:rPr>
          <w:sz w:val="20"/>
          <w:szCs w:val="20"/>
          <w:lang w:val="en-GB"/>
        </w:rPr>
        <w:t xml:space="preserve">types of communication and collaboration that can make possible the </w:t>
      </w:r>
      <w:r w:rsidRPr="00CB66E3">
        <w:rPr>
          <w:sz w:val="20"/>
          <w:szCs w:val="20"/>
          <w:lang w:val="en-GB"/>
        </w:rPr>
        <w:t xml:space="preserve">diversification of wealth production and gives citizens the option to move between modes of wealth production and social orders, the security relationship between the citizen and the state needs to be re-negotiated. Such re-negotiation is necessary in the first place </w:t>
      </w:r>
      <w:r w:rsidR="00FA6C84" w:rsidRPr="00CB66E3">
        <w:rPr>
          <w:sz w:val="20"/>
          <w:szCs w:val="20"/>
          <w:lang w:val="en-GB"/>
        </w:rPr>
        <w:t xml:space="preserve">because </w:t>
      </w:r>
      <w:r w:rsidRPr="00CB66E3">
        <w:rPr>
          <w:sz w:val="20"/>
          <w:szCs w:val="20"/>
          <w:lang w:val="en-GB"/>
        </w:rPr>
        <w:t>the assets that citizens wish to be secured may not be the same as those</w:t>
      </w:r>
      <w:r w:rsidR="00FA6C84">
        <w:rPr>
          <w:sz w:val="20"/>
          <w:szCs w:val="20"/>
          <w:lang w:val="en-GB"/>
        </w:rPr>
        <w:t xml:space="preserve"> identified by</w:t>
      </w:r>
      <w:r w:rsidRPr="00CB66E3">
        <w:rPr>
          <w:sz w:val="20"/>
          <w:szCs w:val="20"/>
          <w:lang w:val="en-GB"/>
        </w:rPr>
        <w:t xml:space="preserve"> the state (or large organisations). Secondly, citizens may value particular types of behaviour or interaction which may be hindered or even prevented by security measures, and which may therefore prompt the use of workarounds which undermine those measures even in their own terms. Because of the co-constructed nature of Hobbesian sovereignty, these are serious problems, because citizens’ acceptance of the legitimacy of the sovereign (i.e. in the modern world, the state) depends crucially on their own perceptions that it serves their security needs. It follows that if the sovereign opts to define the types of security it will provide on the winner-takes-all model, it must either persuade citizens that these are the types of security they value, or sacrifice legitimacy. If it fails to engage with the citizenry upon matters of security, then it has to expect the</w:t>
      </w:r>
      <w:r w:rsidR="00007168">
        <w:rPr>
          <w:sz w:val="20"/>
          <w:szCs w:val="20"/>
          <w:lang w:val="en-GB"/>
        </w:rPr>
        <w:t xml:space="preserve"> citizenry</w:t>
      </w:r>
      <w:r w:rsidRPr="00CB66E3">
        <w:rPr>
          <w:sz w:val="20"/>
          <w:szCs w:val="20"/>
          <w:lang w:val="en-GB"/>
        </w:rPr>
        <w:t xml:space="preserve"> to have an antagonistic attitude, </w:t>
      </w:r>
      <w:r w:rsidR="00007168">
        <w:rPr>
          <w:sz w:val="20"/>
          <w:szCs w:val="20"/>
          <w:lang w:val="en-GB"/>
        </w:rPr>
        <w:t xml:space="preserve">resulting in </w:t>
      </w:r>
      <w:r w:rsidR="00EB3D6F">
        <w:rPr>
          <w:sz w:val="20"/>
          <w:szCs w:val="20"/>
          <w:lang w:val="en-GB"/>
        </w:rPr>
        <w:t xml:space="preserve">the only option being to </w:t>
      </w:r>
      <w:r w:rsidRPr="00CB66E3">
        <w:rPr>
          <w:sz w:val="20"/>
          <w:szCs w:val="20"/>
          <w:lang w:val="en-GB"/>
        </w:rPr>
        <w:t>rule by force</w:t>
      </w:r>
      <w:r w:rsidR="00EB3D6F">
        <w:rPr>
          <w:sz w:val="20"/>
          <w:szCs w:val="20"/>
          <w:lang w:val="en-GB"/>
        </w:rPr>
        <w:t xml:space="preserve">, </w:t>
      </w:r>
      <w:r w:rsidRPr="00CB66E3">
        <w:rPr>
          <w:sz w:val="20"/>
          <w:szCs w:val="20"/>
          <w:lang w:val="en-GB"/>
        </w:rPr>
        <w:t>treat</w:t>
      </w:r>
      <w:r w:rsidR="00EB3D6F">
        <w:rPr>
          <w:sz w:val="20"/>
          <w:szCs w:val="20"/>
          <w:lang w:val="en-GB"/>
        </w:rPr>
        <w:t>ing</w:t>
      </w:r>
      <w:r w:rsidRPr="00CB66E3">
        <w:rPr>
          <w:sz w:val="20"/>
          <w:szCs w:val="20"/>
          <w:lang w:val="en-GB"/>
        </w:rPr>
        <w:t xml:space="preserve"> its</w:t>
      </w:r>
      <w:r w:rsidR="00AF54A1">
        <w:rPr>
          <w:sz w:val="20"/>
          <w:szCs w:val="20"/>
          <w:lang w:val="en-GB"/>
        </w:rPr>
        <w:t xml:space="preserve"> own citizens</w:t>
      </w:r>
      <w:r w:rsidRPr="00CB66E3">
        <w:rPr>
          <w:sz w:val="20"/>
          <w:szCs w:val="20"/>
          <w:lang w:val="en-GB"/>
        </w:rPr>
        <w:t xml:space="preserve"> as the enemy.</w:t>
      </w:r>
      <w:r w:rsidR="001604FE">
        <w:rPr>
          <w:sz w:val="20"/>
          <w:szCs w:val="20"/>
          <w:lang w:val="en-GB"/>
        </w:rPr>
        <w:t xml:space="preserve"> The insights from the case study indicate that an alternative means of overcoming this potential for antagonistic outcome is to situate </w:t>
      </w:r>
      <w:r w:rsidR="00633447">
        <w:rPr>
          <w:sz w:val="20"/>
          <w:szCs w:val="20"/>
          <w:lang w:val="en-GB"/>
        </w:rPr>
        <w:t>Digital By Default (</w:t>
      </w:r>
      <w:r w:rsidR="001604FE">
        <w:rPr>
          <w:sz w:val="20"/>
          <w:szCs w:val="20"/>
          <w:lang w:val="en-GB"/>
        </w:rPr>
        <w:t>DBD</w:t>
      </w:r>
      <w:r w:rsidR="00633447">
        <w:rPr>
          <w:sz w:val="20"/>
          <w:szCs w:val="20"/>
          <w:lang w:val="en-GB"/>
        </w:rPr>
        <w:t>)</w:t>
      </w:r>
      <w:r w:rsidR="001604FE">
        <w:rPr>
          <w:sz w:val="20"/>
          <w:szCs w:val="20"/>
          <w:lang w:val="en-GB"/>
        </w:rPr>
        <w:t xml:space="preserve"> services within existing </w:t>
      </w:r>
      <w:r w:rsidR="00AF2768">
        <w:rPr>
          <w:sz w:val="20"/>
          <w:szCs w:val="20"/>
          <w:lang w:val="en-GB"/>
        </w:rPr>
        <w:t>networks and embed the services through a more robust security control equivalence and through system legibility, thus both increasing trust and creating spaces in which conflicts and differences can be resolved.</w:t>
      </w:r>
    </w:p>
    <w:p w14:paraId="02D7DEA7" w14:textId="482B164D" w:rsidR="00DC06F2" w:rsidRPr="00CB66E3" w:rsidRDefault="00FA6C84" w:rsidP="00B94B0C">
      <w:pPr>
        <w:rPr>
          <w:b/>
          <w:sz w:val="20"/>
          <w:szCs w:val="20"/>
          <w:lang w:val="en-GB"/>
        </w:rPr>
      </w:pPr>
      <w:r>
        <w:rPr>
          <w:b/>
          <w:sz w:val="20"/>
          <w:szCs w:val="20"/>
          <w:lang w:val="en-GB"/>
        </w:rPr>
        <w:t>4</w:t>
      </w:r>
      <w:r w:rsidR="00DC06F2" w:rsidRPr="00CB66E3">
        <w:rPr>
          <w:b/>
          <w:sz w:val="20"/>
          <w:szCs w:val="20"/>
          <w:lang w:val="en-GB"/>
        </w:rPr>
        <w:t xml:space="preserve">. </w:t>
      </w:r>
      <w:r>
        <w:rPr>
          <w:b/>
          <w:sz w:val="20"/>
          <w:szCs w:val="20"/>
          <w:lang w:val="en-GB"/>
        </w:rPr>
        <w:t xml:space="preserve">The Second Absence: Equivalent Methods of </w:t>
      </w:r>
      <w:r w:rsidR="00DC06F2" w:rsidRPr="00CB66E3">
        <w:rPr>
          <w:b/>
          <w:sz w:val="20"/>
          <w:szCs w:val="20"/>
          <w:lang w:val="en-GB"/>
        </w:rPr>
        <w:t xml:space="preserve">Control </w:t>
      </w:r>
    </w:p>
    <w:p w14:paraId="48D661AF" w14:textId="4F39F5FA" w:rsidR="00DC06F2" w:rsidRPr="00CB66E3" w:rsidRDefault="00B50B25" w:rsidP="00B94B0C">
      <w:pPr>
        <w:jc w:val="both"/>
        <w:rPr>
          <w:sz w:val="20"/>
          <w:szCs w:val="20"/>
          <w:lang w:val="en-GB"/>
        </w:rPr>
      </w:pPr>
      <w:r>
        <w:rPr>
          <w:sz w:val="20"/>
          <w:szCs w:val="20"/>
          <w:lang w:val="en-GB"/>
        </w:rPr>
        <w:t xml:space="preserve">The case study </w:t>
      </w:r>
      <w:r w:rsidR="00FB23F6">
        <w:rPr>
          <w:sz w:val="20"/>
          <w:szCs w:val="20"/>
          <w:lang w:val="en-GB"/>
        </w:rPr>
        <w:t>data indicate</w:t>
      </w:r>
      <w:r w:rsidR="0046579E">
        <w:rPr>
          <w:sz w:val="20"/>
          <w:szCs w:val="20"/>
          <w:lang w:val="en-GB"/>
        </w:rPr>
        <w:t xml:space="preserve"> many frustrations with the control mechanisms deployed in the various state systems. </w:t>
      </w:r>
      <w:r w:rsidR="00856084">
        <w:rPr>
          <w:sz w:val="20"/>
          <w:szCs w:val="20"/>
          <w:lang w:val="en-GB"/>
        </w:rPr>
        <w:t xml:space="preserve">For the citizenry to </w:t>
      </w:r>
      <w:r w:rsidR="00D034AF">
        <w:rPr>
          <w:sz w:val="20"/>
          <w:szCs w:val="20"/>
          <w:lang w:val="en-GB"/>
        </w:rPr>
        <w:t xml:space="preserve">align with the state’s model of security, the controls have to afford security to the citizen. </w:t>
      </w:r>
      <w:r w:rsidR="00DC06F2" w:rsidRPr="00EC041C">
        <w:rPr>
          <w:sz w:val="20"/>
          <w:szCs w:val="20"/>
          <w:lang w:val="en-GB"/>
        </w:rPr>
        <w:t>Yeung</w:t>
      </w:r>
      <w:r w:rsidR="007F2EBC" w:rsidRPr="00EC041C">
        <w:rPr>
          <w:sz w:val="20"/>
          <w:szCs w:val="20"/>
          <w:lang w:val="en-GB"/>
        </w:rPr>
        <w:t xml:space="preserve"> (2011)</w:t>
      </w:r>
      <w:r w:rsidR="00DC06F2" w:rsidRPr="00CB66E3">
        <w:rPr>
          <w:sz w:val="20"/>
          <w:szCs w:val="20"/>
          <w:lang w:val="en-GB"/>
        </w:rPr>
        <w:t xml:space="preserve"> talks about the bond of trust between the state and the community it governs pointing out that</w:t>
      </w:r>
      <w:r w:rsidR="007F2EBC">
        <w:rPr>
          <w:sz w:val="20"/>
          <w:szCs w:val="20"/>
          <w:lang w:val="en-GB"/>
        </w:rPr>
        <w:t>,</w:t>
      </w:r>
      <w:r w:rsidR="00DC06F2" w:rsidRPr="00CB66E3">
        <w:rPr>
          <w:sz w:val="20"/>
          <w:szCs w:val="20"/>
          <w:lang w:val="en-GB"/>
        </w:rPr>
        <w:t xml:space="preserve"> ‘small erosions may lead to its long-term degradation’ (</w:t>
      </w:r>
      <w:r w:rsidR="00DC06F2" w:rsidRPr="007F2EBC">
        <w:rPr>
          <w:sz w:val="20"/>
          <w:szCs w:val="20"/>
          <w:lang w:val="en-GB"/>
        </w:rPr>
        <w:t>p.25</w:t>
      </w:r>
      <w:r w:rsidR="00DC06F2" w:rsidRPr="00CB66E3">
        <w:rPr>
          <w:sz w:val="20"/>
          <w:szCs w:val="20"/>
          <w:lang w:val="en-GB"/>
        </w:rPr>
        <w:t xml:space="preserve">). One of the reasons that trust may erode is that the principles of control and the related principles of security remain the same but the mechanisms for operationalising them differ. Digital controls do not necessarily carry the same </w:t>
      </w:r>
      <w:r w:rsidR="00B52D91">
        <w:rPr>
          <w:sz w:val="20"/>
          <w:szCs w:val="20"/>
          <w:lang w:val="en-GB"/>
        </w:rPr>
        <w:t>signals of trustworthiness</w:t>
      </w:r>
      <w:r w:rsidR="00DC06F2" w:rsidRPr="00CB66E3">
        <w:rPr>
          <w:sz w:val="20"/>
          <w:szCs w:val="20"/>
          <w:lang w:val="en-GB"/>
        </w:rPr>
        <w:t xml:space="preserve">, legitimacy, </w:t>
      </w:r>
      <w:r w:rsidR="00B52D91">
        <w:rPr>
          <w:sz w:val="20"/>
          <w:szCs w:val="20"/>
          <w:lang w:val="en-GB"/>
        </w:rPr>
        <w:t>openness</w:t>
      </w:r>
      <w:r w:rsidR="00DC06F2" w:rsidRPr="00CB66E3">
        <w:rPr>
          <w:sz w:val="20"/>
          <w:szCs w:val="20"/>
          <w:lang w:val="en-GB"/>
        </w:rPr>
        <w:t xml:space="preserve"> to negotiat</w:t>
      </w:r>
      <w:r w:rsidR="00B52D91">
        <w:rPr>
          <w:sz w:val="20"/>
          <w:szCs w:val="20"/>
          <w:lang w:val="en-GB"/>
        </w:rPr>
        <w:t>ion,</w:t>
      </w:r>
      <w:r w:rsidR="00DC06F2" w:rsidRPr="00CB66E3">
        <w:rPr>
          <w:sz w:val="20"/>
          <w:szCs w:val="20"/>
          <w:lang w:val="en-GB"/>
        </w:rPr>
        <w:t xml:space="preserve"> and ability to reconcile different interpretations of security within a single transaction as socially-grounded forms of the same control principle. </w:t>
      </w:r>
    </w:p>
    <w:p w14:paraId="19C5078B" w14:textId="7D9E4A3D" w:rsidR="00DC06F2" w:rsidRPr="00CB66E3" w:rsidRDefault="00DC06F2" w:rsidP="00B94B0C">
      <w:pPr>
        <w:jc w:val="both"/>
        <w:rPr>
          <w:sz w:val="20"/>
          <w:szCs w:val="20"/>
          <w:lang w:val="en-GB"/>
        </w:rPr>
      </w:pPr>
      <w:r w:rsidRPr="00EC041C">
        <w:rPr>
          <w:sz w:val="20"/>
          <w:szCs w:val="20"/>
          <w:lang w:val="en-GB"/>
        </w:rPr>
        <w:t>Lessig’s (1999</w:t>
      </w:r>
      <w:r w:rsidRPr="00CB66E3">
        <w:rPr>
          <w:sz w:val="20"/>
          <w:szCs w:val="20"/>
          <w:lang w:val="en-GB"/>
        </w:rPr>
        <w:t xml:space="preserve">) socioeconomic theory of behaviour constraint argues that regulation (in the widest sense) can happen through four mechanisms – the law, social norms, economic incentives and architecture. Taking this view, digital technology and sovereignty have been game-changers for the state. </w:t>
      </w:r>
      <w:r w:rsidR="00633447">
        <w:rPr>
          <w:sz w:val="20"/>
          <w:szCs w:val="20"/>
          <w:lang w:val="en-GB"/>
        </w:rPr>
        <w:t>Previously,</w:t>
      </w:r>
      <w:r w:rsidRPr="00CB66E3">
        <w:rPr>
          <w:sz w:val="20"/>
          <w:szCs w:val="20"/>
          <w:lang w:val="en-GB"/>
        </w:rPr>
        <w:t xml:space="preserve"> the state had monopoly control only over the law, and so that was its main interface for citizen control. Now, </w:t>
      </w:r>
      <w:r w:rsidR="00633447">
        <w:rPr>
          <w:sz w:val="20"/>
          <w:szCs w:val="20"/>
          <w:lang w:val="en-GB"/>
        </w:rPr>
        <w:t>it</w:t>
      </w:r>
      <w:r w:rsidRPr="00CB66E3">
        <w:rPr>
          <w:sz w:val="20"/>
          <w:szCs w:val="20"/>
          <w:lang w:val="en-GB"/>
        </w:rPr>
        <w:t xml:space="preserve"> can alter the </w:t>
      </w:r>
      <w:r w:rsidRPr="002008C0">
        <w:rPr>
          <w:i/>
          <w:sz w:val="20"/>
          <w:szCs w:val="20"/>
          <w:lang w:val="en-GB"/>
        </w:rPr>
        <w:t>architecture</w:t>
      </w:r>
      <w:r w:rsidRPr="00CB66E3">
        <w:rPr>
          <w:sz w:val="20"/>
          <w:szCs w:val="20"/>
          <w:lang w:val="en-GB"/>
        </w:rPr>
        <w:t xml:space="preserve"> of its interactions with the citizen in order to make certain behaviours more likely while ruling others out (and it can also gather the data to evaluate and refine its strategies in real time). It follows that </w:t>
      </w:r>
      <w:r w:rsidR="00633447">
        <w:rPr>
          <w:sz w:val="20"/>
          <w:szCs w:val="20"/>
          <w:lang w:val="en-GB"/>
        </w:rPr>
        <w:t>it</w:t>
      </w:r>
      <w:r w:rsidRPr="00CB66E3">
        <w:rPr>
          <w:sz w:val="20"/>
          <w:szCs w:val="20"/>
          <w:lang w:val="en-GB"/>
        </w:rPr>
        <w:t xml:space="preserve"> can achieve its goals stealthily by adjusting the architecture of interaction, rather than by commanding and punishing; this is the basis of ‘nudge’ philosophy (</w:t>
      </w:r>
      <w:r w:rsidRPr="00EC041C">
        <w:rPr>
          <w:sz w:val="20"/>
          <w:szCs w:val="20"/>
          <w:lang w:val="en-GB"/>
        </w:rPr>
        <w:t>Thaler &amp; Sunstein</w:t>
      </w:r>
      <w:r w:rsidR="007F2EBC" w:rsidRPr="00EC041C">
        <w:rPr>
          <w:sz w:val="20"/>
          <w:szCs w:val="20"/>
          <w:lang w:val="en-GB"/>
        </w:rPr>
        <w:t>,</w:t>
      </w:r>
      <w:r w:rsidRPr="00EC041C">
        <w:rPr>
          <w:sz w:val="20"/>
          <w:szCs w:val="20"/>
          <w:lang w:val="en-GB"/>
        </w:rPr>
        <w:t xml:space="preserve"> 2008</w:t>
      </w:r>
      <w:r w:rsidRPr="00CB66E3">
        <w:rPr>
          <w:sz w:val="20"/>
          <w:szCs w:val="20"/>
          <w:lang w:val="en-GB"/>
        </w:rPr>
        <w:t>).</w:t>
      </w:r>
    </w:p>
    <w:p w14:paraId="5FC57866" w14:textId="5EB629E1" w:rsidR="00DC06F2" w:rsidRPr="00CB66E3" w:rsidRDefault="00DC06F2" w:rsidP="00B94B0C">
      <w:pPr>
        <w:jc w:val="both"/>
        <w:rPr>
          <w:sz w:val="20"/>
          <w:szCs w:val="20"/>
          <w:lang w:val="en-GB"/>
        </w:rPr>
      </w:pPr>
      <w:r w:rsidRPr="00CB66E3">
        <w:rPr>
          <w:sz w:val="20"/>
          <w:szCs w:val="20"/>
          <w:lang w:val="en-GB"/>
        </w:rPr>
        <w:t xml:space="preserve">This theory has much plausibility, but it has intentionally or otherwise led to the fallacious corollary, that, because control can be exercised through any one of these four mechanisms, the mechanisms are </w:t>
      </w:r>
      <w:r w:rsidRPr="002008C0">
        <w:rPr>
          <w:i/>
          <w:sz w:val="20"/>
          <w:szCs w:val="20"/>
          <w:lang w:val="en-GB"/>
        </w:rPr>
        <w:t>interchangeable</w:t>
      </w:r>
      <w:r w:rsidRPr="00CB66E3">
        <w:rPr>
          <w:sz w:val="20"/>
          <w:szCs w:val="20"/>
          <w:lang w:val="en-GB"/>
        </w:rPr>
        <w:t xml:space="preserve"> for a given piece of control (</w:t>
      </w:r>
      <w:r w:rsidRPr="00EC041C">
        <w:rPr>
          <w:sz w:val="20"/>
          <w:szCs w:val="20"/>
          <w:lang w:val="en-GB"/>
        </w:rPr>
        <w:t>Hildebrandt</w:t>
      </w:r>
      <w:r w:rsidR="007F2EBC" w:rsidRPr="00EC041C">
        <w:rPr>
          <w:sz w:val="20"/>
          <w:szCs w:val="20"/>
          <w:lang w:val="en-GB"/>
        </w:rPr>
        <w:t>,</w:t>
      </w:r>
      <w:r w:rsidRPr="00EC041C">
        <w:rPr>
          <w:sz w:val="20"/>
          <w:szCs w:val="20"/>
          <w:lang w:val="en-GB"/>
        </w:rPr>
        <w:t xml:space="preserve"> 2015</w:t>
      </w:r>
      <w:r w:rsidRPr="00CB66E3">
        <w:rPr>
          <w:sz w:val="20"/>
          <w:szCs w:val="20"/>
          <w:lang w:val="en-GB"/>
        </w:rPr>
        <w:t xml:space="preserve">). In other words, if some type of behaviour is prevented through, say, a legal restriction, the control mechanism can be changed to, say, a constraint on the digital architecture, while </w:t>
      </w:r>
      <w:r w:rsidRPr="00CB66E3">
        <w:rPr>
          <w:sz w:val="20"/>
          <w:szCs w:val="20"/>
          <w:lang w:val="en-GB"/>
        </w:rPr>
        <w:lastRenderedPageBreak/>
        <w:t>leaving everything else untouched. Indeed, one of the myths underpinning the DBD strategy for citizen-state interaction is that the easiest way to do this is through techno-regulation which Yeung defines as a reliance on embedding regulation in technology design rather than relying on the law to regulate. Yet this is fallacious for two reasons that are relevant to our own inquiry</w:t>
      </w:r>
      <w:r w:rsidR="00C21730">
        <w:rPr>
          <w:sz w:val="20"/>
          <w:szCs w:val="20"/>
          <w:lang w:val="en-GB"/>
        </w:rPr>
        <w:t>.</w:t>
      </w:r>
    </w:p>
    <w:p w14:paraId="77DDA272" w14:textId="0DA35101" w:rsidR="00996345" w:rsidRDefault="00DC06F2" w:rsidP="00B94B0C">
      <w:pPr>
        <w:jc w:val="both"/>
        <w:rPr>
          <w:sz w:val="20"/>
          <w:szCs w:val="20"/>
          <w:lang w:val="en-GB"/>
        </w:rPr>
      </w:pPr>
      <w:r w:rsidRPr="00CB66E3">
        <w:rPr>
          <w:sz w:val="20"/>
          <w:szCs w:val="20"/>
          <w:lang w:val="en-GB"/>
        </w:rPr>
        <w:t>First, the four mechanisms have very</w:t>
      </w:r>
      <w:r w:rsidR="00EC041C">
        <w:rPr>
          <w:sz w:val="20"/>
          <w:szCs w:val="20"/>
          <w:lang w:val="en-GB"/>
        </w:rPr>
        <w:t xml:space="preserve"> different properties. </w:t>
      </w:r>
      <w:r w:rsidR="004F1CBD">
        <w:rPr>
          <w:sz w:val="20"/>
          <w:szCs w:val="20"/>
          <w:lang w:val="en-GB"/>
        </w:rPr>
        <w:t xml:space="preserve">Techno-regulation uses the architecture of systems to enforce control. </w:t>
      </w:r>
      <w:r w:rsidRPr="00EC041C">
        <w:rPr>
          <w:sz w:val="20"/>
          <w:szCs w:val="20"/>
          <w:lang w:val="en-GB"/>
        </w:rPr>
        <w:t>Yeung</w:t>
      </w:r>
      <w:r w:rsidR="007F2EBC" w:rsidRPr="00EC041C">
        <w:rPr>
          <w:sz w:val="20"/>
          <w:szCs w:val="20"/>
          <w:lang w:val="en-GB"/>
        </w:rPr>
        <w:t xml:space="preserve"> (2011)</w:t>
      </w:r>
      <w:r w:rsidRPr="00CB66E3">
        <w:rPr>
          <w:sz w:val="20"/>
          <w:szCs w:val="20"/>
          <w:lang w:val="en-GB"/>
        </w:rPr>
        <w:t xml:space="preserve"> suggests that, ‘it is the action-forcing character of techno-regulation that makes it a particularly powerful form of control</w:t>
      </w:r>
      <w:r w:rsidR="007F2EBC">
        <w:rPr>
          <w:sz w:val="20"/>
          <w:szCs w:val="20"/>
          <w:lang w:val="en-GB"/>
        </w:rPr>
        <w:t>’ (</w:t>
      </w:r>
      <w:r w:rsidRPr="00CB66E3">
        <w:rPr>
          <w:sz w:val="20"/>
          <w:szCs w:val="20"/>
          <w:lang w:val="en-GB"/>
        </w:rPr>
        <w:t>p.4) and goes on to make the point that this way of regulating human activity in cyberspace has negative ‘implications for liberty, autonomy and responsibility’. Compare the use of law to constrain behaviour with the use of architecture. Law has three properties that digital architec</w:t>
      </w:r>
      <w:r w:rsidR="00AA1FD3">
        <w:rPr>
          <w:sz w:val="20"/>
          <w:szCs w:val="20"/>
          <w:lang w:val="en-GB"/>
        </w:rPr>
        <w:t>ture does not have. Firstly</w:t>
      </w:r>
      <w:r w:rsidRPr="00CB66E3">
        <w:rPr>
          <w:sz w:val="20"/>
          <w:szCs w:val="20"/>
          <w:lang w:val="en-GB"/>
        </w:rPr>
        <w:t>, one can disobey the law. There are consequences if one does, but one can (and people often do). This is a</w:t>
      </w:r>
      <w:r w:rsidR="001C3644">
        <w:rPr>
          <w:sz w:val="20"/>
          <w:szCs w:val="20"/>
          <w:lang w:val="en-GB"/>
        </w:rPr>
        <w:t>n</w:t>
      </w:r>
      <w:r w:rsidRPr="00CB66E3">
        <w:rPr>
          <w:sz w:val="20"/>
          <w:szCs w:val="20"/>
          <w:lang w:val="en-GB"/>
        </w:rPr>
        <w:t xml:space="preserve"> important source of freedom – consider civil disobedience – which is not replicated by a technical architecture. Secondly, law can be challenged within the law; one can take one’s case to higher courts. Architecture does not admit legitimate challenge (although it can be illegitimately hacked). Thirdly, law needs a certain legitimacy to operate – it is </w:t>
      </w:r>
      <w:r w:rsidR="001C3644">
        <w:rPr>
          <w:sz w:val="20"/>
          <w:szCs w:val="20"/>
          <w:lang w:val="en-GB"/>
        </w:rPr>
        <w:t xml:space="preserve">at least in part </w:t>
      </w:r>
      <w:r w:rsidRPr="00CB66E3">
        <w:rPr>
          <w:sz w:val="20"/>
          <w:szCs w:val="20"/>
          <w:lang w:val="en-GB"/>
        </w:rPr>
        <w:t>created, in a democracy, by a legislature that can be voted out by the citizens it binds. Software (even open source), on the other hand, is created by small expert cliques accoun</w:t>
      </w:r>
      <w:r w:rsidR="001D647E" w:rsidRPr="00CB66E3">
        <w:rPr>
          <w:sz w:val="20"/>
          <w:szCs w:val="20"/>
          <w:lang w:val="en-GB"/>
        </w:rPr>
        <w:t>table to no-one but themselves.</w:t>
      </w:r>
      <w:r w:rsidR="00C06C6C">
        <w:rPr>
          <w:sz w:val="20"/>
          <w:szCs w:val="20"/>
          <w:lang w:val="en-GB"/>
        </w:rPr>
        <w:t xml:space="preserve"> </w:t>
      </w:r>
      <w:r w:rsidR="004F1CBD">
        <w:rPr>
          <w:sz w:val="20"/>
          <w:szCs w:val="20"/>
          <w:lang w:val="en-GB"/>
        </w:rPr>
        <w:t xml:space="preserve">Economic incentives can </w:t>
      </w:r>
      <w:r w:rsidR="00996345">
        <w:rPr>
          <w:sz w:val="20"/>
          <w:szCs w:val="20"/>
          <w:lang w:val="en-GB"/>
        </w:rPr>
        <w:t xml:space="preserve">also </w:t>
      </w:r>
      <w:r w:rsidR="004F1CBD">
        <w:rPr>
          <w:sz w:val="20"/>
          <w:szCs w:val="20"/>
          <w:lang w:val="en-GB"/>
        </w:rPr>
        <w:t xml:space="preserve">be </w:t>
      </w:r>
      <w:r w:rsidR="00996345">
        <w:rPr>
          <w:sz w:val="20"/>
          <w:szCs w:val="20"/>
          <w:lang w:val="en-GB"/>
        </w:rPr>
        <w:t xml:space="preserve">subsumed by </w:t>
      </w:r>
      <w:r w:rsidR="004F1CBD">
        <w:rPr>
          <w:sz w:val="20"/>
          <w:szCs w:val="20"/>
          <w:lang w:val="en-GB"/>
        </w:rPr>
        <w:t xml:space="preserve">the architecture of a digital system. </w:t>
      </w:r>
      <w:r w:rsidR="00573254">
        <w:rPr>
          <w:sz w:val="20"/>
          <w:szCs w:val="20"/>
          <w:lang w:val="en-GB"/>
        </w:rPr>
        <w:t>In our case study, participants gave example</w:t>
      </w:r>
      <w:r w:rsidR="00996345">
        <w:rPr>
          <w:sz w:val="20"/>
          <w:szCs w:val="20"/>
          <w:lang w:val="en-GB"/>
        </w:rPr>
        <w:t>s</w:t>
      </w:r>
      <w:r w:rsidR="00573254">
        <w:rPr>
          <w:sz w:val="20"/>
          <w:szCs w:val="20"/>
          <w:lang w:val="en-GB"/>
        </w:rPr>
        <w:t xml:space="preserve"> of how </w:t>
      </w:r>
      <w:r w:rsidR="00996345">
        <w:rPr>
          <w:sz w:val="20"/>
          <w:szCs w:val="20"/>
          <w:lang w:val="en-GB"/>
        </w:rPr>
        <w:t>failure to</w:t>
      </w:r>
      <w:r w:rsidR="004F1CBD">
        <w:rPr>
          <w:sz w:val="20"/>
          <w:szCs w:val="20"/>
          <w:lang w:val="en-GB"/>
        </w:rPr>
        <w:t xml:space="preserve"> engage with the system</w:t>
      </w:r>
      <w:r w:rsidR="00996345">
        <w:rPr>
          <w:sz w:val="20"/>
          <w:szCs w:val="20"/>
          <w:lang w:val="en-GB"/>
        </w:rPr>
        <w:t xml:space="preserve"> on its own terms</w:t>
      </w:r>
      <w:r w:rsidR="004F1CBD">
        <w:rPr>
          <w:sz w:val="20"/>
          <w:szCs w:val="20"/>
          <w:lang w:val="en-GB"/>
        </w:rPr>
        <w:t xml:space="preserve"> </w:t>
      </w:r>
      <w:r w:rsidR="00996345">
        <w:rPr>
          <w:sz w:val="20"/>
          <w:szCs w:val="20"/>
          <w:lang w:val="en-GB"/>
        </w:rPr>
        <w:t>resulted in</w:t>
      </w:r>
      <w:r w:rsidR="004F1CBD">
        <w:rPr>
          <w:sz w:val="20"/>
          <w:szCs w:val="20"/>
          <w:lang w:val="en-GB"/>
        </w:rPr>
        <w:t xml:space="preserve"> financial</w:t>
      </w:r>
      <w:r w:rsidR="00996345">
        <w:rPr>
          <w:sz w:val="20"/>
          <w:szCs w:val="20"/>
          <w:lang w:val="en-GB"/>
        </w:rPr>
        <w:t xml:space="preserve"> punishment</w:t>
      </w:r>
      <w:r w:rsidR="004F1CBD">
        <w:rPr>
          <w:sz w:val="20"/>
          <w:szCs w:val="20"/>
          <w:lang w:val="en-GB"/>
        </w:rPr>
        <w:t xml:space="preserve"> by being underpaid or overpaid and then expected to pay it back. </w:t>
      </w:r>
    </w:p>
    <w:p w14:paraId="25337392" w14:textId="62E39C76" w:rsidR="00DC06F2" w:rsidRPr="00CB66E3" w:rsidRDefault="00996345" w:rsidP="00B94B0C">
      <w:pPr>
        <w:jc w:val="both"/>
        <w:rPr>
          <w:sz w:val="20"/>
          <w:szCs w:val="20"/>
          <w:lang w:val="en-GB"/>
        </w:rPr>
      </w:pPr>
      <w:r>
        <w:rPr>
          <w:sz w:val="20"/>
          <w:szCs w:val="20"/>
          <w:lang w:val="en-GB"/>
        </w:rPr>
        <w:t xml:space="preserve">The case study </w:t>
      </w:r>
      <w:r w:rsidR="00E20241">
        <w:rPr>
          <w:sz w:val="20"/>
          <w:szCs w:val="20"/>
          <w:lang w:val="en-GB"/>
        </w:rPr>
        <w:t>indicate</w:t>
      </w:r>
      <w:r w:rsidR="00AA1FD3">
        <w:rPr>
          <w:sz w:val="20"/>
          <w:szCs w:val="20"/>
          <w:lang w:val="en-GB"/>
        </w:rPr>
        <w:t>s</w:t>
      </w:r>
      <w:r w:rsidR="00573254">
        <w:rPr>
          <w:sz w:val="20"/>
          <w:szCs w:val="20"/>
          <w:lang w:val="en-GB"/>
        </w:rPr>
        <w:t xml:space="preserve"> that c</w:t>
      </w:r>
      <w:r w:rsidR="004F1CBD">
        <w:rPr>
          <w:sz w:val="20"/>
          <w:szCs w:val="20"/>
          <w:lang w:val="en-GB"/>
        </w:rPr>
        <w:t xml:space="preserve">itizens can choose not to engage with these incentives and may well </w:t>
      </w:r>
      <w:r>
        <w:rPr>
          <w:sz w:val="20"/>
          <w:szCs w:val="20"/>
          <w:lang w:val="en-GB"/>
        </w:rPr>
        <w:t>prefer</w:t>
      </w:r>
      <w:r w:rsidR="004F1CBD">
        <w:rPr>
          <w:sz w:val="20"/>
          <w:szCs w:val="20"/>
          <w:lang w:val="en-GB"/>
        </w:rPr>
        <w:t xml:space="preserve"> informal economic activities that are outside the control of the state and bypass the digital system. </w:t>
      </w:r>
      <w:r w:rsidR="00AD2EBE">
        <w:rPr>
          <w:sz w:val="20"/>
          <w:szCs w:val="20"/>
          <w:lang w:val="en-GB"/>
        </w:rPr>
        <w:t>Some of the</w:t>
      </w:r>
      <w:r w:rsidR="004F1CBD">
        <w:rPr>
          <w:sz w:val="20"/>
          <w:szCs w:val="20"/>
          <w:lang w:val="en-GB"/>
        </w:rPr>
        <w:t xml:space="preserve"> social norms that sit around these informal economic activities emerge from our focus group community. Not only do</w:t>
      </w:r>
      <w:r>
        <w:rPr>
          <w:sz w:val="20"/>
          <w:szCs w:val="20"/>
          <w:lang w:val="en-GB"/>
        </w:rPr>
        <w:t>es</w:t>
      </w:r>
      <w:r w:rsidR="004F1CBD">
        <w:rPr>
          <w:sz w:val="20"/>
          <w:szCs w:val="20"/>
          <w:lang w:val="en-GB"/>
        </w:rPr>
        <w:t xml:space="preserve"> each of these </w:t>
      </w:r>
      <w:r>
        <w:rPr>
          <w:sz w:val="20"/>
          <w:szCs w:val="20"/>
          <w:lang w:val="en-GB"/>
        </w:rPr>
        <w:t xml:space="preserve">constraint </w:t>
      </w:r>
      <w:r w:rsidR="004F1CBD">
        <w:rPr>
          <w:sz w:val="20"/>
          <w:szCs w:val="20"/>
          <w:lang w:val="en-GB"/>
        </w:rPr>
        <w:t xml:space="preserve">mechanisms have different properties but </w:t>
      </w:r>
      <w:r w:rsidR="00DD4CFE">
        <w:rPr>
          <w:sz w:val="20"/>
          <w:szCs w:val="20"/>
          <w:lang w:val="en-GB"/>
        </w:rPr>
        <w:t xml:space="preserve">the state is more likely to focus on hard controls such as the law, architecture of the system and economic incentives rather than attempt to tackle social norms and yet this mechanism emerged from the case study as </w:t>
      </w:r>
      <w:r>
        <w:rPr>
          <w:sz w:val="20"/>
          <w:szCs w:val="20"/>
          <w:lang w:val="en-GB"/>
        </w:rPr>
        <w:t xml:space="preserve">the most </w:t>
      </w:r>
      <w:r w:rsidR="00DD4CFE">
        <w:rPr>
          <w:sz w:val="20"/>
          <w:szCs w:val="20"/>
          <w:lang w:val="en-GB"/>
        </w:rPr>
        <w:t xml:space="preserve">important factor in developing trust and security through </w:t>
      </w:r>
      <w:r>
        <w:rPr>
          <w:sz w:val="20"/>
          <w:szCs w:val="20"/>
          <w:lang w:val="en-GB"/>
        </w:rPr>
        <w:t xml:space="preserve">protection of </w:t>
      </w:r>
      <w:r w:rsidR="00DD4CFE">
        <w:rPr>
          <w:sz w:val="20"/>
          <w:szCs w:val="20"/>
          <w:lang w:val="en-GB"/>
        </w:rPr>
        <w:t>the community and its members.</w:t>
      </w:r>
      <w:r>
        <w:rPr>
          <w:sz w:val="20"/>
          <w:szCs w:val="20"/>
          <w:lang w:val="en-GB"/>
        </w:rPr>
        <w:t xml:space="preserve"> In other words, when we switch focus from the security of digital or financial assets to the kinds of security that matter to the citizen, we see that the hard constraints are more likely to produce insecurity than security, and consequently that the ideal of a co-constructed sociotechnical security architecture </w:t>
      </w:r>
      <w:r w:rsidR="006A06DE">
        <w:rPr>
          <w:sz w:val="20"/>
          <w:szCs w:val="20"/>
          <w:lang w:val="en-GB"/>
        </w:rPr>
        <w:t xml:space="preserve">in this context </w:t>
      </w:r>
      <w:r>
        <w:rPr>
          <w:sz w:val="20"/>
          <w:szCs w:val="20"/>
          <w:lang w:val="en-GB"/>
        </w:rPr>
        <w:t>fractures into a set of government controls designed to counter community resistance.</w:t>
      </w:r>
    </w:p>
    <w:p w14:paraId="7A4DF047" w14:textId="6EBB2790" w:rsidR="00DC06F2" w:rsidRPr="00CB66E3" w:rsidRDefault="00DC06F2" w:rsidP="00B94B0C">
      <w:pPr>
        <w:jc w:val="both"/>
        <w:rPr>
          <w:sz w:val="20"/>
          <w:szCs w:val="20"/>
          <w:lang w:val="en-GB"/>
        </w:rPr>
      </w:pPr>
      <w:r w:rsidRPr="00CB66E3">
        <w:rPr>
          <w:sz w:val="20"/>
          <w:szCs w:val="20"/>
          <w:lang w:val="en-GB"/>
        </w:rPr>
        <w:t>The second reason is that the nature of the</w:t>
      </w:r>
      <w:r w:rsidR="00AA1FD3">
        <w:rPr>
          <w:sz w:val="20"/>
          <w:szCs w:val="20"/>
          <w:lang w:val="en-GB"/>
        </w:rPr>
        <w:t xml:space="preserve"> constraints in question is </w:t>
      </w:r>
      <w:r w:rsidRPr="00CB66E3">
        <w:rPr>
          <w:sz w:val="20"/>
          <w:szCs w:val="20"/>
          <w:lang w:val="en-GB"/>
        </w:rPr>
        <w:t>more complex than Lessig’s simple picture suggests. Perhaps most importantly,</w:t>
      </w:r>
      <w:r w:rsidR="003D717A">
        <w:rPr>
          <w:sz w:val="20"/>
          <w:szCs w:val="20"/>
          <w:lang w:val="en-GB"/>
        </w:rPr>
        <w:t xml:space="preserve"> pre-DBD</w:t>
      </w:r>
      <w:r w:rsidRPr="00CB66E3">
        <w:rPr>
          <w:sz w:val="20"/>
          <w:szCs w:val="20"/>
          <w:lang w:val="en-GB"/>
        </w:rPr>
        <w:t xml:space="preserve">, the </w:t>
      </w:r>
      <w:r w:rsidR="003D717A">
        <w:rPr>
          <w:sz w:val="20"/>
          <w:szCs w:val="20"/>
          <w:lang w:val="en-GB"/>
        </w:rPr>
        <w:t xml:space="preserve">citizen might </w:t>
      </w:r>
      <w:r w:rsidR="001B7C3B">
        <w:rPr>
          <w:sz w:val="20"/>
          <w:szCs w:val="20"/>
          <w:lang w:val="en-GB"/>
        </w:rPr>
        <w:t xml:space="preserve">have </w:t>
      </w:r>
      <w:r w:rsidRPr="00CB66E3">
        <w:rPr>
          <w:sz w:val="20"/>
          <w:szCs w:val="20"/>
          <w:lang w:val="en-GB"/>
        </w:rPr>
        <w:t>spen</w:t>
      </w:r>
      <w:r w:rsidR="001B7C3B">
        <w:rPr>
          <w:sz w:val="20"/>
          <w:szCs w:val="20"/>
          <w:lang w:val="en-GB"/>
        </w:rPr>
        <w:t>t</w:t>
      </w:r>
      <w:r w:rsidRPr="00CB66E3">
        <w:rPr>
          <w:sz w:val="20"/>
          <w:szCs w:val="20"/>
          <w:lang w:val="en-GB"/>
        </w:rPr>
        <w:t xml:space="preserve"> time talking to a representative of the state who almost unconsciously perform</w:t>
      </w:r>
      <w:r w:rsidR="001B7C3B">
        <w:rPr>
          <w:sz w:val="20"/>
          <w:szCs w:val="20"/>
          <w:lang w:val="en-GB"/>
        </w:rPr>
        <w:t>ed</w:t>
      </w:r>
      <w:r w:rsidRPr="00CB66E3">
        <w:rPr>
          <w:sz w:val="20"/>
          <w:szCs w:val="20"/>
          <w:lang w:val="en-GB"/>
        </w:rPr>
        <w:t xml:space="preserve"> the vital communicative function of explaining the assumed responsibilities of</w:t>
      </w:r>
      <w:r w:rsidR="003D717A">
        <w:rPr>
          <w:sz w:val="20"/>
          <w:szCs w:val="20"/>
          <w:lang w:val="en-GB"/>
        </w:rPr>
        <w:t xml:space="preserve"> the citizen</w:t>
      </w:r>
      <w:r w:rsidRPr="00CB66E3">
        <w:rPr>
          <w:sz w:val="20"/>
          <w:szCs w:val="20"/>
          <w:lang w:val="en-GB"/>
        </w:rPr>
        <w:t xml:space="preserve">. This is a very rich interaction of the </w:t>
      </w:r>
      <w:r w:rsidR="00D1487F">
        <w:rPr>
          <w:sz w:val="20"/>
          <w:szCs w:val="20"/>
          <w:lang w:val="en-GB"/>
        </w:rPr>
        <w:t>citizen</w:t>
      </w:r>
      <w:r w:rsidRPr="00CB66E3">
        <w:rPr>
          <w:sz w:val="20"/>
          <w:szCs w:val="20"/>
          <w:lang w:val="en-GB"/>
        </w:rPr>
        <w:t xml:space="preserve"> with not only a monolithic state, but its human representatives and also various other actors in the same society. The digital architecture wishes most of this away, and replaces it with an input/output function where the claimant identifies himself in terms meaningless to him, but that the state recognises (e.g. a biometric or a password), and then transfers resources once it has verified entitlement. No conversation, explanation or human interaction is needed</w:t>
      </w:r>
      <w:r w:rsidR="001B7C3B">
        <w:rPr>
          <w:sz w:val="20"/>
          <w:szCs w:val="20"/>
          <w:lang w:val="en-GB"/>
        </w:rPr>
        <w:t xml:space="preserve"> from the architecture’s point of view</w:t>
      </w:r>
      <w:r w:rsidRPr="00CB66E3">
        <w:rPr>
          <w:sz w:val="20"/>
          <w:szCs w:val="20"/>
          <w:lang w:val="en-GB"/>
        </w:rPr>
        <w:t>.</w:t>
      </w:r>
      <w:r w:rsidR="003D717A">
        <w:rPr>
          <w:sz w:val="20"/>
          <w:szCs w:val="20"/>
          <w:lang w:val="en-GB"/>
        </w:rPr>
        <w:t xml:space="preserve"> This is not merely a change in interaction style but a removal of fundamental and necessary qualities of security control. By contrast, the case study reflect</w:t>
      </w:r>
      <w:r w:rsidR="00AA1FD3">
        <w:rPr>
          <w:sz w:val="20"/>
          <w:szCs w:val="20"/>
          <w:lang w:val="en-GB"/>
        </w:rPr>
        <w:t>s</w:t>
      </w:r>
      <w:r w:rsidR="003D717A">
        <w:rPr>
          <w:sz w:val="20"/>
          <w:szCs w:val="20"/>
          <w:lang w:val="en-GB"/>
        </w:rPr>
        <w:t xml:space="preserve"> the importance of communication, interaction and the negotiation of responsibilities</w:t>
      </w:r>
      <w:r w:rsidR="00721426">
        <w:rPr>
          <w:sz w:val="20"/>
          <w:szCs w:val="20"/>
          <w:lang w:val="en-GB"/>
        </w:rPr>
        <w:t xml:space="preserve"> that are pre-conditions to the s</w:t>
      </w:r>
      <w:r w:rsidR="005C5243">
        <w:rPr>
          <w:sz w:val="20"/>
          <w:szCs w:val="20"/>
          <w:lang w:val="en-GB"/>
        </w:rPr>
        <w:t xml:space="preserve">uccessful </w:t>
      </w:r>
      <w:r w:rsidR="001B7C3B">
        <w:rPr>
          <w:sz w:val="20"/>
          <w:szCs w:val="20"/>
          <w:lang w:val="en-GB"/>
        </w:rPr>
        <w:t>operation of</w:t>
      </w:r>
      <w:r w:rsidR="005C5243">
        <w:rPr>
          <w:sz w:val="20"/>
          <w:szCs w:val="20"/>
          <w:lang w:val="en-GB"/>
        </w:rPr>
        <w:t xml:space="preserve"> a system</w:t>
      </w:r>
      <w:r w:rsidR="00AA1FD3">
        <w:rPr>
          <w:sz w:val="20"/>
          <w:szCs w:val="20"/>
          <w:lang w:val="en-GB"/>
        </w:rPr>
        <w:t>.</w:t>
      </w:r>
    </w:p>
    <w:p w14:paraId="484A806E" w14:textId="412ECC50" w:rsidR="00564DF8" w:rsidRPr="00CB66E3" w:rsidRDefault="00FA6C84" w:rsidP="00B94B0C">
      <w:pPr>
        <w:rPr>
          <w:b/>
          <w:sz w:val="20"/>
          <w:szCs w:val="20"/>
          <w:lang w:val="en-GB"/>
        </w:rPr>
      </w:pPr>
      <w:r>
        <w:rPr>
          <w:b/>
          <w:sz w:val="20"/>
          <w:szCs w:val="20"/>
          <w:lang w:val="en-GB"/>
        </w:rPr>
        <w:t>5</w:t>
      </w:r>
      <w:r w:rsidR="00564DF8" w:rsidRPr="00CB66E3">
        <w:rPr>
          <w:b/>
          <w:sz w:val="20"/>
          <w:szCs w:val="20"/>
          <w:lang w:val="en-GB"/>
        </w:rPr>
        <w:t>.</w:t>
      </w:r>
      <w:r>
        <w:rPr>
          <w:b/>
          <w:sz w:val="20"/>
          <w:szCs w:val="20"/>
          <w:lang w:val="en-GB"/>
        </w:rPr>
        <w:t>The Third Absence:</w:t>
      </w:r>
      <w:r w:rsidR="00564DF8" w:rsidRPr="00CB66E3">
        <w:rPr>
          <w:b/>
          <w:sz w:val="20"/>
          <w:szCs w:val="20"/>
          <w:lang w:val="en-GB"/>
        </w:rPr>
        <w:t xml:space="preserve"> </w:t>
      </w:r>
      <w:r>
        <w:rPr>
          <w:b/>
          <w:sz w:val="20"/>
          <w:szCs w:val="20"/>
          <w:lang w:val="en-GB"/>
        </w:rPr>
        <w:t>Legibility</w:t>
      </w:r>
      <w:r w:rsidRPr="00CB66E3">
        <w:rPr>
          <w:b/>
          <w:sz w:val="20"/>
          <w:szCs w:val="20"/>
          <w:lang w:val="en-GB"/>
        </w:rPr>
        <w:t xml:space="preserve"> </w:t>
      </w:r>
      <w:r w:rsidR="00564DF8" w:rsidRPr="00CB66E3">
        <w:rPr>
          <w:b/>
          <w:sz w:val="20"/>
          <w:szCs w:val="20"/>
          <w:lang w:val="en-GB"/>
        </w:rPr>
        <w:t>of the State</w:t>
      </w:r>
      <w:r>
        <w:rPr>
          <w:b/>
          <w:sz w:val="20"/>
          <w:szCs w:val="20"/>
          <w:lang w:val="en-GB"/>
        </w:rPr>
        <w:t xml:space="preserve"> to the Citizen</w:t>
      </w:r>
    </w:p>
    <w:p w14:paraId="1992926E" w14:textId="73693410" w:rsidR="00564DF8" w:rsidRPr="00CB66E3" w:rsidRDefault="00FB23F6" w:rsidP="00B94B0C">
      <w:pPr>
        <w:jc w:val="both"/>
        <w:rPr>
          <w:sz w:val="20"/>
          <w:szCs w:val="20"/>
          <w:lang w:val="en-GB"/>
        </w:rPr>
      </w:pPr>
      <w:r>
        <w:rPr>
          <w:sz w:val="20"/>
          <w:szCs w:val="20"/>
          <w:lang w:val="en-GB"/>
        </w:rPr>
        <w:t xml:space="preserve">The illegibility of the state systems appears as a clear source of mistrust for our focus group participants. </w:t>
      </w:r>
      <w:r w:rsidR="00564DF8" w:rsidRPr="00CB66E3">
        <w:rPr>
          <w:sz w:val="20"/>
          <w:szCs w:val="20"/>
          <w:lang w:val="en-GB"/>
        </w:rPr>
        <w:t>The technologies of cybersecurity are built on a particular type of mathematical abstraction away from the everyday</w:t>
      </w:r>
      <w:r w:rsidR="009B3C58">
        <w:rPr>
          <w:sz w:val="20"/>
          <w:szCs w:val="20"/>
          <w:lang w:val="en-GB"/>
        </w:rPr>
        <w:t>,</w:t>
      </w:r>
      <w:r w:rsidR="00564DF8" w:rsidRPr="00CB66E3">
        <w:rPr>
          <w:sz w:val="20"/>
          <w:szCs w:val="20"/>
          <w:lang w:val="en-GB"/>
        </w:rPr>
        <w:t xml:space="preserve"> ‘embodied situated experience’ (</w:t>
      </w:r>
      <w:r w:rsidR="00564DF8" w:rsidRPr="00EC041C">
        <w:rPr>
          <w:sz w:val="20"/>
          <w:szCs w:val="20"/>
          <w:lang w:val="en-GB"/>
        </w:rPr>
        <w:t>Cohen, 2007, p.</w:t>
      </w:r>
      <w:r w:rsidR="009B3C58">
        <w:rPr>
          <w:sz w:val="20"/>
          <w:szCs w:val="20"/>
          <w:lang w:val="en-GB"/>
        </w:rPr>
        <w:t>213</w:t>
      </w:r>
      <w:r w:rsidR="00564DF8" w:rsidRPr="00EC041C">
        <w:rPr>
          <w:sz w:val="20"/>
          <w:szCs w:val="20"/>
          <w:lang w:val="en-GB"/>
        </w:rPr>
        <w:t>)</w:t>
      </w:r>
      <w:r w:rsidR="00564DF8" w:rsidRPr="00CB66E3">
        <w:rPr>
          <w:sz w:val="20"/>
          <w:szCs w:val="20"/>
          <w:lang w:val="en-GB"/>
        </w:rPr>
        <w:t xml:space="preserve"> of individuals</w:t>
      </w:r>
      <w:r w:rsidR="009F04A0">
        <w:rPr>
          <w:sz w:val="20"/>
          <w:szCs w:val="20"/>
          <w:lang w:val="en-GB"/>
        </w:rPr>
        <w:t>,</w:t>
      </w:r>
      <w:r w:rsidR="00564DF8" w:rsidRPr="00CB66E3">
        <w:rPr>
          <w:sz w:val="20"/>
          <w:szCs w:val="20"/>
          <w:lang w:val="en-GB"/>
        </w:rPr>
        <w:t xml:space="preserve"> reduc</w:t>
      </w:r>
      <w:r w:rsidR="009F04A0">
        <w:rPr>
          <w:sz w:val="20"/>
          <w:szCs w:val="20"/>
          <w:lang w:val="en-GB"/>
        </w:rPr>
        <w:t>ing</w:t>
      </w:r>
      <w:r w:rsidR="00564DF8" w:rsidRPr="00CB66E3">
        <w:rPr>
          <w:sz w:val="20"/>
          <w:szCs w:val="20"/>
          <w:lang w:val="en-GB"/>
        </w:rPr>
        <w:t xml:space="preserve"> visibility of the fluidity that digital technologies both enable and encourage</w:t>
      </w:r>
      <w:r w:rsidR="00291F81">
        <w:rPr>
          <w:sz w:val="20"/>
          <w:szCs w:val="20"/>
          <w:lang w:val="en-GB"/>
        </w:rPr>
        <w:t xml:space="preserve"> (Bauman, 2013)</w:t>
      </w:r>
      <w:r w:rsidR="00564DF8" w:rsidRPr="00CB66E3">
        <w:rPr>
          <w:sz w:val="20"/>
          <w:szCs w:val="20"/>
          <w:lang w:val="en-GB"/>
        </w:rPr>
        <w:t xml:space="preserve">. However, reducing its visibility does not </w:t>
      </w:r>
      <w:r w:rsidR="009F04A0">
        <w:rPr>
          <w:sz w:val="20"/>
          <w:szCs w:val="20"/>
          <w:lang w:val="en-GB"/>
        </w:rPr>
        <w:t>remove it</w:t>
      </w:r>
      <w:r w:rsidR="00564DF8" w:rsidRPr="00CB66E3">
        <w:rPr>
          <w:sz w:val="20"/>
          <w:szCs w:val="20"/>
          <w:lang w:val="en-GB"/>
        </w:rPr>
        <w:t xml:space="preserve">. </w:t>
      </w:r>
      <w:r w:rsidR="00564DF8" w:rsidRPr="00EC041C">
        <w:rPr>
          <w:sz w:val="20"/>
          <w:szCs w:val="20"/>
          <w:lang w:val="en-GB"/>
        </w:rPr>
        <w:t>Scott (1998)</w:t>
      </w:r>
      <w:r w:rsidR="00564DF8" w:rsidRPr="00CB66E3">
        <w:rPr>
          <w:sz w:val="20"/>
          <w:szCs w:val="20"/>
          <w:lang w:val="en-GB"/>
        </w:rPr>
        <w:t xml:space="preserve"> has described the processes by which the state reduces complexity, by rendering its citizens and their lifeworlds legible to administrative order. This goes against typical living practices that are legible for citizens, that are local, interested, contextual and histor</w:t>
      </w:r>
      <w:r w:rsidR="007F2EBC">
        <w:rPr>
          <w:sz w:val="20"/>
          <w:szCs w:val="20"/>
          <w:lang w:val="en-GB"/>
        </w:rPr>
        <w:t>ically specific (Scott</w:t>
      </w:r>
      <w:r w:rsidR="009B3C58">
        <w:rPr>
          <w:sz w:val="20"/>
          <w:szCs w:val="20"/>
          <w:lang w:val="en-GB"/>
        </w:rPr>
        <w:t>,</w:t>
      </w:r>
      <w:r w:rsidR="007F2EBC">
        <w:rPr>
          <w:sz w:val="20"/>
          <w:szCs w:val="20"/>
          <w:lang w:val="en-GB"/>
        </w:rPr>
        <w:t xml:space="preserve"> 1998)</w:t>
      </w:r>
      <w:r w:rsidR="00564DF8" w:rsidRPr="00CB66E3">
        <w:rPr>
          <w:sz w:val="20"/>
          <w:szCs w:val="20"/>
          <w:lang w:val="en-GB"/>
        </w:rPr>
        <w:t xml:space="preserve"> and that make sense in the particular circumstances of citizens’ lives. For the state to intervene effectively, either to appropriate resources, to control behaviour, or to manipulate behaviour, it has to abstract away from all these factors to produce national, homogeneous, uniform standards. State simplification produces descriptions of communities that are usually: (i) related only to the state’s interests (in taxing, providing services, providing security, etc.), (ii) written facts, numerical or verbal, (iii) static facts, snapshots rather than ongoing processes, (iv) aggregate facts about groups and </w:t>
      </w:r>
      <w:r w:rsidR="00564DF8" w:rsidRPr="00CB66E3">
        <w:rPr>
          <w:sz w:val="20"/>
          <w:szCs w:val="20"/>
          <w:lang w:val="en-GB"/>
        </w:rPr>
        <w:lastRenderedPageBreak/>
        <w:t>averages, rather than about individuals per se, and (v) standardised, based on categories that bracket citizens together, no matter how unique the</w:t>
      </w:r>
      <w:r w:rsidR="007F2EBC">
        <w:rPr>
          <w:sz w:val="20"/>
          <w:szCs w:val="20"/>
          <w:lang w:val="en-GB"/>
        </w:rPr>
        <w:t>ir circumstances (</w:t>
      </w:r>
      <w:r w:rsidR="007F2EBC" w:rsidRPr="00EC041C">
        <w:rPr>
          <w:sz w:val="20"/>
          <w:szCs w:val="20"/>
          <w:lang w:val="en-GB"/>
        </w:rPr>
        <w:t>Scott, 1998</w:t>
      </w:r>
      <w:r w:rsidR="00564DF8" w:rsidRPr="00CB66E3">
        <w:rPr>
          <w:sz w:val="20"/>
          <w:szCs w:val="20"/>
          <w:lang w:val="en-GB"/>
        </w:rPr>
        <w:t>).</w:t>
      </w:r>
    </w:p>
    <w:p w14:paraId="021D2907" w14:textId="480D8206" w:rsidR="00564DF8" w:rsidRPr="00CB66E3" w:rsidRDefault="00564DF8" w:rsidP="00B94B0C">
      <w:pPr>
        <w:jc w:val="both"/>
        <w:rPr>
          <w:sz w:val="20"/>
          <w:szCs w:val="20"/>
          <w:lang w:val="en-GB"/>
        </w:rPr>
      </w:pPr>
      <w:r w:rsidRPr="00CB66E3">
        <w:rPr>
          <w:sz w:val="20"/>
          <w:szCs w:val="20"/>
          <w:lang w:val="en-GB"/>
        </w:rPr>
        <w:t>In the end, such an understanding engenders incentives for people to abridge their own practice in order to be legible by the state – for instance, an unemployed person on welfare might be better off working casually in the informal economy, but the state recognises only the possibility of formal employment or enforced idleness. Its rules are crafted on this assumption, giving the welfare claimant the choice of forfeiting paym</w:t>
      </w:r>
      <w:r w:rsidR="007F2EBC">
        <w:rPr>
          <w:sz w:val="20"/>
          <w:szCs w:val="20"/>
          <w:lang w:val="en-GB"/>
        </w:rPr>
        <w:t>ents or foregoing informal work</w:t>
      </w:r>
      <w:r w:rsidRPr="00CB66E3">
        <w:rPr>
          <w:sz w:val="20"/>
          <w:szCs w:val="20"/>
          <w:lang w:val="en-GB"/>
        </w:rPr>
        <w:t xml:space="preserve">. If she forfeits her welfare entitlement, the social safety net is removed from under her, but if she claims welfare and foregoes informal employment she is unable to use her contacts and local knowledge (her social capital) to help support her and her dependents, and work that would benefit the local community is left undone. The state, with its imperative to abstract and simplify, ends up with individuals simplifying their own behaviour deliberately to become legible to the state. </w:t>
      </w:r>
    </w:p>
    <w:p w14:paraId="3F2134BA" w14:textId="47B2B250" w:rsidR="00564DF8" w:rsidRPr="00CB66E3" w:rsidRDefault="00564DF8" w:rsidP="00B94B0C">
      <w:pPr>
        <w:jc w:val="both"/>
        <w:rPr>
          <w:sz w:val="20"/>
          <w:szCs w:val="20"/>
          <w:lang w:val="en-GB"/>
        </w:rPr>
      </w:pPr>
      <w:r w:rsidRPr="00CB66E3">
        <w:rPr>
          <w:sz w:val="20"/>
          <w:szCs w:val="20"/>
          <w:lang w:val="en-GB"/>
        </w:rPr>
        <w:t>Note also that some commitment to transparency (e.g. the provision of open data) may be necessary for legibility, but cannot be sufficient. Government transparency can only help when what is revealed to citizens is legible to them. A</w:t>
      </w:r>
      <w:r w:rsidR="00084972">
        <w:rPr>
          <w:sz w:val="20"/>
          <w:szCs w:val="20"/>
          <w:lang w:val="en-GB"/>
        </w:rPr>
        <w:t xml:space="preserve"> data set in</w:t>
      </w:r>
      <w:r w:rsidRPr="00CB66E3">
        <w:rPr>
          <w:sz w:val="20"/>
          <w:szCs w:val="20"/>
          <w:lang w:val="en-GB"/>
        </w:rPr>
        <w:t xml:space="preserve"> </w:t>
      </w:r>
      <w:r w:rsidR="009F04A0">
        <w:rPr>
          <w:sz w:val="20"/>
          <w:szCs w:val="20"/>
          <w:lang w:val="en-GB"/>
        </w:rPr>
        <w:t xml:space="preserve">the </w:t>
      </w:r>
      <w:r w:rsidR="00F21CA3">
        <w:rPr>
          <w:sz w:val="20"/>
          <w:szCs w:val="20"/>
          <w:lang w:val="en-GB"/>
        </w:rPr>
        <w:t>Resource Description Framework</w:t>
      </w:r>
      <w:r w:rsidRPr="00CB66E3">
        <w:rPr>
          <w:sz w:val="20"/>
          <w:szCs w:val="20"/>
          <w:lang w:val="en-GB"/>
        </w:rPr>
        <w:t xml:space="preserve"> from data.gov.uk will not in itself </w:t>
      </w:r>
      <w:r w:rsidR="00C21730">
        <w:rPr>
          <w:sz w:val="20"/>
          <w:szCs w:val="20"/>
          <w:lang w:val="en-GB"/>
        </w:rPr>
        <w:t>accomplish this</w:t>
      </w:r>
      <w:r w:rsidRPr="00CB66E3">
        <w:rPr>
          <w:sz w:val="20"/>
          <w:szCs w:val="20"/>
          <w:lang w:val="en-GB"/>
        </w:rPr>
        <w:t xml:space="preserve">. </w:t>
      </w:r>
      <w:r w:rsidR="00045462">
        <w:rPr>
          <w:sz w:val="20"/>
          <w:szCs w:val="20"/>
          <w:lang w:val="en-GB"/>
        </w:rPr>
        <w:t>A</w:t>
      </w:r>
      <w:r w:rsidR="008E60FD">
        <w:rPr>
          <w:sz w:val="20"/>
          <w:szCs w:val="20"/>
          <w:lang w:val="en-GB"/>
        </w:rPr>
        <w:t>s our case study insights indicate, r</w:t>
      </w:r>
      <w:r w:rsidRPr="00CB66E3">
        <w:rPr>
          <w:sz w:val="20"/>
          <w:szCs w:val="20"/>
          <w:lang w:val="en-GB"/>
        </w:rPr>
        <w:t>ich engagement, and a willingness to discuss and explain, will be of far greater value.</w:t>
      </w:r>
    </w:p>
    <w:p w14:paraId="5D9507D5" w14:textId="2D6F9163" w:rsidR="007C057C" w:rsidRPr="00CB66E3" w:rsidRDefault="00FA6C84" w:rsidP="00B94B0C">
      <w:pPr>
        <w:rPr>
          <w:b/>
          <w:sz w:val="20"/>
          <w:szCs w:val="20"/>
          <w:lang w:val="en-GB"/>
        </w:rPr>
      </w:pPr>
      <w:r>
        <w:rPr>
          <w:b/>
          <w:sz w:val="20"/>
          <w:szCs w:val="20"/>
          <w:lang w:val="en-GB"/>
        </w:rPr>
        <w:t>6</w:t>
      </w:r>
      <w:r w:rsidR="007C057C" w:rsidRPr="00CB66E3">
        <w:rPr>
          <w:b/>
          <w:sz w:val="20"/>
          <w:szCs w:val="20"/>
          <w:lang w:val="en-GB"/>
        </w:rPr>
        <w:t xml:space="preserve">. </w:t>
      </w:r>
      <w:r w:rsidR="00045DDF">
        <w:rPr>
          <w:b/>
          <w:sz w:val="20"/>
          <w:szCs w:val="20"/>
          <w:lang w:val="en-GB"/>
        </w:rPr>
        <w:t xml:space="preserve">Discussion and </w:t>
      </w:r>
      <w:r w:rsidR="007C057C" w:rsidRPr="00CB66E3">
        <w:rPr>
          <w:b/>
          <w:sz w:val="20"/>
          <w:szCs w:val="20"/>
          <w:lang w:val="en-GB"/>
        </w:rPr>
        <w:t>Conclusion</w:t>
      </w:r>
    </w:p>
    <w:p w14:paraId="38B6936D" w14:textId="3E0924B9" w:rsidR="00FA6C84" w:rsidRPr="00CB66E3" w:rsidRDefault="00FA6C84" w:rsidP="00FA6C84">
      <w:pPr>
        <w:jc w:val="both"/>
        <w:rPr>
          <w:sz w:val="20"/>
          <w:szCs w:val="20"/>
          <w:lang w:val="en-GB"/>
        </w:rPr>
      </w:pPr>
      <w:r w:rsidRPr="00CB66E3">
        <w:rPr>
          <w:sz w:val="20"/>
          <w:szCs w:val="20"/>
          <w:lang w:val="en-GB"/>
        </w:rPr>
        <w:t>Sovereignty is the ability of a state to maintain the exclusive power and authority to govern itself, for example by maintaining control of, and managing</w:t>
      </w:r>
      <w:r w:rsidR="00045DDF">
        <w:rPr>
          <w:sz w:val="20"/>
          <w:szCs w:val="20"/>
          <w:lang w:val="en-GB"/>
        </w:rPr>
        <w:t>,</w:t>
      </w:r>
      <w:r w:rsidRPr="00CB66E3">
        <w:rPr>
          <w:sz w:val="20"/>
          <w:szCs w:val="20"/>
          <w:lang w:val="en-GB"/>
        </w:rPr>
        <w:t xml:space="preserve"> citizens within, its borders.</w:t>
      </w:r>
      <w:r>
        <w:rPr>
          <w:sz w:val="20"/>
          <w:szCs w:val="20"/>
          <w:lang w:val="en-GB"/>
        </w:rPr>
        <w:t xml:space="preserve"> Neocleous (2008) argues that social security is an important aspect of </w:t>
      </w:r>
      <w:r w:rsidR="00045DDF">
        <w:rPr>
          <w:sz w:val="20"/>
          <w:szCs w:val="20"/>
          <w:lang w:val="en-GB"/>
        </w:rPr>
        <w:t>this imperative for the state</w:t>
      </w:r>
      <w:r>
        <w:rPr>
          <w:sz w:val="20"/>
          <w:szCs w:val="20"/>
          <w:lang w:val="en-GB"/>
        </w:rPr>
        <w:t>.</w:t>
      </w:r>
      <w:r w:rsidRPr="00CB66E3">
        <w:rPr>
          <w:sz w:val="20"/>
          <w:szCs w:val="20"/>
          <w:lang w:val="en-GB"/>
        </w:rPr>
        <w:t xml:space="preserve"> An effective cybersecurity deployment is essential if the state is to maintain its exclusive authority and a secure DBD policy further bolsters this. </w:t>
      </w:r>
      <w:r w:rsidRPr="00EC041C">
        <w:rPr>
          <w:sz w:val="20"/>
          <w:szCs w:val="20"/>
          <w:lang w:val="en-GB"/>
        </w:rPr>
        <w:t>Franzese (2009)</w:t>
      </w:r>
      <w:r w:rsidRPr="00CB66E3">
        <w:rPr>
          <w:sz w:val="20"/>
          <w:szCs w:val="20"/>
          <w:lang w:val="en-GB"/>
        </w:rPr>
        <w:t xml:space="preserve"> suggests that sovereignty in cyberspace depends on a state receiving external recognition of its authority and ability to</w:t>
      </w:r>
      <w:r>
        <w:rPr>
          <w:sz w:val="20"/>
          <w:szCs w:val="20"/>
          <w:lang w:val="en-GB"/>
        </w:rPr>
        <w:t>,</w:t>
      </w:r>
      <w:r w:rsidRPr="00CB66E3">
        <w:rPr>
          <w:sz w:val="20"/>
          <w:szCs w:val="20"/>
          <w:lang w:val="en-GB"/>
        </w:rPr>
        <w:t xml:space="preserve"> ‘exert some </w:t>
      </w:r>
      <w:r>
        <w:rPr>
          <w:sz w:val="20"/>
          <w:szCs w:val="20"/>
          <w:lang w:val="en-GB"/>
        </w:rPr>
        <w:t xml:space="preserve">measure of </w:t>
      </w:r>
      <w:r w:rsidRPr="00CB66E3">
        <w:rPr>
          <w:sz w:val="20"/>
          <w:szCs w:val="20"/>
          <w:lang w:val="en-GB"/>
        </w:rPr>
        <w:t>control over its own cyberspace’</w:t>
      </w:r>
      <w:r>
        <w:rPr>
          <w:sz w:val="20"/>
          <w:szCs w:val="20"/>
          <w:lang w:val="en-GB"/>
        </w:rPr>
        <w:t xml:space="preserve"> (p</w:t>
      </w:r>
      <w:r w:rsidRPr="00CB66E3">
        <w:rPr>
          <w:sz w:val="20"/>
          <w:szCs w:val="20"/>
          <w:lang w:val="en-GB"/>
        </w:rPr>
        <w:t>.</w:t>
      </w:r>
      <w:r>
        <w:rPr>
          <w:sz w:val="20"/>
          <w:szCs w:val="20"/>
          <w:lang w:val="en-GB"/>
        </w:rPr>
        <w:t>9)</w:t>
      </w:r>
      <w:r w:rsidR="00045DDF">
        <w:rPr>
          <w:sz w:val="20"/>
          <w:szCs w:val="20"/>
          <w:lang w:val="en-GB"/>
        </w:rPr>
        <w:t>, and such authority is under heavy challenge at the time of writing</w:t>
      </w:r>
      <w:r>
        <w:rPr>
          <w:sz w:val="20"/>
          <w:szCs w:val="20"/>
          <w:lang w:val="en-GB"/>
        </w:rPr>
        <w:t xml:space="preserve">. </w:t>
      </w:r>
      <w:r w:rsidRPr="00CB66E3">
        <w:rPr>
          <w:sz w:val="20"/>
          <w:szCs w:val="20"/>
          <w:lang w:val="en-GB"/>
        </w:rPr>
        <w:t>In the UK, the importance of such recognition</w:t>
      </w:r>
      <w:r>
        <w:rPr>
          <w:sz w:val="20"/>
          <w:szCs w:val="20"/>
          <w:lang w:val="en-GB"/>
        </w:rPr>
        <w:t xml:space="preserve"> to the establishment of sovereignty</w:t>
      </w:r>
      <w:r w:rsidRPr="00CB66E3">
        <w:rPr>
          <w:sz w:val="20"/>
          <w:szCs w:val="20"/>
          <w:lang w:val="en-GB"/>
        </w:rPr>
        <w:t xml:space="preserve"> is encapsulated in the Government aspiration to make the UK the safest place to do business online (</w:t>
      </w:r>
      <w:r w:rsidRPr="00EC041C">
        <w:rPr>
          <w:sz w:val="20"/>
          <w:szCs w:val="20"/>
          <w:lang w:val="en-GB"/>
        </w:rPr>
        <w:t>UK Government, 2016)</w:t>
      </w:r>
      <w:r>
        <w:rPr>
          <w:sz w:val="20"/>
          <w:szCs w:val="20"/>
          <w:lang w:val="en-GB"/>
        </w:rPr>
        <w:t xml:space="preserve">. Achieving this aim establishes sovereignty in two ways, firstly, through other countries and global businesses engaging in online business with the UK thereby demonstrating their confidence in the control UK Government has over its cyberspace and secondly, through delivering secure Government services to its citizens, again demonstrating that the Government has the ability to manage its citizens in cyberspace.  </w:t>
      </w:r>
    </w:p>
    <w:p w14:paraId="034B1608" w14:textId="76810BE8" w:rsidR="008134C9" w:rsidRDefault="00FA6C84" w:rsidP="00FA6C84">
      <w:pPr>
        <w:rPr>
          <w:sz w:val="20"/>
          <w:szCs w:val="20"/>
          <w:lang w:val="en-GB"/>
        </w:rPr>
      </w:pPr>
      <w:r w:rsidRPr="00CB66E3">
        <w:rPr>
          <w:sz w:val="20"/>
          <w:szCs w:val="20"/>
          <w:lang w:val="en-GB"/>
        </w:rPr>
        <w:t xml:space="preserve">Sovereign capability in cyberspace is complex and contested and the projection of sovereignty is demonstrated, at least in part, through state activities around cybersecurity. As Lessig </w:t>
      </w:r>
      <w:r>
        <w:rPr>
          <w:sz w:val="20"/>
          <w:szCs w:val="20"/>
          <w:lang w:val="en-GB"/>
        </w:rPr>
        <w:t xml:space="preserve">(1999) </w:t>
      </w:r>
      <w:r w:rsidRPr="00CB66E3">
        <w:rPr>
          <w:sz w:val="20"/>
          <w:szCs w:val="20"/>
          <w:lang w:val="en-GB"/>
        </w:rPr>
        <w:t xml:space="preserve">points out, </w:t>
      </w:r>
      <w:r>
        <w:rPr>
          <w:sz w:val="20"/>
          <w:szCs w:val="20"/>
          <w:lang w:val="en-GB"/>
        </w:rPr>
        <w:t>‘</w:t>
      </w:r>
      <w:r w:rsidRPr="00121E56">
        <w:rPr>
          <w:sz w:val="20"/>
          <w:szCs w:val="20"/>
          <w:lang w:val="en-GB"/>
        </w:rPr>
        <w:t>real-space sovereigns</w:t>
      </w:r>
      <w:r>
        <w:rPr>
          <w:sz w:val="20"/>
          <w:szCs w:val="20"/>
          <w:lang w:val="en-GB"/>
        </w:rPr>
        <w:t>’</w:t>
      </w:r>
      <w:r w:rsidRPr="00CB66E3">
        <w:rPr>
          <w:sz w:val="20"/>
          <w:szCs w:val="20"/>
          <w:lang w:val="en-GB"/>
        </w:rPr>
        <w:t xml:space="preserve"> </w:t>
      </w:r>
      <w:r w:rsidR="009123E6">
        <w:rPr>
          <w:sz w:val="20"/>
          <w:szCs w:val="20"/>
          <w:lang w:val="en-GB"/>
        </w:rPr>
        <w:t xml:space="preserve">(p.198) </w:t>
      </w:r>
      <w:r w:rsidRPr="00CB66E3">
        <w:rPr>
          <w:sz w:val="20"/>
          <w:szCs w:val="20"/>
          <w:lang w:val="en-GB"/>
        </w:rPr>
        <w:t>will respond to the threat of cyberspace by attempting to ensure that their regulatory power encompasses vir</w:t>
      </w:r>
      <w:r>
        <w:rPr>
          <w:sz w:val="20"/>
          <w:szCs w:val="20"/>
          <w:lang w:val="en-GB"/>
        </w:rPr>
        <w:t>tual spaces</w:t>
      </w:r>
      <w:r w:rsidRPr="00CB66E3">
        <w:rPr>
          <w:sz w:val="20"/>
          <w:szCs w:val="20"/>
          <w:lang w:val="en-GB"/>
        </w:rPr>
        <w:t xml:space="preserve">, and, by framing cyberspace as a </w:t>
      </w:r>
      <w:r w:rsidR="00045DDF">
        <w:rPr>
          <w:sz w:val="20"/>
          <w:szCs w:val="20"/>
          <w:lang w:val="en-GB"/>
        </w:rPr>
        <w:t xml:space="preserve">spatial </w:t>
      </w:r>
      <w:r w:rsidRPr="00CB66E3">
        <w:rPr>
          <w:sz w:val="20"/>
          <w:szCs w:val="20"/>
          <w:lang w:val="en-GB"/>
        </w:rPr>
        <w:t xml:space="preserve">domain </w:t>
      </w:r>
      <w:r w:rsidR="00045DDF">
        <w:rPr>
          <w:sz w:val="20"/>
          <w:szCs w:val="20"/>
          <w:lang w:val="en-GB"/>
        </w:rPr>
        <w:t>analogous</w:t>
      </w:r>
      <w:r w:rsidRPr="00CB66E3">
        <w:rPr>
          <w:sz w:val="20"/>
          <w:szCs w:val="20"/>
          <w:lang w:val="en-GB"/>
        </w:rPr>
        <w:t xml:space="preserve"> to land, sea and air (</w:t>
      </w:r>
      <w:r w:rsidRPr="00EC041C">
        <w:rPr>
          <w:sz w:val="20"/>
          <w:szCs w:val="20"/>
          <w:lang w:val="en-GB"/>
        </w:rPr>
        <w:t>Murphy, 2010),</w:t>
      </w:r>
      <w:r w:rsidRPr="00CB66E3">
        <w:rPr>
          <w:sz w:val="20"/>
          <w:szCs w:val="20"/>
          <w:lang w:val="en-GB"/>
        </w:rPr>
        <w:t xml:space="preserve"> </w:t>
      </w:r>
      <w:r w:rsidR="008134C9">
        <w:rPr>
          <w:sz w:val="20"/>
          <w:szCs w:val="20"/>
          <w:lang w:val="en-GB"/>
        </w:rPr>
        <w:t>will</w:t>
      </w:r>
      <w:r w:rsidRPr="00CB66E3">
        <w:rPr>
          <w:sz w:val="20"/>
          <w:szCs w:val="20"/>
          <w:lang w:val="en-GB"/>
        </w:rPr>
        <w:t xml:space="preserve"> conceptualise the control and management of cyberspace through cybersecurity. This Westphalian model is traditionally framed as being threatened by hacking causing the disruption of democratic processes by foreign powers, and by attempts to copy or take control of data assets of UK businesses and individuals. However, </w:t>
      </w:r>
      <w:r w:rsidR="00B710E1">
        <w:rPr>
          <w:sz w:val="20"/>
          <w:szCs w:val="20"/>
          <w:lang w:val="en-GB"/>
        </w:rPr>
        <w:t>our case study gives us cause to reflect</w:t>
      </w:r>
      <w:r w:rsidRPr="00CB66E3">
        <w:rPr>
          <w:sz w:val="20"/>
          <w:szCs w:val="20"/>
          <w:lang w:val="en-GB"/>
        </w:rPr>
        <w:t xml:space="preserve"> that civil disobedience stemming from the undermining of the social contract between citizen and state is</w:t>
      </w:r>
      <w:r w:rsidR="00B710E1">
        <w:rPr>
          <w:sz w:val="20"/>
          <w:szCs w:val="20"/>
          <w:lang w:val="en-GB"/>
        </w:rPr>
        <w:t xml:space="preserve"> also</w:t>
      </w:r>
      <w:r w:rsidRPr="00CB66E3">
        <w:rPr>
          <w:sz w:val="20"/>
          <w:szCs w:val="20"/>
          <w:lang w:val="en-GB"/>
        </w:rPr>
        <w:t xml:space="preserve"> a</w:t>
      </w:r>
      <w:r w:rsidR="001E085D">
        <w:rPr>
          <w:sz w:val="20"/>
          <w:szCs w:val="20"/>
          <w:lang w:val="en-GB"/>
        </w:rPr>
        <w:t xml:space="preserve"> potential</w:t>
      </w:r>
      <w:r w:rsidRPr="00CB66E3">
        <w:rPr>
          <w:sz w:val="20"/>
          <w:szCs w:val="20"/>
          <w:lang w:val="en-GB"/>
        </w:rPr>
        <w:t xml:space="preserve"> significant threat to domestic sovereignty. In the era of DBD, civil disobedience can result in non-compliance with cybersecurity controls and rejection of social policies and programmes</w:t>
      </w:r>
      <w:r w:rsidR="001E085D">
        <w:rPr>
          <w:sz w:val="20"/>
          <w:szCs w:val="20"/>
          <w:lang w:val="en-GB"/>
        </w:rPr>
        <w:t xml:space="preserve"> as the citizen </w:t>
      </w:r>
      <w:r w:rsidR="00C100D3">
        <w:rPr>
          <w:sz w:val="20"/>
          <w:szCs w:val="20"/>
          <w:lang w:val="en-GB"/>
        </w:rPr>
        <w:t>feels forced to focus</w:t>
      </w:r>
      <w:r w:rsidR="001E085D">
        <w:rPr>
          <w:sz w:val="20"/>
          <w:szCs w:val="20"/>
          <w:lang w:val="en-GB"/>
        </w:rPr>
        <w:t xml:space="preserve"> on their </w:t>
      </w:r>
      <w:r w:rsidR="005171A6">
        <w:rPr>
          <w:sz w:val="20"/>
          <w:szCs w:val="20"/>
          <w:lang w:val="en-GB"/>
        </w:rPr>
        <w:t>own security at the expense of making</w:t>
      </w:r>
      <w:r w:rsidR="001E085D">
        <w:rPr>
          <w:sz w:val="20"/>
          <w:szCs w:val="20"/>
          <w:lang w:val="en-GB"/>
        </w:rPr>
        <w:t xml:space="preserve"> positive and creative contribution</w:t>
      </w:r>
      <w:r w:rsidR="005171A6">
        <w:rPr>
          <w:sz w:val="20"/>
          <w:szCs w:val="20"/>
          <w:lang w:val="en-GB"/>
        </w:rPr>
        <w:t>s</w:t>
      </w:r>
      <w:r w:rsidR="001E085D">
        <w:rPr>
          <w:sz w:val="20"/>
          <w:szCs w:val="20"/>
          <w:lang w:val="en-GB"/>
        </w:rPr>
        <w:t xml:space="preserve"> to the state</w:t>
      </w:r>
      <w:r w:rsidRPr="00CB66E3">
        <w:rPr>
          <w:sz w:val="20"/>
          <w:szCs w:val="20"/>
          <w:lang w:val="en-GB"/>
        </w:rPr>
        <w:t>.</w:t>
      </w:r>
    </w:p>
    <w:p w14:paraId="4F4298C2" w14:textId="0DE18043" w:rsidR="00FA6C84" w:rsidRPr="00B141F6" w:rsidRDefault="00FA6C84" w:rsidP="00FA6C84">
      <w:pPr>
        <w:rPr>
          <w:sz w:val="20"/>
          <w:szCs w:val="20"/>
          <w:shd w:val="clear" w:color="auto" w:fill="FFFFFF"/>
          <w:lang w:val="en-US"/>
        </w:rPr>
      </w:pPr>
      <w:r w:rsidRPr="00B141F6">
        <w:rPr>
          <w:sz w:val="20"/>
          <w:szCs w:val="20"/>
          <w:shd w:val="clear" w:color="auto" w:fill="FFFFFF"/>
          <w:lang w:val="en-US"/>
        </w:rPr>
        <w:t>Neocleous (2008) makes a powerful argument for social security to be considered an integral part of a nation’s security policy as its function is the maintenance of social and economic order. If considered from this perspective</w:t>
      </w:r>
      <w:r w:rsidR="008134C9">
        <w:rPr>
          <w:sz w:val="20"/>
          <w:szCs w:val="20"/>
          <w:shd w:val="clear" w:color="auto" w:fill="FFFFFF"/>
          <w:lang w:val="en-US"/>
        </w:rPr>
        <w:t>,</w:t>
      </w:r>
      <w:r w:rsidRPr="00B141F6">
        <w:rPr>
          <w:sz w:val="20"/>
          <w:szCs w:val="20"/>
          <w:shd w:val="clear" w:color="auto" w:fill="FFFFFF"/>
          <w:lang w:val="en-US"/>
        </w:rPr>
        <w:t xml:space="preserve"> cybersecurity technologies of passwords, file permissions, encryption and firewalls are digital means of fulfilling th</w:t>
      </w:r>
      <w:r w:rsidR="008134C9">
        <w:rPr>
          <w:sz w:val="20"/>
          <w:szCs w:val="20"/>
          <w:shd w:val="clear" w:color="auto" w:fill="FFFFFF"/>
          <w:lang w:val="en-US"/>
        </w:rPr>
        <w:t>is</w:t>
      </w:r>
      <w:r w:rsidRPr="00B141F6">
        <w:rPr>
          <w:sz w:val="20"/>
          <w:szCs w:val="20"/>
          <w:shd w:val="clear" w:color="auto" w:fill="FFFFFF"/>
          <w:lang w:val="en-US"/>
        </w:rPr>
        <w:t xml:space="preserve"> mission of order and containment. These security technologies are core to DBD and embody a particular security philosophy. The case study</w:t>
      </w:r>
      <w:r w:rsidR="001E5901">
        <w:rPr>
          <w:sz w:val="20"/>
          <w:szCs w:val="20"/>
          <w:shd w:val="clear" w:color="auto" w:fill="FFFFFF"/>
          <w:lang w:val="en-US"/>
        </w:rPr>
        <w:t xml:space="preserve"> participants</w:t>
      </w:r>
      <w:r w:rsidRPr="00B141F6">
        <w:rPr>
          <w:sz w:val="20"/>
          <w:szCs w:val="20"/>
          <w:shd w:val="clear" w:color="auto" w:fill="FFFFFF"/>
          <w:lang w:val="en-US"/>
        </w:rPr>
        <w:t>, however, focu</w:t>
      </w:r>
      <w:r w:rsidR="001E5901">
        <w:rPr>
          <w:sz w:val="20"/>
          <w:szCs w:val="20"/>
          <w:shd w:val="clear" w:color="auto" w:fill="FFFFFF"/>
          <w:lang w:val="en-US"/>
        </w:rPr>
        <w:t>s</w:t>
      </w:r>
      <w:r w:rsidRPr="00B141F6">
        <w:rPr>
          <w:sz w:val="20"/>
          <w:szCs w:val="20"/>
          <w:shd w:val="clear" w:color="auto" w:fill="FFFFFF"/>
          <w:lang w:val="en-US"/>
        </w:rPr>
        <w:t xml:space="preserve"> on a different security mission</w:t>
      </w:r>
      <w:r w:rsidR="008134C9">
        <w:rPr>
          <w:sz w:val="20"/>
          <w:szCs w:val="20"/>
          <w:shd w:val="clear" w:color="auto" w:fill="FFFFFF"/>
          <w:lang w:val="en-US"/>
        </w:rPr>
        <w:t>,</w:t>
      </w:r>
      <w:r w:rsidRPr="00B141F6">
        <w:rPr>
          <w:sz w:val="20"/>
          <w:szCs w:val="20"/>
          <w:shd w:val="clear" w:color="auto" w:fill="FFFFFF"/>
          <w:lang w:val="en-US"/>
        </w:rPr>
        <w:t xml:space="preserve"> of mutual support and information sharing. This mission addresses the challenges of human insecurities rather than the frailties of a system of order</w:t>
      </w:r>
      <w:r w:rsidR="008134C9">
        <w:rPr>
          <w:sz w:val="20"/>
          <w:szCs w:val="20"/>
          <w:shd w:val="clear" w:color="auto" w:fill="FFFFFF"/>
          <w:lang w:val="en-US"/>
        </w:rPr>
        <w:t xml:space="preserve"> and rendering legible</w:t>
      </w:r>
      <w:r w:rsidRPr="00B141F6">
        <w:rPr>
          <w:sz w:val="20"/>
          <w:szCs w:val="20"/>
          <w:shd w:val="clear" w:color="auto" w:fill="FFFFFF"/>
          <w:lang w:val="en-US"/>
        </w:rPr>
        <w:t xml:space="preserve">. </w:t>
      </w:r>
      <w:r w:rsidR="008134C9">
        <w:rPr>
          <w:sz w:val="20"/>
          <w:szCs w:val="20"/>
          <w:shd w:val="clear" w:color="auto" w:fill="FFFFFF"/>
          <w:lang w:val="en-US"/>
        </w:rPr>
        <w:t>These</w:t>
      </w:r>
      <w:r w:rsidRPr="00B141F6">
        <w:rPr>
          <w:sz w:val="20"/>
          <w:szCs w:val="20"/>
          <w:shd w:val="clear" w:color="auto" w:fill="FFFFFF"/>
          <w:lang w:val="en-US"/>
        </w:rPr>
        <w:t xml:space="preserve"> security mission</w:t>
      </w:r>
      <w:r w:rsidR="008134C9">
        <w:rPr>
          <w:sz w:val="20"/>
          <w:szCs w:val="20"/>
          <w:shd w:val="clear" w:color="auto" w:fill="FFFFFF"/>
          <w:lang w:val="en-US"/>
        </w:rPr>
        <w:t>s</w:t>
      </w:r>
      <w:r w:rsidRPr="00B141F6">
        <w:rPr>
          <w:sz w:val="20"/>
          <w:szCs w:val="20"/>
          <w:shd w:val="clear" w:color="auto" w:fill="FFFFFF"/>
          <w:lang w:val="en-US"/>
        </w:rPr>
        <w:t xml:space="preserve"> </w:t>
      </w:r>
      <w:r w:rsidR="008134C9">
        <w:rPr>
          <w:sz w:val="20"/>
          <w:szCs w:val="20"/>
          <w:shd w:val="clear" w:color="auto" w:fill="FFFFFF"/>
          <w:lang w:val="en-US"/>
        </w:rPr>
        <w:t>are</w:t>
      </w:r>
      <w:r w:rsidRPr="00B141F6">
        <w:rPr>
          <w:sz w:val="20"/>
          <w:szCs w:val="20"/>
          <w:shd w:val="clear" w:color="auto" w:fill="FFFFFF"/>
          <w:lang w:val="en-US"/>
        </w:rPr>
        <w:t xml:space="preserve"> not </w:t>
      </w:r>
      <w:r w:rsidR="008134C9">
        <w:rPr>
          <w:sz w:val="20"/>
          <w:szCs w:val="20"/>
          <w:shd w:val="clear" w:color="auto" w:fill="FFFFFF"/>
          <w:lang w:val="en-US"/>
        </w:rPr>
        <w:t xml:space="preserve">mutually </w:t>
      </w:r>
      <w:r w:rsidRPr="00B141F6">
        <w:rPr>
          <w:sz w:val="20"/>
          <w:szCs w:val="20"/>
          <w:shd w:val="clear" w:color="auto" w:fill="FFFFFF"/>
          <w:lang w:val="en-US"/>
        </w:rPr>
        <w:t>exclusive, but each responds to a different type of insecurity.</w:t>
      </w:r>
    </w:p>
    <w:p w14:paraId="48EB345A" w14:textId="0C2492A6" w:rsidR="00FA6C84" w:rsidRPr="00CB66E3" w:rsidRDefault="008134C9" w:rsidP="00FA6C84">
      <w:pPr>
        <w:jc w:val="both"/>
        <w:rPr>
          <w:sz w:val="20"/>
          <w:szCs w:val="20"/>
          <w:lang w:val="en-GB"/>
        </w:rPr>
      </w:pPr>
      <w:r>
        <w:rPr>
          <w:sz w:val="20"/>
          <w:szCs w:val="20"/>
          <w:lang w:val="en-GB"/>
        </w:rPr>
        <w:t>In the context of</w:t>
      </w:r>
      <w:r w:rsidR="00FA6C84">
        <w:rPr>
          <w:sz w:val="20"/>
          <w:szCs w:val="20"/>
          <w:lang w:val="en-GB"/>
        </w:rPr>
        <w:t xml:space="preserve"> Neocleous’ argument about domestic containment</w:t>
      </w:r>
      <w:r w:rsidR="009123E6">
        <w:rPr>
          <w:sz w:val="20"/>
          <w:szCs w:val="20"/>
          <w:lang w:val="en-GB"/>
        </w:rPr>
        <w:t xml:space="preserve"> (2008)</w:t>
      </w:r>
      <w:r w:rsidR="00FA6C84">
        <w:rPr>
          <w:sz w:val="20"/>
          <w:szCs w:val="20"/>
          <w:lang w:val="en-GB"/>
        </w:rPr>
        <w:t xml:space="preserve">, </w:t>
      </w:r>
      <w:r w:rsidR="00FA6C84" w:rsidRPr="00CB66E3">
        <w:rPr>
          <w:sz w:val="20"/>
          <w:szCs w:val="20"/>
          <w:lang w:val="en-GB"/>
        </w:rPr>
        <w:t xml:space="preserve">DBD makes cyberspace central to the question of domestic sovereignty and this makes cybersecurity and its control framework a central part of domestic policy initiatives. </w:t>
      </w:r>
      <w:r w:rsidR="00FA6C84">
        <w:rPr>
          <w:sz w:val="20"/>
          <w:szCs w:val="20"/>
          <w:lang w:val="en-GB"/>
        </w:rPr>
        <w:t xml:space="preserve">The current security model for DBD focuses on the protection of the data and the technology with </w:t>
      </w:r>
      <w:r w:rsidR="00FA6C84">
        <w:rPr>
          <w:sz w:val="20"/>
          <w:szCs w:val="20"/>
          <w:lang w:val="en-GB"/>
        </w:rPr>
        <w:lastRenderedPageBreak/>
        <w:t xml:space="preserve">the assumption that this will also provide security for the citizen. By contrast, our case study shows that the start point for an individual’s security is not protection but trust. </w:t>
      </w:r>
    </w:p>
    <w:p w14:paraId="13C14159" w14:textId="358D0F01" w:rsidR="00F92152" w:rsidRPr="00CB66E3" w:rsidRDefault="00F92152" w:rsidP="00F92152">
      <w:pPr>
        <w:spacing w:before="120" w:after="120" w:line="240" w:lineRule="auto"/>
        <w:jc w:val="both"/>
        <w:rPr>
          <w:sz w:val="20"/>
          <w:szCs w:val="18"/>
          <w:lang w:val="en-GB"/>
        </w:rPr>
      </w:pPr>
      <w:r w:rsidRPr="00CB66E3">
        <w:rPr>
          <w:b/>
          <w:sz w:val="20"/>
          <w:szCs w:val="18"/>
          <w:lang w:val="en-GB"/>
        </w:rPr>
        <w:t>Acknowledgements</w:t>
      </w:r>
    </w:p>
    <w:p w14:paraId="7059FF38" w14:textId="4D4866B4" w:rsidR="00DF2085" w:rsidRDefault="00DF2085" w:rsidP="00DF2085">
      <w:pPr>
        <w:rPr>
          <w:sz w:val="20"/>
          <w:szCs w:val="20"/>
          <w:lang w:val="en-GB"/>
        </w:rPr>
      </w:pPr>
      <w:r w:rsidRPr="001F72F7">
        <w:rPr>
          <w:sz w:val="20"/>
          <w:szCs w:val="20"/>
          <w:lang w:val="en-GB"/>
        </w:rPr>
        <w:t>We’d like to thank the participants who gave their time, creativity and energy to the work of the focus groups.</w:t>
      </w:r>
    </w:p>
    <w:p w14:paraId="3F24C826" w14:textId="1B3526D0" w:rsidR="004C3E46" w:rsidRPr="001F72F7" w:rsidRDefault="004C3E46" w:rsidP="00DF2085">
      <w:pPr>
        <w:rPr>
          <w:sz w:val="20"/>
          <w:szCs w:val="20"/>
          <w:lang w:val="en-GB"/>
        </w:rPr>
      </w:pPr>
      <w:r>
        <w:rPr>
          <w:sz w:val="20"/>
          <w:szCs w:val="20"/>
          <w:lang w:val="en-GB"/>
        </w:rPr>
        <w:t xml:space="preserve">We’d like to thank Proboscis for their support and creative </w:t>
      </w:r>
      <w:r w:rsidR="0098069F">
        <w:rPr>
          <w:sz w:val="20"/>
          <w:szCs w:val="20"/>
          <w:lang w:val="en-GB"/>
        </w:rPr>
        <w:t>input to</w:t>
      </w:r>
      <w:r>
        <w:rPr>
          <w:sz w:val="20"/>
          <w:szCs w:val="20"/>
          <w:lang w:val="en-GB"/>
        </w:rPr>
        <w:t xml:space="preserve"> the case study.</w:t>
      </w:r>
    </w:p>
    <w:p w14:paraId="24B4614F" w14:textId="6F310EF1" w:rsidR="00DF2085" w:rsidRPr="001F72F7" w:rsidRDefault="00DF2085" w:rsidP="00DF2085">
      <w:pPr>
        <w:rPr>
          <w:rFonts w:eastAsia="Times New Roman"/>
          <w:color w:val="000000"/>
          <w:sz w:val="20"/>
          <w:szCs w:val="20"/>
          <w:lang w:val="en-GB"/>
        </w:rPr>
      </w:pPr>
      <w:r w:rsidRPr="001F72F7">
        <w:rPr>
          <w:sz w:val="20"/>
          <w:szCs w:val="20"/>
          <w:lang w:val="en-GB"/>
        </w:rPr>
        <w:t xml:space="preserve">Coles-Kemp’s contribution was funded by EPSRC grant </w:t>
      </w:r>
      <w:r w:rsidRPr="001F72F7">
        <w:rPr>
          <w:rFonts w:eastAsia="Times New Roman"/>
          <w:color w:val="000000"/>
          <w:sz w:val="20"/>
          <w:szCs w:val="20"/>
          <w:lang w:val="en-GB"/>
        </w:rPr>
        <w:t>ESSfES: Everyday Safety-Security for Everyday Services</w:t>
      </w:r>
      <w:r w:rsidRPr="001F72F7">
        <w:rPr>
          <w:rFonts w:eastAsia="Times New Roman"/>
          <w:sz w:val="20"/>
          <w:szCs w:val="20"/>
          <w:lang w:val="en-GB"/>
        </w:rPr>
        <w:t xml:space="preserve"> (grant number</w:t>
      </w:r>
      <w:r w:rsidRPr="001F72F7">
        <w:rPr>
          <w:sz w:val="20"/>
          <w:szCs w:val="20"/>
          <w:lang w:val="en-GB"/>
        </w:rPr>
        <w:t xml:space="preserve"> </w:t>
      </w:r>
      <w:r w:rsidRPr="001F72F7">
        <w:rPr>
          <w:rFonts w:eastAsia="Times New Roman"/>
          <w:color w:val="000000"/>
          <w:sz w:val="20"/>
          <w:szCs w:val="20"/>
          <w:lang w:val="en-GB"/>
        </w:rPr>
        <w:t>EP/N02561X/1)</w:t>
      </w:r>
      <w:r w:rsidR="008134C9" w:rsidRPr="001F72F7">
        <w:rPr>
          <w:rFonts w:eastAsia="Times New Roman"/>
          <w:color w:val="000000"/>
          <w:sz w:val="20"/>
          <w:szCs w:val="20"/>
          <w:lang w:val="en-GB"/>
        </w:rPr>
        <w:t>. O’Hara’s contribution was partially funded by EPSRC grant SOCIAM: The Theory and Practice of Social Machines (grant no.</w:t>
      </w:r>
      <w:r w:rsidR="003E6D55" w:rsidRPr="001F72F7">
        <w:rPr>
          <w:lang w:val="en-GB"/>
        </w:rPr>
        <w:t xml:space="preserve"> </w:t>
      </w:r>
      <w:r w:rsidR="003E6D55" w:rsidRPr="001F72F7">
        <w:rPr>
          <w:rFonts w:eastAsia="Times New Roman"/>
          <w:color w:val="000000"/>
          <w:sz w:val="20"/>
          <w:szCs w:val="20"/>
          <w:lang w:val="en-GB"/>
        </w:rPr>
        <w:t>EP/J017728/2).</w:t>
      </w:r>
    </w:p>
    <w:p w14:paraId="030E7E14" w14:textId="42F9D998" w:rsidR="00F92152" w:rsidRPr="00CB66E3" w:rsidRDefault="00F92152" w:rsidP="00F92152">
      <w:pPr>
        <w:tabs>
          <w:tab w:val="left" w:pos="8400"/>
        </w:tabs>
        <w:spacing w:before="120" w:after="120" w:line="240" w:lineRule="auto"/>
        <w:jc w:val="both"/>
        <w:rPr>
          <w:sz w:val="20"/>
          <w:szCs w:val="18"/>
          <w:lang w:val="en-GB"/>
        </w:rPr>
      </w:pPr>
      <w:r w:rsidRPr="00CB66E3">
        <w:rPr>
          <w:b/>
          <w:sz w:val="20"/>
          <w:szCs w:val="18"/>
          <w:lang w:val="en-GB"/>
        </w:rPr>
        <w:t>Conflict of Interests</w:t>
      </w:r>
      <w:r w:rsidRPr="00CB66E3">
        <w:rPr>
          <w:b/>
          <w:sz w:val="20"/>
          <w:szCs w:val="18"/>
          <w:lang w:val="en-GB"/>
        </w:rPr>
        <w:tab/>
      </w:r>
    </w:p>
    <w:p w14:paraId="2BE53AC6" w14:textId="070D4103" w:rsidR="00CE20A5" w:rsidRPr="00F92152" w:rsidRDefault="00F92152" w:rsidP="00F92152">
      <w:pPr>
        <w:spacing w:before="120" w:after="120"/>
        <w:jc w:val="both"/>
        <w:rPr>
          <w:sz w:val="20"/>
          <w:szCs w:val="18"/>
          <w:lang w:val="en-GB"/>
        </w:rPr>
      </w:pPr>
      <w:r w:rsidRPr="00CB66E3">
        <w:rPr>
          <w:sz w:val="20"/>
          <w:szCs w:val="18"/>
          <w:lang w:val="en-GB"/>
        </w:rPr>
        <w:t>The authors declare no conflict of interests</w:t>
      </w:r>
      <w:r>
        <w:rPr>
          <w:sz w:val="20"/>
          <w:szCs w:val="18"/>
          <w:lang w:val="en-GB"/>
        </w:rPr>
        <w:t>.</w:t>
      </w:r>
    </w:p>
    <w:p w14:paraId="309F633A" w14:textId="3C2155C0" w:rsidR="00564DF8" w:rsidRPr="00CB66E3" w:rsidRDefault="00CE20A5" w:rsidP="00B94B0C">
      <w:pPr>
        <w:rPr>
          <w:b/>
          <w:sz w:val="20"/>
          <w:szCs w:val="20"/>
          <w:lang w:val="en-GB"/>
        </w:rPr>
      </w:pPr>
      <w:r w:rsidRPr="00CB66E3">
        <w:rPr>
          <w:b/>
          <w:sz w:val="20"/>
          <w:szCs w:val="20"/>
          <w:lang w:val="en-GB"/>
        </w:rPr>
        <w:t>References</w:t>
      </w:r>
    </w:p>
    <w:p w14:paraId="77DA6C54" w14:textId="0CFC553C" w:rsidR="00291F81" w:rsidRPr="00D36071" w:rsidRDefault="00291F81" w:rsidP="00291F81">
      <w:pPr>
        <w:rPr>
          <w:sz w:val="20"/>
          <w:szCs w:val="20"/>
          <w:lang w:val="en-US"/>
        </w:rPr>
      </w:pPr>
      <w:r w:rsidRPr="00D36071">
        <w:rPr>
          <w:sz w:val="20"/>
          <w:szCs w:val="20"/>
          <w:lang w:val="en-US"/>
        </w:rPr>
        <w:t xml:space="preserve">Bauman, Z. (2013). </w:t>
      </w:r>
      <w:r w:rsidRPr="00D36071">
        <w:rPr>
          <w:i/>
          <w:iCs/>
          <w:sz w:val="20"/>
          <w:szCs w:val="20"/>
          <w:lang w:val="en-US"/>
        </w:rPr>
        <w:t>Liquid modernity</w:t>
      </w:r>
      <w:r w:rsidRPr="00D36071">
        <w:rPr>
          <w:sz w:val="20"/>
          <w:szCs w:val="20"/>
          <w:lang w:val="en-US"/>
        </w:rPr>
        <w:t>. John Wiley &amp; Sons.</w:t>
      </w:r>
    </w:p>
    <w:p w14:paraId="569571F9" w14:textId="525285A1" w:rsidR="00EC041C" w:rsidRPr="00D36071" w:rsidRDefault="009B3C58" w:rsidP="00D36071">
      <w:pPr>
        <w:spacing w:after="0" w:line="240" w:lineRule="auto"/>
        <w:rPr>
          <w:rFonts w:eastAsia="Times New Roman"/>
          <w:sz w:val="24"/>
          <w:szCs w:val="24"/>
          <w:lang w:val="en-US"/>
        </w:rPr>
      </w:pPr>
      <w:r w:rsidRPr="00D36071">
        <w:rPr>
          <w:rFonts w:eastAsia="Times New Roman" w:cs="Arial"/>
          <w:color w:val="222222"/>
          <w:sz w:val="20"/>
          <w:szCs w:val="20"/>
          <w:shd w:val="clear" w:color="auto" w:fill="FFFFFF"/>
          <w:lang w:val="en-US"/>
        </w:rPr>
        <w:t>Cohen, J. E. (2007). Cyberspace as/and Space. </w:t>
      </w:r>
      <w:r w:rsidRPr="00D36071">
        <w:rPr>
          <w:rFonts w:eastAsia="Times New Roman" w:cs="Arial"/>
          <w:i/>
          <w:iCs/>
          <w:color w:val="222222"/>
          <w:sz w:val="20"/>
          <w:szCs w:val="20"/>
          <w:lang w:val="en-US"/>
        </w:rPr>
        <w:t>Columbia Law Review</w:t>
      </w:r>
      <w:r w:rsidRPr="00D36071">
        <w:rPr>
          <w:rFonts w:eastAsia="Times New Roman" w:cs="Arial"/>
          <w:color w:val="222222"/>
          <w:sz w:val="20"/>
          <w:szCs w:val="20"/>
          <w:shd w:val="clear" w:color="auto" w:fill="FFFFFF"/>
          <w:lang w:val="en-US"/>
        </w:rPr>
        <w:t>, 210-256.</w:t>
      </w:r>
    </w:p>
    <w:p w14:paraId="0FD8B050" w14:textId="77777777" w:rsidR="009B3C58" w:rsidRPr="00D36071" w:rsidRDefault="009B3C58" w:rsidP="00D36071">
      <w:pPr>
        <w:spacing w:after="0" w:line="240" w:lineRule="auto"/>
        <w:rPr>
          <w:rFonts w:ascii="Times New Roman" w:eastAsia="Times New Roman" w:hAnsi="Times New Roman"/>
          <w:sz w:val="24"/>
          <w:szCs w:val="24"/>
          <w:lang w:val="en-US"/>
        </w:rPr>
      </w:pPr>
    </w:p>
    <w:p w14:paraId="4385C56E" w14:textId="2D48D46B" w:rsidR="00D15912" w:rsidRPr="00723B08" w:rsidRDefault="00F92152" w:rsidP="00434DDC">
      <w:pPr>
        <w:spacing w:after="0" w:line="240" w:lineRule="auto"/>
        <w:rPr>
          <w:rFonts w:eastAsia="Times New Roman" w:cs="Arial"/>
          <w:color w:val="333333"/>
          <w:sz w:val="20"/>
          <w:szCs w:val="20"/>
          <w:shd w:val="clear" w:color="auto" w:fill="FFFFFF"/>
          <w:lang w:val="en-US"/>
        </w:rPr>
      </w:pPr>
      <w:r w:rsidRPr="00723B08">
        <w:rPr>
          <w:sz w:val="20"/>
          <w:szCs w:val="20"/>
          <w:lang w:val="en-GB"/>
        </w:rPr>
        <w:t>Coles-Kemp, L. &amp; Ashenden, D.</w:t>
      </w:r>
      <w:r w:rsidR="00CE20A5" w:rsidRPr="00723B08">
        <w:rPr>
          <w:sz w:val="20"/>
          <w:szCs w:val="20"/>
          <w:lang w:val="en-GB"/>
        </w:rPr>
        <w:t xml:space="preserve"> </w:t>
      </w:r>
      <w:r w:rsidRPr="00723B08">
        <w:rPr>
          <w:sz w:val="20"/>
          <w:szCs w:val="20"/>
          <w:lang w:val="en-GB"/>
        </w:rPr>
        <w:t>(</w:t>
      </w:r>
      <w:r w:rsidR="00CE20A5" w:rsidRPr="00723B08">
        <w:rPr>
          <w:sz w:val="20"/>
          <w:szCs w:val="20"/>
          <w:lang w:val="en-GB"/>
        </w:rPr>
        <w:t>2012</w:t>
      </w:r>
      <w:r w:rsidRPr="00723B08">
        <w:rPr>
          <w:sz w:val="20"/>
          <w:szCs w:val="20"/>
          <w:lang w:val="en-GB"/>
        </w:rPr>
        <w:t>)</w:t>
      </w:r>
      <w:r w:rsidR="00CE20A5" w:rsidRPr="00723B08">
        <w:rPr>
          <w:sz w:val="20"/>
          <w:szCs w:val="20"/>
          <w:lang w:val="en-GB"/>
        </w:rPr>
        <w:t xml:space="preserve">. Community-centric engagement: lessons learned from privacy awareness intervention design. In </w:t>
      </w:r>
      <w:r w:rsidR="00CE20A5" w:rsidRPr="00723B08">
        <w:rPr>
          <w:i/>
          <w:sz w:val="20"/>
          <w:szCs w:val="20"/>
          <w:lang w:val="en-GB"/>
        </w:rPr>
        <w:t>Proc</w:t>
      </w:r>
      <w:r w:rsidR="00D6083D" w:rsidRPr="00723B08">
        <w:rPr>
          <w:i/>
          <w:sz w:val="20"/>
          <w:szCs w:val="20"/>
          <w:lang w:val="en-GB"/>
        </w:rPr>
        <w:t>eedings</w:t>
      </w:r>
      <w:r w:rsidR="00CE20A5" w:rsidRPr="00723B08">
        <w:rPr>
          <w:i/>
          <w:sz w:val="20"/>
          <w:szCs w:val="20"/>
          <w:lang w:val="en-GB"/>
        </w:rPr>
        <w:t xml:space="preserve"> of HCI 2012 The 26th BCS Conference on Human Computer Interaction</w:t>
      </w:r>
      <w:r w:rsidR="004A3E79" w:rsidRPr="00720F71">
        <w:rPr>
          <w:sz w:val="20"/>
          <w:szCs w:val="20"/>
          <w:lang w:val="en-GB"/>
        </w:rPr>
        <w:t>,</w:t>
      </w:r>
      <w:r w:rsidR="004A3E79">
        <w:rPr>
          <w:sz w:val="20"/>
          <w:szCs w:val="20"/>
          <w:lang w:val="en-GB"/>
        </w:rPr>
        <w:t xml:space="preserve"> </w:t>
      </w:r>
      <w:r w:rsidR="00434DDC" w:rsidRPr="00723B08">
        <w:rPr>
          <w:sz w:val="20"/>
          <w:szCs w:val="20"/>
          <w:lang w:val="en-GB"/>
        </w:rPr>
        <w:t xml:space="preserve">1-4. </w:t>
      </w:r>
      <w:r w:rsidR="00434DDC" w:rsidRPr="00723B08">
        <w:rPr>
          <w:rFonts w:eastAsia="Times New Roman" w:cs="Arial"/>
          <w:color w:val="333333"/>
          <w:sz w:val="20"/>
          <w:szCs w:val="20"/>
          <w:shd w:val="clear" w:color="auto" w:fill="FFFFFF"/>
          <w:lang w:val="en-US"/>
        </w:rPr>
        <w:t>Birmingham, UK.</w:t>
      </w:r>
    </w:p>
    <w:p w14:paraId="54E798D1" w14:textId="77777777" w:rsidR="00434DDC" w:rsidRPr="00723B08" w:rsidRDefault="00434DDC" w:rsidP="00434DDC">
      <w:pPr>
        <w:spacing w:after="0" w:line="240" w:lineRule="auto"/>
        <w:rPr>
          <w:rFonts w:eastAsia="Times New Roman"/>
          <w:sz w:val="20"/>
          <w:szCs w:val="20"/>
          <w:lang w:val="en-US"/>
        </w:rPr>
      </w:pPr>
    </w:p>
    <w:p w14:paraId="4FEF46E9" w14:textId="179F933D" w:rsidR="00CE20A5" w:rsidRPr="00723B08" w:rsidRDefault="00F92152" w:rsidP="00D15912">
      <w:pPr>
        <w:spacing w:after="0" w:line="240" w:lineRule="auto"/>
        <w:rPr>
          <w:rFonts w:eastAsia="Times New Roman"/>
          <w:sz w:val="20"/>
          <w:szCs w:val="20"/>
          <w:lang w:val="en-US"/>
        </w:rPr>
      </w:pPr>
      <w:r w:rsidRPr="00723B08">
        <w:rPr>
          <w:sz w:val="20"/>
          <w:szCs w:val="20"/>
          <w:lang w:val="en-GB"/>
        </w:rPr>
        <w:t>Franzese, P.W.</w:t>
      </w:r>
      <w:r w:rsidR="00CE20A5" w:rsidRPr="00723B08">
        <w:rPr>
          <w:sz w:val="20"/>
          <w:szCs w:val="20"/>
          <w:lang w:val="en-GB"/>
        </w:rPr>
        <w:t xml:space="preserve"> </w:t>
      </w:r>
      <w:r w:rsidRPr="00723B08">
        <w:rPr>
          <w:sz w:val="20"/>
          <w:szCs w:val="20"/>
          <w:lang w:val="en-GB"/>
        </w:rPr>
        <w:t>(</w:t>
      </w:r>
      <w:r w:rsidR="00CE20A5" w:rsidRPr="00723B08">
        <w:rPr>
          <w:sz w:val="20"/>
          <w:szCs w:val="20"/>
          <w:lang w:val="en-GB"/>
        </w:rPr>
        <w:t>2009</w:t>
      </w:r>
      <w:r w:rsidRPr="00723B08">
        <w:rPr>
          <w:sz w:val="20"/>
          <w:szCs w:val="20"/>
          <w:lang w:val="en-GB"/>
        </w:rPr>
        <w:t>)</w:t>
      </w:r>
      <w:r w:rsidR="00720F71">
        <w:rPr>
          <w:sz w:val="20"/>
          <w:szCs w:val="20"/>
          <w:lang w:val="en-GB"/>
        </w:rPr>
        <w:t>. Sovereignty in c</w:t>
      </w:r>
      <w:r w:rsidR="00CE20A5" w:rsidRPr="00723B08">
        <w:rPr>
          <w:sz w:val="20"/>
          <w:szCs w:val="20"/>
          <w:lang w:val="en-GB"/>
        </w:rPr>
        <w:t>yberspace: Can it exist</w:t>
      </w:r>
      <w:r w:rsidR="00C21730">
        <w:rPr>
          <w:sz w:val="20"/>
          <w:szCs w:val="20"/>
          <w:lang w:val="en-GB"/>
        </w:rPr>
        <w:t xml:space="preserve">? </w:t>
      </w:r>
      <w:r w:rsidR="00CE20A5" w:rsidRPr="00723B08">
        <w:rPr>
          <w:sz w:val="20"/>
          <w:szCs w:val="20"/>
          <w:lang w:val="en-GB"/>
        </w:rPr>
        <w:t> </w:t>
      </w:r>
      <w:r w:rsidR="00D15912" w:rsidRPr="00723B08">
        <w:rPr>
          <w:i/>
          <w:sz w:val="20"/>
          <w:szCs w:val="20"/>
          <w:lang w:val="en-GB"/>
        </w:rPr>
        <w:t>Air Force Law R</w:t>
      </w:r>
      <w:r w:rsidR="00CE20A5" w:rsidRPr="00723B08">
        <w:rPr>
          <w:i/>
          <w:sz w:val="20"/>
          <w:szCs w:val="20"/>
          <w:lang w:val="en-GB"/>
        </w:rPr>
        <w:t>ev</w:t>
      </w:r>
      <w:r w:rsidR="00D15912" w:rsidRPr="00723B08">
        <w:rPr>
          <w:sz w:val="20"/>
          <w:szCs w:val="20"/>
          <w:lang w:val="en-GB"/>
        </w:rPr>
        <w:t>iew</w:t>
      </w:r>
      <w:r w:rsidR="00CE20A5" w:rsidRPr="00723B08">
        <w:rPr>
          <w:sz w:val="20"/>
          <w:szCs w:val="20"/>
          <w:lang w:val="en-GB"/>
        </w:rPr>
        <w:t>, </w:t>
      </w:r>
      <w:r w:rsidR="00CE20A5" w:rsidRPr="00723B08">
        <w:rPr>
          <w:i/>
          <w:sz w:val="20"/>
          <w:szCs w:val="20"/>
          <w:lang w:val="en-GB"/>
        </w:rPr>
        <w:t>64</w:t>
      </w:r>
      <w:r w:rsidR="00CE20A5" w:rsidRPr="00720F71">
        <w:rPr>
          <w:sz w:val="20"/>
          <w:szCs w:val="20"/>
          <w:lang w:val="en-GB"/>
        </w:rPr>
        <w:t>,</w:t>
      </w:r>
      <w:r w:rsidR="00CE20A5" w:rsidRPr="00723B08">
        <w:rPr>
          <w:sz w:val="20"/>
          <w:szCs w:val="20"/>
          <w:lang w:val="en-GB"/>
        </w:rPr>
        <w:t xml:space="preserve"> </w:t>
      </w:r>
      <w:r w:rsidR="00D15912" w:rsidRPr="00723B08">
        <w:rPr>
          <w:sz w:val="20"/>
          <w:szCs w:val="20"/>
          <w:lang w:val="en-GB"/>
        </w:rPr>
        <w:t>1-42</w:t>
      </w:r>
      <w:r w:rsidR="00FE4C18" w:rsidRPr="00723B08">
        <w:rPr>
          <w:sz w:val="20"/>
          <w:szCs w:val="20"/>
          <w:lang w:val="en-GB"/>
        </w:rPr>
        <w:t>.</w:t>
      </w:r>
      <w:r w:rsidR="00D15912" w:rsidRPr="001F72F7">
        <w:rPr>
          <w:rFonts w:eastAsia="Times New Roman" w:cs="Arial"/>
          <w:color w:val="222222"/>
          <w:sz w:val="20"/>
          <w:szCs w:val="20"/>
          <w:shd w:val="clear" w:color="auto" w:fill="FFFFFF"/>
          <w:lang w:val="en-GB"/>
        </w:rPr>
        <w:t xml:space="preserve"> </w:t>
      </w:r>
    </w:p>
    <w:p w14:paraId="65914DC4" w14:textId="77777777" w:rsidR="00D15912" w:rsidRPr="00723B08" w:rsidRDefault="00D15912" w:rsidP="00D15912">
      <w:pPr>
        <w:spacing w:after="0" w:line="240" w:lineRule="auto"/>
        <w:rPr>
          <w:rFonts w:eastAsia="Times New Roman"/>
          <w:sz w:val="20"/>
          <w:szCs w:val="20"/>
          <w:lang w:val="en-US"/>
        </w:rPr>
      </w:pPr>
    </w:p>
    <w:p w14:paraId="38FA8FBE" w14:textId="283ED840" w:rsidR="00CE20A5" w:rsidRDefault="00CE20A5" w:rsidP="00B94B0C">
      <w:pPr>
        <w:rPr>
          <w:sz w:val="20"/>
          <w:szCs w:val="20"/>
          <w:lang w:val="en-GB"/>
        </w:rPr>
      </w:pPr>
      <w:r w:rsidRPr="00723B08">
        <w:rPr>
          <w:sz w:val="20"/>
          <w:szCs w:val="20"/>
          <w:lang w:val="en-GB"/>
        </w:rPr>
        <w:t xml:space="preserve">Hildebrandt, M. </w:t>
      </w:r>
      <w:r w:rsidR="00F92152" w:rsidRPr="00723B08">
        <w:rPr>
          <w:sz w:val="20"/>
          <w:szCs w:val="20"/>
          <w:lang w:val="en-GB"/>
        </w:rPr>
        <w:t>(</w:t>
      </w:r>
      <w:r w:rsidRPr="00723B08">
        <w:rPr>
          <w:sz w:val="20"/>
          <w:szCs w:val="20"/>
          <w:lang w:val="en-GB"/>
        </w:rPr>
        <w:t>2015</w:t>
      </w:r>
      <w:r w:rsidR="00F92152" w:rsidRPr="00723B08">
        <w:rPr>
          <w:sz w:val="20"/>
          <w:szCs w:val="20"/>
          <w:lang w:val="en-GB"/>
        </w:rPr>
        <w:t>)</w:t>
      </w:r>
      <w:r w:rsidRPr="00723B08">
        <w:rPr>
          <w:sz w:val="20"/>
          <w:szCs w:val="20"/>
          <w:lang w:val="en-GB"/>
        </w:rPr>
        <w:t xml:space="preserve">. </w:t>
      </w:r>
      <w:r w:rsidRPr="00723B08">
        <w:rPr>
          <w:i/>
          <w:sz w:val="20"/>
          <w:szCs w:val="20"/>
          <w:lang w:val="en-GB"/>
        </w:rPr>
        <w:t>Smart Technologies and the End(s) of Law</w:t>
      </w:r>
      <w:r w:rsidR="00F92152" w:rsidRPr="00723B08">
        <w:rPr>
          <w:sz w:val="20"/>
          <w:szCs w:val="20"/>
          <w:lang w:val="en-GB"/>
        </w:rPr>
        <w:t xml:space="preserve">. </w:t>
      </w:r>
      <w:r w:rsidR="00FE4C18" w:rsidRPr="00723B08">
        <w:rPr>
          <w:sz w:val="20"/>
          <w:szCs w:val="20"/>
          <w:lang w:val="en-GB"/>
        </w:rPr>
        <w:t>Edward Elgar Publishing.</w:t>
      </w:r>
    </w:p>
    <w:p w14:paraId="0256FBBB" w14:textId="48171FC0" w:rsidR="00CE20A5" w:rsidRDefault="00F92152" w:rsidP="00B94B0C">
      <w:pPr>
        <w:rPr>
          <w:sz w:val="20"/>
          <w:szCs w:val="20"/>
          <w:lang w:val="en-GB"/>
        </w:rPr>
      </w:pPr>
      <w:r w:rsidRPr="00723B08">
        <w:rPr>
          <w:sz w:val="20"/>
          <w:szCs w:val="20"/>
          <w:lang w:val="en-GB"/>
        </w:rPr>
        <w:t>Hobbes, T.</w:t>
      </w:r>
      <w:r w:rsidR="00CE20A5" w:rsidRPr="00723B08">
        <w:rPr>
          <w:sz w:val="20"/>
          <w:szCs w:val="20"/>
          <w:lang w:val="en-GB"/>
        </w:rPr>
        <w:t xml:space="preserve"> </w:t>
      </w:r>
      <w:r w:rsidRPr="00723B08">
        <w:rPr>
          <w:sz w:val="20"/>
          <w:szCs w:val="20"/>
          <w:lang w:val="en-GB"/>
        </w:rPr>
        <w:t>(</w:t>
      </w:r>
      <w:r w:rsidR="00CE20A5" w:rsidRPr="00723B08">
        <w:rPr>
          <w:sz w:val="20"/>
          <w:szCs w:val="20"/>
          <w:lang w:val="en-GB"/>
        </w:rPr>
        <w:t>1996</w:t>
      </w:r>
      <w:r w:rsidRPr="00723B08">
        <w:rPr>
          <w:sz w:val="20"/>
          <w:szCs w:val="20"/>
          <w:lang w:val="en-GB"/>
        </w:rPr>
        <w:t>)</w:t>
      </w:r>
      <w:r w:rsidR="00CE20A5" w:rsidRPr="00723B08">
        <w:rPr>
          <w:sz w:val="20"/>
          <w:szCs w:val="20"/>
          <w:lang w:val="en-GB"/>
        </w:rPr>
        <w:t xml:space="preserve">. </w:t>
      </w:r>
      <w:r w:rsidR="00CE20A5" w:rsidRPr="00723B08">
        <w:rPr>
          <w:i/>
          <w:sz w:val="20"/>
          <w:szCs w:val="20"/>
          <w:lang w:val="en-GB"/>
        </w:rPr>
        <w:t>Leviathan</w:t>
      </w:r>
      <w:r w:rsidR="00CE20A5" w:rsidRPr="00723B08">
        <w:rPr>
          <w:sz w:val="20"/>
          <w:szCs w:val="20"/>
          <w:lang w:val="en-GB"/>
        </w:rPr>
        <w:t xml:space="preserve">. </w:t>
      </w:r>
      <w:r w:rsidR="001A2932">
        <w:rPr>
          <w:sz w:val="20"/>
          <w:szCs w:val="20"/>
          <w:lang w:val="en-GB"/>
        </w:rPr>
        <w:t xml:space="preserve">R. Tuck (ed). </w:t>
      </w:r>
      <w:r w:rsidR="00CE20A5" w:rsidRPr="00723B08">
        <w:rPr>
          <w:sz w:val="20"/>
          <w:szCs w:val="20"/>
          <w:lang w:val="en-GB"/>
        </w:rPr>
        <w:t>Cambridge University Press.</w:t>
      </w:r>
    </w:p>
    <w:p w14:paraId="758A13C3" w14:textId="269D37BB" w:rsidR="00F274BB" w:rsidRPr="00F274BB" w:rsidRDefault="00F274BB" w:rsidP="00B94B0C">
      <w:pPr>
        <w:rPr>
          <w:sz w:val="20"/>
          <w:szCs w:val="20"/>
          <w:lang w:val="en-GB"/>
        </w:rPr>
      </w:pPr>
      <w:r>
        <w:rPr>
          <w:sz w:val="20"/>
          <w:szCs w:val="20"/>
          <w:lang w:val="en-GB"/>
        </w:rPr>
        <w:t xml:space="preserve">King, A. &amp; Crewe, I. (2013). </w:t>
      </w:r>
      <w:r>
        <w:rPr>
          <w:i/>
          <w:sz w:val="20"/>
          <w:szCs w:val="20"/>
          <w:lang w:val="en-GB"/>
        </w:rPr>
        <w:t>The Blunders of Our Governments</w:t>
      </w:r>
      <w:r>
        <w:rPr>
          <w:sz w:val="20"/>
          <w:szCs w:val="20"/>
          <w:lang w:val="en-GB"/>
        </w:rPr>
        <w:t>, Oneworld.</w:t>
      </w:r>
    </w:p>
    <w:p w14:paraId="36649D78" w14:textId="04ABE5AC" w:rsidR="00CE20A5" w:rsidRPr="00723B08" w:rsidRDefault="00F92152" w:rsidP="00B94B0C">
      <w:pPr>
        <w:rPr>
          <w:sz w:val="20"/>
          <w:szCs w:val="20"/>
          <w:lang w:val="en-GB"/>
        </w:rPr>
      </w:pPr>
      <w:r w:rsidRPr="00723B08">
        <w:rPr>
          <w:sz w:val="20"/>
          <w:szCs w:val="20"/>
          <w:lang w:val="en-GB"/>
        </w:rPr>
        <w:t>Lessig, L. (</w:t>
      </w:r>
      <w:r w:rsidR="00CE20A5" w:rsidRPr="00723B08">
        <w:rPr>
          <w:sz w:val="20"/>
          <w:szCs w:val="20"/>
          <w:lang w:val="en-GB"/>
        </w:rPr>
        <w:t>1999</w:t>
      </w:r>
      <w:r w:rsidRPr="00723B08">
        <w:rPr>
          <w:sz w:val="20"/>
          <w:szCs w:val="20"/>
          <w:lang w:val="en-GB"/>
        </w:rPr>
        <w:t>)</w:t>
      </w:r>
      <w:r w:rsidR="00CE20A5" w:rsidRPr="00723B08">
        <w:rPr>
          <w:sz w:val="20"/>
          <w:szCs w:val="20"/>
          <w:lang w:val="en-GB"/>
        </w:rPr>
        <w:t xml:space="preserve">. </w:t>
      </w:r>
      <w:r w:rsidR="00CE20A5" w:rsidRPr="00723B08">
        <w:rPr>
          <w:i/>
          <w:sz w:val="20"/>
          <w:szCs w:val="20"/>
          <w:lang w:val="en-GB"/>
        </w:rPr>
        <w:t>Code: And Other Laws of Cyberspace</w:t>
      </w:r>
      <w:r w:rsidRPr="00723B08">
        <w:rPr>
          <w:sz w:val="20"/>
          <w:szCs w:val="20"/>
          <w:lang w:val="en-GB"/>
        </w:rPr>
        <w:t xml:space="preserve">. </w:t>
      </w:r>
      <w:r w:rsidR="00CE20A5" w:rsidRPr="00723B08">
        <w:rPr>
          <w:sz w:val="20"/>
          <w:szCs w:val="20"/>
          <w:lang w:val="en-GB"/>
        </w:rPr>
        <w:t>New York: Basic Books.</w:t>
      </w:r>
    </w:p>
    <w:p w14:paraId="23838C95" w14:textId="251FAF7F" w:rsidR="00CE20A5" w:rsidRDefault="00F92152" w:rsidP="00B94B0C">
      <w:pPr>
        <w:rPr>
          <w:sz w:val="20"/>
          <w:szCs w:val="20"/>
          <w:lang w:val="en-GB"/>
        </w:rPr>
      </w:pPr>
      <w:r w:rsidRPr="00723B08">
        <w:rPr>
          <w:sz w:val="20"/>
          <w:szCs w:val="20"/>
          <w:lang w:val="en-GB"/>
        </w:rPr>
        <w:t>Murphy, M.</w:t>
      </w:r>
      <w:r w:rsidR="00CE20A5" w:rsidRPr="00723B08">
        <w:rPr>
          <w:sz w:val="20"/>
          <w:szCs w:val="20"/>
          <w:lang w:val="en-GB"/>
        </w:rPr>
        <w:t xml:space="preserve"> </w:t>
      </w:r>
      <w:r w:rsidRPr="00723B08">
        <w:rPr>
          <w:sz w:val="20"/>
          <w:szCs w:val="20"/>
          <w:lang w:val="en-GB"/>
        </w:rPr>
        <w:t>(</w:t>
      </w:r>
      <w:r w:rsidR="00CE20A5" w:rsidRPr="00723B08">
        <w:rPr>
          <w:sz w:val="20"/>
          <w:szCs w:val="20"/>
          <w:lang w:val="en-GB"/>
        </w:rPr>
        <w:t>2010</w:t>
      </w:r>
      <w:r w:rsidR="00FE4C18" w:rsidRPr="00723B08">
        <w:rPr>
          <w:sz w:val="20"/>
          <w:szCs w:val="20"/>
          <w:lang w:val="en-GB"/>
        </w:rPr>
        <w:t>, July 1</w:t>
      </w:r>
      <w:r w:rsidRPr="00723B08">
        <w:rPr>
          <w:sz w:val="20"/>
          <w:szCs w:val="20"/>
          <w:lang w:val="en-GB"/>
        </w:rPr>
        <w:t>)</w:t>
      </w:r>
      <w:r w:rsidR="00CE20A5" w:rsidRPr="00723B08">
        <w:rPr>
          <w:sz w:val="20"/>
          <w:szCs w:val="20"/>
          <w:lang w:val="en-GB"/>
        </w:rPr>
        <w:t>. Cyberwar: War in the fifth domain. </w:t>
      </w:r>
      <w:r w:rsidR="00CE20A5" w:rsidRPr="00723B08">
        <w:rPr>
          <w:i/>
          <w:sz w:val="20"/>
          <w:szCs w:val="20"/>
          <w:lang w:val="en-GB"/>
        </w:rPr>
        <w:t>Economist</w:t>
      </w:r>
      <w:r w:rsidR="00FE4C18" w:rsidRPr="00723B08">
        <w:rPr>
          <w:sz w:val="20"/>
          <w:szCs w:val="20"/>
          <w:lang w:val="en-GB"/>
        </w:rPr>
        <w:t>.</w:t>
      </w:r>
      <w:r w:rsidR="00CE20A5" w:rsidRPr="00723B08">
        <w:rPr>
          <w:sz w:val="20"/>
          <w:szCs w:val="20"/>
          <w:lang w:val="en-GB"/>
        </w:rPr>
        <w:t xml:space="preserve"> </w:t>
      </w:r>
      <w:r w:rsidR="00FE4C18" w:rsidRPr="00723B08">
        <w:rPr>
          <w:sz w:val="20"/>
          <w:szCs w:val="20"/>
          <w:lang w:val="en-GB"/>
        </w:rPr>
        <w:t>Retrieved from http://w</w:t>
      </w:r>
      <w:r w:rsidR="00720F71">
        <w:rPr>
          <w:sz w:val="20"/>
          <w:szCs w:val="20"/>
          <w:lang w:val="en-GB"/>
        </w:rPr>
        <w:t>ww.economist.com/node/16478792.</w:t>
      </w:r>
    </w:p>
    <w:p w14:paraId="0C7A06A9" w14:textId="613E606C" w:rsidR="00F74F00" w:rsidRDefault="00F74F00" w:rsidP="00F74F00">
      <w:pPr>
        <w:spacing w:after="0" w:line="240" w:lineRule="auto"/>
        <w:rPr>
          <w:rFonts w:asciiTheme="minorHAnsi" w:eastAsia="Times New Roman" w:hAnsiTheme="minorHAnsi"/>
          <w:sz w:val="24"/>
          <w:szCs w:val="24"/>
          <w:lang w:val="en-US"/>
        </w:rPr>
      </w:pPr>
      <w:r w:rsidRPr="002008C0">
        <w:rPr>
          <w:rFonts w:asciiTheme="minorHAnsi" w:eastAsia="Times New Roman" w:hAnsiTheme="minorHAnsi" w:cs="Arial"/>
          <w:color w:val="222222"/>
          <w:sz w:val="20"/>
          <w:szCs w:val="20"/>
          <w:shd w:val="clear" w:color="auto" w:fill="FFFFFF"/>
          <w:lang w:val="en-US"/>
        </w:rPr>
        <w:t>Neocleous, M. (2008). </w:t>
      </w:r>
      <w:r w:rsidRPr="002008C0">
        <w:rPr>
          <w:rFonts w:asciiTheme="minorHAnsi" w:eastAsia="Times New Roman" w:hAnsiTheme="minorHAnsi" w:cs="Arial"/>
          <w:i/>
          <w:iCs/>
          <w:color w:val="222222"/>
          <w:sz w:val="20"/>
          <w:szCs w:val="20"/>
          <w:lang w:val="en-US"/>
        </w:rPr>
        <w:t>Critique of security</w:t>
      </w:r>
      <w:r w:rsidRPr="002008C0">
        <w:rPr>
          <w:rFonts w:asciiTheme="minorHAnsi" w:eastAsia="Times New Roman" w:hAnsiTheme="minorHAnsi" w:cs="Arial"/>
          <w:color w:val="222222"/>
          <w:sz w:val="20"/>
          <w:szCs w:val="20"/>
          <w:shd w:val="clear" w:color="auto" w:fill="FFFFFF"/>
          <w:lang w:val="en-US"/>
        </w:rPr>
        <w:t>. Edinburgh University Press.</w:t>
      </w:r>
    </w:p>
    <w:p w14:paraId="21C115FB" w14:textId="77777777" w:rsidR="00723B08" w:rsidRPr="00723B08" w:rsidRDefault="00723B08" w:rsidP="00723B08">
      <w:pPr>
        <w:spacing w:after="0" w:line="240" w:lineRule="auto"/>
        <w:rPr>
          <w:rFonts w:eastAsia="Times New Roman"/>
          <w:sz w:val="20"/>
          <w:szCs w:val="20"/>
          <w:lang w:val="en-US"/>
        </w:rPr>
      </w:pPr>
    </w:p>
    <w:p w14:paraId="48A60ADA" w14:textId="18772235" w:rsidR="00CE20A5" w:rsidRPr="00723B08" w:rsidRDefault="00F92152" w:rsidP="00B94B0C">
      <w:pPr>
        <w:rPr>
          <w:sz w:val="20"/>
          <w:szCs w:val="20"/>
          <w:lang w:val="en-GB"/>
        </w:rPr>
      </w:pPr>
      <w:r w:rsidRPr="00723B08">
        <w:rPr>
          <w:sz w:val="20"/>
          <w:szCs w:val="20"/>
          <w:lang w:val="en-GB"/>
        </w:rPr>
        <w:t xml:space="preserve">Scott, J. </w:t>
      </w:r>
      <w:r w:rsidR="003F0418" w:rsidRPr="00723B08">
        <w:rPr>
          <w:sz w:val="20"/>
          <w:szCs w:val="20"/>
          <w:lang w:val="en-GB"/>
        </w:rPr>
        <w:t>C. (</w:t>
      </w:r>
      <w:r w:rsidR="00CE20A5" w:rsidRPr="00723B08">
        <w:rPr>
          <w:sz w:val="20"/>
          <w:szCs w:val="20"/>
          <w:lang w:val="en-GB"/>
        </w:rPr>
        <w:t>1998</w:t>
      </w:r>
      <w:r w:rsidR="003F0418" w:rsidRPr="00723B08">
        <w:rPr>
          <w:sz w:val="20"/>
          <w:szCs w:val="20"/>
          <w:lang w:val="en-GB"/>
        </w:rPr>
        <w:t>)</w:t>
      </w:r>
      <w:r w:rsidR="00CE20A5" w:rsidRPr="00723B08">
        <w:rPr>
          <w:sz w:val="20"/>
          <w:szCs w:val="20"/>
          <w:lang w:val="en-GB"/>
        </w:rPr>
        <w:t xml:space="preserve">. </w:t>
      </w:r>
      <w:r w:rsidR="00CE20A5" w:rsidRPr="00723B08">
        <w:rPr>
          <w:i/>
          <w:sz w:val="20"/>
          <w:szCs w:val="20"/>
          <w:lang w:val="en-GB"/>
        </w:rPr>
        <w:t>Seeing Like a State: How Certain Schemes to Improve the Human Condition Have Failed</w:t>
      </w:r>
      <w:r w:rsidR="003F0418" w:rsidRPr="00723B08">
        <w:rPr>
          <w:sz w:val="20"/>
          <w:szCs w:val="20"/>
          <w:lang w:val="en-GB"/>
        </w:rPr>
        <w:t>.</w:t>
      </w:r>
      <w:r w:rsidR="00CE20A5" w:rsidRPr="00723B08">
        <w:rPr>
          <w:sz w:val="20"/>
          <w:szCs w:val="20"/>
          <w:lang w:val="en-GB"/>
        </w:rPr>
        <w:t xml:space="preserve"> New Haven: Yale University Press.</w:t>
      </w:r>
    </w:p>
    <w:p w14:paraId="521DF58D" w14:textId="22F18E9F" w:rsidR="00CE20A5" w:rsidRPr="00723B08" w:rsidRDefault="00CE20A5" w:rsidP="00902D5D">
      <w:pPr>
        <w:spacing w:after="0" w:line="240" w:lineRule="auto"/>
        <w:rPr>
          <w:rFonts w:eastAsia="Times New Roman"/>
          <w:sz w:val="20"/>
          <w:szCs w:val="20"/>
          <w:lang w:val="en-US"/>
        </w:rPr>
      </w:pPr>
      <w:r w:rsidRPr="00723B08">
        <w:rPr>
          <w:sz w:val="20"/>
          <w:szCs w:val="20"/>
          <w:lang w:val="en-GB"/>
        </w:rPr>
        <w:t>Thaler, R</w:t>
      </w:r>
      <w:r w:rsidR="00902D5D" w:rsidRPr="00723B08">
        <w:rPr>
          <w:sz w:val="20"/>
          <w:szCs w:val="20"/>
          <w:lang w:val="en-GB"/>
        </w:rPr>
        <w:t>. H. &amp; Sunstein, C.</w:t>
      </w:r>
      <w:r w:rsidRPr="00723B08">
        <w:rPr>
          <w:sz w:val="20"/>
          <w:szCs w:val="20"/>
          <w:lang w:val="en-GB"/>
        </w:rPr>
        <w:t xml:space="preserve"> </w:t>
      </w:r>
      <w:r w:rsidR="00902D5D" w:rsidRPr="00723B08">
        <w:rPr>
          <w:sz w:val="20"/>
          <w:szCs w:val="20"/>
          <w:lang w:val="en-GB"/>
        </w:rPr>
        <w:t>(</w:t>
      </w:r>
      <w:r w:rsidRPr="00723B08">
        <w:rPr>
          <w:sz w:val="20"/>
          <w:szCs w:val="20"/>
          <w:lang w:val="en-GB"/>
        </w:rPr>
        <w:t>2008</w:t>
      </w:r>
      <w:r w:rsidR="00902D5D" w:rsidRPr="00723B08">
        <w:rPr>
          <w:i/>
          <w:sz w:val="20"/>
          <w:szCs w:val="20"/>
          <w:lang w:val="en-GB"/>
        </w:rPr>
        <w:t>)</w:t>
      </w:r>
      <w:r w:rsidRPr="00723B08">
        <w:rPr>
          <w:i/>
          <w:sz w:val="20"/>
          <w:szCs w:val="20"/>
          <w:lang w:val="en-GB"/>
        </w:rPr>
        <w:t xml:space="preserve">. </w:t>
      </w:r>
      <w:r w:rsidR="00902D5D" w:rsidRPr="00723B08">
        <w:rPr>
          <w:rFonts w:eastAsia="Times New Roman" w:cs="Arial"/>
          <w:i/>
          <w:color w:val="222222"/>
          <w:sz w:val="20"/>
          <w:szCs w:val="20"/>
          <w:shd w:val="clear" w:color="auto" w:fill="FFFFFF"/>
          <w:lang w:val="en-US"/>
        </w:rPr>
        <w:t>Nudge: Improving Decisions about Health, Wealth, and Happiness</w:t>
      </w:r>
      <w:r w:rsidR="00902D5D" w:rsidRPr="00723B08">
        <w:rPr>
          <w:rFonts w:eastAsia="Times New Roman" w:cs="Arial"/>
          <w:color w:val="222222"/>
          <w:sz w:val="20"/>
          <w:szCs w:val="20"/>
          <w:shd w:val="clear" w:color="auto" w:fill="FFFFFF"/>
          <w:lang w:val="en-US"/>
        </w:rPr>
        <w:t>.</w:t>
      </w:r>
      <w:r w:rsidR="00884A8F" w:rsidRPr="00723B08">
        <w:rPr>
          <w:rFonts w:eastAsia="Times New Roman" w:cs="Arial"/>
          <w:color w:val="222222"/>
          <w:sz w:val="20"/>
          <w:szCs w:val="20"/>
          <w:shd w:val="clear" w:color="auto" w:fill="FFFFFF"/>
          <w:lang w:val="en-US"/>
        </w:rPr>
        <w:t xml:space="preserve"> </w:t>
      </w:r>
      <w:r w:rsidR="00BB02C2" w:rsidRPr="00723B08">
        <w:rPr>
          <w:rFonts w:eastAsia="Times New Roman" w:cs="Arial"/>
          <w:color w:val="222222"/>
          <w:sz w:val="20"/>
          <w:szCs w:val="20"/>
          <w:shd w:val="clear" w:color="auto" w:fill="FFFFFF"/>
          <w:lang w:val="en-US"/>
        </w:rPr>
        <w:t>Penguin.</w:t>
      </w:r>
    </w:p>
    <w:p w14:paraId="1CC80AAA" w14:textId="77777777" w:rsidR="00902D5D" w:rsidRPr="00723B08" w:rsidRDefault="00902D5D" w:rsidP="00902D5D">
      <w:pPr>
        <w:spacing w:after="0" w:line="240" w:lineRule="auto"/>
        <w:rPr>
          <w:rFonts w:eastAsia="Times New Roman"/>
          <w:sz w:val="20"/>
          <w:szCs w:val="20"/>
          <w:lang w:val="en-US"/>
        </w:rPr>
      </w:pPr>
    </w:p>
    <w:p w14:paraId="0F81A443" w14:textId="4475F5A5" w:rsidR="00CE20A5" w:rsidRPr="00723B08" w:rsidRDefault="00CE20A5" w:rsidP="00B94B0C">
      <w:pPr>
        <w:rPr>
          <w:sz w:val="20"/>
          <w:szCs w:val="20"/>
          <w:lang w:val="en-GB"/>
        </w:rPr>
      </w:pPr>
      <w:r w:rsidRPr="00723B08">
        <w:rPr>
          <w:sz w:val="20"/>
          <w:szCs w:val="20"/>
          <w:lang w:val="en-GB"/>
        </w:rPr>
        <w:t xml:space="preserve">UK Government. </w:t>
      </w:r>
      <w:r w:rsidR="00884A8F" w:rsidRPr="00723B08">
        <w:rPr>
          <w:sz w:val="20"/>
          <w:szCs w:val="20"/>
          <w:lang w:val="en-GB"/>
        </w:rPr>
        <w:t xml:space="preserve">(2016).  </w:t>
      </w:r>
      <w:r w:rsidRPr="00723B08">
        <w:rPr>
          <w:i/>
          <w:sz w:val="20"/>
          <w:szCs w:val="20"/>
          <w:lang w:val="en-GB"/>
        </w:rPr>
        <w:t>UK National Cyber Security Strategy 2016-2021</w:t>
      </w:r>
      <w:r w:rsidR="00720F71">
        <w:rPr>
          <w:sz w:val="20"/>
          <w:szCs w:val="20"/>
          <w:lang w:val="en-GB"/>
        </w:rPr>
        <w:t xml:space="preserve">.  </w:t>
      </w:r>
      <w:r w:rsidRPr="00723B08">
        <w:rPr>
          <w:sz w:val="20"/>
          <w:szCs w:val="20"/>
          <w:lang w:val="en-GB"/>
        </w:rPr>
        <w:t>Retrieved from https://www.gov.uk/government/uploads/system/uploads/attachment_data/file/567242/national_cyb</w:t>
      </w:r>
      <w:r w:rsidR="00720F71">
        <w:rPr>
          <w:sz w:val="20"/>
          <w:szCs w:val="20"/>
          <w:lang w:val="en-GB"/>
        </w:rPr>
        <w:t>er_security_strategy_2016.pdf.</w:t>
      </w:r>
    </w:p>
    <w:p w14:paraId="49F67CD9" w14:textId="3F62E0C1" w:rsidR="00720F71" w:rsidRDefault="00CE20A5" w:rsidP="00D602B4">
      <w:pPr>
        <w:rPr>
          <w:sz w:val="20"/>
          <w:szCs w:val="20"/>
          <w:lang w:val="en-GB"/>
        </w:rPr>
      </w:pPr>
      <w:r w:rsidRPr="00723B08">
        <w:rPr>
          <w:sz w:val="20"/>
          <w:szCs w:val="20"/>
          <w:lang w:val="en-GB"/>
        </w:rPr>
        <w:t>Vines,</w:t>
      </w:r>
      <w:r w:rsidR="00F92152" w:rsidRPr="00723B08">
        <w:rPr>
          <w:sz w:val="20"/>
          <w:szCs w:val="20"/>
          <w:lang w:val="en-GB"/>
        </w:rPr>
        <w:t xml:space="preserve"> J.,</w:t>
      </w:r>
      <w:r w:rsidRPr="00723B08">
        <w:rPr>
          <w:sz w:val="20"/>
          <w:szCs w:val="20"/>
          <w:lang w:val="en-GB"/>
        </w:rPr>
        <w:t xml:space="preserve"> </w:t>
      </w:r>
      <w:r w:rsidR="00F92152" w:rsidRPr="00723B08">
        <w:rPr>
          <w:sz w:val="20"/>
          <w:szCs w:val="20"/>
          <w:lang w:val="en-GB"/>
        </w:rPr>
        <w:t xml:space="preserve">Clarke, R., Wright, P., McCarthy, J. &amp; Olivier, P. (2013).  </w:t>
      </w:r>
      <w:r w:rsidRPr="00723B08">
        <w:rPr>
          <w:sz w:val="20"/>
          <w:szCs w:val="20"/>
          <w:lang w:val="en-GB"/>
        </w:rPr>
        <w:t xml:space="preserve">Configuring participation: on how we involve people in design. </w:t>
      </w:r>
      <w:r w:rsidR="00F92152" w:rsidRPr="00723B08">
        <w:rPr>
          <w:sz w:val="20"/>
          <w:szCs w:val="20"/>
          <w:lang w:val="en-GB"/>
        </w:rPr>
        <w:t xml:space="preserve">In </w:t>
      </w:r>
      <w:r w:rsidRPr="00723B08">
        <w:rPr>
          <w:i/>
          <w:sz w:val="20"/>
          <w:szCs w:val="20"/>
          <w:lang w:val="en-GB"/>
        </w:rPr>
        <w:t>Proceedings of the SIGCHI ACM Conference on Human Factors in Computing Systems</w:t>
      </w:r>
      <w:r w:rsidR="00720F71">
        <w:rPr>
          <w:sz w:val="20"/>
          <w:szCs w:val="20"/>
          <w:lang w:val="en-GB"/>
        </w:rPr>
        <w:t xml:space="preserve">, </w:t>
      </w:r>
      <w:r w:rsidRPr="00723B08">
        <w:rPr>
          <w:sz w:val="20"/>
          <w:szCs w:val="20"/>
          <w:lang w:val="en-GB"/>
        </w:rPr>
        <w:t>429-438.</w:t>
      </w:r>
      <w:r w:rsidR="008F5B3A" w:rsidRPr="00723B08">
        <w:rPr>
          <w:sz w:val="20"/>
          <w:szCs w:val="20"/>
          <w:lang w:val="en-GB"/>
        </w:rPr>
        <w:t xml:space="preserve"> ACM</w:t>
      </w:r>
      <w:r w:rsidR="00723B08" w:rsidRPr="00723B08">
        <w:rPr>
          <w:sz w:val="20"/>
          <w:szCs w:val="20"/>
          <w:lang w:val="en-GB"/>
        </w:rPr>
        <w:t>.</w:t>
      </w:r>
    </w:p>
    <w:p w14:paraId="25BAF205" w14:textId="5DFFEED4" w:rsidR="005A64DC" w:rsidRPr="00720F71" w:rsidRDefault="005A64DC" w:rsidP="00D602B4">
      <w:pPr>
        <w:rPr>
          <w:sz w:val="20"/>
          <w:szCs w:val="20"/>
          <w:lang w:val="en-GB"/>
        </w:rPr>
      </w:pPr>
      <w:r w:rsidRPr="00723B08">
        <w:rPr>
          <w:sz w:val="20"/>
          <w:szCs w:val="20"/>
          <w:lang w:val="en-GB"/>
        </w:rPr>
        <w:t>Yeung, K., (2011). Can we employ design-based regulation while avoiding Brave New World? </w:t>
      </w:r>
      <w:r w:rsidRPr="00723B08">
        <w:rPr>
          <w:i/>
          <w:sz w:val="20"/>
          <w:szCs w:val="20"/>
          <w:lang w:val="en-GB"/>
        </w:rPr>
        <w:t>Law, Innovation and Technology</w:t>
      </w:r>
      <w:r w:rsidRPr="00720F71">
        <w:rPr>
          <w:sz w:val="20"/>
          <w:szCs w:val="20"/>
          <w:lang w:val="en-GB"/>
        </w:rPr>
        <w:t>,</w:t>
      </w:r>
      <w:r w:rsidRPr="00723B08">
        <w:rPr>
          <w:sz w:val="20"/>
          <w:szCs w:val="20"/>
          <w:lang w:val="en-GB"/>
        </w:rPr>
        <w:t> </w:t>
      </w:r>
      <w:r w:rsidRPr="00723B08">
        <w:rPr>
          <w:i/>
          <w:sz w:val="20"/>
          <w:szCs w:val="20"/>
          <w:lang w:val="en-GB"/>
        </w:rPr>
        <w:t>3</w:t>
      </w:r>
      <w:r w:rsidRPr="00723B08">
        <w:rPr>
          <w:sz w:val="20"/>
          <w:szCs w:val="20"/>
          <w:lang w:val="en-GB"/>
        </w:rPr>
        <w:t>(1), 1-29.</w:t>
      </w:r>
      <w:bookmarkStart w:id="0" w:name="_GoBack"/>
      <w:bookmarkEnd w:id="0"/>
    </w:p>
    <w:p w14:paraId="32DEB8A0" w14:textId="77777777" w:rsidR="001F72F7" w:rsidRPr="001F72F7" w:rsidRDefault="001F72F7" w:rsidP="001F72F7">
      <w:pPr>
        <w:spacing w:before="240" w:after="240" w:line="480" w:lineRule="auto"/>
        <w:rPr>
          <w:rFonts w:asciiTheme="minorHAnsi" w:hAnsiTheme="minorHAnsi" w:cstheme="minorHAnsi"/>
          <w:b/>
          <w:sz w:val="20"/>
          <w:szCs w:val="20"/>
          <w:lang w:val="en-GB"/>
        </w:rPr>
      </w:pPr>
      <w:r w:rsidRPr="001F72F7">
        <w:rPr>
          <w:rFonts w:asciiTheme="minorHAnsi" w:hAnsiTheme="minorHAnsi" w:cstheme="minorHAnsi"/>
          <w:b/>
          <w:sz w:val="20"/>
          <w:szCs w:val="20"/>
          <w:lang w:val="en-GB"/>
        </w:rPr>
        <w:t>About the Authors</w:t>
      </w:r>
    </w:p>
    <w:p w14:paraId="48A19EBC" w14:textId="06309AD2" w:rsidR="00FF0CA4" w:rsidRPr="005A370B" w:rsidRDefault="00FF0CA4" w:rsidP="005A370B">
      <w:pPr>
        <w:rPr>
          <w:sz w:val="20"/>
          <w:szCs w:val="20"/>
        </w:rPr>
      </w:pPr>
      <w:r w:rsidRPr="005A370B">
        <w:rPr>
          <w:sz w:val="20"/>
          <w:szCs w:val="20"/>
        </w:rPr>
        <w:t xml:space="preserve">Lizzie Coles-Kemp is Professor of Information Security at Royal Holloway University of London. She is a qualitative researcher who uses creative engagement methods to explore everyday practices of information production, protection, circulation, curation and consumption within and between communities. Lizzie’s focus is the intersections between relational security practices and technological security and she specialises in public and </w:t>
      </w:r>
      <w:r w:rsidRPr="005A370B">
        <w:rPr>
          <w:sz w:val="20"/>
          <w:szCs w:val="20"/>
        </w:rPr>
        <w:lastRenderedPageBreak/>
        <w:t>community service design and consumption. She is currently an EPSRC research fellow with a research programme in everyday security.</w:t>
      </w:r>
    </w:p>
    <w:p w14:paraId="6F45E3B9" w14:textId="4326616E" w:rsidR="00FF0CA4" w:rsidRDefault="00FF0CA4" w:rsidP="00FF0CA4">
      <w:pPr>
        <w:spacing w:after="0" w:line="240" w:lineRule="auto"/>
        <w:rPr>
          <w:rFonts w:ascii="Arial" w:eastAsia="Times New Roman" w:hAnsi="Arial" w:cs="Arial"/>
          <w:color w:val="222222"/>
          <w:sz w:val="19"/>
          <w:szCs w:val="19"/>
          <w:shd w:val="clear" w:color="auto" w:fill="FFFFFF"/>
          <w:lang w:val="en-US"/>
        </w:rPr>
      </w:pPr>
      <w:r>
        <w:rPr>
          <w:rFonts w:asciiTheme="minorHAnsi" w:hAnsiTheme="minorHAnsi" w:cstheme="minorHAnsi"/>
          <w:noProof/>
          <w:sz w:val="20"/>
          <w:szCs w:val="20"/>
          <w:lang w:val="en-US"/>
        </w:rPr>
        <w:drawing>
          <wp:inline distT="0" distB="0" distL="0" distR="0" wp14:anchorId="327486D0" wp14:editId="36C4FB5F">
            <wp:extent cx="1625600" cy="184478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es_kemp.png"/>
                    <pic:cNvPicPr/>
                  </pic:nvPicPr>
                  <pic:blipFill>
                    <a:blip r:embed="rId8">
                      <a:extLst>
                        <a:ext uri="{28A0092B-C50C-407E-A947-70E740481C1C}">
                          <a14:useLocalDpi xmlns:a14="http://schemas.microsoft.com/office/drawing/2010/main" val="0"/>
                        </a:ext>
                      </a:extLst>
                    </a:blip>
                    <a:stretch>
                      <a:fillRect/>
                    </a:stretch>
                  </pic:blipFill>
                  <pic:spPr>
                    <a:xfrm>
                      <a:off x="0" y="0"/>
                      <a:ext cx="1629596" cy="1849321"/>
                    </a:xfrm>
                    <a:prstGeom prst="rect">
                      <a:avLst/>
                    </a:prstGeom>
                  </pic:spPr>
                </pic:pic>
              </a:graphicData>
            </a:graphic>
          </wp:inline>
        </w:drawing>
      </w:r>
    </w:p>
    <w:p w14:paraId="4B7161BF" w14:textId="77777777" w:rsidR="00FF0CA4" w:rsidRDefault="00FF0CA4" w:rsidP="00FF0CA4">
      <w:pPr>
        <w:spacing w:after="0" w:line="240" w:lineRule="auto"/>
        <w:rPr>
          <w:rFonts w:ascii="Arial" w:eastAsia="Times New Roman" w:hAnsi="Arial" w:cs="Arial"/>
          <w:color w:val="222222"/>
          <w:sz w:val="19"/>
          <w:szCs w:val="19"/>
          <w:shd w:val="clear" w:color="auto" w:fill="FFFFFF"/>
          <w:lang w:val="en-US"/>
        </w:rPr>
      </w:pPr>
    </w:p>
    <w:p w14:paraId="069BBB28" w14:textId="441FE1C2" w:rsidR="00FF0CA4" w:rsidRDefault="00FF0CA4" w:rsidP="00FF0CA4">
      <w:pPr>
        <w:spacing w:after="0" w:line="240" w:lineRule="auto"/>
        <w:rPr>
          <w:rFonts w:cs="Calibri"/>
          <w:color w:val="1D1D1D"/>
          <w:sz w:val="20"/>
          <w:szCs w:val="20"/>
          <w:lang w:val="en-US" w:eastAsia="en-GB"/>
        </w:rPr>
      </w:pPr>
      <w:r w:rsidRPr="002774AC">
        <w:rPr>
          <w:rFonts w:cs="Calibri"/>
          <w:color w:val="272727"/>
          <w:sz w:val="20"/>
          <w:szCs w:val="20"/>
          <w:lang w:val="en-US" w:eastAsia="en-GB"/>
        </w:rPr>
        <w:t xml:space="preserve">Debi </w:t>
      </w:r>
      <w:r w:rsidR="00727D31">
        <w:rPr>
          <w:rFonts w:cs="Calibri"/>
          <w:color w:val="272727"/>
          <w:sz w:val="20"/>
          <w:szCs w:val="20"/>
          <w:lang w:val="en-US" w:eastAsia="en-GB"/>
        </w:rPr>
        <w:t xml:space="preserve">Ashenden </w:t>
      </w:r>
      <w:r w:rsidRPr="002774AC">
        <w:rPr>
          <w:rFonts w:cs="Calibri"/>
          <w:color w:val="272727"/>
          <w:sz w:val="20"/>
          <w:szCs w:val="20"/>
          <w:lang w:val="en-US" w:eastAsia="en-GB"/>
        </w:rPr>
        <w:t>is Professor of Cyber Security in the School of Computing at the University of Portsmouth. She is also the Programme Director for Protective Security &amp; Risk at the Centre for Research &amp; Evidence for Security Threats (CREST). </w:t>
      </w:r>
      <w:r w:rsidRPr="002774AC">
        <w:rPr>
          <w:rFonts w:cs="Calibri"/>
          <w:color w:val="1D1D1D"/>
          <w:sz w:val="20"/>
          <w:szCs w:val="20"/>
          <w:lang w:val="en-US" w:eastAsia="en-GB"/>
        </w:rPr>
        <w:t xml:space="preserve">Debi’s research interests are in the social and behavioural aspects of cyber security – particularly in finding ways of ‘patching with people’ rather than technology.  She focuses on building security dialogues between communities.  </w:t>
      </w:r>
    </w:p>
    <w:p w14:paraId="483F178C" w14:textId="77777777" w:rsidR="002774AC" w:rsidRDefault="002774AC" w:rsidP="00FF0CA4">
      <w:pPr>
        <w:spacing w:after="0" w:line="240" w:lineRule="auto"/>
        <w:rPr>
          <w:rFonts w:cs="Calibri"/>
          <w:color w:val="1D1D1D"/>
          <w:sz w:val="20"/>
          <w:szCs w:val="20"/>
          <w:lang w:val="en-US" w:eastAsia="en-GB"/>
        </w:rPr>
      </w:pPr>
    </w:p>
    <w:p w14:paraId="27F60959" w14:textId="27AA9EBE" w:rsidR="002774AC" w:rsidRPr="002774AC" w:rsidRDefault="002774AC" w:rsidP="00FF0CA4">
      <w:pPr>
        <w:spacing w:after="0" w:line="240" w:lineRule="auto"/>
        <w:rPr>
          <w:rFonts w:ascii="Arial" w:eastAsia="Times New Roman" w:hAnsi="Arial" w:cs="Arial"/>
          <w:color w:val="222222"/>
          <w:sz w:val="20"/>
          <w:szCs w:val="20"/>
          <w:shd w:val="clear" w:color="auto" w:fill="FFFFFF"/>
          <w:lang w:val="en-US"/>
        </w:rPr>
      </w:pPr>
      <w:r>
        <w:rPr>
          <w:rFonts w:ascii="Arial" w:eastAsia="Times New Roman" w:hAnsi="Arial" w:cs="Arial"/>
          <w:noProof/>
          <w:color w:val="222222"/>
          <w:sz w:val="20"/>
          <w:szCs w:val="20"/>
          <w:shd w:val="clear" w:color="auto" w:fill="FFFFFF"/>
          <w:lang w:val="en-US"/>
        </w:rPr>
        <w:drawing>
          <wp:inline distT="0" distB="0" distL="0" distR="0" wp14:anchorId="57989592" wp14:editId="2C95A2BE">
            <wp:extent cx="2395706" cy="1843824"/>
            <wp:effectExtent l="0" t="0" r="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0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2844" cy="1872406"/>
                    </a:xfrm>
                    <a:prstGeom prst="rect">
                      <a:avLst/>
                    </a:prstGeom>
                  </pic:spPr>
                </pic:pic>
              </a:graphicData>
            </a:graphic>
          </wp:inline>
        </w:drawing>
      </w:r>
    </w:p>
    <w:p w14:paraId="089B41B5" w14:textId="77777777" w:rsidR="00FF0CA4" w:rsidRDefault="00FF0CA4" w:rsidP="00FF0CA4">
      <w:pPr>
        <w:spacing w:after="0" w:line="240" w:lineRule="auto"/>
        <w:rPr>
          <w:rFonts w:ascii="Arial" w:eastAsia="Times New Roman" w:hAnsi="Arial" w:cs="Arial"/>
          <w:color w:val="222222"/>
          <w:sz w:val="19"/>
          <w:szCs w:val="19"/>
          <w:shd w:val="clear" w:color="auto" w:fill="FFFFFF"/>
          <w:lang w:val="en-US"/>
        </w:rPr>
      </w:pPr>
    </w:p>
    <w:p w14:paraId="08AD76B2" w14:textId="1C93C046" w:rsidR="00FF0CA4" w:rsidRPr="002774AC" w:rsidRDefault="00FF0CA4" w:rsidP="00FF0CA4">
      <w:pPr>
        <w:spacing w:after="0" w:line="240" w:lineRule="auto"/>
        <w:rPr>
          <w:rFonts w:asciiTheme="minorHAnsi" w:eastAsia="Times New Roman" w:hAnsiTheme="minorHAnsi"/>
          <w:sz w:val="20"/>
          <w:szCs w:val="20"/>
          <w:lang w:val="en-US"/>
        </w:rPr>
      </w:pPr>
      <w:r w:rsidRPr="002774AC">
        <w:rPr>
          <w:rFonts w:asciiTheme="minorHAnsi" w:eastAsia="Times New Roman" w:hAnsiTheme="minorHAnsi" w:cs="Arial"/>
          <w:color w:val="222222"/>
          <w:sz w:val="20"/>
          <w:szCs w:val="20"/>
          <w:shd w:val="clear" w:color="auto" w:fill="FFFFFF"/>
          <w:lang w:val="en-US"/>
        </w:rPr>
        <w:t>Kieron O'Hara is an associate professor in electronics and computer science at the University of Southampton, and visiting professor in law at the University of Winchester. His interests are the political implications of technology, particularly the World Wide Web, AI and big data, with a focus on privacy, trust, openness and ethics. His book The Anonymisation Decision-Making Framework (co-written with Mark Elliot, Elaine Mackey and Caroline Tudor) is a practical guide to data anonymisation.</w:t>
      </w:r>
    </w:p>
    <w:p w14:paraId="1A48D167" w14:textId="6B43F300" w:rsidR="00FF0CA4" w:rsidRPr="001F72F7" w:rsidRDefault="00FF0CA4" w:rsidP="001F72F7">
      <w:pPr>
        <w:spacing w:before="240" w:after="240" w:line="480" w:lineRule="auto"/>
        <w:rPr>
          <w:rFonts w:asciiTheme="minorHAnsi" w:hAnsiTheme="minorHAnsi" w:cstheme="minorHAnsi"/>
          <w:sz w:val="20"/>
          <w:szCs w:val="20"/>
          <w:lang w:val="en-GB"/>
        </w:rPr>
      </w:pPr>
      <w:r>
        <w:rPr>
          <w:rFonts w:asciiTheme="minorHAnsi" w:hAnsiTheme="minorHAnsi" w:cstheme="minorHAnsi"/>
          <w:noProof/>
          <w:sz w:val="20"/>
          <w:szCs w:val="20"/>
          <w:lang w:val="en-US"/>
        </w:rPr>
        <w:drawing>
          <wp:inline distT="0" distB="0" distL="0" distR="0" wp14:anchorId="28CE4255" wp14:editId="2A84D682">
            <wp:extent cx="1709906" cy="18713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45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9906" cy="1871345"/>
                    </a:xfrm>
                    <a:prstGeom prst="rect">
                      <a:avLst/>
                    </a:prstGeom>
                  </pic:spPr>
                </pic:pic>
              </a:graphicData>
            </a:graphic>
          </wp:inline>
        </w:drawing>
      </w:r>
    </w:p>
    <w:sectPr w:rsidR="00FF0CA4" w:rsidRPr="001F72F7" w:rsidSect="00723B08">
      <w:footnotePr>
        <w:pos w:val="beneathText"/>
      </w:footnotePr>
      <w:endnotePr>
        <w:numFmt w:val="decimal"/>
      </w:endnotePr>
      <w:type w:val="continuous"/>
      <w:pgSz w:w="11906" w:h="16838"/>
      <w:pgMar w:top="709" w:right="1416" w:bottom="1417" w:left="993" w:header="708" w:footer="708" w:gutter="0"/>
      <w:lnNumType w:countBy="1" w:restart="continuous"/>
      <w:cols w:space="709"/>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33298" w16cid:durableId="1D6D1741"/>
  <w16cid:commentId w16cid:paraId="7C78B746" w16cid:durableId="1D6D174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8D7CE" w14:textId="77777777" w:rsidR="00A35176" w:rsidRDefault="00A35176" w:rsidP="00675AF9">
      <w:pPr>
        <w:spacing w:after="0" w:line="240" w:lineRule="auto"/>
      </w:pPr>
      <w:r>
        <w:separator/>
      </w:r>
    </w:p>
  </w:endnote>
  <w:endnote w:type="continuationSeparator" w:id="0">
    <w:p w14:paraId="19B0974C" w14:textId="77777777" w:rsidR="00A35176" w:rsidRDefault="00A35176" w:rsidP="0067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8B4AF" w14:textId="77777777" w:rsidR="00A35176" w:rsidRDefault="00A35176" w:rsidP="00675AF9">
      <w:pPr>
        <w:spacing w:after="0" w:line="240" w:lineRule="auto"/>
      </w:pPr>
      <w:r>
        <w:separator/>
      </w:r>
    </w:p>
  </w:footnote>
  <w:footnote w:type="continuationSeparator" w:id="0">
    <w:p w14:paraId="00F4B639" w14:textId="77777777" w:rsidR="00A35176" w:rsidRDefault="00A35176" w:rsidP="00675AF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538D4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E8269A0E"/>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01139B"/>
    <w:multiLevelType w:val="hybridMultilevel"/>
    <w:tmpl w:val="951AA05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D55747A"/>
    <w:multiLevelType w:val="hybridMultilevel"/>
    <w:tmpl w:val="9D4271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F2C0C96"/>
    <w:multiLevelType w:val="hybridMultilevel"/>
    <w:tmpl w:val="1EBEE9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07D643D"/>
    <w:multiLevelType w:val="hybridMultilevel"/>
    <w:tmpl w:val="A592541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96518F1"/>
    <w:multiLevelType w:val="hybridMultilevel"/>
    <w:tmpl w:val="139CBEA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52A2D61"/>
    <w:multiLevelType w:val="hybridMultilevel"/>
    <w:tmpl w:val="4B926E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4936550F"/>
    <w:multiLevelType w:val="hybridMultilevel"/>
    <w:tmpl w:val="C3B2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459D4"/>
    <w:multiLevelType w:val="hybridMultilevel"/>
    <w:tmpl w:val="C61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DE7859"/>
    <w:multiLevelType w:val="hybridMultilevel"/>
    <w:tmpl w:val="2DDA6044"/>
    <w:lvl w:ilvl="0" w:tplc="00000002">
      <w:start w:val="1"/>
      <w:numFmt w:val="bullet"/>
      <w:lvlText w:val="•"/>
      <w:lvlJc w:val="left"/>
      <w:pPr>
        <w:ind w:left="72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2"/>
  </w:num>
  <w:num w:numId="6">
    <w:abstractNumId w:val="5"/>
  </w:num>
  <w:num w:numId="7">
    <w:abstractNumId w:val="8"/>
  </w:num>
  <w:num w:numId="8">
    <w:abstractNumId w:val="1"/>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activeWritingStyle w:appName="MSWord" w:lang="pt-PT"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pt-PT" w:vendorID="64" w:dllVersion="131078" w:nlCheck="1" w:checkStyle="0"/>
  <w:defaultTabStop w:val="708"/>
  <w:consecutiveHyphenLimit w:val="3"/>
  <w:hyphenationZone w:val="142"/>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88"/>
    <w:rsid w:val="00006B2C"/>
    <w:rsid w:val="00007168"/>
    <w:rsid w:val="0001167D"/>
    <w:rsid w:val="00014437"/>
    <w:rsid w:val="000149D8"/>
    <w:rsid w:val="00017D89"/>
    <w:rsid w:val="00024615"/>
    <w:rsid w:val="000309ED"/>
    <w:rsid w:val="00045462"/>
    <w:rsid w:val="00045DDF"/>
    <w:rsid w:val="00053A6F"/>
    <w:rsid w:val="00067DE1"/>
    <w:rsid w:val="000756C9"/>
    <w:rsid w:val="00084972"/>
    <w:rsid w:val="00091B80"/>
    <w:rsid w:val="00091E38"/>
    <w:rsid w:val="00092002"/>
    <w:rsid w:val="00095DEF"/>
    <w:rsid w:val="000A1A9E"/>
    <w:rsid w:val="000A6F49"/>
    <w:rsid w:val="000D23B6"/>
    <w:rsid w:val="000D31D6"/>
    <w:rsid w:val="000D4BAF"/>
    <w:rsid w:val="000E069D"/>
    <w:rsid w:val="000E12A3"/>
    <w:rsid w:val="000E1CB6"/>
    <w:rsid w:val="000F2081"/>
    <w:rsid w:val="000F226F"/>
    <w:rsid w:val="000F5EC6"/>
    <w:rsid w:val="00107C00"/>
    <w:rsid w:val="00121E56"/>
    <w:rsid w:val="001257D8"/>
    <w:rsid w:val="00135B72"/>
    <w:rsid w:val="001455D2"/>
    <w:rsid w:val="00151797"/>
    <w:rsid w:val="00156E49"/>
    <w:rsid w:val="001604FE"/>
    <w:rsid w:val="001608EA"/>
    <w:rsid w:val="00163C50"/>
    <w:rsid w:val="00193FA2"/>
    <w:rsid w:val="00196759"/>
    <w:rsid w:val="00197EC4"/>
    <w:rsid w:val="001A0BC1"/>
    <w:rsid w:val="001A2932"/>
    <w:rsid w:val="001A2F4F"/>
    <w:rsid w:val="001B065D"/>
    <w:rsid w:val="001B548A"/>
    <w:rsid w:val="001B6BDB"/>
    <w:rsid w:val="001B7575"/>
    <w:rsid w:val="001B7C3B"/>
    <w:rsid w:val="001C20F8"/>
    <w:rsid w:val="001C3644"/>
    <w:rsid w:val="001C490E"/>
    <w:rsid w:val="001D53AC"/>
    <w:rsid w:val="001D647E"/>
    <w:rsid w:val="001D783A"/>
    <w:rsid w:val="001D7C47"/>
    <w:rsid w:val="001E085D"/>
    <w:rsid w:val="001E08A5"/>
    <w:rsid w:val="001E5901"/>
    <w:rsid w:val="001F014E"/>
    <w:rsid w:val="001F0999"/>
    <w:rsid w:val="001F72F7"/>
    <w:rsid w:val="002008C0"/>
    <w:rsid w:val="00202163"/>
    <w:rsid w:val="0021323F"/>
    <w:rsid w:val="0021543F"/>
    <w:rsid w:val="00215EDF"/>
    <w:rsid w:val="00220282"/>
    <w:rsid w:val="00226CBF"/>
    <w:rsid w:val="00236C89"/>
    <w:rsid w:val="002447F1"/>
    <w:rsid w:val="002459A6"/>
    <w:rsid w:val="00247529"/>
    <w:rsid w:val="00275EE1"/>
    <w:rsid w:val="002774AC"/>
    <w:rsid w:val="0028638B"/>
    <w:rsid w:val="002866A2"/>
    <w:rsid w:val="00287C0E"/>
    <w:rsid w:val="00290453"/>
    <w:rsid w:val="00290D3B"/>
    <w:rsid w:val="00291F81"/>
    <w:rsid w:val="002929F4"/>
    <w:rsid w:val="002A37E7"/>
    <w:rsid w:val="002B01A0"/>
    <w:rsid w:val="002B045F"/>
    <w:rsid w:val="002B1C59"/>
    <w:rsid w:val="002B430F"/>
    <w:rsid w:val="002B6DD1"/>
    <w:rsid w:val="002C4C90"/>
    <w:rsid w:val="002C53F1"/>
    <w:rsid w:val="002C7827"/>
    <w:rsid w:val="002F36F8"/>
    <w:rsid w:val="00306893"/>
    <w:rsid w:val="003131A5"/>
    <w:rsid w:val="003207EC"/>
    <w:rsid w:val="0032361F"/>
    <w:rsid w:val="00323B59"/>
    <w:rsid w:val="003521FF"/>
    <w:rsid w:val="003537C5"/>
    <w:rsid w:val="0035437B"/>
    <w:rsid w:val="00357A79"/>
    <w:rsid w:val="0036079B"/>
    <w:rsid w:val="0036203D"/>
    <w:rsid w:val="0036322C"/>
    <w:rsid w:val="0036492C"/>
    <w:rsid w:val="00367B7C"/>
    <w:rsid w:val="00371F3D"/>
    <w:rsid w:val="003828E8"/>
    <w:rsid w:val="00394B13"/>
    <w:rsid w:val="003951E0"/>
    <w:rsid w:val="003B2CA3"/>
    <w:rsid w:val="003C14C0"/>
    <w:rsid w:val="003C2342"/>
    <w:rsid w:val="003C27E8"/>
    <w:rsid w:val="003D33FF"/>
    <w:rsid w:val="003D5D02"/>
    <w:rsid w:val="003D717A"/>
    <w:rsid w:val="003E6D55"/>
    <w:rsid w:val="003F0418"/>
    <w:rsid w:val="003F15B8"/>
    <w:rsid w:val="003F7897"/>
    <w:rsid w:val="004064DB"/>
    <w:rsid w:val="004100E3"/>
    <w:rsid w:val="00426890"/>
    <w:rsid w:val="00432F69"/>
    <w:rsid w:val="00434DDC"/>
    <w:rsid w:val="00437E69"/>
    <w:rsid w:val="0046579E"/>
    <w:rsid w:val="00470FA9"/>
    <w:rsid w:val="00472965"/>
    <w:rsid w:val="0048170E"/>
    <w:rsid w:val="004817B1"/>
    <w:rsid w:val="00490F14"/>
    <w:rsid w:val="00494728"/>
    <w:rsid w:val="00495CA9"/>
    <w:rsid w:val="004A01A1"/>
    <w:rsid w:val="004A3E79"/>
    <w:rsid w:val="004C0D09"/>
    <w:rsid w:val="004C3E46"/>
    <w:rsid w:val="004D71C7"/>
    <w:rsid w:val="004F1CBD"/>
    <w:rsid w:val="004F2308"/>
    <w:rsid w:val="004F5314"/>
    <w:rsid w:val="0050120C"/>
    <w:rsid w:val="005016A5"/>
    <w:rsid w:val="00501BC2"/>
    <w:rsid w:val="00512A09"/>
    <w:rsid w:val="005162FF"/>
    <w:rsid w:val="005171A6"/>
    <w:rsid w:val="00520003"/>
    <w:rsid w:val="00535F99"/>
    <w:rsid w:val="0054065E"/>
    <w:rsid w:val="005569BE"/>
    <w:rsid w:val="00563E02"/>
    <w:rsid w:val="00564DF8"/>
    <w:rsid w:val="00573254"/>
    <w:rsid w:val="0057716F"/>
    <w:rsid w:val="0058058B"/>
    <w:rsid w:val="005A370B"/>
    <w:rsid w:val="005A5B7E"/>
    <w:rsid w:val="005A64DC"/>
    <w:rsid w:val="005B1F9A"/>
    <w:rsid w:val="005B31BD"/>
    <w:rsid w:val="005B33BC"/>
    <w:rsid w:val="005B5BD1"/>
    <w:rsid w:val="005C0573"/>
    <w:rsid w:val="005C5243"/>
    <w:rsid w:val="005D2C39"/>
    <w:rsid w:val="005D3702"/>
    <w:rsid w:val="005D49C8"/>
    <w:rsid w:val="005F07C6"/>
    <w:rsid w:val="005F0AB9"/>
    <w:rsid w:val="005F75BE"/>
    <w:rsid w:val="00603552"/>
    <w:rsid w:val="00604DE9"/>
    <w:rsid w:val="0060553C"/>
    <w:rsid w:val="0062037D"/>
    <w:rsid w:val="006274D7"/>
    <w:rsid w:val="0062774E"/>
    <w:rsid w:val="00632089"/>
    <w:rsid w:val="00632934"/>
    <w:rsid w:val="00633447"/>
    <w:rsid w:val="00634B26"/>
    <w:rsid w:val="00636D42"/>
    <w:rsid w:val="0064153D"/>
    <w:rsid w:val="006467CA"/>
    <w:rsid w:val="0064749A"/>
    <w:rsid w:val="00652588"/>
    <w:rsid w:val="00655091"/>
    <w:rsid w:val="00656EAD"/>
    <w:rsid w:val="006618F2"/>
    <w:rsid w:val="00664985"/>
    <w:rsid w:val="00665553"/>
    <w:rsid w:val="0067013A"/>
    <w:rsid w:val="006705A7"/>
    <w:rsid w:val="006717B2"/>
    <w:rsid w:val="00673070"/>
    <w:rsid w:val="00675AF9"/>
    <w:rsid w:val="00675CE6"/>
    <w:rsid w:val="00680638"/>
    <w:rsid w:val="006A06DE"/>
    <w:rsid w:val="006A1C16"/>
    <w:rsid w:val="006B3083"/>
    <w:rsid w:val="006B4A79"/>
    <w:rsid w:val="006C1512"/>
    <w:rsid w:val="006C19AF"/>
    <w:rsid w:val="006C21CA"/>
    <w:rsid w:val="006C7BA8"/>
    <w:rsid w:val="006E02F0"/>
    <w:rsid w:val="006E0B8C"/>
    <w:rsid w:val="006F10F9"/>
    <w:rsid w:val="006F170E"/>
    <w:rsid w:val="006F3F40"/>
    <w:rsid w:val="006F47EB"/>
    <w:rsid w:val="00702831"/>
    <w:rsid w:val="00702ECF"/>
    <w:rsid w:val="00710080"/>
    <w:rsid w:val="00710FE2"/>
    <w:rsid w:val="00714841"/>
    <w:rsid w:val="00714872"/>
    <w:rsid w:val="007175E9"/>
    <w:rsid w:val="00720239"/>
    <w:rsid w:val="00720F71"/>
    <w:rsid w:val="00721426"/>
    <w:rsid w:val="00723B08"/>
    <w:rsid w:val="00726428"/>
    <w:rsid w:val="00727D31"/>
    <w:rsid w:val="007372E5"/>
    <w:rsid w:val="00776AA0"/>
    <w:rsid w:val="00777349"/>
    <w:rsid w:val="00782878"/>
    <w:rsid w:val="007946F6"/>
    <w:rsid w:val="00796BB1"/>
    <w:rsid w:val="007972D3"/>
    <w:rsid w:val="007A7CBA"/>
    <w:rsid w:val="007C057C"/>
    <w:rsid w:val="007C18CA"/>
    <w:rsid w:val="007C5B7D"/>
    <w:rsid w:val="007E686B"/>
    <w:rsid w:val="007F1909"/>
    <w:rsid w:val="007F2EBC"/>
    <w:rsid w:val="007F78B3"/>
    <w:rsid w:val="00803960"/>
    <w:rsid w:val="008118E2"/>
    <w:rsid w:val="008134C9"/>
    <w:rsid w:val="008246D0"/>
    <w:rsid w:val="00840894"/>
    <w:rsid w:val="00840DDB"/>
    <w:rsid w:val="008516ED"/>
    <w:rsid w:val="00856084"/>
    <w:rsid w:val="00856614"/>
    <w:rsid w:val="0086221A"/>
    <w:rsid w:val="00872B05"/>
    <w:rsid w:val="00884A8F"/>
    <w:rsid w:val="008873E6"/>
    <w:rsid w:val="00893C5E"/>
    <w:rsid w:val="008951BA"/>
    <w:rsid w:val="008A2C29"/>
    <w:rsid w:val="008B08D0"/>
    <w:rsid w:val="008C34A0"/>
    <w:rsid w:val="008C4CB2"/>
    <w:rsid w:val="008D5D8A"/>
    <w:rsid w:val="008E0B74"/>
    <w:rsid w:val="008E60FD"/>
    <w:rsid w:val="008F378D"/>
    <w:rsid w:val="008F5B3A"/>
    <w:rsid w:val="009018DD"/>
    <w:rsid w:val="009019A4"/>
    <w:rsid w:val="00902D5D"/>
    <w:rsid w:val="009123E6"/>
    <w:rsid w:val="009152B2"/>
    <w:rsid w:val="00917E73"/>
    <w:rsid w:val="00922CD2"/>
    <w:rsid w:val="00924BC5"/>
    <w:rsid w:val="00936944"/>
    <w:rsid w:val="00946A94"/>
    <w:rsid w:val="00950262"/>
    <w:rsid w:val="00954DDD"/>
    <w:rsid w:val="00957ED1"/>
    <w:rsid w:val="0096216E"/>
    <w:rsid w:val="009645D8"/>
    <w:rsid w:val="009762A1"/>
    <w:rsid w:val="00977D7A"/>
    <w:rsid w:val="0098069F"/>
    <w:rsid w:val="009840DC"/>
    <w:rsid w:val="00986720"/>
    <w:rsid w:val="009946EC"/>
    <w:rsid w:val="00995008"/>
    <w:rsid w:val="00996345"/>
    <w:rsid w:val="00996A8C"/>
    <w:rsid w:val="00996B86"/>
    <w:rsid w:val="009A2277"/>
    <w:rsid w:val="009A37F5"/>
    <w:rsid w:val="009A4251"/>
    <w:rsid w:val="009B2072"/>
    <w:rsid w:val="009B3C58"/>
    <w:rsid w:val="009B522E"/>
    <w:rsid w:val="009B604D"/>
    <w:rsid w:val="009C7E8F"/>
    <w:rsid w:val="009D539C"/>
    <w:rsid w:val="009E0A0B"/>
    <w:rsid w:val="009E2213"/>
    <w:rsid w:val="009E7A87"/>
    <w:rsid w:val="009F04A0"/>
    <w:rsid w:val="009F13CB"/>
    <w:rsid w:val="009F21DB"/>
    <w:rsid w:val="009F2946"/>
    <w:rsid w:val="00A21366"/>
    <w:rsid w:val="00A2269E"/>
    <w:rsid w:val="00A2429B"/>
    <w:rsid w:val="00A2458C"/>
    <w:rsid w:val="00A27792"/>
    <w:rsid w:val="00A31E7D"/>
    <w:rsid w:val="00A3346C"/>
    <w:rsid w:val="00A33CE0"/>
    <w:rsid w:val="00A35176"/>
    <w:rsid w:val="00A36092"/>
    <w:rsid w:val="00A47577"/>
    <w:rsid w:val="00A52755"/>
    <w:rsid w:val="00A5296F"/>
    <w:rsid w:val="00A54893"/>
    <w:rsid w:val="00A56077"/>
    <w:rsid w:val="00A5718A"/>
    <w:rsid w:val="00A5718E"/>
    <w:rsid w:val="00A61322"/>
    <w:rsid w:val="00A73EDD"/>
    <w:rsid w:val="00A76AE3"/>
    <w:rsid w:val="00A83367"/>
    <w:rsid w:val="00A8337B"/>
    <w:rsid w:val="00A8792E"/>
    <w:rsid w:val="00A966C0"/>
    <w:rsid w:val="00AA1FD3"/>
    <w:rsid w:val="00AC0900"/>
    <w:rsid w:val="00AC5895"/>
    <w:rsid w:val="00AD06FC"/>
    <w:rsid w:val="00AD2EBE"/>
    <w:rsid w:val="00AD6E93"/>
    <w:rsid w:val="00AF22F2"/>
    <w:rsid w:val="00AF2768"/>
    <w:rsid w:val="00AF54A1"/>
    <w:rsid w:val="00B0782C"/>
    <w:rsid w:val="00B12F0D"/>
    <w:rsid w:val="00B141F6"/>
    <w:rsid w:val="00B20B95"/>
    <w:rsid w:val="00B2216D"/>
    <w:rsid w:val="00B22996"/>
    <w:rsid w:val="00B26D46"/>
    <w:rsid w:val="00B30D75"/>
    <w:rsid w:val="00B411F7"/>
    <w:rsid w:val="00B46E1A"/>
    <w:rsid w:val="00B50B25"/>
    <w:rsid w:val="00B52D91"/>
    <w:rsid w:val="00B53F20"/>
    <w:rsid w:val="00B574B7"/>
    <w:rsid w:val="00B6601A"/>
    <w:rsid w:val="00B66974"/>
    <w:rsid w:val="00B710E1"/>
    <w:rsid w:val="00B71BB5"/>
    <w:rsid w:val="00B76F60"/>
    <w:rsid w:val="00B81CCD"/>
    <w:rsid w:val="00B867EC"/>
    <w:rsid w:val="00B869A0"/>
    <w:rsid w:val="00B93012"/>
    <w:rsid w:val="00B94B0C"/>
    <w:rsid w:val="00B955AB"/>
    <w:rsid w:val="00BA1594"/>
    <w:rsid w:val="00BA4B16"/>
    <w:rsid w:val="00BA691C"/>
    <w:rsid w:val="00BB02C2"/>
    <w:rsid w:val="00BB4FF5"/>
    <w:rsid w:val="00BB5AF4"/>
    <w:rsid w:val="00BC349F"/>
    <w:rsid w:val="00BC4343"/>
    <w:rsid w:val="00BC788A"/>
    <w:rsid w:val="00BD647E"/>
    <w:rsid w:val="00BF3188"/>
    <w:rsid w:val="00BF522B"/>
    <w:rsid w:val="00C003F7"/>
    <w:rsid w:val="00C00AC2"/>
    <w:rsid w:val="00C00E50"/>
    <w:rsid w:val="00C0350A"/>
    <w:rsid w:val="00C0633D"/>
    <w:rsid w:val="00C06C6C"/>
    <w:rsid w:val="00C07C4A"/>
    <w:rsid w:val="00C100D3"/>
    <w:rsid w:val="00C10970"/>
    <w:rsid w:val="00C132C3"/>
    <w:rsid w:val="00C21730"/>
    <w:rsid w:val="00C249BD"/>
    <w:rsid w:val="00C3098B"/>
    <w:rsid w:val="00C35A66"/>
    <w:rsid w:val="00C370E5"/>
    <w:rsid w:val="00C40F10"/>
    <w:rsid w:val="00C438D5"/>
    <w:rsid w:val="00C4746F"/>
    <w:rsid w:val="00C50726"/>
    <w:rsid w:val="00C56635"/>
    <w:rsid w:val="00C61A62"/>
    <w:rsid w:val="00C678C9"/>
    <w:rsid w:val="00C70622"/>
    <w:rsid w:val="00C735A9"/>
    <w:rsid w:val="00C73765"/>
    <w:rsid w:val="00C742A4"/>
    <w:rsid w:val="00C75627"/>
    <w:rsid w:val="00C80C81"/>
    <w:rsid w:val="00C86D17"/>
    <w:rsid w:val="00C95932"/>
    <w:rsid w:val="00CA0571"/>
    <w:rsid w:val="00CA1B00"/>
    <w:rsid w:val="00CA5E03"/>
    <w:rsid w:val="00CA69A1"/>
    <w:rsid w:val="00CA6D7B"/>
    <w:rsid w:val="00CB4697"/>
    <w:rsid w:val="00CB66E3"/>
    <w:rsid w:val="00CB75E5"/>
    <w:rsid w:val="00CC0D43"/>
    <w:rsid w:val="00CC2FF8"/>
    <w:rsid w:val="00CD0A5F"/>
    <w:rsid w:val="00CD2208"/>
    <w:rsid w:val="00CD4486"/>
    <w:rsid w:val="00CE1033"/>
    <w:rsid w:val="00CE1ADD"/>
    <w:rsid w:val="00CE20A5"/>
    <w:rsid w:val="00CE39D6"/>
    <w:rsid w:val="00CE4F88"/>
    <w:rsid w:val="00CE6C96"/>
    <w:rsid w:val="00CF0B1D"/>
    <w:rsid w:val="00CF2D5F"/>
    <w:rsid w:val="00D002B6"/>
    <w:rsid w:val="00D0144C"/>
    <w:rsid w:val="00D034AF"/>
    <w:rsid w:val="00D06AFD"/>
    <w:rsid w:val="00D1487F"/>
    <w:rsid w:val="00D15912"/>
    <w:rsid w:val="00D165AA"/>
    <w:rsid w:val="00D21299"/>
    <w:rsid w:val="00D26343"/>
    <w:rsid w:val="00D350A0"/>
    <w:rsid w:val="00D36071"/>
    <w:rsid w:val="00D51654"/>
    <w:rsid w:val="00D55F84"/>
    <w:rsid w:val="00D565A4"/>
    <w:rsid w:val="00D602B4"/>
    <w:rsid w:val="00D6083D"/>
    <w:rsid w:val="00D67CA8"/>
    <w:rsid w:val="00D708C2"/>
    <w:rsid w:val="00D7534D"/>
    <w:rsid w:val="00D80926"/>
    <w:rsid w:val="00D81870"/>
    <w:rsid w:val="00D84E76"/>
    <w:rsid w:val="00D91D0D"/>
    <w:rsid w:val="00DA23F9"/>
    <w:rsid w:val="00DA4051"/>
    <w:rsid w:val="00DB2506"/>
    <w:rsid w:val="00DB7B43"/>
    <w:rsid w:val="00DC007E"/>
    <w:rsid w:val="00DC06F2"/>
    <w:rsid w:val="00DC59DC"/>
    <w:rsid w:val="00DC5FAB"/>
    <w:rsid w:val="00DC66CD"/>
    <w:rsid w:val="00DC7ADD"/>
    <w:rsid w:val="00DC7D7A"/>
    <w:rsid w:val="00DD18DA"/>
    <w:rsid w:val="00DD4CFE"/>
    <w:rsid w:val="00DD508E"/>
    <w:rsid w:val="00DD60FD"/>
    <w:rsid w:val="00DD7CDF"/>
    <w:rsid w:val="00DE1033"/>
    <w:rsid w:val="00DE1546"/>
    <w:rsid w:val="00DE55CF"/>
    <w:rsid w:val="00DE78F9"/>
    <w:rsid w:val="00DF2085"/>
    <w:rsid w:val="00E03C1E"/>
    <w:rsid w:val="00E04534"/>
    <w:rsid w:val="00E06C9A"/>
    <w:rsid w:val="00E20241"/>
    <w:rsid w:val="00E21BB3"/>
    <w:rsid w:val="00E66D4C"/>
    <w:rsid w:val="00E66FA8"/>
    <w:rsid w:val="00E73018"/>
    <w:rsid w:val="00E7666A"/>
    <w:rsid w:val="00E8121A"/>
    <w:rsid w:val="00E92AE3"/>
    <w:rsid w:val="00E9564E"/>
    <w:rsid w:val="00EA22FB"/>
    <w:rsid w:val="00EB3D6F"/>
    <w:rsid w:val="00EB4019"/>
    <w:rsid w:val="00EB7D3F"/>
    <w:rsid w:val="00EB7FD9"/>
    <w:rsid w:val="00EC041C"/>
    <w:rsid w:val="00EE07C7"/>
    <w:rsid w:val="00EF5D99"/>
    <w:rsid w:val="00F04672"/>
    <w:rsid w:val="00F12A8E"/>
    <w:rsid w:val="00F15B93"/>
    <w:rsid w:val="00F17DF4"/>
    <w:rsid w:val="00F21CA3"/>
    <w:rsid w:val="00F274BB"/>
    <w:rsid w:val="00F32E8E"/>
    <w:rsid w:val="00F37A47"/>
    <w:rsid w:val="00F54114"/>
    <w:rsid w:val="00F55F8A"/>
    <w:rsid w:val="00F56212"/>
    <w:rsid w:val="00F56DD9"/>
    <w:rsid w:val="00F70900"/>
    <w:rsid w:val="00F74F00"/>
    <w:rsid w:val="00F82067"/>
    <w:rsid w:val="00F84696"/>
    <w:rsid w:val="00F920DC"/>
    <w:rsid w:val="00F92152"/>
    <w:rsid w:val="00F924FF"/>
    <w:rsid w:val="00FA2ABF"/>
    <w:rsid w:val="00FA4AD7"/>
    <w:rsid w:val="00FA6C84"/>
    <w:rsid w:val="00FA787E"/>
    <w:rsid w:val="00FB1398"/>
    <w:rsid w:val="00FB23F6"/>
    <w:rsid w:val="00FB4EDA"/>
    <w:rsid w:val="00FB64F0"/>
    <w:rsid w:val="00FC5D1C"/>
    <w:rsid w:val="00FD4F95"/>
    <w:rsid w:val="00FD549A"/>
    <w:rsid w:val="00FD70ED"/>
    <w:rsid w:val="00FE4C18"/>
    <w:rsid w:val="00FF0CA4"/>
    <w:rsid w:val="00FF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4DF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0A0"/>
    <w:pPr>
      <w:spacing w:after="160" w:line="259" w:lineRule="auto"/>
    </w:pPr>
    <w:rPr>
      <w:sz w:val="22"/>
      <w:szCs w:val="22"/>
      <w:lang w:val="pt-PT" w:eastAsia="en-US"/>
    </w:rPr>
  </w:style>
  <w:style w:type="paragraph" w:styleId="Heading1">
    <w:name w:val="heading 1"/>
    <w:basedOn w:val="Normal"/>
    <w:next w:val="Normal"/>
    <w:link w:val="Heading1Char"/>
    <w:uiPriority w:val="9"/>
    <w:qFormat/>
    <w:rsid w:val="006F47EB"/>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AF9"/>
    <w:pPr>
      <w:tabs>
        <w:tab w:val="center" w:pos="4252"/>
        <w:tab w:val="right" w:pos="8504"/>
      </w:tabs>
    </w:pPr>
  </w:style>
  <w:style w:type="character" w:customStyle="1" w:styleId="HeaderChar">
    <w:name w:val="Header Char"/>
    <w:link w:val="Header"/>
    <w:uiPriority w:val="99"/>
    <w:rsid w:val="00675AF9"/>
    <w:rPr>
      <w:sz w:val="22"/>
      <w:szCs w:val="22"/>
      <w:lang w:eastAsia="en-US"/>
    </w:rPr>
  </w:style>
  <w:style w:type="paragraph" w:styleId="Footer">
    <w:name w:val="footer"/>
    <w:basedOn w:val="Normal"/>
    <w:link w:val="FooterChar"/>
    <w:uiPriority w:val="99"/>
    <w:unhideWhenUsed/>
    <w:rsid w:val="00675AF9"/>
    <w:pPr>
      <w:tabs>
        <w:tab w:val="center" w:pos="4252"/>
        <w:tab w:val="right" w:pos="8504"/>
      </w:tabs>
    </w:pPr>
  </w:style>
  <w:style w:type="character" w:customStyle="1" w:styleId="FooterChar">
    <w:name w:val="Footer Char"/>
    <w:link w:val="Footer"/>
    <w:uiPriority w:val="99"/>
    <w:rsid w:val="00675AF9"/>
    <w:rPr>
      <w:sz w:val="22"/>
      <w:szCs w:val="22"/>
      <w:lang w:eastAsia="en-US"/>
    </w:rPr>
  </w:style>
  <w:style w:type="table" w:styleId="TableGrid">
    <w:name w:val="Table Grid"/>
    <w:basedOn w:val="TableNormal"/>
    <w:uiPriority w:val="39"/>
    <w:rsid w:val="00CF2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E55CF"/>
    <w:rPr>
      <w:sz w:val="20"/>
      <w:szCs w:val="20"/>
    </w:rPr>
  </w:style>
  <w:style w:type="character" w:customStyle="1" w:styleId="EndnoteTextChar">
    <w:name w:val="Endnote Text Char"/>
    <w:link w:val="EndnoteText"/>
    <w:uiPriority w:val="99"/>
    <w:semiHidden/>
    <w:rsid w:val="00DE55CF"/>
    <w:rPr>
      <w:lang w:eastAsia="en-US"/>
    </w:rPr>
  </w:style>
  <w:style w:type="character" w:styleId="EndnoteReference">
    <w:name w:val="endnote reference"/>
    <w:uiPriority w:val="99"/>
    <w:semiHidden/>
    <w:unhideWhenUsed/>
    <w:rsid w:val="00DE55CF"/>
    <w:rPr>
      <w:vertAlign w:val="superscript"/>
    </w:rPr>
  </w:style>
  <w:style w:type="paragraph" w:styleId="FootnoteText">
    <w:name w:val="footnote text"/>
    <w:basedOn w:val="Normal"/>
    <w:link w:val="FootnoteTextChar"/>
    <w:uiPriority w:val="99"/>
    <w:semiHidden/>
    <w:unhideWhenUsed/>
    <w:rsid w:val="00DE55CF"/>
    <w:rPr>
      <w:sz w:val="20"/>
      <w:szCs w:val="20"/>
    </w:rPr>
  </w:style>
  <w:style w:type="character" w:customStyle="1" w:styleId="FootnoteTextChar">
    <w:name w:val="Footnote Text Char"/>
    <w:link w:val="FootnoteText"/>
    <w:uiPriority w:val="99"/>
    <w:semiHidden/>
    <w:rsid w:val="00DE55CF"/>
    <w:rPr>
      <w:lang w:eastAsia="en-US"/>
    </w:rPr>
  </w:style>
  <w:style w:type="character" w:styleId="FootnoteReference">
    <w:name w:val="footnote reference"/>
    <w:uiPriority w:val="99"/>
    <w:semiHidden/>
    <w:unhideWhenUsed/>
    <w:rsid w:val="00DE55CF"/>
    <w:rPr>
      <w:vertAlign w:val="superscript"/>
    </w:rPr>
  </w:style>
  <w:style w:type="character" w:styleId="LineNumber">
    <w:name w:val="line number"/>
    <w:basedOn w:val="DefaultParagraphFont"/>
    <w:uiPriority w:val="99"/>
    <w:semiHidden/>
    <w:unhideWhenUsed/>
    <w:rsid w:val="00957ED1"/>
  </w:style>
  <w:style w:type="character" w:styleId="Hyperlink">
    <w:name w:val="Hyperlink"/>
    <w:uiPriority w:val="99"/>
    <w:unhideWhenUsed/>
    <w:rsid w:val="00AC0900"/>
    <w:rPr>
      <w:color w:val="0563C1"/>
      <w:u w:val="single"/>
    </w:rPr>
  </w:style>
  <w:style w:type="character" w:styleId="Strong">
    <w:name w:val="Strong"/>
    <w:uiPriority w:val="22"/>
    <w:qFormat/>
    <w:rsid w:val="00B2216D"/>
    <w:rPr>
      <w:b/>
      <w:bCs/>
    </w:rPr>
  </w:style>
  <w:style w:type="character" w:styleId="Emphasis">
    <w:name w:val="Emphasis"/>
    <w:uiPriority w:val="20"/>
    <w:qFormat/>
    <w:rsid w:val="00B2216D"/>
    <w:rPr>
      <w:i/>
      <w:iCs/>
    </w:rPr>
  </w:style>
  <w:style w:type="paragraph" w:styleId="NormalWeb">
    <w:name w:val="Normal (Web)"/>
    <w:basedOn w:val="Normal"/>
    <w:uiPriority w:val="99"/>
    <w:unhideWhenUsed/>
    <w:rsid w:val="005B5BD1"/>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Heading1Char">
    <w:name w:val="Heading 1 Char"/>
    <w:link w:val="Heading1"/>
    <w:uiPriority w:val="9"/>
    <w:rsid w:val="006F47EB"/>
    <w:rPr>
      <w:rFonts w:ascii="Calibri Light" w:eastAsia="Times New Roman" w:hAnsi="Calibri Light"/>
      <w:b/>
      <w:bCs/>
      <w:kern w:val="32"/>
      <w:sz w:val="32"/>
      <w:szCs w:val="32"/>
      <w:lang w:val="pt-PT"/>
    </w:rPr>
  </w:style>
  <w:style w:type="paragraph" w:styleId="BalloonText">
    <w:name w:val="Balloon Text"/>
    <w:basedOn w:val="Normal"/>
    <w:link w:val="BalloonTextChar"/>
    <w:uiPriority w:val="99"/>
    <w:semiHidden/>
    <w:unhideWhenUsed/>
    <w:rsid w:val="00872B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2B05"/>
    <w:rPr>
      <w:rFonts w:ascii="Segoe UI" w:hAnsi="Segoe UI" w:cs="Segoe UI"/>
      <w:sz w:val="18"/>
      <w:szCs w:val="18"/>
      <w:lang w:val="pt-PT"/>
    </w:rPr>
  </w:style>
  <w:style w:type="paragraph" w:styleId="ListParagraph">
    <w:name w:val="List Paragraph"/>
    <w:basedOn w:val="Normal"/>
    <w:uiPriority w:val="34"/>
    <w:qFormat/>
    <w:rsid w:val="00DB7B43"/>
    <w:pPr>
      <w:ind w:left="720"/>
      <w:contextualSpacing/>
    </w:pPr>
  </w:style>
  <w:style w:type="character" w:customStyle="1" w:styleId="apple-converted-space">
    <w:name w:val="apple-converted-space"/>
    <w:basedOn w:val="DefaultParagraphFont"/>
    <w:rsid w:val="00D15912"/>
  </w:style>
  <w:style w:type="character" w:styleId="CommentReference">
    <w:name w:val="annotation reference"/>
    <w:basedOn w:val="DefaultParagraphFont"/>
    <w:uiPriority w:val="99"/>
    <w:unhideWhenUsed/>
    <w:rsid w:val="001A2932"/>
    <w:rPr>
      <w:sz w:val="18"/>
      <w:szCs w:val="18"/>
    </w:rPr>
  </w:style>
  <w:style w:type="paragraph" w:styleId="CommentText">
    <w:name w:val="annotation text"/>
    <w:basedOn w:val="Normal"/>
    <w:link w:val="CommentTextChar"/>
    <w:uiPriority w:val="99"/>
    <w:unhideWhenUsed/>
    <w:rsid w:val="001A2932"/>
    <w:pPr>
      <w:spacing w:line="240" w:lineRule="auto"/>
    </w:pPr>
    <w:rPr>
      <w:sz w:val="24"/>
      <w:szCs w:val="24"/>
    </w:rPr>
  </w:style>
  <w:style w:type="character" w:customStyle="1" w:styleId="CommentTextChar">
    <w:name w:val="Comment Text Char"/>
    <w:basedOn w:val="DefaultParagraphFont"/>
    <w:link w:val="CommentText"/>
    <w:uiPriority w:val="99"/>
    <w:rsid w:val="001A2932"/>
    <w:rPr>
      <w:sz w:val="24"/>
      <w:szCs w:val="24"/>
      <w:lang w:val="pt-PT" w:eastAsia="en-US"/>
    </w:rPr>
  </w:style>
  <w:style w:type="paragraph" w:styleId="CommentSubject">
    <w:name w:val="annotation subject"/>
    <w:basedOn w:val="CommentText"/>
    <w:next w:val="CommentText"/>
    <w:link w:val="CommentSubjectChar"/>
    <w:uiPriority w:val="99"/>
    <w:semiHidden/>
    <w:unhideWhenUsed/>
    <w:rsid w:val="001A2932"/>
    <w:rPr>
      <w:b/>
      <w:bCs/>
      <w:sz w:val="20"/>
      <w:szCs w:val="20"/>
    </w:rPr>
  </w:style>
  <w:style w:type="character" w:customStyle="1" w:styleId="CommentSubjectChar">
    <w:name w:val="Comment Subject Char"/>
    <w:basedOn w:val="CommentTextChar"/>
    <w:link w:val="CommentSubject"/>
    <w:uiPriority w:val="99"/>
    <w:semiHidden/>
    <w:rsid w:val="001A2932"/>
    <w:rPr>
      <w:b/>
      <w:bCs/>
      <w:sz w:val="24"/>
      <w:szCs w:val="24"/>
      <w:lang w:val="pt-PT" w:eastAsia="en-US"/>
    </w:rPr>
  </w:style>
  <w:style w:type="paragraph" w:styleId="Revision">
    <w:name w:val="Revision"/>
    <w:hidden/>
    <w:uiPriority w:val="99"/>
    <w:semiHidden/>
    <w:rsid w:val="002008C0"/>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0253">
      <w:bodyDiv w:val="1"/>
      <w:marLeft w:val="0"/>
      <w:marRight w:val="0"/>
      <w:marTop w:val="0"/>
      <w:marBottom w:val="0"/>
      <w:divBdr>
        <w:top w:val="none" w:sz="0" w:space="0" w:color="auto"/>
        <w:left w:val="none" w:sz="0" w:space="0" w:color="auto"/>
        <w:bottom w:val="none" w:sz="0" w:space="0" w:color="auto"/>
        <w:right w:val="none" w:sz="0" w:space="0" w:color="auto"/>
      </w:divBdr>
    </w:div>
    <w:div w:id="56361323">
      <w:bodyDiv w:val="1"/>
      <w:marLeft w:val="0"/>
      <w:marRight w:val="0"/>
      <w:marTop w:val="0"/>
      <w:marBottom w:val="0"/>
      <w:divBdr>
        <w:top w:val="none" w:sz="0" w:space="0" w:color="auto"/>
        <w:left w:val="none" w:sz="0" w:space="0" w:color="auto"/>
        <w:bottom w:val="none" w:sz="0" w:space="0" w:color="auto"/>
        <w:right w:val="none" w:sz="0" w:space="0" w:color="auto"/>
      </w:divBdr>
    </w:div>
    <w:div w:id="149489396">
      <w:bodyDiv w:val="1"/>
      <w:marLeft w:val="0"/>
      <w:marRight w:val="0"/>
      <w:marTop w:val="0"/>
      <w:marBottom w:val="0"/>
      <w:divBdr>
        <w:top w:val="none" w:sz="0" w:space="0" w:color="auto"/>
        <w:left w:val="none" w:sz="0" w:space="0" w:color="auto"/>
        <w:bottom w:val="none" w:sz="0" w:space="0" w:color="auto"/>
        <w:right w:val="none" w:sz="0" w:space="0" w:color="auto"/>
      </w:divBdr>
    </w:div>
    <w:div w:id="641276408">
      <w:bodyDiv w:val="1"/>
      <w:marLeft w:val="0"/>
      <w:marRight w:val="0"/>
      <w:marTop w:val="0"/>
      <w:marBottom w:val="0"/>
      <w:divBdr>
        <w:top w:val="none" w:sz="0" w:space="0" w:color="auto"/>
        <w:left w:val="none" w:sz="0" w:space="0" w:color="auto"/>
        <w:bottom w:val="none" w:sz="0" w:space="0" w:color="auto"/>
        <w:right w:val="none" w:sz="0" w:space="0" w:color="auto"/>
      </w:divBdr>
    </w:div>
    <w:div w:id="696540621">
      <w:bodyDiv w:val="1"/>
      <w:marLeft w:val="0"/>
      <w:marRight w:val="0"/>
      <w:marTop w:val="0"/>
      <w:marBottom w:val="0"/>
      <w:divBdr>
        <w:top w:val="none" w:sz="0" w:space="0" w:color="auto"/>
        <w:left w:val="none" w:sz="0" w:space="0" w:color="auto"/>
        <w:bottom w:val="none" w:sz="0" w:space="0" w:color="auto"/>
        <w:right w:val="none" w:sz="0" w:space="0" w:color="auto"/>
      </w:divBdr>
    </w:div>
    <w:div w:id="825972403">
      <w:bodyDiv w:val="1"/>
      <w:marLeft w:val="0"/>
      <w:marRight w:val="0"/>
      <w:marTop w:val="0"/>
      <w:marBottom w:val="0"/>
      <w:divBdr>
        <w:top w:val="none" w:sz="0" w:space="0" w:color="auto"/>
        <w:left w:val="none" w:sz="0" w:space="0" w:color="auto"/>
        <w:bottom w:val="none" w:sz="0" w:space="0" w:color="auto"/>
        <w:right w:val="none" w:sz="0" w:space="0" w:color="auto"/>
      </w:divBdr>
      <w:divsChild>
        <w:div w:id="42289024">
          <w:marLeft w:val="0"/>
          <w:marRight w:val="0"/>
          <w:marTop w:val="0"/>
          <w:marBottom w:val="0"/>
          <w:divBdr>
            <w:top w:val="none" w:sz="0" w:space="0" w:color="auto"/>
            <w:left w:val="none" w:sz="0" w:space="0" w:color="auto"/>
            <w:bottom w:val="none" w:sz="0" w:space="0" w:color="auto"/>
            <w:right w:val="none" w:sz="0" w:space="0" w:color="auto"/>
          </w:divBdr>
        </w:div>
        <w:div w:id="179466167">
          <w:marLeft w:val="0"/>
          <w:marRight w:val="0"/>
          <w:marTop w:val="0"/>
          <w:marBottom w:val="0"/>
          <w:divBdr>
            <w:top w:val="none" w:sz="0" w:space="0" w:color="auto"/>
            <w:left w:val="none" w:sz="0" w:space="0" w:color="auto"/>
            <w:bottom w:val="none" w:sz="0" w:space="0" w:color="auto"/>
            <w:right w:val="none" w:sz="0" w:space="0" w:color="auto"/>
          </w:divBdr>
        </w:div>
        <w:div w:id="292709171">
          <w:marLeft w:val="0"/>
          <w:marRight w:val="0"/>
          <w:marTop w:val="0"/>
          <w:marBottom w:val="0"/>
          <w:divBdr>
            <w:top w:val="none" w:sz="0" w:space="0" w:color="auto"/>
            <w:left w:val="none" w:sz="0" w:space="0" w:color="auto"/>
            <w:bottom w:val="none" w:sz="0" w:space="0" w:color="auto"/>
            <w:right w:val="none" w:sz="0" w:space="0" w:color="auto"/>
          </w:divBdr>
        </w:div>
        <w:div w:id="728575350">
          <w:marLeft w:val="0"/>
          <w:marRight w:val="0"/>
          <w:marTop w:val="0"/>
          <w:marBottom w:val="0"/>
          <w:divBdr>
            <w:top w:val="none" w:sz="0" w:space="0" w:color="auto"/>
            <w:left w:val="none" w:sz="0" w:space="0" w:color="auto"/>
            <w:bottom w:val="none" w:sz="0" w:space="0" w:color="auto"/>
            <w:right w:val="none" w:sz="0" w:space="0" w:color="auto"/>
          </w:divBdr>
        </w:div>
        <w:div w:id="852304086">
          <w:marLeft w:val="0"/>
          <w:marRight w:val="0"/>
          <w:marTop w:val="0"/>
          <w:marBottom w:val="0"/>
          <w:divBdr>
            <w:top w:val="none" w:sz="0" w:space="0" w:color="auto"/>
            <w:left w:val="none" w:sz="0" w:space="0" w:color="auto"/>
            <w:bottom w:val="none" w:sz="0" w:space="0" w:color="auto"/>
            <w:right w:val="none" w:sz="0" w:space="0" w:color="auto"/>
          </w:divBdr>
        </w:div>
        <w:div w:id="908148776">
          <w:marLeft w:val="0"/>
          <w:marRight w:val="0"/>
          <w:marTop w:val="0"/>
          <w:marBottom w:val="0"/>
          <w:divBdr>
            <w:top w:val="none" w:sz="0" w:space="0" w:color="auto"/>
            <w:left w:val="none" w:sz="0" w:space="0" w:color="auto"/>
            <w:bottom w:val="none" w:sz="0" w:space="0" w:color="auto"/>
            <w:right w:val="none" w:sz="0" w:space="0" w:color="auto"/>
          </w:divBdr>
        </w:div>
        <w:div w:id="1389263812">
          <w:marLeft w:val="0"/>
          <w:marRight w:val="0"/>
          <w:marTop w:val="0"/>
          <w:marBottom w:val="0"/>
          <w:divBdr>
            <w:top w:val="none" w:sz="0" w:space="0" w:color="auto"/>
            <w:left w:val="none" w:sz="0" w:space="0" w:color="auto"/>
            <w:bottom w:val="none" w:sz="0" w:space="0" w:color="auto"/>
            <w:right w:val="none" w:sz="0" w:space="0" w:color="auto"/>
          </w:divBdr>
        </w:div>
        <w:div w:id="1453746648">
          <w:marLeft w:val="0"/>
          <w:marRight w:val="0"/>
          <w:marTop w:val="0"/>
          <w:marBottom w:val="0"/>
          <w:divBdr>
            <w:top w:val="none" w:sz="0" w:space="0" w:color="auto"/>
            <w:left w:val="none" w:sz="0" w:space="0" w:color="auto"/>
            <w:bottom w:val="none" w:sz="0" w:space="0" w:color="auto"/>
            <w:right w:val="none" w:sz="0" w:space="0" w:color="auto"/>
          </w:divBdr>
        </w:div>
        <w:div w:id="1592738612">
          <w:marLeft w:val="0"/>
          <w:marRight w:val="0"/>
          <w:marTop w:val="0"/>
          <w:marBottom w:val="0"/>
          <w:divBdr>
            <w:top w:val="none" w:sz="0" w:space="0" w:color="auto"/>
            <w:left w:val="none" w:sz="0" w:space="0" w:color="auto"/>
            <w:bottom w:val="none" w:sz="0" w:space="0" w:color="auto"/>
            <w:right w:val="none" w:sz="0" w:space="0" w:color="auto"/>
          </w:divBdr>
        </w:div>
      </w:divsChild>
    </w:div>
    <w:div w:id="832142132">
      <w:bodyDiv w:val="1"/>
      <w:marLeft w:val="0"/>
      <w:marRight w:val="0"/>
      <w:marTop w:val="0"/>
      <w:marBottom w:val="0"/>
      <w:divBdr>
        <w:top w:val="none" w:sz="0" w:space="0" w:color="auto"/>
        <w:left w:val="none" w:sz="0" w:space="0" w:color="auto"/>
        <w:bottom w:val="none" w:sz="0" w:space="0" w:color="auto"/>
        <w:right w:val="none" w:sz="0" w:space="0" w:color="auto"/>
      </w:divBdr>
    </w:div>
    <w:div w:id="838428027">
      <w:bodyDiv w:val="1"/>
      <w:marLeft w:val="0"/>
      <w:marRight w:val="0"/>
      <w:marTop w:val="0"/>
      <w:marBottom w:val="0"/>
      <w:divBdr>
        <w:top w:val="none" w:sz="0" w:space="0" w:color="auto"/>
        <w:left w:val="none" w:sz="0" w:space="0" w:color="auto"/>
        <w:bottom w:val="none" w:sz="0" w:space="0" w:color="auto"/>
        <w:right w:val="none" w:sz="0" w:space="0" w:color="auto"/>
      </w:divBdr>
    </w:div>
    <w:div w:id="1065565946">
      <w:bodyDiv w:val="1"/>
      <w:marLeft w:val="0"/>
      <w:marRight w:val="0"/>
      <w:marTop w:val="0"/>
      <w:marBottom w:val="0"/>
      <w:divBdr>
        <w:top w:val="none" w:sz="0" w:space="0" w:color="auto"/>
        <w:left w:val="none" w:sz="0" w:space="0" w:color="auto"/>
        <w:bottom w:val="none" w:sz="0" w:space="0" w:color="auto"/>
        <w:right w:val="none" w:sz="0" w:space="0" w:color="auto"/>
      </w:divBdr>
    </w:div>
    <w:div w:id="1212694192">
      <w:bodyDiv w:val="1"/>
      <w:marLeft w:val="0"/>
      <w:marRight w:val="0"/>
      <w:marTop w:val="0"/>
      <w:marBottom w:val="0"/>
      <w:divBdr>
        <w:top w:val="none" w:sz="0" w:space="0" w:color="auto"/>
        <w:left w:val="none" w:sz="0" w:space="0" w:color="auto"/>
        <w:bottom w:val="none" w:sz="0" w:space="0" w:color="auto"/>
        <w:right w:val="none" w:sz="0" w:space="0" w:color="auto"/>
      </w:divBdr>
    </w:div>
    <w:div w:id="1230074001">
      <w:bodyDiv w:val="1"/>
      <w:marLeft w:val="0"/>
      <w:marRight w:val="0"/>
      <w:marTop w:val="0"/>
      <w:marBottom w:val="0"/>
      <w:divBdr>
        <w:top w:val="none" w:sz="0" w:space="0" w:color="auto"/>
        <w:left w:val="none" w:sz="0" w:space="0" w:color="auto"/>
        <w:bottom w:val="none" w:sz="0" w:space="0" w:color="auto"/>
        <w:right w:val="none" w:sz="0" w:space="0" w:color="auto"/>
      </w:divBdr>
    </w:div>
    <w:div w:id="1285888882">
      <w:bodyDiv w:val="1"/>
      <w:marLeft w:val="0"/>
      <w:marRight w:val="0"/>
      <w:marTop w:val="0"/>
      <w:marBottom w:val="0"/>
      <w:divBdr>
        <w:top w:val="none" w:sz="0" w:space="0" w:color="auto"/>
        <w:left w:val="none" w:sz="0" w:space="0" w:color="auto"/>
        <w:bottom w:val="none" w:sz="0" w:space="0" w:color="auto"/>
        <w:right w:val="none" w:sz="0" w:space="0" w:color="auto"/>
      </w:divBdr>
    </w:div>
    <w:div w:id="1379553504">
      <w:bodyDiv w:val="1"/>
      <w:marLeft w:val="0"/>
      <w:marRight w:val="0"/>
      <w:marTop w:val="0"/>
      <w:marBottom w:val="0"/>
      <w:divBdr>
        <w:top w:val="none" w:sz="0" w:space="0" w:color="auto"/>
        <w:left w:val="none" w:sz="0" w:space="0" w:color="auto"/>
        <w:bottom w:val="none" w:sz="0" w:space="0" w:color="auto"/>
        <w:right w:val="none" w:sz="0" w:space="0" w:color="auto"/>
      </w:divBdr>
    </w:div>
    <w:div w:id="1629582614">
      <w:bodyDiv w:val="1"/>
      <w:marLeft w:val="0"/>
      <w:marRight w:val="0"/>
      <w:marTop w:val="0"/>
      <w:marBottom w:val="0"/>
      <w:divBdr>
        <w:top w:val="none" w:sz="0" w:space="0" w:color="auto"/>
        <w:left w:val="none" w:sz="0" w:space="0" w:color="auto"/>
        <w:bottom w:val="none" w:sz="0" w:space="0" w:color="auto"/>
        <w:right w:val="none" w:sz="0" w:space="0" w:color="auto"/>
      </w:divBdr>
    </w:div>
    <w:div w:id="1835799615">
      <w:bodyDiv w:val="1"/>
      <w:marLeft w:val="0"/>
      <w:marRight w:val="0"/>
      <w:marTop w:val="0"/>
      <w:marBottom w:val="0"/>
      <w:divBdr>
        <w:top w:val="none" w:sz="0" w:space="0" w:color="auto"/>
        <w:left w:val="none" w:sz="0" w:space="0" w:color="auto"/>
        <w:bottom w:val="none" w:sz="0" w:space="0" w:color="auto"/>
        <w:right w:val="none" w:sz="0" w:space="0" w:color="auto"/>
      </w:divBdr>
    </w:div>
    <w:div w:id="1873420918">
      <w:bodyDiv w:val="1"/>
      <w:marLeft w:val="0"/>
      <w:marRight w:val="0"/>
      <w:marTop w:val="0"/>
      <w:marBottom w:val="0"/>
      <w:divBdr>
        <w:top w:val="none" w:sz="0" w:space="0" w:color="auto"/>
        <w:left w:val="none" w:sz="0" w:space="0" w:color="auto"/>
        <w:bottom w:val="none" w:sz="0" w:space="0" w:color="auto"/>
        <w:right w:val="none" w:sz="0" w:space="0" w:color="auto"/>
      </w:divBdr>
    </w:div>
    <w:div w:id="1970623360">
      <w:bodyDiv w:val="1"/>
      <w:marLeft w:val="0"/>
      <w:marRight w:val="0"/>
      <w:marTop w:val="0"/>
      <w:marBottom w:val="0"/>
      <w:divBdr>
        <w:top w:val="none" w:sz="0" w:space="0" w:color="auto"/>
        <w:left w:val="none" w:sz="0" w:space="0" w:color="auto"/>
        <w:bottom w:val="none" w:sz="0" w:space="0" w:color="auto"/>
        <w:right w:val="none" w:sz="0" w:space="0" w:color="auto"/>
      </w:divBdr>
    </w:div>
    <w:div w:id="2009207945">
      <w:bodyDiv w:val="1"/>
      <w:marLeft w:val="0"/>
      <w:marRight w:val="0"/>
      <w:marTop w:val="0"/>
      <w:marBottom w:val="0"/>
      <w:divBdr>
        <w:top w:val="none" w:sz="0" w:space="0" w:color="auto"/>
        <w:left w:val="none" w:sz="0" w:space="0" w:color="auto"/>
        <w:bottom w:val="none" w:sz="0" w:space="0" w:color="auto"/>
        <w:right w:val="none" w:sz="0" w:space="0" w:color="auto"/>
      </w:divBdr>
    </w:div>
    <w:div w:id="20308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C4AC-6F88-DE40-905E-35E1DF06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6054</Words>
  <Characters>34512</Characters>
  <Application>Microsoft Macintosh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Microsoft Office User</cp:lastModifiedBy>
  <cp:revision>4</cp:revision>
  <cp:lastPrinted>2017-01-27T12:24:00Z</cp:lastPrinted>
  <dcterms:created xsi:type="dcterms:W3CDTF">2018-03-14T15:47:00Z</dcterms:created>
  <dcterms:modified xsi:type="dcterms:W3CDTF">2018-03-14T15:58:00Z</dcterms:modified>
</cp:coreProperties>
</file>