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EF7D0" w14:textId="77777777" w:rsidR="00B25455" w:rsidRPr="00711744" w:rsidRDefault="00796600">
      <w:pPr>
        <w:rPr>
          <w:rFonts w:ascii="Garamond" w:hAnsi="Garamond"/>
          <w:b/>
          <w:sz w:val="28"/>
          <w:szCs w:val="28"/>
        </w:rPr>
      </w:pPr>
      <w:bookmarkStart w:id="0" w:name="_GoBack"/>
      <w:bookmarkEnd w:id="0"/>
      <w:r>
        <w:rPr>
          <w:rFonts w:ascii="Garamond" w:hAnsi="Garamond"/>
          <w:b/>
          <w:sz w:val="28"/>
          <w:szCs w:val="28"/>
        </w:rPr>
        <w:t>An</w:t>
      </w:r>
      <w:r w:rsidR="00914B6A" w:rsidRPr="00711744">
        <w:rPr>
          <w:rFonts w:ascii="Garamond" w:hAnsi="Garamond"/>
          <w:b/>
          <w:sz w:val="28"/>
          <w:szCs w:val="28"/>
        </w:rPr>
        <w:t xml:space="preserve"> EU text and data mining exception for the few: </w:t>
      </w:r>
      <w:r>
        <w:rPr>
          <w:rFonts w:ascii="Garamond" w:hAnsi="Garamond"/>
          <w:b/>
          <w:sz w:val="28"/>
          <w:szCs w:val="28"/>
        </w:rPr>
        <w:t>would</w:t>
      </w:r>
      <w:r w:rsidR="00914B6A" w:rsidRPr="00711744">
        <w:rPr>
          <w:rFonts w:ascii="Garamond" w:hAnsi="Garamond"/>
          <w:b/>
          <w:sz w:val="28"/>
          <w:szCs w:val="28"/>
        </w:rPr>
        <w:t xml:space="preserve"> it make sense?</w:t>
      </w:r>
    </w:p>
    <w:p w14:paraId="2F55C08D" w14:textId="77777777" w:rsidR="00711744" w:rsidRDefault="00711744">
      <w:pPr>
        <w:rPr>
          <w:rFonts w:ascii="Garamond" w:hAnsi="Garamond"/>
          <w:sz w:val="22"/>
          <w:szCs w:val="22"/>
        </w:rPr>
      </w:pPr>
    </w:p>
    <w:p w14:paraId="07C8C0D6" w14:textId="77777777" w:rsidR="007F6843" w:rsidRPr="00711744" w:rsidRDefault="007F6843">
      <w:pPr>
        <w:rPr>
          <w:rFonts w:ascii="Garamond" w:hAnsi="Garamond"/>
          <w:sz w:val="22"/>
          <w:szCs w:val="22"/>
        </w:rPr>
      </w:pPr>
      <w:r w:rsidRPr="00711744">
        <w:rPr>
          <w:rFonts w:ascii="Garamond" w:hAnsi="Garamond"/>
          <w:sz w:val="22"/>
          <w:szCs w:val="22"/>
        </w:rPr>
        <w:t>by Eleonora Rosati</w:t>
      </w:r>
      <w:r w:rsidRPr="00711744">
        <w:rPr>
          <w:rStyle w:val="FootnoteReference"/>
          <w:rFonts w:ascii="Garamond" w:hAnsi="Garamond"/>
          <w:sz w:val="22"/>
          <w:szCs w:val="22"/>
        </w:rPr>
        <w:footnoteReference w:customMarkFollows="1" w:id="1"/>
        <w:t>*</w:t>
      </w:r>
    </w:p>
    <w:p w14:paraId="3B9A7C87" w14:textId="77777777" w:rsidR="00914B6A" w:rsidRDefault="007F6843">
      <w:pPr>
        <w:rPr>
          <w:rFonts w:ascii="Garamond" w:hAnsi="Garamond"/>
          <w:b/>
          <w:sz w:val="22"/>
          <w:szCs w:val="22"/>
        </w:rPr>
      </w:pPr>
      <w:r w:rsidRPr="00711744">
        <w:rPr>
          <w:rFonts w:ascii="Garamond" w:hAnsi="Garamond"/>
          <w:b/>
          <w:sz w:val="22"/>
          <w:szCs w:val="22"/>
        </w:rPr>
        <w:t xml:space="preserve"> </w:t>
      </w:r>
    </w:p>
    <w:p w14:paraId="320DCF7A" w14:textId="77777777" w:rsidR="000C7A90" w:rsidRDefault="000C7A90">
      <w:pPr>
        <w:rPr>
          <w:rFonts w:ascii="Garamond" w:hAnsi="Garamond"/>
          <w:b/>
          <w:sz w:val="22"/>
          <w:szCs w:val="22"/>
        </w:rPr>
      </w:pPr>
    </w:p>
    <w:p w14:paraId="56DD4892" w14:textId="77777777" w:rsidR="000C7A90" w:rsidRDefault="000C7A90">
      <w:pPr>
        <w:rPr>
          <w:rFonts w:ascii="Garamond" w:hAnsi="Garamond"/>
          <w:b/>
          <w:sz w:val="22"/>
          <w:szCs w:val="22"/>
        </w:rPr>
      </w:pPr>
    </w:p>
    <w:p w14:paraId="0235ED4C" w14:textId="77777777" w:rsidR="000C7A90" w:rsidRPr="00711744" w:rsidRDefault="000C7A90">
      <w:pPr>
        <w:rPr>
          <w:rFonts w:ascii="Garamond" w:hAnsi="Garamond"/>
          <w:b/>
          <w:sz w:val="22"/>
          <w:szCs w:val="22"/>
        </w:rPr>
      </w:pPr>
    </w:p>
    <w:p w14:paraId="30A81605" w14:textId="77777777" w:rsidR="00711744" w:rsidRDefault="00711744" w:rsidP="007F6843">
      <w:pPr>
        <w:autoSpaceDE w:val="0"/>
        <w:autoSpaceDN w:val="0"/>
        <w:adjustRightInd w:val="0"/>
        <w:spacing w:line="252" w:lineRule="auto"/>
        <w:rPr>
          <w:rFonts w:ascii="Garamond" w:hAnsi="Garamond" w:cs="Arial"/>
          <w:color w:val="000000" w:themeColor="text1"/>
          <w:sz w:val="22"/>
          <w:szCs w:val="22"/>
          <w:lang w:val="en-GB"/>
        </w:rPr>
      </w:pPr>
    </w:p>
    <w:p w14:paraId="3B618287" w14:textId="77777777" w:rsidR="00E17520" w:rsidRPr="007F6843" w:rsidRDefault="00E17520" w:rsidP="007F6843">
      <w:pPr>
        <w:autoSpaceDE w:val="0"/>
        <w:autoSpaceDN w:val="0"/>
        <w:adjustRightInd w:val="0"/>
        <w:spacing w:line="252" w:lineRule="auto"/>
        <w:rPr>
          <w:rFonts w:ascii="Garamond" w:hAnsi="Garamond"/>
          <w:color w:val="000000" w:themeColor="text1"/>
          <w:kern w:val="36"/>
          <w:sz w:val="22"/>
          <w:szCs w:val="22"/>
        </w:rPr>
      </w:pPr>
      <w:r w:rsidRPr="00711744">
        <w:rPr>
          <w:rFonts w:ascii="Garamond" w:hAnsi="Garamond" w:cs="Arial"/>
          <w:color w:val="000000" w:themeColor="text1"/>
          <w:sz w:val="22"/>
          <w:szCs w:val="22"/>
          <w:lang w:val="en-GB"/>
        </w:rPr>
        <w:t>In the age of Big Data the value of data does not lie in data or text considered in their isolation, but rather in the extraction of</w:t>
      </w:r>
      <w:r w:rsidRPr="007F6843">
        <w:rPr>
          <w:rFonts w:ascii="Garamond" w:hAnsi="Garamond" w:cs="Arial"/>
          <w:color w:val="000000" w:themeColor="text1"/>
          <w:sz w:val="22"/>
          <w:szCs w:val="22"/>
          <w:lang w:val="en-GB"/>
        </w:rPr>
        <w:t xml:space="preserve"> such value. This requires that text and data </w:t>
      </w:r>
      <w:r w:rsidR="00711744">
        <w:rPr>
          <w:rFonts w:ascii="Garamond" w:hAnsi="Garamond" w:cs="Arial"/>
          <w:color w:val="000000" w:themeColor="text1"/>
          <w:sz w:val="22"/>
          <w:szCs w:val="22"/>
          <w:lang w:val="en-GB"/>
        </w:rPr>
        <w:t>be</w:t>
      </w:r>
      <w:r w:rsidRPr="007F6843">
        <w:rPr>
          <w:rFonts w:ascii="Garamond" w:hAnsi="Garamond" w:cs="Arial"/>
          <w:color w:val="000000" w:themeColor="text1"/>
          <w:sz w:val="22"/>
          <w:szCs w:val="22"/>
          <w:lang w:val="en-GB"/>
        </w:rPr>
        <w:t xml:space="preserve"> analyzed, to thus enable the discovery of new patterns and relations. While a task of this kind would be virtually impossible to perform manually, text and data mining (TDM) techniques </w:t>
      </w:r>
      <w:r w:rsidR="00796600">
        <w:rPr>
          <w:rFonts w:ascii="Garamond" w:hAnsi="Garamond" w:cs="Arial"/>
          <w:color w:val="000000" w:themeColor="text1"/>
          <w:sz w:val="22"/>
          <w:szCs w:val="22"/>
          <w:lang w:val="en-GB"/>
        </w:rPr>
        <w:t>allow</w:t>
      </w:r>
      <w:r w:rsidR="00711744">
        <w:rPr>
          <w:rFonts w:ascii="Garamond" w:hAnsi="Garamond" w:cs="Arial"/>
          <w:color w:val="000000" w:themeColor="text1"/>
          <w:sz w:val="22"/>
          <w:szCs w:val="22"/>
          <w:lang w:val="en-GB"/>
        </w:rPr>
        <w:t xml:space="preserve"> it</w:t>
      </w:r>
      <w:r w:rsidR="00796600">
        <w:rPr>
          <w:rFonts w:ascii="Garamond" w:hAnsi="Garamond" w:cs="Arial"/>
          <w:color w:val="000000" w:themeColor="text1"/>
          <w:sz w:val="22"/>
          <w:szCs w:val="22"/>
          <w:lang w:val="en-GB"/>
        </w:rPr>
        <w:t xml:space="preserve"> easily</w:t>
      </w:r>
      <w:r w:rsidRPr="007F6843">
        <w:rPr>
          <w:rFonts w:ascii="Garamond" w:hAnsi="Garamond" w:cs="Arial"/>
          <w:color w:val="000000" w:themeColor="text1"/>
          <w:sz w:val="22"/>
          <w:szCs w:val="22"/>
          <w:lang w:val="en-GB"/>
        </w:rPr>
        <w:t xml:space="preserve">. </w:t>
      </w:r>
    </w:p>
    <w:p w14:paraId="26D93E2D" w14:textId="77777777" w:rsidR="00711744" w:rsidRDefault="00711744" w:rsidP="007F6843">
      <w:pPr>
        <w:rPr>
          <w:rFonts w:ascii="Garamond" w:hAnsi="Garamond"/>
          <w:sz w:val="22"/>
          <w:szCs w:val="22"/>
          <w:lang w:val="en-GB"/>
        </w:rPr>
      </w:pPr>
    </w:p>
    <w:p w14:paraId="7733029C" w14:textId="77777777" w:rsidR="00914B6A" w:rsidRPr="007F6843" w:rsidRDefault="00914B6A" w:rsidP="007F6843">
      <w:pPr>
        <w:rPr>
          <w:rFonts w:ascii="Garamond" w:hAnsi="Garamond"/>
          <w:sz w:val="22"/>
          <w:szCs w:val="22"/>
          <w:lang w:val="en-GB"/>
        </w:rPr>
      </w:pPr>
      <w:r w:rsidRPr="007F6843">
        <w:rPr>
          <w:rFonts w:ascii="Garamond" w:hAnsi="Garamond"/>
          <w:sz w:val="22"/>
          <w:szCs w:val="22"/>
          <w:lang w:val="en-GB"/>
        </w:rPr>
        <w:t xml:space="preserve">In 2016 the EU Commission issued a proposal for a Directive on Copyright in the Digital Single Market (DSM Directive) which, among other things, includes a new mandatory exception allowing research organizations to make reproductions and extractions in order to carry out </w:t>
      </w:r>
      <w:r w:rsidR="00711744">
        <w:rPr>
          <w:rFonts w:ascii="Garamond" w:hAnsi="Garamond"/>
          <w:sz w:val="22"/>
          <w:szCs w:val="22"/>
          <w:lang w:val="en-GB"/>
        </w:rPr>
        <w:t>TDM</w:t>
      </w:r>
      <w:r w:rsidRPr="007F6843">
        <w:rPr>
          <w:rFonts w:ascii="Garamond" w:hAnsi="Garamond"/>
          <w:sz w:val="22"/>
          <w:szCs w:val="22"/>
          <w:lang w:val="en-GB"/>
        </w:rPr>
        <w:t xml:space="preserve"> of works or other subject-matter to which they have lawful access for the purposes of scientific research. Although including commercial and non-commercial uses alike, the beneficiaries of the exception would be limited</w:t>
      </w:r>
      <w:r w:rsidR="00711744">
        <w:rPr>
          <w:rFonts w:ascii="Garamond" w:hAnsi="Garamond"/>
          <w:sz w:val="22"/>
          <w:szCs w:val="22"/>
          <w:lang w:val="en-GB"/>
        </w:rPr>
        <w:t xml:space="preserve"> (at least in the original EU Commission’s proposal)</w:t>
      </w:r>
      <w:r w:rsidRPr="007F6843">
        <w:rPr>
          <w:rFonts w:ascii="Garamond" w:hAnsi="Garamond"/>
          <w:sz w:val="22"/>
          <w:szCs w:val="22"/>
          <w:lang w:val="en-GB"/>
        </w:rPr>
        <w:t xml:space="preserve"> to universities, research institutes, non-profit or public interest research-intensive organizations. In principle the draft directive does not e</w:t>
      </w:r>
      <w:r w:rsidR="00711744">
        <w:rPr>
          <w:rFonts w:ascii="Garamond" w:hAnsi="Garamond"/>
          <w:sz w:val="22"/>
          <w:szCs w:val="22"/>
          <w:lang w:val="en-GB"/>
        </w:rPr>
        <w:t>xclude applicability of the TDM</w:t>
      </w:r>
      <w:r w:rsidRPr="007F6843">
        <w:rPr>
          <w:rFonts w:ascii="Garamond" w:hAnsi="Garamond"/>
          <w:sz w:val="22"/>
          <w:szCs w:val="22"/>
          <w:lang w:val="en-GB"/>
        </w:rPr>
        <w:t xml:space="preserve"> exception to public-private partnerships, but rules out that this could be possible when a commercial undertaking has a decisive influence and control over the research organization in question.</w:t>
      </w:r>
    </w:p>
    <w:p w14:paraId="7AF818B3" w14:textId="77777777" w:rsidR="00914B6A" w:rsidRPr="007F6843" w:rsidRDefault="00914B6A" w:rsidP="007F6843">
      <w:pPr>
        <w:rPr>
          <w:rFonts w:ascii="Garamond" w:hAnsi="Garamond"/>
          <w:sz w:val="22"/>
          <w:szCs w:val="22"/>
          <w:lang w:val="en-GB"/>
        </w:rPr>
      </w:pPr>
    </w:p>
    <w:p w14:paraId="1AD878F3" w14:textId="77777777" w:rsidR="00914B6A" w:rsidRPr="007F6843" w:rsidRDefault="00914B6A" w:rsidP="007F6843">
      <w:pPr>
        <w:rPr>
          <w:rFonts w:ascii="Garamond" w:hAnsi="Garamond"/>
          <w:sz w:val="22"/>
          <w:szCs w:val="22"/>
          <w:lang w:val="en-GB"/>
        </w:rPr>
      </w:pPr>
      <w:r w:rsidRPr="007F6843">
        <w:rPr>
          <w:rFonts w:ascii="Garamond" w:hAnsi="Garamond"/>
          <w:sz w:val="22"/>
          <w:szCs w:val="22"/>
          <w:lang w:val="en-GB"/>
        </w:rPr>
        <w:t>Does it make sense to limit the availability of a mandatory TDM exception to research organizations alone?</w:t>
      </w:r>
      <w:r w:rsidR="00711744">
        <w:rPr>
          <w:rFonts w:ascii="Garamond" w:hAnsi="Garamond"/>
          <w:sz w:val="22"/>
          <w:szCs w:val="22"/>
          <w:lang w:val="en-GB"/>
        </w:rPr>
        <w:t xml:space="preserve"> </w:t>
      </w:r>
      <w:r w:rsidRPr="007F6843">
        <w:rPr>
          <w:rFonts w:ascii="Garamond" w:hAnsi="Garamond"/>
          <w:sz w:val="22"/>
          <w:szCs w:val="22"/>
          <w:lang w:val="en-GB"/>
        </w:rPr>
        <w:t>Probably not, and this is so for three main reasons.</w:t>
      </w:r>
    </w:p>
    <w:p w14:paraId="7DA4C7BC" w14:textId="77777777" w:rsidR="00914B6A" w:rsidRPr="007F6843" w:rsidRDefault="00914B6A" w:rsidP="007F6843">
      <w:pPr>
        <w:rPr>
          <w:rFonts w:ascii="Garamond" w:hAnsi="Garamond"/>
          <w:sz w:val="22"/>
          <w:szCs w:val="22"/>
          <w:lang w:val="en-GB"/>
        </w:rPr>
      </w:pPr>
    </w:p>
    <w:p w14:paraId="358F5FBF" w14:textId="77777777" w:rsidR="00914B6A" w:rsidRPr="007F6843" w:rsidRDefault="00914B6A" w:rsidP="007F6843">
      <w:pPr>
        <w:widowControl w:val="0"/>
        <w:autoSpaceDE w:val="0"/>
        <w:autoSpaceDN w:val="0"/>
        <w:adjustRightInd w:val="0"/>
        <w:rPr>
          <w:rFonts w:ascii="Garamond" w:hAnsi="Garamond" w:cs="Arial"/>
          <w:color w:val="000000" w:themeColor="text1"/>
          <w:sz w:val="22"/>
          <w:szCs w:val="22"/>
          <w:lang w:val="en-GB"/>
        </w:rPr>
      </w:pPr>
      <w:r w:rsidRPr="007F6843">
        <w:rPr>
          <w:rFonts w:ascii="Garamond" w:hAnsi="Garamond"/>
          <w:sz w:val="22"/>
          <w:szCs w:val="22"/>
          <w:lang w:val="en-GB"/>
        </w:rPr>
        <w:t xml:space="preserve">First, because – at least in Europe – it is not ‘research organizations’ that are mostly or solely engaged in TDM activities. </w:t>
      </w:r>
      <w:r w:rsidRPr="007F6843">
        <w:rPr>
          <w:rFonts w:ascii="Garamond" w:hAnsi="Garamond" w:cs="Arial"/>
          <w:color w:val="000000" w:themeColor="text1"/>
          <w:sz w:val="22"/>
          <w:szCs w:val="22"/>
          <w:lang w:val="en-GB"/>
        </w:rPr>
        <w:t>As the EU Commission itself noted in its Impact Assessment accompany</w:t>
      </w:r>
      <w:r w:rsidR="00796600">
        <w:rPr>
          <w:rFonts w:ascii="Garamond" w:hAnsi="Garamond" w:cs="Arial"/>
          <w:color w:val="000000" w:themeColor="text1"/>
          <w:sz w:val="22"/>
          <w:szCs w:val="22"/>
          <w:lang w:val="en-GB"/>
        </w:rPr>
        <w:t>ing</w:t>
      </w:r>
      <w:r w:rsidRPr="007F6843">
        <w:rPr>
          <w:rFonts w:ascii="Garamond" w:hAnsi="Garamond" w:cs="Arial"/>
          <w:color w:val="000000" w:themeColor="text1"/>
          <w:sz w:val="22"/>
          <w:szCs w:val="22"/>
          <w:lang w:val="en-GB"/>
        </w:rPr>
        <w:t xml:space="preserve"> the proposed DSM Directive, there seems to be general agreement among stakeholders that TDM </w:t>
      </w:r>
      <w:r w:rsidRPr="007F6843">
        <w:rPr>
          <w:rFonts w:ascii="Garamond" w:hAnsi="Garamond"/>
          <w:sz w:val="22"/>
          <w:szCs w:val="22"/>
          <w:lang w:val="en-GB"/>
        </w:rPr>
        <w:t>“</w:t>
      </w:r>
      <w:r w:rsidRPr="007F6843">
        <w:rPr>
          <w:rFonts w:ascii="Garamond" w:hAnsi="Garamond" w:cs="Arial"/>
          <w:color w:val="000000" w:themeColor="text1"/>
          <w:sz w:val="22"/>
          <w:szCs w:val="22"/>
          <w:lang w:val="en-GB"/>
        </w:rPr>
        <w:t xml:space="preserve">is still a nascent tool, in particular in the </w:t>
      </w:r>
      <w:r w:rsidRPr="007F6843">
        <w:rPr>
          <w:rFonts w:ascii="Garamond" w:hAnsi="Garamond" w:cs="Arial"/>
          <w:i/>
          <w:color w:val="000000" w:themeColor="text1"/>
          <w:sz w:val="22"/>
          <w:szCs w:val="22"/>
          <w:lang w:val="en-GB"/>
        </w:rPr>
        <w:t>non-business</w:t>
      </w:r>
      <w:r w:rsidRPr="007F6843">
        <w:rPr>
          <w:rFonts w:ascii="Garamond" w:hAnsi="Garamond" w:cs="Arial"/>
          <w:color w:val="000000" w:themeColor="text1"/>
          <w:sz w:val="22"/>
          <w:szCs w:val="22"/>
          <w:lang w:val="en-GB"/>
        </w:rPr>
        <w:t xml:space="preserve"> sector, i.e. for research carried out by organisations such as universities or research institutes</w:t>
      </w:r>
      <w:r w:rsidRPr="007F6843">
        <w:rPr>
          <w:rFonts w:ascii="Garamond" w:hAnsi="Garamond"/>
          <w:bCs/>
          <w:iCs/>
          <w:sz w:val="22"/>
          <w:szCs w:val="22"/>
          <w:lang w:val="en-GB"/>
        </w:rPr>
        <w:t>”</w:t>
      </w:r>
      <w:r w:rsidRPr="007F6843">
        <w:rPr>
          <w:rFonts w:ascii="Garamond" w:hAnsi="Garamond" w:cs="Arial"/>
          <w:color w:val="000000" w:themeColor="text1"/>
          <w:sz w:val="22"/>
          <w:szCs w:val="22"/>
          <w:lang w:val="en-GB"/>
        </w:rPr>
        <w:t>.</w:t>
      </w:r>
      <w:r w:rsidRPr="007F6843">
        <w:rPr>
          <w:rStyle w:val="FootnoteReference"/>
          <w:rFonts w:ascii="Garamond" w:hAnsi="Garamond" w:cs="Arial"/>
          <w:color w:val="000000" w:themeColor="text1"/>
          <w:sz w:val="22"/>
          <w:szCs w:val="22"/>
          <w:lang w:val="en-GB"/>
        </w:rPr>
        <w:footnoteReference w:id="2"/>
      </w:r>
      <w:r w:rsidRPr="007F6843">
        <w:rPr>
          <w:rFonts w:ascii="Garamond" w:hAnsi="Garamond" w:cs="Arial"/>
          <w:color w:val="000000" w:themeColor="text1"/>
          <w:sz w:val="22"/>
          <w:szCs w:val="22"/>
          <w:lang w:val="en-GB"/>
        </w:rPr>
        <w:t xml:space="preserve"> </w:t>
      </w:r>
    </w:p>
    <w:p w14:paraId="58590451" w14:textId="77777777" w:rsidR="00914B6A" w:rsidRPr="007F6843" w:rsidRDefault="00914B6A" w:rsidP="007F6843">
      <w:pPr>
        <w:rPr>
          <w:rFonts w:ascii="Garamond" w:hAnsi="Garamond"/>
          <w:sz w:val="22"/>
          <w:szCs w:val="22"/>
          <w:lang w:val="en-GB"/>
        </w:rPr>
      </w:pPr>
    </w:p>
    <w:p w14:paraId="6A0780C6" w14:textId="77777777" w:rsidR="00711744" w:rsidRDefault="00914B6A" w:rsidP="007F6843">
      <w:pPr>
        <w:rPr>
          <w:rFonts w:ascii="Garamond" w:hAnsi="Garamond"/>
          <w:sz w:val="22"/>
          <w:szCs w:val="22"/>
          <w:lang w:val="en-GB"/>
        </w:rPr>
      </w:pPr>
      <w:r w:rsidRPr="007F6843">
        <w:rPr>
          <w:rFonts w:ascii="Garamond" w:hAnsi="Garamond"/>
          <w:sz w:val="22"/>
          <w:szCs w:val="22"/>
          <w:lang w:val="en-GB"/>
        </w:rPr>
        <w:t xml:space="preserve">The second reason </w:t>
      </w:r>
      <w:r w:rsidR="00E17520" w:rsidRPr="007F6843">
        <w:rPr>
          <w:rFonts w:ascii="Garamond" w:hAnsi="Garamond"/>
          <w:sz w:val="22"/>
          <w:szCs w:val="22"/>
          <w:lang w:val="en-GB"/>
        </w:rPr>
        <w:t xml:space="preserve">is connected to the realities of licensing practices. Although certain publishers </w:t>
      </w:r>
      <w:r w:rsidR="00E17520" w:rsidRPr="007F6843">
        <w:rPr>
          <w:rFonts w:ascii="Garamond" w:hAnsi="Garamond" w:cs="Arial"/>
          <w:color w:val="000000" w:themeColor="text1"/>
          <w:sz w:val="22"/>
          <w:szCs w:val="22"/>
          <w:lang w:val="en-GB"/>
        </w:rPr>
        <w:t>offer the possibility of undertaking TDM activities as part of their licensing models</w:t>
      </w:r>
      <w:r w:rsidR="007F6843" w:rsidRPr="007F6843">
        <w:rPr>
          <w:rFonts w:ascii="Garamond" w:hAnsi="Garamond" w:cs="Arial"/>
          <w:color w:val="000000" w:themeColor="text1"/>
          <w:sz w:val="22"/>
          <w:szCs w:val="22"/>
          <w:lang w:val="en-GB"/>
        </w:rPr>
        <w:t xml:space="preserve">, that is not the case of all. At the time when the UK was discussing the introduction of a TDM exception into its own law (this eventually occurred in 2014 within the framework offered by Article 5(3)(a) of Directive 2001/29, ie the InfoSoc Directive), </w:t>
      </w:r>
      <w:r w:rsidR="007F6843" w:rsidRPr="007F6843">
        <w:rPr>
          <w:rFonts w:ascii="Garamond" w:hAnsi="Garamond"/>
          <w:sz w:val="22"/>
          <w:szCs w:val="22"/>
          <w:lang w:val="en-GB"/>
        </w:rPr>
        <w:t xml:space="preserve">UK Government deemed it preferable not to </w:t>
      </w:r>
      <w:r w:rsidR="00796600">
        <w:rPr>
          <w:rFonts w:ascii="Garamond" w:hAnsi="Garamond"/>
          <w:sz w:val="22"/>
          <w:szCs w:val="22"/>
          <w:lang w:val="en-GB"/>
        </w:rPr>
        <w:t>have</w:t>
      </w:r>
      <w:r w:rsidR="007F6843" w:rsidRPr="007F6843">
        <w:rPr>
          <w:rFonts w:ascii="Garamond" w:hAnsi="Garamond"/>
          <w:sz w:val="22"/>
          <w:szCs w:val="22"/>
          <w:lang w:val="en-GB"/>
        </w:rPr>
        <w:t xml:space="preserve"> any particular restrictions as regards the beneficiaries of the resulting exception. Although UK Government acknowledged “that some publishers take an active role in developing text and data analytic technologies, and that some offer contracts that support the use of these technologies</w:t>
      </w:r>
      <w:r w:rsidR="007F6843" w:rsidRPr="007F6843">
        <w:rPr>
          <w:rFonts w:ascii="Garamond" w:hAnsi="Garamond"/>
          <w:bCs/>
          <w:iCs/>
          <w:sz w:val="22"/>
          <w:szCs w:val="22"/>
          <w:lang w:val="en-GB"/>
        </w:rPr>
        <w:t>”</w:t>
      </w:r>
      <w:r w:rsidR="007F6843" w:rsidRPr="007F6843">
        <w:rPr>
          <w:rFonts w:ascii="Garamond" w:hAnsi="Garamond"/>
          <w:sz w:val="22"/>
          <w:szCs w:val="22"/>
          <w:lang w:val="en-GB"/>
        </w:rPr>
        <w:t>, “under current conditions, research projects may in some cases require specific permissions from a large number of publishers in order to proceed</w:t>
      </w:r>
      <w:r w:rsidR="007F6843" w:rsidRPr="007F6843">
        <w:rPr>
          <w:rFonts w:ascii="Garamond" w:hAnsi="Garamond"/>
          <w:bCs/>
          <w:iCs/>
          <w:sz w:val="22"/>
          <w:szCs w:val="22"/>
          <w:lang w:val="en-GB"/>
        </w:rPr>
        <w:t>»</w:t>
      </w:r>
      <w:r w:rsidR="007F6843" w:rsidRPr="007F6843">
        <w:rPr>
          <w:rFonts w:ascii="Garamond" w:hAnsi="Garamond"/>
          <w:sz w:val="22"/>
          <w:szCs w:val="22"/>
          <w:lang w:val="en-GB"/>
        </w:rPr>
        <w:t>, and that this «is in some cases an insurmountable obstacle, preventing a potentially significant quantity of research from taking place at all</w:t>
      </w:r>
      <w:r w:rsidR="007F6843" w:rsidRPr="007F6843">
        <w:rPr>
          <w:rFonts w:ascii="Garamond" w:hAnsi="Garamond"/>
          <w:bCs/>
          <w:iCs/>
          <w:sz w:val="22"/>
          <w:szCs w:val="22"/>
          <w:lang w:val="en-GB"/>
        </w:rPr>
        <w:t>”</w:t>
      </w:r>
      <w:r w:rsidR="007F6843" w:rsidRPr="007F6843">
        <w:rPr>
          <w:rFonts w:ascii="Garamond" w:hAnsi="Garamond"/>
          <w:sz w:val="22"/>
          <w:szCs w:val="22"/>
          <w:lang w:val="en-GB"/>
        </w:rPr>
        <w:t>.</w:t>
      </w:r>
      <w:r w:rsidR="007F6843" w:rsidRPr="007F6843">
        <w:rPr>
          <w:rStyle w:val="FootnoteReference"/>
          <w:rFonts w:ascii="Garamond" w:hAnsi="Garamond"/>
          <w:sz w:val="22"/>
          <w:szCs w:val="22"/>
          <w:lang w:val="en-GB"/>
        </w:rPr>
        <w:footnoteReference w:id="3"/>
      </w:r>
      <w:r w:rsidR="007F6843" w:rsidRPr="007F6843">
        <w:rPr>
          <w:rFonts w:ascii="Garamond" w:hAnsi="Garamond"/>
          <w:sz w:val="22"/>
          <w:szCs w:val="22"/>
          <w:lang w:val="en-GB"/>
        </w:rPr>
        <w:t xml:space="preserve">  </w:t>
      </w:r>
    </w:p>
    <w:p w14:paraId="3CE4149B" w14:textId="77777777" w:rsidR="00711744" w:rsidRDefault="00711744" w:rsidP="007F6843">
      <w:pPr>
        <w:rPr>
          <w:rFonts w:ascii="Garamond" w:hAnsi="Garamond"/>
          <w:sz w:val="22"/>
          <w:szCs w:val="22"/>
          <w:lang w:val="en-GB"/>
        </w:rPr>
      </w:pPr>
    </w:p>
    <w:p w14:paraId="14F74EA2" w14:textId="346B69F6" w:rsidR="00711744" w:rsidRDefault="00711744" w:rsidP="00711744">
      <w:pPr>
        <w:spacing w:after="120"/>
        <w:rPr>
          <w:rFonts w:ascii="Garamond" w:hAnsi="Garamond" w:cs="Arial"/>
          <w:color w:val="000000" w:themeColor="text1"/>
          <w:sz w:val="22"/>
          <w:szCs w:val="22"/>
          <w:lang w:val="en-GB"/>
        </w:rPr>
      </w:pPr>
      <w:r>
        <w:rPr>
          <w:rFonts w:ascii="Garamond" w:hAnsi="Garamond"/>
          <w:sz w:val="22"/>
          <w:szCs w:val="22"/>
          <w:lang w:val="en-GB"/>
        </w:rPr>
        <w:t xml:space="preserve">The final reason relates to the nature of </w:t>
      </w:r>
      <w:r w:rsidRPr="00711744">
        <w:rPr>
          <w:rFonts w:ascii="Garamond" w:hAnsi="Garamond"/>
          <w:sz w:val="22"/>
          <w:szCs w:val="22"/>
          <w:lang w:val="en-GB"/>
        </w:rPr>
        <w:t xml:space="preserve">TDM, which is </w:t>
      </w:r>
      <w:r w:rsidR="00796600">
        <w:rPr>
          <w:rFonts w:ascii="Garamond" w:hAnsi="Garamond"/>
          <w:sz w:val="22"/>
          <w:szCs w:val="22"/>
          <w:lang w:val="en-GB"/>
        </w:rPr>
        <w:t>not about</w:t>
      </w:r>
      <w:r w:rsidRPr="00711744">
        <w:rPr>
          <w:rFonts w:ascii="Garamond" w:hAnsi="Garamond"/>
          <w:sz w:val="22"/>
          <w:szCs w:val="22"/>
          <w:lang w:val="en-GB"/>
        </w:rPr>
        <w:t xml:space="preserve"> competing with existing content</w:t>
      </w:r>
      <w:r w:rsidR="00796600">
        <w:rPr>
          <w:rFonts w:ascii="Garamond" w:hAnsi="Garamond"/>
          <w:sz w:val="22"/>
          <w:szCs w:val="22"/>
          <w:lang w:val="en-GB"/>
        </w:rPr>
        <w:t xml:space="preserve"> or disrupting existing models</w:t>
      </w:r>
      <w:r w:rsidRPr="00711744">
        <w:rPr>
          <w:rFonts w:ascii="Garamond" w:hAnsi="Garamond"/>
          <w:sz w:val="22"/>
          <w:szCs w:val="22"/>
          <w:lang w:val="en-GB"/>
        </w:rPr>
        <w:t xml:space="preserve">. </w:t>
      </w:r>
      <w:r w:rsidR="00796600">
        <w:rPr>
          <w:rFonts w:ascii="Garamond" w:hAnsi="Garamond"/>
          <w:sz w:val="22"/>
          <w:szCs w:val="22"/>
          <w:lang w:val="en-GB"/>
        </w:rPr>
        <w:t>A</w:t>
      </w:r>
      <w:r w:rsidRPr="00711744">
        <w:rPr>
          <w:rFonts w:ascii="Garamond" w:hAnsi="Garamond"/>
          <w:sz w:val="22"/>
          <w:szCs w:val="22"/>
          <w:lang w:val="en-GB"/>
        </w:rPr>
        <w:t>ccess to, extraction and copying</w:t>
      </w:r>
      <w:r w:rsidR="00796600">
        <w:rPr>
          <w:rFonts w:ascii="Garamond" w:hAnsi="Garamond"/>
          <w:sz w:val="22"/>
          <w:szCs w:val="22"/>
          <w:lang w:val="en-GB"/>
        </w:rPr>
        <w:t xml:space="preserve"> of content for TDM purposes </w:t>
      </w:r>
      <w:r w:rsidRPr="00711744">
        <w:rPr>
          <w:rFonts w:ascii="Garamond" w:hAnsi="Garamond"/>
          <w:sz w:val="22"/>
          <w:szCs w:val="22"/>
          <w:lang w:val="en-GB"/>
        </w:rPr>
        <w:t xml:space="preserve">are all incidental </w:t>
      </w:r>
      <w:r w:rsidR="00D65189">
        <w:rPr>
          <w:rFonts w:ascii="Garamond" w:hAnsi="Garamond"/>
          <w:sz w:val="22"/>
          <w:szCs w:val="22"/>
          <w:lang w:val="en-GB"/>
        </w:rPr>
        <w:t>stages</w:t>
      </w:r>
      <w:r w:rsidRPr="00711744">
        <w:rPr>
          <w:rFonts w:ascii="Garamond" w:hAnsi="Garamond"/>
          <w:sz w:val="22"/>
          <w:szCs w:val="22"/>
          <w:lang w:val="en-GB"/>
        </w:rPr>
        <w:t xml:space="preserve"> that do </w:t>
      </w:r>
      <w:r w:rsidRPr="00711744">
        <w:rPr>
          <w:rFonts w:ascii="Garamond" w:hAnsi="Garamond" w:cs="Arial"/>
          <w:color w:val="000000" w:themeColor="text1"/>
          <w:sz w:val="22"/>
          <w:szCs w:val="22"/>
          <w:lang w:val="en-GB"/>
        </w:rPr>
        <w:t>not ultimately result in the external re-use of protectable (expressive) parts of a work</w:t>
      </w:r>
      <w:r>
        <w:rPr>
          <w:rFonts w:ascii="Garamond" w:hAnsi="Garamond" w:cs="Arial"/>
          <w:color w:val="000000" w:themeColor="text1"/>
          <w:sz w:val="22"/>
          <w:szCs w:val="22"/>
          <w:lang w:val="en-GB"/>
        </w:rPr>
        <w:t xml:space="preserve">, but are rather </w:t>
      </w:r>
      <w:r w:rsidR="00796600">
        <w:rPr>
          <w:rFonts w:ascii="Garamond" w:hAnsi="Garamond" w:cs="Arial"/>
          <w:color w:val="000000" w:themeColor="text1"/>
          <w:sz w:val="22"/>
          <w:szCs w:val="22"/>
          <w:lang w:val="en-GB"/>
        </w:rPr>
        <w:t>functional to</w:t>
      </w:r>
      <w:r>
        <w:rPr>
          <w:rFonts w:ascii="Garamond" w:hAnsi="Garamond" w:cs="Arial"/>
          <w:color w:val="000000" w:themeColor="text1"/>
          <w:sz w:val="22"/>
          <w:szCs w:val="22"/>
          <w:lang w:val="en-GB"/>
        </w:rPr>
        <w:t xml:space="preserve"> </w:t>
      </w:r>
      <w:r w:rsidR="00796600">
        <w:rPr>
          <w:rFonts w:ascii="Garamond" w:hAnsi="Garamond" w:cs="Arial"/>
          <w:color w:val="000000" w:themeColor="text1"/>
          <w:sz w:val="22"/>
          <w:szCs w:val="22"/>
          <w:lang w:val="en-GB"/>
        </w:rPr>
        <w:t>access</w:t>
      </w:r>
      <w:r w:rsidR="00D65189">
        <w:rPr>
          <w:rFonts w:ascii="Garamond" w:hAnsi="Garamond" w:cs="Arial"/>
          <w:color w:val="000000" w:themeColor="text1"/>
          <w:sz w:val="22"/>
          <w:szCs w:val="22"/>
          <w:lang w:val="en-GB"/>
        </w:rPr>
        <w:t>ing</w:t>
      </w:r>
      <w:r>
        <w:rPr>
          <w:rFonts w:ascii="Garamond" w:hAnsi="Garamond" w:cs="Arial"/>
          <w:color w:val="000000" w:themeColor="text1"/>
          <w:sz w:val="22"/>
          <w:szCs w:val="22"/>
          <w:lang w:val="en-GB"/>
        </w:rPr>
        <w:t xml:space="preserve"> those parts that are unprotected, including ideas, data, and facts </w:t>
      </w:r>
      <w:r w:rsidR="00796600">
        <w:rPr>
          <w:rFonts w:ascii="Garamond" w:hAnsi="Garamond" w:cs="Arial"/>
          <w:color w:val="000000" w:themeColor="text1"/>
          <w:sz w:val="22"/>
          <w:szCs w:val="22"/>
          <w:lang w:val="en-GB"/>
        </w:rPr>
        <w:t>considered on their own</w:t>
      </w:r>
      <w:r>
        <w:rPr>
          <w:rFonts w:ascii="Garamond" w:hAnsi="Garamond" w:cs="Arial"/>
          <w:color w:val="000000" w:themeColor="text1"/>
          <w:sz w:val="22"/>
          <w:szCs w:val="22"/>
          <w:lang w:val="en-GB"/>
        </w:rPr>
        <w:t>.</w:t>
      </w:r>
      <w:r>
        <w:rPr>
          <w:rFonts w:ascii="Verdana" w:hAnsi="Verdana" w:cs="Arial"/>
          <w:color w:val="000000" w:themeColor="text1"/>
          <w:sz w:val="20"/>
          <w:lang w:val="en-GB"/>
        </w:rPr>
        <w:t xml:space="preserve"> </w:t>
      </w:r>
    </w:p>
    <w:p w14:paraId="6E906BE6" w14:textId="77777777" w:rsidR="00E17520" w:rsidRPr="007F6843" w:rsidRDefault="007F6843" w:rsidP="007F6843">
      <w:pPr>
        <w:rPr>
          <w:rFonts w:ascii="Garamond" w:hAnsi="Garamond"/>
          <w:sz w:val="22"/>
          <w:szCs w:val="22"/>
          <w:lang w:val="en-GB"/>
        </w:rPr>
      </w:pPr>
      <w:r w:rsidRPr="007F6843">
        <w:rPr>
          <w:rFonts w:ascii="Garamond" w:hAnsi="Garamond" w:cs="Arial"/>
          <w:color w:val="000000" w:themeColor="text1"/>
          <w:sz w:val="22"/>
          <w:szCs w:val="22"/>
          <w:lang w:val="en-GB"/>
        </w:rPr>
        <w:lastRenderedPageBreak/>
        <w:t xml:space="preserve">In conclusion, EU legislature should not limit the catalogue of beneficiaries of its forthcoming TDM exception. Any </w:t>
      </w:r>
      <w:r w:rsidR="00711744">
        <w:rPr>
          <w:rFonts w:ascii="Garamond" w:hAnsi="Garamond" w:cs="Arial"/>
          <w:color w:val="000000" w:themeColor="text1"/>
          <w:sz w:val="22"/>
          <w:szCs w:val="22"/>
          <w:lang w:val="en-GB"/>
        </w:rPr>
        <w:t>alternative model</w:t>
      </w:r>
      <w:r w:rsidRPr="007F6843">
        <w:rPr>
          <w:rFonts w:ascii="Garamond" w:hAnsi="Garamond" w:cs="Arial"/>
          <w:color w:val="000000" w:themeColor="text1"/>
          <w:sz w:val="22"/>
          <w:szCs w:val="22"/>
          <w:lang w:val="en-GB"/>
        </w:rPr>
        <w:t xml:space="preserve"> would lead to legal uncertainties (those that the EU Commission intended to remove), hinder the development of TDM practices in Europe and, above all, overlook the fact that TDM is not about displacing existing content but rather extracting further knowledge from it and, in doing so, rendering it more valuable. </w:t>
      </w:r>
    </w:p>
    <w:p w14:paraId="35884899" w14:textId="77777777" w:rsidR="00914B6A" w:rsidRPr="00914B6A" w:rsidRDefault="00914B6A"/>
    <w:sectPr w:rsidR="00914B6A" w:rsidRPr="00914B6A" w:rsidSect="006D4CF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90806" w14:textId="77777777" w:rsidR="007F6843" w:rsidRDefault="007F6843" w:rsidP="00914B6A">
      <w:r>
        <w:separator/>
      </w:r>
    </w:p>
  </w:endnote>
  <w:endnote w:type="continuationSeparator" w:id="0">
    <w:p w14:paraId="4F7BFF29" w14:textId="77777777" w:rsidR="007F6843" w:rsidRDefault="007F6843" w:rsidP="00914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EC Square Sans Pro">
    <w:altName w:val="EC Square Sans Pro"/>
    <w:panose1 w:val="00000000000000000000"/>
    <w:charset w:val="00"/>
    <w:family w:val="swiss"/>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55DABE" w14:textId="77777777" w:rsidR="007F6843" w:rsidRDefault="007F6843" w:rsidP="00914B6A">
      <w:r>
        <w:separator/>
      </w:r>
    </w:p>
  </w:footnote>
  <w:footnote w:type="continuationSeparator" w:id="0">
    <w:p w14:paraId="6CBA1AD8" w14:textId="77777777" w:rsidR="007F6843" w:rsidRDefault="007F6843" w:rsidP="00914B6A">
      <w:r>
        <w:continuationSeparator/>
      </w:r>
    </w:p>
  </w:footnote>
  <w:footnote w:id="1">
    <w:p w14:paraId="43E7E932" w14:textId="77777777" w:rsidR="007F6843" w:rsidRPr="00796600" w:rsidRDefault="007F6843" w:rsidP="00711744">
      <w:pPr>
        <w:pStyle w:val="FootnoteText"/>
        <w:rPr>
          <w:rFonts w:ascii="Garamond" w:hAnsi="Garamond"/>
          <w:sz w:val="16"/>
          <w:szCs w:val="16"/>
          <w:lang w:val="en-GB"/>
        </w:rPr>
      </w:pPr>
      <w:r w:rsidRPr="00796600">
        <w:rPr>
          <w:rStyle w:val="FootnoteReference"/>
          <w:rFonts w:ascii="Garamond" w:hAnsi="Garamond"/>
          <w:sz w:val="16"/>
          <w:szCs w:val="16"/>
          <w:lang w:val="en-GB"/>
        </w:rPr>
        <w:t>*</w:t>
      </w:r>
      <w:r w:rsidRPr="00796600">
        <w:rPr>
          <w:rFonts w:ascii="Garamond" w:hAnsi="Garamond"/>
          <w:sz w:val="16"/>
          <w:szCs w:val="16"/>
          <w:lang w:val="en-GB"/>
        </w:rPr>
        <w:t xml:space="preserve"> JIPLP Co-Editor and Associate Professor in Intellectual Property Law at the University of Southampton. This Editorial </w:t>
      </w:r>
      <w:r w:rsidR="00711744" w:rsidRPr="00796600">
        <w:rPr>
          <w:rFonts w:ascii="Garamond" w:hAnsi="Garamond"/>
          <w:sz w:val="16"/>
          <w:szCs w:val="16"/>
          <w:lang w:val="en-GB"/>
        </w:rPr>
        <w:t>builds upon a recent technical briefing prepared at the request of the JURI Committee of the European Parliament on TDM practices: ‘The Exception for Text and Data Mining (TDM) in the Proposed Directive on Copyright in the Digital Single Market - Technical Aspects’ (2017), doi:10.2861/480649, ISBN: 978-92-846-2655-7, available at http://www.europarl.europa.eu/RegData/etudes/BRIE/2018/604942/IPOL_BRI(2018)604942_EN.pdf. Email: eleonora@e-lawnora.com</w:t>
      </w:r>
    </w:p>
  </w:footnote>
  <w:footnote w:id="2">
    <w:p w14:paraId="32EA0C97" w14:textId="77777777" w:rsidR="007F6843" w:rsidRPr="00796600" w:rsidRDefault="007F6843" w:rsidP="007F6843">
      <w:pPr>
        <w:pStyle w:val="FootnoteText"/>
        <w:rPr>
          <w:rFonts w:ascii="Garamond" w:hAnsi="Garamond"/>
          <w:color w:val="000000" w:themeColor="text1"/>
          <w:sz w:val="16"/>
          <w:szCs w:val="16"/>
          <w:lang w:val="en-GB"/>
        </w:rPr>
      </w:pPr>
      <w:r w:rsidRPr="00796600">
        <w:rPr>
          <w:rStyle w:val="FootnoteReference"/>
          <w:rFonts w:ascii="Garamond" w:hAnsi="Garamond"/>
          <w:sz w:val="16"/>
          <w:szCs w:val="16"/>
          <w:lang w:val="en-GB"/>
        </w:rPr>
        <w:footnoteRef/>
      </w:r>
      <w:r w:rsidRPr="00796600">
        <w:rPr>
          <w:rFonts w:ascii="Garamond" w:hAnsi="Garamond"/>
          <w:sz w:val="16"/>
          <w:szCs w:val="16"/>
          <w:lang w:val="en-GB"/>
        </w:rPr>
        <w:t xml:space="preserve"> EU C</w:t>
      </w:r>
      <w:r w:rsidR="00796600">
        <w:rPr>
          <w:rFonts w:ascii="Garamond" w:hAnsi="Garamond"/>
          <w:sz w:val="16"/>
          <w:szCs w:val="16"/>
          <w:lang w:val="en-GB"/>
        </w:rPr>
        <w:t xml:space="preserve">ommission (2016), </w:t>
      </w:r>
      <w:r w:rsidRPr="00796600">
        <w:rPr>
          <w:rFonts w:ascii="Garamond" w:hAnsi="Garamond"/>
          <w:sz w:val="16"/>
          <w:szCs w:val="16"/>
          <w:lang w:val="en-GB"/>
        </w:rPr>
        <w:t>Commission Staff Working Document – Impact Assessment on the Modernisation of EU Copyright Rules Accompanying the Document Proposal for</w:t>
      </w:r>
      <w:r w:rsidRPr="00796600">
        <w:rPr>
          <w:rFonts w:ascii="Garamond" w:hAnsi="Garamond"/>
          <w:color w:val="000000" w:themeColor="text1"/>
          <w:sz w:val="16"/>
          <w:szCs w:val="16"/>
          <w:lang w:val="en-GB"/>
        </w:rPr>
        <w:t xml:space="preserve"> a Directive of the European Parliament and of the Council on Copyright in the Digital Single Market and Proposal for a Regulation of the European Parliament and of the Council laying down Rules on the Exercise of Copyright and Related Rights Applicable to Certain Online Transmissions of Broadcasting Organisations and Retransmissions of Television and Radi</w:t>
      </w:r>
      <w:r w:rsidR="00796600">
        <w:rPr>
          <w:rFonts w:ascii="Garamond" w:hAnsi="Garamond"/>
          <w:color w:val="000000" w:themeColor="text1"/>
          <w:sz w:val="16"/>
          <w:szCs w:val="16"/>
          <w:lang w:val="en-GB"/>
        </w:rPr>
        <w:t>o Programmes</w:t>
      </w:r>
      <w:r w:rsidRPr="00796600">
        <w:rPr>
          <w:rFonts w:ascii="Garamond" w:hAnsi="Garamond"/>
          <w:color w:val="000000" w:themeColor="text1"/>
          <w:sz w:val="16"/>
          <w:szCs w:val="16"/>
          <w:lang w:val="en-GB"/>
        </w:rPr>
        <w:t>, SWD(2016) 301 final, Part 1/3, §4.3.1 (emphasis added).</w:t>
      </w:r>
    </w:p>
  </w:footnote>
  <w:footnote w:id="3">
    <w:p w14:paraId="57F1C622" w14:textId="77777777" w:rsidR="007F6843" w:rsidRPr="00796600" w:rsidRDefault="007F6843" w:rsidP="007F6843">
      <w:pPr>
        <w:rPr>
          <w:rFonts w:ascii="Garamond" w:hAnsi="Garamond"/>
          <w:color w:val="000000" w:themeColor="text1"/>
          <w:sz w:val="16"/>
          <w:szCs w:val="16"/>
          <w:lang w:val="en-GB"/>
        </w:rPr>
      </w:pPr>
      <w:r w:rsidRPr="00796600">
        <w:rPr>
          <w:rStyle w:val="FootnoteReference"/>
          <w:rFonts w:ascii="Garamond" w:hAnsi="Garamond"/>
          <w:color w:val="000000" w:themeColor="text1"/>
          <w:sz w:val="16"/>
          <w:szCs w:val="16"/>
          <w:lang w:val="en-GB"/>
        </w:rPr>
        <w:footnoteRef/>
      </w:r>
      <w:r w:rsidR="00796600">
        <w:rPr>
          <w:rFonts w:ascii="Garamond" w:hAnsi="Garamond"/>
          <w:color w:val="000000" w:themeColor="text1"/>
          <w:sz w:val="16"/>
          <w:szCs w:val="16"/>
          <w:lang w:val="en-GB"/>
        </w:rPr>
        <w:t xml:space="preserve"> HM Government (2012), </w:t>
      </w:r>
      <w:r w:rsidRPr="00796600">
        <w:rPr>
          <w:rFonts w:ascii="Garamond" w:hAnsi="Garamond"/>
          <w:color w:val="000000" w:themeColor="text1"/>
          <w:sz w:val="16"/>
          <w:szCs w:val="16"/>
          <w:lang w:val="en-GB"/>
        </w:rPr>
        <w:t>Modernising copyright: a modern, robust and flexible framework. Government response to consultation on copyright exceptio</w:t>
      </w:r>
      <w:r w:rsidR="00796600">
        <w:rPr>
          <w:rFonts w:ascii="Garamond" w:hAnsi="Garamond"/>
          <w:color w:val="000000" w:themeColor="text1"/>
          <w:sz w:val="16"/>
          <w:szCs w:val="16"/>
          <w:lang w:val="en-GB"/>
        </w:rPr>
        <w:t>ns and clarifying copyright law</w:t>
      </w:r>
      <w:r w:rsidRPr="00796600">
        <w:rPr>
          <w:rFonts w:ascii="Garamond" w:hAnsi="Garamond"/>
          <w:color w:val="000000" w:themeColor="text1"/>
          <w:sz w:val="16"/>
          <w:szCs w:val="16"/>
          <w:lang w:val="en-GB"/>
        </w:rPr>
        <w:t>,</w:t>
      </w:r>
      <w:r w:rsidR="00796600">
        <w:rPr>
          <w:rFonts w:ascii="Garamond" w:hAnsi="Garamond"/>
          <w:color w:val="000000" w:themeColor="text1"/>
          <w:sz w:val="16"/>
          <w:szCs w:val="16"/>
          <w:lang w:val="en-GB"/>
        </w:rPr>
        <w:t xml:space="preserve"> p</w:t>
      </w:r>
      <w:r w:rsidRPr="00796600">
        <w:rPr>
          <w:rFonts w:ascii="Garamond" w:hAnsi="Garamond"/>
          <w:color w:val="000000" w:themeColor="text1"/>
          <w:sz w:val="16"/>
          <w:szCs w:val="16"/>
          <w:lang w:val="en-GB"/>
        </w:rPr>
        <w:t xml:space="preserve"> 37.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30C6E"/>
    <w:multiLevelType w:val="hybridMultilevel"/>
    <w:tmpl w:val="2A9C1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3B5B5220"/>
    <w:multiLevelType w:val="hybridMultilevel"/>
    <w:tmpl w:val="A4E433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02D17DE"/>
    <w:multiLevelType w:val="multilevel"/>
    <w:tmpl w:val="AB8E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9026F1A"/>
    <w:multiLevelType w:val="hybridMultilevel"/>
    <w:tmpl w:val="306894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B6A"/>
    <w:rsid w:val="000C7A90"/>
    <w:rsid w:val="006D4CF5"/>
    <w:rsid w:val="00711744"/>
    <w:rsid w:val="00796600"/>
    <w:rsid w:val="007E51AB"/>
    <w:rsid w:val="007F6843"/>
    <w:rsid w:val="008D4D00"/>
    <w:rsid w:val="00914B6A"/>
    <w:rsid w:val="00B25455"/>
    <w:rsid w:val="00D65189"/>
    <w:rsid w:val="00E175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08C4778"/>
  <w14:defaultImageDpi w14:val="300"/>
  <w15:docId w15:val="{E9E9DCD0-879C-4E5C-B7D1-DAE424F30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rsid w:val="00914B6A"/>
  </w:style>
  <w:style w:type="character" w:customStyle="1" w:styleId="EndnoteTextChar">
    <w:name w:val="Endnote Text Char"/>
    <w:basedOn w:val="DefaultParagraphFont"/>
    <w:link w:val="EndnoteText"/>
    <w:semiHidden/>
    <w:rsid w:val="00914B6A"/>
  </w:style>
  <w:style w:type="character" w:styleId="EndnoteReference">
    <w:name w:val="endnote reference"/>
    <w:semiHidden/>
    <w:rsid w:val="00914B6A"/>
    <w:rPr>
      <w:vertAlign w:val="superscript"/>
    </w:rPr>
  </w:style>
  <w:style w:type="paragraph" w:styleId="ListParagraph">
    <w:name w:val="List Paragraph"/>
    <w:basedOn w:val="Normal"/>
    <w:uiPriority w:val="34"/>
    <w:qFormat/>
    <w:rsid w:val="00914B6A"/>
    <w:pPr>
      <w:tabs>
        <w:tab w:val="left" w:pos="1021"/>
        <w:tab w:val="left" w:pos="1418"/>
        <w:tab w:val="left" w:pos="1786"/>
        <w:tab w:val="left" w:pos="2381"/>
        <w:tab w:val="left" w:pos="2948"/>
        <w:tab w:val="left" w:pos="3572"/>
        <w:tab w:val="left" w:pos="4139"/>
        <w:tab w:val="left" w:pos="4763"/>
        <w:tab w:val="left" w:pos="5387"/>
        <w:tab w:val="left" w:pos="5954"/>
        <w:tab w:val="left" w:pos="6577"/>
        <w:tab w:val="left" w:pos="7144"/>
      </w:tabs>
      <w:ind w:left="720"/>
      <w:contextualSpacing/>
      <w:jc w:val="both"/>
    </w:pPr>
    <w:rPr>
      <w:rFonts w:ascii="Times New Roman" w:eastAsia="Times New Roman" w:hAnsi="Times New Roman" w:cs="Times New Roman"/>
      <w:szCs w:val="20"/>
      <w:lang w:val="fr-FR" w:eastAsia="en-GB"/>
    </w:rPr>
  </w:style>
  <w:style w:type="paragraph" w:styleId="FootnoteText">
    <w:name w:val="footnote text"/>
    <w:basedOn w:val="Normal"/>
    <w:link w:val="FootnoteTextChar"/>
    <w:uiPriority w:val="99"/>
    <w:unhideWhenUsed/>
    <w:rsid w:val="00914B6A"/>
  </w:style>
  <w:style w:type="character" w:customStyle="1" w:styleId="FootnoteTextChar">
    <w:name w:val="Footnote Text Char"/>
    <w:basedOn w:val="DefaultParagraphFont"/>
    <w:link w:val="FootnoteText"/>
    <w:uiPriority w:val="99"/>
    <w:rsid w:val="00914B6A"/>
  </w:style>
  <w:style w:type="character" w:styleId="FootnoteReference">
    <w:name w:val="footnote reference"/>
    <w:basedOn w:val="DefaultParagraphFont"/>
    <w:uiPriority w:val="99"/>
    <w:unhideWhenUsed/>
    <w:rsid w:val="00914B6A"/>
    <w:rPr>
      <w:vertAlign w:val="superscript"/>
    </w:rPr>
  </w:style>
  <w:style w:type="paragraph" w:customStyle="1" w:styleId="Default">
    <w:name w:val="Default"/>
    <w:rsid w:val="00E17520"/>
    <w:pPr>
      <w:autoSpaceDE w:val="0"/>
      <w:autoSpaceDN w:val="0"/>
      <w:adjustRightInd w:val="0"/>
    </w:pPr>
    <w:rPr>
      <w:rFonts w:ascii="Times New Roman" w:eastAsia="Times New Roman" w:hAnsi="Times New Roman" w:cs="Times New Roman"/>
      <w:color w:val="000000"/>
      <w:lang w:val="en-GB" w:eastAsia="en-GB"/>
    </w:rPr>
  </w:style>
  <w:style w:type="character" w:customStyle="1" w:styleId="A11">
    <w:name w:val="A1+1"/>
    <w:uiPriority w:val="99"/>
    <w:rsid w:val="00E17520"/>
    <w:rPr>
      <w:rFonts w:cs="EC Square Sans Pro"/>
      <w:color w:val="000000"/>
      <w:sz w:val="16"/>
      <w:szCs w:val="16"/>
    </w:rPr>
  </w:style>
  <w:style w:type="character" w:styleId="Hyperlink">
    <w:name w:val="Hyperlink"/>
    <w:basedOn w:val="DefaultParagraphFont"/>
    <w:uiPriority w:val="99"/>
    <w:unhideWhenUsed/>
    <w:rsid w:val="00711744"/>
    <w:rPr>
      <w:color w:val="0000FF" w:themeColor="hyperlink"/>
      <w:u w:val="single"/>
    </w:rPr>
  </w:style>
  <w:style w:type="character" w:styleId="FollowedHyperlink">
    <w:name w:val="FollowedHyperlink"/>
    <w:basedOn w:val="DefaultParagraphFont"/>
    <w:uiPriority w:val="99"/>
    <w:semiHidden/>
    <w:unhideWhenUsed/>
    <w:rsid w:val="007117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553268">
      <w:bodyDiv w:val="1"/>
      <w:marLeft w:val="0"/>
      <w:marRight w:val="0"/>
      <w:marTop w:val="0"/>
      <w:marBottom w:val="0"/>
      <w:divBdr>
        <w:top w:val="none" w:sz="0" w:space="0" w:color="auto"/>
        <w:left w:val="none" w:sz="0" w:space="0" w:color="auto"/>
        <w:bottom w:val="none" w:sz="0" w:space="0" w:color="auto"/>
        <w:right w:val="none" w:sz="0" w:space="0" w:color="auto"/>
      </w:divBdr>
    </w:div>
    <w:div w:id="15844928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Balfour S.</cp:lastModifiedBy>
  <cp:revision>2</cp:revision>
  <dcterms:created xsi:type="dcterms:W3CDTF">2018-03-29T10:31:00Z</dcterms:created>
  <dcterms:modified xsi:type="dcterms:W3CDTF">2018-03-29T10:31:00Z</dcterms:modified>
</cp:coreProperties>
</file>