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BCD" w:rsidRPr="00C26BCD" w:rsidRDefault="003A5E19" w:rsidP="009123BE">
      <w:pPr>
        <w:spacing w:line="480" w:lineRule="auto"/>
        <w:jc w:val="both"/>
        <w:rPr>
          <w:rFonts w:ascii="Times New Roman" w:hAnsi="Times New Roman" w:cs="Times New Roman"/>
          <w:sz w:val="28"/>
          <w:szCs w:val="24"/>
          <w:lang w:val="en-GB"/>
        </w:rPr>
      </w:pPr>
      <w:bookmarkStart w:id="0" w:name="_GoBack"/>
      <w:bookmarkEnd w:id="0"/>
      <w:r w:rsidRPr="004545BE">
        <w:rPr>
          <w:rFonts w:ascii="Times New Roman" w:hAnsi="Times New Roman" w:cs="Times New Roman"/>
          <w:sz w:val="24"/>
          <w:szCs w:val="24"/>
          <w:lang w:val="en-GB"/>
        </w:rPr>
        <w:t>TIT</w:t>
      </w:r>
      <w:r w:rsidRPr="00E97508">
        <w:rPr>
          <w:rFonts w:ascii="Times New Roman" w:hAnsi="Times New Roman" w:cs="Times New Roman"/>
          <w:sz w:val="24"/>
          <w:szCs w:val="24"/>
          <w:lang w:val="en-GB"/>
        </w:rPr>
        <w:t>LE: “</w:t>
      </w:r>
      <w:r w:rsidR="00C26BCD" w:rsidRPr="00E97508">
        <w:rPr>
          <w:rFonts w:ascii="Times New Roman" w:hAnsi="Times New Roman" w:cs="Times New Roman"/>
          <w:sz w:val="24"/>
        </w:rPr>
        <w:t>Differential mortality and the excess rates of hip fracture associated with type 2 diabetes: accounting for competing risks in fracture prediction matters</w:t>
      </w:r>
      <w:r w:rsidR="00E97508" w:rsidRPr="00E97508">
        <w:rPr>
          <w:rFonts w:ascii="Times New Roman" w:hAnsi="Times New Roman" w:cs="Times New Roman"/>
          <w:sz w:val="24"/>
        </w:rPr>
        <w:t>”</w:t>
      </w:r>
      <w:r w:rsidR="00C26BCD" w:rsidRPr="00C26BCD">
        <w:rPr>
          <w:rFonts w:ascii="Times New Roman" w:hAnsi="Times New Roman" w:cs="Times New Roman"/>
          <w:sz w:val="28"/>
          <w:szCs w:val="24"/>
          <w:lang w:val="en-GB"/>
        </w:rPr>
        <w:t xml:space="preserve"> </w:t>
      </w:r>
    </w:p>
    <w:p w:rsidR="00AD1D46" w:rsidRPr="004545BE" w:rsidRDefault="00AD1D46" w:rsidP="009123BE">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AUTHORS: C Tebé</w:t>
      </w:r>
      <w:r w:rsidR="00327C29" w:rsidRPr="004545BE">
        <w:rPr>
          <w:rFonts w:ascii="Times New Roman" w:hAnsi="Times New Roman" w:cs="Times New Roman"/>
          <w:sz w:val="24"/>
          <w:szCs w:val="24"/>
          <w:vertAlign w:val="superscript"/>
          <w:lang w:val="en-GB"/>
        </w:rPr>
        <w:t>1-2-3</w:t>
      </w:r>
      <w:r w:rsidRPr="004545BE">
        <w:rPr>
          <w:rFonts w:ascii="Times New Roman" w:hAnsi="Times New Roman" w:cs="Times New Roman"/>
          <w:sz w:val="24"/>
          <w:szCs w:val="24"/>
          <w:lang w:val="en-GB"/>
        </w:rPr>
        <w:t>, D Martinez-Laguna</w:t>
      </w:r>
      <w:r w:rsidR="00327C29" w:rsidRPr="004545BE">
        <w:rPr>
          <w:rFonts w:ascii="Times New Roman" w:hAnsi="Times New Roman" w:cs="Times New Roman"/>
          <w:sz w:val="24"/>
          <w:szCs w:val="24"/>
          <w:vertAlign w:val="superscript"/>
          <w:lang w:val="en-GB"/>
        </w:rPr>
        <w:t>4-5</w:t>
      </w:r>
      <w:r w:rsidRPr="004545BE">
        <w:rPr>
          <w:rFonts w:ascii="Times New Roman" w:hAnsi="Times New Roman" w:cs="Times New Roman"/>
          <w:sz w:val="24"/>
          <w:szCs w:val="24"/>
          <w:lang w:val="en-GB"/>
        </w:rPr>
        <w:t xml:space="preserve">, </w:t>
      </w:r>
      <w:r w:rsidR="004E4F5D" w:rsidRPr="004545BE">
        <w:rPr>
          <w:rFonts w:ascii="Times New Roman" w:hAnsi="Times New Roman" w:cs="Times New Roman"/>
          <w:sz w:val="24"/>
          <w:szCs w:val="24"/>
          <w:lang w:val="en-GB"/>
        </w:rPr>
        <w:t>V Moreno</w:t>
      </w:r>
      <w:r w:rsidR="001F7B12" w:rsidRPr="004545BE">
        <w:rPr>
          <w:rFonts w:ascii="Times New Roman" w:hAnsi="Times New Roman" w:cs="Times New Roman"/>
          <w:sz w:val="24"/>
          <w:szCs w:val="24"/>
          <w:vertAlign w:val="superscript"/>
          <w:lang w:val="en-GB"/>
        </w:rPr>
        <w:t>2-</w:t>
      </w:r>
      <w:r w:rsidR="00327C29" w:rsidRPr="004545BE">
        <w:rPr>
          <w:rFonts w:ascii="Times New Roman" w:hAnsi="Times New Roman" w:cs="Times New Roman"/>
          <w:sz w:val="24"/>
          <w:szCs w:val="24"/>
          <w:vertAlign w:val="superscript"/>
          <w:lang w:val="en-GB"/>
        </w:rPr>
        <w:t>6</w:t>
      </w:r>
      <w:r w:rsidR="001722B5" w:rsidRPr="004545BE">
        <w:rPr>
          <w:rFonts w:ascii="Times New Roman" w:hAnsi="Times New Roman" w:cs="Times New Roman"/>
          <w:sz w:val="24"/>
          <w:szCs w:val="24"/>
          <w:lang w:val="en-GB"/>
        </w:rPr>
        <w:t>, C Cooper</w:t>
      </w:r>
      <w:r w:rsidR="00327C29" w:rsidRPr="004545BE">
        <w:rPr>
          <w:rFonts w:ascii="Times New Roman" w:hAnsi="Times New Roman" w:cs="Times New Roman"/>
          <w:sz w:val="24"/>
          <w:szCs w:val="24"/>
          <w:vertAlign w:val="superscript"/>
          <w:lang w:val="en-GB"/>
        </w:rPr>
        <w:t>7-8</w:t>
      </w:r>
      <w:r w:rsidR="001722B5"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A Diez-Perez</w:t>
      </w:r>
      <w:r w:rsidR="00327C29" w:rsidRPr="004545BE">
        <w:rPr>
          <w:rFonts w:ascii="Times New Roman" w:hAnsi="Times New Roman" w:cs="Times New Roman"/>
          <w:sz w:val="24"/>
          <w:szCs w:val="24"/>
          <w:vertAlign w:val="superscript"/>
          <w:lang w:val="en-GB"/>
        </w:rPr>
        <w:t>9</w:t>
      </w:r>
      <w:r w:rsidRPr="004545BE">
        <w:rPr>
          <w:rFonts w:ascii="Times New Roman" w:hAnsi="Times New Roman" w:cs="Times New Roman"/>
          <w:sz w:val="24"/>
          <w:szCs w:val="24"/>
          <w:lang w:val="en-GB"/>
        </w:rPr>
        <w:t xml:space="preserve">, </w:t>
      </w:r>
      <w:r w:rsidR="004E4F5D" w:rsidRPr="004545BE">
        <w:rPr>
          <w:rFonts w:ascii="Times New Roman" w:hAnsi="Times New Roman" w:cs="Times New Roman"/>
          <w:sz w:val="24"/>
          <w:szCs w:val="24"/>
          <w:lang w:val="en-GB"/>
        </w:rPr>
        <w:t>G</w:t>
      </w:r>
      <w:r w:rsidR="0047575A" w:rsidRPr="004545BE">
        <w:rPr>
          <w:rFonts w:ascii="Times New Roman" w:hAnsi="Times New Roman" w:cs="Times New Roman"/>
          <w:sz w:val="24"/>
          <w:szCs w:val="24"/>
          <w:lang w:val="en-GB"/>
        </w:rPr>
        <w:t>.S.</w:t>
      </w:r>
      <w:r w:rsidR="004E4F5D" w:rsidRPr="004545BE">
        <w:rPr>
          <w:rFonts w:ascii="Times New Roman" w:hAnsi="Times New Roman" w:cs="Times New Roman"/>
          <w:sz w:val="24"/>
          <w:szCs w:val="24"/>
          <w:lang w:val="en-GB"/>
        </w:rPr>
        <w:t xml:space="preserve"> Collins</w:t>
      </w:r>
      <w:r w:rsidR="00327C29" w:rsidRPr="004545BE">
        <w:rPr>
          <w:rFonts w:ascii="Times New Roman" w:hAnsi="Times New Roman" w:cs="Times New Roman"/>
          <w:sz w:val="24"/>
          <w:szCs w:val="24"/>
          <w:vertAlign w:val="superscript"/>
          <w:lang w:val="en-GB"/>
        </w:rPr>
        <w:t>7-10</w:t>
      </w:r>
      <w:r w:rsidR="004E4F5D"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and D Prieto-Alhambra</w:t>
      </w:r>
      <w:r w:rsidR="005017F7" w:rsidRPr="004545BE">
        <w:rPr>
          <w:rFonts w:ascii="Times New Roman" w:hAnsi="Times New Roman" w:cs="Times New Roman"/>
          <w:sz w:val="24"/>
          <w:szCs w:val="24"/>
          <w:vertAlign w:val="superscript"/>
          <w:lang w:val="en-GB"/>
        </w:rPr>
        <w:t>4</w:t>
      </w:r>
      <w:r w:rsidR="00327C29" w:rsidRPr="004545BE">
        <w:rPr>
          <w:rFonts w:ascii="Times New Roman" w:hAnsi="Times New Roman" w:cs="Times New Roman"/>
          <w:sz w:val="24"/>
          <w:szCs w:val="24"/>
          <w:vertAlign w:val="superscript"/>
          <w:lang w:val="en-GB"/>
        </w:rPr>
        <w:t>,7-10</w:t>
      </w:r>
      <w:r w:rsidRPr="004545BE">
        <w:rPr>
          <w:rFonts w:ascii="Times New Roman" w:hAnsi="Times New Roman" w:cs="Times New Roman"/>
          <w:sz w:val="24"/>
          <w:szCs w:val="24"/>
          <w:vertAlign w:val="superscript"/>
          <w:lang w:val="en-GB"/>
        </w:rPr>
        <w:sym w:font="Wingdings" w:char="F02A"/>
      </w:r>
    </w:p>
    <w:p w:rsidR="000B5C38" w:rsidRPr="004545BE" w:rsidRDefault="000B5C38" w:rsidP="000B5C38">
      <w:pPr>
        <w:spacing w:line="480" w:lineRule="auto"/>
        <w:rPr>
          <w:rFonts w:ascii="Times New Roman" w:hAnsi="Times New Roman"/>
          <w:b/>
          <w:sz w:val="24"/>
          <w:szCs w:val="24"/>
          <w:lang w:val="en-US"/>
        </w:rPr>
      </w:pPr>
      <w:r w:rsidRPr="004545BE">
        <w:rPr>
          <w:rFonts w:ascii="Times New Roman" w:hAnsi="Times New Roman"/>
          <w:b/>
          <w:sz w:val="24"/>
          <w:szCs w:val="24"/>
          <w:lang w:val="en-US"/>
        </w:rPr>
        <w:t>AFFILIATIONS</w:t>
      </w:r>
    </w:p>
    <w:p w:rsidR="000B5C38" w:rsidRPr="004545BE" w:rsidRDefault="000B5C38" w:rsidP="000B5C38">
      <w:pPr>
        <w:spacing w:line="480" w:lineRule="auto"/>
        <w:rPr>
          <w:rFonts w:ascii="Times New Roman" w:hAnsi="Times New Roman"/>
          <w:sz w:val="24"/>
          <w:szCs w:val="24"/>
          <w:lang w:val="en-US"/>
        </w:rPr>
      </w:pPr>
      <w:r w:rsidRPr="004545BE">
        <w:rPr>
          <w:rFonts w:ascii="Times New Roman" w:hAnsi="Times New Roman"/>
          <w:sz w:val="24"/>
          <w:szCs w:val="24"/>
          <w:lang w:val="en-US"/>
        </w:rPr>
        <w:t xml:space="preserve">1.Statistical Assessment Service at Bellvitge Biomedical Research Institute (IDIBELL), L'Hospitalet </w:t>
      </w:r>
      <w:r w:rsidR="00DB5242" w:rsidRPr="004545BE">
        <w:rPr>
          <w:rFonts w:ascii="Times New Roman" w:hAnsi="Times New Roman"/>
          <w:sz w:val="24"/>
          <w:szCs w:val="24"/>
          <w:lang w:val="en-US"/>
        </w:rPr>
        <w:t>d</w:t>
      </w:r>
      <w:r w:rsidRPr="004545BE">
        <w:rPr>
          <w:rFonts w:ascii="Times New Roman" w:hAnsi="Times New Roman"/>
          <w:sz w:val="24"/>
          <w:szCs w:val="24"/>
          <w:lang w:val="en-US"/>
        </w:rPr>
        <w:t>e Llobregat, 08907 Barcelona, Spain</w:t>
      </w:r>
    </w:p>
    <w:p w:rsidR="00327C29" w:rsidRPr="004545BE" w:rsidRDefault="00327C29" w:rsidP="00327C29">
      <w:pPr>
        <w:spacing w:line="480" w:lineRule="auto"/>
        <w:rPr>
          <w:rFonts w:ascii="Times New Roman" w:hAnsi="Times New Roman"/>
          <w:sz w:val="24"/>
          <w:szCs w:val="24"/>
          <w:lang w:val="en-US"/>
        </w:rPr>
      </w:pPr>
      <w:r w:rsidRPr="004545BE">
        <w:rPr>
          <w:rFonts w:ascii="Times New Roman" w:hAnsi="Times New Roman"/>
          <w:sz w:val="24"/>
          <w:szCs w:val="24"/>
          <w:lang w:val="en-US"/>
        </w:rPr>
        <w:t>2. Department of Basic Medical Sciences, Universitat de Barcelona, 08036 Barcelona, Spain</w:t>
      </w:r>
    </w:p>
    <w:p w:rsidR="000B5C38" w:rsidRPr="004545BE" w:rsidRDefault="00327C29" w:rsidP="000B5C38">
      <w:pPr>
        <w:spacing w:line="480" w:lineRule="auto"/>
        <w:rPr>
          <w:rFonts w:ascii="Times New Roman" w:hAnsi="Times New Roman"/>
          <w:sz w:val="24"/>
          <w:szCs w:val="24"/>
          <w:lang w:val="en-US"/>
        </w:rPr>
      </w:pPr>
      <w:r w:rsidRPr="004545BE">
        <w:rPr>
          <w:rFonts w:ascii="Times New Roman" w:hAnsi="Times New Roman"/>
          <w:sz w:val="24"/>
          <w:szCs w:val="24"/>
          <w:lang w:val="en-US"/>
        </w:rPr>
        <w:t>3</w:t>
      </w:r>
      <w:r w:rsidR="000B5C38" w:rsidRPr="004545BE">
        <w:rPr>
          <w:rFonts w:ascii="Times New Roman" w:hAnsi="Times New Roman"/>
          <w:sz w:val="24"/>
          <w:szCs w:val="24"/>
          <w:lang w:val="en-US"/>
        </w:rPr>
        <w:t>. Department of Basic Medical Sciences, Universitat Rovira i Virgili, Reus, 43021 Tarragona, Spain</w:t>
      </w:r>
    </w:p>
    <w:p w:rsidR="000B5C38" w:rsidRPr="004545BE" w:rsidRDefault="00327C29" w:rsidP="000B5C38">
      <w:pPr>
        <w:spacing w:line="480" w:lineRule="auto"/>
        <w:rPr>
          <w:rFonts w:ascii="Times New Roman" w:hAnsi="Times New Roman"/>
          <w:sz w:val="24"/>
          <w:szCs w:val="24"/>
          <w:lang w:val="en-US"/>
        </w:rPr>
      </w:pPr>
      <w:r w:rsidRPr="004545BE">
        <w:rPr>
          <w:rFonts w:ascii="Times New Roman" w:hAnsi="Times New Roman"/>
          <w:sz w:val="24"/>
          <w:szCs w:val="24"/>
          <w:lang w:val="en-US"/>
        </w:rPr>
        <w:t>4</w:t>
      </w:r>
      <w:r w:rsidR="000B5C38" w:rsidRPr="004545BE">
        <w:rPr>
          <w:rFonts w:ascii="Times New Roman" w:hAnsi="Times New Roman"/>
          <w:sz w:val="24"/>
          <w:szCs w:val="24"/>
          <w:lang w:val="en-US"/>
        </w:rPr>
        <w:t xml:space="preserve">.GREMPAL Research Group, Idiap Jordi Gol Primary Care Research nstitute and CIBERFes, Universitat Autonoma de </w:t>
      </w:r>
      <w:r w:rsidR="000B5C38" w:rsidRPr="004545BE">
        <w:rPr>
          <w:rFonts w:ascii="Times New Roman" w:hAnsi="Times New Roman"/>
          <w:sz w:val="24"/>
          <w:szCs w:val="24"/>
          <w:lang w:val="en-US"/>
        </w:rPr>
        <w:lastRenderedPageBreak/>
        <w:t>Barcelona and Instituto de Salud Carlos III, 08007 Barcelona, Spain</w:t>
      </w:r>
    </w:p>
    <w:p w:rsidR="000B5C38" w:rsidRPr="004545BE" w:rsidRDefault="00327C29" w:rsidP="000B5C38">
      <w:pPr>
        <w:spacing w:line="480" w:lineRule="auto"/>
        <w:rPr>
          <w:rFonts w:ascii="Times New Roman" w:hAnsi="Times New Roman"/>
          <w:sz w:val="24"/>
          <w:szCs w:val="24"/>
          <w:lang w:val="es-ES"/>
        </w:rPr>
      </w:pPr>
      <w:r w:rsidRPr="004545BE">
        <w:rPr>
          <w:rFonts w:ascii="Times New Roman" w:hAnsi="Times New Roman"/>
          <w:sz w:val="24"/>
          <w:szCs w:val="24"/>
          <w:lang w:val="es-ES"/>
        </w:rPr>
        <w:t>5</w:t>
      </w:r>
      <w:r w:rsidR="000B5C38" w:rsidRPr="004545BE">
        <w:rPr>
          <w:rFonts w:ascii="Times New Roman" w:hAnsi="Times New Roman"/>
          <w:sz w:val="24"/>
          <w:szCs w:val="24"/>
          <w:lang w:val="es-ES"/>
        </w:rPr>
        <w:t>.Ambit Barcelona, Primary Care Department, Institut Catala de la Salut, 08007 Barcelona, Spain</w:t>
      </w:r>
    </w:p>
    <w:p w:rsidR="000B5C38" w:rsidRPr="004545BE" w:rsidRDefault="000B5C38" w:rsidP="000B5C38">
      <w:pPr>
        <w:spacing w:line="480" w:lineRule="auto"/>
        <w:rPr>
          <w:rFonts w:ascii="Times New Roman" w:hAnsi="Times New Roman"/>
          <w:sz w:val="24"/>
          <w:szCs w:val="24"/>
          <w:lang w:val="es-ES"/>
        </w:rPr>
      </w:pPr>
      <w:r w:rsidRPr="004545BE">
        <w:rPr>
          <w:rFonts w:ascii="Times New Roman" w:hAnsi="Times New Roman"/>
          <w:sz w:val="24"/>
          <w:szCs w:val="24"/>
          <w:lang w:val="en-US"/>
        </w:rPr>
        <w:t xml:space="preserve">6. Cancer Prevention and Control Program, Catalan Institute of Oncology-IDIBELL, L'Hospitalet de Llobregat, Spain. </w:t>
      </w:r>
      <w:r w:rsidRPr="004545BE">
        <w:rPr>
          <w:rFonts w:ascii="Times New Roman" w:hAnsi="Times New Roman"/>
          <w:sz w:val="24"/>
          <w:szCs w:val="24"/>
          <w:lang w:val="es-ES"/>
        </w:rPr>
        <w:t>CIBER Epidemiología y Salud Pú</w:t>
      </w:r>
      <w:r w:rsidR="00D03A45" w:rsidRPr="004545BE">
        <w:rPr>
          <w:rFonts w:ascii="Times New Roman" w:hAnsi="Times New Roman"/>
          <w:sz w:val="24"/>
          <w:szCs w:val="24"/>
          <w:lang w:val="es-ES"/>
        </w:rPr>
        <w:t>blica (CIBERESP), Madrid, Spain</w:t>
      </w:r>
      <w:r w:rsidRPr="004545BE">
        <w:rPr>
          <w:rFonts w:ascii="Times New Roman" w:hAnsi="Times New Roman"/>
          <w:sz w:val="24"/>
          <w:szCs w:val="24"/>
          <w:lang w:val="es-ES"/>
        </w:rPr>
        <w:t>, L'Hospitalet e Llobregat, 08908 Barcelona, Spain</w:t>
      </w:r>
    </w:p>
    <w:p w:rsidR="000B5C38" w:rsidRPr="004545BE" w:rsidRDefault="00327C29" w:rsidP="000B5C38">
      <w:pPr>
        <w:spacing w:line="480" w:lineRule="auto"/>
        <w:rPr>
          <w:rFonts w:ascii="Times New Roman" w:hAnsi="Times New Roman"/>
          <w:sz w:val="24"/>
          <w:szCs w:val="24"/>
          <w:lang w:val="en-US"/>
        </w:rPr>
      </w:pPr>
      <w:r w:rsidRPr="004545BE">
        <w:rPr>
          <w:rFonts w:ascii="Times New Roman" w:hAnsi="Times New Roman"/>
          <w:sz w:val="24"/>
          <w:szCs w:val="24"/>
          <w:lang w:val="en-US"/>
        </w:rPr>
        <w:t>7</w:t>
      </w:r>
      <w:r w:rsidR="000B5C38" w:rsidRPr="004545BE">
        <w:rPr>
          <w:rFonts w:ascii="Times New Roman" w:hAnsi="Times New Roman"/>
          <w:sz w:val="24"/>
          <w:szCs w:val="24"/>
          <w:lang w:val="en-US"/>
        </w:rPr>
        <w:t>.</w:t>
      </w:r>
      <w:r w:rsidR="000B5C38" w:rsidRPr="004545BE">
        <w:t xml:space="preserve"> </w:t>
      </w:r>
      <w:r w:rsidR="000B5C38" w:rsidRPr="004545BE">
        <w:rPr>
          <w:rFonts w:ascii="Times New Roman" w:hAnsi="Times New Roman"/>
          <w:sz w:val="24"/>
          <w:szCs w:val="24"/>
          <w:lang w:val="en-US"/>
        </w:rPr>
        <w:t>Oxford NIHR Biomedical Research Centre, University of Oxford, Windmill Road, Oxford OX3 7LD, United Kingdom</w:t>
      </w:r>
    </w:p>
    <w:p w:rsidR="000B5C38" w:rsidRPr="004545BE" w:rsidRDefault="00327C29" w:rsidP="000B5C38">
      <w:pPr>
        <w:spacing w:line="480" w:lineRule="auto"/>
        <w:rPr>
          <w:rFonts w:ascii="Times New Roman" w:hAnsi="Times New Roman"/>
          <w:sz w:val="24"/>
          <w:szCs w:val="24"/>
          <w:lang w:val="en-US"/>
        </w:rPr>
      </w:pPr>
      <w:r w:rsidRPr="004545BE">
        <w:rPr>
          <w:rFonts w:ascii="Times New Roman" w:hAnsi="Times New Roman"/>
          <w:sz w:val="24"/>
          <w:szCs w:val="24"/>
          <w:lang w:val="en-US"/>
        </w:rPr>
        <w:t>8</w:t>
      </w:r>
      <w:r w:rsidR="000B5C38" w:rsidRPr="004545BE">
        <w:rPr>
          <w:rFonts w:ascii="Times New Roman" w:hAnsi="Times New Roman"/>
          <w:sz w:val="24"/>
          <w:szCs w:val="24"/>
          <w:lang w:val="en-US"/>
        </w:rPr>
        <w:t>. Medical Research Council (MRC) Lifecourse Epidemiology Unit, University of Southampton, Southampton SO16 6YD, United Kingdom</w:t>
      </w:r>
    </w:p>
    <w:p w:rsidR="00327C29" w:rsidRPr="004545BE" w:rsidRDefault="00327C29" w:rsidP="00327C29">
      <w:pPr>
        <w:spacing w:line="480" w:lineRule="auto"/>
        <w:rPr>
          <w:rFonts w:ascii="Times New Roman" w:hAnsi="Times New Roman"/>
          <w:sz w:val="24"/>
          <w:szCs w:val="24"/>
          <w:lang w:val="es-ES"/>
        </w:rPr>
      </w:pPr>
      <w:r w:rsidRPr="004545BE">
        <w:rPr>
          <w:rFonts w:ascii="Times New Roman" w:hAnsi="Times New Roman"/>
          <w:sz w:val="24"/>
          <w:szCs w:val="24"/>
          <w:lang w:val="es-ES"/>
        </w:rPr>
        <w:t>9.Musculoskeletal Research Unit, IMIM-Hospital del Mar and CIBERFes, Universitat Autònoma de Barcelona and Instituto de Salud Carlos III, 08003 Barcelona, Spain</w:t>
      </w:r>
    </w:p>
    <w:p w:rsidR="000B5C38" w:rsidRPr="004545BE" w:rsidRDefault="000B5C38" w:rsidP="000B5C38">
      <w:pPr>
        <w:spacing w:line="480" w:lineRule="auto"/>
        <w:rPr>
          <w:rFonts w:ascii="Times New Roman" w:hAnsi="Times New Roman"/>
          <w:sz w:val="24"/>
          <w:szCs w:val="24"/>
          <w:lang w:val="en-US"/>
        </w:rPr>
      </w:pPr>
      <w:r w:rsidRPr="004545BE">
        <w:rPr>
          <w:rFonts w:ascii="Times New Roman" w:hAnsi="Times New Roman"/>
          <w:sz w:val="24"/>
          <w:szCs w:val="24"/>
          <w:lang w:val="en-US"/>
        </w:rPr>
        <w:lastRenderedPageBreak/>
        <w:t>10.Centre for Statistics in Medicine (CSM), Nuffield Department of Orthopaedics, Rheumatology, and Musculoskeletal Sciences (NDORMS), University of Oxford, Oxford OX3 7LD, United Kingdom</w:t>
      </w:r>
    </w:p>
    <w:p w:rsidR="000B5C38" w:rsidRPr="004545BE" w:rsidRDefault="000B5C38" w:rsidP="000B5C38">
      <w:pPr>
        <w:spacing w:line="480" w:lineRule="auto"/>
        <w:rPr>
          <w:rFonts w:ascii="Times New Roman" w:hAnsi="Times New Roman"/>
          <w:sz w:val="24"/>
          <w:szCs w:val="24"/>
          <w:lang w:val="en-US"/>
        </w:rPr>
      </w:pPr>
    </w:p>
    <w:p w:rsidR="000B5C38" w:rsidRPr="004545BE" w:rsidRDefault="000B5C38" w:rsidP="000B5C38">
      <w:pPr>
        <w:spacing w:line="480" w:lineRule="auto"/>
        <w:rPr>
          <w:rFonts w:ascii="Times New Roman" w:hAnsi="Times New Roman"/>
          <w:b/>
          <w:sz w:val="24"/>
          <w:szCs w:val="24"/>
          <w:lang w:val="en-US"/>
        </w:rPr>
      </w:pPr>
      <w:r w:rsidRPr="004545BE">
        <w:rPr>
          <w:rFonts w:ascii="Times New Roman" w:hAnsi="Times New Roman"/>
          <w:b/>
          <w:sz w:val="24"/>
          <w:szCs w:val="24"/>
          <w:lang w:val="en-US"/>
        </w:rPr>
        <w:t xml:space="preserve">**CORRESPONDING AUTHOR: </w:t>
      </w:r>
    </w:p>
    <w:p w:rsidR="00593408" w:rsidRPr="004545BE" w:rsidRDefault="00593408" w:rsidP="00593408">
      <w:pPr>
        <w:spacing w:after="100" w:line="480" w:lineRule="auto"/>
        <w:rPr>
          <w:rFonts w:ascii="Times New Roman" w:hAnsi="Times New Roman"/>
          <w:sz w:val="24"/>
          <w:szCs w:val="24"/>
          <w:lang w:val="en-US"/>
        </w:rPr>
      </w:pPr>
      <w:r w:rsidRPr="004545BE">
        <w:rPr>
          <w:rFonts w:ascii="Times New Roman" w:hAnsi="Times New Roman"/>
          <w:sz w:val="24"/>
          <w:szCs w:val="24"/>
          <w:lang w:val="en-US"/>
        </w:rPr>
        <w:t>Dr. Daniel Prieto-Alhambra</w:t>
      </w:r>
    </w:p>
    <w:p w:rsidR="00593408" w:rsidRPr="004545BE" w:rsidRDefault="00593408" w:rsidP="00593408">
      <w:pPr>
        <w:spacing w:after="100" w:line="480" w:lineRule="auto"/>
        <w:rPr>
          <w:rFonts w:ascii="Times New Roman" w:hAnsi="Times New Roman"/>
          <w:sz w:val="24"/>
          <w:szCs w:val="24"/>
          <w:lang w:val="en-US"/>
        </w:rPr>
      </w:pPr>
      <w:r w:rsidRPr="004545BE">
        <w:rPr>
          <w:rFonts w:ascii="Times New Roman" w:hAnsi="Times New Roman"/>
          <w:sz w:val="24"/>
          <w:szCs w:val="24"/>
          <w:lang w:val="en-US"/>
        </w:rPr>
        <w:t>Nuffield Department of Orthopaedics,</w:t>
      </w:r>
    </w:p>
    <w:p w:rsidR="00593408" w:rsidRPr="004545BE" w:rsidRDefault="00593408" w:rsidP="00593408">
      <w:pPr>
        <w:spacing w:after="100" w:line="480" w:lineRule="auto"/>
        <w:rPr>
          <w:rFonts w:ascii="Times New Roman" w:hAnsi="Times New Roman"/>
          <w:sz w:val="24"/>
          <w:szCs w:val="24"/>
          <w:lang w:val="en-US"/>
        </w:rPr>
      </w:pPr>
      <w:r w:rsidRPr="004545BE">
        <w:rPr>
          <w:rFonts w:ascii="Times New Roman" w:hAnsi="Times New Roman"/>
          <w:sz w:val="24"/>
          <w:szCs w:val="24"/>
          <w:lang w:val="en-US"/>
        </w:rPr>
        <w:t>Rheumatology and Musculoskeletal Sciences</w:t>
      </w:r>
    </w:p>
    <w:p w:rsidR="00593408" w:rsidRPr="004545BE" w:rsidRDefault="00593408" w:rsidP="00593408">
      <w:pPr>
        <w:spacing w:after="100" w:line="480" w:lineRule="auto"/>
        <w:rPr>
          <w:rFonts w:ascii="Times New Roman" w:hAnsi="Times New Roman"/>
          <w:sz w:val="24"/>
          <w:szCs w:val="24"/>
          <w:lang w:val="en-US"/>
        </w:rPr>
      </w:pPr>
      <w:r w:rsidRPr="004545BE">
        <w:rPr>
          <w:rFonts w:ascii="Times New Roman" w:hAnsi="Times New Roman"/>
          <w:sz w:val="24"/>
          <w:szCs w:val="24"/>
          <w:lang w:val="en-US"/>
        </w:rPr>
        <w:t>Botnar Research Centre</w:t>
      </w:r>
    </w:p>
    <w:p w:rsidR="00593408" w:rsidRPr="004545BE" w:rsidRDefault="00593408" w:rsidP="00593408">
      <w:pPr>
        <w:spacing w:after="100" w:line="480" w:lineRule="auto"/>
        <w:rPr>
          <w:rFonts w:ascii="Times New Roman" w:hAnsi="Times New Roman"/>
          <w:sz w:val="24"/>
          <w:szCs w:val="24"/>
          <w:lang w:val="en-US"/>
        </w:rPr>
      </w:pPr>
      <w:r w:rsidRPr="004545BE">
        <w:rPr>
          <w:rFonts w:ascii="Times New Roman" w:hAnsi="Times New Roman"/>
          <w:sz w:val="24"/>
          <w:szCs w:val="24"/>
          <w:lang w:val="en-US"/>
        </w:rPr>
        <w:t>University of Oxford</w:t>
      </w:r>
    </w:p>
    <w:p w:rsidR="00593408" w:rsidRPr="004545BE" w:rsidRDefault="00593408" w:rsidP="00593408">
      <w:pPr>
        <w:spacing w:after="100" w:line="480" w:lineRule="auto"/>
        <w:rPr>
          <w:rFonts w:ascii="Times New Roman" w:hAnsi="Times New Roman"/>
          <w:sz w:val="24"/>
          <w:szCs w:val="24"/>
          <w:lang w:val="en-US"/>
        </w:rPr>
      </w:pPr>
      <w:r w:rsidRPr="004545BE">
        <w:rPr>
          <w:rFonts w:ascii="Times New Roman" w:hAnsi="Times New Roman"/>
          <w:sz w:val="24"/>
          <w:szCs w:val="24"/>
          <w:lang w:val="en-US"/>
        </w:rPr>
        <w:t>Nuffield Orthopaedic Centre</w:t>
      </w:r>
    </w:p>
    <w:p w:rsidR="00593408" w:rsidRPr="004545BE" w:rsidRDefault="00593408" w:rsidP="00593408">
      <w:pPr>
        <w:spacing w:after="100" w:line="480" w:lineRule="auto"/>
        <w:rPr>
          <w:rFonts w:ascii="Times New Roman" w:hAnsi="Times New Roman"/>
          <w:sz w:val="24"/>
          <w:szCs w:val="24"/>
          <w:lang w:val="en-US"/>
        </w:rPr>
      </w:pPr>
      <w:r w:rsidRPr="004545BE">
        <w:rPr>
          <w:rFonts w:ascii="Times New Roman" w:hAnsi="Times New Roman"/>
          <w:sz w:val="24"/>
          <w:szCs w:val="24"/>
          <w:lang w:val="en-US"/>
        </w:rPr>
        <w:t>Windmill Road</w:t>
      </w:r>
    </w:p>
    <w:p w:rsidR="00593408" w:rsidRPr="004545BE" w:rsidRDefault="00593408" w:rsidP="00593408">
      <w:pPr>
        <w:spacing w:after="100" w:line="480" w:lineRule="auto"/>
        <w:rPr>
          <w:rFonts w:ascii="Times New Roman" w:hAnsi="Times New Roman"/>
          <w:sz w:val="24"/>
          <w:szCs w:val="24"/>
          <w:lang w:val="en-US"/>
        </w:rPr>
      </w:pPr>
      <w:r w:rsidRPr="004545BE">
        <w:rPr>
          <w:rFonts w:ascii="Times New Roman" w:hAnsi="Times New Roman"/>
          <w:sz w:val="24"/>
          <w:szCs w:val="24"/>
          <w:lang w:val="en-US"/>
        </w:rPr>
        <w:t>OXFORD, OX3 7LD</w:t>
      </w:r>
    </w:p>
    <w:p w:rsidR="00593408" w:rsidRPr="004545BE" w:rsidRDefault="00593408" w:rsidP="00593408">
      <w:pPr>
        <w:spacing w:after="100" w:line="480" w:lineRule="auto"/>
        <w:rPr>
          <w:rFonts w:ascii="Times New Roman" w:hAnsi="Times New Roman"/>
          <w:sz w:val="24"/>
          <w:szCs w:val="24"/>
          <w:lang w:val="en-US"/>
        </w:rPr>
      </w:pPr>
      <w:r w:rsidRPr="004545BE">
        <w:rPr>
          <w:rFonts w:ascii="Times New Roman" w:hAnsi="Times New Roman"/>
          <w:sz w:val="24"/>
          <w:szCs w:val="24"/>
          <w:lang w:val="en-US"/>
        </w:rPr>
        <w:t>Telephone: +44(0) 1865 223 401 Fax: +44(0) 1865 737640</w:t>
      </w:r>
    </w:p>
    <w:p w:rsidR="00F6547F" w:rsidRPr="004545BE" w:rsidRDefault="00593408">
      <w:pPr>
        <w:rPr>
          <w:rFonts w:ascii="Times New Roman" w:hAnsi="Times New Roman" w:cs="Times New Roman"/>
          <w:sz w:val="24"/>
          <w:szCs w:val="24"/>
          <w:lang w:val="en-GB"/>
        </w:rPr>
      </w:pPr>
      <w:r w:rsidRPr="004545BE">
        <w:rPr>
          <w:rFonts w:ascii="Times New Roman" w:hAnsi="Times New Roman"/>
          <w:sz w:val="24"/>
          <w:szCs w:val="24"/>
          <w:lang w:val="en-US"/>
        </w:rPr>
        <w:t>E-mail: daniel.prietoalhambra@ndorms.ox.ac.uk</w:t>
      </w:r>
      <w:r w:rsidRPr="004545BE" w:rsidDel="00593408">
        <w:rPr>
          <w:rFonts w:ascii="Times New Roman" w:hAnsi="Times New Roman"/>
          <w:sz w:val="24"/>
          <w:szCs w:val="24"/>
          <w:lang w:val="en-US"/>
        </w:rPr>
        <w:t xml:space="preserve"> </w:t>
      </w:r>
      <w:r w:rsidR="00F6547F" w:rsidRPr="004545BE">
        <w:rPr>
          <w:rFonts w:ascii="Times New Roman" w:hAnsi="Times New Roman" w:cs="Times New Roman"/>
          <w:sz w:val="24"/>
          <w:szCs w:val="24"/>
          <w:lang w:val="en-GB"/>
        </w:rPr>
        <w:br w:type="page"/>
      </w:r>
    </w:p>
    <w:p w:rsidR="005060D7" w:rsidRPr="004545BE" w:rsidRDefault="005060D7" w:rsidP="009123BE">
      <w:pPr>
        <w:spacing w:line="480" w:lineRule="auto"/>
        <w:jc w:val="both"/>
        <w:rPr>
          <w:rFonts w:ascii="Times New Roman" w:hAnsi="Times New Roman" w:cs="Times New Roman"/>
          <w:b/>
          <w:sz w:val="24"/>
          <w:szCs w:val="24"/>
          <w:lang w:val="en-GB"/>
        </w:rPr>
      </w:pPr>
      <w:r w:rsidRPr="004545BE">
        <w:rPr>
          <w:rFonts w:ascii="Times New Roman" w:hAnsi="Times New Roman" w:cs="Times New Roman"/>
          <w:b/>
          <w:sz w:val="24"/>
          <w:szCs w:val="24"/>
          <w:lang w:val="en-GB"/>
        </w:rPr>
        <w:lastRenderedPageBreak/>
        <w:t>ABSTRACT</w:t>
      </w:r>
    </w:p>
    <w:p w:rsidR="002204F4" w:rsidRPr="004545BE" w:rsidRDefault="001722B5" w:rsidP="009123BE">
      <w:pPr>
        <w:spacing w:line="480" w:lineRule="auto"/>
        <w:jc w:val="both"/>
        <w:rPr>
          <w:rFonts w:ascii="Times New Roman" w:hAnsi="Times New Roman" w:cs="Times New Roman"/>
          <w:sz w:val="24"/>
          <w:szCs w:val="24"/>
          <w:lang w:val="en-GB"/>
        </w:rPr>
      </w:pPr>
      <w:r w:rsidRPr="004545BE">
        <w:rPr>
          <w:rFonts w:ascii="Times New Roman" w:hAnsi="Times New Roman" w:cs="Times New Roman"/>
          <w:color w:val="000000"/>
          <w:sz w:val="24"/>
          <w:szCs w:val="24"/>
          <w:shd w:val="clear" w:color="auto" w:fill="FFFFFF"/>
          <w:lang w:val="en-GB"/>
        </w:rPr>
        <w:t xml:space="preserve">Type 2 diabetes (T2DM) </w:t>
      </w:r>
      <w:r w:rsidR="00A17A20" w:rsidRPr="004545BE">
        <w:rPr>
          <w:rFonts w:ascii="Times New Roman" w:hAnsi="Times New Roman" w:cs="Times New Roman"/>
          <w:color w:val="000000"/>
          <w:sz w:val="24"/>
          <w:szCs w:val="24"/>
          <w:shd w:val="clear" w:color="auto" w:fill="FFFFFF"/>
          <w:lang w:val="en-GB"/>
        </w:rPr>
        <w:t xml:space="preserve">is associated with </w:t>
      </w:r>
      <w:r w:rsidRPr="004545BE">
        <w:rPr>
          <w:rFonts w:ascii="Times New Roman" w:hAnsi="Times New Roman" w:cs="Times New Roman"/>
          <w:color w:val="000000"/>
          <w:sz w:val="24"/>
          <w:szCs w:val="24"/>
          <w:shd w:val="clear" w:color="auto" w:fill="FFFFFF"/>
          <w:lang w:val="en-GB"/>
        </w:rPr>
        <w:t>a reduced</w:t>
      </w:r>
      <w:r w:rsidR="00A17A20" w:rsidRPr="004545BE">
        <w:rPr>
          <w:rFonts w:ascii="Times New Roman" w:hAnsi="Times New Roman" w:cs="Times New Roman"/>
          <w:color w:val="000000"/>
          <w:sz w:val="24"/>
          <w:szCs w:val="24"/>
          <w:shd w:val="clear" w:color="auto" w:fill="FFFFFF"/>
          <w:lang w:val="en-GB"/>
        </w:rPr>
        <w:t xml:space="preserve"> life expectancy. Latest published evidence </w:t>
      </w:r>
      <w:r w:rsidRPr="004545BE">
        <w:rPr>
          <w:rFonts w:ascii="Times New Roman" w:hAnsi="Times New Roman" w:cs="Times New Roman"/>
          <w:color w:val="000000"/>
          <w:sz w:val="24"/>
          <w:szCs w:val="24"/>
          <w:shd w:val="clear" w:color="auto" w:fill="FFFFFF"/>
          <w:lang w:val="en-GB"/>
        </w:rPr>
        <w:t xml:space="preserve">suggests </w:t>
      </w:r>
      <w:r w:rsidR="00A17A20" w:rsidRPr="004545BE">
        <w:rPr>
          <w:rFonts w:ascii="Times New Roman" w:hAnsi="Times New Roman" w:cs="Times New Roman"/>
          <w:color w:val="000000"/>
          <w:sz w:val="24"/>
          <w:szCs w:val="24"/>
          <w:shd w:val="clear" w:color="auto" w:fill="FFFFFF"/>
          <w:lang w:val="en-GB"/>
        </w:rPr>
        <w:t xml:space="preserve">an increased risk of fractures among </w:t>
      </w:r>
      <w:r w:rsidRPr="004545BE">
        <w:rPr>
          <w:rFonts w:ascii="Times New Roman" w:hAnsi="Times New Roman" w:cs="Times New Roman"/>
          <w:color w:val="000000"/>
          <w:sz w:val="24"/>
          <w:szCs w:val="24"/>
          <w:shd w:val="clear" w:color="auto" w:fill="FFFFFF"/>
          <w:lang w:val="en-GB"/>
        </w:rPr>
        <w:t>T2DM</w:t>
      </w:r>
      <w:r w:rsidR="00F7064E" w:rsidRPr="004545BE">
        <w:rPr>
          <w:rFonts w:ascii="Times New Roman" w:hAnsi="Times New Roman" w:cs="Times New Roman"/>
          <w:color w:val="000000"/>
          <w:sz w:val="24"/>
          <w:szCs w:val="24"/>
          <w:shd w:val="clear" w:color="auto" w:fill="FFFFFF"/>
          <w:lang w:val="en-GB"/>
        </w:rPr>
        <w:t xml:space="preserve"> patients</w:t>
      </w:r>
      <w:r w:rsidR="00A17A20" w:rsidRPr="004545BE">
        <w:rPr>
          <w:rFonts w:ascii="Times New Roman" w:hAnsi="Times New Roman" w:cs="Times New Roman"/>
          <w:color w:val="000000"/>
          <w:sz w:val="24"/>
          <w:szCs w:val="24"/>
          <w:shd w:val="clear" w:color="auto" w:fill="FFFFFF"/>
          <w:lang w:val="en-GB"/>
        </w:rPr>
        <w:t xml:space="preserve">. </w:t>
      </w:r>
      <w:r w:rsidR="00FE19A2" w:rsidRPr="004545BE">
        <w:rPr>
          <w:rFonts w:ascii="Times New Roman" w:hAnsi="Times New Roman" w:cs="Times New Roman"/>
          <w:color w:val="000000"/>
          <w:sz w:val="24"/>
          <w:szCs w:val="24"/>
          <w:shd w:val="clear" w:color="auto" w:fill="FFFFFF"/>
          <w:lang w:val="en-GB"/>
        </w:rPr>
        <w:t>W</w:t>
      </w:r>
      <w:r w:rsidR="00A17A20" w:rsidRPr="004545BE">
        <w:rPr>
          <w:rFonts w:ascii="Times New Roman" w:hAnsi="Times New Roman" w:cs="Times New Roman"/>
          <w:color w:val="000000"/>
          <w:sz w:val="24"/>
          <w:szCs w:val="24"/>
          <w:shd w:val="clear" w:color="auto" w:fill="FFFFFF"/>
          <w:lang w:val="en-GB"/>
        </w:rPr>
        <w:t xml:space="preserve">e </w:t>
      </w:r>
      <w:r w:rsidR="00F7064E" w:rsidRPr="004545BE">
        <w:rPr>
          <w:rFonts w:ascii="Times New Roman" w:hAnsi="Times New Roman" w:cs="Times New Roman"/>
          <w:color w:val="000000"/>
          <w:sz w:val="24"/>
          <w:szCs w:val="24"/>
          <w:shd w:val="clear" w:color="auto" w:fill="FFFFFF"/>
          <w:lang w:val="en-GB"/>
        </w:rPr>
        <w:t xml:space="preserve">conducted a </w:t>
      </w:r>
      <w:r w:rsidR="00A17A20" w:rsidRPr="004545BE">
        <w:rPr>
          <w:rFonts w:ascii="Times New Roman" w:hAnsi="Times New Roman" w:cs="Times New Roman"/>
          <w:color w:val="000000"/>
          <w:sz w:val="24"/>
          <w:szCs w:val="24"/>
          <w:shd w:val="clear" w:color="auto" w:fill="FFFFFF"/>
          <w:lang w:val="en-GB"/>
        </w:rPr>
        <w:t xml:space="preserve">population-based cohort </w:t>
      </w:r>
      <w:r w:rsidR="00F7064E" w:rsidRPr="004545BE">
        <w:rPr>
          <w:rFonts w:ascii="Times New Roman" w:hAnsi="Times New Roman" w:cs="Times New Roman"/>
          <w:color w:val="000000"/>
          <w:sz w:val="24"/>
          <w:szCs w:val="24"/>
          <w:shd w:val="clear" w:color="auto" w:fill="FFFFFF"/>
          <w:lang w:val="en-GB"/>
        </w:rPr>
        <w:t>study</w:t>
      </w:r>
      <w:r w:rsidR="00A17A20" w:rsidRPr="004545BE">
        <w:rPr>
          <w:rFonts w:ascii="Times New Roman" w:hAnsi="Times New Roman" w:cs="Times New Roman"/>
          <w:color w:val="000000"/>
          <w:sz w:val="24"/>
          <w:szCs w:val="24"/>
          <w:shd w:val="clear" w:color="auto" w:fill="FFFFFF"/>
          <w:lang w:val="en-GB"/>
        </w:rPr>
        <w:t xml:space="preserve"> to determine </w:t>
      </w:r>
      <w:r w:rsidR="00F7064E" w:rsidRPr="004545BE">
        <w:rPr>
          <w:rFonts w:ascii="Times New Roman" w:hAnsi="Times New Roman" w:cs="Times New Roman"/>
          <w:color w:val="000000"/>
          <w:sz w:val="24"/>
          <w:szCs w:val="24"/>
          <w:shd w:val="clear" w:color="auto" w:fill="FFFFFF"/>
          <w:lang w:val="en-GB"/>
        </w:rPr>
        <w:t xml:space="preserve">the impact of </w:t>
      </w:r>
      <w:r w:rsidR="00A17A20" w:rsidRPr="004545BE">
        <w:rPr>
          <w:rFonts w:ascii="Times New Roman" w:hAnsi="Times New Roman" w:cs="Times New Roman"/>
          <w:color w:val="000000"/>
          <w:sz w:val="24"/>
          <w:szCs w:val="24"/>
          <w:shd w:val="clear" w:color="auto" w:fill="FFFFFF"/>
          <w:lang w:val="en-GB"/>
        </w:rPr>
        <w:t xml:space="preserve">mortality </w:t>
      </w:r>
      <w:r w:rsidR="00F7064E" w:rsidRPr="004545BE">
        <w:rPr>
          <w:rFonts w:ascii="Times New Roman" w:hAnsi="Times New Roman" w:cs="Times New Roman"/>
          <w:color w:val="000000"/>
          <w:sz w:val="24"/>
          <w:szCs w:val="24"/>
          <w:shd w:val="clear" w:color="auto" w:fill="FFFFFF"/>
          <w:lang w:val="en-GB"/>
        </w:rPr>
        <w:t>a</w:t>
      </w:r>
      <w:r w:rsidR="00A17A20" w:rsidRPr="004545BE">
        <w:rPr>
          <w:rFonts w:ascii="Times New Roman" w:hAnsi="Times New Roman" w:cs="Times New Roman"/>
          <w:color w:val="000000"/>
          <w:sz w:val="24"/>
          <w:szCs w:val="24"/>
          <w:shd w:val="clear" w:color="auto" w:fill="FFFFFF"/>
          <w:lang w:val="en-GB"/>
        </w:rPr>
        <w:t xml:space="preserve">s a competing risk </w:t>
      </w:r>
      <w:r w:rsidR="00F7064E" w:rsidRPr="004545BE">
        <w:rPr>
          <w:rFonts w:ascii="Times New Roman" w:hAnsi="Times New Roman" w:cs="Times New Roman"/>
          <w:color w:val="000000"/>
          <w:sz w:val="24"/>
          <w:szCs w:val="24"/>
          <w:shd w:val="clear" w:color="auto" w:fill="FFFFFF"/>
          <w:lang w:val="en-GB"/>
        </w:rPr>
        <w:t>in the study of the association between T2DM and</w:t>
      </w:r>
      <w:r w:rsidR="00A17A20" w:rsidRPr="004545BE">
        <w:rPr>
          <w:rFonts w:ascii="Times New Roman" w:hAnsi="Times New Roman" w:cs="Times New Roman"/>
          <w:color w:val="000000"/>
          <w:sz w:val="24"/>
          <w:szCs w:val="24"/>
          <w:shd w:val="clear" w:color="auto" w:fill="FFFFFF"/>
          <w:lang w:val="en-GB"/>
        </w:rPr>
        <w:t xml:space="preserve"> </w:t>
      </w:r>
      <w:r w:rsidR="00F7064E" w:rsidRPr="004545BE">
        <w:rPr>
          <w:rFonts w:ascii="Times New Roman" w:hAnsi="Times New Roman" w:cs="Times New Roman"/>
          <w:color w:val="000000"/>
          <w:sz w:val="24"/>
          <w:szCs w:val="24"/>
          <w:shd w:val="clear" w:color="auto" w:fill="FFFFFF"/>
          <w:lang w:val="en-GB"/>
        </w:rPr>
        <w:t xml:space="preserve">hip </w:t>
      </w:r>
      <w:r w:rsidR="00A17A20" w:rsidRPr="004545BE">
        <w:rPr>
          <w:rFonts w:ascii="Times New Roman" w:hAnsi="Times New Roman" w:cs="Times New Roman"/>
          <w:color w:val="000000"/>
          <w:sz w:val="24"/>
          <w:szCs w:val="24"/>
          <w:shd w:val="clear" w:color="auto" w:fill="FFFFFF"/>
          <w:lang w:val="en-GB"/>
        </w:rPr>
        <w:t xml:space="preserve">fracture </w:t>
      </w:r>
      <w:r w:rsidR="00F7064E" w:rsidRPr="004545BE">
        <w:rPr>
          <w:rFonts w:ascii="Times New Roman" w:hAnsi="Times New Roman" w:cs="Times New Roman"/>
          <w:color w:val="000000"/>
          <w:sz w:val="24"/>
          <w:szCs w:val="24"/>
          <w:shd w:val="clear" w:color="auto" w:fill="FFFFFF"/>
          <w:lang w:val="en-GB"/>
        </w:rPr>
        <w:t>rates</w:t>
      </w:r>
      <w:r w:rsidR="00A17A20" w:rsidRPr="004545BE">
        <w:rPr>
          <w:rFonts w:ascii="Times New Roman" w:hAnsi="Times New Roman" w:cs="Times New Roman"/>
          <w:color w:val="000000"/>
          <w:sz w:val="24"/>
          <w:szCs w:val="24"/>
          <w:shd w:val="clear" w:color="auto" w:fill="FFFFFF"/>
          <w:lang w:val="en-GB"/>
        </w:rPr>
        <w:t>.</w:t>
      </w:r>
      <w:r w:rsidR="00796D34" w:rsidRPr="004545BE">
        <w:rPr>
          <w:rFonts w:ascii="Times New Roman" w:hAnsi="Times New Roman" w:cs="Times New Roman"/>
          <w:color w:val="000000"/>
          <w:sz w:val="24"/>
          <w:szCs w:val="24"/>
          <w:shd w:val="clear" w:color="auto" w:fill="FFFFFF"/>
          <w:lang w:val="en-GB"/>
        </w:rPr>
        <w:t xml:space="preserve"> </w:t>
      </w:r>
      <w:r w:rsidR="00A17A20" w:rsidRPr="004545BE">
        <w:rPr>
          <w:rFonts w:ascii="Times New Roman" w:hAnsi="Times New Roman" w:cs="Times New Roman"/>
          <w:sz w:val="24"/>
          <w:szCs w:val="24"/>
          <w:lang w:val="en-GB"/>
        </w:rPr>
        <w:t xml:space="preserve">Participants were all diagnosed T2DM patients registered in </w:t>
      </w:r>
      <w:r w:rsidR="00F7064E" w:rsidRPr="004545BE">
        <w:rPr>
          <w:rFonts w:ascii="Times New Roman" w:hAnsi="Times New Roman" w:cs="Times New Roman"/>
          <w:sz w:val="24"/>
          <w:szCs w:val="24"/>
          <w:lang w:val="en-GB"/>
        </w:rPr>
        <w:t xml:space="preserve">the </w:t>
      </w:r>
      <w:r w:rsidR="00A17A20" w:rsidRPr="004545BE">
        <w:rPr>
          <w:rFonts w:ascii="Times New Roman" w:hAnsi="Times New Roman" w:cs="Times New Roman"/>
          <w:sz w:val="24"/>
          <w:szCs w:val="24"/>
          <w:lang w:val="en-GB"/>
        </w:rPr>
        <w:t>SIDIAP</w:t>
      </w:r>
      <w:r w:rsidR="00FE19A2" w:rsidRPr="004545BE">
        <w:rPr>
          <w:rFonts w:ascii="Times New Roman" w:hAnsi="Times New Roman" w:cs="Times New Roman"/>
          <w:sz w:val="24"/>
          <w:szCs w:val="24"/>
          <w:lang w:val="en-GB"/>
        </w:rPr>
        <w:t xml:space="preserve"> database</w:t>
      </w:r>
      <w:r w:rsidR="00A17A20" w:rsidRPr="004545BE">
        <w:rPr>
          <w:rFonts w:ascii="Times New Roman" w:hAnsi="Times New Roman" w:cs="Times New Roman"/>
          <w:sz w:val="24"/>
          <w:szCs w:val="24"/>
          <w:lang w:val="en-GB"/>
        </w:rPr>
        <w:t xml:space="preserve"> </w:t>
      </w:r>
      <w:r w:rsidR="00F7064E" w:rsidRPr="004545BE">
        <w:rPr>
          <w:rFonts w:ascii="Times New Roman" w:hAnsi="Times New Roman" w:cs="Times New Roman"/>
          <w:sz w:val="24"/>
          <w:szCs w:val="24"/>
          <w:lang w:val="en-GB"/>
        </w:rPr>
        <w:t>aged</w:t>
      </w:r>
      <w:r w:rsidR="00A17A20" w:rsidRPr="004545BE">
        <w:rPr>
          <w:rFonts w:ascii="Times New Roman" w:hAnsi="Times New Roman" w:cs="Times New Roman"/>
          <w:sz w:val="24"/>
          <w:szCs w:val="24"/>
          <w:lang w:val="en-GB"/>
        </w:rPr>
        <w:t xml:space="preserve"> 65 years </w:t>
      </w:r>
      <w:r w:rsidR="00F7064E" w:rsidRPr="004545BE">
        <w:rPr>
          <w:rFonts w:ascii="Times New Roman" w:hAnsi="Times New Roman" w:cs="Times New Roman"/>
          <w:sz w:val="24"/>
          <w:szCs w:val="24"/>
          <w:lang w:val="en-GB"/>
        </w:rPr>
        <w:t xml:space="preserve">and </w:t>
      </w:r>
      <w:r w:rsidR="00A17A20" w:rsidRPr="004545BE">
        <w:rPr>
          <w:rFonts w:ascii="Times New Roman" w:hAnsi="Times New Roman" w:cs="Times New Roman"/>
          <w:sz w:val="24"/>
          <w:szCs w:val="24"/>
          <w:lang w:val="en-GB"/>
        </w:rPr>
        <w:t>old</w:t>
      </w:r>
      <w:r w:rsidR="00F7064E" w:rsidRPr="004545BE">
        <w:rPr>
          <w:rFonts w:ascii="Times New Roman" w:hAnsi="Times New Roman" w:cs="Times New Roman"/>
          <w:sz w:val="24"/>
          <w:szCs w:val="24"/>
          <w:lang w:val="en-GB"/>
        </w:rPr>
        <w:t xml:space="preserve">er; up to </w:t>
      </w:r>
      <w:r w:rsidR="00434E24" w:rsidRPr="004545BE">
        <w:rPr>
          <w:rFonts w:ascii="Times New Roman" w:hAnsi="Times New Roman" w:cs="Times New Roman"/>
          <w:sz w:val="24"/>
          <w:szCs w:val="24"/>
          <w:lang w:val="en-GB"/>
        </w:rPr>
        <w:t>two</w:t>
      </w:r>
      <w:r w:rsidR="00F7064E" w:rsidRPr="004545BE">
        <w:rPr>
          <w:rFonts w:ascii="Times New Roman" w:hAnsi="Times New Roman" w:cs="Times New Roman"/>
          <w:sz w:val="24"/>
          <w:szCs w:val="24"/>
          <w:lang w:val="en-GB"/>
        </w:rPr>
        <w:t xml:space="preserve"> </w:t>
      </w:r>
      <w:r w:rsidR="00F06C78" w:rsidRPr="004545BE">
        <w:rPr>
          <w:rFonts w:ascii="Times New Roman" w:hAnsi="Times New Roman" w:cs="Times New Roman"/>
          <w:sz w:val="24"/>
          <w:szCs w:val="24"/>
          <w:lang w:val="en-GB"/>
        </w:rPr>
        <w:t>non-</w:t>
      </w:r>
      <w:r w:rsidR="00F7064E" w:rsidRPr="004545BE">
        <w:rPr>
          <w:rFonts w:ascii="Times New Roman" w:hAnsi="Times New Roman" w:cs="Times New Roman"/>
          <w:sz w:val="24"/>
          <w:szCs w:val="24"/>
          <w:lang w:val="en-GB"/>
        </w:rPr>
        <w:t xml:space="preserve">T2DM were matched by age, </w:t>
      </w:r>
      <w:r w:rsidR="00994608" w:rsidRPr="004545BE">
        <w:rPr>
          <w:rFonts w:ascii="Times New Roman" w:hAnsi="Times New Roman" w:cs="Times New Roman"/>
          <w:sz w:val="24"/>
          <w:szCs w:val="24"/>
          <w:lang w:val="en-GB"/>
        </w:rPr>
        <w:t>sex</w:t>
      </w:r>
      <w:r w:rsidR="00F7064E" w:rsidRPr="004545BE">
        <w:rPr>
          <w:rFonts w:ascii="Times New Roman" w:hAnsi="Times New Roman" w:cs="Times New Roman"/>
          <w:sz w:val="24"/>
          <w:szCs w:val="24"/>
          <w:lang w:val="en-GB"/>
        </w:rPr>
        <w:t xml:space="preserve">, and primary care </w:t>
      </w:r>
      <w:r w:rsidR="00845A5B" w:rsidRPr="004545BE">
        <w:rPr>
          <w:rFonts w:ascii="Times New Roman" w:hAnsi="Times New Roman" w:cs="Times New Roman"/>
          <w:sz w:val="24"/>
          <w:szCs w:val="24"/>
          <w:lang w:val="en-GB"/>
        </w:rPr>
        <w:t>facility</w:t>
      </w:r>
      <w:r w:rsidR="00A17A20" w:rsidRPr="004545BE">
        <w:rPr>
          <w:rFonts w:ascii="Times New Roman" w:hAnsi="Times New Roman" w:cs="Times New Roman"/>
          <w:sz w:val="24"/>
          <w:szCs w:val="24"/>
          <w:lang w:val="en-GB"/>
        </w:rPr>
        <w:t>. We used Cox regression model</w:t>
      </w:r>
      <w:r w:rsidR="00F7064E" w:rsidRPr="004545BE">
        <w:rPr>
          <w:rFonts w:ascii="Times New Roman" w:hAnsi="Times New Roman" w:cs="Times New Roman"/>
          <w:sz w:val="24"/>
          <w:szCs w:val="24"/>
          <w:lang w:val="en-GB"/>
        </w:rPr>
        <w:t>s</w:t>
      </w:r>
      <w:r w:rsidR="00A17A20" w:rsidRPr="004545BE">
        <w:rPr>
          <w:rFonts w:ascii="Times New Roman" w:hAnsi="Times New Roman" w:cs="Times New Roman"/>
          <w:sz w:val="24"/>
          <w:szCs w:val="24"/>
          <w:lang w:val="en-GB"/>
        </w:rPr>
        <w:t xml:space="preserve"> to </w:t>
      </w:r>
      <w:r w:rsidR="002204F4" w:rsidRPr="004545BE">
        <w:rPr>
          <w:rFonts w:ascii="Times New Roman" w:hAnsi="Times New Roman" w:cs="Times New Roman"/>
          <w:sz w:val="24"/>
          <w:szCs w:val="24"/>
          <w:lang w:val="en-GB"/>
        </w:rPr>
        <w:t xml:space="preserve">estimate </w:t>
      </w:r>
      <w:r w:rsidR="009A32A3" w:rsidRPr="004545BE">
        <w:rPr>
          <w:rFonts w:ascii="Times New Roman" w:hAnsi="Times New Roman" w:cs="Times New Roman"/>
          <w:sz w:val="24"/>
          <w:szCs w:val="24"/>
          <w:lang w:val="en-GB"/>
        </w:rPr>
        <w:t xml:space="preserve">cause-specific </w:t>
      </w:r>
      <w:r w:rsidR="00F7064E" w:rsidRPr="004545BE">
        <w:rPr>
          <w:rFonts w:ascii="Times New Roman" w:hAnsi="Times New Roman" w:cs="Times New Roman"/>
          <w:sz w:val="24"/>
          <w:szCs w:val="24"/>
          <w:lang w:val="en-GB"/>
        </w:rPr>
        <w:t xml:space="preserve">Hazard Ratio (HR) of </w:t>
      </w:r>
      <w:r w:rsidR="009A32A3" w:rsidRPr="004545BE">
        <w:rPr>
          <w:rFonts w:ascii="Times New Roman" w:hAnsi="Times New Roman" w:cs="Times New Roman"/>
          <w:sz w:val="24"/>
          <w:szCs w:val="24"/>
          <w:lang w:val="en-GB"/>
        </w:rPr>
        <w:t xml:space="preserve">death or </w:t>
      </w:r>
      <w:r w:rsidR="00F7064E" w:rsidRPr="004545BE">
        <w:rPr>
          <w:rFonts w:ascii="Times New Roman" w:hAnsi="Times New Roman" w:cs="Times New Roman"/>
          <w:sz w:val="24"/>
          <w:szCs w:val="24"/>
          <w:lang w:val="en-GB"/>
        </w:rPr>
        <w:t>hip fracture</w:t>
      </w:r>
      <w:r w:rsidR="009A32A3" w:rsidRPr="004545BE">
        <w:rPr>
          <w:rFonts w:ascii="Times New Roman" w:hAnsi="Times New Roman" w:cs="Times New Roman"/>
          <w:sz w:val="24"/>
          <w:szCs w:val="24"/>
          <w:lang w:val="en-GB"/>
        </w:rPr>
        <w:t xml:space="preserve"> </w:t>
      </w:r>
      <w:r w:rsidR="00F7064E" w:rsidRPr="004545BE">
        <w:rPr>
          <w:rFonts w:ascii="Times New Roman" w:hAnsi="Times New Roman" w:cs="Times New Roman"/>
          <w:sz w:val="24"/>
          <w:szCs w:val="24"/>
          <w:lang w:val="en-GB"/>
        </w:rPr>
        <w:t>according to T2DM status</w:t>
      </w:r>
      <w:r w:rsidR="00A17A20" w:rsidRPr="004545BE">
        <w:rPr>
          <w:rFonts w:ascii="Times New Roman" w:hAnsi="Times New Roman" w:cs="Times New Roman"/>
          <w:sz w:val="24"/>
          <w:szCs w:val="24"/>
          <w:lang w:val="en-GB"/>
        </w:rPr>
        <w:t xml:space="preserve">. Fine and Gray </w:t>
      </w:r>
      <w:r w:rsidR="00F7064E" w:rsidRPr="004545BE">
        <w:rPr>
          <w:rFonts w:ascii="Times New Roman" w:hAnsi="Times New Roman" w:cs="Times New Roman"/>
          <w:sz w:val="24"/>
          <w:szCs w:val="24"/>
          <w:lang w:val="en-GB"/>
        </w:rPr>
        <w:t xml:space="preserve">models were then fitted </w:t>
      </w:r>
      <w:r w:rsidR="00A17A20" w:rsidRPr="004545BE">
        <w:rPr>
          <w:rFonts w:ascii="Times New Roman" w:hAnsi="Times New Roman" w:cs="Times New Roman"/>
          <w:sz w:val="24"/>
          <w:szCs w:val="24"/>
          <w:lang w:val="en-GB"/>
        </w:rPr>
        <w:t xml:space="preserve">to </w:t>
      </w:r>
      <w:r w:rsidR="00F7064E" w:rsidRPr="004545BE">
        <w:rPr>
          <w:rFonts w:ascii="Times New Roman" w:hAnsi="Times New Roman" w:cs="Times New Roman"/>
          <w:sz w:val="24"/>
          <w:szCs w:val="24"/>
          <w:lang w:val="en-GB"/>
        </w:rPr>
        <w:t xml:space="preserve">estimate </w:t>
      </w:r>
      <w:r w:rsidR="00DD7910" w:rsidRPr="004545BE">
        <w:rPr>
          <w:rFonts w:ascii="Times New Roman" w:hAnsi="Times New Roman" w:cs="Times New Roman"/>
          <w:sz w:val="24"/>
          <w:szCs w:val="24"/>
          <w:lang w:val="en-GB"/>
        </w:rPr>
        <w:t xml:space="preserve">the </w:t>
      </w:r>
      <w:r w:rsidR="00F7064E" w:rsidRPr="004545BE">
        <w:rPr>
          <w:rFonts w:ascii="Times New Roman" w:hAnsi="Times New Roman" w:cs="Times New Roman"/>
          <w:sz w:val="24"/>
          <w:szCs w:val="24"/>
          <w:lang w:val="en-GB"/>
        </w:rPr>
        <w:t>Subhazard Ratio (SHR) of hip fracture while</w:t>
      </w:r>
      <w:r w:rsidR="00A17A20" w:rsidRPr="004545BE">
        <w:rPr>
          <w:rFonts w:ascii="Times New Roman" w:hAnsi="Times New Roman" w:cs="Times New Roman"/>
          <w:sz w:val="24"/>
          <w:szCs w:val="24"/>
          <w:lang w:val="en-GB"/>
        </w:rPr>
        <w:t xml:space="preserve"> accounting for competing risk </w:t>
      </w:r>
      <w:r w:rsidR="00F7064E" w:rsidRPr="004545BE">
        <w:rPr>
          <w:rFonts w:ascii="Times New Roman" w:hAnsi="Times New Roman" w:cs="Times New Roman"/>
          <w:sz w:val="24"/>
          <w:szCs w:val="24"/>
          <w:lang w:val="en-GB"/>
        </w:rPr>
        <w:t>with death</w:t>
      </w:r>
      <w:r w:rsidR="00E636FF" w:rsidRPr="004545BE">
        <w:rPr>
          <w:rFonts w:ascii="Times New Roman" w:hAnsi="Times New Roman" w:cs="Times New Roman"/>
          <w:sz w:val="24"/>
          <w:szCs w:val="24"/>
          <w:lang w:val="en-GB"/>
        </w:rPr>
        <w:t xml:space="preserve"> and to estimate the probability of hip fracture within 5 years</w:t>
      </w:r>
      <w:r w:rsidR="00A17A20" w:rsidRPr="004545BE">
        <w:rPr>
          <w:rFonts w:ascii="Times New Roman" w:hAnsi="Times New Roman" w:cs="Times New Roman"/>
          <w:sz w:val="24"/>
          <w:szCs w:val="24"/>
          <w:lang w:val="en-GB"/>
        </w:rPr>
        <w:t>.</w:t>
      </w:r>
      <w:r w:rsidR="002204F4" w:rsidRPr="004545BE">
        <w:rPr>
          <w:rFonts w:ascii="Times New Roman" w:hAnsi="Times New Roman" w:cs="Times New Roman"/>
          <w:sz w:val="24"/>
          <w:szCs w:val="24"/>
          <w:lang w:val="en-GB"/>
        </w:rPr>
        <w:t xml:space="preserve"> </w:t>
      </w:r>
      <w:r w:rsidR="00A17A20" w:rsidRPr="004545BE">
        <w:rPr>
          <w:rFonts w:ascii="Times New Roman" w:hAnsi="Times New Roman" w:cs="Times New Roman"/>
          <w:sz w:val="24"/>
          <w:szCs w:val="24"/>
          <w:lang w:val="en-GB"/>
        </w:rPr>
        <w:t>55,891 T2DM</w:t>
      </w:r>
      <w:r w:rsidR="00993C83" w:rsidRPr="004545BE">
        <w:rPr>
          <w:rFonts w:ascii="Times New Roman" w:hAnsi="Times New Roman" w:cs="Times New Roman"/>
          <w:sz w:val="24"/>
          <w:szCs w:val="24"/>
          <w:lang w:val="en-GB"/>
        </w:rPr>
        <w:t xml:space="preserve"> </w:t>
      </w:r>
      <w:r w:rsidR="00A17A20" w:rsidRPr="004545BE">
        <w:rPr>
          <w:rFonts w:ascii="Times New Roman" w:hAnsi="Times New Roman" w:cs="Times New Roman"/>
          <w:sz w:val="24"/>
          <w:szCs w:val="24"/>
          <w:lang w:val="en-GB"/>
        </w:rPr>
        <w:t xml:space="preserve">and 103,093 </w:t>
      </w:r>
      <w:r w:rsidR="00C53703" w:rsidRPr="004545BE">
        <w:rPr>
          <w:rFonts w:ascii="Times New Roman" w:hAnsi="Times New Roman" w:cs="Times New Roman"/>
          <w:sz w:val="24"/>
          <w:szCs w:val="24"/>
          <w:lang w:val="en-GB"/>
        </w:rPr>
        <w:t>matched</w:t>
      </w:r>
      <w:r w:rsidR="00993C83" w:rsidRPr="004545BE">
        <w:rPr>
          <w:rFonts w:ascii="Times New Roman" w:hAnsi="Times New Roman" w:cs="Times New Roman"/>
          <w:sz w:val="24"/>
          <w:szCs w:val="24"/>
          <w:lang w:val="en-GB"/>
        </w:rPr>
        <w:t xml:space="preserve"> </w:t>
      </w:r>
      <w:r w:rsidR="00F06C78" w:rsidRPr="004545BE">
        <w:rPr>
          <w:rFonts w:ascii="Times New Roman" w:hAnsi="Times New Roman" w:cs="Times New Roman"/>
          <w:sz w:val="24"/>
          <w:szCs w:val="24"/>
          <w:lang w:val="en-GB"/>
        </w:rPr>
        <w:t>non-T2DM</w:t>
      </w:r>
      <w:r w:rsidR="00F7064E" w:rsidRPr="004545BE">
        <w:rPr>
          <w:rFonts w:ascii="Times New Roman" w:hAnsi="Times New Roman" w:cs="Times New Roman"/>
          <w:sz w:val="24"/>
          <w:szCs w:val="24"/>
          <w:lang w:val="en-GB"/>
        </w:rPr>
        <w:t xml:space="preserve"> </w:t>
      </w:r>
      <w:r w:rsidR="00507AC8" w:rsidRPr="004545BE">
        <w:rPr>
          <w:rFonts w:ascii="Times New Roman" w:hAnsi="Times New Roman" w:cs="Times New Roman"/>
          <w:sz w:val="24"/>
          <w:szCs w:val="24"/>
          <w:lang w:val="en-GB"/>
        </w:rPr>
        <w:t xml:space="preserve">patients </w:t>
      </w:r>
      <w:r w:rsidR="00F7064E" w:rsidRPr="004545BE">
        <w:rPr>
          <w:rFonts w:ascii="Times New Roman" w:hAnsi="Times New Roman" w:cs="Times New Roman"/>
          <w:sz w:val="24"/>
          <w:szCs w:val="24"/>
          <w:lang w:val="en-GB"/>
        </w:rPr>
        <w:t xml:space="preserve">were </w:t>
      </w:r>
      <w:r w:rsidR="00A17A20" w:rsidRPr="004545BE">
        <w:rPr>
          <w:rFonts w:ascii="Times New Roman" w:hAnsi="Times New Roman" w:cs="Times New Roman"/>
          <w:sz w:val="24"/>
          <w:szCs w:val="24"/>
          <w:lang w:val="en-GB"/>
        </w:rPr>
        <w:t xml:space="preserve">observed for a median of </w:t>
      </w:r>
      <w:r w:rsidR="00DA2870" w:rsidRPr="004545BE">
        <w:rPr>
          <w:rFonts w:ascii="Times New Roman" w:hAnsi="Times New Roman" w:cs="Times New Roman"/>
          <w:sz w:val="24"/>
          <w:szCs w:val="24"/>
          <w:lang w:val="en-GB"/>
        </w:rPr>
        <w:t>8</w:t>
      </w:r>
      <w:r w:rsidR="00A17A20" w:rsidRPr="004545BE">
        <w:rPr>
          <w:rFonts w:ascii="Times New Roman" w:hAnsi="Times New Roman" w:cs="Times New Roman"/>
          <w:sz w:val="24"/>
          <w:szCs w:val="24"/>
          <w:lang w:val="en-GB"/>
        </w:rPr>
        <w:t xml:space="preserve"> years. </w:t>
      </w:r>
      <w:r w:rsidR="00212E8F" w:rsidRPr="004545BE">
        <w:rPr>
          <w:rFonts w:ascii="Times New Roman" w:hAnsi="Times New Roman" w:cs="Times New Roman"/>
          <w:sz w:val="24"/>
          <w:szCs w:val="24"/>
          <w:lang w:val="en-GB"/>
        </w:rPr>
        <w:t>Mortality</w:t>
      </w:r>
      <w:r w:rsidR="00A17A20" w:rsidRPr="004545BE">
        <w:rPr>
          <w:rFonts w:ascii="Times New Roman" w:hAnsi="Times New Roman" w:cs="Times New Roman"/>
          <w:sz w:val="24"/>
          <w:szCs w:val="24"/>
          <w:lang w:val="en-GB"/>
        </w:rPr>
        <w:t xml:space="preserve"> was </w:t>
      </w:r>
      <w:r w:rsidR="009A32A3" w:rsidRPr="004545BE">
        <w:rPr>
          <w:rFonts w:ascii="Times New Roman" w:hAnsi="Times New Roman" w:cs="Times New Roman"/>
          <w:sz w:val="24"/>
          <w:szCs w:val="24"/>
          <w:lang w:val="en-GB"/>
        </w:rPr>
        <w:t>48.8 per 1000 person years (py)</w:t>
      </w:r>
      <w:r w:rsidR="00A17A20" w:rsidRPr="004545BE">
        <w:rPr>
          <w:rFonts w:ascii="Times New Roman" w:hAnsi="Times New Roman" w:cs="Times New Roman"/>
          <w:sz w:val="24"/>
          <w:szCs w:val="24"/>
          <w:lang w:val="en-GB"/>
        </w:rPr>
        <w:t xml:space="preserve"> in T2DM</w:t>
      </w:r>
      <w:r w:rsidR="00212E8F" w:rsidRPr="004545BE">
        <w:rPr>
          <w:rFonts w:ascii="Times New Roman" w:hAnsi="Times New Roman" w:cs="Times New Roman"/>
          <w:sz w:val="24"/>
          <w:szCs w:val="24"/>
          <w:lang w:val="en-GB"/>
        </w:rPr>
        <w:t>,</w:t>
      </w:r>
      <w:r w:rsidR="00A17A20" w:rsidRPr="004545BE">
        <w:rPr>
          <w:rFonts w:ascii="Times New Roman" w:hAnsi="Times New Roman" w:cs="Times New Roman"/>
          <w:sz w:val="24"/>
          <w:szCs w:val="24"/>
          <w:lang w:val="en-GB"/>
        </w:rPr>
        <w:t xml:space="preserve"> and 33.8</w:t>
      </w:r>
      <w:r w:rsidR="009A32A3" w:rsidRPr="004545BE">
        <w:rPr>
          <w:rFonts w:ascii="Times New Roman" w:hAnsi="Times New Roman" w:cs="Times New Roman"/>
          <w:sz w:val="24"/>
          <w:szCs w:val="24"/>
          <w:lang w:val="en-GB"/>
        </w:rPr>
        <w:t xml:space="preserve">per </w:t>
      </w:r>
      <w:r w:rsidR="00A17A20" w:rsidRPr="004545BE">
        <w:rPr>
          <w:rFonts w:ascii="Times New Roman" w:hAnsi="Times New Roman" w:cs="Times New Roman"/>
          <w:sz w:val="24"/>
          <w:szCs w:val="24"/>
          <w:lang w:val="en-GB"/>
        </w:rPr>
        <w:t xml:space="preserve">1,000 </w:t>
      </w:r>
      <w:r w:rsidR="00212E8F" w:rsidRPr="004545BE">
        <w:rPr>
          <w:rFonts w:ascii="Times New Roman" w:hAnsi="Times New Roman" w:cs="Times New Roman"/>
          <w:sz w:val="24"/>
          <w:szCs w:val="24"/>
          <w:lang w:val="en-GB"/>
        </w:rPr>
        <w:t>py</w:t>
      </w:r>
      <w:r w:rsidR="00A17A20" w:rsidRPr="004545BE">
        <w:rPr>
          <w:rFonts w:ascii="Times New Roman" w:hAnsi="Times New Roman" w:cs="Times New Roman"/>
          <w:sz w:val="24"/>
          <w:szCs w:val="24"/>
          <w:lang w:val="en-GB"/>
        </w:rPr>
        <w:t xml:space="preserve"> in </w:t>
      </w:r>
      <w:r w:rsidR="00FE19A2" w:rsidRPr="004545BE">
        <w:rPr>
          <w:rFonts w:ascii="Times New Roman" w:hAnsi="Times New Roman" w:cs="Times New Roman"/>
          <w:sz w:val="24"/>
          <w:szCs w:val="24"/>
          <w:lang w:val="en-GB"/>
        </w:rPr>
        <w:t>non-T2DM</w:t>
      </w:r>
      <w:r w:rsidR="00212E8F" w:rsidRPr="004545BE">
        <w:rPr>
          <w:rFonts w:ascii="Times New Roman" w:hAnsi="Times New Roman" w:cs="Times New Roman"/>
          <w:sz w:val="24"/>
          <w:szCs w:val="24"/>
          <w:lang w:val="en-GB"/>
        </w:rPr>
        <w:t>;</w:t>
      </w:r>
      <w:r w:rsidR="00A17A20" w:rsidRPr="004545BE">
        <w:rPr>
          <w:rFonts w:ascii="Times New Roman" w:hAnsi="Times New Roman" w:cs="Times New Roman"/>
          <w:sz w:val="24"/>
          <w:szCs w:val="24"/>
          <w:lang w:val="en-GB"/>
        </w:rPr>
        <w:t xml:space="preserve"> </w:t>
      </w:r>
      <w:r w:rsidR="00212E8F" w:rsidRPr="004545BE">
        <w:rPr>
          <w:rFonts w:ascii="Times New Roman" w:hAnsi="Times New Roman" w:cs="Times New Roman"/>
          <w:sz w:val="24"/>
          <w:szCs w:val="24"/>
          <w:lang w:val="en-GB"/>
        </w:rPr>
        <w:t>h</w:t>
      </w:r>
      <w:r w:rsidR="00A17A20" w:rsidRPr="004545BE">
        <w:rPr>
          <w:rFonts w:ascii="Times New Roman" w:hAnsi="Times New Roman" w:cs="Times New Roman"/>
          <w:sz w:val="24"/>
          <w:szCs w:val="24"/>
          <w:lang w:val="en-GB"/>
        </w:rPr>
        <w:t xml:space="preserve">ip fracture </w:t>
      </w:r>
      <w:r w:rsidR="00212E8F" w:rsidRPr="004545BE">
        <w:rPr>
          <w:rFonts w:ascii="Times New Roman" w:hAnsi="Times New Roman" w:cs="Times New Roman"/>
          <w:sz w:val="24"/>
          <w:szCs w:val="24"/>
          <w:lang w:val="en-GB"/>
        </w:rPr>
        <w:t xml:space="preserve">rates were </w:t>
      </w:r>
      <w:r w:rsidR="00A17A20" w:rsidRPr="004545BE">
        <w:rPr>
          <w:rFonts w:ascii="Times New Roman" w:hAnsi="Times New Roman" w:cs="Times New Roman"/>
          <w:sz w:val="24"/>
          <w:szCs w:val="24"/>
          <w:lang w:val="en-GB"/>
        </w:rPr>
        <w:t>6.0</w:t>
      </w:r>
      <w:r w:rsidR="00583486">
        <w:rPr>
          <w:rFonts w:ascii="Times New Roman" w:hAnsi="Times New Roman" w:cs="Times New Roman"/>
          <w:sz w:val="24"/>
          <w:szCs w:val="24"/>
          <w:lang w:val="en-GB"/>
        </w:rPr>
        <w:t xml:space="preserve"> </w:t>
      </w:r>
      <w:r w:rsidR="009A32A3" w:rsidRPr="004545BE">
        <w:rPr>
          <w:rFonts w:ascii="Times New Roman" w:hAnsi="Times New Roman" w:cs="Times New Roman"/>
          <w:sz w:val="24"/>
          <w:szCs w:val="24"/>
          <w:lang w:val="en-GB"/>
        </w:rPr>
        <w:lastRenderedPageBreak/>
        <w:t xml:space="preserve">per </w:t>
      </w:r>
      <w:r w:rsidR="00A17A20" w:rsidRPr="004545BE">
        <w:rPr>
          <w:rFonts w:ascii="Times New Roman" w:hAnsi="Times New Roman" w:cs="Times New Roman"/>
          <w:sz w:val="24"/>
          <w:szCs w:val="24"/>
          <w:lang w:val="en-GB"/>
        </w:rPr>
        <w:t>1,000 py and 4.9</w:t>
      </w:r>
      <w:r w:rsidR="009A32A3" w:rsidRPr="004545BE">
        <w:rPr>
          <w:rFonts w:ascii="Times New Roman" w:hAnsi="Times New Roman" w:cs="Times New Roman"/>
          <w:sz w:val="24"/>
          <w:szCs w:val="24"/>
          <w:lang w:val="en-GB"/>
        </w:rPr>
        <w:t xml:space="preserve">per </w:t>
      </w:r>
      <w:r w:rsidR="00A17A20" w:rsidRPr="004545BE">
        <w:rPr>
          <w:rFonts w:ascii="Times New Roman" w:hAnsi="Times New Roman" w:cs="Times New Roman"/>
          <w:sz w:val="24"/>
          <w:szCs w:val="24"/>
          <w:lang w:val="en-GB"/>
        </w:rPr>
        <w:t xml:space="preserve">1,000 py </w:t>
      </w:r>
      <w:r w:rsidR="00212E8F" w:rsidRPr="004545BE">
        <w:rPr>
          <w:rFonts w:ascii="Times New Roman" w:hAnsi="Times New Roman" w:cs="Times New Roman"/>
          <w:sz w:val="24"/>
          <w:szCs w:val="24"/>
          <w:lang w:val="en-GB"/>
        </w:rPr>
        <w:t>respectively.</w:t>
      </w:r>
      <w:r w:rsidR="00A17A20" w:rsidRPr="004545BE">
        <w:rPr>
          <w:rFonts w:ascii="Times New Roman" w:hAnsi="Times New Roman" w:cs="Times New Roman"/>
          <w:sz w:val="24"/>
          <w:szCs w:val="24"/>
          <w:lang w:val="en-GB"/>
        </w:rPr>
        <w:t xml:space="preserve"> Cox model</w:t>
      </w:r>
      <w:r w:rsidR="00212E8F" w:rsidRPr="004545BE">
        <w:rPr>
          <w:rFonts w:ascii="Times New Roman" w:hAnsi="Times New Roman" w:cs="Times New Roman"/>
          <w:sz w:val="24"/>
          <w:szCs w:val="24"/>
          <w:lang w:val="en-GB"/>
        </w:rPr>
        <w:t>s</w:t>
      </w:r>
      <w:r w:rsidR="00A17A20" w:rsidRPr="004545BE">
        <w:rPr>
          <w:rFonts w:ascii="Times New Roman" w:hAnsi="Times New Roman" w:cs="Times New Roman"/>
          <w:sz w:val="24"/>
          <w:szCs w:val="24"/>
          <w:lang w:val="en-GB"/>
        </w:rPr>
        <w:t xml:space="preserve"> </w:t>
      </w:r>
      <w:r w:rsidR="00212E8F" w:rsidRPr="004545BE">
        <w:rPr>
          <w:rFonts w:ascii="Times New Roman" w:hAnsi="Times New Roman" w:cs="Times New Roman"/>
          <w:sz w:val="24"/>
          <w:szCs w:val="24"/>
          <w:lang w:val="en-GB"/>
        </w:rPr>
        <w:t xml:space="preserve">confirmed </w:t>
      </w:r>
      <w:r w:rsidR="00A17A20" w:rsidRPr="004545BE">
        <w:rPr>
          <w:rFonts w:ascii="Times New Roman" w:hAnsi="Times New Roman" w:cs="Times New Roman"/>
          <w:sz w:val="24"/>
          <w:szCs w:val="24"/>
          <w:lang w:val="en-GB"/>
        </w:rPr>
        <w:t>a significant association</w:t>
      </w:r>
      <w:r w:rsidR="00212E8F" w:rsidRPr="004545BE">
        <w:rPr>
          <w:rFonts w:ascii="Times New Roman" w:hAnsi="Times New Roman" w:cs="Times New Roman"/>
          <w:sz w:val="24"/>
          <w:szCs w:val="24"/>
          <w:lang w:val="en-GB"/>
        </w:rPr>
        <w:t xml:space="preserve"> </w:t>
      </w:r>
      <w:r w:rsidR="00D43775" w:rsidRPr="004545BE">
        <w:rPr>
          <w:rFonts w:ascii="Times New Roman" w:hAnsi="Times New Roman" w:cs="Times New Roman"/>
          <w:sz w:val="24"/>
          <w:szCs w:val="24"/>
          <w:lang w:val="en-GB"/>
        </w:rPr>
        <w:t>for death and hip fracture</w:t>
      </w:r>
      <w:r w:rsidR="00212E8F" w:rsidRPr="004545BE">
        <w:rPr>
          <w:rFonts w:ascii="Times New Roman" w:hAnsi="Times New Roman" w:cs="Times New Roman"/>
          <w:sz w:val="24"/>
          <w:szCs w:val="24"/>
          <w:lang w:val="en-GB"/>
        </w:rPr>
        <w:t>:</w:t>
      </w:r>
      <w:r w:rsidR="00A17A20" w:rsidRPr="004545BE">
        <w:rPr>
          <w:rFonts w:ascii="Times New Roman" w:hAnsi="Times New Roman" w:cs="Times New Roman"/>
          <w:sz w:val="24"/>
          <w:szCs w:val="24"/>
          <w:lang w:val="en-GB"/>
        </w:rPr>
        <w:t xml:space="preserve"> </w:t>
      </w:r>
      <w:r w:rsidR="00212E8F" w:rsidRPr="004545BE">
        <w:rPr>
          <w:rFonts w:ascii="Times New Roman" w:hAnsi="Times New Roman" w:cs="Times New Roman"/>
          <w:sz w:val="24"/>
          <w:szCs w:val="24"/>
          <w:lang w:val="en-GB"/>
        </w:rPr>
        <w:t>HR</w:t>
      </w:r>
      <w:r w:rsidR="00AE6F63" w:rsidRPr="004545BE">
        <w:rPr>
          <w:rFonts w:ascii="Times New Roman" w:hAnsi="Times New Roman" w:cs="Times New Roman"/>
          <w:sz w:val="24"/>
          <w:szCs w:val="24"/>
          <w:lang w:val="en-GB"/>
        </w:rPr>
        <w:t>=</w:t>
      </w:r>
      <w:r w:rsidR="00212E8F" w:rsidRPr="004545BE">
        <w:rPr>
          <w:rFonts w:ascii="Times New Roman" w:hAnsi="Times New Roman" w:cs="Times New Roman"/>
          <w:sz w:val="24"/>
          <w:szCs w:val="24"/>
          <w:lang w:val="en-GB"/>
        </w:rPr>
        <w:t xml:space="preserve">1.51 [95% CI 1.48 to 1.55], and </w:t>
      </w:r>
      <w:r w:rsidR="00AE6F63" w:rsidRPr="004545BE">
        <w:rPr>
          <w:rFonts w:ascii="Times New Roman" w:hAnsi="Times New Roman" w:cs="Times New Roman"/>
          <w:sz w:val="24"/>
          <w:szCs w:val="24"/>
          <w:lang w:val="en-GB"/>
        </w:rPr>
        <w:t>HR=</w:t>
      </w:r>
      <w:r w:rsidR="00A17A20" w:rsidRPr="004545BE">
        <w:rPr>
          <w:rFonts w:ascii="Times New Roman" w:hAnsi="Times New Roman" w:cs="Times New Roman"/>
          <w:sz w:val="24"/>
          <w:szCs w:val="24"/>
          <w:lang w:val="en-GB"/>
        </w:rPr>
        <w:t>1.32 [95% CI 1.24 to 1.40]</w:t>
      </w:r>
      <w:r w:rsidR="00212E8F" w:rsidRPr="004545BE">
        <w:rPr>
          <w:rFonts w:ascii="Times New Roman" w:hAnsi="Times New Roman" w:cs="Times New Roman"/>
          <w:sz w:val="24"/>
          <w:szCs w:val="24"/>
          <w:lang w:val="en-GB"/>
        </w:rPr>
        <w:t xml:space="preserve"> </w:t>
      </w:r>
      <w:r w:rsidR="00D43775" w:rsidRPr="004545BE">
        <w:rPr>
          <w:rFonts w:ascii="Times New Roman" w:hAnsi="Times New Roman" w:cs="Times New Roman"/>
          <w:sz w:val="24"/>
          <w:szCs w:val="24"/>
          <w:lang w:val="en-GB"/>
        </w:rPr>
        <w:t>respectively</w:t>
      </w:r>
      <w:r w:rsidR="00A17A20" w:rsidRPr="004545BE">
        <w:rPr>
          <w:rFonts w:ascii="Times New Roman" w:hAnsi="Times New Roman" w:cs="Times New Roman"/>
          <w:sz w:val="24"/>
          <w:szCs w:val="24"/>
          <w:lang w:val="en-GB"/>
        </w:rPr>
        <w:t>. Accounting for death as a competing event</w:t>
      </w:r>
      <w:r w:rsidR="00212E8F" w:rsidRPr="004545BE">
        <w:rPr>
          <w:rFonts w:ascii="Times New Roman" w:hAnsi="Times New Roman" w:cs="Times New Roman"/>
          <w:sz w:val="24"/>
          <w:szCs w:val="24"/>
          <w:lang w:val="en-GB"/>
        </w:rPr>
        <w:t xml:space="preserve"> (Fine-Gray models)</w:t>
      </w:r>
      <w:r w:rsidR="00A17A20" w:rsidRPr="004545BE">
        <w:rPr>
          <w:rFonts w:ascii="Times New Roman" w:hAnsi="Times New Roman" w:cs="Times New Roman"/>
          <w:sz w:val="24"/>
          <w:szCs w:val="24"/>
          <w:lang w:val="en-GB"/>
        </w:rPr>
        <w:t>, the association between T2DM and hip fracture</w:t>
      </w:r>
      <w:r w:rsidR="00212E8F" w:rsidRPr="004545BE">
        <w:rPr>
          <w:rFonts w:ascii="Times New Roman" w:hAnsi="Times New Roman" w:cs="Times New Roman"/>
          <w:sz w:val="24"/>
          <w:szCs w:val="24"/>
          <w:lang w:val="en-GB"/>
        </w:rPr>
        <w:t xml:space="preserve"> risk</w:t>
      </w:r>
      <w:r w:rsidR="00A17A20" w:rsidRPr="004545BE">
        <w:rPr>
          <w:rFonts w:ascii="Times New Roman" w:hAnsi="Times New Roman" w:cs="Times New Roman"/>
          <w:sz w:val="24"/>
          <w:szCs w:val="24"/>
          <w:lang w:val="en-GB"/>
        </w:rPr>
        <w:t xml:space="preserve"> </w:t>
      </w:r>
      <w:r w:rsidR="002D49B6" w:rsidRPr="004545BE">
        <w:rPr>
          <w:rFonts w:ascii="Times New Roman" w:hAnsi="Times New Roman" w:cs="Times New Roman"/>
          <w:sz w:val="24"/>
          <w:szCs w:val="24"/>
          <w:lang w:val="en-GB"/>
        </w:rPr>
        <w:t>remained</w:t>
      </w:r>
      <w:r w:rsidR="00212E8F" w:rsidRPr="004545BE">
        <w:rPr>
          <w:rFonts w:ascii="Times New Roman" w:hAnsi="Times New Roman" w:cs="Times New Roman"/>
          <w:sz w:val="24"/>
          <w:szCs w:val="24"/>
          <w:lang w:val="en-GB"/>
        </w:rPr>
        <w:t xml:space="preserve"> </w:t>
      </w:r>
      <w:r w:rsidR="00A17A20" w:rsidRPr="004545BE">
        <w:rPr>
          <w:rFonts w:ascii="Times New Roman" w:hAnsi="Times New Roman" w:cs="Times New Roman"/>
          <w:sz w:val="24"/>
          <w:szCs w:val="24"/>
          <w:lang w:val="en-GB"/>
        </w:rPr>
        <w:t>statistically significant (</w:t>
      </w:r>
      <w:r w:rsidR="002E67F7" w:rsidRPr="00D26D64">
        <w:rPr>
          <w:rFonts w:ascii="Times New Roman" w:hAnsi="Times New Roman" w:cs="Times New Roman"/>
          <w:sz w:val="24"/>
          <w:szCs w:val="24"/>
          <w:lang w:val="en-GB"/>
        </w:rPr>
        <w:t>sHR=1.15 [95% CI 1.09 to 1.21]</w:t>
      </w:r>
      <w:r w:rsidR="00C76E9D" w:rsidRPr="004545BE">
        <w:rPr>
          <w:rFonts w:ascii="Times New Roman" w:hAnsi="Times New Roman" w:cs="Times New Roman"/>
          <w:sz w:val="24"/>
          <w:szCs w:val="24"/>
          <w:lang w:val="en-GB"/>
        </w:rPr>
        <w:t>) and the probability of a h</w:t>
      </w:r>
      <w:r w:rsidR="00004D01" w:rsidRPr="004545BE">
        <w:rPr>
          <w:rFonts w:ascii="Times New Roman" w:hAnsi="Times New Roman" w:cs="Times New Roman"/>
          <w:sz w:val="24"/>
          <w:szCs w:val="24"/>
          <w:lang w:val="en-GB"/>
        </w:rPr>
        <w:t>ip fracture within 5 years was 2</w:t>
      </w:r>
      <w:r w:rsidR="00C76E9D" w:rsidRPr="004545BE">
        <w:rPr>
          <w:rFonts w:ascii="Times New Roman" w:hAnsi="Times New Roman" w:cs="Times New Roman"/>
          <w:sz w:val="24"/>
          <w:szCs w:val="24"/>
          <w:lang w:val="en-GB"/>
        </w:rPr>
        <w:t>.</w:t>
      </w:r>
      <w:r w:rsidR="00004D01" w:rsidRPr="004545BE">
        <w:rPr>
          <w:rFonts w:ascii="Times New Roman" w:hAnsi="Times New Roman" w:cs="Times New Roman"/>
          <w:sz w:val="24"/>
          <w:szCs w:val="24"/>
          <w:lang w:val="en-GB"/>
        </w:rPr>
        <w:t>3</w:t>
      </w:r>
      <w:r w:rsidR="00C76E9D" w:rsidRPr="004545BE">
        <w:rPr>
          <w:rFonts w:ascii="Times New Roman" w:hAnsi="Times New Roman" w:cs="Times New Roman"/>
          <w:sz w:val="24"/>
          <w:szCs w:val="24"/>
          <w:lang w:val="en-GB"/>
        </w:rPr>
        <w:t xml:space="preserve">% for TD2M and </w:t>
      </w:r>
      <w:r w:rsidR="00004D01" w:rsidRPr="004545BE">
        <w:rPr>
          <w:rFonts w:ascii="Times New Roman" w:hAnsi="Times New Roman" w:cs="Times New Roman"/>
          <w:sz w:val="24"/>
          <w:szCs w:val="24"/>
          <w:lang w:val="en-GB"/>
        </w:rPr>
        <w:t>1.9</w:t>
      </w:r>
      <w:r w:rsidR="00D9040E" w:rsidRPr="004545BE">
        <w:rPr>
          <w:rFonts w:ascii="Times New Roman" w:hAnsi="Times New Roman" w:cs="Times New Roman"/>
          <w:sz w:val="24"/>
          <w:szCs w:val="24"/>
          <w:lang w:val="en-GB"/>
        </w:rPr>
        <w:t>%</w:t>
      </w:r>
      <w:r w:rsidR="00C76E9D" w:rsidRPr="004545BE">
        <w:rPr>
          <w:rFonts w:ascii="Times New Roman" w:hAnsi="Times New Roman" w:cs="Times New Roman"/>
          <w:sz w:val="24"/>
          <w:szCs w:val="24"/>
          <w:lang w:val="en-GB"/>
        </w:rPr>
        <w:t xml:space="preserve"> for non-TD2M patients</w:t>
      </w:r>
      <w:r w:rsidR="00D9040E" w:rsidRPr="004545BE">
        <w:rPr>
          <w:rFonts w:ascii="Times New Roman" w:hAnsi="Times New Roman" w:cs="Times New Roman"/>
          <w:sz w:val="24"/>
          <w:szCs w:val="24"/>
          <w:lang w:val="en-GB"/>
        </w:rPr>
        <w:t xml:space="preserve"> compared to </w:t>
      </w:r>
      <w:r w:rsidR="00AE4623" w:rsidRPr="004545BE">
        <w:rPr>
          <w:rFonts w:ascii="Times New Roman" w:hAnsi="Times New Roman" w:cs="Times New Roman"/>
          <w:sz w:val="24"/>
          <w:szCs w:val="24"/>
          <w:lang w:val="en-GB"/>
        </w:rPr>
        <w:t>2.</w:t>
      </w:r>
      <w:r w:rsidR="00004D01" w:rsidRPr="004545BE">
        <w:rPr>
          <w:rFonts w:ascii="Times New Roman" w:hAnsi="Times New Roman" w:cs="Times New Roman"/>
          <w:sz w:val="24"/>
          <w:szCs w:val="24"/>
          <w:lang w:val="en-GB"/>
        </w:rPr>
        <w:t>6</w:t>
      </w:r>
      <w:r w:rsidR="00D9040E" w:rsidRPr="004545BE">
        <w:rPr>
          <w:rFonts w:ascii="Times New Roman" w:hAnsi="Times New Roman" w:cs="Times New Roman"/>
          <w:sz w:val="24"/>
          <w:szCs w:val="24"/>
          <w:lang w:val="en-GB"/>
        </w:rPr>
        <w:t xml:space="preserve">% and </w:t>
      </w:r>
      <w:r w:rsidR="00004D01" w:rsidRPr="004545BE">
        <w:rPr>
          <w:rFonts w:ascii="Times New Roman" w:hAnsi="Times New Roman" w:cs="Times New Roman"/>
          <w:sz w:val="24"/>
          <w:szCs w:val="24"/>
          <w:lang w:val="en-GB"/>
        </w:rPr>
        <w:t>2</w:t>
      </w:r>
      <w:r w:rsidR="00AE4623" w:rsidRPr="004545BE">
        <w:rPr>
          <w:rFonts w:ascii="Times New Roman" w:hAnsi="Times New Roman" w:cs="Times New Roman"/>
          <w:sz w:val="24"/>
          <w:szCs w:val="24"/>
          <w:lang w:val="en-GB"/>
        </w:rPr>
        <w:t>.</w:t>
      </w:r>
      <w:r w:rsidR="00004D01" w:rsidRPr="004545BE">
        <w:rPr>
          <w:rFonts w:ascii="Times New Roman" w:hAnsi="Times New Roman" w:cs="Times New Roman"/>
          <w:sz w:val="24"/>
          <w:szCs w:val="24"/>
          <w:lang w:val="en-GB"/>
        </w:rPr>
        <w:t>1</w:t>
      </w:r>
      <w:r w:rsidR="00D9040E" w:rsidRPr="004545BE">
        <w:rPr>
          <w:rFonts w:ascii="Times New Roman" w:hAnsi="Times New Roman" w:cs="Times New Roman"/>
          <w:sz w:val="24"/>
          <w:szCs w:val="24"/>
          <w:lang w:val="en-GB"/>
        </w:rPr>
        <w:t>% respectively using KM estimates</w:t>
      </w:r>
      <w:r w:rsidR="00C76E9D" w:rsidRPr="004545BE">
        <w:rPr>
          <w:rFonts w:ascii="Times New Roman" w:hAnsi="Times New Roman" w:cs="Times New Roman"/>
          <w:sz w:val="24"/>
          <w:szCs w:val="24"/>
          <w:lang w:val="en-GB"/>
        </w:rPr>
        <w:t>.</w:t>
      </w:r>
      <w:r w:rsidR="00583486">
        <w:rPr>
          <w:rFonts w:ascii="Times New Roman" w:hAnsi="Times New Roman" w:cs="Times New Roman"/>
          <w:sz w:val="24"/>
          <w:szCs w:val="24"/>
          <w:lang w:val="en-GB"/>
        </w:rPr>
        <w:t xml:space="preserve"> </w:t>
      </w:r>
      <w:r w:rsidR="00FE19A2" w:rsidRPr="004545BE">
        <w:rPr>
          <w:rFonts w:ascii="Times New Roman" w:hAnsi="Times New Roman" w:cs="Times New Roman"/>
          <w:sz w:val="24"/>
          <w:szCs w:val="24"/>
          <w:lang w:val="en-GB"/>
        </w:rPr>
        <w:t>T2DM patients have a</w:t>
      </w:r>
      <w:r w:rsidR="00212E8F" w:rsidRPr="004545BE">
        <w:rPr>
          <w:rFonts w:ascii="Times New Roman" w:hAnsi="Times New Roman" w:cs="Times New Roman"/>
          <w:sz w:val="24"/>
          <w:szCs w:val="24"/>
          <w:lang w:val="en-GB"/>
        </w:rPr>
        <w:t xml:space="preserve"> 50%</w:t>
      </w:r>
      <w:r w:rsidR="00FE19A2" w:rsidRPr="004545BE">
        <w:rPr>
          <w:rFonts w:ascii="Times New Roman" w:hAnsi="Times New Roman" w:cs="Times New Roman"/>
          <w:sz w:val="24"/>
          <w:szCs w:val="24"/>
          <w:lang w:val="en-GB"/>
        </w:rPr>
        <w:t xml:space="preserve"> increased mortality and</w:t>
      </w:r>
      <w:r w:rsidR="00212E8F" w:rsidRPr="004545BE">
        <w:rPr>
          <w:rFonts w:ascii="Times New Roman" w:hAnsi="Times New Roman" w:cs="Times New Roman"/>
          <w:sz w:val="24"/>
          <w:szCs w:val="24"/>
          <w:lang w:val="en-GB"/>
        </w:rPr>
        <w:t>, after adjusting</w:t>
      </w:r>
      <w:r w:rsidR="00C76E9D" w:rsidRPr="004545BE">
        <w:rPr>
          <w:rFonts w:ascii="Times New Roman" w:hAnsi="Times New Roman" w:cs="Times New Roman"/>
          <w:sz w:val="24"/>
          <w:szCs w:val="24"/>
          <w:lang w:val="en-GB"/>
        </w:rPr>
        <w:t xml:space="preserve"> for differential survival</w:t>
      </w:r>
      <w:r w:rsidR="001D0281">
        <w:rPr>
          <w:rFonts w:ascii="Times New Roman" w:hAnsi="Times New Roman" w:cs="Times New Roman"/>
          <w:sz w:val="24"/>
          <w:szCs w:val="24"/>
          <w:lang w:val="en-GB"/>
        </w:rPr>
        <w:t xml:space="preserve"> </w:t>
      </w:r>
      <w:r w:rsidR="001D0281" w:rsidRPr="00D26D64">
        <w:rPr>
          <w:rFonts w:ascii="Times New Roman" w:hAnsi="Times New Roman" w:cs="Times New Roman"/>
          <w:sz w:val="24"/>
          <w:szCs w:val="24"/>
          <w:lang w:val="en-GB"/>
        </w:rPr>
        <w:t>at 5 years</w:t>
      </w:r>
      <w:r w:rsidR="00C76E9D" w:rsidRPr="004545BE">
        <w:rPr>
          <w:rFonts w:ascii="Times New Roman" w:hAnsi="Times New Roman" w:cs="Times New Roman"/>
          <w:sz w:val="24"/>
          <w:szCs w:val="24"/>
          <w:lang w:val="en-GB"/>
        </w:rPr>
        <w:t xml:space="preserve">, </w:t>
      </w:r>
      <w:r w:rsidR="00C76E9D" w:rsidRPr="001D0281">
        <w:rPr>
          <w:rFonts w:ascii="Times New Roman" w:hAnsi="Times New Roman" w:cs="Times New Roman"/>
          <w:sz w:val="24"/>
          <w:szCs w:val="24"/>
          <w:lang w:val="en-GB"/>
        </w:rPr>
        <w:t xml:space="preserve">a </w:t>
      </w:r>
      <w:r w:rsidR="00915A01" w:rsidRPr="001D0281">
        <w:rPr>
          <w:rFonts w:ascii="Times New Roman" w:hAnsi="Times New Roman" w:cs="Times New Roman"/>
          <w:sz w:val="24"/>
          <w:szCs w:val="24"/>
          <w:lang w:val="en-GB"/>
        </w:rPr>
        <w:t>21</w:t>
      </w:r>
      <w:r w:rsidR="00212E8F" w:rsidRPr="001D0281">
        <w:rPr>
          <w:rFonts w:ascii="Times New Roman" w:hAnsi="Times New Roman" w:cs="Times New Roman"/>
          <w:sz w:val="24"/>
          <w:szCs w:val="24"/>
          <w:lang w:val="en-GB"/>
        </w:rPr>
        <w:t>%</w:t>
      </w:r>
      <w:r w:rsidR="00212E8F" w:rsidRPr="00583486">
        <w:rPr>
          <w:rFonts w:ascii="Times New Roman" w:hAnsi="Times New Roman" w:cs="Times New Roman"/>
          <w:sz w:val="24"/>
          <w:szCs w:val="24"/>
          <w:lang w:val="en-GB"/>
        </w:rPr>
        <w:t xml:space="preserve"> </w:t>
      </w:r>
      <w:r w:rsidR="00915A01" w:rsidRPr="004545BE">
        <w:rPr>
          <w:rFonts w:ascii="Times New Roman" w:hAnsi="Times New Roman" w:cs="Times New Roman"/>
          <w:sz w:val="24"/>
          <w:szCs w:val="24"/>
          <w:lang w:val="en-GB"/>
        </w:rPr>
        <w:t xml:space="preserve">increased </w:t>
      </w:r>
      <w:r w:rsidR="001D0281" w:rsidRPr="00D26D64">
        <w:rPr>
          <w:rFonts w:ascii="Times New Roman" w:hAnsi="Times New Roman" w:cs="Times New Roman"/>
          <w:sz w:val="24"/>
          <w:szCs w:val="24"/>
          <w:lang w:val="en-GB"/>
        </w:rPr>
        <w:t>incidence</w:t>
      </w:r>
      <w:r w:rsidR="00212E8F" w:rsidRPr="004545BE">
        <w:rPr>
          <w:rFonts w:ascii="Times New Roman" w:hAnsi="Times New Roman" w:cs="Times New Roman"/>
          <w:sz w:val="24"/>
          <w:szCs w:val="24"/>
          <w:lang w:val="en-GB"/>
        </w:rPr>
        <w:t xml:space="preserve"> of </w:t>
      </w:r>
      <w:r w:rsidR="00FE19A2" w:rsidRPr="004545BE">
        <w:rPr>
          <w:rFonts w:ascii="Times New Roman" w:hAnsi="Times New Roman" w:cs="Times New Roman"/>
          <w:sz w:val="24"/>
          <w:szCs w:val="24"/>
          <w:lang w:val="en-GB"/>
        </w:rPr>
        <w:t xml:space="preserve">hip fracture when compared to matched non-T2DM. </w:t>
      </w:r>
      <w:r w:rsidR="00212E8F" w:rsidRPr="004545BE">
        <w:rPr>
          <w:rFonts w:ascii="Times New Roman" w:hAnsi="Times New Roman" w:cs="Times New Roman"/>
          <w:sz w:val="24"/>
          <w:szCs w:val="24"/>
          <w:lang w:val="en-GB"/>
        </w:rPr>
        <w:t>Failing to account for differential mortality leads to a</w:t>
      </w:r>
      <w:r w:rsidR="0028604E" w:rsidRPr="004545BE">
        <w:rPr>
          <w:rFonts w:ascii="Times New Roman" w:hAnsi="Times New Roman" w:cs="Times New Roman"/>
          <w:sz w:val="24"/>
          <w:szCs w:val="24"/>
          <w:lang w:val="en-GB"/>
        </w:rPr>
        <w:t>n</w:t>
      </w:r>
      <w:r w:rsidR="00212E8F" w:rsidRPr="004545BE">
        <w:rPr>
          <w:rFonts w:ascii="Times New Roman" w:hAnsi="Times New Roman" w:cs="Times New Roman"/>
          <w:sz w:val="24"/>
          <w:szCs w:val="24"/>
          <w:lang w:val="en-GB"/>
        </w:rPr>
        <w:t xml:space="preserve"> overestimation of </w:t>
      </w:r>
      <w:r w:rsidR="0071138B">
        <w:rPr>
          <w:rFonts w:ascii="Times New Roman" w:hAnsi="Times New Roman" w:cs="Times New Roman"/>
          <w:sz w:val="24"/>
          <w:szCs w:val="24"/>
          <w:lang w:val="en-GB"/>
        </w:rPr>
        <w:t xml:space="preserve">fracture </w:t>
      </w:r>
      <w:r w:rsidR="00212E8F" w:rsidRPr="004545BE">
        <w:rPr>
          <w:rFonts w:ascii="Times New Roman" w:hAnsi="Times New Roman" w:cs="Times New Roman"/>
          <w:sz w:val="24"/>
          <w:szCs w:val="24"/>
          <w:lang w:val="en-GB"/>
        </w:rPr>
        <w:t>risk</w:t>
      </w:r>
      <w:r w:rsidR="00CE6AC0" w:rsidRPr="004545BE">
        <w:rPr>
          <w:rFonts w:ascii="Times New Roman" w:hAnsi="Times New Roman" w:cs="Times New Roman"/>
          <w:sz w:val="24"/>
          <w:szCs w:val="24"/>
          <w:lang w:val="en-GB"/>
        </w:rPr>
        <w:t>.</w:t>
      </w:r>
    </w:p>
    <w:p w:rsidR="005060D7" w:rsidRPr="004545BE" w:rsidRDefault="005060D7" w:rsidP="009123BE">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Key words: Fracture Risk Assessment, Type 2 Diabetes Mellitus, Competing Risk</w:t>
      </w:r>
      <w:r w:rsidR="004E275C" w:rsidRPr="004545BE">
        <w:rPr>
          <w:rFonts w:ascii="Times New Roman" w:hAnsi="Times New Roman" w:cs="Times New Roman"/>
          <w:sz w:val="24"/>
          <w:szCs w:val="24"/>
          <w:lang w:val="en-GB"/>
        </w:rPr>
        <w:t>, Epidemilogy</w:t>
      </w:r>
      <w:r w:rsidR="00D43775" w:rsidRPr="004545BE">
        <w:rPr>
          <w:rFonts w:ascii="Times New Roman" w:hAnsi="Times New Roman" w:cs="Times New Roman"/>
          <w:sz w:val="24"/>
          <w:szCs w:val="24"/>
          <w:lang w:val="en-GB"/>
        </w:rPr>
        <w:t xml:space="preserve"> and </w:t>
      </w:r>
      <w:r w:rsidR="004E275C" w:rsidRPr="004545BE">
        <w:rPr>
          <w:rFonts w:ascii="Times New Roman" w:hAnsi="Times New Roman" w:cs="Times New Roman"/>
          <w:sz w:val="24"/>
          <w:szCs w:val="24"/>
          <w:lang w:val="en-GB"/>
        </w:rPr>
        <w:t>Osteoporosis</w:t>
      </w:r>
      <w:r w:rsidRPr="004545BE">
        <w:rPr>
          <w:rFonts w:ascii="Times New Roman" w:hAnsi="Times New Roman" w:cs="Times New Roman"/>
          <w:sz w:val="24"/>
          <w:szCs w:val="24"/>
          <w:lang w:val="en-GB"/>
        </w:rPr>
        <w:t xml:space="preserve">. </w:t>
      </w:r>
    </w:p>
    <w:p w:rsidR="00EB6415" w:rsidRPr="004545BE" w:rsidRDefault="00EB6415" w:rsidP="009123BE">
      <w:pPr>
        <w:spacing w:line="480" w:lineRule="auto"/>
        <w:rPr>
          <w:rFonts w:ascii="Times New Roman" w:hAnsi="Times New Roman" w:cs="Times New Roman"/>
          <w:sz w:val="24"/>
          <w:szCs w:val="24"/>
          <w:lang w:val="en-GB"/>
        </w:rPr>
      </w:pPr>
      <w:r w:rsidRPr="004545BE">
        <w:rPr>
          <w:rFonts w:ascii="Times New Roman" w:hAnsi="Times New Roman" w:cs="Times New Roman"/>
          <w:sz w:val="24"/>
          <w:szCs w:val="24"/>
          <w:lang w:val="en-GB"/>
        </w:rPr>
        <w:br w:type="page"/>
      </w:r>
    </w:p>
    <w:p w:rsidR="00BF6331" w:rsidRPr="004545BE" w:rsidRDefault="008E51FD" w:rsidP="009123BE">
      <w:pPr>
        <w:spacing w:line="480" w:lineRule="auto"/>
        <w:jc w:val="both"/>
        <w:rPr>
          <w:rFonts w:ascii="Times New Roman" w:hAnsi="Times New Roman" w:cs="Times New Roman"/>
          <w:b/>
          <w:sz w:val="24"/>
          <w:szCs w:val="24"/>
          <w:lang w:val="en-GB"/>
        </w:rPr>
      </w:pPr>
      <w:r w:rsidRPr="004545BE">
        <w:rPr>
          <w:rFonts w:ascii="Times New Roman" w:hAnsi="Times New Roman" w:cs="Times New Roman"/>
          <w:b/>
          <w:sz w:val="24"/>
          <w:szCs w:val="24"/>
          <w:lang w:val="en-GB"/>
        </w:rPr>
        <w:lastRenderedPageBreak/>
        <w:t>INTRODUCTION</w:t>
      </w:r>
    </w:p>
    <w:p w:rsidR="00512C8C" w:rsidRPr="004545BE" w:rsidRDefault="005A7D5B" w:rsidP="009123BE">
      <w:pPr>
        <w:spacing w:line="480" w:lineRule="auto"/>
        <w:jc w:val="both"/>
        <w:rPr>
          <w:rFonts w:ascii="Times New Roman" w:hAnsi="Times New Roman" w:cs="Times New Roman"/>
          <w:color w:val="000000"/>
          <w:sz w:val="24"/>
          <w:szCs w:val="24"/>
          <w:shd w:val="clear" w:color="auto" w:fill="FFFFFF"/>
          <w:lang w:val="en-GB"/>
        </w:rPr>
      </w:pPr>
      <w:r w:rsidRPr="004545BE">
        <w:rPr>
          <w:rFonts w:ascii="Times New Roman" w:hAnsi="Times New Roman" w:cs="Times New Roman"/>
          <w:color w:val="000000"/>
          <w:sz w:val="24"/>
          <w:szCs w:val="24"/>
          <w:shd w:val="clear" w:color="auto" w:fill="FFFFFF"/>
          <w:lang w:val="en-GB"/>
        </w:rPr>
        <w:t>Diabetes is a leading underlying or contributing cause of death in high-income countries</w:t>
      </w:r>
      <w:r w:rsidR="00EF4443" w:rsidRPr="004545BE">
        <w:rPr>
          <w:rFonts w:ascii="Times New Roman" w:hAnsi="Times New Roman" w:cs="Times New Roman"/>
          <w:color w:val="000000"/>
          <w:sz w:val="24"/>
          <w:szCs w:val="24"/>
          <w:shd w:val="clear" w:color="auto" w:fill="FFFFFF"/>
          <w:lang w:val="en-GB"/>
        </w:rPr>
        <w:fldChar w:fldCharType="begin" w:fldLock="1"/>
      </w:r>
      <w:r w:rsidR="003805DA" w:rsidRPr="004545BE">
        <w:rPr>
          <w:rFonts w:ascii="Times New Roman" w:hAnsi="Times New Roman" w:cs="Times New Roman"/>
          <w:color w:val="000000"/>
          <w:sz w:val="24"/>
          <w:szCs w:val="24"/>
          <w:shd w:val="clear" w:color="auto" w:fill="FFFFFF"/>
          <w:lang w:val="en-GB"/>
        </w:rPr>
        <w:instrText>ADDIN CSL_CITATION { "citationItems" : [ { "id" : "ITEM-1", "itemData" : { "DOI" : "10.1016/j.diabres.2017.03.024", "ISBN" : "2930229802", "ISSN" : "18728227", "PMID" : "28437734", "abstract" : "Aim To produce current estimates of the national, regional and global impact of diabetes for 2015 and 2040. Methods A systematic literature review was conducted to identify data sources on the prevalence of diabetes from studies conducted in the period from 1990 to 2015. An analytic hierarchy process was used to select the most appropriate studies for each country, and estimates for countries without data were modelled using extrapolation from similar countries that had available data. A logistic regression model was used to generate smoothed age-specific estimates, which were applied to UN population estimates. Results 540 data sources were reviewed, of which 196 sources from 111 countries were selected. In 2015 it was estimated that there were 415 million (uncertainty interval: 340\u2013536 million) people with diabetes aged 20\u201379\u00a0years, 5.0 million deaths attributable to diabetes, and the total global health expenditure due to diabetes was estimated at 673 billion US dollars. Three quarters (75%) of those with diabetes were living in low- and middle-income countries. The number of people with diabetes aged 20\u201379\u00a0years was predicted to rise to 642 million (uncertainty interval: 521\u2013829 million) by 2040. Conclusion Diabetes prevalence, deaths attributable to diabetes, and health expenditure due to diabetes continue to rise across the globe with important social, financial and health system implications.", "author" : [ { "dropping-particle" : "", "family" : "Ogurtsova", "given" : "K.", "non-dropping-particle" : "", "parse-names" : false, "suffix" : "" }, { "dropping-particle" : "", "family" : "Rocha Fernandes", "given" : "J. D.", "non-dropping-particle" : "da", "parse-names" : false, "suffix" : "" }, { "dropping-particle" : "", "family" : "Huang", "given" : "Y.", "non-dropping-particle" : "", "parse-names" : false, "suffix" : "" }, { "dropping-particle" : "", "family" : "Linnenkamp", "given" : "U.", "non-dropping-particle" : "", "parse-names" : false, "suffix" : "" }, { "dropping-particle" : "", "family" : "Guariguata", "given" : "L.", "non-dropping-particle" : "", "parse-names" : false, "suffix" : "" }, { "dropping-particle" : "", "family" : "Cho", "given" : "N. H.", "non-dropping-particle" : "", "parse-names" : false, "suffix" : "" }, { "dropping-particle" : "", "family" : "Cavan", "given" : "D.", "non-dropping-particle" : "", "parse-names" : false, "suffix" : "" }, { "dropping-particle" : "", "family" : "Shaw", "given" : "J. E.", "non-dropping-particle" : "", "parse-names" : false, "suffix" : "" }, { "dropping-particle" : "", "family" : "Makaroff", "given" : "L. E.", "non-dropping-particle" : "", "parse-names" : false, "suffix" : "" } ], "container-title" : "Diabetes Research and Clinical Practice", "id" : "ITEM-1", "issued" : { "date-parts" : [ [ "2017", "6" ] ] }, "page" : "40-50", "title" : "IDF Diabetes Atlas: Global estimates for the prevalence of diabetes for 2015 and 2040", "type" : "article-journal", "volume" : "128" }, "uris" : [ "http://www.mendeley.com/documents/?uuid=6b7f01d4-d0a6-3621-83ca-811121b0c306" ] } ], "mendeley" : { "formattedCitation" : "&lt;sup&gt;1&lt;/sup&gt;", "plainTextFormattedCitation" : "1", "previouslyFormattedCitation" : "&lt;sup&gt;1&lt;/sup&gt;"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3805DA" w:rsidRPr="004545BE">
        <w:rPr>
          <w:rFonts w:ascii="Times New Roman" w:hAnsi="Times New Roman" w:cs="Times New Roman"/>
          <w:noProof/>
          <w:color w:val="000000"/>
          <w:sz w:val="24"/>
          <w:szCs w:val="24"/>
          <w:shd w:val="clear" w:color="auto" w:fill="FFFFFF"/>
          <w:vertAlign w:val="superscript"/>
          <w:lang w:val="en-GB"/>
        </w:rPr>
        <w:t>1</w:t>
      </w:r>
      <w:r w:rsidR="00EF4443" w:rsidRPr="004545BE">
        <w:rPr>
          <w:rFonts w:ascii="Times New Roman" w:hAnsi="Times New Roman" w:cs="Times New Roman"/>
          <w:color w:val="000000"/>
          <w:sz w:val="24"/>
          <w:szCs w:val="24"/>
          <w:shd w:val="clear" w:color="auto" w:fill="FFFFFF"/>
          <w:lang w:val="en-GB"/>
        </w:rPr>
        <w:fldChar w:fldCharType="end"/>
      </w:r>
      <w:r w:rsidR="003805DA" w:rsidRPr="004545BE">
        <w:rPr>
          <w:rFonts w:ascii="Times New Roman" w:hAnsi="Times New Roman" w:cs="Times New Roman"/>
          <w:color w:val="000000"/>
          <w:sz w:val="24"/>
          <w:szCs w:val="24"/>
          <w:shd w:val="clear" w:color="auto" w:fill="FFFFFF"/>
          <w:lang w:val="en-GB"/>
        </w:rPr>
        <w:t xml:space="preserve"> </w:t>
      </w:r>
      <w:r w:rsidRPr="004545BE">
        <w:rPr>
          <w:rFonts w:ascii="Times New Roman" w:hAnsi="Times New Roman" w:cs="Times New Roman"/>
          <w:color w:val="000000"/>
          <w:sz w:val="24"/>
          <w:szCs w:val="24"/>
          <w:shd w:val="clear" w:color="auto" w:fill="FFFFFF"/>
          <w:lang w:val="en-GB"/>
        </w:rPr>
        <w:t>and is associated with a known reduction in life expectancy</w:t>
      </w:r>
      <w:r w:rsidR="00EF4443" w:rsidRPr="004545BE">
        <w:rPr>
          <w:rFonts w:ascii="Times New Roman" w:hAnsi="Times New Roman" w:cs="Times New Roman"/>
          <w:color w:val="000000"/>
          <w:sz w:val="24"/>
          <w:szCs w:val="24"/>
          <w:shd w:val="clear" w:color="auto" w:fill="FFFFFF"/>
          <w:lang w:val="en-GB"/>
        </w:rPr>
        <w:fldChar w:fldCharType="begin" w:fldLock="1"/>
      </w:r>
      <w:r w:rsidR="003805DA" w:rsidRPr="004545BE">
        <w:rPr>
          <w:rFonts w:ascii="Times New Roman" w:hAnsi="Times New Roman" w:cs="Times New Roman"/>
          <w:color w:val="000000"/>
          <w:sz w:val="24"/>
          <w:szCs w:val="24"/>
          <w:shd w:val="clear" w:color="auto" w:fill="FFFFFF"/>
          <w:lang w:val="en-GB"/>
        </w:rPr>
        <w:instrText>ADDIN CSL_CITATION { "citationItems" : [ { "id" : "ITEM-1", "itemData" : { "ISSN" : "0012-186X", "PMID" : "6873513", "abstract" : "Mortality from diabetes is underestimated four- to fivefold by methods of analysis of death certification data which use only underlying cause of death. This problem is partially overcome by coding all conditions mentioned on death certificates. For a sample of deaths in England and Wales over the years 1972-1977, the observed proportion of certificates with specific underlying causes of death for certificates mentioning diabetes was compared with the expected proportion for all certificates. These observed/expected ratios were significantly increased in each sex for circulatory diseases and were significantly reduced for neoplasms. For 'nephritis' they were also increased, especially below 45 years of age. These results were confirmed by an analysis of underlying cause of death in a cohort of nearly 6,000 members of the British Diabetic Association. Of the 2,134 deaths in this cohort, diabetes was not mentioned on 33% of the death certificates. For the period 1972-1977, death rates for circulatory diseases associated with diabetes increased by 6% for males but remained constant for females.", "author" : [ { "dropping-particle" : "", "family" : "Fuller", "given" : "J H", "non-dropping-particle" : "", "parse-names" : false, "suffix" : "" }, { "dropping-particle" : "", "family" : "Elford", "given" : "J", "non-dropping-particle" : "", "parse-names" : false, "suffix" : "" }, { "dropping-particle" : "", "family" : "Goldblatt", "given" : "P", "non-dropping-particle" : "", "parse-names" : false, "suffix" : "" }, { "dropping-particle" : "", "family" : "Adelstein", "given" : "A M", "non-dropping-particle" : "", "parse-names" : false, "suffix" : "" } ], "container-title" : "Diabetologia", "id" : "ITEM-1", "issue" : "5", "issued" : { "date-parts" : [ [ "1983", "5" ] ] }, "page" : "336-41", "title" : "Diabetes mortality: new light on an underestimated public health problem.", "type" : "article-journal", "volume" : "24" }, "uris" : [ "http://www.mendeley.com/documents/?uuid=efd18000-68d3-3635-9032-7b65057f09e3" ] } ], "mendeley" : { "formattedCitation" : "&lt;sup&gt;2&lt;/sup&gt;", "plainTextFormattedCitation" : "2", "previouslyFormattedCitation" : "&lt;sup&gt;2&lt;/sup&gt;"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3805DA" w:rsidRPr="004545BE">
        <w:rPr>
          <w:rFonts w:ascii="Times New Roman" w:hAnsi="Times New Roman" w:cs="Times New Roman"/>
          <w:noProof/>
          <w:color w:val="000000"/>
          <w:sz w:val="24"/>
          <w:szCs w:val="24"/>
          <w:shd w:val="clear" w:color="auto" w:fill="FFFFFF"/>
          <w:vertAlign w:val="superscript"/>
          <w:lang w:val="en-GB"/>
        </w:rPr>
        <w:t>2</w:t>
      </w:r>
      <w:r w:rsidR="00EF4443" w:rsidRPr="004545BE">
        <w:rPr>
          <w:rFonts w:ascii="Times New Roman" w:hAnsi="Times New Roman" w:cs="Times New Roman"/>
          <w:color w:val="000000"/>
          <w:sz w:val="24"/>
          <w:szCs w:val="24"/>
          <w:shd w:val="clear" w:color="auto" w:fill="FFFFFF"/>
          <w:lang w:val="en-GB"/>
        </w:rPr>
        <w:fldChar w:fldCharType="end"/>
      </w:r>
      <w:r w:rsidRPr="004545BE">
        <w:rPr>
          <w:rFonts w:ascii="Times New Roman" w:hAnsi="Times New Roman" w:cs="Times New Roman"/>
          <w:color w:val="000000"/>
          <w:sz w:val="24"/>
          <w:szCs w:val="24"/>
          <w:shd w:val="clear" w:color="auto" w:fill="FFFFFF"/>
          <w:lang w:val="en-GB"/>
        </w:rPr>
        <w:t xml:space="preserve">. Moreover, diabetes is a long-term increasingly prevalent condition in both developed and developing countries. </w:t>
      </w:r>
      <w:r w:rsidR="00EF0A6A" w:rsidRPr="004545BE">
        <w:rPr>
          <w:rFonts w:ascii="Times New Roman" w:hAnsi="Times New Roman" w:cs="Times New Roman"/>
          <w:color w:val="000000"/>
          <w:sz w:val="24"/>
          <w:szCs w:val="24"/>
          <w:shd w:val="clear" w:color="auto" w:fill="FFFFFF"/>
          <w:lang w:val="en-GB"/>
        </w:rPr>
        <w:t>People with diabetes are at a greater risk of developing cardiovascular diseases, sight loss, foot and leg amputation and renal failure requiring dialysis or transplantation</w:t>
      </w:r>
      <w:r w:rsidR="00EF4443" w:rsidRPr="004545BE">
        <w:rPr>
          <w:rFonts w:ascii="Times New Roman" w:hAnsi="Times New Roman" w:cs="Times New Roman"/>
          <w:color w:val="000000"/>
          <w:sz w:val="24"/>
          <w:szCs w:val="24"/>
          <w:shd w:val="clear" w:color="auto" w:fill="FFFFFF"/>
          <w:lang w:val="en-GB"/>
        </w:rPr>
        <w:fldChar w:fldCharType="begin" w:fldLock="1"/>
      </w:r>
      <w:r w:rsidR="00727574" w:rsidRPr="004545BE">
        <w:rPr>
          <w:rFonts w:ascii="Times New Roman" w:hAnsi="Times New Roman" w:cs="Times New Roman"/>
          <w:color w:val="000000"/>
          <w:sz w:val="24"/>
          <w:szCs w:val="24"/>
          <w:shd w:val="clear" w:color="auto" w:fill="FFFFFF"/>
          <w:lang w:val="en-GB"/>
        </w:rPr>
        <w:instrText>ADDIN CSL_CITATION { "citationItems" : [ { "id" : "ITEM-1", "itemData" : { "DOI" : "2004/31/smw-10682", "ISSN" : "1424-7860", "PMID" : "15389348", "abstract" : "BACKGROUND The prevalence of end-stage renal disease (ESRD) in patients with type 2 diabetes mellitus (type 2 DM) has increased in recent decades throughout the world. In most industrialised countries, diabetic nephropathy in type 2 diabetics is the most frequent cause of ESRD. AIMS The prevalence and direct medical costs for the insurance funds in Switzerland were determined for ESRD in patients with type 2 DM. METHODS Prevalence was determined on the basis of a written retrospective cross-sectional analysis covering all centres for dialysis and transplantation in Switzerland. Costs were calculated separately for the three different therapeutic options for ESRD - haemodialysis, peritoneal dialysis and renal transplantation. Costs were calculated on the basis of the percentage of the patients in this cross-sectional study who received each of these treatments. Cost data from the Swiss Union for the Social Duties of the Insurance Funds (SVK) were used for all three treatments. SVK data were not available for some phases of transplantation, and for these phases the consumption of health resources was determined by interviewing experts on the telephone, using a questionnaire. RESULTS The cross-sectional study in the dialysis and transplantation centres was based on full collection of data. In Switzerland in the year 2001, the prevalence of ESRD in patients with type 2 DM came to 73.0 per million inhabitants. The direct medical costs of this complication came to a total of CHF 46,065,788 (0.1% of the total health expenditure). This corresponds to CHF 1570 per 100,000 inhabitants per day. 81.6% of these costs are for haemodialysis, 7.1% for peritoneal dialysis and 11.4% for renal transplantation. ESRD costs are CHF 215 per patient per day. CONCLUSIONS The prevalence of ESRD in patients with type 2 DM in Switzerland was 73.0 per million inhabitants in 2001. The costs of this avoidable late complication are considerable.", "author" : [ { "dropping-particle" : "", "family" : "Sandoz", "given" : "Menga S", "non-dropping-particle" : "", "parse-names" : false, "suffix" : "" }, { "dropping-particle" : "", "family" : "Ess", "given" : "Silvia M", "non-dropping-particle" : "", "parse-names" : false, "suffix" : "" }, { "dropping-particle" : "", "family" : "Keusch", "given" : "G\u00e9rald W", "non-dropping-particle" : "", "parse-names" : false, "suffix" : "" }, { "dropping-particle" : "", "family" : "Schwenkglenks", "given" : "Matthias", "non-dropping-particle" : "", "parse-names" : false, "suffix" : "" }, { "dropping-particle" : "", "family" : "Szucs", "given" : "Thomas D", "non-dropping-particle" : "", "parse-names" : false, "suffix" : "" } ], "container-title" : "Swiss medical weekly", "id" : "ITEM-1", "issue" : "31-32", "issued" : { "date-parts" : [ [ "2004", "8", "7" ] ] }, "page" : "448-58", "title" : "Prevalence and direct medical costs of end-stage renal disease in patients with type 2 diabetes mellitus in Switzerland for 2001.", "type" : "article-journal", "volume" : "134" }, "uris" : [ "http://www.mendeley.com/documents/?uuid=1081bd7f-7b18-3da8-bace-21463f016a1e" ] }, { "id" : "ITEM-2", "itemData" : { "DOI" : "10.1371/journal.pone.0147329", "ISSN" : "1932-6203", "PMID" : "26812415", "abstract" : "End-stage renal disease (ESRD) in diabetes is a life threatening complication resulting in a poor prognosis for patients as well as high medical costs. The aims of this systematic review were (1) to evaluate the incidence of ESRD due to all causes and due to diabetic nephropathy in the diabetic population and differences between incidences of ESRD with respect to sex, ethnicity, age and regions, (2) to compare incidence rates in the diabetic and non-diabetic population, and (3) to investigate time trends. The systematic review was conducted according to the PRISMA group guidelines by performing systematic literature searches in the biomedical databases until January 3rd 2015; thirty-two studies were included. Among patients with incident type 1 diabetes the 30-year cumulative incidence ranged from 3.3% to 7.8%. Among patients with prevalent diabetes, incidence rates of ESRD due to all causes ranged from 132.0 to 167.0 per 100,000 person-years, whereas incidence rates of ESRD due to diabetic nephropathy varied from 38.4 to 804.0 per 100,000 person-years. The incidence of ESRD in the diabetic population was higher compared to the non-diabetic population, and relative risks varied from 6.2 in the white population to 62.0 among Native Americans. The results regarding time trends were inconsistent. The review conducted demonstrates the considerable variation of incidences of ESRD among the diabetic population. Consistent findings included an excess risk when comparing the diabetic to the non-diabetic population and ethnic differences. We recommend that newly designed studies should use standardized methods for the determination of ESRD and population at risk.", "author" : [ { "dropping-particle" : "", "family" : "Narres", "given" : "Maria", "non-dropping-particle" : "", "parse-names" : false, "suffix" : "" }, { "dropping-particle" : "", "family" : "Claessen", "given" : "Heiner", "non-dropping-particle" : "", "parse-names" : false, "suffix" : "" }, { "dropping-particle" : "", "family" : "Droste", "given" : "Sigrid", "non-dropping-particle" : "", "parse-names" : false, "suffix" : "" }, { "dropping-particle" : "", "family" : "Kvitkina", "given" : "Tatjana", "non-dropping-particle" : "", "parse-names" : false, "suffix" : "" }, { "dropping-particle" : "", "family" : "Koch", "given" : "Michael", "non-dropping-particle" : "", "parse-names" : false, "suffix" : "" }, { "dropping-particle" : "", "family" : "Kuss", "given" : "Oliver", "non-dropping-particle" : "", "parse-names" : false, "suffix" : "" }, { "dropping-particle" : "", "family" : "Icks", "given" : "Andrea", "non-dropping-particle" : "", "parse-names" : false, "suffix" : "" } ], "container-title" : "PLOS ONE", "editor" : [ { "dropping-particle" : "", "family" : "Jandeleit-Dahm", "given" : "Karin", "non-dropping-particle" : "", "parse-names" : false, "suffix" : "" } ], "id" : "ITEM-2", "issue" : "1", "issued" : { "date-parts" : [ [ "2016", "1", "26" ] ] }, "page" : "e0147329", "title" : "The Incidence of End-Stage Renal Disease in the Diabetic (Compared to the Non-Diabetic) Population: A Systematic Review", "type" : "article-journal", "volume" : "11" }, "uris" : [ "http://www.mendeley.com/documents/?uuid=a4569d7f-6208-3a42-aabe-5fa3d0c08c7c" ] } ], "mendeley" : { "formattedCitation" : "&lt;sup&gt;3,4&lt;/sup&gt;", "plainTextFormattedCitation" : "3,4", "previouslyFormattedCitation" : "&lt;sup&gt;3,4&lt;/sup&gt;"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727574" w:rsidRPr="004545BE">
        <w:rPr>
          <w:rFonts w:ascii="Times New Roman" w:hAnsi="Times New Roman" w:cs="Times New Roman"/>
          <w:noProof/>
          <w:color w:val="000000"/>
          <w:sz w:val="24"/>
          <w:szCs w:val="24"/>
          <w:shd w:val="clear" w:color="auto" w:fill="FFFFFF"/>
          <w:vertAlign w:val="superscript"/>
          <w:lang w:val="en-GB"/>
        </w:rPr>
        <w:t>3,4</w:t>
      </w:r>
      <w:r w:rsidR="00EF4443" w:rsidRPr="004545BE">
        <w:rPr>
          <w:rFonts w:ascii="Times New Roman" w:hAnsi="Times New Roman" w:cs="Times New Roman"/>
          <w:color w:val="000000"/>
          <w:sz w:val="24"/>
          <w:szCs w:val="24"/>
          <w:shd w:val="clear" w:color="auto" w:fill="FFFFFF"/>
          <w:lang w:val="en-GB"/>
        </w:rPr>
        <w:fldChar w:fldCharType="end"/>
      </w:r>
      <w:r w:rsidR="00EF0A6A" w:rsidRPr="004545BE">
        <w:rPr>
          <w:rFonts w:ascii="Times New Roman" w:hAnsi="Times New Roman" w:cs="Times New Roman"/>
          <w:color w:val="000000"/>
          <w:sz w:val="24"/>
          <w:szCs w:val="24"/>
          <w:shd w:val="clear" w:color="auto" w:fill="FFFFFF"/>
          <w:lang w:val="en-GB"/>
        </w:rPr>
        <w:t>. If diabetes is poorly controlled</w:t>
      </w:r>
      <w:r w:rsidR="0028604E" w:rsidRPr="004545BE">
        <w:rPr>
          <w:rFonts w:ascii="Times New Roman" w:hAnsi="Times New Roman" w:cs="Times New Roman"/>
          <w:color w:val="000000"/>
          <w:sz w:val="24"/>
          <w:szCs w:val="24"/>
          <w:shd w:val="clear" w:color="auto" w:fill="FFFFFF"/>
          <w:lang w:val="en-GB"/>
        </w:rPr>
        <w:t>,</w:t>
      </w:r>
      <w:r w:rsidR="00EF0A6A" w:rsidRPr="004545BE">
        <w:rPr>
          <w:rFonts w:ascii="Times New Roman" w:hAnsi="Times New Roman" w:cs="Times New Roman"/>
          <w:color w:val="000000"/>
          <w:sz w:val="24"/>
          <w:szCs w:val="24"/>
          <w:shd w:val="clear" w:color="auto" w:fill="FFFFFF"/>
          <w:lang w:val="en-GB"/>
        </w:rPr>
        <w:t xml:space="preserve"> the risk of developing these diseases </w:t>
      </w:r>
      <w:r w:rsidR="00512C8C" w:rsidRPr="004545BE">
        <w:rPr>
          <w:rFonts w:ascii="Times New Roman" w:hAnsi="Times New Roman" w:cs="Times New Roman"/>
          <w:color w:val="000000"/>
          <w:sz w:val="24"/>
          <w:szCs w:val="24"/>
          <w:shd w:val="clear" w:color="auto" w:fill="FFFFFF"/>
          <w:lang w:val="en-GB"/>
        </w:rPr>
        <w:t>and suffer</w:t>
      </w:r>
      <w:r w:rsidR="0028604E" w:rsidRPr="004545BE">
        <w:rPr>
          <w:rFonts w:ascii="Times New Roman" w:hAnsi="Times New Roman" w:cs="Times New Roman"/>
          <w:color w:val="000000"/>
          <w:sz w:val="24"/>
          <w:szCs w:val="24"/>
          <w:shd w:val="clear" w:color="auto" w:fill="FFFFFF"/>
          <w:lang w:val="en-GB"/>
        </w:rPr>
        <w:t>ing</w:t>
      </w:r>
      <w:r w:rsidR="00512C8C" w:rsidRPr="004545BE">
        <w:rPr>
          <w:rFonts w:ascii="Times New Roman" w:hAnsi="Times New Roman" w:cs="Times New Roman"/>
          <w:color w:val="000000"/>
          <w:sz w:val="24"/>
          <w:szCs w:val="24"/>
          <w:shd w:val="clear" w:color="auto" w:fill="FFFFFF"/>
          <w:lang w:val="en-GB"/>
        </w:rPr>
        <w:t xml:space="preserve"> severe consequences is higher</w:t>
      </w:r>
      <w:r w:rsidR="00EF4443" w:rsidRPr="004545BE">
        <w:rPr>
          <w:rFonts w:ascii="Times New Roman" w:hAnsi="Times New Roman" w:cs="Times New Roman"/>
          <w:color w:val="000000"/>
          <w:sz w:val="24"/>
          <w:szCs w:val="24"/>
          <w:shd w:val="clear" w:color="auto" w:fill="FFFFFF"/>
          <w:lang w:val="en-GB"/>
        </w:rPr>
        <w:fldChar w:fldCharType="begin" w:fldLock="1"/>
      </w:r>
      <w:r w:rsidR="00E018FB" w:rsidRPr="004545BE">
        <w:rPr>
          <w:rFonts w:ascii="Times New Roman" w:hAnsi="Times New Roman" w:cs="Times New Roman"/>
          <w:color w:val="000000"/>
          <w:sz w:val="24"/>
          <w:szCs w:val="24"/>
          <w:shd w:val="clear" w:color="auto" w:fill="FFFFFF"/>
          <w:lang w:val="en-GB"/>
        </w:rPr>
        <w:instrText>ADDIN CSL_CITATION { "citationItems" : [ { "id" : "ITEM-1", "itemData" : { "DOI" : "10.1111/dme.12282", "ISSN" : "07423071", "PMID" : "23875546", "abstract" : "AIM To assess the additional mortality during hospital admissions among patients with recorded diabetes and identify the extent of variation in English provider trusts. METHODS Inpatient admissions to all English hospitals between April 2010 and March 2012 were extracted from Hospital Episode Statistics. Binary logistic regression was used to standardize for age, sex, deprivation, method and reason for admission, co-morbidities and type of trust. Trust level standardized mortality ratios for inpatients with recorded diabetes were compared with those without recorded diabetes and with published measures of hospital mortality. RESULTS Of the 10 169 003 hospital admissions analysed, 11.2% had recorded diabetes, but 21.5% of inpatient deaths occurred in this group. After adjustment for case mix, hospital admissions in patients with recorded diabetes had a 6.4% greater risk of dying (2052 more deaths over 2 years) than would be expected compared with similar patients without recorded diabetes. The additional risk of death was significantly greater in smaller trusts. The highest additional risk of death was found in hospital admissions of younger female patients admitted electively. At provider trust level, 37.4% of variation in adjusted mortality in patients with recorded diabetes was explained by the mortality in those without recorded diabetes. CONCLUSION A diagnosis of diabetes has an adverse impact on hospital mortality that cannot be explained by usual case-mix adjustments, and the additional risk of dying is greatest among hospital admissions that would normally have a low risk of death. This implies that diabetes may override the usual risk factors for hospital mortality.", "author" : [ { "dropping-particle" : "", "family" : "Holman", "given" : "N.", "non-dropping-particle" : "", "parse-names" : false, "suffix" : "" }, { "dropping-particle" : "", "family" : "Hillson", "given" : "R.", "non-dropping-particle" : "", "parse-names" : false, "suffix" : "" }, { "dropping-particle" : "", "family" : "Young", "given" : "R. J.", "non-dropping-particle" : "", "parse-names" : false, "suffix" : "" } ], "container-title" : "Diabetic Medicine", "id" : "ITEM-1", "issue" : "12", "issued" : { "date-parts" : [ [ "2013", "12" ] ] }, "page" : "1393-1402", "title" : "Excess mortality during hospital stays among patients with recorded diabetes compared with those without diabetes", "type" : "article-journal", "volume" : "30" }, "uris" : [ "http://www.mendeley.com/documents/?uuid=f8348122-d8c7-3c12-9822-874ba9425b84" ] }, { "id" : "ITEM-2", "itemData" : { "DOI" : "10.1371/journal.pone.0006817", "ISSN" : "1932-6203", "PMID" : "19714245", "abstract" : "BACKGROUND Most longitudinal studies showed increased relative mortality in individuals with type 2 diabetes mellitus until now. As a result of major changes in treatment regimes over the past years, with more stringent goals for metabolic control and cardiovascular risk management, improvement of life expectancy should be expected. In our study, we aimed to assess present-day life expectancy of type 2 diabetes patients in an ongoing cohort study. METHODOLOGY AND PRINCIPAL FINDINGS We included 973 primary care type 2 diabetes patients in a prospective cohort study, who were all participating in a shared care project in The Netherlands. Vital status was assessed from May 2001 till May 2007. Main outcome measurement was life expectancy assessed by transforming actual survival time to standardised survival time allowing adjustment for the baseline mortality rate of the general population. At baseline, mean age was 66 years, mean HbA(1c) 7.0%. During a median follow-up of 5.4 years, 165 patients died (78 from cardiovascular causes), and 17 patients were lost to follow-up. There were no differences in life expectancy in subjects with type 2 diabetes compared to life expectancy in the general population. In multivariate Cox regression analyses, concentrating on the endpoints 'all-cause' and cardiovascular mortality, a history of cardiovascular disease: hazard ratio (HR) 1.71 (95% confidence interval (CI) 1.23-2.37), and HR 2.59 (95% CI 1.56-4.28); and albuminuria: HR 1.72 (95% CI 1.26-2.35), and HR 1.83 (95% CI 1.17-2.89), respectively, were significant predictors, whereas smoking, HbA(1c), systolic blood pressure and diabetes duration were not. CONCLUSIONS This study shows a normal life expectancy in a cohort of subjects with type 2 diabetes patients in primary care when compared to the general population. A history of cardiovascular disease and albuminuria, however, increased the risk of a reduction of life expectancy. These results show that, in a shared care environment, a normal life expectancy is achievable in type 2 diabetes patients.", "author" : [ { "dropping-particle" : "", "family" : "Lutgers", "given" : "Helen L.", "non-dropping-particle" : "", "parse-names" : false, "suffix" : "" }, { "dropping-particle" : "", "family" : "Gerrits", "given" : "Esther G.", "non-dropping-particle" : "", "parse-names" : false, "suffix" : "" }, { "dropping-particle" : "", "family" : "Sluiter", "given" : "Wim J.", "non-dropping-particle" : "", "parse-names" : false, "suffix" : "" }, { "dropping-particle" : "", "family" : "Ubink-Veltmaat", "given" : "Lielith J.", "non-dropping-particle" : "", "parse-names" : false, "suffix" : "" }, { "dropping-particle" : "", "family" : "Landman", "given" : "Gijs W. D.", "non-dropping-particle" : "", "parse-names" : false, "suffix" : "" }, { "dropping-particle" : "", "family" : "Links", "given" : "Thera P.", "non-dropping-particle" : "", "parse-names" : false, "suffix" : "" }, { "dropping-particle" : "", "family" : "Gans", "given" : "Reinold O. B.", "non-dropping-particle" : "", "parse-names" : false, "suffix" : "" }, { "dropping-particle" : "", "family" : "Smit", "given" : "Andries J.", "non-dropping-particle" : "", "parse-names" : false, "suffix" : "" }, { "dropping-particle" : "", "family" : "Bilo", "given" : "Henk J. G.", "non-dropping-particle" : "", "parse-names" : false, "suffix" : "" } ], "container-title" : "PLoS ONE", "editor" : [ { "dropping-particle" : "", "family" : "Sorensen", "given" : "Thorkild I. A.", "non-dropping-particle" : "", "parse-names" : false, "suffix" : "" } ], "id" : "ITEM-2", "issue" : "8", "issued" : { "date-parts" : [ [ "2009", "8", "28" ] ] }, "page" : "e6817", "title" : "Life Expectancy in a Large Cohort of Type 2 Diabetes Patients Treated in Primary Care (ZODIAC-10)", "type" : "article-journal", "volume" : "4" }, "uris" : [ "http://www.mendeley.com/documents/?uuid=292a1209-9a1e-3843-9188-fdb9c9368468" ] } ], "mendeley" : { "formattedCitation" : "&lt;sup&gt;5,6&lt;/sup&gt;", "plainTextFormattedCitation" : "5,6", "previouslyFormattedCitation" : "&lt;sup&gt;5,6&lt;/sup&gt;"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727574" w:rsidRPr="004545BE">
        <w:rPr>
          <w:rFonts w:ascii="Times New Roman" w:hAnsi="Times New Roman" w:cs="Times New Roman"/>
          <w:noProof/>
          <w:color w:val="000000"/>
          <w:sz w:val="24"/>
          <w:szCs w:val="24"/>
          <w:shd w:val="clear" w:color="auto" w:fill="FFFFFF"/>
          <w:vertAlign w:val="superscript"/>
          <w:lang w:val="en-GB"/>
        </w:rPr>
        <w:t>5,6</w:t>
      </w:r>
      <w:r w:rsidR="00EF4443" w:rsidRPr="004545BE">
        <w:rPr>
          <w:rFonts w:ascii="Times New Roman" w:hAnsi="Times New Roman" w:cs="Times New Roman"/>
          <w:color w:val="000000"/>
          <w:sz w:val="24"/>
          <w:szCs w:val="24"/>
          <w:shd w:val="clear" w:color="auto" w:fill="FFFFFF"/>
          <w:lang w:val="en-GB"/>
        </w:rPr>
        <w:fldChar w:fldCharType="end"/>
      </w:r>
      <w:r w:rsidR="00EF0A6A" w:rsidRPr="004545BE">
        <w:rPr>
          <w:rFonts w:ascii="Times New Roman" w:hAnsi="Times New Roman" w:cs="Times New Roman"/>
          <w:color w:val="000000"/>
          <w:sz w:val="24"/>
          <w:szCs w:val="24"/>
          <w:shd w:val="clear" w:color="auto" w:fill="FFFFFF"/>
          <w:lang w:val="en-GB"/>
        </w:rPr>
        <w:t>.</w:t>
      </w:r>
      <w:r w:rsidR="00CE6D0A" w:rsidRPr="004545BE">
        <w:rPr>
          <w:rFonts w:ascii="Times New Roman" w:hAnsi="Times New Roman" w:cs="Times New Roman"/>
          <w:color w:val="000000"/>
          <w:sz w:val="24"/>
          <w:szCs w:val="24"/>
          <w:shd w:val="clear" w:color="auto" w:fill="FFFFFF"/>
          <w:lang w:val="en-GB"/>
        </w:rPr>
        <w:t xml:space="preserve"> </w:t>
      </w:r>
      <w:r w:rsidR="00CF1812" w:rsidRPr="004545BE">
        <w:rPr>
          <w:rFonts w:ascii="Times New Roman" w:hAnsi="Times New Roman" w:cs="Times New Roman"/>
          <w:sz w:val="24"/>
          <w:szCs w:val="24"/>
          <w:lang w:val="en-GB"/>
        </w:rPr>
        <w:t>A meta</w:t>
      </w:r>
      <w:r w:rsidR="00EE2FDF" w:rsidRPr="004545BE">
        <w:rPr>
          <w:rFonts w:ascii="Times New Roman" w:hAnsi="Times New Roman" w:cs="Times New Roman"/>
          <w:sz w:val="24"/>
          <w:szCs w:val="24"/>
          <w:lang w:val="en-GB"/>
        </w:rPr>
        <w:t>-</w:t>
      </w:r>
      <w:r w:rsidR="00CF1812" w:rsidRPr="004545BE">
        <w:rPr>
          <w:rFonts w:ascii="Times New Roman" w:hAnsi="Times New Roman" w:cs="Times New Roman"/>
          <w:sz w:val="24"/>
          <w:szCs w:val="24"/>
          <w:lang w:val="en-GB"/>
        </w:rPr>
        <w:t>an</w:t>
      </w:r>
      <w:r w:rsidR="00EE2FDF" w:rsidRPr="004545BE">
        <w:rPr>
          <w:rFonts w:ascii="Times New Roman" w:hAnsi="Times New Roman" w:cs="Times New Roman"/>
          <w:sz w:val="24"/>
          <w:szCs w:val="24"/>
          <w:lang w:val="en-GB"/>
        </w:rPr>
        <w:t>a</w:t>
      </w:r>
      <w:r w:rsidR="00CF1812" w:rsidRPr="004545BE">
        <w:rPr>
          <w:rFonts w:ascii="Times New Roman" w:hAnsi="Times New Roman" w:cs="Times New Roman"/>
          <w:sz w:val="24"/>
          <w:szCs w:val="24"/>
          <w:lang w:val="en-GB"/>
        </w:rPr>
        <w:t>lysis of studies o</w:t>
      </w:r>
      <w:r w:rsidR="00EE2FDF" w:rsidRPr="004545BE">
        <w:rPr>
          <w:rFonts w:ascii="Times New Roman" w:hAnsi="Times New Roman" w:cs="Times New Roman"/>
          <w:sz w:val="24"/>
          <w:szCs w:val="24"/>
          <w:lang w:val="en-GB"/>
        </w:rPr>
        <w:t>f</w:t>
      </w:r>
      <w:r w:rsidR="00CF1812" w:rsidRPr="004545BE">
        <w:rPr>
          <w:rFonts w:ascii="Times New Roman" w:hAnsi="Times New Roman" w:cs="Times New Roman"/>
          <w:sz w:val="24"/>
          <w:szCs w:val="24"/>
          <w:lang w:val="en-GB"/>
        </w:rPr>
        <w:t xml:space="preserve"> mortality in type 2</w:t>
      </w:r>
      <w:r w:rsidR="00726C9F" w:rsidRPr="004545BE">
        <w:rPr>
          <w:rFonts w:ascii="Times New Roman" w:hAnsi="Times New Roman" w:cs="Times New Roman"/>
          <w:sz w:val="24"/>
          <w:szCs w:val="24"/>
          <w:lang w:val="en-GB"/>
        </w:rPr>
        <w:t xml:space="preserve"> diabetes (T2DM) </w:t>
      </w:r>
      <w:r w:rsidR="00CF1812" w:rsidRPr="004545BE">
        <w:rPr>
          <w:rFonts w:ascii="Times New Roman" w:hAnsi="Times New Roman" w:cs="Times New Roman"/>
          <w:sz w:val="24"/>
          <w:szCs w:val="24"/>
          <w:lang w:val="en-GB"/>
        </w:rPr>
        <w:t>patients showed</w:t>
      </w:r>
      <w:r w:rsidR="0028604E" w:rsidRPr="004545BE">
        <w:rPr>
          <w:rFonts w:ascii="Times New Roman" w:hAnsi="Times New Roman" w:cs="Times New Roman"/>
          <w:sz w:val="24"/>
          <w:szCs w:val="24"/>
          <w:lang w:val="en-GB"/>
        </w:rPr>
        <w:t xml:space="preserve"> </w:t>
      </w:r>
      <w:r w:rsidR="00726C9F" w:rsidRPr="004545BE">
        <w:rPr>
          <w:rFonts w:ascii="Times New Roman" w:hAnsi="Times New Roman" w:cs="Times New Roman"/>
          <w:sz w:val="24"/>
          <w:szCs w:val="24"/>
          <w:lang w:val="en-GB"/>
        </w:rPr>
        <w:t>a</w:t>
      </w:r>
      <w:r w:rsidR="00381636" w:rsidRPr="004545BE">
        <w:rPr>
          <w:rFonts w:ascii="Times New Roman" w:hAnsi="Times New Roman" w:cs="Times New Roman"/>
          <w:sz w:val="24"/>
          <w:szCs w:val="24"/>
          <w:lang w:val="en-GB"/>
        </w:rPr>
        <w:t>n</w:t>
      </w:r>
      <w:r w:rsidR="00726C9F" w:rsidRPr="004545BE">
        <w:rPr>
          <w:rFonts w:ascii="Times New Roman" w:hAnsi="Times New Roman" w:cs="Times New Roman"/>
          <w:sz w:val="24"/>
          <w:szCs w:val="24"/>
          <w:lang w:val="en-GB"/>
        </w:rPr>
        <w:t xml:space="preserve"> 85% increase risk for all-cause mortality, </w:t>
      </w:r>
      <w:r w:rsidR="00381636" w:rsidRPr="004545BE">
        <w:rPr>
          <w:rFonts w:ascii="Times New Roman" w:hAnsi="Times New Roman" w:cs="Times New Roman"/>
          <w:sz w:val="24"/>
          <w:szCs w:val="24"/>
          <w:lang w:val="en-GB"/>
        </w:rPr>
        <w:t xml:space="preserve">a </w:t>
      </w:r>
      <w:r w:rsidR="00726C9F" w:rsidRPr="004545BE">
        <w:rPr>
          <w:rFonts w:ascii="Times New Roman" w:hAnsi="Times New Roman" w:cs="Times New Roman"/>
          <w:sz w:val="24"/>
          <w:szCs w:val="24"/>
          <w:lang w:val="en-GB"/>
        </w:rPr>
        <w:t xml:space="preserve">76% </w:t>
      </w:r>
      <w:r w:rsidR="00381636" w:rsidRPr="004545BE">
        <w:rPr>
          <w:rFonts w:ascii="Times New Roman" w:hAnsi="Times New Roman" w:cs="Times New Roman"/>
          <w:sz w:val="24"/>
          <w:szCs w:val="24"/>
          <w:lang w:val="en-GB"/>
        </w:rPr>
        <w:t>excess</w:t>
      </w:r>
      <w:r w:rsidR="00726C9F" w:rsidRPr="004545BE">
        <w:rPr>
          <w:rFonts w:ascii="Times New Roman" w:hAnsi="Times New Roman" w:cs="Times New Roman"/>
          <w:sz w:val="24"/>
          <w:szCs w:val="24"/>
          <w:lang w:val="en-GB"/>
        </w:rPr>
        <w:t xml:space="preserve"> cardiovascular mortality and over</w:t>
      </w:r>
      <w:r w:rsidR="00381636" w:rsidRPr="004545BE">
        <w:rPr>
          <w:rFonts w:ascii="Times New Roman" w:hAnsi="Times New Roman" w:cs="Times New Roman"/>
          <w:sz w:val="24"/>
          <w:szCs w:val="24"/>
          <w:lang w:val="en-GB"/>
        </w:rPr>
        <w:t xml:space="preserve"> a</w:t>
      </w:r>
      <w:r w:rsidR="00726C9F" w:rsidRPr="004545BE">
        <w:rPr>
          <w:rFonts w:ascii="Times New Roman" w:hAnsi="Times New Roman" w:cs="Times New Roman"/>
          <w:sz w:val="24"/>
          <w:szCs w:val="24"/>
          <w:lang w:val="en-GB"/>
        </w:rPr>
        <w:t xml:space="preserve"> 2</w:t>
      </w:r>
      <w:r w:rsidR="00381636" w:rsidRPr="004545BE">
        <w:rPr>
          <w:rFonts w:ascii="Times New Roman" w:hAnsi="Times New Roman" w:cs="Times New Roman"/>
          <w:sz w:val="24"/>
          <w:szCs w:val="24"/>
          <w:lang w:val="en-GB"/>
        </w:rPr>
        <w:t>-</w:t>
      </w:r>
      <w:r w:rsidR="00726C9F" w:rsidRPr="004545BE">
        <w:rPr>
          <w:rFonts w:ascii="Times New Roman" w:hAnsi="Times New Roman" w:cs="Times New Roman"/>
          <w:sz w:val="24"/>
          <w:szCs w:val="24"/>
          <w:lang w:val="en-GB"/>
        </w:rPr>
        <w:t>fold increase risk for stroke</w:t>
      </w:r>
      <w:r w:rsidR="00EF4443" w:rsidRPr="004545BE">
        <w:rPr>
          <w:rFonts w:ascii="Times New Roman" w:hAnsi="Times New Roman" w:cs="Times New Roman"/>
          <w:sz w:val="24"/>
          <w:szCs w:val="24"/>
          <w:lang w:val="en-GB"/>
        </w:rPr>
        <w:fldChar w:fldCharType="begin" w:fldLock="1"/>
      </w:r>
      <w:r w:rsidR="003805DA" w:rsidRPr="004545BE">
        <w:rPr>
          <w:rFonts w:ascii="Times New Roman" w:hAnsi="Times New Roman" w:cs="Times New Roman"/>
          <w:sz w:val="24"/>
          <w:szCs w:val="24"/>
          <w:lang w:val="en-GB"/>
        </w:rPr>
        <w:instrText>ADDIN CSL_CITATION { "citationItems" : [ { "id" : "ITEM-1", "itemData" : { "DOI" : "10.1177/1474651413495703", "ISSN" : "1474-6514", "abstract" : "Background:Type 2 diabetes is associated with an increase in age-related mortality. A systematic review and meta-analysis were performed to define the relative risks (RR) of all-cause or cause-specific mortality in type 2 diabetes and to determine gaps in current research.Methods:A comprehensive literature search was undertaken for studies (published 1990\u20132010) on mortality in type 2 diabetes. The study reports on the measure of mortality as defined by RR for all-cause and cause-specific mortality, heterogeneity, sensitivity analyses and biases.Results:In total 35 studies (220,689 patients; mean follow-up of 10.7 years) were eligible for inclusion: 33 studies reported increased mortality risks; 24 had full data on 95% confidence intervals (CIs), one study reported no excess mortality in men diagnosed after 65 years whereas three reported increased mortality in similar age groups in both sexes. Meta-analysis showed RR = 1.85 (95% CI 1.79\u20131.92) for all-cause mortality [men RR=1.57 (95% CI 1.46\u20131.68); women ...", "author" : [ { "dropping-particle" : "", "family" : "Nwaneri", "given" : "C.", "non-dropping-particle" : "", "parse-names" : false, "suffix" : "" }, { "dropping-particle" : "", "family" : "Cooper", "given" : "H.", "non-dropping-particle" : "", "parse-names" : false, "suffix" : "" }, { "dropping-particle" : "", "family" : "Bowen-Jones", "given" : "D.", "non-dropping-particle" : "", "parse-names" : false, "suffix" : "" } ], "container-title" : "The British Journal of Diabetes &amp; Vascular Disease", "id" : "ITEM-1", "issue" : "4", "issued" : { "date-parts" : [ [ "2013", "7", "1" ] ] }, "page" : "192-207", "publisher" : "SAGE PublicationsSage UK: London, England", "title" : "Mortality in type 2 diabetes mellitus: magnitude of the evidence from a systematic review and meta-analysis", "type" : "article-journal", "volume" : "13" }, "uris" : [ "http://www.mendeley.com/documents/?uuid=2b94984f-8f2e-3b0a-a6ba-33a8e1361d4b" ] } ], "mendeley" : { "formattedCitation" : "&lt;sup&gt;7&lt;/sup&gt;", "plainTextFormattedCitation" : "7", "previouslyFormattedCitation" : "&lt;sup&gt;7&lt;/sup&gt;"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3805DA" w:rsidRPr="004545BE">
        <w:rPr>
          <w:rFonts w:ascii="Times New Roman" w:hAnsi="Times New Roman" w:cs="Times New Roman"/>
          <w:noProof/>
          <w:sz w:val="24"/>
          <w:szCs w:val="24"/>
          <w:vertAlign w:val="superscript"/>
          <w:lang w:val="en-GB"/>
        </w:rPr>
        <w:t>7</w:t>
      </w:r>
      <w:r w:rsidR="00EF4443" w:rsidRPr="004545BE">
        <w:rPr>
          <w:rFonts w:ascii="Times New Roman" w:hAnsi="Times New Roman" w:cs="Times New Roman"/>
          <w:sz w:val="24"/>
          <w:szCs w:val="24"/>
          <w:lang w:val="en-GB"/>
        </w:rPr>
        <w:fldChar w:fldCharType="end"/>
      </w:r>
      <w:r w:rsidR="0033737C" w:rsidRPr="004545BE">
        <w:rPr>
          <w:rFonts w:ascii="Times New Roman" w:hAnsi="Times New Roman" w:cs="Times New Roman"/>
          <w:sz w:val="24"/>
          <w:szCs w:val="24"/>
          <w:lang w:val="en-GB"/>
        </w:rPr>
        <w:t xml:space="preserve">. </w:t>
      </w:r>
      <w:r w:rsidR="004638F0" w:rsidRPr="004545BE">
        <w:rPr>
          <w:rFonts w:ascii="Times New Roman" w:hAnsi="Times New Roman" w:cs="Times New Roman"/>
          <w:color w:val="000000"/>
          <w:sz w:val="24"/>
          <w:szCs w:val="24"/>
          <w:shd w:val="clear" w:color="auto" w:fill="FFFFFF"/>
          <w:lang w:val="en-GB"/>
        </w:rPr>
        <w:t>I</w:t>
      </w:r>
      <w:r w:rsidR="00512C8C" w:rsidRPr="004545BE">
        <w:rPr>
          <w:rFonts w:ascii="Times New Roman" w:hAnsi="Times New Roman" w:cs="Times New Roman"/>
          <w:color w:val="000000"/>
          <w:sz w:val="24"/>
          <w:szCs w:val="24"/>
          <w:shd w:val="clear" w:color="auto" w:fill="FFFFFF"/>
          <w:lang w:val="en-GB"/>
        </w:rPr>
        <w:t xml:space="preserve">n </w:t>
      </w:r>
      <w:r w:rsidR="00EE2FDF" w:rsidRPr="004545BE">
        <w:rPr>
          <w:rFonts w:ascii="Times New Roman" w:hAnsi="Times New Roman" w:cs="Times New Roman"/>
          <w:color w:val="000000"/>
          <w:sz w:val="24"/>
          <w:szCs w:val="24"/>
          <w:shd w:val="clear" w:color="auto" w:fill="FFFFFF"/>
          <w:lang w:val="en-GB"/>
        </w:rPr>
        <w:t xml:space="preserve">the </w:t>
      </w:r>
      <w:r w:rsidR="00512C8C" w:rsidRPr="004545BE">
        <w:rPr>
          <w:rFonts w:ascii="Times New Roman" w:hAnsi="Times New Roman" w:cs="Times New Roman"/>
          <w:color w:val="000000"/>
          <w:sz w:val="24"/>
          <w:szCs w:val="24"/>
          <w:shd w:val="clear" w:color="auto" w:fill="FFFFFF"/>
          <w:lang w:val="en-GB"/>
        </w:rPr>
        <w:t>US</w:t>
      </w:r>
      <w:r w:rsidR="00EE2FDF" w:rsidRPr="004545BE">
        <w:rPr>
          <w:rFonts w:ascii="Times New Roman" w:hAnsi="Times New Roman" w:cs="Times New Roman"/>
          <w:color w:val="000000"/>
          <w:sz w:val="24"/>
          <w:szCs w:val="24"/>
          <w:shd w:val="clear" w:color="auto" w:fill="FFFFFF"/>
          <w:lang w:val="en-GB"/>
        </w:rPr>
        <w:t xml:space="preserve"> alone, diabetes is reported to account for an average </w:t>
      </w:r>
      <w:r w:rsidR="0028604E" w:rsidRPr="004545BE">
        <w:rPr>
          <w:rFonts w:ascii="Times New Roman" w:hAnsi="Times New Roman" w:cs="Times New Roman"/>
          <w:color w:val="000000"/>
          <w:sz w:val="24"/>
          <w:szCs w:val="24"/>
          <w:shd w:val="clear" w:color="auto" w:fill="FFFFFF"/>
          <w:lang w:val="en-GB"/>
        </w:rPr>
        <w:t xml:space="preserve">of </w:t>
      </w:r>
      <w:r w:rsidR="00512C8C" w:rsidRPr="004545BE">
        <w:rPr>
          <w:rFonts w:ascii="Times New Roman" w:hAnsi="Times New Roman" w:cs="Times New Roman"/>
          <w:color w:val="000000"/>
          <w:sz w:val="24"/>
          <w:szCs w:val="24"/>
          <w:shd w:val="clear" w:color="auto" w:fill="FFFFFF"/>
          <w:lang w:val="en-GB"/>
        </w:rPr>
        <w:t>3.3 to 18.7 years</w:t>
      </w:r>
      <w:r w:rsidR="00EE2FDF" w:rsidRPr="004545BE">
        <w:rPr>
          <w:rFonts w:ascii="Times New Roman" w:hAnsi="Times New Roman" w:cs="Times New Roman"/>
          <w:color w:val="000000"/>
          <w:sz w:val="24"/>
          <w:szCs w:val="24"/>
          <w:shd w:val="clear" w:color="auto" w:fill="FFFFFF"/>
          <w:lang w:val="en-GB"/>
        </w:rPr>
        <w:t xml:space="preserve"> lifespan loss</w:t>
      </w:r>
      <w:r w:rsidR="00EF4443" w:rsidRPr="004545BE">
        <w:rPr>
          <w:rFonts w:ascii="Times New Roman" w:hAnsi="Times New Roman" w:cs="Times New Roman"/>
          <w:color w:val="000000"/>
          <w:sz w:val="24"/>
          <w:szCs w:val="24"/>
          <w:shd w:val="clear" w:color="auto" w:fill="FFFFFF"/>
          <w:lang w:val="en-GB"/>
        </w:rPr>
        <w:fldChar w:fldCharType="begin" w:fldLock="1"/>
      </w:r>
      <w:r w:rsidR="003805DA" w:rsidRPr="004545BE">
        <w:rPr>
          <w:rFonts w:ascii="Times New Roman" w:hAnsi="Times New Roman" w:cs="Times New Roman"/>
          <w:color w:val="000000"/>
          <w:sz w:val="24"/>
          <w:szCs w:val="24"/>
          <w:shd w:val="clear" w:color="auto" w:fill="FFFFFF"/>
          <w:lang w:val="en-GB"/>
        </w:rPr>
        <w:instrText>ADDIN CSL_CITATION { "citationItems" : [ { "id" : "ITEM-1", "itemData" : { "DOI" : "10.2337/dc14-1453", "ISSN" : "0149-5992", "author" : [ { "dropping-particle" : "", "family" : "Leung", "given" : "Man-Yee Mallory", "non-dropping-particle" : "", "parse-names" : false, "suffix" : "" }, { "dropping-particle" : "", "family" : "Pollack", "given" : "Lisa M.", "non-dropping-particle" : "", "parse-names" : false, "suffix" : "" }, { "dropping-particle" : "", "family" : "Colditz", "given" : "Graham A.", "non-dropping-particle" : "", "parse-names" : false, "suffix" : "" }, { "dropping-particle" : "", "family" : "Chang", "given" : "Su-Hsin", "non-dropping-particle" : "", "parse-names" : false, "suffix" : "" } ], "container-title" : "Diabetes Care", "id" : "ITEM-1", "issue" : "3", "issued" : { "date-parts" : [ [ "2015", "3" ] ] }, "page" : "460-468", "title" : "Life Years Lost and Lifetime Health Care Expenditures Associated With Diabetes in the U.S., National Health Interview Survey, 1997\u20132000", "type" : "article-journal", "volume" : "38" }, "uris" : [ "http://www.mendeley.com/documents/?uuid=f9a3b0ef-595b-3483-9212-08a7936289a9" ] } ], "mendeley" : { "formattedCitation" : "&lt;sup&gt;8&lt;/sup&gt;", "plainTextFormattedCitation" : "8", "previouslyFormattedCitation" : "&lt;sup&gt;8&lt;/sup&gt;"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3805DA" w:rsidRPr="004545BE">
        <w:rPr>
          <w:rFonts w:ascii="Times New Roman" w:hAnsi="Times New Roman" w:cs="Times New Roman"/>
          <w:noProof/>
          <w:color w:val="000000"/>
          <w:sz w:val="24"/>
          <w:szCs w:val="24"/>
          <w:shd w:val="clear" w:color="auto" w:fill="FFFFFF"/>
          <w:vertAlign w:val="superscript"/>
          <w:lang w:val="en-GB"/>
        </w:rPr>
        <w:t>8</w:t>
      </w:r>
      <w:r w:rsidR="00EF4443" w:rsidRPr="004545BE">
        <w:rPr>
          <w:rFonts w:ascii="Times New Roman" w:hAnsi="Times New Roman" w:cs="Times New Roman"/>
          <w:color w:val="000000"/>
          <w:sz w:val="24"/>
          <w:szCs w:val="24"/>
          <w:shd w:val="clear" w:color="auto" w:fill="FFFFFF"/>
          <w:lang w:val="en-GB"/>
        </w:rPr>
        <w:fldChar w:fldCharType="end"/>
      </w:r>
      <w:r w:rsidR="00512C8C" w:rsidRPr="004545BE">
        <w:rPr>
          <w:rFonts w:ascii="Times New Roman" w:hAnsi="Times New Roman" w:cs="Times New Roman"/>
          <w:color w:val="000000"/>
          <w:sz w:val="24"/>
          <w:szCs w:val="24"/>
          <w:shd w:val="clear" w:color="auto" w:fill="FFFFFF"/>
          <w:lang w:val="en-GB"/>
        </w:rPr>
        <w:t>.</w:t>
      </w:r>
    </w:p>
    <w:p w:rsidR="007A0DDE" w:rsidRPr="004545BE" w:rsidRDefault="00E24237" w:rsidP="009123BE">
      <w:pPr>
        <w:spacing w:line="480" w:lineRule="auto"/>
        <w:jc w:val="both"/>
        <w:rPr>
          <w:rFonts w:ascii="Times New Roman" w:hAnsi="Times New Roman" w:cs="Times New Roman"/>
          <w:color w:val="000000"/>
          <w:sz w:val="24"/>
          <w:szCs w:val="24"/>
          <w:shd w:val="clear" w:color="auto" w:fill="FFFFFF"/>
          <w:lang w:val="en-GB"/>
        </w:rPr>
      </w:pPr>
      <w:r w:rsidRPr="004545BE">
        <w:rPr>
          <w:rFonts w:ascii="Times New Roman" w:hAnsi="Times New Roman" w:cs="Times New Roman"/>
          <w:color w:val="000000"/>
          <w:sz w:val="24"/>
          <w:szCs w:val="24"/>
          <w:shd w:val="clear" w:color="auto" w:fill="FFFFFF"/>
          <w:lang w:val="en-GB"/>
        </w:rPr>
        <w:t>Published</w:t>
      </w:r>
      <w:r w:rsidR="00B330A1" w:rsidRPr="004545BE">
        <w:rPr>
          <w:rFonts w:ascii="Times New Roman" w:hAnsi="Times New Roman" w:cs="Times New Roman"/>
          <w:color w:val="000000"/>
          <w:sz w:val="24"/>
          <w:szCs w:val="24"/>
          <w:shd w:val="clear" w:color="auto" w:fill="FFFFFF"/>
          <w:lang w:val="en-GB"/>
        </w:rPr>
        <w:t xml:space="preserve"> e</w:t>
      </w:r>
      <w:r w:rsidR="00742138" w:rsidRPr="004545BE">
        <w:rPr>
          <w:rFonts w:ascii="Times New Roman" w:hAnsi="Times New Roman" w:cs="Times New Roman"/>
          <w:color w:val="000000"/>
          <w:sz w:val="24"/>
          <w:szCs w:val="24"/>
          <w:shd w:val="clear" w:color="auto" w:fill="FFFFFF"/>
          <w:lang w:val="en-GB"/>
        </w:rPr>
        <w:t>vidence suggests an</w:t>
      </w:r>
      <w:r w:rsidR="00EE2FDF" w:rsidRPr="004545BE">
        <w:rPr>
          <w:rFonts w:ascii="Times New Roman" w:hAnsi="Times New Roman" w:cs="Times New Roman"/>
          <w:color w:val="000000"/>
          <w:sz w:val="24"/>
          <w:szCs w:val="24"/>
          <w:shd w:val="clear" w:color="auto" w:fill="FFFFFF"/>
          <w:lang w:val="en-GB"/>
        </w:rPr>
        <w:t xml:space="preserve"> association between diabetes and bone fragility</w:t>
      </w:r>
      <w:r w:rsidR="00EF4443" w:rsidRPr="004545BE">
        <w:rPr>
          <w:rFonts w:ascii="Times New Roman" w:hAnsi="Times New Roman" w:cs="Times New Roman"/>
          <w:color w:val="000000"/>
          <w:sz w:val="24"/>
          <w:szCs w:val="24"/>
          <w:shd w:val="clear" w:color="auto" w:fill="FFFFFF"/>
          <w:lang w:val="en-GB"/>
        </w:rPr>
        <w:fldChar w:fldCharType="begin" w:fldLock="1"/>
      </w:r>
      <w:r w:rsidR="00727574" w:rsidRPr="004545BE">
        <w:rPr>
          <w:rFonts w:ascii="Times New Roman" w:hAnsi="Times New Roman" w:cs="Times New Roman"/>
          <w:color w:val="000000"/>
          <w:sz w:val="24"/>
          <w:szCs w:val="24"/>
          <w:shd w:val="clear" w:color="auto" w:fill="FFFFFF"/>
          <w:lang w:val="en-GB"/>
        </w:rPr>
        <w:instrText>ADDIN CSL_CITATION { "citationItems" : [ { "id" : "ITEM-1", "itemData" : { "id" : "ITEM-1", "issued" : { "date-parts" : [ [ "2007" ] ] }, "title" : "British Orthopaedic Association THE CARE OF PATIENTS WITH FRAGILITY FRACTURE", "type" : "article-journal" }, "uris" : [ "http://www.mendeley.com/documents/?uuid=48fc31b6-7595-3f3e-80db-66f2db52542b" ] } ], "mendeley" : { "formattedCitation" : "&lt;sup&gt;9&lt;/sup&gt;", "plainTextFormattedCitation" : "9", "previouslyFormattedCitation" : "&lt;sup&gt;9&lt;/sup&gt;"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3805DA" w:rsidRPr="004545BE">
        <w:rPr>
          <w:rFonts w:ascii="Times New Roman" w:hAnsi="Times New Roman" w:cs="Times New Roman"/>
          <w:noProof/>
          <w:color w:val="000000"/>
          <w:sz w:val="24"/>
          <w:szCs w:val="24"/>
          <w:shd w:val="clear" w:color="auto" w:fill="FFFFFF"/>
          <w:vertAlign w:val="superscript"/>
          <w:lang w:val="en-GB"/>
        </w:rPr>
        <w:t>9</w:t>
      </w:r>
      <w:r w:rsidR="00EF4443" w:rsidRPr="004545BE">
        <w:rPr>
          <w:rFonts w:ascii="Times New Roman" w:hAnsi="Times New Roman" w:cs="Times New Roman"/>
          <w:color w:val="000000"/>
          <w:sz w:val="24"/>
          <w:szCs w:val="24"/>
          <w:shd w:val="clear" w:color="auto" w:fill="FFFFFF"/>
          <w:lang w:val="en-GB"/>
        </w:rPr>
        <w:fldChar w:fldCharType="end"/>
      </w:r>
      <w:r w:rsidRPr="004545BE">
        <w:rPr>
          <w:rFonts w:ascii="Times New Roman" w:hAnsi="Times New Roman" w:cs="Times New Roman"/>
          <w:color w:val="000000"/>
          <w:sz w:val="24"/>
          <w:szCs w:val="24"/>
          <w:shd w:val="clear" w:color="auto" w:fill="FFFFFF"/>
          <w:lang w:val="en-GB"/>
        </w:rPr>
        <w:t xml:space="preserve">. Despite diabetes </w:t>
      </w:r>
      <w:r w:rsidR="00EE2FDF" w:rsidRPr="004545BE">
        <w:rPr>
          <w:rFonts w:ascii="Times New Roman" w:hAnsi="Times New Roman" w:cs="Times New Roman"/>
          <w:color w:val="000000"/>
          <w:sz w:val="24"/>
          <w:szCs w:val="24"/>
          <w:shd w:val="clear" w:color="auto" w:fill="FFFFFF"/>
          <w:lang w:val="en-GB"/>
        </w:rPr>
        <w:t xml:space="preserve">being </w:t>
      </w:r>
      <w:r w:rsidR="008B5E2F" w:rsidRPr="004545BE">
        <w:rPr>
          <w:rFonts w:ascii="Times New Roman" w:hAnsi="Times New Roman" w:cs="Times New Roman"/>
          <w:color w:val="000000"/>
          <w:sz w:val="24"/>
          <w:szCs w:val="24"/>
          <w:shd w:val="clear" w:color="auto" w:fill="FFFFFF"/>
          <w:lang w:val="en-GB"/>
        </w:rPr>
        <w:t xml:space="preserve">associated with higher </w:t>
      </w:r>
      <w:r w:rsidR="00DD312D" w:rsidRPr="004545BE">
        <w:rPr>
          <w:rFonts w:ascii="Times New Roman" w:hAnsi="Times New Roman" w:cs="Times New Roman"/>
          <w:color w:val="000000"/>
          <w:sz w:val="24"/>
          <w:szCs w:val="24"/>
          <w:shd w:val="clear" w:color="auto" w:fill="FFFFFF"/>
          <w:lang w:val="en-GB"/>
        </w:rPr>
        <w:t xml:space="preserve">bone </w:t>
      </w:r>
      <w:r w:rsidR="00117D2C" w:rsidRPr="004545BE">
        <w:rPr>
          <w:rFonts w:ascii="Times New Roman" w:hAnsi="Times New Roman" w:cs="Times New Roman"/>
          <w:color w:val="000000"/>
          <w:sz w:val="24"/>
          <w:szCs w:val="24"/>
          <w:shd w:val="clear" w:color="auto" w:fill="FFFFFF"/>
          <w:lang w:val="en-GB"/>
        </w:rPr>
        <w:t>mineral</w:t>
      </w:r>
      <w:r w:rsidR="00DD312D" w:rsidRPr="004545BE">
        <w:rPr>
          <w:rFonts w:ascii="Times New Roman" w:hAnsi="Times New Roman" w:cs="Times New Roman"/>
          <w:color w:val="000000"/>
          <w:sz w:val="24"/>
          <w:szCs w:val="24"/>
          <w:shd w:val="clear" w:color="auto" w:fill="FFFFFF"/>
          <w:lang w:val="en-GB"/>
        </w:rPr>
        <w:t xml:space="preserve"> density (BMD)</w:t>
      </w:r>
      <w:r w:rsidR="00EF4443" w:rsidRPr="004545BE">
        <w:rPr>
          <w:rFonts w:ascii="Times New Roman" w:hAnsi="Times New Roman" w:cs="Times New Roman"/>
          <w:color w:val="000000"/>
          <w:sz w:val="24"/>
          <w:szCs w:val="24"/>
          <w:shd w:val="clear" w:color="auto" w:fill="FFFFFF"/>
          <w:lang w:val="en-GB"/>
        </w:rPr>
        <w:fldChar w:fldCharType="begin" w:fldLock="1"/>
      </w:r>
      <w:r w:rsidR="00727574" w:rsidRPr="004545BE">
        <w:rPr>
          <w:rFonts w:ascii="Times New Roman" w:hAnsi="Times New Roman" w:cs="Times New Roman"/>
          <w:color w:val="000000"/>
          <w:sz w:val="24"/>
          <w:szCs w:val="24"/>
          <w:shd w:val="clear" w:color="auto" w:fill="FFFFFF"/>
          <w:lang w:val="en-GB"/>
        </w:rPr>
        <w:instrText>ADDIN CSL_CITATION { "citationItems" : [ { "id" : "ITEM-1", "itemData" : { "ISSN" : "0149-5992", "PMID" : "10388989", "abstract" : "OBJECTIVE To assess the effect of type 1 and type 2 diabetes and insulin treatment on bone mineral density (BMD) in middle-aged and elderly men and women. RESEARCH DESIGN AND METHODS We measured BMD and evaluated known determinants of osteoporosis in 56 type 1 and 68 type 2 diabetic patients and 498 nondiabetic community control subjects. All patients, aged 52-72 years, developed diabetes after the age of 30 years (i.e., after achievement of peak bone mass) and were treated with insulin. BMD was measured at the proximal femur with dual-energy X-ray absorptiometry. RESULTS Among both sexes, BMD values were significantly lower in type 1 diabetic patients than in type 2 diabetic patients or the control subjects. When adjusted for age and BMI, the differences between type 1 diabetic patients and control subjects remained essentially unchanged in both sexes, whereas the differences between type 1 and type 2 diabetic subjects were significant only in men. After further adjustments for confounding factors, the average BMD values were still lower in type 1 diabetic subjects than in type 2 diabetic subjects although with lesser significance. Past low-energy fractures were more common in type 1 diabetic women than in type 2 diabetic women. CONCLUSIONS The lower BMD in type 1 versus type 2 diabetic patients and control subjects probably results from more rapid bone loss after the onset of type 1 diabetes. This cannot be explained by insulin treatment, which was prescribed for both types of patients. Because the causes of low BMD in type 1 diabetes are unknown, these patients should be evaluated for the risk of osteoporosis and related fractures and offered appropriate preventive measures.", "author" : [ { "dropping-particle" : "", "family" : "Tuominen", "given" : "J T", "non-dropping-particle" : "", "parse-names" : false, "suffix" : "" }, { "dropping-particle" : "", "family" : "Impivaara", "given" : "O", "non-dropping-particle" : "", "parse-names" : false, "suffix" : "" }, { "dropping-particle" : "", "family" : "Puukka", "given" : "P", "non-dropping-particle" : "", "parse-names" : false, "suffix" : "" }, { "dropping-particle" : "", "family" : "R\u00f6nnemaa", "given" : "T", "non-dropping-particle" : "", "parse-names" : false, "suffix" : "" } ], "container-title" : "Diabetes care", "id" : "ITEM-1", "issue" : "7", "issued" : { "date-parts" : [ [ "1999", "7" ] ] }, "page" : "1196-200", "title" : "Bone mineral density in patients with type 1 and type 2 diabetes.", "type" : "article-journal", "volume" : "22" }, "uris" : [ "http://www.mendeley.com/documents/?uuid=d9ca8db4-672c-3588-8c26-d87327847001" ] } ], "mendeley" : { "formattedCitation" : "&lt;sup&gt;10&lt;/sup&gt;", "plainTextFormattedCitation" : "10", "previouslyFormattedCitation" : "&lt;sup&gt;10&lt;/sup&gt;"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727574" w:rsidRPr="004545BE">
        <w:rPr>
          <w:rFonts w:ascii="Times New Roman" w:hAnsi="Times New Roman" w:cs="Times New Roman"/>
          <w:noProof/>
          <w:color w:val="000000"/>
          <w:sz w:val="24"/>
          <w:szCs w:val="24"/>
          <w:shd w:val="clear" w:color="auto" w:fill="FFFFFF"/>
          <w:vertAlign w:val="superscript"/>
          <w:lang w:val="en-GB"/>
        </w:rPr>
        <w:t>10</w:t>
      </w:r>
      <w:r w:rsidR="00EF4443" w:rsidRPr="004545BE">
        <w:rPr>
          <w:rFonts w:ascii="Times New Roman" w:hAnsi="Times New Roman" w:cs="Times New Roman"/>
          <w:color w:val="000000"/>
          <w:sz w:val="24"/>
          <w:szCs w:val="24"/>
          <w:shd w:val="clear" w:color="auto" w:fill="FFFFFF"/>
          <w:lang w:val="en-GB"/>
        </w:rPr>
        <w:fldChar w:fldCharType="end"/>
      </w:r>
      <w:r w:rsidR="0028604E" w:rsidRPr="004545BE">
        <w:rPr>
          <w:rFonts w:ascii="Times New Roman" w:hAnsi="Times New Roman" w:cs="Times New Roman"/>
          <w:color w:val="000000"/>
          <w:sz w:val="24"/>
          <w:szCs w:val="24"/>
          <w:shd w:val="clear" w:color="auto" w:fill="FFFFFF"/>
          <w:lang w:val="en-GB"/>
        </w:rPr>
        <w:t>,</w:t>
      </w:r>
      <w:r w:rsidR="00742138" w:rsidRPr="004545BE">
        <w:rPr>
          <w:rFonts w:ascii="Times New Roman" w:hAnsi="Times New Roman" w:cs="Times New Roman"/>
          <w:color w:val="000000"/>
          <w:sz w:val="24"/>
          <w:szCs w:val="24"/>
          <w:shd w:val="clear" w:color="auto" w:fill="FFFFFF"/>
          <w:lang w:val="en-GB"/>
        </w:rPr>
        <w:t xml:space="preserve"> </w:t>
      </w:r>
      <w:r w:rsidR="00EE2FDF" w:rsidRPr="004545BE">
        <w:rPr>
          <w:rFonts w:ascii="Times New Roman" w:hAnsi="Times New Roman" w:cs="Times New Roman"/>
          <w:color w:val="000000"/>
          <w:sz w:val="24"/>
          <w:szCs w:val="24"/>
          <w:shd w:val="clear" w:color="auto" w:fill="FFFFFF"/>
          <w:lang w:val="en-GB"/>
        </w:rPr>
        <w:t>a</w:t>
      </w:r>
      <w:r w:rsidR="00242857" w:rsidRPr="004545BE">
        <w:rPr>
          <w:rFonts w:ascii="Times New Roman" w:hAnsi="Times New Roman" w:cs="Times New Roman"/>
          <w:color w:val="000000"/>
          <w:sz w:val="24"/>
          <w:szCs w:val="24"/>
          <w:shd w:val="clear" w:color="auto" w:fill="FFFFFF"/>
          <w:lang w:val="en-GB"/>
        </w:rPr>
        <w:t xml:space="preserve"> systematic review and </w:t>
      </w:r>
      <w:r w:rsidR="00242857" w:rsidRPr="004545BE">
        <w:rPr>
          <w:rFonts w:ascii="Times New Roman" w:hAnsi="Times New Roman" w:cs="Times New Roman"/>
          <w:color w:val="000000"/>
          <w:sz w:val="24"/>
          <w:szCs w:val="24"/>
          <w:shd w:val="clear" w:color="auto" w:fill="FFFFFF"/>
          <w:lang w:val="en-GB"/>
        </w:rPr>
        <w:lastRenderedPageBreak/>
        <w:t xml:space="preserve">meta-analysis concluded that type 2 </w:t>
      </w:r>
      <w:r w:rsidR="00EE2FDF" w:rsidRPr="004545BE">
        <w:rPr>
          <w:rFonts w:ascii="Times New Roman" w:hAnsi="Times New Roman" w:cs="Times New Roman"/>
          <w:color w:val="000000"/>
          <w:sz w:val="24"/>
          <w:szCs w:val="24"/>
          <w:shd w:val="clear" w:color="auto" w:fill="FFFFFF"/>
          <w:lang w:val="en-GB"/>
        </w:rPr>
        <w:t xml:space="preserve">diabetics </w:t>
      </w:r>
      <w:r w:rsidR="008D3ED8" w:rsidRPr="004545BE">
        <w:rPr>
          <w:rFonts w:ascii="Times New Roman" w:hAnsi="Times New Roman" w:cs="Times New Roman"/>
          <w:color w:val="000000"/>
          <w:sz w:val="24"/>
          <w:szCs w:val="24"/>
          <w:shd w:val="clear" w:color="auto" w:fill="FFFFFF"/>
          <w:lang w:val="en-GB"/>
        </w:rPr>
        <w:t>have</w:t>
      </w:r>
      <w:r w:rsidR="00EE2FDF" w:rsidRPr="004545BE">
        <w:rPr>
          <w:rFonts w:ascii="Times New Roman" w:hAnsi="Times New Roman" w:cs="Times New Roman"/>
          <w:color w:val="000000"/>
          <w:sz w:val="24"/>
          <w:szCs w:val="24"/>
          <w:shd w:val="clear" w:color="auto" w:fill="FFFFFF"/>
          <w:lang w:val="en-GB"/>
        </w:rPr>
        <w:t xml:space="preserve"> a 40% excess risk of hip fracture </w:t>
      </w:r>
      <w:r w:rsidR="00242857" w:rsidRPr="004545BE">
        <w:rPr>
          <w:rFonts w:ascii="Times New Roman" w:hAnsi="Times New Roman" w:cs="Times New Roman"/>
          <w:color w:val="000000"/>
          <w:sz w:val="24"/>
          <w:szCs w:val="24"/>
          <w:shd w:val="clear" w:color="auto" w:fill="FFFFFF"/>
          <w:lang w:val="en-GB"/>
        </w:rPr>
        <w:t xml:space="preserve">compared </w:t>
      </w:r>
      <w:r w:rsidR="00EE2FDF" w:rsidRPr="004545BE">
        <w:rPr>
          <w:rFonts w:ascii="Times New Roman" w:hAnsi="Times New Roman" w:cs="Times New Roman"/>
          <w:color w:val="000000"/>
          <w:sz w:val="24"/>
          <w:szCs w:val="24"/>
          <w:shd w:val="clear" w:color="auto" w:fill="FFFFFF"/>
          <w:lang w:val="en-GB"/>
        </w:rPr>
        <w:t xml:space="preserve">to </w:t>
      </w:r>
      <w:r w:rsidR="00242857" w:rsidRPr="004545BE">
        <w:rPr>
          <w:rFonts w:ascii="Times New Roman" w:hAnsi="Times New Roman" w:cs="Times New Roman"/>
          <w:color w:val="000000"/>
          <w:sz w:val="24"/>
          <w:szCs w:val="24"/>
          <w:shd w:val="clear" w:color="auto" w:fill="FFFFFF"/>
          <w:lang w:val="en-GB"/>
        </w:rPr>
        <w:t>non</w:t>
      </w:r>
      <w:r w:rsidR="0004086A" w:rsidRPr="004545BE">
        <w:rPr>
          <w:rFonts w:ascii="Times New Roman" w:hAnsi="Times New Roman" w:cs="Times New Roman"/>
          <w:color w:val="000000"/>
          <w:sz w:val="24"/>
          <w:szCs w:val="24"/>
          <w:shd w:val="clear" w:color="auto" w:fill="FFFFFF"/>
          <w:lang w:val="en-GB"/>
        </w:rPr>
        <w:t>-</w:t>
      </w:r>
      <w:r w:rsidR="00242857" w:rsidRPr="004545BE">
        <w:rPr>
          <w:rFonts w:ascii="Times New Roman" w:hAnsi="Times New Roman" w:cs="Times New Roman"/>
          <w:color w:val="000000"/>
          <w:sz w:val="24"/>
          <w:szCs w:val="24"/>
          <w:shd w:val="clear" w:color="auto" w:fill="FFFFFF"/>
          <w:lang w:val="en-GB"/>
        </w:rPr>
        <w:t xml:space="preserve">diabetic </w:t>
      </w:r>
      <w:r w:rsidR="00EE2FDF" w:rsidRPr="004545BE">
        <w:rPr>
          <w:rFonts w:ascii="Times New Roman" w:hAnsi="Times New Roman" w:cs="Times New Roman"/>
          <w:color w:val="000000"/>
          <w:sz w:val="24"/>
          <w:szCs w:val="24"/>
          <w:shd w:val="clear" w:color="auto" w:fill="FFFFFF"/>
          <w:lang w:val="en-GB"/>
        </w:rPr>
        <w:t>peers</w:t>
      </w:r>
      <w:r w:rsidR="00EF4443" w:rsidRPr="004545BE">
        <w:rPr>
          <w:rFonts w:ascii="Times New Roman" w:hAnsi="Times New Roman" w:cs="Times New Roman"/>
          <w:color w:val="000000"/>
          <w:sz w:val="24"/>
          <w:szCs w:val="24"/>
          <w:shd w:val="clear" w:color="auto" w:fill="FFFFFF"/>
          <w:lang w:val="en-GB"/>
        </w:rPr>
        <w:fldChar w:fldCharType="begin" w:fldLock="1"/>
      </w:r>
      <w:r w:rsidR="00727574" w:rsidRPr="004545BE">
        <w:rPr>
          <w:rFonts w:ascii="Times New Roman" w:hAnsi="Times New Roman" w:cs="Times New Roman"/>
          <w:color w:val="000000"/>
          <w:sz w:val="24"/>
          <w:szCs w:val="24"/>
          <w:shd w:val="clear" w:color="auto" w:fill="FFFFFF"/>
          <w:lang w:val="en-GB"/>
        </w:rPr>
        <w:instrText>ADDIN CSL_CITATION { "citationItems" : [ { "id" : "ITEM-1", "itemData" : { "DOI" : "10.1007/s00198-006-0253-4", "ISBN" : "0937-941X", "ISSN" : "0937-941X", "PMID" : "17068657", "abstract" : "INTRODUCTION AND HYPOTHESIS: Diabetes affects bone metabolism. The hypothesis was that type 1 (T1D) and type 2 (T2D) affects BMD and fracture risk differently. MATERIAL AND METHODS: Pubmed, Embase, and Web of Science were searched using the terms \"diabetes\", \"fracture\", and \"bone mineral\". RESULTS: Hip fracture risk was increased in T1D (RR = 6.94, 95% CI: 3.25-14.78, five studies) and T2D (1.38, 95% CI: 1.25-1.53, eight studies) compared to subjects without diabetes. The increase in relative hip fracture risk was significantly higher in T1D than in T2D. BMD Z-score was decreased in the spine (mean +/- SEM -0.22 +/- 0.01) and hip (-0.37 +/- 0.16) in T1D and increased in the spine (0.41 +/- 0.01) and hip (0.27 +/- 0.01) in T2D. A meta-regression showed that body mass index (BMI) was a major determinant for BMD in both the spine and hip. Glycated haemoglobin (HbA1C) was not linked to BMD. The increase in fracture risk was higher and BMD lower in patients with complications to diabetes. CONCLUSIONS: Hip fracture risk is increased in both T1D and T2D, whereas BMD is increased in T2D and decreased in T1D. A common factor such as complications may explain the increase in fracture risk, whereas BMI may ameliorate the increase in fracture risk in T2D.", "author" : [ { "dropping-particle" : "", "family" : "Vestergaard", "given" : "P", "non-dropping-particle" : "", "parse-names" : false, "suffix" : "" } ], "container-title" : "Osteoporosis international : a journal established as result of cooperation between the European Foundation for Osteoporosis and the National Osteoporosis Foundation of the USA", "id" : "ITEM-1", "issue" : "4", "issued" : { "date-parts" : [ [ "2007" ] ] }, "page" : "427-444", "title" : "Discrepancies in bone mineral density and fracture risk in patients with type 1 and type 2 diabetes--a meta-analysis.", "type" : "article-journal", "volume" : "18" }, "uris" : [ "http://www.mendeley.com/documents/?uuid=d173da25-325e-4f6b-a3aa-37ac82bfdf36" ] } ], "mendeley" : { "formattedCitation" : "&lt;sup&gt;11&lt;/sup&gt;", "plainTextFormattedCitation" : "11", "previouslyFormattedCitation" : "&lt;sup&gt;11&lt;/sup&gt;"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727574" w:rsidRPr="004545BE">
        <w:rPr>
          <w:rFonts w:ascii="Times New Roman" w:hAnsi="Times New Roman" w:cs="Times New Roman"/>
          <w:noProof/>
          <w:color w:val="000000"/>
          <w:sz w:val="24"/>
          <w:szCs w:val="24"/>
          <w:shd w:val="clear" w:color="auto" w:fill="FFFFFF"/>
          <w:vertAlign w:val="superscript"/>
          <w:lang w:val="en-GB"/>
        </w:rPr>
        <w:t>11</w:t>
      </w:r>
      <w:r w:rsidR="00EF4443" w:rsidRPr="004545BE">
        <w:rPr>
          <w:rFonts w:ascii="Times New Roman" w:hAnsi="Times New Roman" w:cs="Times New Roman"/>
          <w:color w:val="000000"/>
          <w:sz w:val="24"/>
          <w:szCs w:val="24"/>
          <w:shd w:val="clear" w:color="auto" w:fill="FFFFFF"/>
          <w:lang w:val="en-GB"/>
        </w:rPr>
        <w:fldChar w:fldCharType="end"/>
      </w:r>
      <w:r w:rsidR="00242857" w:rsidRPr="004545BE">
        <w:rPr>
          <w:rFonts w:ascii="Times New Roman" w:hAnsi="Times New Roman" w:cs="Times New Roman"/>
          <w:color w:val="000000"/>
          <w:sz w:val="24"/>
          <w:szCs w:val="24"/>
          <w:shd w:val="clear" w:color="auto" w:fill="FFFFFF"/>
          <w:lang w:val="en-GB"/>
        </w:rPr>
        <w:t xml:space="preserve">. </w:t>
      </w:r>
      <w:r w:rsidR="00F86B3A" w:rsidRPr="004545BE">
        <w:rPr>
          <w:rFonts w:ascii="Times New Roman" w:hAnsi="Times New Roman" w:cs="Times New Roman"/>
          <w:color w:val="000000"/>
          <w:sz w:val="24"/>
          <w:szCs w:val="24"/>
          <w:shd w:val="clear" w:color="auto" w:fill="FFFFFF"/>
          <w:lang w:val="en-GB"/>
        </w:rPr>
        <w:t xml:space="preserve">Recent </w:t>
      </w:r>
      <w:r w:rsidR="007A0DDE" w:rsidRPr="004545BE">
        <w:rPr>
          <w:rFonts w:ascii="Times New Roman" w:hAnsi="Times New Roman" w:cs="Times New Roman"/>
          <w:color w:val="000000"/>
          <w:sz w:val="24"/>
          <w:szCs w:val="24"/>
          <w:shd w:val="clear" w:color="auto" w:fill="FFFFFF"/>
          <w:lang w:val="en-GB"/>
        </w:rPr>
        <w:t xml:space="preserve">evidence, </w:t>
      </w:r>
      <w:r w:rsidR="00EE2FDF" w:rsidRPr="004545BE">
        <w:rPr>
          <w:rFonts w:ascii="Times New Roman" w:hAnsi="Times New Roman" w:cs="Times New Roman"/>
          <w:color w:val="000000"/>
          <w:sz w:val="24"/>
          <w:szCs w:val="24"/>
          <w:shd w:val="clear" w:color="auto" w:fill="FFFFFF"/>
          <w:lang w:val="en-GB"/>
        </w:rPr>
        <w:t xml:space="preserve">mostly </w:t>
      </w:r>
      <w:r w:rsidR="007A0DDE" w:rsidRPr="004545BE">
        <w:rPr>
          <w:rFonts w:ascii="Times New Roman" w:hAnsi="Times New Roman" w:cs="Times New Roman"/>
          <w:color w:val="000000"/>
          <w:sz w:val="24"/>
          <w:szCs w:val="24"/>
          <w:shd w:val="clear" w:color="auto" w:fill="FFFFFF"/>
          <w:lang w:val="en-GB"/>
        </w:rPr>
        <w:t xml:space="preserve">published in the </w:t>
      </w:r>
      <w:r w:rsidR="00EE2FDF" w:rsidRPr="004545BE">
        <w:rPr>
          <w:rFonts w:ascii="Times New Roman" w:hAnsi="Times New Roman" w:cs="Times New Roman"/>
          <w:color w:val="000000"/>
          <w:sz w:val="24"/>
          <w:szCs w:val="24"/>
          <w:shd w:val="clear" w:color="auto" w:fill="FFFFFF"/>
          <w:lang w:val="en-GB"/>
        </w:rPr>
        <w:t>last 10-15 years</w:t>
      </w:r>
      <w:r w:rsidR="007A0DDE" w:rsidRPr="004545BE">
        <w:rPr>
          <w:rFonts w:ascii="Times New Roman" w:hAnsi="Times New Roman" w:cs="Times New Roman"/>
          <w:color w:val="000000"/>
          <w:sz w:val="24"/>
          <w:szCs w:val="24"/>
          <w:shd w:val="clear" w:color="auto" w:fill="FFFFFF"/>
          <w:lang w:val="en-GB"/>
        </w:rPr>
        <w:t xml:space="preserve">, </w:t>
      </w:r>
      <w:r w:rsidRPr="004545BE">
        <w:rPr>
          <w:rFonts w:ascii="Times New Roman" w:hAnsi="Times New Roman" w:cs="Times New Roman"/>
          <w:color w:val="000000"/>
          <w:sz w:val="24"/>
          <w:szCs w:val="24"/>
          <w:shd w:val="clear" w:color="auto" w:fill="FFFFFF"/>
          <w:lang w:val="en-GB"/>
        </w:rPr>
        <w:t>reinforces</w:t>
      </w:r>
      <w:r w:rsidR="00380D07" w:rsidRPr="004545BE">
        <w:rPr>
          <w:rFonts w:ascii="Times New Roman" w:hAnsi="Times New Roman" w:cs="Times New Roman"/>
          <w:color w:val="000000"/>
          <w:sz w:val="24"/>
          <w:szCs w:val="24"/>
          <w:shd w:val="clear" w:color="auto" w:fill="FFFFFF"/>
          <w:lang w:val="en-GB"/>
        </w:rPr>
        <w:t xml:space="preserve"> </w:t>
      </w:r>
      <w:r w:rsidR="00EE2FDF" w:rsidRPr="004545BE">
        <w:rPr>
          <w:rFonts w:ascii="Times New Roman" w:hAnsi="Times New Roman" w:cs="Times New Roman"/>
          <w:color w:val="000000"/>
          <w:sz w:val="24"/>
          <w:szCs w:val="24"/>
          <w:shd w:val="clear" w:color="auto" w:fill="FFFFFF"/>
          <w:lang w:val="en-GB"/>
        </w:rPr>
        <w:t>these findings</w:t>
      </w:r>
      <w:r w:rsidR="00EF4443" w:rsidRPr="004545BE">
        <w:rPr>
          <w:rFonts w:ascii="Times New Roman" w:hAnsi="Times New Roman" w:cs="Times New Roman"/>
          <w:color w:val="000000"/>
          <w:sz w:val="24"/>
          <w:szCs w:val="24"/>
          <w:shd w:val="clear" w:color="auto" w:fill="FFFFFF"/>
          <w:lang w:val="en-GB"/>
        </w:rPr>
        <w:fldChar w:fldCharType="begin" w:fldLock="1"/>
      </w:r>
      <w:r w:rsidR="00727574" w:rsidRPr="004545BE">
        <w:rPr>
          <w:rFonts w:ascii="Times New Roman" w:hAnsi="Times New Roman" w:cs="Times New Roman"/>
          <w:color w:val="000000"/>
          <w:sz w:val="24"/>
          <w:szCs w:val="24"/>
          <w:shd w:val="clear" w:color="auto" w:fill="FFFFFF"/>
          <w:lang w:val="en-GB"/>
        </w:rPr>
        <w:instrText>ADDIN CSL_CITATION { "citationItems" : [ { "id" : "ITEM-1", "itemData" : { "DOI" : "10.1002/jbmr.2118", "ISSN" : "08840431", "author" : [ { "dropping-particle" : "", "family" : "Hothersall", "given" : "Eleanor J", "non-dropping-particle" : "", "parse-names" : false, "suffix" : "" }, { "dropping-particle" : "", "family" : "Livingstone", "given" : "Shona J", "non-dropping-particle" : "", "parse-names" : false, "suffix" : "" }, { "dropping-particle" : "", "family" : "Looker", "given" : "Helen C", "non-dropping-particle" : "", "parse-names" : false, "suffix" : "" }, { "dropping-particle" : "", "family" : "Ahmed", "given" : "S Faisal", "non-dropping-particle" : "", "parse-names" : false, "suffix" : "" }, { "dropping-particle" : "", "family" : "Cleland", "given" : "Steve", "non-dropping-particle" : "", "parse-names" : false, "suffix" : "" }, { "dropping-particle" : "", "family" : "Leese", "given" : "Graham P", "non-dropping-particle" : "", "parse-names" : false, "suffix" : "" }, { "dropping-particle" : "", "family" : "Lindsay", "given" : "Robert S", "non-dropping-particle" : "", "parse-names" : false, "suffix" : "" }, { "dropping-particle" : "", "family" : "McKnight", "given" : "John", "non-dropping-particle" : "", "parse-names" : false, "suffix" : "" }, { "dropping-particle" : "", "family" : "Pearson", "given" : "Donald", "non-dropping-particle" : "", "parse-names" : false, "suffix" : "" }, { "dropping-particle" : "", "family" : "Philip", "given" : "Sam", "non-dropping-particle" : "", "parse-names" : false, "suffix" : "" }, { "dropping-particle" : "", "family" : "Wild", "given" : "Sarah H", "non-dropping-particle" : "", "parse-names" : false, "suffix" : "" }, { "dropping-particle" : "", "family" : "Colhoun", "given" : "Helen M", "non-dropping-particle" : "", "parse-names" : false, "suffix" : "" } ], "container-title" : "Journal of Bone and Mineral Research", "id" : "ITEM-1", "issue" : "5", "issued" : { "date-parts" : [ [ "2014", "5" ] ] }, "page" : "1054-1060", "title" : "Contemporary Risk of Hip Fracture in Type 1 and Type 2 Diabetes: A National Registry Study From Scotland", "type" : "article-journal", "volume" : "29" }, "uris" : [ "http://www.mendeley.com/documents/?uuid=6b0bfcf1-edb7-36f1-8ced-64779bd46ab1" ] }, { "id" : "ITEM-2", "itemData" : { "DOI" : "10.1210/jcem.86.1.7139", "ISSN" : "0021-972X", "PMID" : "11231974", "abstract" : "To determine whether type 2 diabetes is associated with fracture in older women, we analyzed data from 9654 women, age 65 yr or older, in the Study of Osteoporotic Fractures. Diabetes with age at onset 40 yr or older was reported by 657 women, of whom 106 used insulin. A total of 2624 women experienced at least one nonvertebral fracture during an average follow-up of 9.4 yr, and 388 had at least one vertebral fracture during an average interval of 3.7 yr. Although diabetes was associated with higher bone mineral density, it was also associated with a higher risk of specific fractures. Compared with nondiabetics, women with diabetes who were not using insulin had an increased risk of hip [relative risk (RR), 1.82; 95% confidence interval (CI), 1.24-2.69] and proximal humerus (RR, 1.94; 95% CI, 1.24-3.02) fractures in multivariate models controlling for age, body mass index, bone density, and other factors associated with fractures and diabetes. Insulin-treated diabetics had more than double the risk of foot (multivariate adjusted RR, 2.66; 95% CI, 1.18-6.02) fractures compared with nondiabetics. This study indicates that diabetes is a risk factor for hip, proximal humerus, and foot fractures among older women, suggesting that fracture prevention efforts should be a consideration in the treatment of diabetes.", "author" : [ { "dropping-particle" : "V.", "family" : "Schwartz", "given" : "Ann", "non-dropping-particle" : "", "parse-names" : false, "suffix" : "" }, { "dropping-particle" : "", "family" : "Sellmeyer", "given" : "Deborah E.", "non-dropping-particle" : "", "parse-names" : false, "suffix" : "" }, { "dropping-particle" : "", "family" : "Ensrud", "given" : "Kristine E.", "non-dropping-particle" : "", "parse-names" : false, "suffix" : "" }, { "dropping-particle" : "", "family" : "Cauley", "given" : "Jane A.", "non-dropping-particle" : "", "parse-names" : false, "suffix" : "" }, { "dropping-particle" : "", "family" : "Tabor", "given" : "Holly K.", "non-dropping-particle" : "", "parse-names" : false, "suffix" : "" }, { "dropping-particle" : "", "family" : "Schreiner", "given" : "Pamela J.", "non-dropping-particle" : "", "parse-names" : false, "suffix" : "" }, { "dropping-particle" : "", "family" : "Jamal", "given" : "Sophie A.", "non-dropping-particle" : "", "parse-names" : false, "suffix" : "" }, { "dropping-particle" : "", "family" : "Black", "given" : "Dennis M.", "non-dropping-particle" : "", "parse-names" : false, "suffix" : "" }, { "dropping-particle" : "", "family" : "Cummings", "given" : "Steven R.", "non-dropping-particle" : "", "parse-names" : false, "suffix" : "" }, { "dropping-particle" : "", "family" : "Study of Osteoporotic Features Research Group", "given" : "", "non-dropping-particle" : "", "parse-names" : false, "suffix" : "" } ], "container-title" : "The Journal of Clinical Endocrinology &amp; Metabolism", "id" : "ITEM-2", "issue" : "1", "issued" : { "date-parts" : [ [ "2001", "1" ] ] }, "page" : "32-38", "title" : "Older Women with Diabetes Have an Increased Risk of Fracture: A Prospective Study", "type" : "article-journal", "volume" : "86" }, "uris" : [ "http://www.mendeley.com/documents/?uuid=df88616d-a903-3357-98f2-ce99d44afecc" ] }, { "id" : "ITEM-3", "itemData" : { "DOI" : "10.1210/jc.2006-0614", "ISSN" : "0021-972X", "PMID" : "16804043", "abstract" : "CONTEXT Some but not all studies have shown higher rates of fracture in individuals with type 2 diabetes. OBJECTIVE The objective of the study was to determine the risk of fracture in postmenopausal women with type 2 diabetes and determine whether risk varies by fracture site, ethnicity, and baseline bone density. DESIGN, SETTING, AND PARTICIPANTS Women with clinically diagnosed type 2 diabetes at baseline in the Women's Health Initiative Observational Cohort, a prospective study of postmenopausal women (n = 93,676), were compared with women without diagnosed diabetes and risk of fracture overall and at specific sites determined. MAIN OUTCOME MEASURES All fractures and specific sites separately (hip/pelvis/upper leg; lower leg/ankle/knee; foot; upper arm/shoulder/elbow; lower arm/wrist/hand; spine/tailbone) were measured. Bone mineral density (BMD) in a subset also was measured. RESULTS The overall risk of fracture after 7 yr of follow-up was higher in women with diabetes at baseline after controlling for multiple risk factors including frequency of falls [adjusted relative risk (RR) 1.20, 95% confidence interval (CI) 1.11-1.30]. In a subsample of women with baseline BMD scores, women with diabetes had greater hip and spine BMD. The elevated fracture risk was found at multiple sites (hip/pelvis/upper leg; foot; spine/tailbone) among black women (RR 1.33, 95% CI 1.00-1.75) and women with increased baseline bone density (RR 1.26, 95% CI 0.96-1.66). CONCLUSION Women with type 2 diabetes are at increased risk for fractures. This risk is also seen among black and non-Hispanic white women after adjustment for multiple risk factors including frequent falls and increased BMD (in a subset).", "author" : [ { "dropping-particle" : "", "family" : "Bonds", "given" : "Denise E.", "non-dropping-particle" : "", "parse-names" : false, "suffix" : "" }, { "dropping-particle" : "", "family" : "Larson", "given" : "Joseph C.", "non-dropping-particle" : "", "parse-names" : false, "suffix" : "" }, { "dropping-particle" : "V.", "family" : "Schwartz", "given" : "Ann", "non-dropping-particle" : "", "parse-names" : false, "suffix" : "" }, { "dropping-particle" : "", "family" : "Strotmeyer", "given" : "Elsa S.", "non-dropping-particle" : "", "parse-names" : false, "suffix" : "" }, { "dropping-particle" : "", "family" : "Robbins", "given" : "John", "non-dropping-particle" : "", "parse-names" : false, "suffix" : "" }, { "dropping-particle" : "", "family" : "Rodriguez", "given" : "Beatriz L.", "non-dropping-particle" : "", "parse-names" : false, "suffix" : "" }, { "dropping-particle" : "", "family" : "Johnson", "given" : "Karen C.", "non-dropping-particle" : "", "parse-names" : false, "suffix" : "" }, { "dropping-particle" : "", "family" : "Margolis", "given" : "Karen L.", "non-dropping-particle" : "", "parse-names" : false, "suffix" : "" } ], "container-title" : "The Journal of Clinical Endocrinology &amp; Metabolism", "id" : "ITEM-3", "issue" : "9", "issued" : { "date-parts" : [ [ "2006", "9" ] ] }, "page" : "3404-3410", "title" : "Risk of Fracture in Women with Type 2 Diabetes: the Women\u2019s Health Initiative Observational Study", "type" : "article-journal", "volume" : "91" }, "uris" : [ "http://www.mendeley.com/documents/?uuid=7096fbfc-8377-3034-8fc0-06fc45c3b391" ] }, { "id" : "ITEM-4", "itemData" : { "DOI" : "10.1359/jbmr.080323", "ISSN" : "1523-4681", "PMID" : "18348689", "abstract" : "We found no significant excess of fractures among Rochester, MN, residents with diabetes mellitus initially recognized in 1950-1969, but more recent studies elsewhere have documented an apparent increase in hip fracture risk. To explore potential explanations for any increase in fractures, we performed an historical cohort study among 1964 Rochester residents who first met glycemic criteria for diabetes in 1970-1994 (mean age, 61.7 +/-14.0 yr; 51% men). Fracture risk was estimated by standardized incidence ratios (SIRs), and risk factors were evaluated in Andersen-Gill time-to-fracture regression models. In 23,236 person-years of follow-up, 700 diabetic residents experienced 1369 fractures documented by medical record review. Overall fracture risk was elevated (SIR, 1.3; 95% CI, 1.2-1.4), but hip fractures were increased only in follow-up beyond 10 yr (SIR, 1.5; 95% CI, 1.1-1.9). As expected, fracture risk factors included age, prior fracture, secondary osteoporosis, and corticosteroid use, whereas higher physical activity and body mass index were protective. Additionally, fractures were increased among patients with neuropathy (hazard ratio [HR], 1.3; 95% CI, 1.1-1.6) and those on insulin (HR, 1.3; 95% CI, 1.1-1.5); risk was reduced among users of biquanides (HR, 0.7; 95% CI, 0.6-0.96), and no significant influence on fracture risk was seen with sulfonylurea or thiazolidinedione use. Thus, contrary to our earlier study, the risk of fractures overall (and hip fractures specifically) was increased among Rochester residents with diabetes, but there was no evidence that the rise was caused by greater levels of obesity or newer treatments for diabetes.", "author" : [ { "dropping-particle" : "", "family" : "Melton", "given" : "L Joseph", "non-dropping-particle" : "", "parse-names" : false, "suffix" : "" }, { "dropping-particle" : "", "family" : "Leibson", "given" : "Cynthia L", "non-dropping-particle" : "", "parse-names" : false, "suffix" : "" }, { "dropping-particle" : "", "family" : "Achenbach", "given" : "Sara J", "non-dropping-particle" : "", "parse-names" : false, "suffix" : "" }, { "dropping-particle" : "", "family" : "Therneau", "given" : "Terry M", "non-dropping-particle" : "", "parse-names" : false, "suffix" : "" }, { "dropping-particle" : "", "family" : "Khosla", "given" : "Sundeep", "non-dropping-particle" : "", "parse-names" : false, "suffix" : "" } ], "container-title" : "Journal of bone and mineral research : the official journal of the American Society for Bone and Mineral Research", "id" : "ITEM-4", "issue" : "8", "issued" : { "date-parts" : [ [ "2008", "8", "17" ] ] }, "page" : "1334-42", "title" : "Fracture risk in type 2 diabetes: update of a population-based study.", "type" : "article-journal", "volume" : "23" }, "uris" : [ "http://www.mendeley.com/documents/?uuid=4d4e0d54-2121-3d0a-97d0-3131d37a38d8" ] }, { "id" : "ITEM-5", "itemData" : { "DOI" : "10.1007/s00198-014-2986-9", "ISSN" : "0937-941X", "PMID" : "25488807", "abstract" : "SUMMARY There is scarce data on the association between early stages of type 2 diabetes and fracture risk. We report a 20% excess risk of hip fracture in the first years following disease onset compared to matched non-diabetic patients. INTRODUCTION Type 2 diabetes mellitus (T2DM) is a chronic disease that affects several target organs. Data on the association between T2DM and osteoporotic fractures is controversial. We estimated risk of hip fracture in newly diagnosed T2DM patients, compared to matched non-diabetic peers. METHODS We conducted a population-based parallel cohort study using data from the Sistema d'Informaci\u00f3 per al Desenvolupament de la Investigaci\u00f3 en Atenci\u00f3 Prim\u00e0ria (SIDIAP) database. Participants were all newly diagnosed T2DM patients registered in SIDIAP in 2006-2011 (T2DM cohort). Up to two diabetes-free controls were matched to each T2DM participant on age, gender, and primary care practice. Main outcome was incident hip fracture in 2006-2011, ascertained using the tenth edition of the International Classification of Diseases (ICD-10) codes. We used Fine and Gray survival modelling to estimate risk of hip fracture according to T2DM status, accounting for competing risk of death. Multivariate models were adjusted for body mass index, previous fracture, and use of oral corticosteroids. RESULTS During the study period (median follow-up 2.63 years), 444/58,483 diabetic patients sustained a hip fracture (incidence rate 2.7/1,000 person-years) compared to 776/113,448 matched controls (2.4/1,000). This is equivalent to an unadjusted (age- and gender-matched) subhazard ratio (SHR) 1.11 [0.99-1.24], and adjusted SHR 1.20 [1.06-1.35]. The adjusted SHR for major osteoporotic and any osteoporotic fractures were 0.95 [0.89-1.01] and 0.97 [0.92-1.02]. CONCLUSIONS Newly diagnosed T2DM patients are at a 20% increased risk of hip fracture even in early stages of disease, but no for all fractures. More data is needed on the causes for an increased fracture risk in T2DM patients as well as on the predictors of osteoporotic fractures among these patients.", "author" : [ { "dropping-particle" : "", "family" : "Martinez-Laguna", "given" : "D.", "non-dropping-particle" : "", "parse-names" : false, "suffix" : "" }, { "dropping-particle" : "", "family" : "Tebe", "given" : "C.", "non-dropping-particle" : "", "parse-names" : false, "suffix" : "" }, { "dropping-particle" : "", "family" : "Javaid", "given" : "M. K.", "non-dropping-particle" : "", "parse-names" : false, "suffix" : "" }, { "dropping-particle" : "", "family" : "Nogues", "given" : "X.", "non-dropping-particle" : "", "parse-names" : false, "suffix" : "" }, { "dropping-particle" : "", "family" : "Arden", "given" : "N. K.", "non-dropping-particle" : "", "parse-names" : false, "suffix" : "" }, { "dropping-particle" : "", "family" : "Cooper", "given" : "C.", "non-dropping-particle" : "", "parse-names" : false, "suffix" : "" }, { "dropping-particle" : "", "family" : "Diez-Perez", "given" : "A.", "non-dropping-particle" : "", "parse-names" : false, "suffix" : "" }, { "dropping-particle" : "", "family" : "Prieto-Alhambra", "given" : "D.", "non-dropping-particle" : "", "parse-names" : false, "suffix" : "" } ], "container-title" : "Osteoporosis International", "id" : "ITEM-5", "issue" : "2", "issued" : { "date-parts" : [ [ "2015", "2", "9" ] ] }, "page" : "827-833", "title" : "Incident type 2 diabetes and hip fracture risk: a population-based matched cohort study", "type" : "article-journal", "volume" : "26" }, "uris" : [ "http://www.mendeley.com/documents/?uuid=2a2ab7e6-0090-3a50-a6c0-d3a3ea265ab5" ] } ], "mendeley" : { "formattedCitation" : "&lt;sup&gt;12\u201316&lt;/sup&gt;", "plainTextFormattedCitation" : "12\u201316", "previouslyFormattedCitation" : "&lt;sup&gt;12\u201316&lt;/sup&gt;"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727574" w:rsidRPr="004545BE">
        <w:rPr>
          <w:rFonts w:ascii="Times New Roman" w:hAnsi="Times New Roman" w:cs="Times New Roman"/>
          <w:noProof/>
          <w:color w:val="000000"/>
          <w:sz w:val="24"/>
          <w:szCs w:val="24"/>
          <w:shd w:val="clear" w:color="auto" w:fill="FFFFFF"/>
          <w:vertAlign w:val="superscript"/>
          <w:lang w:val="en-GB"/>
        </w:rPr>
        <w:t>12–16</w:t>
      </w:r>
      <w:r w:rsidR="00EF4443" w:rsidRPr="004545BE">
        <w:rPr>
          <w:rFonts w:ascii="Times New Roman" w:hAnsi="Times New Roman" w:cs="Times New Roman"/>
          <w:color w:val="000000"/>
          <w:sz w:val="24"/>
          <w:szCs w:val="24"/>
          <w:shd w:val="clear" w:color="auto" w:fill="FFFFFF"/>
          <w:lang w:val="en-GB"/>
        </w:rPr>
        <w:fldChar w:fldCharType="end"/>
      </w:r>
      <w:r w:rsidR="007A0DDE" w:rsidRPr="004545BE">
        <w:rPr>
          <w:rFonts w:ascii="Times New Roman" w:hAnsi="Times New Roman" w:cs="Times New Roman"/>
          <w:color w:val="000000"/>
          <w:sz w:val="24"/>
          <w:szCs w:val="24"/>
          <w:shd w:val="clear" w:color="auto" w:fill="FFFFFF"/>
          <w:lang w:val="en-GB"/>
        </w:rPr>
        <w:t xml:space="preserve">. </w:t>
      </w:r>
      <w:r w:rsidR="00FE4495" w:rsidRPr="004545BE">
        <w:rPr>
          <w:rFonts w:ascii="Times New Roman" w:hAnsi="Times New Roman" w:cs="Times New Roman"/>
          <w:color w:val="000000"/>
          <w:sz w:val="24"/>
          <w:szCs w:val="24"/>
          <w:shd w:val="clear" w:color="auto" w:fill="FFFFFF"/>
          <w:lang w:val="en-GB"/>
        </w:rPr>
        <w:t>Furthermore, the</w:t>
      </w:r>
      <w:r w:rsidR="005A7D5B" w:rsidRPr="004545BE">
        <w:rPr>
          <w:rFonts w:ascii="Times New Roman" w:hAnsi="Times New Roman" w:cs="Times New Roman"/>
          <w:color w:val="000000"/>
          <w:sz w:val="24"/>
          <w:szCs w:val="24"/>
          <w:shd w:val="clear" w:color="auto" w:fill="FFFFFF"/>
          <w:lang w:val="en-GB"/>
        </w:rPr>
        <w:t xml:space="preserve"> </w:t>
      </w:r>
      <w:r w:rsidR="005A7D5B" w:rsidRPr="004545BE">
        <w:rPr>
          <w:rFonts w:ascii="Times New Roman" w:hAnsi="Times New Roman"/>
          <w:sz w:val="24"/>
          <w:szCs w:val="24"/>
          <w:lang w:val="en-US"/>
        </w:rPr>
        <w:t>time from diabe</w:t>
      </w:r>
      <w:r w:rsidR="00F86B3A" w:rsidRPr="004545BE">
        <w:rPr>
          <w:rFonts w:ascii="Times New Roman" w:hAnsi="Times New Roman"/>
          <w:sz w:val="24"/>
          <w:szCs w:val="24"/>
          <w:lang w:val="en-US"/>
        </w:rPr>
        <w:t>te</w:t>
      </w:r>
      <w:r w:rsidR="005A7D5B" w:rsidRPr="004545BE">
        <w:rPr>
          <w:rFonts w:ascii="Times New Roman" w:hAnsi="Times New Roman"/>
          <w:sz w:val="24"/>
          <w:szCs w:val="24"/>
          <w:lang w:val="en-US"/>
        </w:rPr>
        <w:t xml:space="preserve">s onset (metabolic control) </w:t>
      </w:r>
      <w:r w:rsidR="00FE4495" w:rsidRPr="004545BE">
        <w:rPr>
          <w:rFonts w:ascii="Times New Roman" w:hAnsi="Times New Roman"/>
          <w:sz w:val="24"/>
          <w:szCs w:val="24"/>
          <w:lang w:val="en-US"/>
        </w:rPr>
        <w:t xml:space="preserve">appears </w:t>
      </w:r>
      <w:r w:rsidR="005A7D5B" w:rsidRPr="004545BE">
        <w:rPr>
          <w:rFonts w:ascii="Times New Roman" w:hAnsi="Times New Roman"/>
          <w:sz w:val="24"/>
          <w:szCs w:val="24"/>
          <w:lang w:val="en-US"/>
        </w:rPr>
        <w:t>to contribute to this association and T2DM complications such as neuropathy, nephropathy, and visual impairment or cataracts, are associated with an increased number of falls and related fractures</w:t>
      </w:r>
      <w:r w:rsidR="00EF4443" w:rsidRPr="004545BE">
        <w:rPr>
          <w:rFonts w:ascii="Times New Roman" w:hAnsi="Times New Roman"/>
          <w:sz w:val="24"/>
          <w:szCs w:val="24"/>
          <w:lang w:val="en-US"/>
        </w:rPr>
        <w:fldChar w:fldCharType="begin" w:fldLock="1"/>
      </w:r>
      <w:r w:rsidR="00E018FB" w:rsidRPr="004545BE">
        <w:rPr>
          <w:rFonts w:ascii="Times New Roman" w:hAnsi="Times New Roman"/>
          <w:sz w:val="24"/>
          <w:szCs w:val="24"/>
          <w:lang w:val="en-US"/>
        </w:rPr>
        <w:instrText>ADDIN CSL_CITATION { "citationItems" : [ { "id" : "ITEM-1", "itemData" : { "DOI" : "10.1371/journal.pone.0067055", "ISSN" : "1932-6203", "PMID" : "23825617", "abstract" : "BACKGROUND Older adults with type 2 Diabetes Mellitus are at increased risk of falling. The current study aims to identify risk factors that mediate the relationship between diabetes and falls. METHODS 199 older adults (104 with diabetes and 95 healthy controls) underwent a medical screening. Gait (GAITRite\u00ae), balance (AccuGait\u00ae force plate), grip strength (Jamar\u00ae), and cognitive status (Mini-Mental State Examination and Clock Drawing Test) were assessed. Falls were prospectively recorded during a 12-month follow-up period using monthly calendars. RESULTS Compared to controls, diabetes participants scored worse on all physical and cognitive measures. Sixty-four participants (42 diabetes vs. 22 controls) reported at least one injurious fall or two non-injurious falls (\"fallers\"). Univariate logistic regression identified diabetes as a risk factor for future falls (Odds Ratio 2.25, 95%CI 1.21-4.15, p\u200a=\u200a0.010). Stepwise multiple regressions defined diabetes and poor balance as independent risk factors for falling. Taking more medications, slower walking speed, shorter stride length and poor cognitive performance were mediators that reduced the Odds Ratio of the relationship between diabetes and faller status relationship the most followed by reduced grip strength and increased stride length variability. CONCLUSIONS Diabetes is a major risk factor for falling, even after controlling for poor balance. Taking more medications, poorer walking performance and reduced cognitive functioning were mediators of the relationship between diabetes and falls. Tailored preventive programs including systematic medication reviews, specific balance exercises and cognitive training might be beneficial in reducing fall risk in older adults suffering from diabetes.", "author" : [ { "dropping-particle" : "", "family" : "Roman de Mettelinge", "given" : "Tine", "non-dropping-particle" : "", "parse-names" : false, "suffix" : "" }, { "dropping-particle" : "", "family" : "Cambier", "given" : "Dirk", "non-dropping-particle" : "", "parse-names" : false, "suffix" : "" }, { "dropping-particle" : "", "family" : "Calders", "given" : "Patrick", "non-dropping-particle" : "", "parse-names" : false, "suffix" : "" }, { "dropping-particle" : "", "family" : "Noortgate", "given" : "Nele", "non-dropping-particle" : "Van Den", "parse-names" : false, "suffix" : "" }, { "dropping-particle" : "", "family" : "Delbaere", "given" : "Kim", "non-dropping-particle" : "", "parse-names" : false, "suffix" : "" } ], "container-title" : "PloS one", "editor" : [ { "dropping-particle" : "", "family" : "Bayer", "given" : "Antony", "non-dropping-particle" : "", "parse-names" : false, "suffix" : "" } ], "id" : "ITEM-1", "issue" : "6", "issued" : { "date-parts" : [ [ "2013", "6", "25" ] ] }, "page" : "e67055", "title" : "Understanding the relationship between type 2 diabetes mellitus and falls in older adults: a prospective cohort study.", "type" : "article-journal", "volume" : "8" }, "uris" : [ "http://www.mendeley.com/documents/?uuid=65aba26b-23df-3990-89a1-abcc3324b49b" ] } ], "mendeley" : { "formattedCitation" : "&lt;sup&gt;17&lt;/sup&gt;", "plainTextFormattedCitation" : "17", "previouslyFormattedCitation" : "&lt;sup&gt;17&lt;/sup&gt;" }, "properties" : { "noteIndex" : 0 }, "schema" : "https://github.com/citation-style-language/schema/raw/master/csl-citation.json" }</w:instrText>
      </w:r>
      <w:r w:rsidR="00EF4443" w:rsidRPr="004545BE">
        <w:rPr>
          <w:rFonts w:ascii="Times New Roman" w:hAnsi="Times New Roman"/>
          <w:sz w:val="24"/>
          <w:szCs w:val="24"/>
          <w:lang w:val="en-US"/>
        </w:rPr>
        <w:fldChar w:fldCharType="separate"/>
      </w:r>
      <w:r w:rsidR="00E018FB" w:rsidRPr="004545BE">
        <w:rPr>
          <w:rFonts w:ascii="Times New Roman" w:hAnsi="Times New Roman"/>
          <w:noProof/>
          <w:sz w:val="24"/>
          <w:szCs w:val="24"/>
          <w:vertAlign w:val="superscript"/>
          <w:lang w:val="en-US"/>
        </w:rPr>
        <w:t>17</w:t>
      </w:r>
      <w:r w:rsidR="00EF4443" w:rsidRPr="004545BE">
        <w:rPr>
          <w:rFonts w:ascii="Times New Roman" w:hAnsi="Times New Roman"/>
          <w:sz w:val="24"/>
          <w:szCs w:val="24"/>
          <w:lang w:val="en-US"/>
        </w:rPr>
        <w:fldChar w:fldCharType="end"/>
      </w:r>
      <w:r w:rsidR="005A7D5B" w:rsidRPr="004545BE">
        <w:rPr>
          <w:rFonts w:ascii="Times New Roman" w:hAnsi="Times New Roman"/>
          <w:sz w:val="24"/>
          <w:szCs w:val="24"/>
          <w:lang w:val="en-US"/>
        </w:rPr>
        <w:t>.</w:t>
      </w:r>
    </w:p>
    <w:p w:rsidR="00EC39E0" w:rsidRPr="004545BE" w:rsidRDefault="00EE2FDF" w:rsidP="009123BE">
      <w:pPr>
        <w:spacing w:line="480" w:lineRule="auto"/>
        <w:jc w:val="both"/>
        <w:rPr>
          <w:rFonts w:ascii="Times New Roman" w:hAnsi="Times New Roman" w:cs="Times New Roman"/>
          <w:color w:val="000000"/>
          <w:sz w:val="24"/>
          <w:szCs w:val="24"/>
          <w:shd w:val="clear" w:color="auto" w:fill="FFFFFF"/>
          <w:lang w:val="en-GB"/>
        </w:rPr>
      </w:pPr>
      <w:r w:rsidRPr="004545BE">
        <w:rPr>
          <w:rFonts w:ascii="Times New Roman" w:hAnsi="Times New Roman" w:cs="Times New Roman"/>
          <w:color w:val="000000"/>
          <w:sz w:val="24"/>
          <w:szCs w:val="24"/>
          <w:shd w:val="clear" w:color="auto" w:fill="FFFFFF"/>
          <w:lang w:val="en-GB"/>
        </w:rPr>
        <w:t>Hip</w:t>
      </w:r>
      <w:r w:rsidR="00513EF8" w:rsidRPr="004545BE">
        <w:rPr>
          <w:rFonts w:ascii="Times New Roman" w:hAnsi="Times New Roman" w:cs="Times New Roman"/>
          <w:color w:val="000000"/>
          <w:sz w:val="24"/>
          <w:szCs w:val="24"/>
          <w:shd w:val="clear" w:color="auto" w:fill="FFFFFF"/>
          <w:lang w:val="en-GB"/>
        </w:rPr>
        <w:t xml:space="preserve"> fractures </w:t>
      </w:r>
      <w:r w:rsidRPr="004545BE">
        <w:rPr>
          <w:rFonts w:ascii="Times New Roman" w:hAnsi="Times New Roman" w:cs="Times New Roman"/>
          <w:color w:val="000000"/>
          <w:sz w:val="24"/>
          <w:szCs w:val="24"/>
          <w:shd w:val="clear" w:color="auto" w:fill="FFFFFF"/>
          <w:lang w:val="en-GB"/>
        </w:rPr>
        <w:t>are the most devastating consequence of osteoporosis</w:t>
      </w:r>
      <w:r w:rsidR="00E24237" w:rsidRPr="004545BE">
        <w:rPr>
          <w:rFonts w:ascii="Times New Roman" w:hAnsi="Times New Roman" w:cs="Times New Roman"/>
          <w:color w:val="000000"/>
          <w:sz w:val="24"/>
          <w:szCs w:val="24"/>
          <w:shd w:val="clear" w:color="auto" w:fill="FFFFFF"/>
          <w:lang w:val="en-GB"/>
        </w:rPr>
        <w:t xml:space="preserve"> and bone fragility</w:t>
      </w:r>
      <w:r w:rsidRPr="004545BE">
        <w:rPr>
          <w:rFonts w:ascii="Times New Roman" w:hAnsi="Times New Roman" w:cs="Times New Roman"/>
          <w:color w:val="000000"/>
          <w:sz w:val="24"/>
          <w:szCs w:val="24"/>
          <w:shd w:val="clear" w:color="auto" w:fill="FFFFFF"/>
          <w:lang w:val="en-GB"/>
        </w:rPr>
        <w:t>, and their incidence</w:t>
      </w:r>
      <w:r w:rsidR="0071564D" w:rsidRPr="004545BE">
        <w:rPr>
          <w:rFonts w:ascii="Times New Roman" w:hAnsi="Times New Roman" w:cs="Times New Roman"/>
          <w:color w:val="000000"/>
          <w:sz w:val="24"/>
          <w:szCs w:val="24"/>
          <w:shd w:val="clear" w:color="auto" w:fill="FFFFFF"/>
          <w:lang w:val="en-GB"/>
        </w:rPr>
        <w:t xml:space="preserve"> increases markedly with age</w:t>
      </w:r>
      <w:r w:rsidR="00EF4443" w:rsidRPr="004545BE">
        <w:rPr>
          <w:rFonts w:ascii="Times New Roman" w:hAnsi="Times New Roman" w:cs="Times New Roman"/>
          <w:color w:val="000000"/>
          <w:sz w:val="24"/>
          <w:szCs w:val="24"/>
          <w:shd w:val="clear" w:color="auto" w:fill="FFFFFF"/>
          <w:lang w:val="en-GB"/>
        </w:rPr>
        <w:fldChar w:fldCharType="begin" w:fldLock="1"/>
      </w:r>
      <w:r w:rsidR="00E018FB" w:rsidRPr="004545BE">
        <w:rPr>
          <w:rFonts w:ascii="Times New Roman" w:hAnsi="Times New Roman" w:cs="Times New Roman"/>
          <w:color w:val="000000"/>
          <w:sz w:val="24"/>
          <w:szCs w:val="24"/>
          <w:shd w:val="clear" w:color="auto" w:fill="FFFFFF"/>
          <w:lang w:val="en-GB"/>
        </w:rPr>
        <w:instrText>ADDIN CSL_CITATION { "citationItems" : [ { "id" : "ITEM-1", "itemData" : { "DOI" : "10.1038/nrrheum.2009.260", "ISSN" : "1759-4804", "PMID" : "20125177", "abstract" : "Osteoporosis is a major public health problem through associated fragility fractures. The most common sites of fracture are the hip, spine and wrist, and these have an enormous health and economic impact. All fractures result in some degree of morbidity, but fractures at the hip are associated with the worst outcomes. The worldwide direct and indirect annual costs of hip fracture in 1990 were estimated at US$34.8 billion, and are expected to increase substantially over the next 50 years. Fracture incidence varies between populations, and is set to increase over coming decades as the global population becomes more elderly. This effect will be particularly marked in the developing world, which is additionally assuming more-westernized lifestyles that predispose to increased fracture risk. Strategies to target those at high risk of fracture have been developed, but preventative measures at the public health level are also urgently needed to reduce the burden of this devastating disease.", "author" : [ { "dropping-particle" : "", "family" : "Harvey", "given" : "Nicholas", "non-dropping-particle" : "", "parse-names" : false, "suffix" : "" }, { "dropping-particle" : "", "family" : "Dennison", "given" : "Elaine", "non-dropping-particle" : "", "parse-names" : false, "suffix" : "" }, { "dropping-particle" : "", "family" : "Cooper", "given" : "Cyrus", "non-dropping-particle" : "", "parse-names" : false, "suffix" : "" } ], "container-title" : "Nature reviews. Rheumatology", "id" : "ITEM-1", "issue" : "2", "issued" : { "date-parts" : [ [ "2010", "2", "1" ] ] }, "page" : "99-105", "title" : "Osteoporosis: impact on health and economics.", "type" : "article-journal", "volume" : "6" }, "uris" : [ "http://www.mendeley.com/documents/?uuid=c8fb0165-d54b-3e51-803b-870eb47e55e3" ] }, { "id" : "ITEM-2", "itemData" : { "DOI" : "10.1186/1471-2474-13-79", "ISSN" : "1471-2474", "PMID" : "22639802", "abstract" : "BACKGROUND Knowledge on the epidemiology of non-hip fractures in Spain is limited and somewhat outdated. Using computerized primary care records from the SIDIAP database, we derived age and sex-specific fracture incidence rates for the region of Catalonia during the year 2009. METHODS The SIDIAP database contains quality-checked clinical information from computerized medical records of a representative sample of &gt;5,800,000 patients (80% of the population of Catalonia). We conducted a retrospective cohort study including all patients aged \u226550\u2009years, and followed them from January 1 to December 31, 2009. Major osteoporotic fractures registered in SIDIAP were ascertained using ICD-10 codes and validated by comparing data to hospital admission and patient-reported fractures records. Incidence rates and 95% confidence intervals were calculated. RESULTS In total, 2,011,430 subjects were studied (54.6% women). Overall fracture rates were 10.91/1,000 person-years (py) [95%CI 10.89-10.92]: 15.18/1,000 py [15.15-15.21] in women and 5.78/1,000 py [5.76-5.79] in men. The most common fracture among women was wrist/forearm (3.86/1,000 py [3.74-3.98]), while among men it was clinical spine (1.25/1,000 py [1.18-1.33]). All fracture rates increased with age, but varying patterns were observed: while most of the fractures (hip, proximal humerus, clinical spine and pelvis) increased continuously with age, wrist and multiple rib fractures peaked at age 75-80 and then reached a plateau. CONCLUSIONS Our study provides local estimates of age, sex and site-specific fracture burden in primary health care, which will be helpful for health-care planning and delivery. A proportion of fractures are not reported in primary care records, leading to underestimation of fracture incidence rates in these data.", "author" : [ { "dropping-particle" : "", "family" : "Pag\u00e8s-Castell\u00e0", "given" : "Aina", "non-dropping-particle" : "", "parse-names" : false, "suffix" : "" }, { "dropping-particle" : "", "family" : "Carbonell-Abella", "given" : "Cristina", "non-dropping-particle" : "", "parse-names" : false, "suffix" : "" }, { "dropping-particle" : "", "family" : "Avil\u00e9s", "given" : "Francesc Fina", "non-dropping-particle" : "", "parse-names" : false, "suffix" : "" }, { "dropping-particle" : "", "family" : "Alzamora", "given" : "Maite", "non-dropping-particle" : "", "parse-names" : false, "suffix" : "" }, { "dropping-particle" : "", "family" : "Baena-D\u00edez", "given" : "Jose Miguel", "non-dropping-particle" : "", "parse-names" : false, "suffix" : "" }, { "dropping-particle" : "", "family" : "Laguna", "given" : "Daniel Mart\u00ednez", "non-dropping-particle" : "", "parse-names" : false, "suffix" : "" }, { "dropping-particle" : "", "family" : "Nogu\u00e9s", "given" : "Xavier", "non-dropping-particle" : "", "parse-names" : false, "suffix" : "" }, { "dropping-particle" : "", "family" : "D\u00edez-P\u00e9rez", "given" : "Adolfo", "non-dropping-particle" : "", "parse-names" : false, "suffix" : "" }, { "dropping-particle" : "", "family" : "Prieto-Alhambra", "given" : "Daniel", "non-dropping-particle" : "", "parse-names" : false, "suffix" : "" } ], "container-title" : "BMC musculoskeletal disorders", "id" : "ITEM-2", "issue" : "1", "issued" : { "date-parts" : [ [ "2012", "5", "28" ] ] }, "page" : "79", "title" : "&amp;quot;Burden of osteoporotic fractures in primary health care in Catalonia (Spain): a population-based study&amp;quot;.", "type" : "article-journal", "volume" : "13" }, "uris" : [ "http://www.mendeley.com/documents/?uuid=1e9b7741-90b9-3022-9730-a7001d7c80e1" ] }, { "id" : "ITEM-3", "itemData" : { "DOI" : "10.1080/17453674.2016.1234869", "ISSN" : "1745-3674", "PMID" : "27649030", "abstract" : "Background and purpose - Early postoperative mortality is relatively high after total hip arthroplasty (THA) that has been performed due to femoral neck fracture. However, this has rarely been investigated after adjustment for medical comorbidity and comparison with the mortality in an age-matched population. We therefore assessed early mortality in hip fracture patients treated with a THA, in the setting of a nationwide matched cohort study. Patients and methods - 24,699 patients who underwent THA due to a femoral neck fracture between 1992 and 2012 were matched with 118,518 controls. Kaplan-Meier survival analysis was used to calculate cumulative unadjusted survival, and Cox regression models were fitted to compute hazard ratios (HRs) and 95% confidence intervals (CIs), with adjustment for age, sex, comorbidity, and socioeconomic background. Results - 90-day survival was 96.3% (95% CI: 96.0-96.5) for THA cases and 98.7% (95% CI: 98.6-98.8) for control individuals, giving an adjusted HR of 2.2 (95% CI: 2.0-2.4) for THA cases compared to control individuals. Comorbidity burden increased in THA cases over time, but the adjusted risk of death within 90 days did not differ statistically significantly between the time periods investigated (1992-1998, 1999-2005, and 2006-2012). A Charlson comorbidity index of 3 or more, an American Society of Anesthesiologists (ASA) grade of 3 and above, male sex, an age of 80 years and above, an income below the first quartile, and a lower level of education were all associated with an increased risk of 90-day mortality. Interpretation - The adjusted early mortality in femoral neck fracture patients who underwent THA was about double that in a matched control population. Patients with femoral neck fracture but with no substantial comorbidity and an age of less than 80 years appear to have a low risk of early death. Patients older than 80 years and those with a Charlson comorbidity index of more than 2 have a high risk of early death, and such patients would perhaps benefit from treatment strategies other than THA, but this should be investigated further.", "author" : [ { "dropping-particle" : "", "family" : "Hailer", "given" : "Nils P", "non-dropping-particle" : "", "parse-names" : false, "suffix" : "" }, { "dropping-particle" : "", "family" : "Garland", "given" : "Anne", "non-dropping-particle" : "", "parse-names" : false, "suffix" : "" }, { "dropping-particle" : "", "family" : "Rogmark", "given" : "Cecilia", "non-dropping-particle" : "", "parse-names" : false, "suffix" : "" }, { "dropping-particle" : "", "family" : "Garellick", "given" : "G\u00f6ran", "non-dropping-particle" : "", "parse-names" : false, "suffix" : "" }, { "dropping-particle" : "", "family" : "K\u00e4rrholm", "given" : "Johan", "non-dropping-particle" : "", "parse-names" : false, "suffix" : "" } ], "container-title" : "Acta Orthopaedica", "id" : "ITEM-3", "issue" : "6", "issued" : { "date-parts" : [ [ "2016", "11", "20" ] ] }, "page" : "560-566", "title" : "Early mortality and morbidity after total hip arthroplasty in patients with femoral neck fracture", "type" : "article-journal", "volume" : "87" }, "uris" : [ "http://www.mendeley.com/documents/?uuid=57399a8c-d530-308d-8d8a-83749e153528" ] } ], "mendeley" : { "formattedCitation" : "&lt;sup&gt;18\u201320&lt;/sup&gt;", "plainTextFormattedCitation" : "18\u201320", "previouslyFormattedCitation" : "&lt;sup&gt;18\u201320&lt;/sup&gt;"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E018FB" w:rsidRPr="004545BE">
        <w:rPr>
          <w:rFonts w:ascii="Times New Roman" w:hAnsi="Times New Roman" w:cs="Times New Roman"/>
          <w:noProof/>
          <w:color w:val="000000"/>
          <w:sz w:val="24"/>
          <w:szCs w:val="24"/>
          <w:shd w:val="clear" w:color="auto" w:fill="FFFFFF"/>
          <w:vertAlign w:val="superscript"/>
          <w:lang w:val="en-GB"/>
        </w:rPr>
        <w:t>18–20</w:t>
      </w:r>
      <w:r w:rsidR="00EF4443" w:rsidRPr="004545BE">
        <w:rPr>
          <w:rFonts w:ascii="Times New Roman" w:hAnsi="Times New Roman" w:cs="Times New Roman"/>
          <w:color w:val="000000"/>
          <w:sz w:val="24"/>
          <w:szCs w:val="24"/>
          <w:shd w:val="clear" w:color="auto" w:fill="FFFFFF"/>
          <w:lang w:val="en-GB"/>
        </w:rPr>
        <w:fldChar w:fldCharType="end"/>
      </w:r>
      <w:r w:rsidR="0071564D" w:rsidRPr="004545BE">
        <w:rPr>
          <w:rFonts w:ascii="Times New Roman" w:hAnsi="Times New Roman" w:cs="Times New Roman"/>
          <w:color w:val="000000"/>
          <w:sz w:val="24"/>
          <w:szCs w:val="24"/>
          <w:shd w:val="clear" w:color="auto" w:fill="FFFFFF"/>
          <w:lang w:val="en-GB"/>
        </w:rPr>
        <w:t xml:space="preserve">. </w:t>
      </w:r>
      <w:r w:rsidR="00B80006" w:rsidRPr="004545BE">
        <w:rPr>
          <w:rFonts w:ascii="Times New Roman" w:hAnsi="Times New Roman" w:cs="Times New Roman"/>
          <w:color w:val="000000"/>
          <w:sz w:val="24"/>
          <w:szCs w:val="24"/>
          <w:shd w:val="clear" w:color="auto" w:fill="FFFFFF"/>
          <w:lang w:val="en-GB"/>
        </w:rPr>
        <w:t>D</w:t>
      </w:r>
      <w:r w:rsidR="00404EF4" w:rsidRPr="004545BE">
        <w:rPr>
          <w:rFonts w:ascii="Times New Roman" w:hAnsi="Times New Roman" w:cs="Times New Roman"/>
          <w:color w:val="000000"/>
          <w:sz w:val="24"/>
          <w:szCs w:val="24"/>
          <w:shd w:val="clear" w:color="auto" w:fill="FFFFFF"/>
          <w:lang w:val="en-GB"/>
        </w:rPr>
        <w:t xml:space="preserve">eath and fracture are </w:t>
      </w:r>
      <w:r w:rsidRPr="004545BE">
        <w:rPr>
          <w:rFonts w:ascii="Times New Roman" w:hAnsi="Times New Roman" w:cs="Times New Roman"/>
          <w:color w:val="000000"/>
          <w:sz w:val="24"/>
          <w:szCs w:val="24"/>
          <w:shd w:val="clear" w:color="auto" w:fill="FFFFFF"/>
          <w:lang w:val="en-GB"/>
        </w:rPr>
        <w:t xml:space="preserve">clearly competing </w:t>
      </w:r>
      <w:r w:rsidR="00404EF4" w:rsidRPr="004545BE">
        <w:rPr>
          <w:rFonts w:ascii="Times New Roman" w:hAnsi="Times New Roman" w:cs="Times New Roman"/>
          <w:color w:val="000000"/>
          <w:sz w:val="24"/>
          <w:szCs w:val="24"/>
          <w:shd w:val="clear" w:color="auto" w:fill="FFFFFF"/>
          <w:lang w:val="en-GB"/>
        </w:rPr>
        <w:t>event</w:t>
      </w:r>
      <w:r w:rsidRPr="004545BE">
        <w:rPr>
          <w:rFonts w:ascii="Times New Roman" w:hAnsi="Times New Roman" w:cs="Times New Roman"/>
          <w:color w:val="000000"/>
          <w:sz w:val="24"/>
          <w:szCs w:val="24"/>
          <w:shd w:val="clear" w:color="auto" w:fill="FFFFFF"/>
          <w:lang w:val="en-GB"/>
        </w:rPr>
        <w:t>s</w:t>
      </w:r>
      <w:r w:rsidR="00404EF4" w:rsidRPr="004545BE">
        <w:rPr>
          <w:rFonts w:ascii="Times New Roman" w:hAnsi="Times New Roman" w:cs="Times New Roman"/>
          <w:color w:val="000000"/>
          <w:sz w:val="24"/>
          <w:szCs w:val="24"/>
          <w:shd w:val="clear" w:color="auto" w:fill="FFFFFF"/>
          <w:lang w:val="en-GB"/>
        </w:rPr>
        <w:t xml:space="preserve"> that </w:t>
      </w:r>
      <w:r w:rsidRPr="004545BE">
        <w:rPr>
          <w:rFonts w:ascii="Times New Roman" w:hAnsi="Times New Roman" w:cs="Times New Roman"/>
          <w:color w:val="000000"/>
          <w:sz w:val="24"/>
          <w:szCs w:val="24"/>
          <w:shd w:val="clear" w:color="auto" w:fill="FFFFFF"/>
          <w:lang w:val="en-GB"/>
        </w:rPr>
        <w:t xml:space="preserve">cluster in the elderly, and </w:t>
      </w:r>
      <w:r w:rsidR="00726C9F" w:rsidRPr="004545BE">
        <w:rPr>
          <w:rFonts w:ascii="Times New Roman" w:hAnsi="Times New Roman" w:cs="Times New Roman"/>
          <w:color w:val="000000"/>
          <w:sz w:val="24"/>
          <w:szCs w:val="24"/>
          <w:shd w:val="clear" w:color="auto" w:fill="FFFFFF"/>
          <w:lang w:val="en-GB"/>
        </w:rPr>
        <w:t>T2DM</w:t>
      </w:r>
      <w:r w:rsidRPr="004545BE">
        <w:rPr>
          <w:rFonts w:ascii="Times New Roman" w:hAnsi="Times New Roman" w:cs="Times New Roman"/>
          <w:color w:val="000000"/>
          <w:sz w:val="24"/>
          <w:szCs w:val="24"/>
          <w:shd w:val="clear" w:color="auto" w:fill="FFFFFF"/>
          <w:lang w:val="en-GB"/>
        </w:rPr>
        <w:t xml:space="preserve"> is reportedly a risk factor for both</w:t>
      </w:r>
      <w:r w:rsidR="00FA41AA" w:rsidRPr="004545BE">
        <w:rPr>
          <w:rFonts w:ascii="Times New Roman" w:hAnsi="Times New Roman" w:cs="Times New Roman"/>
          <w:color w:val="000000"/>
          <w:sz w:val="24"/>
          <w:szCs w:val="24"/>
          <w:shd w:val="clear" w:color="auto" w:fill="FFFFFF"/>
          <w:lang w:val="en-GB"/>
        </w:rPr>
        <w:t xml:space="preserve">. </w:t>
      </w:r>
      <w:r w:rsidR="00964780" w:rsidRPr="004545BE">
        <w:rPr>
          <w:rFonts w:ascii="Times New Roman" w:hAnsi="Times New Roman" w:cs="Times New Roman"/>
          <w:color w:val="000000"/>
          <w:sz w:val="24"/>
          <w:szCs w:val="24"/>
          <w:shd w:val="clear" w:color="auto" w:fill="FFFFFF"/>
          <w:lang w:val="en-GB"/>
        </w:rPr>
        <w:t>Standard</w:t>
      </w:r>
      <w:r w:rsidR="00FA41AA" w:rsidRPr="004545BE">
        <w:rPr>
          <w:rFonts w:ascii="Times New Roman" w:hAnsi="Times New Roman" w:cs="Times New Roman"/>
          <w:color w:val="000000"/>
          <w:sz w:val="24"/>
          <w:szCs w:val="24"/>
          <w:shd w:val="clear" w:color="auto" w:fill="FFFFFF"/>
          <w:lang w:val="en-GB"/>
        </w:rPr>
        <w:t xml:space="preserve"> methods</w:t>
      </w:r>
      <w:r w:rsidR="00964780" w:rsidRPr="004545BE">
        <w:rPr>
          <w:rFonts w:ascii="Times New Roman" w:hAnsi="Times New Roman" w:cs="Times New Roman"/>
          <w:color w:val="000000"/>
          <w:sz w:val="24"/>
          <w:szCs w:val="24"/>
          <w:shd w:val="clear" w:color="auto" w:fill="FFFFFF"/>
          <w:lang w:val="en-GB"/>
        </w:rPr>
        <w:t xml:space="preserve">, such as </w:t>
      </w:r>
      <w:r w:rsidR="00FA41AA" w:rsidRPr="004545BE">
        <w:rPr>
          <w:rFonts w:ascii="Times New Roman" w:hAnsi="Times New Roman" w:cs="Times New Roman"/>
          <w:color w:val="000000"/>
          <w:sz w:val="24"/>
          <w:szCs w:val="24"/>
          <w:shd w:val="clear" w:color="auto" w:fill="FFFFFF"/>
          <w:lang w:val="en-GB"/>
        </w:rPr>
        <w:t xml:space="preserve">Kaplan-Meier or Cox </w:t>
      </w:r>
      <w:r w:rsidR="00964780" w:rsidRPr="004545BE">
        <w:rPr>
          <w:rFonts w:ascii="Times New Roman" w:hAnsi="Times New Roman" w:cs="Times New Roman"/>
          <w:color w:val="000000"/>
          <w:sz w:val="24"/>
          <w:szCs w:val="24"/>
          <w:shd w:val="clear" w:color="auto" w:fill="FFFFFF"/>
          <w:lang w:val="en-GB"/>
        </w:rPr>
        <w:t>regression</w:t>
      </w:r>
      <w:r w:rsidR="00FA41AA" w:rsidRPr="004545BE">
        <w:rPr>
          <w:rFonts w:ascii="Times New Roman" w:hAnsi="Times New Roman" w:cs="Times New Roman"/>
          <w:color w:val="000000"/>
          <w:sz w:val="24"/>
          <w:szCs w:val="24"/>
          <w:shd w:val="clear" w:color="auto" w:fill="FFFFFF"/>
          <w:lang w:val="en-GB"/>
        </w:rPr>
        <w:t xml:space="preserve"> fail to account for </w:t>
      </w:r>
      <w:r w:rsidR="003172F4" w:rsidRPr="004545BE">
        <w:rPr>
          <w:rFonts w:ascii="Times New Roman" w:hAnsi="Times New Roman" w:cs="Times New Roman"/>
          <w:color w:val="000000"/>
          <w:sz w:val="24"/>
          <w:szCs w:val="24"/>
          <w:shd w:val="clear" w:color="auto" w:fill="FFFFFF"/>
          <w:lang w:val="en-GB"/>
        </w:rPr>
        <w:t>competing events</w:t>
      </w:r>
      <w:r w:rsidR="00FA41AA" w:rsidRPr="004545BE">
        <w:rPr>
          <w:rFonts w:ascii="Times New Roman" w:hAnsi="Times New Roman" w:cs="Times New Roman"/>
          <w:color w:val="000000"/>
          <w:sz w:val="24"/>
          <w:szCs w:val="24"/>
          <w:shd w:val="clear" w:color="auto" w:fill="FFFFFF"/>
          <w:lang w:val="en-GB"/>
        </w:rPr>
        <w:t xml:space="preserve">, </w:t>
      </w:r>
      <w:r w:rsidR="000953A1" w:rsidRPr="004545BE">
        <w:rPr>
          <w:rFonts w:ascii="Times New Roman" w:hAnsi="Times New Roman" w:cs="Times New Roman"/>
          <w:color w:val="000000"/>
          <w:sz w:val="24"/>
          <w:szCs w:val="24"/>
          <w:shd w:val="clear" w:color="auto" w:fill="FFFFFF"/>
          <w:lang w:val="en-GB"/>
        </w:rPr>
        <w:t xml:space="preserve">and alternative </w:t>
      </w:r>
      <w:r w:rsidR="0028604E" w:rsidRPr="004545BE">
        <w:rPr>
          <w:rFonts w:ascii="Times New Roman" w:hAnsi="Times New Roman" w:cs="Times New Roman"/>
          <w:color w:val="000000"/>
          <w:sz w:val="24"/>
          <w:szCs w:val="24"/>
          <w:shd w:val="clear" w:color="auto" w:fill="FFFFFF"/>
          <w:lang w:val="en-GB"/>
        </w:rPr>
        <w:t xml:space="preserve">analytical </w:t>
      </w:r>
      <w:r w:rsidR="000953A1" w:rsidRPr="004545BE">
        <w:rPr>
          <w:rFonts w:ascii="Times New Roman" w:hAnsi="Times New Roman" w:cs="Times New Roman"/>
          <w:color w:val="000000"/>
          <w:sz w:val="24"/>
          <w:szCs w:val="24"/>
          <w:shd w:val="clear" w:color="auto" w:fill="FFFFFF"/>
          <w:lang w:val="en-GB"/>
        </w:rPr>
        <w:t>approaches are required</w:t>
      </w:r>
      <w:r w:rsidR="00EF4443" w:rsidRPr="004545BE">
        <w:rPr>
          <w:rFonts w:ascii="Times New Roman" w:hAnsi="Times New Roman" w:cs="Times New Roman"/>
          <w:color w:val="000000"/>
          <w:sz w:val="24"/>
          <w:szCs w:val="24"/>
          <w:shd w:val="clear" w:color="auto" w:fill="FFFFFF"/>
          <w:lang w:val="en-GB"/>
        </w:rPr>
        <w:fldChar w:fldCharType="begin" w:fldLock="1"/>
      </w:r>
      <w:r w:rsidR="00E018FB" w:rsidRPr="004545BE">
        <w:rPr>
          <w:rFonts w:ascii="Times New Roman" w:hAnsi="Times New Roman" w:cs="Times New Roman"/>
          <w:color w:val="000000"/>
          <w:sz w:val="24"/>
          <w:szCs w:val="24"/>
          <w:shd w:val="clear" w:color="auto" w:fill="FFFFFF"/>
          <w:lang w:val="en-GB"/>
        </w:rPr>
        <w:instrText>ADDIN CSL_CITATION { "citationItems" : [ { "id" : "ITEM-1", "itemData" : { "DOI" : "10.1093/aje/kwp107", "ISSN" : "0002-9262", "author" : [ { "dropping-particle" : "", "family" : "Lau", "given" : "B.", "non-dropping-particle" : "", "parse-names" : false, "suffix" : "" }, { "dropping-particle" : "", "family" : "Cole", "given" : "S. R.", "non-dropping-particle" : "", "parse-names" : false, "suffix" : "" }, { "dropping-particle" : "", "family" : "Gange", "given" : "S. J.", "non-dropping-particle" : "", "parse-names" : false, "suffix" : "" } ], "container-title" : "American Journal of Epidemiology", "id" : "ITEM-1", "issue" : "2", "issued" : { "date-parts" : [ [ "2009", "7", "15" ] ] }, "page" : "244-256", "title" : "Competing Risk Regression Models for Epidemiologic Data", "type" : "article-journal", "volume" : "170" }, "uris" : [ "http://www.mendeley.com/documents/?uuid=59dbe9dc-3c9a-357b-ba0b-180d565001a5" ] } ], "mendeley" : { "formattedCitation" : "&lt;sup&gt;21&lt;/sup&gt;", "plainTextFormattedCitation" : "21", "previouslyFormattedCitation" : "&lt;sup&gt;21&lt;/sup&gt;" }, "properties" : { "noteIndex" : 0 }, "schema" : "https://github.com/citation-style-language/schema/raw/master/csl-citation.json" }</w:instrText>
      </w:r>
      <w:r w:rsidR="00EF4443" w:rsidRPr="004545BE">
        <w:rPr>
          <w:rFonts w:ascii="Times New Roman" w:hAnsi="Times New Roman" w:cs="Times New Roman"/>
          <w:color w:val="000000"/>
          <w:sz w:val="24"/>
          <w:szCs w:val="24"/>
          <w:shd w:val="clear" w:color="auto" w:fill="FFFFFF"/>
          <w:lang w:val="en-GB"/>
        </w:rPr>
        <w:fldChar w:fldCharType="separate"/>
      </w:r>
      <w:r w:rsidR="00E018FB" w:rsidRPr="004545BE">
        <w:rPr>
          <w:rFonts w:ascii="Times New Roman" w:hAnsi="Times New Roman" w:cs="Times New Roman"/>
          <w:noProof/>
          <w:color w:val="000000"/>
          <w:sz w:val="24"/>
          <w:szCs w:val="24"/>
          <w:shd w:val="clear" w:color="auto" w:fill="FFFFFF"/>
          <w:vertAlign w:val="superscript"/>
          <w:lang w:val="en-GB"/>
        </w:rPr>
        <w:t>21</w:t>
      </w:r>
      <w:r w:rsidR="00EF4443" w:rsidRPr="004545BE">
        <w:rPr>
          <w:rFonts w:ascii="Times New Roman" w:hAnsi="Times New Roman" w:cs="Times New Roman"/>
          <w:color w:val="000000"/>
          <w:sz w:val="24"/>
          <w:szCs w:val="24"/>
          <w:shd w:val="clear" w:color="auto" w:fill="FFFFFF"/>
          <w:lang w:val="en-GB"/>
        </w:rPr>
        <w:fldChar w:fldCharType="end"/>
      </w:r>
      <w:r w:rsidR="00F8190F" w:rsidRPr="004545BE">
        <w:rPr>
          <w:rFonts w:ascii="Times New Roman" w:hAnsi="Times New Roman" w:cs="Times New Roman"/>
          <w:color w:val="000000"/>
          <w:sz w:val="24"/>
          <w:szCs w:val="24"/>
          <w:shd w:val="clear" w:color="auto" w:fill="FFFFFF"/>
          <w:lang w:val="en-GB"/>
        </w:rPr>
        <w:t>.</w:t>
      </w:r>
      <w:r w:rsidR="00FA41AA" w:rsidRPr="004545BE">
        <w:rPr>
          <w:rFonts w:ascii="Times New Roman" w:hAnsi="Times New Roman" w:cs="Times New Roman"/>
          <w:color w:val="000000"/>
          <w:sz w:val="24"/>
          <w:szCs w:val="24"/>
          <w:shd w:val="clear" w:color="auto" w:fill="FFFFFF"/>
          <w:lang w:val="en-GB"/>
        </w:rPr>
        <w:t xml:space="preserve"> </w:t>
      </w:r>
      <w:r w:rsidR="00E50F5E" w:rsidRPr="004545BE">
        <w:rPr>
          <w:rFonts w:ascii="Times New Roman" w:hAnsi="Times New Roman" w:cs="Times New Roman"/>
          <w:color w:val="000000"/>
          <w:sz w:val="24"/>
          <w:szCs w:val="24"/>
          <w:shd w:val="clear" w:color="auto" w:fill="FFFFFF"/>
          <w:lang w:val="en-GB"/>
        </w:rPr>
        <w:t xml:space="preserve">However, </w:t>
      </w:r>
      <w:r w:rsidR="00FA41AA" w:rsidRPr="004545BE">
        <w:rPr>
          <w:rFonts w:ascii="Times New Roman" w:hAnsi="Times New Roman" w:cs="Times New Roman"/>
          <w:color w:val="000000"/>
          <w:sz w:val="24"/>
          <w:szCs w:val="24"/>
          <w:shd w:val="clear" w:color="auto" w:fill="FFFFFF"/>
          <w:lang w:val="en-GB"/>
        </w:rPr>
        <w:t>most of the literature on the association between type 2 diabetes and hip fractures has failed to account for a competing risk with death</w:t>
      </w:r>
      <w:r w:rsidR="00EC39E0" w:rsidRPr="004545BE">
        <w:rPr>
          <w:rFonts w:ascii="Times New Roman" w:hAnsi="Times New Roman" w:cs="Times New Roman"/>
          <w:color w:val="000000"/>
          <w:sz w:val="24"/>
          <w:szCs w:val="24"/>
          <w:shd w:val="clear" w:color="auto" w:fill="FFFFFF"/>
          <w:lang w:val="en-GB"/>
        </w:rPr>
        <w:t>.</w:t>
      </w:r>
      <w:r w:rsidR="00DD312D" w:rsidRPr="004545BE">
        <w:rPr>
          <w:rFonts w:ascii="Times New Roman" w:hAnsi="Times New Roman" w:cs="Times New Roman"/>
          <w:color w:val="000000"/>
          <w:sz w:val="24"/>
          <w:szCs w:val="24"/>
          <w:shd w:val="clear" w:color="auto" w:fill="FFFFFF"/>
          <w:lang w:val="en-GB"/>
        </w:rPr>
        <w:t xml:space="preserve"> </w:t>
      </w:r>
      <w:r w:rsidR="00FA41AA" w:rsidRPr="004545BE">
        <w:rPr>
          <w:rFonts w:ascii="Times New Roman" w:hAnsi="Times New Roman" w:cs="Times New Roman"/>
          <w:color w:val="000000"/>
          <w:sz w:val="24"/>
          <w:szCs w:val="24"/>
          <w:shd w:val="clear" w:color="auto" w:fill="FFFFFF"/>
          <w:lang w:val="en-GB"/>
        </w:rPr>
        <w:t>W</w:t>
      </w:r>
      <w:r w:rsidR="00404EF4" w:rsidRPr="004545BE">
        <w:rPr>
          <w:rFonts w:ascii="Times New Roman" w:hAnsi="Times New Roman" w:cs="Times New Roman"/>
          <w:color w:val="000000"/>
          <w:sz w:val="24"/>
          <w:szCs w:val="24"/>
          <w:shd w:val="clear" w:color="auto" w:fill="FFFFFF"/>
          <w:lang w:val="en-GB"/>
        </w:rPr>
        <w:t>e</w:t>
      </w:r>
      <w:r w:rsidR="00FA41AA" w:rsidRPr="004545BE">
        <w:rPr>
          <w:rFonts w:ascii="Times New Roman" w:hAnsi="Times New Roman" w:cs="Times New Roman"/>
          <w:color w:val="000000"/>
          <w:sz w:val="24"/>
          <w:szCs w:val="24"/>
          <w:shd w:val="clear" w:color="auto" w:fill="FFFFFF"/>
          <w:lang w:val="en-GB"/>
        </w:rPr>
        <w:t xml:space="preserve"> therefore used a</w:t>
      </w:r>
      <w:r w:rsidR="00404EF4" w:rsidRPr="004545BE">
        <w:rPr>
          <w:rFonts w:ascii="Times New Roman" w:hAnsi="Times New Roman" w:cs="Times New Roman"/>
          <w:color w:val="000000"/>
          <w:sz w:val="24"/>
          <w:szCs w:val="24"/>
          <w:shd w:val="clear" w:color="auto" w:fill="FFFFFF"/>
          <w:lang w:val="en-GB"/>
        </w:rPr>
        <w:t xml:space="preserve"> </w:t>
      </w:r>
      <w:r w:rsidR="00FA41AA" w:rsidRPr="004545BE">
        <w:rPr>
          <w:rFonts w:ascii="Times New Roman" w:hAnsi="Times New Roman" w:cs="Times New Roman"/>
          <w:color w:val="000000"/>
          <w:sz w:val="24"/>
          <w:szCs w:val="24"/>
          <w:shd w:val="clear" w:color="auto" w:fill="FFFFFF"/>
          <w:lang w:val="en-GB"/>
        </w:rPr>
        <w:t xml:space="preserve">large </w:t>
      </w:r>
      <w:r w:rsidR="00404EF4" w:rsidRPr="004545BE">
        <w:rPr>
          <w:rFonts w:ascii="Times New Roman" w:hAnsi="Times New Roman" w:cs="Times New Roman"/>
          <w:color w:val="000000"/>
          <w:sz w:val="24"/>
          <w:szCs w:val="24"/>
          <w:shd w:val="clear" w:color="auto" w:fill="FFFFFF"/>
          <w:lang w:val="en-GB"/>
        </w:rPr>
        <w:t xml:space="preserve">population-based </w:t>
      </w:r>
      <w:r w:rsidR="00FA41AA" w:rsidRPr="004545BE">
        <w:rPr>
          <w:rFonts w:ascii="Times New Roman" w:hAnsi="Times New Roman" w:cs="Times New Roman"/>
          <w:color w:val="000000"/>
          <w:sz w:val="24"/>
          <w:szCs w:val="24"/>
          <w:shd w:val="clear" w:color="auto" w:fill="FFFFFF"/>
          <w:lang w:val="en-GB"/>
        </w:rPr>
        <w:t xml:space="preserve">computerized records </w:t>
      </w:r>
      <w:r w:rsidR="00FA41AA" w:rsidRPr="004545BE">
        <w:rPr>
          <w:rFonts w:ascii="Times New Roman" w:hAnsi="Times New Roman" w:cs="Times New Roman"/>
          <w:color w:val="000000"/>
          <w:sz w:val="24"/>
          <w:szCs w:val="24"/>
          <w:shd w:val="clear" w:color="auto" w:fill="FFFFFF"/>
          <w:lang w:val="en-GB"/>
        </w:rPr>
        <w:lastRenderedPageBreak/>
        <w:t xml:space="preserve">database to study the impact of differential mortality </w:t>
      </w:r>
      <w:r w:rsidR="00404EF4" w:rsidRPr="004545BE">
        <w:rPr>
          <w:rFonts w:ascii="Times New Roman" w:hAnsi="Times New Roman" w:cs="Times New Roman"/>
          <w:color w:val="000000"/>
          <w:sz w:val="24"/>
          <w:szCs w:val="24"/>
          <w:shd w:val="clear" w:color="auto" w:fill="FFFFFF"/>
          <w:lang w:val="en-GB"/>
        </w:rPr>
        <w:t>on</w:t>
      </w:r>
      <w:r w:rsidR="00FA41AA" w:rsidRPr="004545BE">
        <w:rPr>
          <w:rFonts w:ascii="Times New Roman" w:hAnsi="Times New Roman" w:cs="Times New Roman"/>
          <w:color w:val="000000"/>
          <w:sz w:val="24"/>
          <w:szCs w:val="24"/>
          <w:shd w:val="clear" w:color="auto" w:fill="FFFFFF"/>
          <w:lang w:val="en-GB"/>
        </w:rPr>
        <w:t xml:space="preserve"> the association between type 2 diabetes and hip fracture risk.</w:t>
      </w:r>
    </w:p>
    <w:p w:rsidR="00EE6D7C" w:rsidRPr="004545BE" w:rsidRDefault="00EE6D7C" w:rsidP="009123BE">
      <w:pPr>
        <w:pStyle w:val="ListParagraph"/>
        <w:spacing w:line="480" w:lineRule="auto"/>
        <w:jc w:val="both"/>
        <w:rPr>
          <w:rFonts w:ascii="Times New Roman" w:hAnsi="Times New Roman" w:cs="Times New Roman"/>
          <w:sz w:val="24"/>
          <w:szCs w:val="24"/>
          <w:lang w:val="en-GB"/>
        </w:rPr>
      </w:pPr>
    </w:p>
    <w:p w:rsidR="00404EF4" w:rsidRPr="004545BE" w:rsidRDefault="00404EF4" w:rsidP="009123BE">
      <w:pPr>
        <w:spacing w:line="480" w:lineRule="auto"/>
        <w:rPr>
          <w:rFonts w:ascii="Times New Roman" w:hAnsi="Times New Roman" w:cs="Times New Roman"/>
          <w:color w:val="000000"/>
          <w:sz w:val="24"/>
          <w:szCs w:val="24"/>
          <w:shd w:val="clear" w:color="auto" w:fill="FFFFFF"/>
          <w:lang w:val="en-GB"/>
        </w:rPr>
      </w:pPr>
      <w:r w:rsidRPr="004545BE">
        <w:rPr>
          <w:rFonts w:ascii="Times New Roman" w:hAnsi="Times New Roman" w:cs="Times New Roman"/>
          <w:color w:val="000000"/>
          <w:sz w:val="24"/>
          <w:szCs w:val="24"/>
          <w:shd w:val="clear" w:color="auto" w:fill="FFFFFF"/>
          <w:lang w:val="en-GB"/>
        </w:rPr>
        <w:br w:type="page"/>
      </w:r>
    </w:p>
    <w:p w:rsidR="00D43775" w:rsidRPr="004545BE" w:rsidRDefault="00A16AD0" w:rsidP="009123BE">
      <w:pPr>
        <w:spacing w:line="480" w:lineRule="auto"/>
        <w:jc w:val="both"/>
        <w:rPr>
          <w:rFonts w:ascii="Times New Roman" w:hAnsi="Times New Roman" w:cs="Times New Roman"/>
          <w:b/>
          <w:sz w:val="24"/>
          <w:szCs w:val="24"/>
          <w:lang w:val="en-GB"/>
        </w:rPr>
      </w:pPr>
      <w:r w:rsidRPr="004545BE">
        <w:rPr>
          <w:rFonts w:ascii="Times New Roman" w:hAnsi="Times New Roman" w:cs="Times New Roman"/>
          <w:b/>
          <w:sz w:val="24"/>
          <w:szCs w:val="24"/>
          <w:lang w:val="en-GB"/>
        </w:rPr>
        <w:lastRenderedPageBreak/>
        <w:t>MATERIALS AND METHODS</w:t>
      </w:r>
    </w:p>
    <w:p w:rsidR="008E51FD" w:rsidRPr="004545BE" w:rsidRDefault="00EF2F11" w:rsidP="009123BE">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We conducted a population-based cohort study using data from the</w:t>
      </w:r>
      <w:r w:rsidR="00460416"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SIDIAP Database (</w:t>
      </w:r>
      <w:hyperlink r:id="rId8" w:history="1">
        <w:r w:rsidR="008E51FD" w:rsidRPr="004545BE">
          <w:rPr>
            <w:rStyle w:val="Hyperlink"/>
            <w:rFonts w:ascii="Times New Roman" w:hAnsi="Times New Roman" w:cs="Times New Roman"/>
            <w:sz w:val="24"/>
            <w:szCs w:val="24"/>
            <w:lang w:val="en-GB"/>
          </w:rPr>
          <w:t>www.sidiap.org</w:t>
        </w:r>
      </w:hyperlink>
      <w:r w:rsidRPr="004545BE">
        <w:rPr>
          <w:rFonts w:ascii="Times New Roman" w:hAnsi="Times New Roman" w:cs="Times New Roman"/>
          <w:sz w:val="24"/>
          <w:szCs w:val="24"/>
          <w:lang w:val="en-GB"/>
        </w:rPr>
        <w:t xml:space="preserve">). SIDIAP contains clinical information from </w:t>
      </w:r>
      <w:r w:rsidR="00195FC5" w:rsidRPr="004545BE">
        <w:rPr>
          <w:rFonts w:ascii="Times New Roman" w:hAnsi="Times New Roman" w:cs="Times New Roman"/>
          <w:sz w:val="24"/>
          <w:szCs w:val="24"/>
          <w:lang w:val="en-GB"/>
        </w:rPr>
        <w:t>primary care</w:t>
      </w:r>
      <w:r w:rsidRPr="004545BE">
        <w:rPr>
          <w:rFonts w:ascii="Times New Roman" w:hAnsi="Times New Roman" w:cs="Times New Roman"/>
          <w:sz w:val="24"/>
          <w:szCs w:val="24"/>
          <w:lang w:val="en-GB"/>
        </w:rPr>
        <w:t xml:space="preserve"> records, hospital admissions, and pharmacy invoice data for &gt;5 million patients</w:t>
      </w:r>
      <w:r w:rsidR="009E3771"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(80% of the p</w:t>
      </w:r>
      <w:r w:rsidR="003E2847" w:rsidRPr="004545BE">
        <w:rPr>
          <w:rFonts w:ascii="Times New Roman" w:hAnsi="Times New Roman" w:cs="Times New Roman"/>
          <w:sz w:val="24"/>
          <w:szCs w:val="24"/>
          <w:lang w:val="en-GB"/>
        </w:rPr>
        <w:t>op</w:t>
      </w:r>
      <w:r w:rsidR="002C490F" w:rsidRPr="004545BE">
        <w:rPr>
          <w:rFonts w:ascii="Times New Roman" w:hAnsi="Times New Roman" w:cs="Times New Roman"/>
          <w:sz w:val="24"/>
          <w:szCs w:val="24"/>
          <w:lang w:val="en-GB"/>
        </w:rPr>
        <w:t>ulation) in Catalonia, Spain</w:t>
      </w:r>
      <w:r w:rsidR="00EF4443" w:rsidRPr="004545BE">
        <w:rPr>
          <w:rFonts w:ascii="Times New Roman" w:hAnsi="Times New Roman" w:cs="Times New Roman"/>
          <w:sz w:val="24"/>
          <w:szCs w:val="24"/>
          <w:lang w:val="en-GB"/>
        </w:rPr>
        <w:fldChar w:fldCharType="begin" w:fldLock="1"/>
      </w:r>
      <w:r w:rsidR="00E018FB" w:rsidRPr="004545BE">
        <w:rPr>
          <w:rFonts w:ascii="Times New Roman" w:hAnsi="Times New Roman" w:cs="Times New Roman"/>
          <w:sz w:val="24"/>
          <w:szCs w:val="24"/>
          <w:lang w:val="en-GB"/>
        </w:rPr>
        <w:instrText>ADDIN CSL_CITATION { "citationItems" : [ { "id" : "ITEM-1", "itemData" : { "DOI" : "10.1016/j.medcli.2012.01.020", "ISSN" : "1578-8989", "PMID" : "22444996", "author" : [ { "dropping-particle" : "", "family" : "Bol\u00edbar", "given" : "Bonaventura", "non-dropping-particle" : "", "parse-names" : false, "suffix" : "" }, { "dropping-particle" : "", "family" : "Fina Avil\u00e9s", "given" : "Francesc", "non-dropping-particle" : "", "parse-names" : false, "suffix" : "" }, { "dropping-particle" : "", "family" : "Morros", "given" : "Rosa", "non-dropping-particle" : "", "parse-names" : false, "suffix" : "" }, { "dropping-particle" : "", "family" : "Garcia-Gil", "given" : "Maria del Mar", "non-dropping-particle" : "", "parse-names" : false, "suffix" : "" }, { "dropping-particle" : "", "family" : "Hermosilla", "given" : "Eduard", "non-dropping-particle" : "", "parse-names" : false, "suffix" : "" }, { "dropping-particle" : "", "family" : "Ramos", "given" : "Rafael", "non-dropping-particle" : "", "parse-names" : false, "suffix" : "" }, { "dropping-particle" : "", "family" : "Rosell", "given" : "Magdalena", "non-dropping-particle" : "", "parse-names" : false, "suffix" : "" }, { "dropping-particle" : "", "family" : "Rodr\u00edguez", "given" : "Jordi", "non-dropping-particle" : "", "parse-names" : false, "suffix" : "" }, { "dropping-particle" : "", "family" : "Medina", "given" : "Manuel", "non-dropping-particle" : "", "parse-names" : false, "suffix" : "" }, { "dropping-particle" : "", "family" : "Calero", "given" : "Sebastian", "non-dropping-particle" : "", "parse-names" : false, "suffix" : "" }, { "dropping-particle" : "", "family" : "Prieto-Alhambra", "given" : "Daniel", "non-dropping-particle" : "", "parse-names" : false, "suffix" : "" }, { "dropping-particle" : "", "family" : "Grupo SIDIAP", "given" : "", "non-dropping-particle" : "", "parse-names" : false, "suffix" : "" } ], "container-title" : "Medicina clinica", "id" : "ITEM-1", "issue" : "14", "issued" : { "date-parts" : [ [ "2012", "5", "19" ] ] }, "page" : "617-21", "title" : "[SIDIAP database: electronic clinical records in primary care as a source of information for epidemiologic research].", "type" : "article-journal", "volume" : "138" }, "uris" : [ "http://www.mendeley.com/documents/?uuid=3c205718-97fe-3601-9c1c-5e8929c22e7a" ] } ], "mendeley" : { "formattedCitation" : "&lt;sup&gt;22&lt;/sup&gt;", "plainTextFormattedCitation" : "22", "previouslyFormattedCitation" : "&lt;sup&gt;22&lt;/sup&gt;"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E018FB" w:rsidRPr="004545BE">
        <w:rPr>
          <w:rFonts w:ascii="Times New Roman" w:hAnsi="Times New Roman" w:cs="Times New Roman"/>
          <w:noProof/>
          <w:sz w:val="24"/>
          <w:szCs w:val="24"/>
          <w:vertAlign w:val="superscript"/>
          <w:lang w:val="en-GB"/>
        </w:rPr>
        <w:t>22</w:t>
      </w:r>
      <w:r w:rsidR="00EF4443" w:rsidRPr="004545BE">
        <w:rPr>
          <w:rFonts w:ascii="Times New Roman" w:hAnsi="Times New Roman" w:cs="Times New Roman"/>
          <w:sz w:val="24"/>
          <w:szCs w:val="24"/>
          <w:lang w:val="en-GB"/>
        </w:rPr>
        <w:fldChar w:fldCharType="end"/>
      </w:r>
      <w:r w:rsidR="003E2847" w:rsidRPr="004545BE">
        <w:rPr>
          <w:rFonts w:ascii="Times New Roman" w:hAnsi="Times New Roman" w:cs="Times New Roman"/>
          <w:sz w:val="24"/>
          <w:szCs w:val="24"/>
          <w:lang w:val="en-GB"/>
        </w:rPr>
        <w:t>.</w:t>
      </w:r>
    </w:p>
    <w:p w:rsidR="00AC5C13" w:rsidRPr="004545BE" w:rsidRDefault="00AD108B" w:rsidP="009123BE">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 xml:space="preserve">Eligible participants </w:t>
      </w:r>
      <w:r w:rsidR="00EF2F11" w:rsidRPr="004545BE">
        <w:rPr>
          <w:rFonts w:ascii="Times New Roman" w:hAnsi="Times New Roman" w:cs="Times New Roman"/>
          <w:sz w:val="24"/>
          <w:szCs w:val="24"/>
          <w:lang w:val="en-GB"/>
        </w:rPr>
        <w:t xml:space="preserve">were all </w:t>
      </w:r>
      <w:r w:rsidR="00AC5C13" w:rsidRPr="004545BE">
        <w:rPr>
          <w:rFonts w:ascii="Times New Roman" w:hAnsi="Times New Roman" w:cs="Times New Roman"/>
          <w:sz w:val="24"/>
          <w:szCs w:val="24"/>
          <w:lang w:val="en-GB"/>
        </w:rPr>
        <w:t xml:space="preserve">those </w:t>
      </w:r>
      <w:r w:rsidR="00EF2F11" w:rsidRPr="004545BE">
        <w:rPr>
          <w:rFonts w:ascii="Times New Roman" w:hAnsi="Times New Roman" w:cs="Times New Roman"/>
          <w:sz w:val="24"/>
          <w:szCs w:val="24"/>
          <w:lang w:val="en-GB"/>
        </w:rPr>
        <w:t>diagnosed</w:t>
      </w:r>
      <w:r w:rsidR="000A677A" w:rsidRPr="004545BE">
        <w:rPr>
          <w:rFonts w:ascii="Times New Roman" w:hAnsi="Times New Roman" w:cs="Times New Roman"/>
          <w:sz w:val="24"/>
          <w:szCs w:val="24"/>
          <w:lang w:val="en-GB"/>
        </w:rPr>
        <w:t xml:space="preserve"> </w:t>
      </w:r>
      <w:r w:rsidR="0028604E" w:rsidRPr="004545BE">
        <w:rPr>
          <w:rFonts w:ascii="Times New Roman" w:hAnsi="Times New Roman" w:cs="Times New Roman"/>
          <w:sz w:val="24"/>
          <w:szCs w:val="24"/>
          <w:lang w:val="en-GB"/>
        </w:rPr>
        <w:t xml:space="preserve">with </w:t>
      </w:r>
      <w:r w:rsidR="00EF2F11" w:rsidRPr="004545BE">
        <w:rPr>
          <w:rFonts w:ascii="Times New Roman" w:hAnsi="Times New Roman" w:cs="Times New Roman"/>
          <w:sz w:val="24"/>
          <w:szCs w:val="24"/>
          <w:lang w:val="en-GB"/>
        </w:rPr>
        <w:t xml:space="preserve">T2DM registered in SIDIAP </w:t>
      </w:r>
      <w:r w:rsidR="00AC5C13" w:rsidRPr="004545BE">
        <w:rPr>
          <w:rFonts w:ascii="Times New Roman" w:hAnsi="Times New Roman" w:cs="Times New Roman"/>
          <w:sz w:val="24"/>
          <w:szCs w:val="24"/>
          <w:lang w:val="en-GB"/>
        </w:rPr>
        <w:t xml:space="preserve">and </w:t>
      </w:r>
      <w:r w:rsidR="00726C9F" w:rsidRPr="004545BE">
        <w:rPr>
          <w:rFonts w:ascii="Times New Roman" w:hAnsi="Times New Roman" w:cs="Times New Roman"/>
          <w:sz w:val="24"/>
          <w:szCs w:val="24"/>
          <w:lang w:val="en-GB"/>
        </w:rPr>
        <w:t>≥</w:t>
      </w:r>
      <w:r w:rsidR="00E06350" w:rsidRPr="004545BE">
        <w:rPr>
          <w:rFonts w:ascii="Times New Roman" w:hAnsi="Times New Roman" w:cs="Times New Roman"/>
          <w:sz w:val="24"/>
          <w:szCs w:val="24"/>
          <w:lang w:val="en-GB"/>
        </w:rPr>
        <w:t>65 years old</w:t>
      </w:r>
      <w:r w:rsidR="007A7CA9" w:rsidRPr="004545BE">
        <w:rPr>
          <w:rFonts w:ascii="Times New Roman" w:hAnsi="Times New Roman" w:cs="Times New Roman"/>
          <w:sz w:val="24"/>
          <w:szCs w:val="24"/>
          <w:lang w:val="en-GB"/>
        </w:rPr>
        <w:t xml:space="preserve"> </w:t>
      </w:r>
      <w:r w:rsidR="00AC5C13" w:rsidRPr="004545BE">
        <w:rPr>
          <w:rFonts w:ascii="Times New Roman" w:hAnsi="Times New Roman" w:cs="Times New Roman"/>
          <w:sz w:val="24"/>
          <w:szCs w:val="24"/>
          <w:lang w:val="en-GB"/>
        </w:rPr>
        <w:t xml:space="preserve">on </w:t>
      </w:r>
      <w:r w:rsidR="009E3771" w:rsidRPr="004545BE">
        <w:rPr>
          <w:rFonts w:ascii="Times New Roman" w:hAnsi="Times New Roman" w:cs="Times New Roman"/>
          <w:sz w:val="24"/>
          <w:szCs w:val="24"/>
          <w:lang w:val="en-GB"/>
        </w:rPr>
        <w:t xml:space="preserve">1 </w:t>
      </w:r>
      <w:r w:rsidR="007A7CA9" w:rsidRPr="004545BE">
        <w:rPr>
          <w:rFonts w:ascii="Times New Roman" w:hAnsi="Times New Roman" w:cs="Times New Roman"/>
          <w:sz w:val="24"/>
          <w:szCs w:val="24"/>
          <w:lang w:val="en-GB"/>
        </w:rPr>
        <w:t>January 2006 (</w:t>
      </w:r>
      <w:r w:rsidR="00AC5C13" w:rsidRPr="004545BE">
        <w:rPr>
          <w:rFonts w:ascii="Times New Roman" w:hAnsi="Times New Roman" w:cs="Times New Roman"/>
          <w:sz w:val="24"/>
          <w:szCs w:val="24"/>
          <w:lang w:val="en-GB"/>
        </w:rPr>
        <w:t>“</w:t>
      </w:r>
      <w:r w:rsidR="00994608" w:rsidRPr="004545BE">
        <w:rPr>
          <w:rFonts w:ascii="Times New Roman" w:hAnsi="Times New Roman" w:cs="Times New Roman"/>
          <w:sz w:val="24"/>
          <w:szCs w:val="24"/>
          <w:lang w:val="en-GB"/>
        </w:rPr>
        <w:t xml:space="preserve">the </w:t>
      </w:r>
      <w:r w:rsidR="00AC5C13" w:rsidRPr="004545BE">
        <w:rPr>
          <w:rFonts w:ascii="Times New Roman" w:hAnsi="Times New Roman" w:cs="Times New Roman"/>
          <w:sz w:val="24"/>
          <w:szCs w:val="24"/>
          <w:lang w:val="en-GB"/>
        </w:rPr>
        <w:t>index date”</w:t>
      </w:r>
      <w:r w:rsidR="007A7CA9" w:rsidRPr="004545BE">
        <w:rPr>
          <w:rFonts w:ascii="Times New Roman" w:hAnsi="Times New Roman" w:cs="Times New Roman"/>
          <w:sz w:val="24"/>
          <w:szCs w:val="24"/>
          <w:lang w:val="en-GB"/>
        </w:rPr>
        <w:t>)</w:t>
      </w:r>
      <w:r w:rsidR="008E51FD" w:rsidRPr="004545BE">
        <w:rPr>
          <w:rFonts w:ascii="Times New Roman" w:hAnsi="Times New Roman" w:cs="Times New Roman"/>
          <w:sz w:val="24"/>
          <w:szCs w:val="24"/>
          <w:lang w:val="en-GB"/>
        </w:rPr>
        <w:t>.</w:t>
      </w:r>
      <w:r w:rsidR="00460416" w:rsidRPr="004545BE">
        <w:rPr>
          <w:rFonts w:ascii="Times New Roman" w:hAnsi="Times New Roman" w:cs="Times New Roman"/>
          <w:sz w:val="24"/>
          <w:szCs w:val="24"/>
          <w:lang w:val="en-GB"/>
        </w:rPr>
        <w:t xml:space="preserve"> Up to </w:t>
      </w:r>
      <w:r w:rsidR="00833536" w:rsidRPr="004545BE">
        <w:rPr>
          <w:rFonts w:ascii="Times New Roman" w:hAnsi="Times New Roman" w:cs="Times New Roman"/>
          <w:sz w:val="24"/>
          <w:szCs w:val="24"/>
          <w:lang w:val="en-GB"/>
        </w:rPr>
        <w:t xml:space="preserve">two </w:t>
      </w:r>
      <w:r w:rsidR="00F06C78" w:rsidRPr="004545BE">
        <w:rPr>
          <w:rFonts w:ascii="Times New Roman" w:hAnsi="Times New Roman" w:cs="Times New Roman"/>
          <w:sz w:val="24"/>
          <w:szCs w:val="24"/>
          <w:lang w:val="en-GB"/>
        </w:rPr>
        <w:t>non-T2DM</w:t>
      </w:r>
      <w:r w:rsidR="00460416" w:rsidRPr="004545BE">
        <w:rPr>
          <w:rFonts w:ascii="Times New Roman" w:hAnsi="Times New Roman" w:cs="Times New Roman"/>
          <w:sz w:val="24"/>
          <w:szCs w:val="24"/>
          <w:lang w:val="en-GB"/>
        </w:rPr>
        <w:t xml:space="preserve"> were matched to each of the participants in the T2DM cohort by age (+/- 2 years), </w:t>
      </w:r>
      <w:r w:rsidR="00994608" w:rsidRPr="004545BE">
        <w:rPr>
          <w:rFonts w:ascii="Times New Roman" w:hAnsi="Times New Roman" w:cs="Times New Roman"/>
          <w:sz w:val="24"/>
          <w:szCs w:val="24"/>
          <w:lang w:val="en-GB"/>
        </w:rPr>
        <w:t>sex</w:t>
      </w:r>
      <w:r w:rsidR="00460416" w:rsidRPr="004545BE">
        <w:rPr>
          <w:rFonts w:ascii="Times New Roman" w:hAnsi="Times New Roman" w:cs="Times New Roman"/>
          <w:sz w:val="24"/>
          <w:szCs w:val="24"/>
          <w:lang w:val="en-GB"/>
        </w:rPr>
        <w:t>, and primary care practice.</w:t>
      </w:r>
      <w:r w:rsidR="000A677A" w:rsidRPr="004545BE">
        <w:rPr>
          <w:rFonts w:ascii="Times New Roman" w:hAnsi="Times New Roman" w:cs="Times New Roman"/>
          <w:sz w:val="24"/>
          <w:szCs w:val="24"/>
          <w:lang w:val="en-GB"/>
        </w:rPr>
        <w:t xml:space="preserve"> </w:t>
      </w:r>
      <w:r w:rsidR="00B03DE2" w:rsidRPr="004545BE">
        <w:rPr>
          <w:rFonts w:ascii="Times New Roman" w:hAnsi="Times New Roman" w:cs="Times New Roman"/>
          <w:sz w:val="24"/>
          <w:szCs w:val="24"/>
          <w:lang w:val="en-GB"/>
        </w:rPr>
        <w:t xml:space="preserve">Non-T2DM </w:t>
      </w:r>
      <w:r w:rsidR="00195FC5" w:rsidRPr="004545BE">
        <w:rPr>
          <w:rFonts w:ascii="Times New Roman" w:hAnsi="Times New Roman" w:cs="Times New Roman"/>
          <w:sz w:val="24"/>
          <w:szCs w:val="24"/>
          <w:lang w:val="en-GB"/>
        </w:rPr>
        <w:t xml:space="preserve">patients </w:t>
      </w:r>
      <w:r w:rsidR="00B03DE2" w:rsidRPr="004545BE">
        <w:rPr>
          <w:rFonts w:ascii="Times New Roman" w:hAnsi="Times New Roman" w:cs="Times New Roman"/>
          <w:sz w:val="24"/>
          <w:szCs w:val="24"/>
          <w:lang w:val="en-GB"/>
        </w:rPr>
        <w:t>that were users of anti-</w:t>
      </w:r>
      <w:r w:rsidR="00F06C78" w:rsidRPr="004545BE">
        <w:rPr>
          <w:rFonts w:ascii="Times New Roman" w:hAnsi="Times New Roman" w:cs="Times New Roman"/>
          <w:sz w:val="24"/>
          <w:szCs w:val="24"/>
          <w:lang w:val="en-GB"/>
        </w:rPr>
        <w:t>T2DM</w:t>
      </w:r>
      <w:r w:rsidR="00B03DE2" w:rsidRPr="004545BE">
        <w:rPr>
          <w:rFonts w:ascii="Times New Roman" w:hAnsi="Times New Roman" w:cs="Times New Roman"/>
          <w:sz w:val="24"/>
          <w:szCs w:val="24"/>
          <w:lang w:val="en-GB"/>
        </w:rPr>
        <w:t xml:space="preserve"> drugs </w:t>
      </w:r>
      <w:r w:rsidR="00701555" w:rsidRPr="004545BE">
        <w:rPr>
          <w:rFonts w:ascii="Times New Roman" w:hAnsi="Times New Roman" w:cs="Times New Roman"/>
          <w:sz w:val="24"/>
          <w:szCs w:val="24"/>
          <w:lang w:val="en-GB"/>
        </w:rPr>
        <w:t xml:space="preserve">or </w:t>
      </w:r>
      <w:r w:rsidR="00A31976" w:rsidRPr="004545BE">
        <w:rPr>
          <w:rFonts w:ascii="Times New Roman" w:hAnsi="Times New Roman" w:cs="Times New Roman"/>
          <w:sz w:val="24"/>
          <w:szCs w:val="24"/>
          <w:lang w:val="en-GB"/>
        </w:rPr>
        <w:t xml:space="preserve">with </w:t>
      </w:r>
      <w:r w:rsidR="00701555" w:rsidRPr="004545BE">
        <w:rPr>
          <w:rFonts w:ascii="Times New Roman" w:hAnsi="Times New Roman" w:cs="Times New Roman"/>
          <w:sz w:val="24"/>
          <w:szCs w:val="24"/>
          <w:lang w:val="en-GB"/>
        </w:rPr>
        <w:t xml:space="preserve">two measures of </w:t>
      </w:r>
      <w:r w:rsidR="00195FC5" w:rsidRPr="004545BE">
        <w:rPr>
          <w:rFonts w:ascii="Times New Roman" w:hAnsi="Times New Roman" w:cs="Times New Roman"/>
          <w:sz w:val="24"/>
          <w:szCs w:val="24"/>
          <w:lang w:val="en-GB"/>
        </w:rPr>
        <w:t>g</w:t>
      </w:r>
      <w:r w:rsidR="00701555" w:rsidRPr="004545BE">
        <w:rPr>
          <w:rFonts w:ascii="Times New Roman" w:hAnsi="Times New Roman" w:cs="Times New Roman"/>
          <w:sz w:val="24"/>
          <w:szCs w:val="24"/>
          <w:lang w:val="en-GB"/>
        </w:rPr>
        <w:t xml:space="preserve">lycated </w:t>
      </w:r>
      <w:r w:rsidR="00195FC5" w:rsidRPr="004545BE">
        <w:rPr>
          <w:rFonts w:ascii="Times New Roman" w:hAnsi="Times New Roman" w:cs="Times New Roman"/>
          <w:sz w:val="24"/>
          <w:szCs w:val="24"/>
          <w:lang w:val="en-GB"/>
        </w:rPr>
        <w:t>haemoglobin</w:t>
      </w:r>
      <w:r w:rsidR="00701555" w:rsidRPr="004545BE">
        <w:rPr>
          <w:rFonts w:ascii="Times New Roman" w:hAnsi="Times New Roman" w:cs="Times New Roman"/>
          <w:sz w:val="24"/>
          <w:szCs w:val="24"/>
          <w:lang w:val="en-GB"/>
        </w:rPr>
        <w:t xml:space="preserve"> above 6.5</w:t>
      </w:r>
      <w:r w:rsidR="00A31976" w:rsidRPr="004545BE">
        <w:rPr>
          <w:rFonts w:ascii="Times New Roman" w:hAnsi="Times New Roman" w:cs="Times New Roman"/>
          <w:sz w:val="24"/>
          <w:szCs w:val="24"/>
          <w:lang w:val="en-GB"/>
        </w:rPr>
        <w:t>%</w:t>
      </w:r>
      <w:r w:rsidR="00701555" w:rsidRPr="004545BE">
        <w:rPr>
          <w:rFonts w:ascii="Times New Roman" w:hAnsi="Times New Roman" w:cs="Times New Roman"/>
          <w:sz w:val="24"/>
          <w:szCs w:val="24"/>
          <w:lang w:val="en-GB"/>
        </w:rPr>
        <w:t xml:space="preserve"> </w:t>
      </w:r>
      <w:r w:rsidR="00B03DE2" w:rsidRPr="004545BE">
        <w:rPr>
          <w:rFonts w:ascii="Times New Roman" w:hAnsi="Times New Roman" w:cs="Times New Roman"/>
          <w:sz w:val="24"/>
          <w:szCs w:val="24"/>
          <w:lang w:val="en-GB"/>
        </w:rPr>
        <w:t xml:space="preserve">were excluded. </w:t>
      </w:r>
      <w:r w:rsidR="00195FC5" w:rsidRPr="004545BE">
        <w:rPr>
          <w:rFonts w:ascii="Times New Roman" w:hAnsi="Times New Roman" w:cs="Times New Roman"/>
          <w:sz w:val="24"/>
          <w:szCs w:val="24"/>
          <w:lang w:val="en-GB"/>
        </w:rPr>
        <w:t xml:space="preserve">Non-T2DM and T2DM patients </w:t>
      </w:r>
      <w:r w:rsidR="00A31976" w:rsidRPr="004545BE">
        <w:rPr>
          <w:rFonts w:ascii="Times New Roman" w:hAnsi="Times New Roman" w:cs="Times New Roman"/>
          <w:sz w:val="24"/>
          <w:szCs w:val="24"/>
          <w:lang w:val="en-GB"/>
        </w:rPr>
        <w:t>w</w:t>
      </w:r>
      <w:r w:rsidR="00AC5C13" w:rsidRPr="004545BE">
        <w:rPr>
          <w:rFonts w:ascii="Times New Roman" w:hAnsi="Times New Roman" w:cs="Times New Roman"/>
          <w:sz w:val="24"/>
          <w:szCs w:val="24"/>
          <w:lang w:val="en-GB"/>
        </w:rPr>
        <w:t>ith a recorded</w:t>
      </w:r>
      <w:r w:rsidR="00A31976" w:rsidRPr="004545BE">
        <w:rPr>
          <w:rFonts w:ascii="Times New Roman" w:hAnsi="Times New Roman" w:cs="Times New Roman"/>
          <w:sz w:val="24"/>
          <w:szCs w:val="24"/>
          <w:lang w:val="en-GB"/>
        </w:rPr>
        <w:t xml:space="preserve"> hip fracture </w:t>
      </w:r>
      <w:r w:rsidR="00195FC5" w:rsidRPr="004545BE">
        <w:rPr>
          <w:rFonts w:ascii="Times New Roman" w:hAnsi="Times New Roman" w:cs="Times New Roman"/>
          <w:sz w:val="24"/>
          <w:szCs w:val="24"/>
          <w:lang w:val="en-GB"/>
        </w:rPr>
        <w:t xml:space="preserve">or </w:t>
      </w:r>
      <w:r w:rsidR="00AC5C13" w:rsidRPr="004545BE">
        <w:rPr>
          <w:rFonts w:ascii="Times New Roman" w:hAnsi="Times New Roman" w:cs="Times New Roman"/>
          <w:sz w:val="24"/>
          <w:szCs w:val="24"/>
          <w:lang w:val="en-GB"/>
        </w:rPr>
        <w:t xml:space="preserve">death </w:t>
      </w:r>
      <w:r w:rsidR="00195FC5" w:rsidRPr="004545BE">
        <w:rPr>
          <w:rFonts w:ascii="Times New Roman" w:hAnsi="Times New Roman" w:cs="Times New Roman"/>
          <w:sz w:val="24"/>
          <w:szCs w:val="24"/>
          <w:lang w:val="en-GB"/>
        </w:rPr>
        <w:t>on index date were excluded</w:t>
      </w:r>
      <w:r w:rsidR="00AC5C13" w:rsidRPr="004545BE">
        <w:rPr>
          <w:rFonts w:ascii="Times New Roman" w:hAnsi="Times New Roman" w:cs="Times New Roman"/>
          <w:sz w:val="24"/>
          <w:szCs w:val="24"/>
          <w:lang w:val="en-GB"/>
        </w:rPr>
        <w:t xml:space="preserve"> (as they did not contribute to observation time)</w:t>
      </w:r>
      <w:r w:rsidR="00195FC5" w:rsidRPr="004545BE">
        <w:rPr>
          <w:rFonts w:ascii="Times New Roman" w:hAnsi="Times New Roman" w:cs="Times New Roman"/>
          <w:sz w:val="24"/>
          <w:szCs w:val="24"/>
          <w:lang w:val="en-GB"/>
        </w:rPr>
        <w:t xml:space="preserve">. </w:t>
      </w:r>
      <w:r w:rsidR="00AC5C13" w:rsidRPr="004545BE">
        <w:rPr>
          <w:rFonts w:ascii="Times New Roman" w:hAnsi="Times New Roman" w:cs="Times New Roman"/>
          <w:sz w:val="24"/>
          <w:szCs w:val="24"/>
          <w:lang w:val="en-GB"/>
        </w:rPr>
        <w:t>P</w:t>
      </w:r>
      <w:r w:rsidR="00195FC5" w:rsidRPr="004545BE">
        <w:rPr>
          <w:rFonts w:ascii="Times New Roman" w:hAnsi="Times New Roman" w:cs="Times New Roman"/>
          <w:sz w:val="24"/>
          <w:szCs w:val="24"/>
          <w:lang w:val="en-GB"/>
        </w:rPr>
        <w:t xml:space="preserve">atients </w:t>
      </w:r>
      <w:r w:rsidR="00AC5C13" w:rsidRPr="004545BE">
        <w:rPr>
          <w:rFonts w:ascii="Times New Roman" w:hAnsi="Times New Roman" w:cs="Times New Roman"/>
          <w:sz w:val="24"/>
          <w:szCs w:val="24"/>
          <w:lang w:val="en-GB"/>
        </w:rPr>
        <w:t xml:space="preserve">(either T2DM or </w:t>
      </w:r>
      <w:r w:rsidR="00F06C78" w:rsidRPr="004545BE">
        <w:rPr>
          <w:rFonts w:ascii="Times New Roman" w:hAnsi="Times New Roman" w:cs="Times New Roman"/>
          <w:sz w:val="24"/>
          <w:szCs w:val="24"/>
          <w:lang w:val="en-GB"/>
        </w:rPr>
        <w:t>non-T2DM</w:t>
      </w:r>
      <w:r w:rsidR="00AC5C13" w:rsidRPr="004545BE">
        <w:rPr>
          <w:rFonts w:ascii="Times New Roman" w:hAnsi="Times New Roman" w:cs="Times New Roman"/>
          <w:sz w:val="24"/>
          <w:szCs w:val="24"/>
          <w:lang w:val="en-GB"/>
        </w:rPr>
        <w:t xml:space="preserve">) that ended unmatched (i.e. with no matched peer remaining) </w:t>
      </w:r>
      <w:r w:rsidR="00195FC5" w:rsidRPr="004545BE">
        <w:rPr>
          <w:rFonts w:ascii="Times New Roman" w:hAnsi="Times New Roman" w:cs="Times New Roman"/>
          <w:sz w:val="24"/>
          <w:szCs w:val="24"/>
          <w:lang w:val="en-GB"/>
        </w:rPr>
        <w:t xml:space="preserve">because </w:t>
      </w:r>
      <w:r w:rsidR="00AC5C13" w:rsidRPr="004545BE">
        <w:rPr>
          <w:rFonts w:ascii="Times New Roman" w:hAnsi="Times New Roman" w:cs="Times New Roman"/>
          <w:sz w:val="24"/>
          <w:szCs w:val="24"/>
          <w:lang w:val="en-GB"/>
        </w:rPr>
        <w:t>of the above exclusion criteria</w:t>
      </w:r>
      <w:r w:rsidR="00195FC5" w:rsidRPr="004545BE">
        <w:rPr>
          <w:rFonts w:ascii="Times New Roman" w:hAnsi="Times New Roman" w:cs="Times New Roman"/>
          <w:sz w:val="24"/>
          <w:szCs w:val="24"/>
          <w:lang w:val="en-GB"/>
        </w:rPr>
        <w:t xml:space="preserve"> were also excluded. </w:t>
      </w:r>
    </w:p>
    <w:p w:rsidR="00CA08F3" w:rsidRPr="004545BE" w:rsidRDefault="000A677A" w:rsidP="009123BE">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lastRenderedPageBreak/>
        <w:t>Both</w:t>
      </w:r>
      <w:r w:rsidR="007A7CA9" w:rsidRPr="004545BE">
        <w:rPr>
          <w:rFonts w:ascii="Times New Roman" w:hAnsi="Times New Roman" w:cs="Times New Roman"/>
          <w:sz w:val="24"/>
          <w:szCs w:val="24"/>
          <w:lang w:val="en-GB"/>
        </w:rPr>
        <w:t xml:space="preserve"> </w:t>
      </w:r>
      <w:r w:rsidR="00AC5C13" w:rsidRPr="004545BE">
        <w:rPr>
          <w:rFonts w:ascii="Times New Roman" w:hAnsi="Times New Roman" w:cs="Times New Roman"/>
          <w:sz w:val="24"/>
          <w:szCs w:val="24"/>
          <w:lang w:val="en-GB"/>
        </w:rPr>
        <w:t xml:space="preserve">T2DM and matched non-T2DM </w:t>
      </w:r>
      <w:r w:rsidRPr="004545BE">
        <w:rPr>
          <w:rFonts w:ascii="Times New Roman" w:hAnsi="Times New Roman" w:cs="Times New Roman"/>
          <w:sz w:val="24"/>
          <w:szCs w:val="24"/>
          <w:lang w:val="en-GB"/>
        </w:rPr>
        <w:t xml:space="preserve">cohorts were followed from index date until </w:t>
      </w:r>
      <w:r w:rsidR="00265ABF" w:rsidRPr="004545BE">
        <w:rPr>
          <w:rFonts w:ascii="Times New Roman" w:hAnsi="Times New Roman" w:cs="Times New Roman"/>
          <w:sz w:val="24"/>
          <w:szCs w:val="24"/>
          <w:lang w:val="en-GB"/>
        </w:rPr>
        <w:t>d</w:t>
      </w:r>
      <w:r w:rsidR="008E620B" w:rsidRPr="004545BE">
        <w:rPr>
          <w:rFonts w:ascii="Times New Roman" w:hAnsi="Times New Roman" w:cs="Times New Roman"/>
          <w:sz w:val="24"/>
          <w:szCs w:val="24"/>
          <w:lang w:val="en-GB"/>
        </w:rPr>
        <w:t>eath</w:t>
      </w:r>
      <w:r w:rsidR="00265ABF" w:rsidRPr="004545BE">
        <w:rPr>
          <w:rFonts w:ascii="Times New Roman" w:hAnsi="Times New Roman" w:cs="Times New Roman"/>
          <w:sz w:val="24"/>
          <w:szCs w:val="24"/>
          <w:lang w:val="en-GB"/>
        </w:rPr>
        <w:t xml:space="preserve">, fractured </w:t>
      </w:r>
      <w:r w:rsidR="00AC5C13" w:rsidRPr="004545BE">
        <w:rPr>
          <w:rFonts w:ascii="Times New Roman" w:hAnsi="Times New Roman" w:cs="Times New Roman"/>
          <w:sz w:val="24"/>
          <w:szCs w:val="24"/>
          <w:lang w:val="en-GB"/>
        </w:rPr>
        <w:t xml:space="preserve">a hip, </w:t>
      </w:r>
      <w:r w:rsidR="00265ABF" w:rsidRPr="004545BE">
        <w:rPr>
          <w:rFonts w:ascii="Times New Roman" w:hAnsi="Times New Roman" w:cs="Times New Roman"/>
          <w:sz w:val="24"/>
          <w:szCs w:val="24"/>
          <w:lang w:val="en-GB"/>
        </w:rPr>
        <w:t xml:space="preserve">or </w:t>
      </w:r>
      <w:r w:rsidR="00AC5C13" w:rsidRPr="004545BE">
        <w:rPr>
          <w:rFonts w:ascii="Times New Roman" w:hAnsi="Times New Roman" w:cs="Times New Roman"/>
          <w:sz w:val="24"/>
          <w:szCs w:val="24"/>
          <w:lang w:val="en-GB"/>
        </w:rPr>
        <w:t>transfer</w:t>
      </w:r>
      <w:r w:rsidR="00BD59B4" w:rsidRPr="004545BE">
        <w:rPr>
          <w:rFonts w:ascii="Times New Roman" w:hAnsi="Times New Roman" w:cs="Times New Roman"/>
          <w:sz w:val="24"/>
          <w:szCs w:val="24"/>
          <w:lang w:val="en-GB"/>
        </w:rPr>
        <w:t>red</w:t>
      </w:r>
      <w:r w:rsidR="00AC5C13" w:rsidRPr="004545BE">
        <w:rPr>
          <w:rFonts w:ascii="Times New Roman" w:hAnsi="Times New Roman" w:cs="Times New Roman"/>
          <w:sz w:val="24"/>
          <w:szCs w:val="24"/>
          <w:lang w:val="en-GB"/>
        </w:rPr>
        <w:t xml:space="preserve"> out of catchment area or </w:t>
      </w:r>
      <w:r w:rsidR="00265ABF" w:rsidRPr="004545BE">
        <w:rPr>
          <w:rFonts w:ascii="Times New Roman" w:hAnsi="Times New Roman" w:cs="Times New Roman"/>
          <w:sz w:val="24"/>
          <w:szCs w:val="24"/>
          <w:lang w:val="en-GB"/>
        </w:rPr>
        <w:t>end of study</w:t>
      </w:r>
      <w:r w:rsidRPr="004545BE">
        <w:rPr>
          <w:rFonts w:ascii="Times New Roman" w:hAnsi="Times New Roman" w:cs="Times New Roman"/>
          <w:sz w:val="24"/>
          <w:szCs w:val="24"/>
          <w:lang w:val="en-GB"/>
        </w:rPr>
        <w:t xml:space="preserve"> </w:t>
      </w:r>
      <w:r w:rsidR="00AC5C13" w:rsidRPr="004545BE">
        <w:rPr>
          <w:rFonts w:ascii="Times New Roman" w:hAnsi="Times New Roman" w:cs="Times New Roman"/>
          <w:sz w:val="24"/>
          <w:szCs w:val="24"/>
          <w:lang w:val="en-GB"/>
        </w:rPr>
        <w:t xml:space="preserve">on </w:t>
      </w:r>
      <w:r w:rsidR="0004086A" w:rsidRPr="004545BE">
        <w:rPr>
          <w:rFonts w:ascii="Times New Roman" w:hAnsi="Times New Roman" w:cs="Times New Roman"/>
          <w:sz w:val="24"/>
          <w:szCs w:val="24"/>
          <w:lang w:val="en-GB"/>
        </w:rPr>
        <w:t>12</w:t>
      </w:r>
      <w:r w:rsidRPr="004545BE">
        <w:rPr>
          <w:rFonts w:ascii="Times New Roman" w:hAnsi="Times New Roman" w:cs="Times New Roman"/>
          <w:sz w:val="24"/>
          <w:szCs w:val="24"/>
          <w:lang w:val="en-GB"/>
        </w:rPr>
        <w:t>/</w:t>
      </w:r>
      <w:r w:rsidR="0004086A" w:rsidRPr="004545BE">
        <w:rPr>
          <w:rFonts w:ascii="Times New Roman" w:hAnsi="Times New Roman" w:cs="Times New Roman"/>
          <w:sz w:val="24"/>
          <w:szCs w:val="24"/>
          <w:lang w:val="en-GB"/>
        </w:rPr>
        <w:t>31</w:t>
      </w:r>
      <w:r w:rsidRPr="004545BE">
        <w:rPr>
          <w:rFonts w:ascii="Times New Roman" w:hAnsi="Times New Roman" w:cs="Times New Roman"/>
          <w:sz w:val="24"/>
          <w:szCs w:val="24"/>
          <w:lang w:val="en-GB"/>
        </w:rPr>
        <w:t>/</w:t>
      </w:r>
      <w:r w:rsidR="007A7CA9" w:rsidRPr="004545BE">
        <w:rPr>
          <w:rFonts w:ascii="Times New Roman" w:hAnsi="Times New Roman" w:cs="Times New Roman"/>
          <w:sz w:val="24"/>
          <w:szCs w:val="24"/>
          <w:lang w:val="en-GB"/>
        </w:rPr>
        <w:t>201</w:t>
      </w:r>
      <w:r w:rsidR="001C20AE" w:rsidRPr="004545BE">
        <w:rPr>
          <w:rFonts w:ascii="Times New Roman" w:hAnsi="Times New Roman" w:cs="Times New Roman"/>
          <w:sz w:val="24"/>
          <w:szCs w:val="24"/>
          <w:lang w:val="en-GB"/>
        </w:rPr>
        <w:t>3</w:t>
      </w:r>
      <w:r w:rsidR="00AC5C13" w:rsidRPr="004545BE">
        <w:rPr>
          <w:rFonts w:ascii="Times New Roman" w:hAnsi="Times New Roman" w:cs="Times New Roman"/>
          <w:sz w:val="24"/>
          <w:szCs w:val="24"/>
          <w:lang w:val="en-GB"/>
        </w:rPr>
        <w:t>,</w:t>
      </w:r>
      <w:r w:rsidR="007A7CA9"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whichever came first</w:t>
      </w:r>
      <w:r w:rsidR="00A03853" w:rsidRPr="004545BE">
        <w:rPr>
          <w:rFonts w:ascii="Times New Roman" w:hAnsi="Times New Roman" w:cs="Times New Roman"/>
          <w:sz w:val="24"/>
          <w:szCs w:val="24"/>
          <w:lang w:val="en-GB"/>
        </w:rPr>
        <w:t xml:space="preserve"> (</w:t>
      </w:r>
      <w:r w:rsidR="006C1EC4" w:rsidRPr="004545BE">
        <w:rPr>
          <w:rFonts w:ascii="Times New Roman" w:hAnsi="Times New Roman" w:cs="Times New Roman"/>
          <w:sz w:val="24"/>
          <w:szCs w:val="24"/>
          <w:lang w:val="en-GB"/>
        </w:rPr>
        <w:t>treated as censored)</w:t>
      </w:r>
      <w:r w:rsidRPr="004545BE">
        <w:rPr>
          <w:rFonts w:ascii="Times New Roman" w:hAnsi="Times New Roman" w:cs="Times New Roman"/>
          <w:sz w:val="24"/>
          <w:szCs w:val="24"/>
          <w:lang w:val="en-GB"/>
        </w:rPr>
        <w:t>.</w:t>
      </w:r>
      <w:r w:rsidR="00B03DE2" w:rsidRPr="004545BE">
        <w:rPr>
          <w:rFonts w:ascii="Times New Roman" w:hAnsi="Times New Roman" w:cs="Times New Roman"/>
          <w:sz w:val="24"/>
          <w:szCs w:val="24"/>
          <w:lang w:val="en-GB"/>
        </w:rPr>
        <w:t xml:space="preserve"> </w:t>
      </w:r>
      <w:r w:rsidR="00842E88" w:rsidRPr="004545BE">
        <w:rPr>
          <w:rFonts w:ascii="Times New Roman" w:hAnsi="Times New Roman" w:cs="Times New Roman"/>
          <w:sz w:val="24"/>
          <w:szCs w:val="24"/>
          <w:lang w:val="en-GB"/>
        </w:rPr>
        <w:t xml:space="preserve">The main </w:t>
      </w:r>
      <w:r w:rsidR="00EF2F11" w:rsidRPr="004545BE">
        <w:rPr>
          <w:rFonts w:ascii="Times New Roman" w:hAnsi="Times New Roman" w:cs="Times New Roman"/>
          <w:sz w:val="24"/>
          <w:szCs w:val="24"/>
          <w:lang w:val="en-GB"/>
        </w:rPr>
        <w:t>outcome was incident hip</w:t>
      </w:r>
      <w:r w:rsidR="00C80089" w:rsidRPr="004545BE">
        <w:rPr>
          <w:rFonts w:ascii="Times New Roman" w:hAnsi="Times New Roman" w:cs="Times New Roman"/>
          <w:sz w:val="24"/>
          <w:szCs w:val="24"/>
          <w:lang w:val="en-GB"/>
        </w:rPr>
        <w:t xml:space="preserve"> </w:t>
      </w:r>
      <w:r w:rsidR="00EF2F11" w:rsidRPr="004545BE">
        <w:rPr>
          <w:rFonts w:ascii="Times New Roman" w:hAnsi="Times New Roman" w:cs="Times New Roman"/>
          <w:sz w:val="24"/>
          <w:szCs w:val="24"/>
          <w:lang w:val="en-GB"/>
        </w:rPr>
        <w:t>fracture</w:t>
      </w:r>
      <w:r w:rsidR="00004B29" w:rsidRPr="004545BE">
        <w:rPr>
          <w:rFonts w:ascii="Times New Roman" w:hAnsi="Times New Roman" w:cs="Times New Roman"/>
          <w:sz w:val="24"/>
          <w:szCs w:val="24"/>
          <w:lang w:val="en-GB"/>
        </w:rPr>
        <w:t xml:space="preserve"> and all-cause mortality was a secondary (competing) event. Previously validated lists of ICD10 codes</w:t>
      </w:r>
      <w:r w:rsidR="00EF4443" w:rsidRPr="004545BE">
        <w:rPr>
          <w:rFonts w:ascii="Times New Roman" w:hAnsi="Times New Roman" w:cs="Times New Roman"/>
          <w:sz w:val="24"/>
          <w:szCs w:val="24"/>
          <w:lang w:val="en-GB"/>
        </w:rPr>
        <w:fldChar w:fldCharType="begin" w:fldLock="1"/>
      </w:r>
      <w:r w:rsidR="001B59E2" w:rsidRPr="004545BE">
        <w:rPr>
          <w:rFonts w:ascii="Times New Roman" w:hAnsi="Times New Roman" w:cs="Times New Roman"/>
          <w:sz w:val="24"/>
          <w:szCs w:val="24"/>
          <w:lang w:val="en-GB"/>
        </w:rPr>
        <w:instrText>ADDIN CSL_CITATION { "citationItems" : [ { "id" : "ITEM-1", "itemData" : { "DOI" : "10.1016/j.medcli.2012.01.020", "ISSN" : "1578-8989", "PMID" : "22444996", "author" : [ { "dropping-particle" : "", "family" : "Bol\u00edbar", "given" : "Bonaventura", "non-dropping-particle" : "", "parse-names" : false, "suffix" : "" }, { "dropping-particle" : "", "family" : "Fina Avil\u00e9s", "given" : "Francesc", "non-dropping-particle" : "", "parse-names" : false, "suffix" : "" }, { "dropping-particle" : "", "family" : "Morros", "given" : "Rosa", "non-dropping-particle" : "", "parse-names" : false, "suffix" : "" }, { "dropping-particle" : "", "family" : "Garcia-Gil", "given" : "Maria del Mar", "non-dropping-particle" : "", "parse-names" : false, "suffix" : "" }, { "dropping-particle" : "", "family" : "Hermosilla", "given" : "Eduard", "non-dropping-particle" : "", "parse-names" : false, "suffix" : "" }, { "dropping-particle" : "", "family" : "Ramos", "given" : "Rafael", "non-dropping-particle" : "", "parse-names" : false, "suffix" : "" }, { "dropping-particle" : "", "family" : "Rosell", "given" : "Magdalena", "non-dropping-particle" : "", "parse-names" : false, "suffix" : "" }, { "dropping-particle" : "", "family" : "Rodr\u00edguez", "given" : "Jordi", "non-dropping-particle" : "", "parse-names" : false, "suffix" : "" }, { "dropping-particle" : "", "family" : "Medina", "given" : "Manuel", "non-dropping-particle" : "", "parse-names" : false, "suffix" : "" }, { "dropping-particle" : "", "family" : "Calero", "given" : "Sebastian", "non-dropping-particle" : "", "parse-names" : false, "suffix" : "" }, { "dropping-particle" : "", "family" : "Prieto-Alhambra", "given" : "Daniel", "non-dropping-particle" : "", "parse-names" : false, "suffix" : "" }, { "dropping-particle" : "", "family" : "Grupo SIDIAP", "given" : "", "non-dropping-particle" : "", "parse-names" : false, "suffix" : "" } ], "container-title" : "Medicina clinica", "id" : "ITEM-1", "issue" : "14", "issued" : { "date-parts" : [ [ "2012", "5", "19" ] ] }, "page" : "617-21", "title" : "[SIDIAP database: electronic clinical records in primary care as a source of information for epidemiologic research].", "type" : "article-journal", "volume" : "138" }, "uris" : [ "http://www.mendeley.com/documents/?uuid=3c205718-97fe-3601-9c1c-5e8929c22e7a" ] }, { "id" : "ITEM-2", "itemData" : { "DOI" : "10.1016/j.reuma.2017.10.013", "ISSN" : "1885-1398", "PMID" : "29195740", "abstract" : "PURPOSE Electronic medical records databases use pre-specified lists of diagnostic codes to identify fractures. These codes, however, are not specific enough to disentangle traumatic from fragility-related fractures. We report on the proportion of fragility fractures identified in a random sample of coded fractures in SIDIAP. METHODS Patients\u226550 years old with any fracture recorded in 2012 (as per pre-specified ICD-10 codes) and alive at the time of recruitment were eligible for this retrospective observational study in 6 primary care centres contributing to the SIDIAP database (www.sidiap.org). Those with previous fracture/s, non-responders, and those with dementia or a serious psychiatric disease were excluded. Data on fracture type (traumatic vs fragility), skeletal site, and basic patient characteristics were collected. RESULTS Of 491/616 (79.7%) patients with a registered fracture in 2012 who were contacted, 331 (349 fractures) were included. The most common fractures were forearm (82), ribs (38), and humerus (32), and 225/349 (64.5%) were fragility fractures, with higher proportions for classic osteoporotic sites: hip, 91.7%; spine, 87.7%; and major fractures, 80.5%. This proportion was higher in women, the elderly, and patients with a previously coded diagnosis of osteoporosis. CONCLUSIONS More than 4 in 5 major fractures recorded in SIDIAP are due to fragility (non-traumatic), with higher proportions for hip (92%) and vertebral (88%) fracture, and a lower proportion for fractures other than major ones. Our data support the validity of SIDIAP for the study of the epidemiology of osteoporotic fractures.", "author" : [ { "dropping-particle" : "", "family" : "Martinez-Laguna", "given" : "Daniel", "non-dropping-particle" : "", "parse-names" : false, "suffix" : "" }, { "dropping-particle" : "", "family" : "Soria-Castro", "given" : "Alberto", "non-dropping-particle" : "", "parse-names" : false, "suffix" : "" }, { "dropping-particle" : "", "family" : "Carbonell-Abella", "given" : "Cristina", "non-dropping-particle" : "", "parse-names" : false, "suffix" : "" }, { "dropping-particle" : "", "family" : "Orozco-L\u00f3pez", "given" : "Pilar", "non-dropping-particle" : "", "parse-names" : false, "suffix" : "" }, { "dropping-particle" : "", "family" : "Estrada-Laza", "given" : "Pilar", "non-dropping-particle" : "", "parse-names" : false, "suffix" : "" }, { "dropping-particle" : "", "family" : "Nogues", "given" : "Xavier", "non-dropping-particle" : "", "parse-names" : false, "suffix" : "" }, { "dropping-particle" : "", "family" : "D\u00edez-Perez", "given" : "Adolfo", "non-dropping-particle" : "", "parse-names" : false, "suffix" : "" }, { "dropping-particle" : "", "family" : "Prieto-Alhambra", "given" : "Daniel", "non-dropping-particle" : "", "parse-names" : false, "suffix" : "" } ], "container-title" : "Reumatologia clinica", "id" : "ITEM-2", "issued" : { "date-parts" : [ [ "2017", "11", "28" ] ] }, "title" : "Validation of fragility fractures in primary care electronic medical records: A population-based study.", "type" : "article-journal" }, "uris" : [ "http://www.mendeley.com/documents/?uuid=5371419c-5229-3218-b8f8-1d6591974180" ] } ], "mendeley" : { "formattedCitation" : "&lt;sup&gt;22,23&lt;/sup&gt;", "plainTextFormattedCitation" : "22,23", "previouslyFormattedCitation" : "&lt;sup&gt;22,23&lt;/sup&gt;"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1B59E2" w:rsidRPr="004545BE">
        <w:rPr>
          <w:rFonts w:ascii="Times New Roman" w:hAnsi="Times New Roman" w:cs="Times New Roman"/>
          <w:noProof/>
          <w:sz w:val="24"/>
          <w:szCs w:val="24"/>
          <w:vertAlign w:val="superscript"/>
          <w:lang w:val="en-GB"/>
        </w:rPr>
        <w:t>22,23</w:t>
      </w:r>
      <w:r w:rsidR="00EF4443" w:rsidRPr="004545BE">
        <w:rPr>
          <w:rFonts w:ascii="Times New Roman" w:hAnsi="Times New Roman" w:cs="Times New Roman"/>
          <w:sz w:val="24"/>
          <w:szCs w:val="24"/>
          <w:lang w:val="en-GB"/>
        </w:rPr>
        <w:fldChar w:fldCharType="end"/>
      </w:r>
      <w:r w:rsidR="00004B29" w:rsidRPr="004545BE">
        <w:rPr>
          <w:rFonts w:ascii="Times New Roman" w:hAnsi="Times New Roman" w:cs="Times New Roman"/>
          <w:sz w:val="24"/>
          <w:szCs w:val="24"/>
          <w:lang w:val="en-GB"/>
        </w:rPr>
        <w:t xml:space="preserve"> were used to identify both the study exposure (T2DM status) and outcome/s (fracture</w:t>
      </w:r>
      <w:r w:rsidR="001B59E2" w:rsidRPr="004545BE">
        <w:rPr>
          <w:rFonts w:ascii="Times New Roman" w:hAnsi="Times New Roman" w:cs="Times New Roman"/>
          <w:sz w:val="24"/>
          <w:szCs w:val="24"/>
          <w:lang w:val="en-GB"/>
        </w:rPr>
        <w:t xml:space="preserve"> and death</w:t>
      </w:r>
      <w:r w:rsidR="00004B29" w:rsidRPr="004545BE">
        <w:rPr>
          <w:rFonts w:ascii="Times New Roman" w:hAnsi="Times New Roman" w:cs="Times New Roman"/>
          <w:sz w:val="24"/>
          <w:szCs w:val="24"/>
          <w:lang w:val="en-GB"/>
        </w:rPr>
        <w:t>). SIDIAP is a validated source of information for epidemiological research</w:t>
      </w:r>
      <w:r w:rsidR="00EF4443" w:rsidRPr="004545BE">
        <w:rPr>
          <w:rFonts w:ascii="Times New Roman" w:hAnsi="Times New Roman" w:cs="Times New Roman"/>
          <w:sz w:val="24"/>
          <w:szCs w:val="24"/>
          <w:lang w:val="en-GB"/>
        </w:rPr>
        <w:fldChar w:fldCharType="begin" w:fldLock="1"/>
      </w:r>
      <w:r w:rsidR="001B59E2" w:rsidRPr="004545BE">
        <w:rPr>
          <w:rFonts w:ascii="Times New Roman" w:hAnsi="Times New Roman" w:cs="Times New Roman"/>
          <w:sz w:val="24"/>
          <w:szCs w:val="24"/>
          <w:lang w:val="en-GB"/>
        </w:rPr>
        <w:instrText>ADDIN CSL_CITATION { "citationItems" : [ { "id" : "ITEM-1", "itemData" : { "DOI" : "10.1016/j.medcli.2012.01.020", "ISSN" : "1578-8989", "PMID" : "22444996", "author" : [ { "dropping-particle" : "", "family" : "Bol\u00edbar", "given" : "Bonaventura", "non-dropping-particle" : "", "parse-names" : false, "suffix" : "" }, { "dropping-particle" : "", "family" : "Fina Avil\u00e9s", "given" : "Francesc", "non-dropping-particle" : "", "parse-names" : false, "suffix" : "" }, { "dropping-particle" : "", "family" : "Morros", "given" : "Rosa", "non-dropping-particle" : "", "parse-names" : false, "suffix" : "" }, { "dropping-particle" : "", "family" : "Garcia-Gil", "given" : "Maria del Mar", "non-dropping-particle" : "", "parse-names" : false, "suffix" : "" }, { "dropping-particle" : "", "family" : "Hermosilla", "given" : "Eduard", "non-dropping-particle" : "", "parse-names" : false, "suffix" : "" }, { "dropping-particle" : "", "family" : "Ramos", "given" : "Rafael", "non-dropping-particle" : "", "parse-names" : false, "suffix" : "" }, { "dropping-particle" : "", "family" : "Rosell", "given" : "Magdalena", "non-dropping-particle" : "", "parse-names" : false, "suffix" : "" }, { "dropping-particle" : "", "family" : "Rodr\u00edguez", "given" : "Jordi", "non-dropping-particle" : "", "parse-names" : false, "suffix" : "" }, { "dropping-particle" : "", "family" : "Medina", "given" : "Manuel", "non-dropping-particle" : "", "parse-names" : false, "suffix" : "" }, { "dropping-particle" : "", "family" : "Calero", "given" : "Sebastian", "non-dropping-particle" : "", "parse-names" : false, "suffix" : "" }, { "dropping-particle" : "", "family" : "Prieto-Alhambra", "given" : "Daniel", "non-dropping-particle" : "", "parse-names" : false, "suffix" : "" }, { "dropping-particle" : "", "family" : "Grupo SIDIAP", "given" : "", "non-dropping-particle" : "", "parse-names" : false, "suffix" : "" } ], "container-title" : "Medicina clinica", "id" : "ITEM-1", "issue" : "14", "issued" : { "date-parts" : [ [ "2012", "5", "19" ] ] }, "page" : "617-21", "title" : "[SIDIAP database: electronic clinical records in primary care as a source of information for epidemiologic research].", "type" : "article-journal", "volume" : "138" }, "uris" : [ "http://www.mendeley.com/documents/?uuid=3c205718-97fe-3601-9c1c-5e8929c22e7a" ] } ], "mendeley" : { "formattedCitation" : "&lt;sup&gt;22&lt;/sup&gt;", "plainTextFormattedCitation" : "22"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1B59E2" w:rsidRPr="004545BE">
        <w:rPr>
          <w:rFonts w:ascii="Times New Roman" w:hAnsi="Times New Roman" w:cs="Times New Roman"/>
          <w:noProof/>
          <w:sz w:val="24"/>
          <w:szCs w:val="24"/>
          <w:vertAlign w:val="superscript"/>
          <w:lang w:val="en-GB"/>
        </w:rPr>
        <w:t>22</w:t>
      </w:r>
      <w:r w:rsidR="00EF4443" w:rsidRPr="004545BE">
        <w:rPr>
          <w:rFonts w:ascii="Times New Roman" w:hAnsi="Times New Roman" w:cs="Times New Roman"/>
          <w:sz w:val="24"/>
          <w:szCs w:val="24"/>
          <w:lang w:val="en-GB"/>
        </w:rPr>
        <w:fldChar w:fldCharType="end"/>
      </w:r>
      <w:r w:rsidR="00AC5C13" w:rsidRPr="004545BE">
        <w:rPr>
          <w:rFonts w:ascii="Times New Roman" w:hAnsi="Times New Roman" w:cs="Times New Roman"/>
          <w:sz w:val="24"/>
          <w:szCs w:val="24"/>
          <w:lang w:val="en-GB"/>
        </w:rPr>
        <w:t xml:space="preserve">. </w:t>
      </w:r>
      <w:r w:rsidR="00CA08F3" w:rsidRPr="004545BE">
        <w:rPr>
          <w:rFonts w:ascii="Times New Roman" w:hAnsi="Times New Roman" w:cs="Times New Roman"/>
          <w:sz w:val="24"/>
          <w:szCs w:val="24"/>
          <w:lang w:val="en-GB"/>
        </w:rPr>
        <w:t xml:space="preserve">Potential confounders considered for adjustment in the </w:t>
      </w:r>
      <w:r w:rsidR="00381636" w:rsidRPr="004545BE">
        <w:rPr>
          <w:rFonts w:ascii="Times New Roman" w:hAnsi="Times New Roman" w:cs="Times New Roman"/>
          <w:sz w:val="24"/>
          <w:szCs w:val="24"/>
          <w:lang w:val="en-GB"/>
        </w:rPr>
        <w:t xml:space="preserve">multivariable models </w:t>
      </w:r>
      <w:r w:rsidR="00CA08F3" w:rsidRPr="004545BE">
        <w:rPr>
          <w:rFonts w:ascii="Times New Roman" w:hAnsi="Times New Roman" w:cs="Times New Roman"/>
          <w:sz w:val="24"/>
          <w:szCs w:val="24"/>
          <w:lang w:val="en-GB"/>
        </w:rPr>
        <w:t>were</w:t>
      </w:r>
      <w:r w:rsidR="00C0524B" w:rsidRPr="004545BE">
        <w:rPr>
          <w:rFonts w:ascii="Times New Roman" w:hAnsi="Times New Roman" w:cs="Times New Roman"/>
          <w:sz w:val="24"/>
          <w:szCs w:val="24"/>
          <w:lang w:val="en-GB"/>
        </w:rPr>
        <w:t xml:space="preserve"> those with a</w:t>
      </w:r>
      <w:r w:rsidR="00381636" w:rsidRPr="004545BE">
        <w:rPr>
          <w:rFonts w:ascii="Times New Roman" w:hAnsi="Times New Roman" w:cs="Times New Roman"/>
          <w:sz w:val="24"/>
          <w:szCs w:val="24"/>
          <w:lang w:val="en-GB"/>
        </w:rPr>
        <w:t xml:space="preserve"> raw</w:t>
      </w:r>
      <w:r w:rsidR="00C0524B" w:rsidRPr="004545BE">
        <w:rPr>
          <w:rFonts w:ascii="Times New Roman" w:hAnsi="Times New Roman" w:cs="Times New Roman"/>
          <w:sz w:val="24"/>
          <w:szCs w:val="24"/>
          <w:lang w:val="en-GB"/>
        </w:rPr>
        <w:t xml:space="preserve"> statistical significant association and a H</w:t>
      </w:r>
      <w:r w:rsidR="0033737C" w:rsidRPr="004545BE">
        <w:rPr>
          <w:rFonts w:ascii="Times New Roman" w:hAnsi="Times New Roman" w:cs="Times New Roman"/>
          <w:sz w:val="24"/>
          <w:szCs w:val="24"/>
          <w:lang w:val="en-GB"/>
        </w:rPr>
        <w:t xml:space="preserve">azard </w:t>
      </w:r>
      <w:r w:rsidR="00C0524B" w:rsidRPr="004545BE">
        <w:rPr>
          <w:rFonts w:ascii="Times New Roman" w:hAnsi="Times New Roman" w:cs="Times New Roman"/>
          <w:sz w:val="24"/>
          <w:szCs w:val="24"/>
          <w:lang w:val="en-GB"/>
        </w:rPr>
        <w:t>R</w:t>
      </w:r>
      <w:r w:rsidR="0033737C" w:rsidRPr="004545BE">
        <w:rPr>
          <w:rFonts w:ascii="Times New Roman" w:hAnsi="Times New Roman" w:cs="Times New Roman"/>
          <w:sz w:val="24"/>
          <w:szCs w:val="24"/>
          <w:lang w:val="en-GB"/>
        </w:rPr>
        <w:t>atio (HR)</w:t>
      </w:r>
      <w:r w:rsidR="00763DE7">
        <w:rPr>
          <w:rFonts w:ascii="Times New Roman" w:hAnsi="Times New Roman" w:cs="Times New Roman"/>
          <w:sz w:val="24"/>
          <w:szCs w:val="24"/>
          <w:lang w:val="en-GB"/>
        </w:rPr>
        <w:t xml:space="preserve"> above 1.1 or below 0.9 </w:t>
      </w:r>
      <w:r w:rsidR="00763DE7" w:rsidRPr="00D26D64">
        <w:rPr>
          <w:rFonts w:ascii="Times New Roman" w:hAnsi="Times New Roman" w:cs="Times New Roman"/>
          <w:sz w:val="24"/>
          <w:szCs w:val="24"/>
          <w:lang w:val="en-GB"/>
        </w:rPr>
        <w:t>(</w:t>
      </w:r>
      <w:r w:rsidR="00D26D64">
        <w:rPr>
          <w:rFonts w:ascii="Times New Roman" w:hAnsi="Times New Roman" w:cs="Times New Roman"/>
          <w:sz w:val="24"/>
          <w:szCs w:val="24"/>
          <w:lang w:val="en-GB"/>
        </w:rPr>
        <w:t xml:space="preserve">see </w:t>
      </w:r>
      <w:r w:rsidR="00763DE7" w:rsidRPr="00D26D64">
        <w:rPr>
          <w:rFonts w:ascii="Times New Roman" w:hAnsi="Times New Roman" w:cs="Times New Roman"/>
          <w:sz w:val="24"/>
          <w:szCs w:val="24"/>
          <w:lang w:val="en-GB"/>
        </w:rPr>
        <w:t>directed acyclic graphs for hip fracture and death at appendix 1).</w:t>
      </w:r>
    </w:p>
    <w:p w:rsidR="00460416" w:rsidRPr="004545BE" w:rsidRDefault="00460416" w:rsidP="009123BE">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Baseline characteristics of T2DM and non-T2DM patients were described using mean and standard deviation for continuous variables and frequencies for categorical variables. We used Cox regression</w:t>
      </w:r>
      <w:r w:rsidR="00EF4443" w:rsidRPr="004545BE">
        <w:rPr>
          <w:rFonts w:ascii="Times New Roman" w:hAnsi="Times New Roman" w:cs="Times New Roman"/>
          <w:sz w:val="24"/>
          <w:szCs w:val="24"/>
          <w:lang w:val="en-GB"/>
        </w:rPr>
        <w:fldChar w:fldCharType="begin" w:fldLock="1"/>
      </w:r>
      <w:r w:rsidR="00E018FB" w:rsidRPr="004545BE">
        <w:rPr>
          <w:rFonts w:ascii="Times New Roman" w:hAnsi="Times New Roman" w:cs="Times New Roman"/>
          <w:sz w:val="24"/>
          <w:szCs w:val="24"/>
          <w:lang w:val="en-GB"/>
        </w:rPr>
        <w:instrText>ADDIN CSL_CITATION { "citationItems" : [ { "id" : "ITEM-1", "itemData" : { "ISBN" : "9781441966452", "abstract" : "3rd ed. This book is available on the World Wide Web. Access is restricted to computers located within Mount Sinai or to those users eligible for remote access services.", "author" : [ { "dropping-particle" : "", "family" : "Kleinbaum", "given" : "David G.", "non-dropping-particle" : "", "parse-names" : false, "suffix" : "" }, { "dropping-particle" : "", "family" : "Klein", "given" : "Mitchel.", "non-dropping-particle" : "", "parse-names" : false, "suffix" : "" } ], "id" : "ITEM-1", "issued" : { "date-parts" : [ [ "2012" ] ] }, "number-of-pages" : "700", "publisher" : "Springer", "title" : "Survival analysis : a self-learning text", "type" : "book" }, "uris" : [ "http://www.mendeley.com/documents/?uuid=f652accc-7934-3895-9d2f-f56c4fad5cba" ] } ], "mendeley" : { "formattedCitation" : "&lt;sup&gt;24&lt;/sup&gt;", "plainTextFormattedCitation" : "24", "previouslyFormattedCitation" : "&lt;sup&gt;24&lt;/sup&gt;"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E018FB" w:rsidRPr="004545BE">
        <w:rPr>
          <w:rFonts w:ascii="Times New Roman" w:hAnsi="Times New Roman" w:cs="Times New Roman"/>
          <w:noProof/>
          <w:sz w:val="24"/>
          <w:szCs w:val="24"/>
          <w:vertAlign w:val="superscript"/>
          <w:lang w:val="en-GB"/>
        </w:rPr>
        <w:t>24</w:t>
      </w:r>
      <w:r w:rsidR="00EF4443" w:rsidRPr="004545BE">
        <w:rPr>
          <w:rFonts w:ascii="Times New Roman" w:hAnsi="Times New Roman" w:cs="Times New Roman"/>
          <w:sz w:val="24"/>
          <w:szCs w:val="24"/>
          <w:lang w:val="en-GB"/>
        </w:rPr>
        <w:fldChar w:fldCharType="end"/>
      </w:r>
      <w:r w:rsidRPr="004545BE">
        <w:rPr>
          <w:rFonts w:ascii="Times New Roman" w:hAnsi="Times New Roman" w:cs="Times New Roman"/>
          <w:sz w:val="24"/>
          <w:szCs w:val="24"/>
          <w:lang w:val="en-GB"/>
        </w:rPr>
        <w:t xml:space="preserve"> model</w:t>
      </w:r>
      <w:r w:rsidR="00E01B76" w:rsidRPr="004545BE">
        <w:rPr>
          <w:rFonts w:ascii="Times New Roman" w:hAnsi="Times New Roman" w:cs="Times New Roman"/>
          <w:sz w:val="24"/>
          <w:szCs w:val="24"/>
          <w:lang w:val="en-GB"/>
        </w:rPr>
        <w:t>s</w:t>
      </w:r>
      <w:r w:rsidRPr="004545BE">
        <w:rPr>
          <w:rFonts w:ascii="Times New Roman" w:hAnsi="Times New Roman" w:cs="Times New Roman"/>
          <w:sz w:val="24"/>
          <w:szCs w:val="24"/>
          <w:lang w:val="en-GB"/>
        </w:rPr>
        <w:t xml:space="preserve"> </w:t>
      </w:r>
      <w:r w:rsidR="00520A9B" w:rsidRPr="004545BE">
        <w:rPr>
          <w:rFonts w:ascii="Times New Roman" w:hAnsi="Times New Roman" w:cs="Times New Roman"/>
          <w:sz w:val="24"/>
          <w:szCs w:val="24"/>
          <w:lang w:val="en-GB"/>
        </w:rPr>
        <w:t xml:space="preserve">stratified by match sets </w:t>
      </w:r>
      <w:r w:rsidR="000A6B22" w:rsidRPr="004545BE">
        <w:rPr>
          <w:rFonts w:ascii="Times New Roman" w:hAnsi="Times New Roman" w:cs="Times New Roman"/>
          <w:sz w:val="24"/>
          <w:szCs w:val="24"/>
          <w:lang w:val="en-GB"/>
        </w:rPr>
        <w:t xml:space="preserve">to estimate cause-specific hazards </w:t>
      </w:r>
      <w:r w:rsidR="005D4845" w:rsidRPr="004545BE">
        <w:rPr>
          <w:rFonts w:ascii="Times New Roman" w:hAnsi="Times New Roman" w:cs="Times New Roman"/>
          <w:sz w:val="24"/>
          <w:szCs w:val="24"/>
          <w:lang w:val="en-GB"/>
        </w:rPr>
        <w:t>(Hazard Ratio –HR</w:t>
      </w:r>
      <w:r w:rsidR="00381636" w:rsidRPr="004545BE">
        <w:rPr>
          <w:rFonts w:ascii="Times New Roman" w:hAnsi="Times New Roman" w:cs="Times New Roman"/>
          <w:sz w:val="24"/>
          <w:szCs w:val="24"/>
          <w:lang w:val="en-GB"/>
        </w:rPr>
        <w:t>–</w:t>
      </w:r>
      <w:r w:rsidR="005D4845" w:rsidRPr="004545BE">
        <w:rPr>
          <w:rFonts w:ascii="Times New Roman" w:hAnsi="Times New Roman" w:cs="Times New Roman"/>
          <w:sz w:val="24"/>
          <w:szCs w:val="24"/>
          <w:lang w:val="en-GB"/>
        </w:rPr>
        <w:t xml:space="preserve"> and 95% Confidence Intervals </w:t>
      </w:r>
      <w:r w:rsidR="00381636" w:rsidRPr="004545BE">
        <w:rPr>
          <w:rFonts w:ascii="Times New Roman" w:hAnsi="Times New Roman" w:cs="Times New Roman"/>
          <w:sz w:val="24"/>
          <w:szCs w:val="24"/>
          <w:lang w:val="en-GB"/>
        </w:rPr>
        <w:t>–</w:t>
      </w:r>
      <w:r w:rsidR="005D4845" w:rsidRPr="004545BE">
        <w:rPr>
          <w:rFonts w:ascii="Times New Roman" w:hAnsi="Times New Roman" w:cs="Times New Roman"/>
          <w:sz w:val="24"/>
          <w:szCs w:val="24"/>
          <w:lang w:val="en-GB"/>
        </w:rPr>
        <w:t>95</w:t>
      </w:r>
      <w:r w:rsidR="00381636" w:rsidRPr="004545BE">
        <w:rPr>
          <w:rFonts w:ascii="Times New Roman" w:hAnsi="Times New Roman" w:cs="Times New Roman"/>
          <w:sz w:val="24"/>
          <w:szCs w:val="24"/>
          <w:lang w:val="en-GB"/>
        </w:rPr>
        <w:t>%</w:t>
      </w:r>
      <w:r w:rsidR="005D4845" w:rsidRPr="004545BE">
        <w:rPr>
          <w:rFonts w:ascii="Times New Roman" w:hAnsi="Times New Roman" w:cs="Times New Roman"/>
          <w:sz w:val="24"/>
          <w:szCs w:val="24"/>
          <w:lang w:val="en-GB"/>
        </w:rPr>
        <w:t>CI</w:t>
      </w:r>
      <w:r w:rsidR="00381636" w:rsidRPr="004545BE">
        <w:rPr>
          <w:rFonts w:ascii="Times New Roman" w:hAnsi="Times New Roman" w:cs="Times New Roman"/>
          <w:sz w:val="24"/>
          <w:szCs w:val="24"/>
          <w:lang w:val="en-GB"/>
        </w:rPr>
        <w:t>–</w:t>
      </w:r>
      <w:r w:rsidR="005D4845"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 xml:space="preserve">in T2DM </w:t>
      </w:r>
      <w:r w:rsidR="00381636" w:rsidRPr="004545BE">
        <w:rPr>
          <w:rFonts w:ascii="Times New Roman" w:hAnsi="Times New Roman" w:cs="Times New Roman"/>
          <w:sz w:val="24"/>
          <w:szCs w:val="24"/>
          <w:lang w:val="en-GB"/>
        </w:rPr>
        <w:t xml:space="preserve">compared to </w:t>
      </w:r>
      <w:r w:rsidRPr="004545BE">
        <w:rPr>
          <w:rFonts w:ascii="Times New Roman" w:hAnsi="Times New Roman" w:cs="Times New Roman"/>
          <w:sz w:val="24"/>
          <w:szCs w:val="24"/>
          <w:lang w:val="en-GB"/>
        </w:rPr>
        <w:t xml:space="preserve">non-T2DM patients. </w:t>
      </w:r>
      <w:r w:rsidR="000A6B22" w:rsidRPr="004545BE">
        <w:rPr>
          <w:rFonts w:ascii="Times New Roman" w:hAnsi="Times New Roman" w:cs="Times New Roman"/>
          <w:sz w:val="24"/>
          <w:szCs w:val="24"/>
          <w:lang w:val="en-GB"/>
        </w:rPr>
        <w:lastRenderedPageBreak/>
        <w:t xml:space="preserve">Two cause-specific hazards were studied: hip fracture and death. </w:t>
      </w:r>
      <w:r w:rsidR="00E01B76" w:rsidRPr="004545BE">
        <w:rPr>
          <w:rFonts w:ascii="Times New Roman" w:hAnsi="Times New Roman" w:cs="Times New Roman"/>
          <w:sz w:val="24"/>
          <w:szCs w:val="24"/>
          <w:lang w:val="en-GB"/>
        </w:rPr>
        <w:t xml:space="preserve">Similarly, </w:t>
      </w:r>
      <w:r w:rsidR="008E51FD" w:rsidRPr="004545BE">
        <w:rPr>
          <w:rFonts w:ascii="Times New Roman" w:hAnsi="Times New Roman" w:cs="Times New Roman"/>
          <w:sz w:val="24"/>
          <w:szCs w:val="24"/>
          <w:lang w:val="en-GB"/>
        </w:rPr>
        <w:t xml:space="preserve">Cox regression </w:t>
      </w:r>
      <w:r w:rsidR="00C80089" w:rsidRPr="004545BE">
        <w:rPr>
          <w:rFonts w:ascii="Times New Roman" w:hAnsi="Times New Roman" w:cs="Times New Roman"/>
          <w:sz w:val="24"/>
          <w:szCs w:val="24"/>
          <w:lang w:val="en-GB"/>
        </w:rPr>
        <w:t>model</w:t>
      </w:r>
      <w:r w:rsidR="005D4845" w:rsidRPr="004545BE">
        <w:rPr>
          <w:rFonts w:ascii="Times New Roman" w:hAnsi="Times New Roman" w:cs="Times New Roman"/>
          <w:sz w:val="24"/>
          <w:szCs w:val="24"/>
          <w:lang w:val="en-GB"/>
        </w:rPr>
        <w:t>s were then used</w:t>
      </w:r>
      <w:r w:rsidR="00C80089" w:rsidRPr="004545BE">
        <w:rPr>
          <w:rFonts w:ascii="Times New Roman" w:hAnsi="Times New Roman" w:cs="Times New Roman"/>
          <w:sz w:val="24"/>
          <w:szCs w:val="24"/>
          <w:lang w:val="en-GB"/>
        </w:rPr>
        <w:t xml:space="preserve"> to estimate </w:t>
      </w:r>
      <w:r w:rsidR="005D4845" w:rsidRPr="004545BE">
        <w:rPr>
          <w:rFonts w:ascii="Times New Roman" w:hAnsi="Times New Roman" w:cs="Times New Roman"/>
          <w:sz w:val="24"/>
          <w:szCs w:val="24"/>
          <w:lang w:val="en-GB"/>
        </w:rPr>
        <w:t>(</w:t>
      </w:r>
      <w:r w:rsidR="00F90A68" w:rsidRPr="004545BE">
        <w:rPr>
          <w:rFonts w:ascii="Times New Roman" w:hAnsi="Times New Roman" w:cs="Times New Roman"/>
          <w:sz w:val="24"/>
          <w:szCs w:val="24"/>
          <w:lang w:val="en-GB"/>
        </w:rPr>
        <w:t>matched</w:t>
      </w:r>
      <w:r w:rsidR="005D4845" w:rsidRPr="004545BE">
        <w:rPr>
          <w:rFonts w:ascii="Times New Roman" w:hAnsi="Times New Roman" w:cs="Times New Roman"/>
          <w:sz w:val="24"/>
          <w:szCs w:val="24"/>
          <w:lang w:val="en-GB"/>
        </w:rPr>
        <w:t>)</w:t>
      </w:r>
      <w:r w:rsidR="00F90A68" w:rsidRPr="004545BE">
        <w:rPr>
          <w:rFonts w:ascii="Times New Roman" w:hAnsi="Times New Roman" w:cs="Times New Roman"/>
          <w:sz w:val="24"/>
          <w:szCs w:val="24"/>
          <w:lang w:val="en-GB"/>
        </w:rPr>
        <w:t xml:space="preserve"> </w:t>
      </w:r>
      <w:r w:rsidR="005D4845" w:rsidRPr="004545BE">
        <w:rPr>
          <w:rFonts w:ascii="Times New Roman" w:hAnsi="Times New Roman" w:cs="Times New Roman"/>
          <w:sz w:val="24"/>
          <w:szCs w:val="24"/>
          <w:lang w:val="en-GB"/>
        </w:rPr>
        <w:t>multivariable</w:t>
      </w:r>
      <w:r w:rsidR="000A677A" w:rsidRPr="004545BE">
        <w:rPr>
          <w:rFonts w:ascii="Times New Roman" w:hAnsi="Times New Roman" w:cs="Times New Roman"/>
          <w:sz w:val="24"/>
          <w:szCs w:val="24"/>
          <w:lang w:val="en-GB"/>
        </w:rPr>
        <w:t xml:space="preserve"> adjusted </w:t>
      </w:r>
      <w:r w:rsidR="000A6B22" w:rsidRPr="004545BE">
        <w:rPr>
          <w:rFonts w:ascii="Times New Roman" w:hAnsi="Times New Roman" w:cs="Times New Roman"/>
          <w:sz w:val="24"/>
          <w:szCs w:val="24"/>
          <w:lang w:val="en-GB"/>
        </w:rPr>
        <w:t xml:space="preserve">cause-specific hazards </w:t>
      </w:r>
      <w:r w:rsidR="005D4845" w:rsidRPr="004545BE">
        <w:rPr>
          <w:rFonts w:ascii="Times New Roman" w:hAnsi="Times New Roman" w:cs="Times New Roman"/>
          <w:sz w:val="24"/>
          <w:szCs w:val="24"/>
          <w:lang w:val="en-GB"/>
        </w:rPr>
        <w:t>according to T2DM status</w:t>
      </w:r>
      <w:r w:rsidRPr="004545BE">
        <w:rPr>
          <w:rFonts w:ascii="Times New Roman" w:hAnsi="Times New Roman" w:cs="Times New Roman"/>
          <w:sz w:val="24"/>
          <w:szCs w:val="24"/>
          <w:lang w:val="en-GB"/>
        </w:rPr>
        <w:t xml:space="preserve">. </w:t>
      </w:r>
      <w:r w:rsidR="005D4845" w:rsidRPr="004545BE">
        <w:rPr>
          <w:rFonts w:ascii="Times New Roman" w:hAnsi="Times New Roman" w:cs="Times New Roman"/>
          <w:sz w:val="24"/>
          <w:szCs w:val="24"/>
          <w:lang w:val="en-GB"/>
        </w:rPr>
        <w:t>Finally,</w:t>
      </w:r>
      <w:r w:rsidRPr="004545BE">
        <w:rPr>
          <w:rFonts w:ascii="Times New Roman" w:hAnsi="Times New Roman" w:cs="Times New Roman"/>
          <w:sz w:val="24"/>
          <w:szCs w:val="24"/>
          <w:lang w:val="en-GB"/>
        </w:rPr>
        <w:t xml:space="preserve"> </w:t>
      </w:r>
      <w:r w:rsidR="00EF2F11" w:rsidRPr="004545BE">
        <w:rPr>
          <w:rFonts w:ascii="Times New Roman" w:hAnsi="Times New Roman" w:cs="Times New Roman"/>
          <w:sz w:val="24"/>
          <w:szCs w:val="24"/>
          <w:lang w:val="en-GB"/>
        </w:rPr>
        <w:t xml:space="preserve">Fine and Gray </w:t>
      </w:r>
      <w:r w:rsidR="005D4845" w:rsidRPr="004545BE">
        <w:rPr>
          <w:rFonts w:ascii="Times New Roman" w:hAnsi="Times New Roman" w:cs="Times New Roman"/>
          <w:sz w:val="24"/>
          <w:szCs w:val="24"/>
          <w:lang w:val="en-GB"/>
        </w:rPr>
        <w:t>modelling</w:t>
      </w:r>
      <w:r w:rsidR="00EF4443" w:rsidRPr="004545BE">
        <w:rPr>
          <w:rFonts w:ascii="Times New Roman" w:hAnsi="Times New Roman" w:cs="Times New Roman"/>
          <w:sz w:val="24"/>
          <w:szCs w:val="24"/>
          <w:lang w:val="en-GB"/>
        </w:rPr>
        <w:fldChar w:fldCharType="begin" w:fldLock="1"/>
      </w:r>
      <w:r w:rsidR="00E018FB" w:rsidRPr="004545BE">
        <w:rPr>
          <w:rFonts w:ascii="Times New Roman" w:hAnsi="Times New Roman" w:cs="Times New Roman"/>
          <w:sz w:val="24"/>
          <w:szCs w:val="24"/>
          <w:lang w:val="en-GB"/>
        </w:rPr>
        <w:instrText>ADDIN CSL_CITATION { "citationItems" : [ { "id" : "ITEM-1", "itemData" : { "DOI" : "10.1080/01621459.1999.10474144", "ISBN" : "01621459", "ISSN" : "0162-1459", "PMID" : "2670170", "abstract" : "... In this article we propose a novel semiparametric proportional hazards model for the ... likelihood principle and weighting techniques, we derive esti- mation and inference procedures for ... is not possible, and issues of model se- \u00a9 1999 American Statistical Association Journal of ... \\n", "author" : [ { "dropping-particle" : "", "family" : "Fine", "given" : "Jason P", "non-dropping-particle" : "", "parse-names" : false, "suffix" : "" }, { "dropping-particle" : "", "family" : "Gray", "given" : "Robert J", "non-dropping-particle" : "", "parse-names" : false, "suffix" : "" } ], "container-title" : "Journal of the American Statistical Association", "id" : "ITEM-1", "issued" : { "date-parts" : [ [ "1999" ] ] }, "page" : "496-509", "title" : "A proportional hazards model for the subdistribution of a competing risk", "type" : "article-journal", "volume" : "94" }, "uris" : [ "http://www.mendeley.com/documents/?uuid=6573ce2a-605b-45b2-b998-b41ff8cbd102" ] } ], "mendeley" : { "formattedCitation" : "&lt;sup&gt;25&lt;/sup&gt;", "plainTextFormattedCitation" : "25", "previouslyFormattedCitation" : "&lt;sup&gt;25&lt;/sup&gt;"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E018FB" w:rsidRPr="004545BE">
        <w:rPr>
          <w:rFonts w:ascii="Times New Roman" w:hAnsi="Times New Roman" w:cs="Times New Roman"/>
          <w:noProof/>
          <w:sz w:val="24"/>
          <w:szCs w:val="24"/>
          <w:vertAlign w:val="superscript"/>
          <w:lang w:val="en-GB"/>
        </w:rPr>
        <w:t>25</w:t>
      </w:r>
      <w:r w:rsidR="00EF4443" w:rsidRPr="004545BE">
        <w:rPr>
          <w:rFonts w:ascii="Times New Roman" w:hAnsi="Times New Roman" w:cs="Times New Roman"/>
          <w:sz w:val="24"/>
          <w:szCs w:val="24"/>
          <w:lang w:val="en-GB"/>
        </w:rPr>
        <w:fldChar w:fldCharType="end"/>
      </w:r>
      <w:r w:rsidR="005D4845" w:rsidRPr="004545BE">
        <w:rPr>
          <w:rFonts w:ascii="Times New Roman" w:hAnsi="Times New Roman" w:cs="Times New Roman"/>
          <w:sz w:val="24"/>
          <w:szCs w:val="24"/>
          <w:lang w:val="en-GB"/>
        </w:rPr>
        <w:t xml:space="preserve"> </w:t>
      </w:r>
      <w:r w:rsidR="00381636" w:rsidRPr="004545BE">
        <w:rPr>
          <w:rFonts w:ascii="Times New Roman" w:hAnsi="Times New Roman" w:cs="Times New Roman"/>
          <w:sz w:val="24"/>
          <w:szCs w:val="24"/>
          <w:lang w:val="en-GB"/>
        </w:rPr>
        <w:t>was used to estimate risk prediction whilst illustrating the effect of competing risk with death. Cause-specific HR are reported from the Cox model; as are Subhazard ratio (SHR) and cumulative incidence function (CIF) from the Fine and Gray regressions</w:t>
      </w:r>
      <w:r w:rsidR="00EF4443" w:rsidRPr="004545BE">
        <w:rPr>
          <w:rFonts w:ascii="Times New Roman" w:hAnsi="Times New Roman" w:cs="Times New Roman"/>
          <w:sz w:val="24"/>
          <w:szCs w:val="24"/>
          <w:lang w:val="en-GB"/>
        </w:rPr>
        <w:fldChar w:fldCharType="begin" w:fldLock="1"/>
      </w:r>
      <w:r w:rsidR="00E018FB" w:rsidRPr="004545BE">
        <w:rPr>
          <w:rFonts w:ascii="Times New Roman" w:hAnsi="Times New Roman" w:cs="Times New Roman"/>
          <w:sz w:val="24"/>
          <w:szCs w:val="24"/>
          <w:lang w:val="en-GB"/>
        </w:rPr>
        <w:instrText>ADDIN CSL_CITATION { "citationItems" : [ { "id" : "ITEM-1", "itemData" : { "DOI" : "10.1161/CIRCULATIONAHA.115.017719", "ISSN" : "1524-4539", "PMID" : "26858290", "abstract" : "Competing risks occur frequently in the analysis of survival data. A competing risk is an event whose occurrence precludes the occurrence of the primary event of interest. In a study examining time to death attributable to cardiovascular causes, death attributable to noncardiovascular causes is a competing risk. When estimating the crude incidence of outcomes, analysts should use the cumulative incidence function, rather than the complement of the Kaplan-Meier survival function. The use of the Kaplan-Meier survival function results in estimates of incidence that are biased upward, regardless of whether the competing events are independent of one another. When fitting regression models in the presence of competing risks, researchers can choose from 2 different families of models: modeling the effect of covariates on the cause-specific hazard of the outcome or modeling the effect of covariates on the cumulative incidence function. The former allows one to estimate the effect of the covariates on the rate of occurrence of the outcome in those subjects who are currently event free. The latter allows one to estimate the effect of covariates on the absolute risk of the outcome over time. The former family of models may be better suited for addressing etiologic questions, whereas the latter model may be better suited for estimating a patient's clinical prognosis. We illustrate the application of these methods by examining cause-specific mortality in patients hospitalized with heart failure. Statistical software code in both R and SAS is provided.", "author" : [ { "dropping-particle" : "", "family" : "Austin", "given" : "Peter C", "non-dropping-particle" : "", "parse-names" : false, "suffix" : "" }, { "dropping-particle" : "", "family" : "Lee", "given" : "Douglas S", "non-dropping-particle" : "", "parse-names" : false, "suffix" : "" }, { "dropping-particle" : "", "family" : "Fine", "given" : "Jason P", "non-dropping-particle" : "", "parse-names" : false, "suffix" : "" } ], "container-title" : "Circulation", "id" : "ITEM-1", "issue" : "6", "issued" : { "date-parts" : [ [ "2016", "2", "9" ] ] }, "page" : "601-9", "publisher" : "American Heart Association, Inc.", "title" : "Introduction to the Analysis of Survival Data in the Presence of Competing Risks.", "type" : "article-journal", "volume" : "133" }, "uris" : [ "http://www.mendeley.com/documents/?uuid=66b521bf-9aa2-3429-8782-fb4141fb9a34" ] } ], "mendeley" : { "formattedCitation" : "&lt;sup&gt;26&lt;/sup&gt;", "plainTextFormattedCitation" : "26", "previouslyFormattedCitation" : "&lt;sup&gt;26&lt;/sup&gt;"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E018FB" w:rsidRPr="004545BE">
        <w:rPr>
          <w:rFonts w:ascii="Times New Roman" w:hAnsi="Times New Roman" w:cs="Times New Roman"/>
          <w:noProof/>
          <w:sz w:val="24"/>
          <w:szCs w:val="24"/>
          <w:vertAlign w:val="superscript"/>
          <w:lang w:val="en-GB"/>
        </w:rPr>
        <w:t>26</w:t>
      </w:r>
      <w:r w:rsidR="00EF4443" w:rsidRPr="004545BE">
        <w:rPr>
          <w:rFonts w:ascii="Times New Roman" w:hAnsi="Times New Roman" w:cs="Times New Roman"/>
          <w:sz w:val="24"/>
          <w:szCs w:val="24"/>
          <w:lang w:val="en-GB"/>
        </w:rPr>
        <w:fldChar w:fldCharType="end"/>
      </w:r>
      <w:r w:rsidR="000A677A" w:rsidRPr="004545BE">
        <w:rPr>
          <w:rFonts w:ascii="Times New Roman" w:hAnsi="Times New Roman" w:cs="Times New Roman"/>
          <w:sz w:val="24"/>
          <w:szCs w:val="24"/>
          <w:lang w:val="en-GB"/>
        </w:rPr>
        <w:t>.</w:t>
      </w:r>
      <w:r w:rsidR="00041A58" w:rsidRPr="004545BE">
        <w:rPr>
          <w:rFonts w:ascii="Times New Roman" w:hAnsi="Times New Roman" w:cs="Times New Roman"/>
          <w:sz w:val="24"/>
          <w:szCs w:val="24"/>
          <w:lang w:val="en-GB"/>
        </w:rPr>
        <w:t xml:space="preserve"> </w:t>
      </w:r>
      <w:r w:rsidR="000A6B22" w:rsidRPr="004545BE">
        <w:rPr>
          <w:rFonts w:ascii="Times New Roman" w:hAnsi="Times New Roman" w:cs="Times New Roman"/>
          <w:sz w:val="24"/>
          <w:szCs w:val="24"/>
          <w:lang w:val="en-GB"/>
        </w:rPr>
        <w:t>W</w:t>
      </w:r>
      <w:r w:rsidR="006C0388" w:rsidRPr="004545BE">
        <w:rPr>
          <w:rFonts w:ascii="Times New Roman" w:hAnsi="Times New Roman" w:cs="Times New Roman"/>
          <w:sz w:val="24"/>
          <w:szCs w:val="24"/>
          <w:lang w:val="en-GB"/>
        </w:rPr>
        <w:t xml:space="preserve">e tested the PH </w:t>
      </w:r>
      <w:r w:rsidR="00C47453" w:rsidRPr="004545BE">
        <w:rPr>
          <w:rFonts w:ascii="Times New Roman" w:hAnsi="Times New Roman" w:cs="Times New Roman"/>
          <w:sz w:val="24"/>
          <w:szCs w:val="24"/>
          <w:lang w:val="en-GB"/>
        </w:rPr>
        <w:t xml:space="preserve">assumption </w:t>
      </w:r>
      <w:r w:rsidR="00646035" w:rsidRPr="004545BE">
        <w:rPr>
          <w:rFonts w:ascii="Times New Roman" w:hAnsi="Times New Roman" w:cs="Times New Roman"/>
          <w:sz w:val="24"/>
          <w:szCs w:val="24"/>
          <w:lang w:val="en-GB"/>
        </w:rPr>
        <w:t>graphically with the log-log plot of survival and analytically with the test of proportional-hazards assumption</w:t>
      </w:r>
      <w:r w:rsidR="000A677A"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All statistical analyses were conducted using STATA v13.</w:t>
      </w:r>
    </w:p>
    <w:p w:rsidR="00F6547F" w:rsidRPr="004545BE" w:rsidRDefault="00F6547F">
      <w:pPr>
        <w:rPr>
          <w:rFonts w:ascii="Times New Roman" w:hAnsi="Times New Roman" w:cs="Times New Roman"/>
          <w:sz w:val="24"/>
          <w:szCs w:val="24"/>
          <w:lang w:val="en-GB"/>
        </w:rPr>
      </w:pPr>
      <w:r w:rsidRPr="004545BE">
        <w:rPr>
          <w:rFonts w:ascii="Times New Roman" w:hAnsi="Times New Roman" w:cs="Times New Roman"/>
          <w:sz w:val="24"/>
          <w:szCs w:val="24"/>
          <w:lang w:val="en-GB"/>
        </w:rPr>
        <w:br w:type="page"/>
      </w:r>
    </w:p>
    <w:p w:rsidR="008E51FD" w:rsidRPr="004545BE" w:rsidRDefault="008E51FD" w:rsidP="009123BE">
      <w:pPr>
        <w:spacing w:line="480" w:lineRule="auto"/>
        <w:jc w:val="both"/>
        <w:rPr>
          <w:rFonts w:ascii="Times New Roman" w:hAnsi="Times New Roman" w:cs="Times New Roman"/>
          <w:b/>
          <w:sz w:val="24"/>
          <w:szCs w:val="24"/>
          <w:lang w:val="en-GB"/>
        </w:rPr>
      </w:pPr>
      <w:r w:rsidRPr="004545BE">
        <w:rPr>
          <w:rFonts w:ascii="Times New Roman" w:hAnsi="Times New Roman" w:cs="Times New Roman"/>
          <w:b/>
          <w:sz w:val="24"/>
          <w:szCs w:val="24"/>
          <w:lang w:val="en-GB"/>
        </w:rPr>
        <w:lastRenderedPageBreak/>
        <w:t>RESULTS</w:t>
      </w:r>
    </w:p>
    <w:p w:rsidR="00265ABF" w:rsidRPr="004545BE" w:rsidRDefault="00890C0D" w:rsidP="009123BE">
      <w:pPr>
        <w:tabs>
          <w:tab w:val="left" w:pos="6945"/>
        </w:tabs>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 xml:space="preserve">In total, </w:t>
      </w:r>
      <w:r w:rsidR="007A7CA9" w:rsidRPr="004545BE">
        <w:rPr>
          <w:rFonts w:ascii="Times New Roman" w:hAnsi="Times New Roman" w:cs="Times New Roman"/>
          <w:sz w:val="24"/>
          <w:szCs w:val="24"/>
          <w:lang w:val="en-GB"/>
        </w:rPr>
        <w:t>5</w:t>
      </w:r>
      <w:r w:rsidR="00265ABF" w:rsidRPr="004545BE">
        <w:rPr>
          <w:rFonts w:ascii="Times New Roman" w:hAnsi="Times New Roman" w:cs="Times New Roman"/>
          <w:sz w:val="24"/>
          <w:szCs w:val="24"/>
          <w:lang w:val="en-GB"/>
        </w:rPr>
        <w:t>5</w:t>
      </w:r>
      <w:r w:rsidR="007A7CA9" w:rsidRPr="004545BE">
        <w:rPr>
          <w:rFonts w:ascii="Times New Roman" w:hAnsi="Times New Roman" w:cs="Times New Roman"/>
          <w:sz w:val="24"/>
          <w:szCs w:val="24"/>
          <w:lang w:val="en-GB"/>
        </w:rPr>
        <w:t>,</w:t>
      </w:r>
      <w:r w:rsidR="00195FC5" w:rsidRPr="004545BE">
        <w:rPr>
          <w:rFonts w:ascii="Times New Roman" w:hAnsi="Times New Roman" w:cs="Times New Roman"/>
          <w:sz w:val="24"/>
          <w:szCs w:val="24"/>
          <w:lang w:val="en-GB"/>
        </w:rPr>
        <w:t xml:space="preserve">891 </w:t>
      </w:r>
      <w:r w:rsidR="007A7CA9" w:rsidRPr="004545BE">
        <w:rPr>
          <w:rFonts w:ascii="Times New Roman" w:hAnsi="Times New Roman" w:cs="Times New Roman"/>
          <w:sz w:val="24"/>
          <w:szCs w:val="24"/>
          <w:lang w:val="en-GB"/>
        </w:rPr>
        <w:t>T2DM patients and 1</w:t>
      </w:r>
      <w:r w:rsidR="00265ABF" w:rsidRPr="004545BE">
        <w:rPr>
          <w:rFonts w:ascii="Times New Roman" w:hAnsi="Times New Roman" w:cs="Times New Roman"/>
          <w:sz w:val="24"/>
          <w:szCs w:val="24"/>
          <w:lang w:val="en-GB"/>
        </w:rPr>
        <w:t>03</w:t>
      </w:r>
      <w:r w:rsidR="007A7CA9" w:rsidRPr="004545BE">
        <w:rPr>
          <w:rFonts w:ascii="Times New Roman" w:hAnsi="Times New Roman" w:cs="Times New Roman"/>
          <w:sz w:val="24"/>
          <w:szCs w:val="24"/>
          <w:lang w:val="en-GB"/>
        </w:rPr>
        <w:t>,</w:t>
      </w:r>
      <w:r w:rsidR="00195FC5" w:rsidRPr="004545BE">
        <w:rPr>
          <w:rFonts w:ascii="Times New Roman" w:hAnsi="Times New Roman" w:cs="Times New Roman"/>
          <w:sz w:val="24"/>
          <w:szCs w:val="24"/>
          <w:lang w:val="en-GB"/>
        </w:rPr>
        <w:t xml:space="preserve">093 </w:t>
      </w:r>
      <w:r w:rsidR="005D4845" w:rsidRPr="004545BE">
        <w:rPr>
          <w:rFonts w:ascii="Times New Roman" w:hAnsi="Times New Roman" w:cs="Times New Roman"/>
          <w:sz w:val="24"/>
          <w:szCs w:val="24"/>
          <w:lang w:val="en-GB"/>
        </w:rPr>
        <w:t xml:space="preserve">matched non-T2DM </w:t>
      </w:r>
      <w:r w:rsidR="00CD4C3F" w:rsidRPr="004545BE">
        <w:rPr>
          <w:rFonts w:ascii="Times New Roman" w:hAnsi="Times New Roman" w:cs="Times New Roman"/>
          <w:sz w:val="24"/>
          <w:szCs w:val="24"/>
          <w:lang w:val="en-GB"/>
        </w:rPr>
        <w:t xml:space="preserve">met inclusion criteria </w:t>
      </w:r>
      <w:r w:rsidR="00DC4E43" w:rsidRPr="004545BE">
        <w:rPr>
          <w:rFonts w:ascii="Times New Roman" w:hAnsi="Times New Roman" w:cs="Times New Roman"/>
          <w:sz w:val="24"/>
          <w:szCs w:val="24"/>
          <w:lang w:val="en-GB"/>
        </w:rPr>
        <w:t>(</w:t>
      </w:r>
      <w:r w:rsidR="005D4845" w:rsidRPr="004545BE">
        <w:rPr>
          <w:rFonts w:ascii="Times New Roman" w:hAnsi="Times New Roman" w:cs="Times New Roman"/>
          <w:sz w:val="24"/>
          <w:szCs w:val="24"/>
          <w:lang w:val="en-GB"/>
        </w:rPr>
        <w:t>Figure 1</w:t>
      </w:r>
      <w:r w:rsidR="00DC4E43" w:rsidRPr="004545BE">
        <w:rPr>
          <w:rFonts w:ascii="Times New Roman" w:hAnsi="Times New Roman" w:cs="Times New Roman"/>
          <w:sz w:val="24"/>
          <w:szCs w:val="24"/>
          <w:lang w:val="en-GB"/>
        </w:rPr>
        <w:t>)</w:t>
      </w:r>
      <w:r w:rsidR="00E43E45" w:rsidRPr="004545BE">
        <w:rPr>
          <w:rFonts w:ascii="Times New Roman" w:hAnsi="Times New Roman" w:cs="Times New Roman"/>
          <w:sz w:val="24"/>
          <w:szCs w:val="24"/>
          <w:lang w:val="en-GB"/>
        </w:rPr>
        <w:t xml:space="preserve">. T2DM patients were </w:t>
      </w:r>
      <w:r w:rsidR="007A7CA9" w:rsidRPr="004545BE">
        <w:rPr>
          <w:rFonts w:ascii="Times New Roman" w:hAnsi="Times New Roman" w:cs="Times New Roman"/>
          <w:sz w:val="24"/>
          <w:szCs w:val="24"/>
          <w:lang w:val="en-GB"/>
        </w:rPr>
        <w:t>observed for a median</w:t>
      </w:r>
      <w:r w:rsidR="00265ABF" w:rsidRPr="004545BE">
        <w:rPr>
          <w:rFonts w:ascii="Times New Roman" w:hAnsi="Times New Roman" w:cs="Times New Roman"/>
          <w:sz w:val="24"/>
          <w:szCs w:val="24"/>
          <w:lang w:val="en-GB"/>
        </w:rPr>
        <w:t xml:space="preserve"> </w:t>
      </w:r>
      <w:r w:rsidR="007A7CA9" w:rsidRPr="004545BE">
        <w:rPr>
          <w:rFonts w:ascii="Times New Roman" w:hAnsi="Times New Roman" w:cs="Times New Roman"/>
          <w:sz w:val="24"/>
          <w:szCs w:val="24"/>
          <w:lang w:val="en-GB"/>
        </w:rPr>
        <w:t xml:space="preserve">of </w:t>
      </w:r>
      <w:r w:rsidR="00E43E45" w:rsidRPr="004545BE">
        <w:rPr>
          <w:rFonts w:ascii="Times New Roman" w:hAnsi="Times New Roman" w:cs="Times New Roman"/>
          <w:sz w:val="24"/>
          <w:szCs w:val="24"/>
          <w:lang w:val="en-GB"/>
        </w:rPr>
        <w:t>6</w:t>
      </w:r>
      <w:r w:rsidR="006B2E75" w:rsidRPr="004545BE">
        <w:rPr>
          <w:rFonts w:ascii="Times New Roman" w:hAnsi="Times New Roman" w:cs="Times New Roman"/>
          <w:sz w:val="24"/>
          <w:szCs w:val="24"/>
          <w:lang w:val="en-GB"/>
        </w:rPr>
        <w:t>.</w:t>
      </w:r>
      <w:r w:rsidR="00E43E45" w:rsidRPr="004545BE">
        <w:rPr>
          <w:rFonts w:ascii="Times New Roman" w:hAnsi="Times New Roman" w:cs="Times New Roman"/>
          <w:sz w:val="24"/>
          <w:szCs w:val="24"/>
          <w:lang w:val="en-GB"/>
        </w:rPr>
        <w:t>4</w:t>
      </w:r>
      <w:r w:rsidR="007A7CA9" w:rsidRPr="004545BE">
        <w:rPr>
          <w:rFonts w:ascii="Times New Roman" w:hAnsi="Times New Roman" w:cs="Times New Roman"/>
          <w:sz w:val="24"/>
          <w:szCs w:val="24"/>
          <w:lang w:val="en-GB"/>
        </w:rPr>
        <w:t xml:space="preserve"> years</w:t>
      </w:r>
      <w:r w:rsidR="00E4494A"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comprising</w:t>
      </w:r>
      <w:r w:rsidR="00E4494A" w:rsidRPr="004545BE">
        <w:rPr>
          <w:rFonts w:ascii="Times New Roman" w:hAnsi="Times New Roman" w:cs="Times New Roman"/>
          <w:sz w:val="24"/>
          <w:szCs w:val="24"/>
          <w:lang w:val="en-GB"/>
        </w:rPr>
        <w:t xml:space="preserve"> </w:t>
      </w:r>
      <w:r w:rsidR="00E43E45" w:rsidRPr="004545BE">
        <w:rPr>
          <w:rFonts w:ascii="Times New Roman" w:hAnsi="Times New Roman" w:cs="Times New Roman"/>
          <w:sz w:val="24"/>
          <w:szCs w:val="24"/>
          <w:lang w:val="en-GB"/>
        </w:rPr>
        <w:t>358</w:t>
      </w:r>
      <w:r w:rsidR="009F26F3" w:rsidRPr="004545BE">
        <w:rPr>
          <w:rFonts w:ascii="Times New Roman" w:hAnsi="Times New Roman" w:cs="Times New Roman"/>
          <w:sz w:val="24"/>
          <w:szCs w:val="24"/>
          <w:lang w:val="en-GB"/>
        </w:rPr>
        <w:t>,</w:t>
      </w:r>
      <w:r w:rsidR="00E43E45" w:rsidRPr="004545BE">
        <w:rPr>
          <w:rFonts w:ascii="Times New Roman" w:hAnsi="Times New Roman" w:cs="Times New Roman"/>
          <w:sz w:val="24"/>
          <w:szCs w:val="24"/>
          <w:lang w:val="en-GB"/>
        </w:rPr>
        <w:t>428</w:t>
      </w:r>
      <w:r w:rsidR="006B2E75" w:rsidRPr="004545BE">
        <w:rPr>
          <w:rFonts w:ascii="Times New Roman" w:hAnsi="Times New Roman" w:cs="Times New Roman"/>
          <w:sz w:val="24"/>
          <w:szCs w:val="24"/>
          <w:lang w:val="en-GB"/>
        </w:rPr>
        <w:t xml:space="preserve"> p</w:t>
      </w:r>
      <w:r w:rsidR="00E4494A" w:rsidRPr="004545BE">
        <w:rPr>
          <w:rFonts w:ascii="Times New Roman" w:hAnsi="Times New Roman" w:cs="Times New Roman"/>
          <w:sz w:val="24"/>
          <w:szCs w:val="24"/>
          <w:lang w:val="en-GB"/>
        </w:rPr>
        <w:t>erson-years</w:t>
      </w:r>
      <w:r w:rsidR="00E43E45" w:rsidRPr="004545BE">
        <w:rPr>
          <w:rFonts w:ascii="Times New Roman" w:hAnsi="Times New Roman" w:cs="Times New Roman"/>
          <w:sz w:val="24"/>
          <w:szCs w:val="24"/>
          <w:lang w:val="en-GB"/>
        </w:rPr>
        <w:t xml:space="preserve"> </w:t>
      </w:r>
      <w:r w:rsidR="0028473B" w:rsidRPr="004545BE">
        <w:rPr>
          <w:rFonts w:ascii="Times New Roman" w:hAnsi="Times New Roman" w:cs="Times New Roman"/>
          <w:sz w:val="24"/>
          <w:szCs w:val="24"/>
          <w:lang w:val="en-GB"/>
        </w:rPr>
        <w:t xml:space="preserve">of observation </w:t>
      </w:r>
      <w:r w:rsidR="00E43E45" w:rsidRPr="004545BE">
        <w:rPr>
          <w:rFonts w:ascii="Times New Roman" w:hAnsi="Times New Roman" w:cs="Times New Roman"/>
          <w:sz w:val="24"/>
          <w:szCs w:val="24"/>
          <w:lang w:val="en-GB"/>
        </w:rPr>
        <w:t>and non-T2DM</w:t>
      </w:r>
      <w:r w:rsidR="00E4494A" w:rsidRPr="004545BE">
        <w:rPr>
          <w:rFonts w:ascii="Times New Roman" w:hAnsi="Times New Roman" w:cs="Times New Roman"/>
          <w:sz w:val="24"/>
          <w:szCs w:val="24"/>
          <w:lang w:val="en-GB"/>
        </w:rPr>
        <w:t xml:space="preserve"> </w:t>
      </w:r>
      <w:r w:rsidR="00E43E45" w:rsidRPr="004545BE">
        <w:rPr>
          <w:rFonts w:ascii="Times New Roman" w:hAnsi="Times New Roman" w:cs="Times New Roman"/>
          <w:sz w:val="24"/>
          <w:szCs w:val="24"/>
          <w:lang w:val="en-GB"/>
        </w:rPr>
        <w:t>patients were observed for a median of 8.0 years making up to a total of 695</w:t>
      </w:r>
      <w:r w:rsidR="009F26F3" w:rsidRPr="004545BE">
        <w:rPr>
          <w:rFonts w:ascii="Times New Roman" w:hAnsi="Times New Roman" w:cs="Times New Roman"/>
          <w:sz w:val="24"/>
          <w:szCs w:val="24"/>
          <w:lang w:val="en-GB"/>
        </w:rPr>
        <w:t>,</w:t>
      </w:r>
      <w:r w:rsidR="00E43E45" w:rsidRPr="004545BE">
        <w:rPr>
          <w:rFonts w:ascii="Times New Roman" w:hAnsi="Times New Roman" w:cs="Times New Roman"/>
          <w:sz w:val="24"/>
          <w:szCs w:val="24"/>
          <w:lang w:val="en-GB"/>
        </w:rPr>
        <w:t>340 person-years</w:t>
      </w:r>
      <w:r w:rsidR="0028473B" w:rsidRPr="004545BE">
        <w:rPr>
          <w:rFonts w:ascii="Times New Roman" w:hAnsi="Times New Roman" w:cs="Times New Roman"/>
          <w:sz w:val="24"/>
          <w:szCs w:val="24"/>
          <w:lang w:val="en-GB"/>
        </w:rPr>
        <w:t xml:space="preserve"> of observation</w:t>
      </w:r>
      <w:r w:rsidR="00E43E45" w:rsidRPr="004545BE">
        <w:rPr>
          <w:rFonts w:ascii="Times New Roman" w:hAnsi="Times New Roman" w:cs="Times New Roman"/>
          <w:sz w:val="24"/>
          <w:szCs w:val="24"/>
          <w:lang w:val="en-GB"/>
        </w:rPr>
        <w:t>.</w:t>
      </w:r>
    </w:p>
    <w:p w:rsidR="006C0388" w:rsidRPr="004545BE" w:rsidRDefault="00265ABF" w:rsidP="009123BE">
      <w:pPr>
        <w:tabs>
          <w:tab w:val="left" w:pos="6945"/>
        </w:tabs>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 xml:space="preserve">Baseline characteristics for </w:t>
      </w:r>
      <w:r w:rsidR="005D4845" w:rsidRPr="004545BE">
        <w:rPr>
          <w:rFonts w:ascii="Times New Roman" w:hAnsi="Times New Roman" w:cs="Times New Roman"/>
          <w:sz w:val="24"/>
          <w:szCs w:val="24"/>
          <w:lang w:val="en-GB"/>
        </w:rPr>
        <w:t xml:space="preserve">study participants stratified by </w:t>
      </w:r>
      <w:r w:rsidRPr="004545BE">
        <w:rPr>
          <w:rFonts w:ascii="Times New Roman" w:hAnsi="Times New Roman" w:cs="Times New Roman"/>
          <w:sz w:val="24"/>
          <w:szCs w:val="24"/>
          <w:lang w:val="en-GB"/>
        </w:rPr>
        <w:t xml:space="preserve">T2DM </w:t>
      </w:r>
      <w:r w:rsidR="005D4845" w:rsidRPr="004545BE">
        <w:rPr>
          <w:rFonts w:ascii="Times New Roman" w:hAnsi="Times New Roman" w:cs="Times New Roman"/>
          <w:sz w:val="24"/>
          <w:szCs w:val="24"/>
          <w:lang w:val="en-GB"/>
        </w:rPr>
        <w:t>status</w:t>
      </w:r>
      <w:r w:rsidRPr="004545BE">
        <w:rPr>
          <w:rFonts w:ascii="Times New Roman" w:hAnsi="Times New Roman" w:cs="Times New Roman"/>
          <w:sz w:val="24"/>
          <w:szCs w:val="24"/>
          <w:lang w:val="en-GB"/>
        </w:rPr>
        <w:t xml:space="preserve"> are </w:t>
      </w:r>
      <w:r w:rsidR="00BD4A62" w:rsidRPr="004545BE">
        <w:rPr>
          <w:rFonts w:ascii="Times New Roman" w:hAnsi="Times New Roman" w:cs="Times New Roman"/>
          <w:sz w:val="24"/>
          <w:szCs w:val="24"/>
          <w:lang w:val="en-GB"/>
        </w:rPr>
        <w:t xml:space="preserve">presented </w:t>
      </w:r>
      <w:r w:rsidRPr="004545BE">
        <w:rPr>
          <w:rFonts w:ascii="Times New Roman" w:hAnsi="Times New Roman" w:cs="Times New Roman"/>
          <w:sz w:val="24"/>
          <w:szCs w:val="24"/>
          <w:lang w:val="en-GB"/>
        </w:rPr>
        <w:t xml:space="preserve">in Table 1. </w:t>
      </w:r>
      <w:r w:rsidR="007A7CA9" w:rsidRPr="004545BE">
        <w:rPr>
          <w:rFonts w:ascii="Times New Roman" w:hAnsi="Times New Roman" w:cs="Times New Roman"/>
          <w:sz w:val="24"/>
          <w:szCs w:val="24"/>
          <w:lang w:val="en-GB"/>
        </w:rPr>
        <w:t xml:space="preserve">T2DM </w:t>
      </w:r>
      <w:r w:rsidRPr="004545BE">
        <w:rPr>
          <w:rFonts w:ascii="Times New Roman" w:hAnsi="Times New Roman" w:cs="Times New Roman"/>
          <w:sz w:val="24"/>
          <w:szCs w:val="24"/>
          <w:lang w:val="en-GB"/>
        </w:rPr>
        <w:t>patients</w:t>
      </w:r>
      <w:r w:rsidR="007A7CA9" w:rsidRPr="004545BE">
        <w:rPr>
          <w:rFonts w:ascii="Times New Roman" w:hAnsi="Times New Roman" w:cs="Times New Roman"/>
          <w:sz w:val="24"/>
          <w:szCs w:val="24"/>
          <w:lang w:val="en-GB"/>
        </w:rPr>
        <w:t xml:space="preserve"> had a higher prevalence of cardiovascular disease, neuropathy, and nephropathy. </w:t>
      </w:r>
      <w:r w:rsidR="00A147D1" w:rsidRPr="004545BE">
        <w:rPr>
          <w:rFonts w:ascii="Times New Roman" w:hAnsi="Times New Roman" w:cs="Times New Roman"/>
          <w:sz w:val="24"/>
          <w:szCs w:val="24"/>
          <w:lang w:val="en-GB"/>
        </w:rPr>
        <w:t xml:space="preserve">No </w:t>
      </w:r>
      <w:r w:rsidR="00BD6EFD" w:rsidRPr="004545BE">
        <w:rPr>
          <w:rFonts w:ascii="Times New Roman" w:hAnsi="Times New Roman" w:cs="Times New Roman"/>
          <w:sz w:val="24"/>
          <w:szCs w:val="24"/>
          <w:lang w:val="en-GB"/>
        </w:rPr>
        <w:t xml:space="preserve">discernible </w:t>
      </w:r>
      <w:r w:rsidR="00A147D1" w:rsidRPr="004545BE">
        <w:rPr>
          <w:rFonts w:ascii="Times New Roman" w:hAnsi="Times New Roman" w:cs="Times New Roman"/>
          <w:sz w:val="24"/>
          <w:szCs w:val="24"/>
          <w:lang w:val="en-GB"/>
        </w:rPr>
        <w:t xml:space="preserve">differences were </w:t>
      </w:r>
      <w:r w:rsidR="00511412" w:rsidRPr="004545BE">
        <w:rPr>
          <w:rFonts w:ascii="Times New Roman" w:hAnsi="Times New Roman" w:cs="Times New Roman"/>
          <w:sz w:val="24"/>
          <w:szCs w:val="24"/>
          <w:lang w:val="en-GB"/>
        </w:rPr>
        <w:t>observed for</w:t>
      </w:r>
      <w:r w:rsidR="00A147D1" w:rsidRPr="004545BE">
        <w:rPr>
          <w:rFonts w:ascii="Times New Roman" w:hAnsi="Times New Roman" w:cs="Times New Roman"/>
          <w:sz w:val="24"/>
          <w:szCs w:val="24"/>
          <w:lang w:val="en-GB"/>
        </w:rPr>
        <w:t xml:space="preserve"> history </w:t>
      </w:r>
      <w:r w:rsidR="009E3771" w:rsidRPr="004545BE">
        <w:rPr>
          <w:rFonts w:ascii="Times New Roman" w:hAnsi="Times New Roman" w:cs="Times New Roman"/>
          <w:sz w:val="24"/>
          <w:szCs w:val="24"/>
          <w:lang w:val="en-GB"/>
        </w:rPr>
        <w:t>of previous</w:t>
      </w:r>
      <w:r w:rsidR="00A147D1" w:rsidRPr="004545BE">
        <w:rPr>
          <w:rFonts w:ascii="Times New Roman" w:hAnsi="Times New Roman" w:cs="Times New Roman"/>
          <w:sz w:val="24"/>
          <w:szCs w:val="24"/>
          <w:lang w:val="en-GB"/>
        </w:rPr>
        <w:t xml:space="preserve"> osteoporotic fracture</w:t>
      </w:r>
      <w:r w:rsidR="005D4845" w:rsidRPr="004545BE">
        <w:rPr>
          <w:rFonts w:ascii="Times New Roman" w:hAnsi="Times New Roman" w:cs="Times New Roman"/>
          <w:sz w:val="24"/>
          <w:szCs w:val="24"/>
          <w:lang w:val="en-GB"/>
        </w:rPr>
        <w:t>,</w:t>
      </w:r>
      <w:r w:rsidR="00A147D1" w:rsidRPr="004545BE">
        <w:rPr>
          <w:rFonts w:ascii="Times New Roman" w:hAnsi="Times New Roman" w:cs="Times New Roman"/>
          <w:sz w:val="24"/>
          <w:szCs w:val="24"/>
          <w:lang w:val="en-GB"/>
        </w:rPr>
        <w:t xml:space="preserve"> but non-T2DM subjects </w:t>
      </w:r>
      <w:r w:rsidR="005D4845" w:rsidRPr="004545BE">
        <w:rPr>
          <w:rFonts w:ascii="Times New Roman" w:hAnsi="Times New Roman" w:cs="Times New Roman"/>
          <w:sz w:val="24"/>
          <w:szCs w:val="24"/>
          <w:lang w:val="en-GB"/>
        </w:rPr>
        <w:t xml:space="preserve">were more often </w:t>
      </w:r>
      <w:r w:rsidR="00A147D1" w:rsidRPr="004545BE">
        <w:rPr>
          <w:rFonts w:ascii="Times New Roman" w:hAnsi="Times New Roman" w:cs="Times New Roman"/>
          <w:sz w:val="24"/>
          <w:szCs w:val="24"/>
          <w:lang w:val="en-GB"/>
        </w:rPr>
        <w:t>use</w:t>
      </w:r>
      <w:r w:rsidR="005D4845" w:rsidRPr="004545BE">
        <w:rPr>
          <w:rFonts w:ascii="Times New Roman" w:hAnsi="Times New Roman" w:cs="Times New Roman"/>
          <w:sz w:val="24"/>
          <w:szCs w:val="24"/>
          <w:lang w:val="en-GB"/>
        </w:rPr>
        <w:t>rs</w:t>
      </w:r>
      <w:r w:rsidR="00A147D1" w:rsidRPr="004545BE">
        <w:rPr>
          <w:rFonts w:ascii="Times New Roman" w:hAnsi="Times New Roman" w:cs="Times New Roman"/>
          <w:sz w:val="24"/>
          <w:szCs w:val="24"/>
          <w:lang w:val="en-GB"/>
        </w:rPr>
        <w:t xml:space="preserve"> </w:t>
      </w:r>
      <w:r w:rsidR="005D4845" w:rsidRPr="004545BE">
        <w:rPr>
          <w:rFonts w:ascii="Times New Roman" w:hAnsi="Times New Roman" w:cs="Times New Roman"/>
          <w:sz w:val="24"/>
          <w:szCs w:val="24"/>
          <w:lang w:val="en-GB"/>
        </w:rPr>
        <w:t xml:space="preserve">of </w:t>
      </w:r>
      <w:r w:rsidR="00A147D1" w:rsidRPr="004545BE">
        <w:rPr>
          <w:rFonts w:ascii="Times New Roman" w:hAnsi="Times New Roman" w:cs="Times New Roman"/>
          <w:sz w:val="24"/>
          <w:szCs w:val="24"/>
          <w:lang w:val="en-GB"/>
        </w:rPr>
        <w:t xml:space="preserve">calcium, vitamin D, and anti-osteoporotic treatments </w:t>
      </w:r>
      <w:r w:rsidR="005D4845" w:rsidRPr="004545BE">
        <w:rPr>
          <w:rFonts w:ascii="Times New Roman" w:hAnsi="Times New Roman" w:cs="Times New Roman"/>
          <w:sz w:val="24"/>
          <w:szCs w:val="24"/>
          <w:lang w:val="en-GB"/>
        </w:rPr>
        <w:t>in the year before inclusion</w:t>
      </w:r>
      <w:r w:rsidR="006C0388" w:rsidRPr="004545BE">
        <w:rPr>
          <w:rFonts w:ascii="Times New Roman" w:hAnsi="Times New Roman" w:cs="Times New Roman"/>
          <w:sz w:val="24"/>
          <w:szCs w:val="24"/>
          <w:lang w:val="en-GB"/>
        </w:rPr>
        <w:t>.</w:t>
      </w:r>
    </w:p>
    <w:p w:rsidR="00A147D1" w:rsidRPr="004545BE" w:rsidRDefault="00E4494A" w:rsidP="009123BE">
      <w:pPr>
        <w:tabs>
          <w:tab w:val="left" w:pos="6945"/>
        </w:tabs>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A total of</w:t>
      </w:r>
      <w:r w:rsidR="00A147D1" w:rsidRPr="004545BE">
        <w:rPr>
          <w:rFonts w:ascii="Times New Roman" w:hAnsi="Times New Roman" w:cs="Times New Roman"/>
          <w:sz w:val="24"/>
          <w:szCs w:val="24"/>
          <w:lang w:val="en-GB"/>
        </w:rPr>
        <w:t xml:space="preserve"> 17</w:t>
      </w:r>
      <w:r w:rsidR="00AB6974" w:rsidRPr="004545BE">
        <w:rPr>
          <w:rFonts w:ascii="Times New Roman" w:hAnsi="Times New Roman" w:cs="Times New Roman"/>
          <w:sz w:val="24"/>
          <w:szCs w:val="24"/>
          <w:lang w:val="en-GB"/>
        </w:rPr>
        <w:t>,774</w:t>
      </w:r>
      <w:r w:rsidR="00A147D1" w:rsidRPr="004545BE">
        <w:rPr>
          <w:rFonts w:ascii="Times New Roman" w:hAnsi="Times New Roman" w:cs="Times New Roman"/>
          <w:sz w:val="24"/>
          <w:szCs w:val="24"/>
          <w:lang w:val="en-GB"/>
        </w:rPr>
        <w:t>/55,</w:t>
      </w:r>
      <w:r w:rsidR="00117D2C" w:rsidRPr="004545BE">
        <w:rPr>
          <w:rFonts w:ascii="Times New Roman" w:hAnsi="Times New Roman" w:cs="Times New Roman"/>
          <w:sz w:val="24"/>
          <w:szCs w:val="24"/>
          <w:lang w:val="en-GB"/>
        </w:rPr>
        <w:t>891</w:t>
      </w:r>
      <w:r w:rsidR="00CE7ECC" w:rsidRPr="004545BE">
        <w:rPr>
          <w:rFonts w:ascii="Times New Roman" w:hAnsi="Times New Roman" w:cs="Times New Roman"/>
          <w:sz w:val="24"/>
          <w:szCs w:val="24"/>
          <w:lang w:val="en-GB"/>
        </w:rPr>
        <w:t xml:space="preserve"> (</w:t>
      </w:r>
      <w:r w:rsidR="006B2E75" w:rsidRPr="004545BE">
        <w:rPr>
          <w:rFonts w:ascii="Times New Roman" w:hAnsi="Times New Roman" w:cs="Times New Roman"/>
          <w:sz w:val="24"/>
          <w:szCs w:val="24"/>
          <w:lang w:val="en-GB"/>
        </w:rPr>
        <w:t>31.8%</w:t>
      </w:r>
      <w:r w:rsidR="00CE7ECC" w:rsidRPr="004545BE">
        <w:rPr>
          <w:rFonts w:ascii="Times New Roman" w:hAnsi="Times New Roman" w:cs="Times New Roman"/>
          <w:sz w:val="24"/>
          <w:szCs w:val="24"/>
          <w:lang w:val="en-GB"/>
        </w:rPr>
        <w:t>)</w:t>
      </w:r>
      <w:r w:rsidR="00117D2C" w:rsidRPr="004545BE">
        <w:rPr>
          <w:rFonts w:ascii="Times New Roman" w:hAnsi="Times New Roman" w:cs="Times New Roman"/>
          <w:sz w:val="24"/>
          <w:szCs w:val="24"/>
          <w:lang w:val="en-GB"/>
        </w:rPr>
        <w:t xml:space="preserve"> </w:t>
      </w:r>
      <w:r w:rsidR="00A147D1" w:rsidRPr="004545BE">
        <w:rPr>
          <w:rFonts w:ascii="Times New Roman" w:hAnsi="Times New Roman" w:cs="Times New Roman"/>
          <w:sz w:val="24"/>
          <w:szCs w:val="24"/>
          <w:lang w:val="en-GB"/>
        </w:rPr>
        <w:t xml:space="preserve">T2DM and </w:t>
      </w:r>
      <w:r w:rsidR="00AB6974" w:rsidRPr="004545BE">
        <w:rPr>
          <w:rFonts w:ascii="Times New Roman" w:hAnsi="Times New Roman" w:cs="Times New Roman"/>
          <w:sz w:val="24"/>
          <w:szCs w:val="24"/>
          <w:lang w:val="en-GB"/>
        </w:rPr>
        <w:t>23</w:t>
      </w:r>
      <w:r w:rsidR="00A147D1" w:rsidRPr="004545BE">
        <w:rPr>
          <w:rFonts w:ascii="Times New Roman" w:hAnsi="Times New Roman" w:cs="Times New Roman"/>
          <w:sz w:val="24"/>
          <w:szCs w:val="24"/>
          <w:lang w:val="en-GB"/>
        </w:rPr>
        <w:t>,</w:t>
      </w:r>
      <w:r w:rsidR="00AB6974" w:rsidRPr="004545BE">
        <w:rPr>
          <w:rFonts w:ascii="Times New Roman" w:hAnsi="Times New Roman" w:cs="Times New Roman"/>
          <w:sz w:val="24"/>
          <w:szCs w:val="24"/>
          <w:lang w:val="en-GB"/>
        </w:rPr>
        <w:t>794</w:t>
      </w:r>
      <w:r w:rsidR="00A147D1" w:rsidRPr="004545BE">
        <w:rPr>
          <w:rFonts w:ascii="Times New Roman" w:hAnsi="Times New Roman" w:cs="Times New Roman"/>
          <w:sz w:val="24"/>
          <w:szCs w:val="24"/>
          <w:lang w:val="en-GB"/>
        </w:rPr>
        <w:t>/103,</w:t>
      </w:r>
      <w:r w:rsidR="00D2182C" w:rsidRPr="004545BE">
        <w:rPr>
          <w:rFonts w:ascii="Times New Roman" w:hAnsi="Times New Roman" w:cs="Times New Roman"/>
          <w:sz w:val="24"/>
          <w:szCs w:val="24"/>
          <w:lang w:val="en-GB"/>
        </w:rPr>
        <w:t xml:space="preserve">093 </w:t>
      </w:r>
      <w:r w:rsidR="00CE7ECC" w:rsidRPr="004545BE">
        <w:rPr>
          <w:rFonts w:ascii="Times New Roman" w:hAnsi="Times New Roman" w:cs="Times New Roman"/>
          <w:sz w:val="24"/>
          <w:szCs w:val="24"/>
          <w:lang w:val="en-GB"/>
        </w:rPr>
        <w:t>(</w:t>
      </w:r>
      <w:r w:rsidR="006B2E75" w:rsidRPr="004545BE">
        <w:rPr>
          <w:rFonts w:ascii="Times New Roman" w:hAnsi="Times New Roman" w:cs="Times New Roman"/>
          <w:sz w:val="24"/>
          <w:szCs w:val="24"/>
          <w:lang w:val="en-GB"/>
        </w:rPr>
        <w:t>23.1%</w:t>
      </w:r>
      <w:r w:rsidR="00CE7ECC" w:rsidRPr="004545BE">
        <w:rPr>
          <w:rFonts w:ascii="Times New Roman" w:hAnsi="Times New Roman" w:cs="Times New Roman"/>
          <w:sz w:val="24"/>
          <w:szCs w:val="24"/>
          <w:lang w:val="en-GB"/>
        </w:rPr>
        <w:t xml:space="preserve">) </w:t>
      </w:r>
      <w:r w:rsidR="00A147D1" w:rsidRPr="004545BE">
        <w:rPr>
          <w:rFonts w:ascii="Times New Roman" w:hAnsi="Times New Roman" w:cs="Times New Roman"/>
          <w:sz w:val="24"/>
          <w:szCs w:val="24"/>
          <w:lang w:val="en-GB"/>
        </w:rPr>
        <w:t>non-T2DM patients died</w:t>
      </w:r>
      <w:r w:rsidRPr="004545BE">
        <w:rPr>
          <w:rFonts w:ascii="Times New Roman" w:hAnsi="Times New Roman" w:cs="Times New Roman"/>
          <w:sz w:val="24"/>
          <w:szCs w:val="24"/>
          <w:lang w:val="en-GB"/>
        </w:rPr>
        <w:t xml:space="preserve"> during follow-up, equivalent to</w:t>
      </w:r>
      <w:r w:rsidR="00A147D1" w:rsidRPr="004545BE">
        <w:rPr>
          <w:rFonts w:ascii="Times New Roman" w:hAnsi="Times New Roman" w:cs="Times New Roman"/>
          <w:sz w:val="24"/>
          <w:szCs w:val="24"/>
          <w:lang w:val="en-GB"/>
        </w:rPr>
        <w:t xml:space="preserve"> </w:t>
      </w:r>
      <w:r w:rsidR="00255FC2" w:rsidRPr="004545BE">
        <w:rPr>
          <w:rFonts w:ascii="Times New Roman" w:hAnsi="Times New Roman" w:cs="Times New Roman"/>
          <w:sz w:val="24"/>
          <w:szCs w:val="24"/>
          <w:lang w:val="en-GB"/>
        </w:rPr>
        <w:t>mortality (95% CI) rate of 48.8 (48.1, 49.5) per 1,000 person years and 33.8 (33.3, 34.2) per 1,000 person years respectively</w:t>
      </w:r>
      <w:r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lastRenderedPageBreak/>
        <w:t>(</w:t>
      </w:r>
      <w:r w:rsidR="008A741D" w:rsidRPr="004545BE">
        <w:rPr>
          <w:rFonts w:ascii="Times New Roman" w:hAnsi="Times New Roman" w:cs="Times New Roman"/>
          <w:sz w:val="24"/>
          <w:szCs w:val="24"/>
          <w:lang w:val="en-GB"/>
        </w:rPr>
        <w:t>Figure 2</w:t>
      </w:r>
      <w:r w:rsidRPr="004545BE">
        <w:rPr>
          <w:rFonts w:ascii="Times New Roman" w:hAnsi="Times New Roman" w:cs="Times New Roman"/>
          <w:sz w:val="24"/>
          <w:szCs w:val="24"/>
          <w:lang w:val="en-GB"/>
        </w:rPr>
        <w:t xml:space="preserve">). </w:t>
      </w:r>
      <w:r w:rsidR="00DC4E43" w:rsidRPr="004545BE">
        <w:rPr>
          <w:rFonts w:ascii="Times New Roman" w:hAnsi="Times New Roman" w:cs="Times New Roman"/>
          <w:sz w:val="24"/>
          <w:szCs w:val="24"/>
          <w:lang w:val="en-GB"/>
        </w:rPr>
        <w:t xml:space="preserve">In an age-sex-practice matched </w:t>
      </w:r>
      <w:r w:rsidR="008A1A2D" w:rsidRPr="004545BE">
        <w:rPr>
          <w:rFonts w:ascii="Times New Roman" w:hAnsi="Times New Roman" w:cs="Times New Roman"/>
          <w:sz w:val="24"/>
          <w:szCs w:val="24"/>
          <w:lang w:val="en-GB"/>
        </w:rPr>
        <w:t>Cox model</w:t>
      </w:r>
      <w:r w:rsidR="00DC4E43" w:rsidRPr="004545BE">
        <w:rPr>
          <w:rFonts w:ascii="Times New Roman" w:hAnsi="Times New Roman" w:cs="Times New Roman"/>
          <w:sz w:val="24"/>
          <w:szCs w:val="24"/>
          <w:lang w:val="en-GB"/>
        </w:rPr>
        <w:t xml:space="preserve"> a higher </w:t>
      </w:r>
      <w:r w:rsidR="00772DC4" w:rsidRPr="004545BE">
        <w:rPr>
          <w:rFonts w:ascii="Times New Roman" w:hAnsi="Times New Roman" w:cs="Times New Roman"/>
          <w:sz w:val="24"/>
          <w:szCs w:val="24"/>
          <w:lang w:val="en-GB"/>
        </w:rPr>
        <w:t>mortality</w:t>
      </w:r>
      <w:r w:rsidR="00DC4E43" w:rsidRPr="004545BE">
        <w:rPr>
          <w:rFonts w:ascii="Times New Roman" w:hAnsi="Times New Roman" w:cs="Times New Roman"/>
          <w:sz w:val="24"/>
          <w:szCs w:val="24"/>
          <w:lang w:val="en-GB"/>
        </w:rPr>
        <w:t xml:space="preserve"> hazard in T2DM respect non-T2DM was found</w:t>
      </w:r>
      <w:r w:rsidR="000C23F4" w:rsidRPr="004545BE">
        <w:rPr>
          <w:rFonts w:ascii="Times New Roman" w:hAnsi="Times New Roman" w:cs="Times New Roman"/>
          <w:sz w:val="24"/>
          <w:szCs w:val="24"/>
          <w:lang w:val="en-GB"/>
        </w:rPr>
        <w:t>:</w:t>
      </w:r>
      <w:r w:rsidR="00A147D1" w:rsidRPr="004545BE">
        <w:rPr>
          <w:rFonts w:ascii="Times New Roman" w:hAnsi="Times New Roman" w:cs="Times New Roman"/>
          <w:sz w:val="24"/>
          <w:szCs w:val="24"/>
          <w:lang w:val="en-GB"/>
        </w:rPr>
        <w:t xml:space="preserve"> HR 1.5</w:t>
      </w:r>
      <w:r w:rsidR="001063DF">
        <w:rPr>
          <w:rFonts w:ascii="Times New Roman" w:hAnsi="Times New Roman" w:cs="Times New Roman"/>
          <w:sz w:val="24"/>
          <w:szCs w:val="24"/>
          <w:lang w:val="en-GB"/>
        </w:rPr>
        <w:t>1</w:t>
      </w:r>
      <w:r w:rsidR="00A147D1" w:rsidRPr="004545BE">
        <w:rPr>
          <w:rFonts w:ascii="Times New Roman" w:hAnsi="Times New Roman" w:cs="Times New Roman"/>
          <w:sz w:val="24"/>
          <w:szCs w:val="24"/>
          <w:lang w:val="en-GB"/>
        </w:rPr>
        <w:t xml:space="preserve"> </w:t>
      </w:r>
      <w:r w:rsidR="00E20141" w:rsidRPr="004545BE">
        <w:rPr>
          <w:rFonts w:ascii="Times New Roman" w:hAnsi="Times New Roman" w:cs="Times New Roman"/>
          <w:sz w:val="24"/>
          <w:szCs w:val="24"/>
          <w:lang w:val="en-GB"/>
        </w:rPr>
        <w:t>(</w:t>
      </w:r>
      <w:r w:rsidR="00A147D1" w:rsidRPr="004545BE">
        <w:rPr>
          <w:rFonts w:ascii="Times New Roman" w:hAnsi="Times New Roman" w:cs="Times New Roman"/>
          <w:sz w:val="24"/>
          <w:szCs w:val="24"/>
          <w:lang w:val="en-GB"/>
        </w:rPr>
        <w:t>95% CI 1.48 to 1.55</w:t>
      </w:r>
      <w:r w:rsidR="00E20141" w:rsidRPr="004545BE">
        <w:rPr>
          <w:rFonts w:ascii="Times New Roman" w:hAnsi="Times New Roman" w:cs="Times New Roman"/>
          <w:sz w:val="24"/>
          <w:szCs w:val="24"/>
          <w:lang w:val="en-GB"/>
        </w:rPr>
        <w:t>), which remained significant in a multivariable-adjusted model (adjusted HR 1.4</w:t>
      </w:r>
      <w:r w:rsidR="001063DF">
        <w:rPr>
          <w:rFonts w:ascii="Times New Roman" w:hAnsi="Times New Roman" w:cs="Times New Roman"/>
          <w:sz w:val="24"/>
          <w:szCs w:val="24"/>
          <w:lang w:val="en-GB"/>
        </w:rPr>
        <w:t>6</w:t>
      </w:r>
      <w:r w:rsidR="00E20141" w:rsidRPr="004545BE">
        <w:rPr>
          <w:rFonts w:ascii="Times New Roman" w:hAnsi="Times New Roman" w:cs="Times New Roman"/>
          <w:sz w:val="24"/>
          <w:szCs w:val="24"/>
          <w:lang w:val="en-GB"/>
        </w:rPr>
        <w:t>; 95%CI 1.4</w:t>
      </w:r>
      <w:r w:rsidR="001063DF">
        <w:rPr>
          <w:rFonts w:ascii="Times New Roman" w:hAnsi="Times New Roman" w:cs="Times New Roman"/>
          <w:sz w:val="24"/>
          <w:szCs w:val="24"/>
          <w:lang w:val="en-GB"/>
        </w:rPr>
        <w:t>2 to 1.49</w:t>
      </w:r>
      <w:r w:rsidR="00E20141" w:rsidRPr="004545BE">
        <w:rPr>
          <w:rFonts w:ascii="Times New Roman" w:hAnsi="Times New Roman" w:cs="Times New Roman"/>
          <w:sz w:val="24"/>
          <w:szCs w:val="24"/>
          <w:lang w:val="en-GB"/>
        </w:rPr>
        <w:t>)</w:t>
      </w:r>
      <w:r w:rsidR="008A5794" w:rsidRPr="004545BE">
        <w:rPr>
          <w:rFonts w:ascii="Times New Roman" w:hAnsi="Times New Roman" w:cs="Times New Roman"/>
          <w:sz w:val="24"/>
          <w:szCs w:val="24"/>
          <w:lang w:val="en-GB"/>
        </w:rPr>
        <w:t xml:space="preserve"> (Table 2)</w:t>
      </w:r>
      <w:r w:rsidR="00E20141" w:rsidRPr="004545BE">
        <w:rPr>
          <w:rFonts w:ascii="Times New Roman" w:hAnsi="Times New Roman" w:cs="Times New Roman"/>
          <w:sz w:val="24"/>
          <w:szCs w:val="24"/>
          <w:lang w:val="en-GB"/>
        </w:rPr>
        <w:t>.</w:t>
      </w:r>
    </w:p>
    <w:p w:rsidR="00282272" w:rsidRPr="004545BE" w:rsidRDefault="00CE7ECC" w:rsidP="009123BE">
      <w:pPr>
        <w:tabs>
          <w:tab w:val="left" w:pos="6945"/>
        </w:tabs>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Similarly,</w:t>
      </w:r>
      <w:r w:rsidR="00A147D1" w:rsidRPr="004545BE">
        <w:rPr>
          <w:rFonts w:ascii="Times New Roman" w:hAnsi="Times New Roman" w:cs="Times New Roman"/>
          <w:sz w:val="24"/>
          <w:szCs w:val="24"/>
          <w:lang w:val="en-GB"/>
        </w:rPr>
        <w:t xml:space="preserve"> 2</w:t>
      </w:r>
      <w:r w:rsidR="00AB6974" w:rsidRPr="004545BE">
        <w:rPr>
          <w:rFonts w:ascii="Times New Roman" w:hAnsi="Times New Roman" w:cs="Times New Roman"/>
          <w:sz w:val="24"/>
          <w:szCs w:val="24"/>
          <w:lang w:val="en-GB"/>
        </w:rPr>
        <w:t>,154</w:t>
      </w:r>
      <w:r w:rsidR="00A147D1" w:rsidRPr="004545BE">
        <w:rPr>
          <w:rFonts w:ascii="Times New Roman" w:hAnsi="Times New Roman" w:cs="Times New Roman"/>
          <w:sz w:val="24"/>
          <w:szCs w:val="24"/>
          <w:lang w:val="en-GB"/>
        </w:rPr>
        <w:t>/55,</w:t>
      </w:r>
      <w:r w:rsidR="00AB6974" w:rsidRPr="004545BE">
        <w:rPr>
          <w:rFonts w:ascii="Times New Roman" w:hAnsi="Times New Roman" w:cs="Times New Roman"/>
          <w:sz w:val="24"/>
          <w:szCs w:val="24"/>
          <w:lang w:val="en-GB"/>
        </w:rPr>
        <w:t>891</w:t>
      </w:r>
      <w:r w:rsidRPr="004545BE">
        <w:rPr>
          <w:rFonts w:ascii="Times New Roman" w:hAnsi="Times New Roman" w:cs="Times New Roman"/>
          <w:sz w:val="24"/>
          <w:szCs w:val="24"/>
          <w:lang w:val="en-GB"/>
        </w:rPr>
        <w:t xml:space="preserve"> (</w:t>
      </w:r>
      <w:r w:rsidR="00646035" w:rsidRPr="004545BE">
        <w:rPr>
          <w:rFonts w:ascii="Times New Roman" w:hAnsi="Times New Roman" w:cs="Times New Roman"/>
          <w:sz w:val="24"/>
          <w:szCs w:val="24"/>
          <w:lang w:val="en-GB"/>
        </w:rPr>
        <w:t>3.9%</w:t>
      </w:r>
      <w:r w:rsidRPr="004545BE">
        <w:rPr>
          <w:rFonts w:ascii="Times New Roman" w:hAnsi="Times New Roman" w:cs="Times New Roman"/>
          <w:sz w:val="24"/>
          <w:szCs w:val="24"/>
          <w:lang w:val="en-GB"/>
        </w:rPr>
        <w:t>)</w:t>
      </w:r>
      <w:r w:rsidR="00AB6974" w:rsidRPr="004545BE">
        <w:rPr>
          <w:rFonts w:ascii="Times New Roman" w:hAnsi="Times New Roman" w:cs="Times New Roman"/>
          <w:sz w:val="24"/>
          <w:szCs w:val="24"/>
          <w:lang w:val="en-GB"/>
        </w:rPr>
        <w:t xml:space="preserve"> </w:t>
      </w:r>
      <w:r w:rsidR="00A147D1" w:rsidRPr="004545BE">
        <w:rPr>
          <w:rFonts w:ascii="Times New Roman" w:hAnsi="Times New Roman" w:cs="Times New Roman"/>
          <w:sz w:val="24"/>
          <w:szCs w:val="24"/>
          <w:lang w:val="en-GB"/>
        </w:rPr>
        <w:t xml:space="preserve">T2DM </w:t>
      </w:r>
      <w:r w:rsidRPr="004545BE">
        <w:rPr>
          <w:rFonts w:ascii="Times New Roman" w:hAnsi="Times New Roman" w:cs="Times New Roman"/>
          <w:sz w:val="24"/>
          <w:szCs w:val="24"/>
          <w:lang w:val="en-GB"/>
        </w:rPr>
        <w:t>and 3,388/103,093 (</w:t>
      </w:r>
      <w:r w:rsidR="00646035" w:rsidRPr="004545BE">
        <w:rPr>
          <w:rFonts w:ascii="Times New Roman" w:hAnsi="Times New Roman" w:cs="Times New Roman"/>
          <w:sz w:val="24"/>
          <w:szCs w:val="24"/>
          <w:lang w:val="en-GB"/>
        </w:rPr>
        <w:t>3.3%</w:t>
      </w:r>
      <w:r w:rsidRPr="004545BE">
        <w:rPr>
          <w:rFonts w:ascii="Times New Roman" w:hAnsi="Times New Roman" w:cs="Times New Roman"/>
          <w:sz w:val="24"/>
          <w:szCs w:val="24"/>
          <w:lang w:val="en-GB"/>
        </w:rPr>
        <w:t xml:space="preserve">) non-T2DM patients sustained a hip fracture in the study period, with estimated </w:t>
      </w:r>
      <w:r w:rsidR="000C23F4" w:rsidRPr="004545BE">
        <w:rPr>
          <w:rFonts w:ascii="Times New Roman" w:hAnsi="Times New Roman" w:cs="Times New Roman"/>
          <w:sz w:val="24"/>
          <w:szCs w:val="24"/>
          <w:lang w:val="en-GB"/>
        </w:rPr>
        <w:t>incidence rates</w:t>
      </w:r>
      <w:r w:rsidR="00A147D1"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 xml:space="preserve">of </w:t>
      </w:r>
      <w:r w:rsidR="00E20141" w:rsidRPr="004545BE">
        <w:rPr>
          <w:rFonts w:ascii="Times New Roman" w:hAnsi="Times New Roman" w:cs="Times New Roman"/>
          <w:sz w:val="24"/>
          <w:szCs w:val="24"/>
          <w:lang w:val="en-GB"/>
        </w:rPr>
        <w:t>6.0</w:t>
      </w:r>
      <w:r w:rsidR="000E1954" w:rsidRPr="004545BE">
        <w:rPr>
          <w:rFonts w:ascii="Times New Roman" w:hAnsi="Times New Roman" w:cs="Times New Roman"/>
          <w:sz w:val="24"/>
          <w:szCs w:val="24"/>
          <w:lang w:val="en-GB"/>
        </w:rPr>
        <w:t xml:space="preserve"> </w:t>
      </w:r>
      <w:r w:rsidR="00E20141" w:rsidRPr="004545BE">
        <w:rPr>
          <w:rFonts w:ascii="Times New Roman" w:hAnsi="Times New Roman" w:cs="Times New Roman"/>
          <w:sz w:val="24"/>
          <w:szCs w:val="24"/>
          <w:lang w:val="en-GB"/>
        </w:rPr>
        <w:t>(5.76 to 6.27) per 1,000 person-years and 4.9 (4.71 to 5.04) per 1,000 person-years respectively</w:t>
      </w:r>
      <w:r w:rsidRPr="004545BE">
        <w:rPr>
          <w:rFonts w:ascii="Times New Roman" w:hAnsi="Times New Roman" w:cs="Times New Roman"/>
          <w:sz w:val="24"/>
          <w:szCs w:val="24"/>
          <w:lang w:val="en-GB"/>
        </w:rPr>
        <w:t xml:space="preserve">. </w:t>
      </w:r>
      <w:r w:rsidR="008A1A2D" w:rsidRPr="004545BE">
        <w:rPr>
          <w:rFonts w:ascii="Times New Roman" w:hAnsi="Times New Roman" w:cs="Times New Roman"/>
          <w:sz w:val="24"/>
          <w:szCs w:val="24"/>
          <w:lang w:val="en-GB"/>
        </w:rPr>
        <w:t>Cox model</w:t>
      </w:r>
      <w:r w:rsidRPr="004545BE">
        <w:rPr>
          <w:rFonts w:ascii="Times New Roman" w:hAnsi="Times New Roman" w:cs="Times New Roman"/>
          <w:sz w:val="24"/>
          <w:szCs w:val="24"/>
          <w:lang w:val="en-GB"/>
        </w:rPr>
        <w:t>s</w:t>
      </w:r>
      <w:r w:rsidR="008A1A2D" w:rsidRPr="004545BE">
        <w:rPr>
          <w:rFonts w:ascii="Times New Roman" w:hAnsi="Times New Roman" w:cs="Times New Roman"/>
          <w:sz w:val="24"/>
          <w:szCs w:val="24"/>
          <w:lang w:val="en-GB"/>
        </w:rPr>
        <w:t xml:space="preserve"> </w:t>
      </w:r>
      <w:r w:rsidR="00DC4E43" w:rsidRPr="004545BE">
        <w:rPr>
          <w:rFonts w:ascii="Times New Roman" w:hAnsi="Times New Roman" w:cs="Times New Roman"/>
          <w:sz w:val="24"/>
          <w:szCs w:val="24"/>
          <w:lang w:val="en-GB"/>
        </w:rPr>
        <w:t>showed</w:t>
      </w:r>
      <w:r w:rsidRPr="004545BE">
        <w:rPr>
          <w:rFonts w:ascii="Times New Roman" w:hAnsi="Times New Roman" w:cs="Times New Roman"/>
          <w:sz w:val="24"/>
          <w:szCs w:val="24"/>
          <w:lang w:val="en-GB"/>
        </w:rPr>
        <w:t xml:space="preserve"> </w:t>
      </w:r>
      <w:r w:rsidR="008A1A2D" w:rsidRPr="004545BE">
        <w:rPr>
          <w:rFonts w:ascii="Times New Roman" w:hAnsi="Times New Roman" w:cs="Times New Roman"/>
          <w:sz w:val="24"/>
          <w:szCs w:val="24"/>
          <w:lang w:val="en-GB"/>
        </w:rPr>
        <w:t>a significant association between T2DM and hip risk fracture in a matched model (HR 1.</w:t>
      </w:r>
      <w:r w:rsidR="008F6D83" w:rsidRPr="004545BE">
        <w:rPr>
          <w:rFonts w:ascii="Times New Roman" w:hAnsi="Times New Roman" w:cs="Times New Roman"/>
          <w:sz w:val="24"/>
          <w:szCs w:val="24"/>
          <w:lang w:val="en-GB"/>
        </w:rPr>
        <w:t>32</w:t>
      </w:r>
      <w:r w:rsidR="00D93818" w:rsidRPr="004545BE">
        <w:rPr>
          <w:rFonts w:ascii="Times New Roman" w:hAnsi="Times New Roman" w:cs="Times New Roman"/>
          <w:sz w:val="24"/>
          <w:szCs w:val="24"/>
          <w:lang w:val="en-GB"/>
        </w:rPr>
        <w:t xml:space="preserve">; </w:t>
      </w:r>
      <w:r w:rsidR="008A1A2D" w:rsidRPr="004545BE">
        <w:rPr>
          <w:rFonts w:ascii="Times New Roman" w:hAnsi="Times New Roman" w:cs="Times New Roman"/>
          <w:sz w:val="24"/>
          <w:szCs w:val="24"/>
          <w:lang w:val="en-GB"/>
        </w:rPr>
        <w:t>95%CI 1.</w:t>
      </w:r>
      <w:r w:rsidR="008F6D83" w:rsidRPr="004545BE">
        <w:rPr>
          <w:rFonts w:ascii="Times New Roman" w:hAnsi="Times New Roman" w:cs="Times New Roman"/>
          <w:sz w:val="24"/>
          <w:szCs w:val="24"/>
          <w:lang w:val="en-GB"/>
        </w:rPr>
        <w:t>24</w:t>
      </w:r>
      <w:r w:rsidR="008A1A2D" w:rsidRPr="004545BE">
        <w:rPr>
          <w:rFonts w:ascii="Times New Roman" w:hAnsi="Times New Roman" w:cs="Times New Roman"/>
          <w:sz w:val="24"/>
          <w:szCs w:val="24"/>
          <w:lang w:val="en-GB"/>
        </w:rPr>
        <w:t xml:space="preserve"> to 1.</w:t>
      </w:r>
      <w:r w:rsidR="008F6D83" w:rsidRPr="004545BE">
        <w:rPr>
          <w:rFonts w:ascii="Times New Roman" w:hAnsi="Times New Roman" w:cs="Times New Roman"/>
          <w:sz w:val="24"/>
          <w:szCs w:val="24"/>
          <w:lang w:val="en-GB"/>
        </w:rPr>
        <w:t>40</w:t>
      </w:r>
      <w:r w:rsidR="008A1A2D" w:rsidRPr="004545BE">
        <w:rPr>
          <w:rFonts w:ascii="Times New Roman" w:hAnsi="Times New Roman" w:cs="Times New Roman"/>
          <w:sz w:val="24"/>
          <w:szCs w:val="24"/>
          <w:lang w:val="en-GB"/>
        </w:rPr>
        <w:t>)</w:t>
      </w:r>
      <w:r w:rsidRPr="004545BE">
        <w:rPr>
          <w:rFonts w:ascii="Times New Roman" w:hAnsi="Times New Roman" w:cs="Times New Roman"/>
          <w:sz w:val="24"/>
          <w:szCs w:val="24"/>
          <w:lang w:val="en-GB"/>
        </w:rPr>
        <w:t xml:space="preserve">, which remained significant in a multivariable-adjusted model (adjusted HR </w:t>
      </w:r>
      <w:r w:rsidR="001063DF">
        <w:rPr>
          <w:rFonts w:ascii="Times New Roman" w:hAnsi="Times New Roman" w:cs="Times New Roman"/>
          <w:sz w:val="24"/>
          <w:szCs w:val="24"/>
          <w:lang w:val="en-GB"/>
        </w:rPr>
        <w:t>1.31</w:t>
      </w:r>
      <w:r w:rsidR="00D93818"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95</w:t>
      </w:r>
      <w:r w:rsidR="00E20141" w:rsidRPr="004545BE">
        <w:rPr>
          <w:rFonts w:ascii="Times New Roman" w:hAnsi="Times New Roman" w:cs="Times New Roman"/>
          <w:sz w:val="24"/>
          <w:szCs w:val="24"/>
          <w:lang w:val="en-GB"/>
        </w:rPr>
        <w:t>%</w:t>
      </w:r>
      <w:r w:rsidRPr="004545BE">
        <w:rPr>
          <w:rFonts w:ascii="Times New Roman" w:hAnsi="Times New Roman" w:cs="Times New Roman"/>
          <w:sz w:val="24"/>
          <w:szCs w:val="24"/>
          <w:lang w:val="en-GB"/>
        </w:rPr>
        <w:t>CI</w:t>
      </w:r>
      <w:r w:rsidR="00B07EC6" w:rsidRPr="004545BE">
        <w:rPr>
          <w:rFonts w:ascii="Times New Roman" w:hAnsi="Times New Roman" w:cs="Times New Roman"/>
          <w:sz w:val="24"/>
          <w:szCs w:val="24"/>
          <w:lang w:val="en-GB"/>
        </w:rPr>
        <w:t xml:space="preserve"> 1.2</w:t>
      </w:r>
      <w:r w:rsidR="001063DF">
        <w:rPr>
          <w:rFonts w:ascii="Times New Roman" w:hAnsi="Times New Roman" w:cs="Times New Roman"/>
          <w:sz w:val="24"/>
          <w:szCs w:val="24"/>
          <w:lang w:val="en-GB"/>
        </w:rPr>
        <w:t>3</w:t>
      </w:r>
      <w:r w:rsidR="00B07EC6" w:rsidRPr="004545BE">
        <w:rPr>
          <w:rFonts w:ascii="Times New Roman" w:hAnsi="Times New Roman" w:cs="Times New Roman"/>
          <w:sz w:val="24"/>
          <w:szCs w:val="24"/>
          <w:lang w:val="en-GB"/>
        </w:rPr>
        <w:t xml:space="preserve"> to 1.</w:t>
      </w:r>
      <w:r w:rsidR="001063DF">
        <w:rPr>
          <w:rFonts w:ascii="Times New Roman" w:hAnsi="Times New Roman" w:cs="Times New Roman"/>
          <w:sz w:val="24"/>
          <w:szCs w:val="24"/>
          <w:lang w:val="en-GB"/>
        </w:rPr>
        <w:t>40</w:t>
      </w:r>
      <w:r w:rsidRPr="004545BE">
        <w:rPr>
          <w:rFonts w:ascii="Times New Roman" w:hAnsi="Times New Roman" w:cs="Times New Roman"/>
          <w:sz w:val="24"/>
          <w:szCs w:val="24"/>
          <w:lang w:val="en-GB"/>
        </w:rPr>
        <w:t>).</w:t>
      </w:r>
      <w:r w:rsidR="006B3DF7" w:rsidRPr="004545BE">
        <w:rPr>
          <w:rFonts w:ascii="Times New Roman" w:hAnsi="Times New Roman" w:cs="Times New Roman"/>
          <w:sz w:val="24"/>
          <w:szCs w:val="24"/>
          <w:lang w:val="en-GB"/>
        </w:rPr>
        <w:t xml:space="preserve"> Accounting for death as a competing event, the association between T2DM and hip </w:t>
      </w:r>
      <w:r w:rsidR="00DC4E43" w:rsidRPr="004545BE">
        <w:rPr>
          <w:rFonts w:ascii="Times New Roman" w:hAnsi="Times New Roman" w:cs="Times New Roman"/>
          <w:sz w:val="24"/>
          <w:szCs w:val="24"/>
          <w:lang w:val="en-GB"/>
        </w:rPr>
        <w:t>hazard</w:t>
      </w:r>
      <w:r w:rsidR="006B3DF7" w:rsidRPr="004545BE">
        <w:rPr>
          <w:rFonts w:ascii="Times New Roman" w:hAnsi="Times New Roman" w:cs="Times New Roman"/>
          <w:sz w:val="24"/>
          <w:szCs w:val="24"/>
          <w:lang w:val="en-GB"/>
        </w:rPr>
        <w:t xml:space="preserve"> fracture </w:t>
      </w:r>
      <w:r w:rsidR="00C26BCD" w:rsidRPr="00E97508">
        <w:rPr>
          <w:rFonts w:ascii="Times New Roman" w:hAnsi="Times New Roman" w:cs="Times New Roman"/>
          <w:sz w:val="24"/>
          <w:szCs w:val="24"/>
          <w:lang w:val="en-GB"/>
        </w:rPr>
        <w:t>remained</w:t>
      </w:r>
      <w:r w:rsidR="00E20141" w:rsidRPr="004545BE">
        <w:rPr>
          <w:rFonts w:ascii="Times New Roman" w:hAnsi="Times New Roman" w:cs="Times New Roman"/>
          <w:sz w:val="24"/>
          <w:szCs w:val="24"/>
          <w:lang w:val="en-GB"/>
        </w:rPr>
        <w:t xml:space="preserve"> </w:t>
      </w:r>
      <w:r w:rsidR="006B3DF7" w:rsidRPr="004545BE">
        <w:rPr>
          <w:rFonts w:ascii="Times New Roman" w:hAnsi="Times New Roman" w:cs="Times New Roman"/>
          <w:sz w:val="24"/>
          <w:szCs w:val="24"/>
          <w:lang w:val="en-GB"/>
        </w:rPr>
        <w:t xml:space="preserve">statistically significant (matched –unadjusted- </w:t>
      </w:r>
      <w:r w:rsidR="00E838C0" w:rsidRPr="004545BE">
        <w:rPr>
          <w:rFonts w:ascii="Times New Roman" w:hAnsi="Times New Roman" w:cs="Times New Roman"/>
          <w:sz w:val="24"/>
          <w:szCs w:val="24"/>
          <w:lang w:val="en-GB"/>
        </w:rPr>
        <w:t>sHR 1.17</w:t>
      </w:r>
      <w:r w:rsidR="0062471C" w:rsidRPr="004545BE">
        <w:rPr>
          <w:rFonts w:ascii="Times New Roman" w:hAnsi="Times New Roman" w:cs="Times New Roman"/>
          <w:sz w:val="24"/>
          <w:szCs w:val="24"/>
          <w:lang w:val="en-GB"/>
        </w:rPr>
        <w:t xml:space="preserve">; </w:t>
      </w:r>
      <w:r w:rsidR="006B3DF7" w:rsidRPr="004545BE">
        <w:rPr>
          <w:rFonts w:ascii="Times New Roman" w:hAnsi="Times New Roman" w:cs="Times New Roman"/>
          <w:sz w:val="24"/>
          <w:szCs w:val="24"/>
          <w:lang w:val="en-GB"/>
        </w:rPr>
        <w:t xml:space="preserve">95% CI 1.11 to 1.23). Adjustment for </w:t>
      </w:r>
      <w:r w:rsidR="00E20141" w:rsidRPr="004545BE">
        <w:rPr>
          <w:rFonts w:ascii="Times New Roman" w:hAnsi="Times New Roman" w:cs="Times New Roman"/>
          <w:sz w:val="24"/>
          <w:szCs w:val="24"/>
          <w:lang w:val="en-GB"/>
        </w:rPr>
        <w:t>significant</w:t>
      </w:r>
      <w:r w:rsidR="006B3DF7" w:rsidRPr="004545BE">
        <w:rPr>
          <w:rFonts w:ascii="Times New Roman" w:hAnsi="Times New Roman" w:cs="Times New Roman"/>
          <w:sz w:val="24"/>
          <w:szCs w:val="24"/>
          <w:lang w:val="en-GB"/>
        </w:rPr>
        <w:t xml:space="preserve"> confounders did not </w:t>
      </w:r>
      <w:r w:rsidR="000B187D" w:rsidRPr="004545BE">
        <w:rPr>
          <w:rFonts w:ascii="Times New Roman" w:hAnsi="Times New Roman" w:cs="Times New Roman"/>
          <w:sz w:val="24"/>
          <w:szCs w:val="24"/>
          <w:lang w:val="en-GB"/>
        </w:rPr>
        <w:t>modify substantially</w:t>
      </w:r>
      <w:r w:rsidR="006B3DF7" w:rsidRPr="004545BE">
        <w:rPr>
          <w:rFonts w:ascii="Times New Roman" w:hAnsi="Times New Roman" w:cs="Times New Roman"/>
          <w:sz w:val="24"/>
          <w:szCs w:val="24"/>
          <w:lang w:val="en-GB"/>
        </w:rPr>
        <w:t xml:space="preserve"> these estimates (adjusted </w:t>
      </w:r>
      <w:r w:rsidR="002E67F7" w:rsidRPr="00893AAE">
        <w:rPr>
          <w:rFonts w:ascii="Times New Roman" w:hAnsi="Times New Roman" w:cs="Times New Roman"/>
          <w:sz w:val="24"/>
          <w:szCs w:val="24"/>
          <w:lang w:val="en-GB"/>
        </w:rPr>
        <w:t>sHR 1.15; 95%CI 1.09 to 1.21</w:t>
      </w:r>
      <w:r w:rsidR="006B3DF7" w:rsidRPr="004545BE">
        <w:rPr>
          <w:rFonts w:ascii="Times New Roman" w:hAnsi="Times New Roman" w:cs="Times New Roman"/>
          <w:sz w:val="24"/>
          <w:szCs w:val="24"/>
          <w:lang w:val="en-GB"/>
        </w:rPr>
        <w:t>)</w:t>
      </w:r>
      <w:r w:rsidR="008A5794" w:rsidRPr="004545BE">
        <w:rPr>
          <w:rFonts w:ascii="Times New Roman" w:hAnsi="Times New Roman" w:cs="Times New Roman"/>
          <w:sz w:val="24"/>
          <w:szCs w:val="24"/>
          <w:lang w:val="en-GB"/>
        </w:rPr>
        <w:t xml:space="preserve"> (Table 2)</w:t>
      </w:r>
      <w:r w:rsidR="006B3DF7" w:rsidRPr="004545BE">
        <w:rPr>
          <w:rFonts w:ascii="Times New Roman" w:hAnsi="Times New Roman" w:cs="Times New Roman"/>
          <w:sz w:val="24"/>
          <w:szCs w:val="24"/>
          <w:lang w:val="en-GB"/>
        </w:rPr>
        <w:t xml:space="preserve">. </w:t>
      </w:r>
      <w:r w:rsidR="00E97FA7" w:rsidRPr="004545BE">
        <w:rPr>
          <w:rFonts w:ascii="Times New Roman" w:hAnsi="Times New Roman" w:cs="Times New Roman"/>
          <w:sz w:val="24"/>
          <w:szCs w:val="24"/>
          <w:lang w:val="en-GB"/>
        </w:rPr>
        <w:t>I</w:t>
      </w:r>
      <w:r w:rsidR="006B3DF7" w:rsidRPr="004545BE">
        <w:rPr>
          <w:rFonts w:ascii="Times New Roman" w:hAnsi="Times New Roman" w:cs="Times New Roman"/>
          <w:sz w:val="24"/>
          <w:szCs w:val="24"/>
          <w:lang w:val="en-GB"/>
        </w:rPr>
        <w:t>n F</w:t>
      </w:r>
      <w:r w:rsidR="003F27B6" w:rsidRPr="004545BE">
        <w:rPr>
          <w:rFonts w:ascii="Times New Roman" w:hAnsi="Times New Roman" w:cs="Times New Roman"/>
          <w:sz w:val="24"/>
          <w:szCs w:val="24"/>
          <w:lang w:val="en-GB"/>
        </w:rPr>
        <w:t>igure 3</w:t>
      </w:r>
      <w:r w:rsidR="006B3DF7" w:rsidRPr="004545BE">
        <w:rPr>
          <w:rFonts w:ascii="Times New Roman" w:hAnsi="Times New Roman" w:cs="Times New Roman"/>
          <w:sz w:val="24"/>
          <w:szCs w:val="24"/>
          <w:lang w:val="en-GB"/>
        </w:rPr>
        <w:t>, Kaplan-Meier</w:t>
      </w:r>
      <w:r w:rsidR="003F27B6" w:rsidRPr="004545BE">
        <w:rPr>
          <w:rFonts w:ascii="Times New Roman" w:hAnsi="Times New Roman" w:cs="Times New Roman"/>
          <w:sz w:val="24"/>
          <w:szCs w:val="24"/>
          <w:lang w:val="en-GB"/>
        </w:rPr>
        <w:t xml:space="preserve"> </w:t>
      </w:r>
      <w:r w:rsidR="00774FD0" w:rsidRPr="004545BE">
        <w:rPr>
          <w:rFonts w:ascii="Times New Roman" w:hAnsi="Times New Roman" w:cs="Times New Roman"/>
          <w:sz w:val="24"/>
          <w:szCs w:val="24"/>
          <w:lang w:val="en-GB"/>
        </w:rPr>
        <w:t xml:space="preserve">functions of hip fracture </w:t>
      </w:r>
      <w:r w:rsidR="00774FD0" w:rsidRPr="004545BE">
        <w:rPr>
          <w:rFonts w:ascii="Times New Roman" w:hAnsi="Times New Roman" w:cs="Times New Roman"/>
          <w:sz w:val="24"/>
          <w:szCs w:val="24"/>
          <w:lang w:val="en-GB"/>
        </w:rPr>
        <w:lastRenderedPageBreak/>
        <w:t xml:space="preserve">probability according to T2DM status (failing to account for differential mortality) are compared to Cumulative Incidence Functions, which do </w:t>
      </w:r>
      <w:r w:rsidR="00625CB3" w:rsidRPr="004545BE">
        <w:rPr>
          <w:rFonts w:ascii="Times New Roman" w:hAnsi="Times New Roman" w:cs="Times New Roman"/>
          <w:sz w:val="24"/>
          <w:szCs w:val="24"/>
          <w:lang w:val="en-GB"/>
        </w:rPr>
        <w:t xml:space="preserve">account </w:t>
      </w:r>
      <w:r w:rsidR="00774FD0" w:rsidRPr="004545BE">
        <w:rPr>
          <w:rFonts w:ascii="Times New Roman" w:hAnsi="Times New Roman" w:cs="Times New Roman"/>
          <w:sz w:val="24"/>
          <w:szCs w:val="24"/>
          <w:lang w:val="en-GB"/>
        </w:rPr>
        <w:t xml:space="preserve">for the effect of death. </w:t>
      </w:r>
      <w:r w:rsidR="00282272" w:rsidRPr="004545BE">
        <w:rPr>
          <w:rFonts w:ascii="Times New Roman" w:hAnsi="Times New Roman" w:cs="Times New Roman"/>
          <w:sz w:val="24"/>
          <w:szCs w:val="24"/>
          <w:lang w:val="en-GB"/>
        </w:rPr>
        <w:t>The 5-year cumulative incidence of hip fracture using Kaplan–Meier was 2.6% in T2DM patients and 2.1% in non-T2DM patients. Using competing risk methodology</w:t>
      </w:r>
      <w:r w:rsidR="00E725BC" w:rsidRPr="004545BE">
        <w:rPr>
          <w:rFonts w:ascii="Times New Roman" w:hAnsi="Times New Roman" w:cs="Times New Roman"/>
          <w:sz w:val="24"/>
          <w:szCs w:val="24"/>
          <w:lang w:val="en-GB"/>
        </w:rPr>
        <w:t xml:space="preserve">, </w:t>
      </w:r>
      <w:r w:rsidR="00282272" w:rsidRPr="004545BE">
        <w:rPr>
          <w:rFonts w:ascii="Times New Roman" w:hAnsi="Times New Roman" w:cs="Times New Roman"/>
          <w:sz w:val="24"/>
          <w:szCs w:val="24"/>
          <w:lang w:val="en-GB"/>
        </w:rPr>
        <w:t>5-year cumulative incidence of hip fracture differed, with an incidence of 2.3% among T2DM, slightly worse than the estimate of 1.9% for non-T2DM.</w:t>
      </w:r>
    </w:p>
    <w:p w:rsidR="003F27B6" w:rsidRPr="004545BE" w:rsidRDefault="003F27B6" w:rsidP="009123BE">
      <w:pPr>
        <w:tabs>
          <w:tab w:val="left" w:pos="6945"/>
        </w:tabs>
        <w:spacing w:line="480" w:lineRule="auto"/>
        <w:jc w:val="both"/>
        <w:rPr>
          <w:rFonts w:ascii="Times New Roman" w:hAnsi="Times New Roman" w:cs="Times New Roman"/>
          <w:sz w:val="24"/>
          <w:szCs w:val="24"/>
          <w:lang w:val="en-GB"/>
        </w:rPr>
      </w:pPr>
    </w:p>
    <w:p w:rsidR="00A147D1" w:rsidRPr="004545BE" w:rsidRDefault="00A147D1" w:rsidP="009123BE">
      <w:pPr>
        <w:tabs>
          <w:tab w:val="left" w:pos="6945"/>
        </w:tabs>
        <w:spacing w:line="480" w:lineRule="auto"/>
        <w:jc w:val="both"/>
        <w:rPr>
          <w:rFonts w:ascii="Times New Roman" w:hAnsi="Times New Roman" w:cs="Times New Roman"/>
          <w:sz w:val="24"/>
          <w:szCs w:val="24"/>
          <w:lang w:val="en-GB"/>
        </w:rPr>
      </w:pPr>
    </w:p>
    <w:p w:rsidR="00EB6415" w:rsidRPr="004545BE" w:rsidRDefault="00EB6415" w:rsidP="009123BE">
      <w:pPr>
        <w:spacing w:line="480" w:lineRule="auto"/>
        <w:rPr>
          <w:rFonts w:ascii="Times New Roman" w:hAnsi="Times New Roman" w:cs="Times New Roman"/>
          <w:sz w:val="24"/>
          <w:szCs w:val="24"/>
          <w:lang w:val="en-GB"/>
        </w:rPr>
      </w:pPr>
      <w:r w:rsidRPr="004545BE">
        <w:rPr>
          <w:rFonts w:ascii="Times New Roman" w:hAnsi="Times New Roman" w:cs="Times New Roman"/>
          <w:sz w:val="24"/>
          <w:szCs w:val="24"/>
          <w:lang w:val="en-GB"/>
        </w:rPr>
        <w:br w:type="page"/>
      </w:r>
    </w:p>
    <w:p w:rsidR="008E51FD" w:rsidRPr="004545BE" w:rsidRDefault="005060D7" w:rsidP="009123BE">
      <w:pPr>
        <w:spacing w:line="480" w:lineRule="auto"/>
        <w:jc w:val="both"/>
        <w:rPr>
          <w:rFonts w:ascii="Times New Roman" w:hAnsi="Times New Roman" w:cs="Times New Roman"/>
          <w:b/>
          <w:sz w:val="24"/>
          <w:szCs w:val="24"/>
          <w:lang w:val="en-GB"/>
        </w:rPr>
      </w:pPr>
      <w:r w:rsidRPr="004545BE">
        <w:rPr>
          <w:rFonts w:ascii="Times New Roman" w:hAnsi="Times New Roman" w:cs="Times New Roman"/>
          <w:b/>
          <w:sz w:val="24"/>
          <w:szCs w:val="24"/>
          <w:lang w:val="en-GB"/>
        </w:rPr>
        <w:lastRenderedPageBreak/>
        <w:t>DISCUSSION</w:t>
      </w:r>
    </w:p>
    <w:p w:rsidR="008E51FD" w:rsidRPr="004545BE" w:rsidRDefault="00DC35E1" w:rsidP="009123BE">
      <w:pPr>
        <w:spacing w:line="480" w:lineRule="auto"/>
        <w:jc w:val="both"/>
        <w:rPr>
          <w:rFonts w:ascii="Times New Roman" w:hAnsi="Times New Roman" w:cs="Times New Roman"/>
          <w:sz w:val="24"/>
          <w:szCs w:val="24"/>
          <w:lang w:val="en-GB"/>
        </w:rPr>
      </w:pPr>
      <w:r w:rsidRPr="002942E3">
        <w:rPr>
          <w:rFonts w:ascii="Times New Roman" w:hAnsi="Times New Roman" w:cs="Times New Roman"/>
          <w:sz w:val="24"/>
          <w:szCs w:val="24"/>
          <w:lang w:val="en-GB"/>
        </w:rPr>
        <w:t>T2DM patients</w:t>
      </w:r>
      <w:r w:rsidRPr="004545BE">
        <w:rPr>
          <w:rFonts w:ascii="Times New Roman" w:hAnsi="Times New Roman" w:cs="Times New Roman"/>
          <w:sz w:val="24"/>
          <w:szCs w:val="24"/>
          <w:lang w:val="en-GB"/>
        </w:rPr>
        <w:t xml:space="preserve"> have a 50% </w:t>
      </w:r>
      <w:r w:rsidR="00B75D90" w:rsidRPr="004545BE">
        <w:rPr>
          <w:rFonts w:ascii="Times New Roman" w:hAnsi="Times New Roman" w:cs="Times New Roman"/>
          <w:sz w:val="24"/>
          <w:szCs w:val="24"/>
          <w:lang w:val="en-GB"/>
        </w:rPr>
        <w:t xml:space="preserve">higher </w:t>
      </w:r>
      <w:r w:rsidRPr="004545BE">
        <w:rPr>
          <w:rFonts w:ascii="Times New Roman" w:hAnsi="Times New Roman" w:cs="Times New Roman"/>
          <w:sz w:val="24"/>
          <w:szCs w:val="24"/>
          <w:lang w:val="en-GB"/>
        </w:rPr>
        <w:t xml:space="preserve">mortality </w:t>
      </w:r>
      <w:r w:rsidR="00B75D90" w:rsidRPr="004545BE">
        <w:rPr>
          <w:rFonts w:ascii="Times New Roman" w:hAnsi="Times New Roman" w:cs="Times New Roman"/>
          <w:sz w:val="24"/>
          <w:szCs w:val="24"/>
          <w:lang w:val="en-GB"/>
        </w:rPr>
        <w:t>than</w:t>
      </w:r>
      <w:r w:rsidR="005F2B4A" w:rsidRPr="004545BE">
        <w:rPr>
          <w:rFonts w:ascii="Times New Roman" w:hAnsi="Times New Roman" w:cs="Times New Roman"/>
          <w:sz w:val="24"/>
          <w:szCs w:val="24"/>
          <w:lang w:val="en-GB"/>
        </w:rPr>
        <w:t xml:space="preserve"> matched </w:t>
      </w:r>
      <w:r w:rsidR="00F15A07" w:rsidRPr="004545BE">
        <w:rPr>
          <w:rFonts w:ascii="Times New Roman" w:hAnsi="Times New Roman" w:cs="Times New Roman"/>
          <w:sz w:val="24"/>
          <w:szCs w:val="24"/>
          <w:lang w:val="en-GB"/>
        </w:rPr>
        <w:t>non-</w:t>
      </w:r>
      <w:r w:rsidR="005F2B4A" w:rsidRPr="004545BE">
        <w:rPr>
          <w:rFonts w:ascii="Times New Roman" w:hAnsi="Times New Roman" w:cs="Times New Roman"/>
          <w:sz w:val="24"/>
          <w:szCs w:val="24"/>
          <w:lang w:val="en-GB"/>
        </w:rPr>
        <w:t>T2DM</w:t>
      </w:r>
      <w:r w:rsidR="009A1986" w:rsidRPr="004545BE">
        <w:rPr>
          <w:rFonts w:ascii="Times New Roman" w:hAnsi="Times New Roman" w:cs="Times New Roman"/>
          <w:sz w:val="24"/>
          <w:szCs w:val="24"/>
          <w:lang w:val="en-GB"/>
        </w:rPr>
        <w:t xml:space="preserve">. </w:t>
      </w:r>
      <w:r w:rsidR="00F850D5" w:rsidRPr="004545BE">
        <w:rPr>
          <w:rFonts w:ascii="Times New Roman" w:hAnsi="Times New Roman" w:cs="Times New Roman"/>
          <w:sz w:val="24"/>
          <w:szCs w:val="24"/>
          <w:lang w:val="en-GB"/>
        </w:rPr>
        <w:t>Using</w:t>
      </w:r>
      <w:r w:rsidR="009A1986" w:rsidRPr="004545BE">
        <w:rPr>
          <w:rFonts w:ascii="Times New Roman" w:hAnsi="Times New Roman" w:cs="Times New Roman"/>
          <w:sz w:val="24"/>
          <w:szCs w:val="24"/>
          <w:lang w:val="en-GB"/>
        </w:rPr>
        <w:t xml:space="preserve"> survival analysis methods </w:t>
      </w:r>
      <w:r w:rsidR="00D3503D" w:rsidRPr="004545BE">
        <w:rPr>
          <w:rFonts w:ascii="Times New Roman" w:hAnsi="Times New Roman" w:cs="Times New Roman"/>
          <w:sz w:val="24"/>
          <w:szCs w:val="24"/>
          <w:lang w:val="en-GB"/>
        </w:rPr>
        <w:t xml:space="preserve">such as </w:t>
      </w:r>
      <w:r w:rsidR="009A1986" w:rsidRPr="004545BE">
        <w:rPr>
          <w:rFonts w:ascii="Times New Roman" w:hAnsi="Times New Roman" w:cs="Times New Roman"/>
          <w:sz w:val="24"/>
          <w:szCs w:val="24"/>
          <w:lang w:val="en-GB"/>
        </w:rPr>
        <w:t xml:space="preserve">Cox regression, T2DM patients have </w:t>
      </w:r>
      <w:r w:rsidR="004656FB" w:rsidRPr="004545BE">
        <w:rPr>
          <w:rFonts w:ascii="Times New Roman" w:hAnsi="Times New Roman" w:cs="Times New Roman"/>
          <w:sz w:val="24"/>
          <w:szCs w:val="24"/>
          <w:lang w:val="en-GB"/>
        </w:rPr>
        <w:t>a 35</w:t>
      </w:r>
      <w:r w:rsidR="005F2B4A" w:rsidRPr="004545BE">
        <w:rPr>
          <w:rFonts w:ascii="Times New Roman" w:hAnsi="Times New Roman" w:cs="Times New Roman"/>
          <w:sz w:val="24"/>
          <w:szCs w:val="24"/>
          <w:lang w:val="en-GB"/>
        </w:rPr>
        <w:t>% higher risk of hip fracture;</w:t>
      </w:r>
      <w:r w:rsidR="00E018FB" w:rsidRPr="004545BE">
        <w:rPr>
          <w:rFonts w:ascii="Times New Roman" w:hAnsi="Times New Roman" w:cs="Times New Roman"/>
          <w:sz w:val="24"/>
          <w:szCs w:val="24"/>
          <w:lang w:val="en-GB"/>
        </w:rPr>
        <w:t xml:space="preserve"> </w:t>
      </w:r>
      <w:r w:rsidR="006C0388" w:rsidRPr="004545BE">
        <w:rPr>
          <w:rFonts w:ascii="Times New Roman" w:hAnsi="Times New Roman" w:cs="Times New Roman"/>
          <w:sz w:val="24"/>
          <w:szCs w:val="24"/>
          <w:lang w:val="en-GB"/>
        </w:rPr>
        <w:t>we have shown, however, that models accounting for the differential mortality as a competing event reduce this estimate of excess risk of hip fracture amongst T2DM to</w:t>
      </w:r>
      <w:r w:rsidR="006C0388" w:rsidRPr="00893AAE">
        <w:rPr>
          <w:rFonts w:ascii="Times New Roman" w:hAnsi="Times New Roman" w:cs="Times New Roman"/>
          <w:sz w:val="24"/>
          <w:szCs w:val="24"/>
          <w:lang w:val="en-GB"/>
        </w:rPr>
        <w:t xml:space="preserve"> </w:t>
      </w:r>
      <w:r w:rsidR="00893AAE" w:rsidRPr="00893AAE">
        <w:rPr>
          <w:rFonts w:ascii="Times New Roman" w:hAnsi="Times New Roman" w:cs="Times New Roman"/>
          <w:sz w:val="24"/>
          <w:szCs w:val="24"/>
          <w:lang w:val="en-GB"/>
        </w:rPr>
        <w:t>1</w:t>
      </w:r>
      <w:r w:rsidR="00583486" w:rsidRPr="00893AAE">
        <w:rPr>
          <w:rFonts w:ascii="Times New Roman" w:hAnsi="Times New Roman" w:cs="Times New Roman"/>
          <w:sz w:val="24"/>
          <w:szCs w:val="24"/>
          <w:lang w:val="en-GB"/>
        </w:rPr>
        <w:t>5%</w:t>
      </w:r>
      <w:r w:rsidR="00183D77" w:rsidRPr="00893AAE">
        <w:rPr>
          <w:rFonts w:ascii="Times New Roman" w:hAnsi="Times New Roman" w:cs="Times New Roman"/>
          <w:sz w:val="24"/>
          <w:szCs w:val="24"/>
          <w:lang w:val="en-GB"/>
        </w:rPr>
        <w:t xml:space="preserve"> and show a 21% increased incidence of hip fracture at 5 years in T2DM participants when compared to matched non-T2DM</w:t>
      </w:r>
      <w:r w:rsidR="009A1986" w:rsidRPr="004545BE">
        <w:rPr>
          <w:rFonts w:ascii="Times New Roman" w:hAnsi="Times New Roman" w:cs="Times New Roman"/>
          <w:sz w:val="24"/>
          <w:szCs w:val="24"/>
          <w:lang w:val="en-GB"/>
        </w:rPr>
        <w:t xml:space="preserve">. </w:t>
      </w:r>
      <w:r w:rsidR="008E51FD" w:rsidRPr="004545BE">
        <w:rPr>
          <w:rFonts w:ascii="Times New Roman" w:hAnsi="Times New Roman" w:cs="Times New Roman"/>
          <w:sz w:val="24"/>
          <w:szCs w:val="24"/>
          <w:lang w:val="en-GB"/>
        </w:rPr>
        <w:t xml:space="preserve">Failure to account for competing </w:t>
      </w:r>
      <w:r w:rsidR="009A1986" w:rsidRPr="004545BE">
        <w:rPr>
          <w:rFonts w:ascii="Times New Roman" w:hAnsi="Times New Roman" w:cs="Times New Roman"/>
          <w:sz w:val="24"/>
          <w:szCs w:val="24"/>
          <w:lang w:val="en-GB"/>
        </w:rPr>
        <w:t>risk with death overestimate</w:t>
      </w:r>
      <w:r w:rsidR="002B7F36" w:rsidRPr="004545BE">
        <w:rPr>
          <w:rFonts w:ascii="Times New Roman" w:hAnsi="Times New Roman" w:cs="Times New Roman"/>
          <w:sz w:val="24"/>
          <w:szCs w:val="24"/>
          <w:lang w:val="en-GB"/>
        </w:rPr>
        <w:t>s</w:t>
      </w:r>
      <w:r w:rsidR="008E51FD" w:rsidRPr="004545BE">
        <w:rPr>
          <w:rFonts w:ascii="Times New Roman" w:hAnsi="Times New Roman" w:cs="Times New Roman"/>
          <w:sz w:val="24"/>
          <w:szCs w:val="24"/>
          <w:lang w:val="en-GB"/>
        </w:rPr>
        <w:t xml:space="preserve"> </w:t>
      </w:r>
      <w:r w:rsidR="009A1986" w:rsidRPr="004545BE">
        <w:rPr>
          <w:rFonts w:ascii="Times New Roman" w:hAnsi="Times New Roman" w:cs="Times New Roman"/>
          <w:sz w:val="24"/>
          <w:szCs w:val="24"/>
          <w:lang w:val="en-GB"/>
        </w:rPr>
        <w:t>the effect size of the association between T2DM and hip fracture risk.</w:t>
      </w:r>
    </w:p>
    <w:p w:rsidR="00D37DE9" w:rsidRPr="004545BE" w:rsidRDefault="0004086A" w:rsidP="009123BE">
      <w:pPr>
        <w:spacing w:line="480" w:lineRule="auto"/>
        <w:jc w:val="both"/>
        <w:rPr>
          <w:rFonts w:ascii="Times New Roman" w:hAnsi="Times New Roman" w:cs="Times New Roman"/>
          <w:sz w:val="24"/>
          <w:szCs w:val="24"/>
        </w:rPr>
      </w:pPr>
      <w:r w:rsidRPr="004545BE">
        <w:rPr>
          <w:rFonts w:ascii="Times New Roman" w:hAnsi="Times New Roman" w:cs="Times New Roman"/>
          <w:sz w:val="24"/>
          <w:szCs w:val="24"/>
          <w:lang w:val="en-GB"/>
        </w:rPr>
        <w:t>T2</w:t>
      </w:r>
      <w:r w:rsidR="003045A0" w:rsidRPr="004545BE">
        <w:rPr>
          <w:rFonts w:ascii="Times New Roman" w:hAnsi="Times New Roman" w:cs="Times New Roman"/>
          <w:sz w:val="24"/>
          <w:szCs w:val="24"/>
          <w:lang w:val="en-GB"/>
        </w:rPr>
        <w:t xml:space="preserve">DM is a well-known risk factor </w:t>
      </w:r>
      <w:r w:rsidR="00776C0E" w:rsidRPr="004545BE">
        <w:rPr>
          <w:rFonts w:ascii="Times New Roman" w:hAnsi="Times New Roman" w:cs="Times New Roman"/>
          <w:sz w:val="24"/>
          <w:szCs w:val="24"/>
          <w:lang w:val="en-GB"/>
        </w:rPr>
        <w:t xml:space="preserve">for </w:t>
      </w:r>
      <w:r w:rsidR="003045A0" w:rsidRPr="004545BE">
        <w:rPr>
          <w:rFonts w:ascii="Times New Roman" w:hAnsi="Times New Roman" w:cs="Times New Roman"/>
          <w:sz w:val="24"/>
          <w:szCs w:val="24"/>
          <w:lang w:val="en-GB"/>
        </w:rPr>
        <w:t xml:space="preserve">numerous health problems. </w:t>
      </w:r>
      <w:r w:rsidR="004B5D68" w:rsidRPr="004545BE">
        <w:rPr>
          <w:rFonts w:ascii="Times New Roman" w:hAnsi="Times New Roman" w:cs="Times New Roman"/>
          <w:sz w:val="24"/>
          <w:szCs w:val="24"/>
          <w:lang w:val="en-GB"/>
        </w:rPr>
        <w:t xml:space="preserve">Individuals </w:t>
      </w:r>
      <w:r w:rsidR="003045A0" w:rsidRPr="004545BE">
        <w:rPr>
          <w:rFonts w:ascii="Times New Roman" w:hAnsi="Times New Roman" w:cs="Times New Roman"/>
          <w:sz w:val="24"/>
          <w:szCs w:val="24"/>
          <w:lang w:val="en-GB"/>
        </w:rPr>
        <w:t>with high blood glucose levels during a long period are at higher risk to develop cardiovascular disease, blindness, kidney failure, and lower limb amputation. Therefore</w:t>
      </w:r>
      <w:r w:rsidR="002F22EB" w:rsidRPr="004545BE">
        <w:rPr>
          <w:rFonts w:ascii="Times New Roman" w:hAnsi="Times New Roman" w:cs="Times New Roman"/>
          <w:sz w:val="24"/>
          <w:szCs w:val="24"/>
          <w:lang w:val="en-GB"/>
        </w:rPr>
        <w:t>,</w:t>
      </w:r>
      <w:r w:rsidR="003045A0"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T2</w:t>
      </w:r>
      <w:r w:rsidR="003045A0" w:rsidRPr="004545BE">
        <w:rPr>
          <w:rFonts w:ascii="Times New Roman" w:hAnsi="Times New Roman" w:cs="Times New Roman"/>
          <w:sz w:val="24"/>
          <w:szCs w:val="24"/>
          <w:lang w:val="en-GB"/>
        </w:rPr>
        <w:t xml:space="preserve">DM is a key </w:t>
      </w:r>
      <w:r w:rsidR="00776C0E" w:rsidRPr="004545BE">
        <w:rPr>
          <w:rFonts w:ascii="Times New Roman" w:hAnsi="Times New Roman" w:cs="Times New Roman"/>
          <w:sz w:val="24"/>
          <w:szCs w:val="24"/>
          <w:lang w:val="en-GB"/>
        </w:rPr>
        <w:t>predictor</w:t>
      </w:r>
      <w:r w:rsidR="003045A0" w:rsidRPr="004545BE">
        <w:rPr>
          <w:rFonts w:ascii="Times New Roman" w:hAnsi="Times New Roman" w:cs="Times New Roman"/>
          <w:sz w:val="24"/>
          <w:szCs w:val="24"/>
          <w:lang w:val="en-GB"/>
        </w:rPr>
        <w:t>, such as smoking or hypertension, in cardiovascular risk functions</w:t>
      </w:r>
      <w:r w:rsidR="00EF4443" w:rsidRPr="004545BE">
        <w:rPr>
          <w:rFonts w:ascii="Times New Roman" w:hAnsi="Times New Roman" w:cs="Times New Roman"/>
          <w:sz w:val="24"/>
          <w:szCs w:val="24"/>
          <w:lang w:val="en-GB"/>
        </w:rPr>
        <w:fldChar w:fldCharType="begin" w:fldLock="1"/>
      </w:r>
      <w:r w:rsidR="00E018FB" w:rsidRPr="004545BE">
        <w:rPr>
          <w:rFonts w:ascii="Times New Roman" w:hAnsi="Times New Roman" w:cs="Times New Roman"/>
          <w:sz w:val="24"/>
          <w:szCs w:val="24"/>
          <w:lang w:val="en-GB"/>
        </w:rPr>
        <w:instrText>ADDIN CSL_CITATION { "citationItems" : [ { "id" : "ITEM-1", "itemData" : { "ISSN" : "0098-7484", "PMID" : "11448281", "abstract" : "CONTEXT The Framingham Heart Study produced sex-specific coronary heart disease (CHD) prediction functions for assessing risk of developing incident CHD in a white middle-class population. Concern exists regarding whether these functions can be generalized to other populations. OBJECTIVE To test the validity and transportability of the Framingham CHD prediction functions per a National Heart, Lung, and Blood Institute workshop organized for this purpose. DESIGN, SETTING, AND SUBJECTS Sex-specific CHD functions were derived from Framingham data for prediction of coronary death and myocardial infarction. These functions were applied to 6 prospectively studied, ethnically diverse cohorts (n = 23 424), including whites, blacks, Native Americans, Japanese American men, and Hispanic men: the Atherosclerosis Risk in Communities Study (1987-1988), Physicians' Health Study (1982), Honolulu Heart Program (1980-1982), Puerto Rico Heart Health Program (1965-1968), Strong Heart Study (1989-1991), and Cardiovascular Health Study (1989-1990). MAIN OUTCOME MEASURES The performance, or ability to accurately predict CHD risk, of the Framingham functions compared with the performance of risk functions developed specifically from the individual cohorts' data. Comparisons included evaluation of the equality of relative risks for standard CHD risk factors, discrimination, and calibration. RESULTS For white men and women and for black men and women the Framingham functions performed reasonably well for prediction of CHD events within 5 years of follow-up. Among Japanese American and Hispanic men and Native American women, the Framingham functions systematically overestimated the risk of 5-year CHD events. After recalibration, taking into account different prevalences of risk factors and underlying rates of developing CHD, the Framingham functions worked well in these populations. CONCLUSIONS The sex-specific Framingham CHD prediction functions perform well among whites and blacks in different settings and can be applied to other ethnic groups after recalibration for differing prevalences of risk factors and underlying rates of CHD events.", "author" : [ { "dropping-particle" : "", "family" : "D'Agostino", "given" : "R B", "non-dropping-particle" : "", "parse-names" : false, "suffix" : "" }, { "dropping-particle" : "", "family" : "Grundy", "given" : "S", "non-dropping-particle" : "", "parse-names" : false, "suffix" : "" }, { "dropping-particle" : "", "family" : "Sullivan", "given" : "L M", "non-dropping-particle" : "", "parse-names" : false, "suffix" : "" }, { "dropping-particle" : "", "family" : "Wilson", "given" : "P", "non-dropping-particle" : "", "parse-names" : false, "suffix" : "" }, { "dropping-particle" : "", "family" : "CHD Risk Prediction Group", "given" : "", "non-dropping-particle" : "", "parse-names" : false, "suffix" : "" } ], "container-title" : "JAMA", "id" : "ITEM-1", "issue" : "2", "issued" : { "date-parts" : [ [ "2001", "7", "11" ] ] }, "page" : "180-7", "title" : "Validation of the Framingham coronary heart disease prediction scores: results of a multiple ethnic groups investigation.", "type" : "article-journal", "volume" : "286" }, "uris" : [ "http://www.mendeley.com/documents/?uuid=fd3bbd5a-14ad-3077-b115-4fb537dd4259" ] }, { "id" : "ITEM-2", "itemData" : { "DOI" : "10.1016/j.ypmed.2013.12.031", "ISSN" : "00917435", "PMID" : "24412897", "abstract" : "Objective: To derive and validate a set of functions to predict coronary heart disease (CHD) and stroke, and validate the Framingham-REGICOR function. Method: Pooled analysis of 11 population-based Spanish cohorts (1992-2005) with 50,408 eligible participants. Baseline smoking, diabetes, systolic blood pressure (SBP), lipid profile, and body mass index were recorded. A ten-year follow-up included re-examinations/telephone contact and cross-linkage with mortality registries. For each sex, two models were fitted for CHD, stroke, and both end-points combined: model A was adjusted for age, smoking, and body mass index and model B for age, smoking, diabetes, SBP, total and HDL cholesterol, and for hypertension treatment by SBP, and age by smoking and by SBP interactions. Results: The 9.3-year median follow-up accumulated 2973 cardiovascular events. The C-statistic improved from model A to model B for CHD (0.66 to 0.71 for men; 0.70 to 0.74 for women) and the combined CHD-stroke end-points (0.68 to 0.71; 0.72 to 0.75, respectively), but not for stroke alone. Framingham-REGICOR had similar C-statistics but overestimated CHD risk. Conclusions: The new functions accurately estimate 10-year stroke and CHD risk in the adult population of a typical southern European country. The Framingham-REGICOR function provided similar CHD prediction but overestimated risk. \u2022A new set of coronary, cerebrovascular and cardiovascular risk functions is developed and validated.\u2022These risk functions are valid for the Spanish population aged 35 to 79years.\u2022The Framingham adapted function tends to overestimate the risk in the Spanish population. \u00a9 2014 Elsevier Inc.", "author" : [ { "dropping-particle" : "", "family" : "Marrugat", "given" : "Jaume", "non-dropping-particle" : "", "parse-names" : false, "suffix" : "" }, { "dropping-particle" : "", "family" : "Subirana", "given" : "Isaac", "non-dropping-particle" : "", "parse-names" : false, "suffix" : "" }, { "dropping-particle" : "", "family" : "Ramos", "given" : "Rafel", "non-dropping-particle" : "", "parse-names" : false, "suffix" : "" }, { "dropping-particle" : "", "family" : "Vila", "given" : "Joan", "non-dropping-particle" : "", "parse-names" : false, "suffix" : "" }, { "dropping-particle" : "", "family" : "Mar\u00edn-Iba\u00f1ez", "given" : "Alejandro", "non-dropping-particle" : "", "parse-names" : false, "suffix" : "" }, { "dropping-particle" : "", "family" : "Guembe", "given" : "Mar\u00eda Jes\u00fas", "non-dropping-particle" : "", "parse-names" : false, "suffix" : "" }, { "dropping-particle" : "", "family" : "Rigo", "given" : "Fernando", "non-dropping-particle" : "", "parse-names" : false, "suffix" : "" }, { "dropping-particle" : "", "family" : "Tormo D\u00edaz", "given" : "Mar\u00eda Jos\u00e9", "non-dropping-particle" : "", "parse-names" : false, "suffix" : "" }, { "dropping-particle" : "", "family" : "Moreno-Iribas", "given" : "Conchi", "non-dropping-particle" : "", "parse-names" : false, "suffix" : "" }, { "dropping-particle" : "", "family" : "Cabr\u00e9", "given" : "Joan Josep", "non-dropping-particle" : "", "parse-names" : false, "suffix" : "" }, { "dropping-particle" : "", "family" : "Segura", "given" : "Antonio", "non-dropping-particle" : "", "parse-names" : false, "suffix" : "" }, { "dropping-particle" : "", "family" : "Baena-D\u00edez", "given" : "Jos\u00e9 Miguel", "non-dropping-particle" : "", "parse-names" : false, "suffix" : "" }, { "dropping-particle" : "", "family" : "la C\u00e1mara", "given" : "Agust\u00edn G\u00f3mez", "non-dropping-particle" : "de", "parse-names" : false, "suffix" : "" }, { "dropping-particle" : "", "family" : "Lapetra", "given" : "Jos\u00e9", "non-dropping-particle" : "", "parse-names" : false, "suffix" : "" }, { "dropping-particle" : "", "family" : "Grau", "given" : "Mar\u00eda", "non-dropping-particle" : "", "parse-names" : false, "suffix" : "" }, { "dropping-particle" : "", "family" : "Quesada", "given" : "Miquel", "non-dropping-particle" : "", "parse-names" : false, "suffix" : "" }, { "dropping-particle" : "", "family" : "Medrano", "given" : "Mar\u00eda Jos\u00e9", "non-dropping-particle" : "", "parse-names" : false, "suffix" : "" }, { "dropping-particle" : "", "family" : "Gonz\u00e1lez Diego", "given" : "Paulino", "non-dropping-particle" : "", "parse-names" : false, "suffix" : "" }, { "dropping-particle" : "", "family" : "Frontera", "given" : "Guiem", "non-dropping-particle" : "", "parse-names" : false, "suffix" : "" }, { "dropping-particle" : "", "family" : "Gavrila", "given" : "Diana", "non-dropping-particle" : "", "parse-names" : false, "suffix" : "" }, { "dropping-particle" : "", "family" : "Aicua", "given" : "Eva Ardanaz", "non-dropping-particle" : "", "parse-names" : false, "suffix" : "" }, { "dropping-particle" : "", "family" : "Basora", "given" : "Josep", "non-dropping-particle" : "", "parse-names" : false, "suffix" : "" }, { "dropping-particle" : "", "family" : "Garc\u00eda", "given" : "Jos\u00e9 Mar\u00eda", "non-dropping-particle" : "", "parse-names" : false, "suffix" : "" }, { "dropping-particle" : "", "family" : "Garc\u00eda-Lareo", "given" : "Manuel", "non-dropping-particle" : "", "parse-names" : false, "suffix" : "" }, { "dropping-particle" : "", "family" : "Gutierrez", "given" : "Jos\u00e9 Antonio", "non-dropping-particle" : "", "parse-names" : false, "suffix" : "" }, { "dropping-particle" : "", "family" : "Mayoral", "given" : "Eduardo", "non-dropping-particle" : "", "parse-names" : false, "suffix" : "" }, { "dropping-particle" : "", "family" : "Sala", "given" : "Joan", "non-dropping-particle" : "", "parse-names" : false, "suffix" : "" }, { "dropping-particle" : "", "family" : "D'Agostino", "given" : "Ralph", "non-dropping-particle" : "", "parse-names" : false, "suffix" : "" }, { "dropping-particle" : "", "family" : "Elosua", "given" : "Roberto", "non-dropping-particle" : "", "parse-names" : false, "suffix" : "" } ], "container-title" : "Preventive Medicine", "id" : "ITEM-2", "issued" : { "date-parts" : [ [ "2014" ] ] }, "page" : "66-74", "publisher" : "Elsevier Inc.", "title" : "Derivation and validation of a set of 10-year cardiovascular risk predictive functions in Spain: The FRESCO Study", "type" : "article-journal", "volume" : "61" }, "uris" : [ "http://www.mendeley.com/documents/?uuid=81d1016a-df0f-4e0e-add3-f682d5fab56c" ] } ], "mendeley" : { "formattedCitation" : "&lt;sup&gt;27,28&lt;/sup&gt;", "plainTextFormattedCitation" : "27,28", "previouslyFormattedCitation" : "&lt;sup&gt;27,28&lt;/sup&gt;"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E018FB" w:rsidRPr="004545BE">
        <w:rPr>
          <w:rFonts w:ascii="Times New Roman" w:hAnsi="Times New Roman" w:cs="Times New Roman"/>
          <w:noProof/>
          <w:sz w:val="24"/>
          <w:szCs w:val="24"/>
          <w:vertAlign w:val="superscript"/>
          <w:lang w:val="en-GB"/>
        </w:rPr>
        <w:t>27,28</w:t>
      </w:r>
      <w:r w:rsidR="00EF4443" w:rsidRPr="004545BE">
        <w:rPr>
          <w:rFonts w:ascii="Times New Roman" w:hAnsi="Times New Roman" w:cs="Times New Roman"/>
          <w:sz w:val="24"/>
          <w:szCs w:val="24"/>
          <w:lang w:val="en-GB"/>
        </w:rPr>
        <w:fldChar w:fldCharType="end"/>
      </w:r>
      <w:r w:rsidR="003045A0" w:rsidRPr="004545BE">
        <w:rPr>
          <w:rFonts w:ascii="Times New Roman" w:hAnsi="Times New Roman" w:cs="Times New Roman"/>
          <w:sz w:val="24"/>
          <w:szCs w:val="24"/>
          <w:lang w:val="en-GB"/>
        </w:rPr>
        <w:t xml:space="preserve">. </w:t>
      </w:r>
      <w:r w:rsidR="00776C0E" w:rsidRPr="004545BE">
        <w:rPr>
          <w:rFonts w:ascii="Times New Roman" w:hAnsi="Times New Roman" w:cs="Times New Roman"/>
          <w:sz w:val="24"/>
          <w:szCs w:val="24"/>
          <w:lang w:val="en-GB"/>
        </w:rPr>
        <w:t xml:space="preserve">This does therefore explain the known increased </w:t>
      </w:r>
      <w:r w:rsidR="003045A0" w:rsidRPr="004545BE">
        <w:rPr>
          <w:rFonts w:ascii="Times New Roman" w:hAnsi="Times New Roman" w:cs="Times New Roman"/>
          <w:sz w:val="24"/>
          <w:szCs w:val="24"/>
          <w:lang w:val="en-GB"/>
        </w:rPr>
        <w:t xml:space="preserve">mortality </w:t>
      </w:r>
      <w:r w:rsidR="00776C0E" w:rsidRPr="004545BE">
        <w:rPr>
          <w:rFonts w:ascii="Times New Roman" w:hAnsi="Times New Roman" w:cs="Times New Roman"/>
          <w:sz w:val="24"/>
          <w:szCs w:val="24"/>
          <w:lang w:val="en-GB"/>
        </w:rPr>
        <w:t xml:space="preserve">associated with this long-term </w:t>
      </w:r>
      <w:r w:rsidR="00776C0E" w:rsidRPr="004545BE">
        <w:rPr>
          <w:rFonts w:ascii="Times New Roman" w:hAnsi="Times New Roman" w:cs="Times New Roman"/>
          <w:sz w:val="24"/>
          <w:szCs w:val="24"/>
          <w:lang w:val="en-GB"/>
        </w:rPr>
        <w:lastRenderedPageBreak/>
        <w:t>condition</w:t>
      </w:r>
      <w:r w:rsidR="00EF4443" w:rsidRPr="004545BE">
        <w:rPr>
          <w:rFonts w:ascii="Times New Roman" w:hAnsi="Times New Roman" w:cs="Times New Roman"/>
          <w:sz w:val="24"/>
          <w:szCs w:val="24"/>
          <w:lang w:val="en-GB"/>
        </w:rPr>
        <w:fldChar w:fldCharType="begin" w:fldLock="1"/>
      </w:r>
      <w:r w:rsidR="00E018FB" w:rsidRPr="004545BE">
        <w:rPr>
          <w:rFonts w:ascii="Times New Roman" w:hAnsi="Times New Roman" w:cs="Times New Roman"/>
          <w:sz w:val="24"/>
          <w:szCs w:val="24"/>
          <w:lang w:val="en-GB"/>
        </w:rPr>
        <w:instrText>ADDIN CSL_CITATION { "citationItems" : [ { "id" : "ITEM-1", "itemData" : { "DOI" : "10.1177/1474651413495703", "ISSN" : "1474-6514", "abstract" : "Background:Type 2 diabetes is associated with an increase in age-related mortality. A systematic review and meta-analysis were performed to define the relative risks (RR) of all-cause or cause-specific mortality in type 2 diabetes and to determine gaps in current research.Methods:A comprehensive literature search was undertaken for studies (published 1990\u20132010) on mortality in type 2 diabetes. The study reports on the measure of mortality as defined by RR for all-cause and cause-specific mortality, heterogeneity, sensitivity analyses and biases.Results:In total 35 studies (220,689 patients; mean follow-up of 10.7 years) were eligible for inclusion: 33 studies reported increased mortality risks; 24 had full data on 95% confidence intervals (CIs), one study reported no excess mortality in men diagnosed after 65 years whereas three reported increased mortality in similar age groups in both sexes. Meta-analysis showed RR = 1.85 (95% CI 1.79\u20131.92) for all-cause mortality [men RR=1.57 (95% CI 1.46\u20131.68); women ...", "author" : [ { "dropping-particle" : "", "family" : "Nwaneri", "given" : "C.", "non-dropping-particle" : "", "parse-names" : false, "suffix" : "" }, { "dropping-particle" : "", "family" : "Cooper", "given" : "H.", "non-dropping-particle" : "", "parse-names" : false, "suffix" : "" }, { "dropping-particle" : "", "family" : "Bowen-Jones", "given" : "D.", "non-dropping-particle" : "", "parse-names" : false, "suffix" : "" } ], "container-title" : "The British Journal of Diabetes &amp; Vascular Disease", "id" : "ITEM-1", "issue" : "4", "issued" : { "date-parts" : [ [ "2013", "7", "1" ] ] }, "page" : "192-207", "publisher" : "SAGE PublicationsSage UK: London, England", "title" : "Mortality in type 2 diabetes mellitus: magnitude of the evidence from a systematic review and meta-analysis", "type" : "article-journal", "volume" : "13" }, "uris" : [ "http://www.mendeley.com/documents/?uuid=2b94984f-8f2e-3b0a-a6ba-33a8e1361d4b" ] } ], "mendeley" : { "formattedCitation" : "&lt;sup&gt;7&lt;/sup&gt;", "plainTextFormattedCitation" : "7", "previouslyFormattedCitation" : "&lt;sup&gt;7&lt;/sup&gt;"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E018FB" w:rsidRPr="004545BE">
        <w:rPr>
          <w:rFonts w:ascii="Times New Roman" w:hAnsi="Times New Roman" w:cs="Times New Roman"/>
          <w:noProof/>
          <w:sz w:val="24"/>
          <w:szCs w:val="24"/>
          <w:vertAlign w:val="superscript"/>
          <w:lang w:val="en-GB"/>
        </w:rPr>
        <w:t>7</w:t>
      </w:r>
      <w:r w:rsidR="00EF4443" w:rsidRPr="004545BE">
        <w:rPr>
          <w:rFonts w:ascii="Times New Roman" w:hAnsi="Times New Roman" w:cs="Times New Roman"/>
          <w:sz w:val="24"/>
          <w:szCs w:val="24"/>
          <w:lang w:val="en-GB"/>
        </w:rPr>
        <w:fldChar w:fldCharType="end"/>
      </w:r>
      <w:r w:rsidR="008E0E32" w:rsidRPr="004545BE">
        <w:rPr>
          <w:rFonts w:ascii="Times New Roman" w:hAnsi="Times New Roman" w:cs="Times New Roman"/>
          <w:sz w:val="24"/>
          <w:szCs w:val="24"/>
          <w:lang w:val="en-GB"/>
        </w:rPr>
        <w:t>.</w:t>
      </w:r>
      <w:r w:rsidR="006C0388" w:rsidRPr="004545BE">
        <w:rPr>
          <w:rFonts w:ascii="Times New Roman" w:hAnsi="Times New Roman" w:cs="Times New Roman"/>
          <w:sz w:val="24"/>
          <w:szCs w:val="24"/>
          <w:lang w:val="en-GB"/>
        </w:rPr>
        <w:t xml:space="preserve"> In addition, previous studies have also shown that T2DM patients have higher hip fracture risk with </w:t>
      </w:r>
      <w:r w:rsidR="00A911EF" w:rsidRPr="004545BE">
        <w:rPr>
          <w:rFonts w:ascii="Times New Roman" w:hAnsi="Times New Roman" w:cs="Times New Roman"/>
          <w:sz w:val="24"/>
          <w:szCs w:val="24"/>
          <w:lang w:val="en-GB"/>
        </w:rPr>
        <w:t xml:space="preserve">a 38% increase </w:t>
      </w:r>
      <w:r w:rsidR="006C0388" w:rsidRPr="004545BE">
        <w:rPr>
          <w:rFonts w:ascii="Times New Roman" w:hAnsi="Times New Roman" w:cs="Times New Roman"/>
          <w:sz w:val="24"/>
          <w:szCs w:val="24"/>
          <w:lang w:val="en-GB"/>
        </w:rPr>
        <w:t>compared to non-T2DM</w:t>
      </w:r>
      <w:r w:rsidR="00EF4443" w:rsidRPr="004545BE">
        <w:rPr>
          <w:rFonts w:ascii="Times New Roman" w:hAnsi="Times New Roman" w:cs="Times New Roman"/>
          <w:sz w:val="24"/>
          <w:szCs w:val="24"/>
          <w:lang w:val="en-GB"/>
        </w:rPr>
        <w:fldChar w:fldCharType="begin" w:fldLock="1"/>
      </w:r>
      <w:r w:rsidR="00E018FB" w:rsidRPr="004545BE">
        <w:rPr>
          <w:rFonts w:ascii="Times New Roman" w:hAnsi="Times New Roman" w:cs="Times New Roman"/>
          <w:sz w:val="24"/>
          <w:szCs w:val="24"/>
          <w:lang w:val="en-GB"/>
        </w:rPr>
        <w:instrText>ADDIN CSL_CITATION { "citationItems" : [ { "id" : "ITEM-1", "itemData" : { "DOI" : "10.1007/s00198-006-0253-4", "ISBN" : "0937-941X", "ISSN" : "0937-941X", "PMID" : "17068657", "abstract" : "INTRODUCTION AND HYPOTHESIS: Diabetes affects bone metabolism. The hypothesis was that type 1 (T1D) and type 2 (T2D) affects BMD and fracture risk differently. MATERIAL AND METHODS: Pubmed, Embase, and Web of Science were searched using the terms \"diabetes\", \"fracture\", and \"bone mineral\". RESULTS: Hip fracture risk was increased in T1D (RR = 6.94, 95% CI: 3.25-14.78, five studies) and T2D (1.38, 95% CI: 1.25-1.53, eight studies) compared to subjects without diabetes. The increase in relative hip fracture risk was significantly higher in T1D than in T2D. BMD Z-score was decreased in the spine (mean +/- SEM -0.22 +/- 0.01) and hip (-0.37 +/- 0.16) in T1D and increased in the spine (0.41 +/- 0.01) and hip (0.27 +/- 0.01) in T2D. A meta-regression showed that body mass index (BMI) was a major determinant for BMD in both the spine and hip. Glycated haemoglobin (HbA1C) was not linked to BMD. The increase in fracture risk was higher and BMD lower in patients with complications to diabetes. CONCLUSIONS: Hip fracture risk is increased in both T1D and T2D, whereas BMD is increased in T2D and decreased in T1D. A common factor such as complications may explain the increase in fracture risk, whereas BMI may ameliorate the increase in fracture risk in T2D.", "author" : [ { "dropping-particle" : "", "family" : "Vestergaard", "given" : "P", "non-dropping-particle" : "", "parse-names" : false, "suffix" : "" } ], "container-title" : "Osteoporosis international : a journal established as result of cooperation between the European Foundation for Osteoporosis and the National Osteoporosis Foundation of the USA", "id" : "ITEM-1", "issue" : "4", "issued" : { "date-parts" : [ [ "2007" ] ] }, "page" : "427-444", "title" : "Discrepancies in bone mineral density and fracture risk in patients with type 1 and type 2 diabetes--a meta-analysis.", "type" : "article-journal", "volume" : "18" }, "uris" : [ "http://www.mendeley.com/documents/?uuid=d173da25-325e-4f6b-a3aa-37ac82bfdf36" ] } ], "mendeley" : { "formattedCitation" : "&lt;sup&gt;11&lt;/sup&gt;", "plainTextFormattedCitation" : "11", "previouslyFormattedCitation" : "&lt;sup&gt;11&lt;/sup&gt;"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E018FB" w:rsidRPr="004545BE">
        <w:rPr>
          <w:rFonts w:ascii="Times New Roman" w:hAnsi="Times New Roman" w:cs="Times New Roman"/>
          <w:noProof/>
          <w:sz w:val="24"/>
          <w:szCs w:val="24"/>
          <w:vertAlign w:val="superscript"/>
          <w:lang w:val="en-GB"/>
        </w:rPr>
        <w:t>11</w:t>
      </w:r>
      <w:r w:rsidR="00EF4443" w:rsidRPr="004545BE">
        <w:rPr>
          <w:rFonts w:ascii="Times New Roman" w:hAnsi="Times New Roman" w:cs="Times New Roman"/>
          <w:sz w:val="24"/>
          <w:szCs w:val="24"/>
          <w:lang w:val="en-GB"/>
        </w:rPr>
        <w:fldChar w:fldCharType="end"/>
      </w:r>
      <w:r w:rsidR="006C0388" w:rsidRPr="004545BE">
        <w:rPr>
          <w:rFonts w:ascii="Times New Roman" w:hAnsi="Times New Roman" w:cs="Times New Roman"/>
          <w:sz w:val="24"/>
          <w:szCs w:val="24"/>
          <w:lang w:val="en-GB"/>
        </w:rPr>
        <w:t>.</w:t>
      </w:r>
      <w:r w:rsidR="000E1954" w:rsidRPr="004545BE">
        <w:rPr>
          <w:rFonts w:ascii="Times New Roman" w:hAnsi="Times New Roman" w:cs="Times New Roman"/>
          <w:sz w:val="24"/>
          <w:szCs w:val="24"/>
          <w:lang w:val="en-GB"/>
        </w:rPr>
        <w:t xml:space="preserve"> </w:t>
      </w:r>
    </w:p>
    <w:p w:rsidR="0004086A" w:rsidRPr="004545BE" w:rsidRDefault="00D37DE9" w:rsidP="009123BE">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 xml:space="preserve">The existence of these two parallel associations </w:t>
      </w:r>
      <w:r w:rsidR="008D39DA" w:rsidRPr="004545BE">
        <w:rPr>
          <w:rFonts w:ascii="Times New Roman" w:hAnsi="Times New Roman" w:cs="Times New Roman"/>
          <w:sz w:val="24"/>
          <w:szCs w:val="24"/>
          <w:lang w:val="en-GB"/>
        </w:rPr>
        <w:t xml:space="preserve">is a crucial </w:t>
      </w:r>
      <w:r w:rsidRPr="004545BE">
        <w:rPr>
          <w:rFonts w:ascii="Times New Roman" w:hAnsi="Times New Roman" w:cs="Times New Roman"/>
          <w:sz w:val="24"/>
          <w:szCs w:val="24"/>
          <w:lang w:val="en-GB"/>
        </w:rPr>
        <w:t>methodological conundrum, as death preclude</w:t>
      </w:r>
      <w:r w:rsidR="007F4E88" w:rsidRPr="004545BE">
        <w:rPr>
          <w:rFonts w:ascii="Times New Roman" w:hAnsi="Times New Roman" w:cs="Times New Roman"/>
          <w:sz w:val="24"/>
          <w:szCs w:val="24"/>
          <w:lang w:val="en-GB"/>
        </w:rPr>
        <w:t>s</w:t>
      </w:r>
      <w:r w:rsidRPr="004545BE">
        <w:rPr>
          <w:rFonts w:ascii="Times New Roman" w:hAnsi="Times New Roman" w:cs="Times New Roman"/>
          <w:sz w:val="24"/>
          <w:szCs w:val="24"/>
          <w:lang w:val="en-GB"/>
        </w:rPr>
        <w:t xml:space="preserve"> the occurrence of a hip fracture. Therefore, </w:t>
      </w:r>
      <w:r w:rsidR="008D39DA" w:rsidRPr="004545BE">
        <w:rPr>
          <w:rFonts w:ascii="Times New Roman" w:hAnsi="Times New Roman" w:cs="Times New Roman"/>
          <w:sz w:val="24"/>
          <w:szCs w:val="24"/>
          <w:lang w:val="en-GB"/>
        </w:rPr>
        <w:t xml:space="preserve">the competing risks </w:t>
      </w:r>
      <w:r w:rsidRPr="004545BE">
        <w:rPr>
          <w:rFonts w:ascii="Times New Roman" w:hAnsi="Times New Roman" w:cs="Times New Roman"/>
          <w:sz w:val="24"/>
          <w:szCs w:val="24"/>
          <w:lang w:val="en-GB"/>
        </w:rPr>
        <w:t xml:space="preserve">with </w:t>
      </w:r>
      <w:r w:rsidR="008D39DA" w:rsidRPr="004545BE">
        <w:rPr>
          <w:rFonts w:ascii="Times New Roman" w:hAnsi="Times New Roman" w:cs="Times New Roman"/>
          <w:sz w:val="24"/>
          <w:szCs w:val="24"/>
          <w:lang w:val="en-GB"/>
        </w:rPr>
        <w:t xml:space="preserve">death should be taken into account when </w:t>
      </w:r>
      <w:r w:rsidRPr="004545BE">
        <w:rPr>
          <w:rFonts w:ascii="Times New Roman" w:hAnsi="Times New Roman" w:cs="Times New Roman"/>
          <w:sz w:val="24"/>
          <w:szCs w:val="24"/>
          <w:lang w:val="en-GB"/>
        </w:rPr>
        <w:t xml:space="preserve">analysing </w:t>
      </w:r>
      <w:r w:rsidR="008D39DA" w:rsidRPr="004545BE">
        <w:rPr>
          <w:rFonts w:ascii="Times New Roman" w:hAnsi="Times New Roman" w:cs="Times New Roman"/>
          <w:sz w:val="24"/>
          <w:szCs w:val="24"/>
          <w:lang w:val="en-GB"/>
        </w:rPr>
        <w:t xml:space="preserve">the </w:t>
      </w:r>
      <w:r w:rsidRPr="004545BE">
        <w:rPr>
          <w:rFonts w:ascii="Times New Roman" w:hAnsi="Times New Roman" w:cs="Times New Roman"/>
          <w:sz w:val="24"/>
          <w:szCs w:val="24"/>
          <w:lang w:val="en-GB"/>
        </w:rPr>
        <w:t>association between T2DM and fractures</w:t>
      </w:r>
      <w:r w:rsidR="008D39DA" w:rsidRPr="004545BE">
        <w:rPr>
          <w:rFonts w:ascii="Times New Roman" w:hAnsi="Times New Roman" w:cs="Times New Roman"/>
          <w:sz w:val="24"/>
          <w:szCs w:val="24"/>
          <w:lang w:val="en-GB"/>
        </w:rPr>
        <w:t xml:space="preserve">. </w:t>
      </w:r>
      <w:r w:rsidR="008E0E32" w:rsidRPr="004545BE">
        <w:rPr>
          <w:rFonts w:ascii="Times New Roman" w:hAnsi="Times New Roman" w:cs="Times New Roman"/>
          <w:sz w:val="24"/>
          <w:szCs w:val="24"/>
          <w:lang w:val="en-GB"/>
        </w:rPr>
        <w:t>However</w:t>
      </w:r>
      <w:r w:rsidRPr="004545BE">
        <w:rPr>
          <w:rFonts w:ascii="Times New Roman" w:hAnsi="Times New Roman" w:cs="Times New Roman"/>
          <w:sz w:val="24"/>
          <w:szCs w:val="24"/>
          <w:lang w:val="en-GB"/>
        </w:rPr>
        <w:t>,</w:t>
      </w:r>
      <w:r w:rsidR="008E0E32" w:rsidRPr="004545BE">
        <w:rPr>
          <w:rFonts w:ascii="Times New Roman" w:hAnsi="Times New Roman" w:cs="Times New Roman"/>
          <w:sz w:val="24"/>
          <w:szCs w:val="24"/>
          <w:lang w:val="en-GB"/>
        </w:rPr>
        <w:t xml:space="preserve"> most of th</w:t>
      </w:r>
      <w:r w:rsidRPr="004545BE">
        <w:rPr>
          <w:rFonts w:ascii="Times New Roman" w:hAnsi="Times New Roman" w:cs="Times New Roman"/>
          <w:sz w:val="24"/>
          <w:szCs w:val="24"/>
          <w:lang w:val="en-GB"/>
        </w:rPr>
        <w:t xml:space="preserve">e existing literature fails by using classic methods such as Cox </w:t>
      </w:r>
      <w:r w:rsidR="00966764" w:rsidRPr="004545BE">
        <w:rPr>
          <w:rFonts w:ascii="Times New Roman" w:hAnsi="Times New Roman" w:cs="Times New Roman"/>
          <w:sz w:val="24"/>
          <w:szCs w:val="24"/>
          <w:lang w:val="en-GB"/>
        </w:rPr>
        <w:t>PH</w:t>
      </w:r>
      <w:r w:rsidR="009C0A7E" w:rsidRPr="004545BE">
        <w:rPr>
          <w:rFonts w:ascii="Times New Roman" w:hAnsi="Times New Roman" w:cs="Times New Roman"/>
          <w:sz w:val="24"/>
          <w:szCs w:val="24"/>
          <w:lang w:val="en-GB"/>
        </w:rPr>
        <w:t xml:space="preserve"> with data death censored</w:t>
      </w:r>
      <w:r w:rsidR="00966764" w:rsidRPr="004545BE">
        <w:rPr>
          <w:rFonts w:ascii="Times New Roman" w:hAnsi="Times New Roman" w:cs="Times New Roman"/>
          <w:sz w:val="24"/>
          <w:szCs w:val="24"/>
          <w:lang w:val="en-GB"/>
        </w:rPr>
        <w:t>.</w:t>
      </w:r>
      <w:r w:rsidRPr="004545BE">
        <w:rPr>
          <w:rFonts w:ascii="Times New Roman" w:hAnsi="Times New Roman" w:cs="Times New Roman"/>
          <w:sz w:val="24"/>
          <w:szCs w:val="24"/>
          <w:lang w:val="en-GB"/>
        </w:rPr>
        <w:t xml:space="preserve"> </w:t>
      </w:r>
      <w:r w:rsidR="009C0A7E" w:rsidRPr="004545BE">
        <w:rPr>
          <w:rFonts w:ascii="Times New Roman" w:hAnsi="Times New Roman" w:cs="Times New Roman"/>
          <w:sz w:val="24"/>
          <w:szCs w:val="24"/>
          <w:lang w:val="en-GB"/>
        </w:rPr>
        <w:t xml:space="preserve">For </w:t>
      </w:r>
      <w:r w:rsidR="00A96C40" w:rsidRPr="004545BE">
        <w:rPr>
          <w:rFonts w:ascii="Times New Roman" w:hAnsi="Times New Roman" w:cs="Times New Roman"/>
          <w:sz w:val="24"/>
          <w:szCs w:val="24"/>
          <w:lang w:val="en-GB"/>
        </w:rPr>
        <w:t>illustration, in</w:t>
      </w:r>
      <w:r w:rsidR="009C0A7E" w:rsidRPr="004545BE">
        <w:rPr>
          <w:rFonts w:ascii="Times New Roman" w:hAnsi="Times New Roman" w:cs="Times New Roman"/>
          <w:sz w:val="24"/>
          <w:szCs w:val="24"/>
          <w:lang w:val="en-GB"/>
        </w:rPr>
        <w:t xml:space="preserve"> the </w:t>
      </w:r>
      <w:r w:rsidR="000E1954" w:rsidRPr="004545BE">
        <w:rPr>
          <w:rFonts w:ascii="Times New Roman" w:hAnsi="Times New Roman" w:cs="Times New Roman"/>
          <w:sz w:val="24"/>
          <w:szCs w:val="24"/>
          <w:lang w:val="en-GB"/>
        </w:rPr>
        <w:t>eight</w:t>
      </w:r>
      <w:r w:rsidR="009C0A7E" w:rsidRPr="004545BE">
        <w:rPr>
          <w:rFonts w:ascii="Times New Roman" w:hAnsi="Times New Roman" w:cs="Times New Roman"/>
          <w:sz w:val="24"/>
          <w:szCs w:val="24"/>
          <w:lang w:val="en-GB"/>
        </w:rPr>
        <w:t xml:space="preserve"> studies used in the metanalysis </w:t>
      </w:r>
      <w:r w:rsidR="00423642" w:rsidRPr="004545BE">
        <w:rPr>
          <w:rFonts w:ascii="Times New Roman" w:hAnsi="Times New Roman" w:cs="Times New Roman"/>
          <w:sz w:val="24"/>
          <w:szCs w:val="24"/>
          <w:lang w:val="en-GB"/>
        </w:rPr>
        <w:t>by Vestergaard</w:t>
      </w:r>
      <w:r w:rsidR="00EF4443" w:rsidRPr="004545BE">
        <w:rPr>
          <w:rFonts w:ascii="Times New Roman" w:hAnsi="Times New Roman" w:cs="Times New Roman"/>
          <w:sz w:val="24"/>
          <w:szCs w:val="24"/>
          <w:lang w:val="en-GB"/>
        </w:rPr>
        <w:fldChar w:fldCharType="begin" w:fldLock="1"/>
      </w:r>
      <w:r w:rsidR="00E018FB" w:rsidRPr="004545BE">
        <w:rPr>
          <w:rFonts w:ascii="Times New Roman" w:hAnsi="Times New Roman" w:cs="Times New Roman"/>
          <w:sz w:val="24"/>
          <w:szCs w:val="24"/>
          <w:lang w:val="en-GB"/>
        </w:rPr>
        <w:instrText>ADDIN CSL_CITATION { "citationItems" : [ { "id" : "ITEM-1", "itemData" : { "DOI" : "10.1007/s00198-006-0253-4", "ISBN" : "0937-941X", "ISSN" : "0937-941X", "PMID" : "17068657", "abstract" : "INTRODUCTION AND HYPOTHESIS: Diabetes affects bone metabolism. The hypothesis was that type 1 (T1D) and type 2 (T2D) affects BMD and fracture risk differently. MATERIAL AND METHODS: Pubmed, Embase, and Web of Science were searched using the terms \"diabetes\", \"fracture\", and \"bone mineral\". RESULTS: Hip fracture risk was increased in T1D (RR = 6.94, 95% CI: 3.25-14.78, five studies) and T2D (1.38, 95% CI: 1.25-1.53, eight studies) compared to subjects without diabetes. The increase in relative hip fracture risk was significantly higher in T1D than in T2D. BMD Z-score was decreased in the spine (mean +/- SEM -0.22 +/- 0.01) and hip (-0.37 +/- 0.16) in T1D and increased in the spine (0.41 +/- 0.01) and hip (0.27 +/- 0.01) in T2D. A meta-regression showed that body mass index (BMI) was a major determinant for BMD in both the spine and hip. Glycated haemoglobin (HbA1C) was not linked to BMD. The increase in fracture risk was higher and BMD lower in patients with complications to diabetes. CONCLUSIONS: Hip fracture risk is increased in both T1D and T2D, whereas BMD is increased in T2D and decreased in T1D. A common factor such as complications may explain the increase in fracture risk, whereas BMI may ameliorate the increase in fracture risk in T2D.", "author" : [ { "dropping-particle" : "", "family" : "Vestergaard", "given" : "P", "non-dropping-particle" : "", "parse-names" : false, "suffix" : "" } ], "container-title" : "Osteoporosis international : a journal established as result of cooperation between the European Foundation for Osteoporosis and the National Osteoporosis Foundation of the USA", "id" : "ITEM-1", "issue" : "4", "issued" : { "date-parts" : [ [ "2007" ] ] }, "page" : "427-444", "title" : "Discrepancies in bone mineral density and fracture risk in patients with type 1 and type 2 diabetes--a meta-analysis.", "type" : "article-journal", "volume" : "18" }, "uris" : [ "http://www.mendeley.com/documents/?uuid=d173da25-325e-4f6b-a3aa-37ac82bfdf36" ] } ], "mendeley" : { "formattedCitation" : "&lt;sup&gt;11&lt;/sup&gt;", "plainTextFormattedCitation" : "11", "previouslyFormattedCitation" : "&lt;sup&gt;11&lt;/sup&gt;"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E018FB" w:rsidRPr="004545BE">
        <w:rPr>
          <w:rFonts w:ascii="Times New Roman" w:hAnsi="Times New Roman" w:cs="Times New Roman"/>
          <w:noProof/>
          <w:sz w:val="24"/>
          <w:szCs w:val="24"/>
          <w:vertAlign w:val="superscript"/>
          <w:lang w:val="en-GB"/>
        </w:rPr>
        <w:t>11</w:t>
      </w:r>
      <w:r w:rsidR="00EF4443" w:rsidRPr="004545BE">
        <w:rPr>
          <w:rFonts w:ascii="Times New Roman" w:hAnsi="Times New Roman" w:cs="Times New Roman"/>
          <w:sz w:val="24"/>
          <w:szCs w:val="24"/>
          <w:lang w:val="en-GB"/>
        </w:rPr>
        <w:fldChar w:fldCharType="end"/>
      </w:r>
      <w:r w:rsidR="00E018FB" w:rsidRPr="004545BE">
        <w:rPr>
          <w:rFonts w:ascii="Times New Roman" w:hAnsi="Times New Roman" w:cs="Times New Roman"/>
          <w:sz w:val="24"/>
          <w:szCs w:val="24"/>
          <w:lang w:val="en-GB"/>
        </w:rPr>
        <w:t xml:space="preserve"> </w:t>
      </w:r>
      <w:r w:rsidR="00423642" w:rsidRPr="004545BE">
        <w:rPr>
          <w:rFonts w:ascii="Times New Roman" w:hAnsi="Times New Roman" w:cs="Times New Roman"/>
          <w:sz w:val="24"/>
          <w:szCs w:val="24"/>
          <w:lang w:val="en-GB"/>
        </w:rPr>
        <w:t xml:space="preserve">all </w:t>
      </w:r>
      <w:r w:rsidR="009C0A7E" w:rsidRPr="004545BE">
        <w:rPr>
          <w:rFonts w:ascii="Times New Roman" w:hAnsi="Times New Roman" w:cs="Times New Roman"/>
          <w:sz w:val="24"/>
          <w:szCs w:val="24"/>
          <w:lang w:val="en-GB"/>
        </w:rPr>
        <w:t xml:space="preserve">use Cox PH </w:t>
      </w:r>
      <w:r w:rsidR="0060159C" w:rsidRPr="004545BE">
        <w:rPr>
          <w:rFonts w:ascii="Times New Roman" w:hAnsi="Times New Roman" w:cs="Times New Roman"/>
          <w:sz w:val="24"/>
          <w:szCs w:val="24"/>
          <w:lang w:val="en-GB"/>
        </w:rPr>
        <w:t xml:space="preserve">taking </w:t>
      </w:r>
      <w:r w:rsidR="00A96C40" w:rsidRPr="004545BE">
        <w:rPr>
          <w:rFonts w:ascii="Times New Roman" w:hAnsi="Times New Roman" w:cs="Times New Roman"/>
          <w:sz w:val="24"/>
          <w:szCs w:val="24"/>
          <w:lang w:val="en-GB"/>
        </w:rPr>
        <w:t xml:space="preserve">with </w:t>
      </w:r>
      <w:r w:rsidR="009C0A7E" w:rsidRPr="004545BE">
        <w:rPr>
          <w:rFonts w:ascii="Times New Roman" w:hAnsi="Times New Roman" w:cs="Times New Roman"/>
          <w:sz w:val="24"/>
          <w:szCs w:val="24"/>
          <w:lang w:val="en-GB"/>
        </w:rPr>
        <w:t>death censored</w:t>
      </w:r>
      <w:r w:rsidR="0060159C" w:rsidRPr="004545BE">
        <w:rPr>
          <w:rFonts w:ascii="Times New Roman" w:hAnsi="Times New Roman" w:cs="Times New Roman"/>
          <w:sz w:val="24"/>
          <w:szCs w:val="24"/>
          <w:lang w:val="en-GB"/>
        </w:rPr>
        <w:t xml:space="preserve"> </w:t>
      </w:r>
      <w:r w:rsidR="009C0A7E" w:rsidRPr="004545BE">
        <w:rPr>
          <w:rFonts w:ascii="Times New Roman" w:hAnsi="Times New Roman" w:cs="Times New Roman"/>
          <w:sz w:val="24"/>
          <w:szCs w:val="24"/>
          <w:lang w:val="en-GB"/>
        </w:rPr>
        <w:t>to estimate the effects of diabetes on the hazard of hip fracture</w:t>
      </w:r>
      <w:r w:rsidR="00327C81" w:rsidRPr="004545BE">
        <w:rPr>
          <w:rFonts w:ascii="Times New Roman" w:hAnsi="Times New Roman" w:cs="Times New Roman"/>
          <w:sz w:val="24"/>
          <w:szCs w:val="24"/>
          <w:lang w:val="en-GB"/>
        </w:rPr>
        <w:t xml:space="preserve">. </w:t>
      </w:r>
      <w:r w:rsidR="0060159C" w:rsidRPr="004545BE">
        <w:rPr>
          <w:rFonts w:ascii="Times New Roman" w:hAnsi="Times New Roman" w:cs="Times New Roman"/>
          <w:sz w:val="24"/>
          <w:szCs w:val="24"/>
          <w:lang w:val="en-GB"/>
        </w:rPr>
        <w:t xml:space="preserve">In a competing event </w:t>
      </w:r>
      <w:r w:rsidR="00916055" w:rsidRPr="004545BE">
        <w:rPr>
          <w:rFonts w:ascii="Times New Roman" w:hAnsi="Times New Roman" w:cs="Times New Roman"/>
          <w:sz w:val="24"/>
          <w:szCs w:val="24"/>
          <w:lang w:val="en-GB"/>
        </w:rPr>
        <w:t>scenario,</w:t>
      </w:r>
      <w:r w:rsidR="0060159C" w:rsidRPr="004545BE">
        <w:rPr>
          <w:rFonts w:ascii="Times New Roman" w:hAnsi="Times New Roman" w:cs="Times New Roman"/>
          <w:sz w:val="24"/>
          <w:szCs w:val="24"/>
          <w:lang w:val="en-GB"/>
        </w:rPr>
        <w:t xml:space="preserve"> there is no correspondence between cause-specific hazard and cumulative incidence thus </w:t>
      </w:r>
      <w:r w:rsidR="00A96C40" w:rsidRPr="004545BE">
        <w:rPr>
          <w:rFonts w:ascii="Times New Roman" w:hAnsi="Times New Roman" w:cs="Times New Roman"/>
          <w:sz w:val="24"/>
          <w:szCs w:val="24"/>
          <w:lang w:val="en-GB"/>
        </w:rPr>
        <w:t xml:space="preserve">failure to </w:t>
      </w:r>
      <w:r w:rsidR="0060159C" w:rsidRPr="004545BE">
        <w:rPr>
          <w:rFonts w:ascii="Times New Roman" w:hAnsi="Times New Roman" w:cs="Times New Roman"/>
          <w:sz w:val="24"/>
          <w:szCs w:val="24"/>
          <w:lang w:val="en-GB"/>
        </w:rPr>
        <w:t xml:space="preserve">account for death as a competing risk </w:t>
      </w:r>
      <w:r w:rsidR="00A96C40" w:rsidRPr="004545BE">
        <w:rPr>
          <w:rFonts w:ascii="Times New Roman" w:hAnsi="Times New Roman" w:cs="Times New Roman"/>
          <w:sz w:val="24"/>
          <w:szCs w:val="24"/>
          <w:lang w:val="en-GB"/>
        </w:rPr>
        <w:t xml:space="preserve">results in </w:t>
      </w:r>
      <w:r w:rsidR="0060159C" w:rsidRPr="004545BE">
        <w:rPr>
          <w:rFonts w:ascii="Times New Roman" w:hAnsi="Times New Roman" w:cs="Times New Roman"/>
          <w:sz w:val="24"/>
          <w:szCs w:val="24"/>
          <w:lang w:val="en-GB"/>
        </w:rPr>
        <w:t>an unrealistic estimate of this association</w:t>
      </w:r>
      <w:r w:rsidR="00EF4443" w:rsidRPr="004545BE">
        <w:rPr>
          <w:rFonts w:ascii="Times New Roman" w:hAnsi="Times New Roman" w:cs="Times New Roman"/>
          <w:sz w:val="24"/>
          <w:szCs w:val="24"/>
          <w:lang w:val="en-GB"/>
        </w:rPr>
        <w:fldChar w:fldCharType="begin" w:fldLock="1"/>
      </w:r>
      <w:r w:rsidR="004B17C2" w:rsidRPr="004545BE">
        <w:rPr>
          <w:rFonts w:ascii="Times New Roman" w:hAnsi="Times New Roman" w:cs="Times New Roman"/>
          <w:sz w:val="24"/>
          <w:szCs w:val="24"/>
          <w:lang w:val="en-GB"/>
        </w:rPr>
        <w:instrText>ADDIN CSL_CITATION { "citationItems" : [ { "id" : "ITEM-1", "itemData" : { "DOI" : "10.1093/ije/dyr213", "ISSN" : "1464-3685", "PMID" : "22253319", "abstract" : "BACKGROUND In studies of all-cause mortality, the fundamental epidemiological concepts of rate and risk are connected through a well-defined one-to-one relation. An important consequence of this relation is that regression models such as the proportional hazards model that are defined through the hazard (the rate) immediately dictate how the covariates relate to the survival function (the risk). METHODS This introductory paper reviews the concepts of rate and risk and their one-to-one relation in all-cause mortality studies and introduces the analogous concepts of rate and risk in the context of competing risks, the cause-specific hazard and the cause-specific cumulative incidence function. RESULTS The key feature of competing risks is that the one-to-one correspondence between cause-specific hazard and cumulative incidence, between rate and risk, is lost. This fact has two important implications. First, the na\u00efve Kaplan-Meier that takes the competing events as censored observations, is biased. Secondly, the way in which covariates are associated with the cause-specific hazards may not coincide with the way these covariates are associated with the cumulative incidence. An example with relapse and non-relapse mortality as competing risks in a stem cell transplantation study is used for illustration. CONCLUSION The two implications of the loss of one-to-one correspondence between cause-specific hazard and cumulative incidence should be kept in mind when deciding on how to make inference in a competing risks situation.", "author" : [ { "dropping-particle" : "", "family" : "Andersen", "given" : "Per Kragh", "non-dropping-particle" : "", "parse-names" : false, "suffix" : "" }, { "dropping-particle" : "", "family" : "Geskus", "given" : "Ronald B", "non-dropping-particle" : "", "parse-names" : false, "suffix" : "" }, { "dropping-particle" : "", "family" : "Witte", "given" : "Theo", "non-dropping-particle" : "de", "parse-names" : false, "suffix" : "" }, { "dropping-particle" : "", "family" : "Putter", "given" : "Hein", "non-dropping-particle" : "", "parse-names" : false, "suffix" : "" } ], "container-title" : "International journal of epidemiology", "id" : "ITEM-1", "issue" : "3", "issued" : { "date-parts" : [ [ "2012", "6" ] ] }, "page" : "861-70", "title" : "Competing risks in epidemiology: possibilities and pitfalls.", "type" : "article-journal", "volume" : "41" }, "uris" : [ "http://www.mendeley.com/documents/?uuid=6674e892-7e0e-3bd2-aad3-972ac111795f" ] }, { "id" : "ITEM-2", "itemData" : { "DOI" : "10.1161/CIRCULATIONAHA.115.017719", "ISSN" : "1524-4539", "PMID" : "26858290", "abstract" : "Competing risks occur frequently in the analysis of survival data. A competing risk is an event whose occurrence precludes the occurrence of the primary event of interest. In a study examining time to death attributable to cardiovascular causes, death attributable to noncardiovascular causes is a competing risk. When estimating the crude incidence of outcomes, analysts should use the cumulative incidence function, rather than the complement of the Kaplan-Meier survival function. The use of the Kaplan-Meier survival function results in estimates of incidence that are biased upward, regardless of whether the competing events are independent of one another. When fitting regression models in the presence of competing risks, researchers can choose from 2 different families of models: modeling the effect of covariates on the cause-specific hazard of the outcome or modeling the effect of covariates on the cumulative incidence function. The former allows one to estimate the effect of the covariates on the rate of occurrence of the outcome in those subjects who are currently event free. The latter allows one to estimate the effect of covariates on the absolute risk of the outcome over time. The former family of models may be better suited for addressing etiologic questions, whereas the latter model may be better suited for estimating a patient's clinical prognosis. We illustrate the application of these methods by examining cause-specific mortality in patients hospitalized with heart failure. Statistical software code in both R and SAS is provided.", "author" : [ { "dropping-particle" : "", "family" : "Austin", "given" : "Peter C", "non-dropping-particle" : "", "parse-names" : false, "suffix" : "" }, { "dropping-particle" : "", "family" : "Lee", "given" : "Douglas S", "non-dropping-particle" : "", "parse-names" : false, "suffix" : "" }, { "dropping-particle" : "", "family" : "Fine", "given" : "Jason P", "non-dropping-particle" : "", "parse-names" : false, "suffix" : "" } ], "container-title" : "Circulation", "id" : "ITEM-2", "issue" : "6", "issued" : { "date-parts" : [ [ "2016", "2", "9" ] ] }, "page" : "601-9", "publisher" : "American Heart Association, Inc.", "title" : "Introduction to the Analysis of Survival Data in the Presence of Competing Risks.", "type" : "article-journal", "volume" : "133" }, "uris" : [ "http://www.mendeley.com/documents/?uuid=66b521bf-9aa2-3429-8782-fb4141fb9a34" ] } ], "mendeley" : { "formattedCitation" : "&lt;sup&gt;26,29&lt;/sup&gt;", "plainTextFormattedCitation" : "26,29", "previouslyFormattedCitation" : "&lt;sup&gt;26,29&lt;/sup&gt;"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E018FB" w:rsidRPr="004545BE">
        <w:rPr>
          <w:rFonts w:ascii="Times New Roman" w:hAnsi="Times New Roman" w:cs="Times New Roman"/>
          <w:noProof/>
          <w:sz w:val="24"/>
          <w:szCs w:val="24"/>
          <w:vertAlign w:val="superscript"/>
          <w:lang w:val="en-GB"/>
        </w:rPr>
        <w:t>26,29</w:t>
      </w:r>
      <w:r w:rsidR="00EF4443" w:rsidRPr="004545BE">
        <w:rPr>
          <w:rFonts w:ascii="Times New Roman" w:hAnsi="Times New Roman" w:cs="Times New Roman"/>
          <w:sz w:val="24"/>
          <w:szCs w:val="24"/>
          <w:lang w:val="en-GB"/>
        </w:rPr>
        <w:fldChar w:fldCharType="end"/>
      </w:r>
      <w:r w:rsidR="00327C81" w:rsidRPr="004545BE">
        <w:rPr>
          <w:rFonts w:ascii="Times New Roman" w:hAnsi="Times New Roman" w:cs="Times New Roman"/>
          <w:sz w:val="24"/>
          <w:szCs w:val="24"/>
          <w:lang w:val="en-GB"/>
        </w:rPr>
        <w:t xml:space="preserve">. </w:t>
      </w:r>
      <w:r w:rsidRPr="004545BE">
        <w:rPr>
          <w:rFonts w:ascii="Times New Roman" w:hAnsi="Times New Roman" w:cs="Times New Roman"/>
          <w:sz w:val="24"/>
          <w:szCs w:val="24"/>
          <w:lang w:val="en-GB"/>
        </w:rPr>
        <w:t>According to our results, failing to account for differential mortality is a</w:t>
      </w:r>
      <w:r w:rsidR="00B327CB" w:rsidRPr="004545BE">
        <w:rPr>
          <w:rFonts w:ascii="Times New Roman" w:hAnsi="Times New Roman" w:cs="Times New Roman"/>
          <w:sz w:val="24"/>
          <w:szCs w:val="24"/>
          <w:lang w:val="en-GB"/>
        </w:rPr>
        <w:t>n</w:t>
      </w:r>
      <w:r w:rsidRPr="004545BE">
        <w:rPr>
          <w:rFonts w:ascii="Times New Roman" w:hAnsi="Times New Roman" w:cs="Times New Roman"/>
          <w:sz w:val="24"/>
          <w:szCs w:val="24"/>
          <w:lang w:val="en-GB"/>
        </w:rPr>
        <w:t xml:space="preserve"> overestimation in the excess risk of hip fracture associated with T2DM.</w:t>
      </w:r>
    </w:p>
    <w:p w:rsidR="00F06A3A" w:rsidRPr="004545BE" w:rsidRDefault="00076696" w:rsidP="009123BE">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lastRenderedPageBreak/>
        <w:t>Other studies</w:t>
      </w:r>
      <w:r w:rsidR="00520A9B" w:rsidRPr="004545BE">
        <w:rPr>
          <w:rFonts w:ascii="Times New Roman" w:hAnsi="Times New Roman" w:cs="Times New Roman"/>
          <w:sz w:val="24"/>
          <w:szCs w:val="24"/>
          <w:lang w:val="en-GB"/>
        </w:rPr>
        <w:t xml:space="preserve"> on T2DM</w:t>
      </w:r>
      <w:r w:rsidRPr="004545BE">
        <w:rPr>
          <w:rFonts w:ascii="Times New Roman" w:hAnsi="Times New Roman" w:cs="Times New Roman"/>
          <w:sz w:val="24"/>
          <w:szCs w:val="24"/>
          <w:lang w:val="en-GB"/>
        </w:rPr>
        <w:t xml:space="preserve"> </w:t>
      </w:r>
      <w:r w:rsidR="00520A9B" w:rsidRPr="004545BE">
        <w:rPr>
          <w:rFonts w:ascii="Times New Roman" w:hAnsi="Times New Roman" w:cs="Times New Roman"/>
          <w:sz w:val="24"/>
          <w:szCs w:val="24"/>
          <w:lang w:val="en-GB"/>
        </w:rPr>
        <w:t xml:space="preserve">or in fracture risk </w:t>
      </w:r>
      <w:r w:rsidRPr="004545BE">
        <w:rPr>
          <w:rFonts w:ascii="Times New Roman" w:hAnsi="Times New Roman" w:cs="Times New Roman"/>
          <w:sz w:val="24"/>
          <w:szCs w:val="24"/>
          <w:lang w:val="en-GB"/>
        </w:rPr>
        <w:t xml:space="preserve">have </w:t>
      </w:r>
      <w:r w:rsidR="00D37DE9" w:rsidRPr="004545BE">
        <w:rPr>
          <w:rFonts w:ascii="Times New Roman" w:hAnsi="Times New Roman" w:cs="Times New Roman"/>
          <w:sz w:val="24"/>
          <w:szCs w:val="24"/>
          <w:lang w:val="en-GB"/>
        </w:rPr>
        <w:t>described this same issue in other settings</w:t>
      </w:r>
      <w:r w:rsidRPr="004545BE">
        <w:rPr>
          <w:rFonts w:ascii="Times New Roman" w:hAnsi="Times New Roman" w:cs="Times New Roman"/>
          <w:sz w:val="24"/>
          <w:szCs w:val="24"/>
          <w:lang w:val="en-GB"/>
        </w:rPr>
        <w:t xml:space="preserve">. </w:t>
      </w:r>
      <w:r w:rsidR="00F837B6" w:rsidRPr="004545BE">
        <w:rPr>
          <w:rFonts w:ascii="Times New Roman" w:hAnsi="Times New Roman" w:cs="Times New Roman"/>
          <w:sz w:val="24"/>
          <w:szCs w:val="24"/>
          <w:lang w:val="en-GB"/>
        </w:rPr>
        <w:t>A</w:t>
      </w:r>
      <w:r w:rsidR="00F06A3A" w:rsidRPr="004545BE">
        <w:rPr>
          <w:rFonts w:ascii="Times New Roman" w:hAnsi="Times New Roman" w:cs="Times New Roman"/>
          <w:sz w:val="24"/>
          <w:szCs w:val="24"/>
          <w:lang w:val="en-GB"/>
        </w:rPr>
        <w:t xml:space="preserve"> study</w:t>
      </w:r>
      <w:r w:rsidR="00A96C40" w:rsidRPr="004545BE">
        <w:rPr>
          <w:rFonts w:ascii="Times New Roman" w:hAnsi="Times New Roman" w:cs="Times New Roman"/>
          <w:sz w:val="24"/>
          <w:szCs w:val="24"/>
          <w:lang w:val="en-GB"/>
        </w:rPr>
        <w:t xml:space="preserve"> focused on assessing the impact of diabetes on relapse-free period and overall mortality in elderly breast cancer patients</w:t>
      </w:r>
      <w:r w:rsidR="00EF4443" w:rsidRPr="004545BE">
        <w:rPr>
          <w:rFonts w:ascii="Times New Roman" w:hAnsi="Times New Roman" w:cs="Times New Roman"/>
          <w:sz w:val="24"/>
          <w:szCs w:val="24"/>
          <w:lang w:val="en-GB"/>
        </w:rPr>
        <w:fldChar w:fldCharType="begin" w:fldLock="1"/>
      </w:r>
      <w:r w:rsidR="004B17C2" w:rsidRPr="004545BE">
        <w:rPr>
          <w:rFonts w:ascii="Times New Roman" w:hAnsi="Times New Roman" w:cs="Times New Roman"/>
          <w:sz w:val="24"/>
          <w:szCs w:val="24"/>
          <w:lang w:val="en-GB"/>
        </w:rPr>
        <w:instrText>ADDIN CSL_CITATION { "citationItems" : [ { "id" : "ITEM-1", "itemData" : { "DOI" : "10.1093/annonc/mdt367", "ISSN" : "1569-8041", "PMID" : "24026538", "abstract" : "BACKGROUND In developed countries, 40% of breast cancer patients are &gt;65 years of age at diagnosis, of whom 16% additionally suffer from diabetes. The aim of this study was to assess the impact of diabetes on relapse-free period (RFP) and overall mortality in elderly breast cancer patients. PATIENTS AND METHODS Patients were selected from the retrospective FOCUS cohort, which contains detailed information of elderly breast cancer patients. RFP was calculated using Fine and Gray competing risk regression models for patients with diabetes versus patients without diabetes. Overall survival was calculated by Cox regression models, in which patients were divided into four groups: no comorbidity, diabetes only, diabetes and other comorbidity or other comorbidity without diabetes. RESULTS Overall, 3124 patients with non-metastasized breast cancer were included. RFP was better for patients with diabetes compared with patients without diabetes (multivariable HR 0.77, 95% CI 0.59-1.01), irrespective of other comorbidity and most evident in patients aged \u226575 years (HR 0.67, 95% CI 0.45-0.98). The overall survival was similar for patients with diabetes only compared with patients without comorbidity (HR 0.86, 95% CI 0.45-0.98), while patients with diabetes and additional comorbidity had the worst overall survival (HR 1.70, 95% CI 1.44-2.01). CONCLUSION When taking competing mortality into account, RFP was better in elderly breast cancer patients with diabetes compared with patients without diabetes. Moreover, patients with diabetes without other comorbidity had a similar overall survival as patients without any comorbidity. Possibly, unfavourable effects of (complications of) diabetes on overall survival are counterbalanced by beneficial effects of metformin on the occurrence of breast cancer recurrences.", "author" : [ { "dropping-particle" : "", "family" : "Kiderlen", "given" : "M", "non-dropping-particle" : "", "parse-names" : false, "suffix" : "" }, { "dropping-particle" : "", "family" : "Glas", "given" : "N A", "non-dropping-particle" : "de", "parse-names" : false, "suffix" : "" }, { "dropping-particle" : "", "family" : "Bastiaannet", "given" : "E", "non-dropping-particle" : "", "parse-names" : false, "suffix" : "" }, { "dropping-particle" : "", "family" : "Engels", "given" : "C C", "non-dropping-particle" : "", "parse-names" : false, "suffix" : "" }, { "dropping-particle" : "", "family" : "Water", "given" : "W", "non-dropping-particle" : "van de", "parse-names" : false, "suffix" : "" }, { "dropping-particle" : "", "family" : "Craen", "given" : "A J M", "non-dropping-particle" : "de", "parse-names" : false, "suffix" : "" }, { "dropping-particle" : "", "family" : "Portielje", "given" : "J E A", "non-dropping-particle" : "", "parse-names" : false, "suffix" : "" }, { "dropping-particle" : "", "family" : "Velde", "given" : "C J H", "non-dropping-particle" : "van de", "parse-names" : false, "suffix" : "" }, { "dropping-particle" : "", "family" : "Liefers", "given" : "G J", "non-dropping-particle" : "", "parse-names" : false, "suffix" : "" } ], "container-title" : "Annals of oncology : official journal of the European Society for Medical Oncology", "id" : "ITEM-1", "issue" : "12", "issued" : { "date-parts" : [ [ "2013", "12" ] ] }, "page" : "3011-6", "title" : "Diabetes in relation to breast cancer relapse and all-cause mortality in elderly breast cancer patients: a FOCUS study analysis.", "type" : "article-journal", "volume" : "24" }, "uris" : [ "http://www.mendeley.com/documents/?uuid=9df4c80e-7ae4-369b-905a-3d6b3134125c" ] } ], "mendeley" : { "formattedCitation" : "&lt;sup&gt;30&lt;/sup&gt;", "plainTextFormattedCitation" : "30", "previouslyFormattedCitation" : "&lt;sup&gt;30&lt;/sup&gt;"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4B17C2" w:rsidRPr="004545BE">
        <w:rPr>
          <w:rFonts w:ascii="Times New Roman" w:hAnsi="Times New Roman" w:cs="Times New Roman"/>
          <w:noProof/>
          <w:sz w:val="24"/>
          <w:szCs w:val="24"/>
          <w:vertAlign w:val="superscript"/>
          <w:lang w:val="en-GB"/>
        </w:rPr>
        <w:t>30</w:t>
      </w:r>
      <w:r w:rsidR="00EF4443" w:rsidRPr="004545BE">
        <w:rPr>
          <w:rFonts w:ascii="Times New Roman" w:hAnsi="Times New Roman" w:cs="Times New Roman"/>
          <w:sz w:val="24"/>
          <w:szCs w:val="24"/>
          <w:lang w:val="en-GB"/>
        </w:rPr>
        <w:fldChar w:fldCharType="end"/>
      </w:r>
      <w:r w:rsidR="00F06A3A" w:rsidRPr="004545BE">
        <w:rPr>
          <w:rFonts w:ascii="Times New Roman" w:hAnsi="Times New Roman" w:cs="Times New Roman"/>
          <w:sz w:val="24"/>
          <w:szCs w:val="24"/>
          <w:lang w:val="en-GB"/>
        </w:rPr>
        <w:t>. They found that when taking competing mortality into account, relapse-free period was better in elderly breast cancer patients with diabetes compared with patients without diabetes.</w:t>
      </w:r>
      <w:r w:rsidR="006D43CA" w:rsidRPr="004545BE">
        <w:rPr>
          <w:rFonts w:ascii="Times New Roman" w:hAnsi="Times New Roman" w:cs="Times New Roman"/>
          <w:sz w:val="24"/>
          <w:szCs w:val="24"/>
          <w:lang w:val="en-GB"/>
        </w:rPr>
        <w:t xml:space="preserve"> Another study</w:t>
      </w:r>
      <w:r w:rsidR="00A96C40" w:rsidRPr="004545BE">
        <w:rPr>
          <w:rFonts w:ascii="Times New Roman" w:hAnsi="Times New Roman" w:cs="Times New Roman"/>
          <w:sz w:val="24"/>
          <w:szCs w:val="24"/>
          <w:lang w:val="en-GB"/>
        </w:rPr>
        <w:t xml:space="preserve"> assessed whether assisted peritoneal dialysis was associated with a lower risk for technique failure</w:t>
      </w:r>
      <w:r w:rsidR="00EF4443" w:rsidRPr="004545BE">
        <w:rPr>
          <w:rFonts w:ascii="Times New Roman" w:hAnsi="Times New Roman" w:cs="Times New Roman"/>
          <w:sz w:val="24"/>
          <w:szCs w:val="24"/>
          <w:lang w:val="en-GB"/>
        </w:rPr>
        <w:fldChar w:fldCharType="begin" w:fldLock="1"/>
      </w:r>
      <w:r w:rsidR="004B17C2" w:rsidRPr="004545BE">
        <w:rPr>
          <w:rFonts w:ascii="Times New Roman" w:hAnsi="Times New Roman" w:cs="Times New Roman"/>
          <w:sz w:val="24"/>
          <w:szCs w:val="24"/>
          <w:lang w:val="en-GB"/>
        </w:rPr>
        <w:instrText>ADDIN CSL_CITATION { "citationItems" : [ { "id" : "ITEM-1", "itemData" : { "DOI" : "10.2215/CJN.10161011", "ISSN" : "1555-905X", "PMID" : "22344506", "abstract" : "BACKGROUND AND OBJECTIVES This study assessed whether assisted peritoneal dialysis (PD) was associated with a lower risk for technique failure using methods developed for survival analysis in the presence of competing risks. DESIGN, SETTING, PARTICIPANTS, &amp; MEASUREMENTS This retrospective cohort study, based on data from the French Language Peritoneal Dialysis Registry, analyzed 9822 incident patients starting PD between January 2002 and December 2010. The observation period ended on June 1, 2011. Time to transfer to hemodialysis was compared between patients with assisted PD and those undergoing self-care PD. RESULTS There were 5286 patients undergoing assisted PD; 4230 of these were assisted by a community nurse and 1056 by family. Assisted PD patients were older and had a higher Charlson comorbidity index than self-care PD patients. There were 7594 events: 3495 deaths, 2464 transfers to hemodialysis, 1489 renal transplantations, and 146 renal function recoveries. According to a Cox model, assistance and center size were associated with a lower risk for technique failure, whereas hemodialysis before PD, early peritonitis, and transplantation failure were associated with a higher risk for transfer to hemodialysis. A Fine and Gray regression model showed that assisted PD was associated with a lower risk for transfer to hemodialysis. CONCLUSIONS Compared with patients undergoing self-care PD, those with assisted PD had a lower risk for transfer to hemodialysis, a higher risk for death, and a lower risk for transplantation.", "author" : [ { "dropping-particle" : "", "family" : "Lobbedez", "given" : "Thierry", "non-dropping-particle" : "", "parse-names" : false, "suffix" : "" }, { "dropping-particle" : "", "family" : "Verger", "given" : "Christian", "non-dropping-particle" : "", "parse-names" : false, "suffix" : "" }, { "dropping-particle" : "", "family" : "Ryckelynck", "given" : "Jean-Philippe", "non-dropping-particle" : "", "parse-names" : false, "suffix" : "" }, { "dropping-particle" : "", "family" : "Fabre", "given" : "Emmanuel", "non-dropping-particle" : "", "parse-names" : false, "suffix" : "" }, { "dropping-particle" : "", "family" : "Evans", "given" : "David", "non-dropping-particle" : "", "parse-names" : false, "suffix" : "" } ], "container-title" : "Clinical journal of the American Society of Nephrology : CJASN", "id" : "ITEM-1", "issue" : "4", "issued" : { "date-parts" : [ [ "2012", "4", "1" ] ] }, "page" : "612-8", "title" : "Is assisted peritoneal dialysis associated with technique survival when competing events are considered?", "type" : "article-journal", "volume" : "7" }, "uris" : [ "http://www.mendeley.com/documents/?uuid=5fbedbd4-4632-38d9-afb1-c792a748f5a2" ] } ], "mendeley" : { "formattedCitation" : "&lt;sup&gt;31&lt;/sup&gt;", "plainTextFormattedCitation" : "31", "previouslyFormattedCitation" : "&lt;sup&gt;31&lt;/sup&gt;"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4B17C2" w:rsidRPr="004545BE">
        <w:rPr>
          <w:rFonts w:ascii="Times New Roman" w:hAnsi="Times New Roman" w:cs="Times New Roman"/>
          <w:noProof/>
          <w:sz w:val="24"/>
          <w:szCs w:val="24"/>
          <w:vertAlign w:val="superscript"/>
          <w:lang w:val="en-GB"/>
        </w:rPr>
        <w:t>31</w:t>
      </w:r>
      <w:r w:rsidR="00EF4443" w:rsidRPr="004545BE">
        <w:rPr>
          <w:rFonts w:ascii="Times New Roman" w:hAnsi="Times New Roman" w:cs="Times New Roman"/>
          <w:sz w:val="24"/>
          <w:szCs w:val="24"/>
          <w:lang w:val="en-GB"/>
        </w:rPr>
        <w:fldChar w:fldCharType="end"/>
      </w:r>
      <w:r w:rsidR="006D43CA" w:rsidRPr="004545BE">
        <w:rPr>
          <w:rFonts w:ascii="Times New Roman" w:hAnsi="Times New Roman" w:cs="Times New Roman"/>
          <w:sz w:val="24"/>
          <w:szCs w:val="24"/>
          <w:lang w:val="en-GB"/>
        </w:rPr>
        <w:t xml:space="preserve">. </w:t>
      </w:r>
      <w:r w:rsidR="005C1478" w:rsidRPr="004545BE">
        <w:rPr>
          <w:rFonts w:ascii="Times New Roman" w:hAnsi="Times New Roman" w:cs="Times New Roman"/>
          <w:sz w:val="24"/>
          <w:szCs w:val="24"/>
          <w:lang w:val="en-GB"/>
        </w:rPr>
        <w:t>In contrast with the results of a traditional c</w:t>
      </w:r>
      <w:r w:rsidR="006D43CA" w:rsidRPr="004545BE">
        <w:rPr>
          <w:rFonts w:ascii="Times New Roman" w:hAnsi="Times New Roman" w:cs="Times New Roman"/>
          <w:sz w:val="24"/>
          <w:szCs w:val="24"/>
          <w:lang w:val="en-GB"/>
        </w:rPr>
        <w:t>ox model</w:t>
      </w:r>
      <w:r w:rsidR="005C1478" w:rsidRPr="004545BE">
        <w:rPr>
          <w:rFonts w:ascii="Times New Roman" w:hAnsi="Times New Roman" w:cs="Times New Roman"/>
          <w:sz w:val="24"/>
          <w:szCs w:val="24"/>
          <w:lang w:val="en-GB"/>
        </w:rPr>
        <w:t>, t</w:t>
      </w:r>
      <w:r w:rsidR="006D43CA" w:rsidRPr="004545BE">
        <w:rPr>
          <w:rFonts w:ascii="Times New Roman" w:hAnsi="Times New Roman" w:cs="Times New Roman"/>
          <w:sz w:val="24"/>
          <w:szCs w:val="24"/>
          <w:lang w:val="en-GB"/>
        </w:rPr>
        <w:t xml:space="preserve">hey found </w:t>
      </w:r>
      <w:r w:rsidR="005C1478" w:rsidRPr="004545BE">
        <w:rPr>
          <w:rFonts w:ascii="Times New Roman" w:hAnsi="Times New Roman" w:cs="Times New Roman"/>
          <w:sz w:val="24"/>
          <w:szCs w:val="24"/>
          <w:lang w:val="en-GB"/>
        </w:rPr>
        <w:t xml:space="preserve">using </w:t>
      </w:r>
      <w:r w:rsidR="006D43CA" w:rsidRPr="004545BE">
        <w:rPr>
          <w:rFonts w:ascii="Times New Roman" w:hAnsi="Times New Roman" w:cs="Times New Roman"/>
          <w:sz w:val="24"/>
          <w:szCs w:val="24"/>
          <w:lang w:val="en-GB"/>
        </w:rPr>
        <w:t xml:space="preserve">Fine and Gray that assisted </w:t>
      </w:r>
      <w:r w:rsidR="005C1478" w:rsidRPr="004545BE">
        <w:rPr>
          <w:rFonts w:ascii="Times New Roman" w:hAnsi="Times New Roman" w:cs="Times New Roman"/>
          <w:sz w:val="24"/>
          <w:szCs w:val="24"/>
          <w:lang w:val="en-GB"/>
        </w:rPr>
        <w:t xml:space="preserve">peritoneal </w:t>
      </w:r>
      <w:r w:rsidR="00A96C40" w:rsidRPr="004545BE">
        <w:rPr>
          <w:rFonts w:ascii="Times New Roman" w:hAnsi="Times New Roman" w:cs="Times New Roman"/>
          <w:sz w:val="24"/>
          <w:szCs w:val="24"/>
          <w:lang w:val="en-GB"/>
        </w:rPr>
        <w:t xml:space="preserve">dialysis </w:t>
      </w:r>
      <w:r w:rsidR="006D43CA" w:rsidRPr="004545BE">
        <w:rPr>
          <w:rFonts w:ascii="Times New Roman" w:hAnsi="Times New Roman" w:cs="Times New Roman"/>
          <w:sz w:val="24"/>
          <w:szCs w:val="24"/>
          <w:lang w:val="en-GB"/>
        </w:rPr>
        <w:t>was associated with a lower risk for transfer to hemodia</w:t>
      </w:r>
      <w:r w:rsidR="0060159C" w:rsidRPr="004545BE">
        <w:rPr>
          <w:rFonts w:ascii="Times New Roman" w:hAnsi="Times New Roman" w:cs="Times New Roman"/>
          <w:sz w:val="24"/>
          <w:szCs w:val="24"/>
          <w:lang w:val="en-GB"/>
        </w:rPr>
        <w:t xml:space="preserve">lysis. </w:t>
      </w:r>
      <w:r w:rsidR="0021004E" w:rsidRPr="004545BE">
        <w:rPr>
          <w:rFonts w:ascii="Times New Roman" w:hAnsi="Times New Roman" w:cs="Times New Roman"/>
          <w:sz w:val="24"/>
          <w:szCs w:val="24"/>
          <w:lang w:val="en-GB"/>
        </w:rPr>
        <w:t xml:space="preserve">A study </w:t>
      </w:r>
      <w:r w:rsidR="00A96C40" w:rsidRPr="004545BE">
        <w:rPr>
          <w:rFonts w:ascii="Times New Roman" w:hAnsi="Times New Roman" w:cs="Times New Roman"/>
          <w:sz w:val="24"/>
          <w:szCs w:val="24"/>
          <w:lang w:val="en-GB"/>
        </w:rPr>
        <w:t>to determine the association of weight loss with risk of clinical fractures at the hip, spine, and pelvis in older men, found that ignoring the competing mortality risk among men with weight loss substantially</w:t>
      </w:r>
      <w:r w:rsidR="004545BE" w:rsidRPr="004545BE">
        <w:rPr>
          <w:rFonts w:ascii="Times New Roman" w:hAnsi="Times New Roman" w:cs="Times New Roman"/>
          <w:sz w:val="24"/>
          <w:szCs w:val="24"/>
          <w:lang w:val="en-GB"/>
        </w:rPr>
        <w:t xml:space="preserve"> </w:t>
      </w:r>
      <w:r w:rsidR="00A96C40" w:rsidRPr="004545BE">
        <w:rPr>
          <w:rFonts w:ascii="Times New Roman" w:hAnsi="Times New Roman" w:cs="Times New Roman"/>
          <w:sz w:val="24"/>
          <w:szCs w:val="24"/>
          <w:lang w:val="en-GB"/>
        </w:rPr>
        <w:t>overestimates their long-term fracture probability and relative fracture risk</w:t>
      </w:r>
      <w:r w:rsidR="00EF4443" w:rsidRPr="004545BE">
        <w:rPr>
          <w:rFonts w:ascii="Times New Roman" w:hAnsi="Times New Roman" w:cs="Times New Roman"/>
          <w:sz w:val="24"/>
          <w:szCs w:val="24"/>
          <w:lang w:val="en-GB"/>
        </w:rPr>
        <w:fldChar w:fldCharType="begin" w:fldLock="1"/>
      </w:r>
      <w:r w:rsidR="004B17C2" w:rsidRPr="004545BE">
        <w:rPr>
          <w:rFonts w:ascii="Times New Roman" w:hAnsi="Times New Roman" w:cs="Times New Roman"/>
          <w:sz w:val="24"/>
          <w:szCs w:val="24"/>
          <w:lang w:val="en-GB"/>
        </w:rPr>
        <w:instrText>ADDIN CSL_CITATION { "citationItems" : [ { "id" : "ITEM-1", "itemData" : { "DOI" : "10.1002/jbmr.3020", "ISSN" : "1523-4681", "PMID" : "27739103", "abstract" : "To determine the association of weight loss with risk of clinical fractures at the hip, spine, and pelvis (central body fractures [CBFs]) in older men with and without accounting for the competing risk of mortality, we used data from 4523 men (mean age 77.5 years). Weight change between baseline and follow-up (mean 4.5 years between examinations) was categorized as moderate loss (loss \u226510%), mild loss (loss 5% to &lt;10%), stable (&lt;5% change) or gain (gain \u22655%). Participants were contacted every 4 months after the follow-up examination to ascertain vital status (deaths verified by death certificates) and ask about fractures (confirmed by radiographic reports). Absolute probability of CBF by weight change category was estimated using traditional Kaplan-Meier method and cumulative incidence function accounting for competing mortality risk. Risk of CBF by weight change category was determined using conventional Cox proportional hazards regression and subdistribution hazards models with death as a competing risk. During an average of 8 years, 337 men (7.5%) experienced CBF and 1569 (34.7%) died before experiencing this outcome. Among men with moderate weight loss, CBF probability was 6.8% at 5 years and 16.9% at 10 years using Kaplan-Meier versus 5.7% at 5 years and 10.2% at 10 years using a competing risk approach. Men with moderate weight loss compared with those with stable weight had a 1.6-fold higher adjusted risk of CBF (HR 1.59; 95% CI, 1.06 to 2.38) using Cox models that was substantially attenuated in models accounting for competing mortality risk and no longer significant (subdistribution HR 1.16; 95% CI, 0.77 to 1.75). Results were similar in analyses substituting hip fracture for CBF. Older men with weight loss who survive are at increased risk of CBF, including hip fracture. However, ignoring the competing mortality risk among men with weight loss substantially overestimates their long-term fracture probability and relative fracture risk. \u00a9 2016 American Society for Bone and Mineral Research.", "author" : [ { "dropping-particle" : "", "family" : "Ensrud", "given" : "Kristine E", "non-dropping-particle" : "", "parse-names" : false, "suffix" : "" }, { "dropping-particle" : "", "family" : "Harrison", "given" : "Stephanie L", "non-dropping-particle" : "", "parse-names" : false, "suffix" : "" }, { "dropping-particle" : "", "family" : "Cauley", "given" : "Jane A", "non-dropping-particle" : "", "parse-names" : false, "suffix" : "" }, { "dropping-particle" : "", "family" : "Langsetmo", "given" : "Lisa", "non-dropping-particle" : "", "parse-names" : false, "suffix" : "" }, { "dropping-particle" : "", "family" : "Schousboe", "given" : "John T", "non-dropping-particle" : "", "parse-names" : false, "suffix" : "" }, { "dropping-particle" : "", "family" : "Kado", "given" : "Deborah M", "non-dropping-particle" : "", "parse-names" : false, "suffix" : "" }, { "dropping-particle" : "", "family" : "Gourlay", "given" : "Margaret L", "non-dropping-particle" : "", "parse-names" : false, "suffix" : "" }, { "dropping-particle" : "", "family" : "Lyons", "given" : "Jennifer G", "non-dropping-particle" : "", "parse-names" : false, "suffix" : "" }, { "dropping-particle" : "", "family" : "Fredman", "given" : "Lisa", "non-dropping-particle" : "", "parse-names" : false, "suffix" : "" }, { "dropping-particle" : "", "family" : "Napoli", "given" : "Nicolas", "non-dropping-particle" : "", "parse-names" : false, "suffix" : "" }, { "dropping-particle" : "", "family" : "Crandall", "given" : "Carolyn J", "non-dropping-particle" : "", "parse-names" : false, "suffix" : "" }, { "dropping-particle" : "", "family" : "Lewis", "given" : "Cora E", "non-dropping-particle" : "", "parse-names" : false, "suffix" : "" }, { "dropping-particle" : "", "family" : "Orwoll", "given" : "Eric S", "non-dropping-particle" : "", "parse-names" : false, "suffix" : "" }, { "dropping-particle" : "", "family" : "Stefanick", "given" : "Marcia L", "non-dropping-particle" : "", "parse-names" : false, "suffix" : "" }, { "dropping-particle" : "", "family" : "Cawthon", "given" : "Peggy M", "non-dropping-particle" : "", "parse-names" : false, "suffix" : "" }, { "dropping-particle" : "", "family" : "Osteoporotic Fractures in Men (MrOS) Research Group", "given" : "", "non-dropping-particle" : "", "parse-names" : false, "suffix" : "" } ], "container-title" : "Journal of bone and mineral research : the official journal of the American Society for Bone and Mineral Research", "id" : "ITEM-1", "issue" : "3", "issued" : { "date-parts" : [ [ "2017", "3" ] ] }, "page" : "624-632", "title" : "Impact of Competing Risk of Mortality on Association of Weight Loss With Risk of Central Body Fractures in Older Men: A Prospective Cohort Study.", "type" : "article-journal", "volume" : "32" }, "uris" : [ "http://www.mendeley.com/documents/?uuid=49f6c747-433b-3f7b-a1c5-035364b12fcd" ] } ], "mendeley" : { "formattedCitation" : "&lt;sup&gt;32&lt;/sup&gt;", "plainTextFormattedCitation" : "32", "previouslyFormattedCitation" : "&lt;sup&gt;32&lt;/sup&gt;"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4B17C2" w:rsidRPr="004545BE">
        <w:rPr>
          <w:rFonts w:ascii="Times New Roman" w:hAnsi="Times New Roman" w:cs="Times New Roman"/>
          <w:noProof/>
          <w:sz w:val="24"/>
          <w:szCs w:val="24"/>
          <w:vertAlign w:val="superscript"/>
          <w:lang w:val="en-GB"/>
        </w:rPr>
        <w:t>32</w:t>
      </w:r>
      <w:r w:rsidR="00EF4443" w:rsidRPr="004545BE">
        <w:rPr>
          <w:rFonts w:ascii="Times New Roman" w:hAnsi="Times New Roman" w:cs="Times New Roman"/>
          <w:sz w:val="24"/>
          <w:szCs w:val="24"/>
          <w:lang w:val="en-GB"/>
        </w:rPr>
        <w:fldChar w:fldCharType="end"/>
      </w:r>
      <w:r w:rsidR="004B17C2" w:rsidRPr="004545BE">
        <w:rPr>
          <w:rFonts w:ascii="Times New Roman" w:hAnsi="Times New Roman" w:cs="Times New Roman"/>
          <w:sz w:val="24"/>
          <w:szCs w:val="24"/>
          <w:lang w:val="en-GB"/>
        </w:rPr>
        <w:t>.</w:t>
      </w:r>
      <w:r w:rsidR="0021004E" w:rsidRPr="004545BE">
        <w:rPr>
          <w:rFonts w:ascii="Times New Roman" w:hAnsi="Times New Roman" w:cs="Times New Roman"/>
          <w:sz w:val="24"/>
          <w:szCs w:val="24"/>
          <w:lang w:val="en-GB"/>
        </w:rPr>
        <w:t xml:space="preserve"> </w:t>
      </w:r>
      <w:r w:rsidR="0060159C" w:rsidRPr="004545BE">
        <w:rPr>
          <w:rFonts w:ascii="Times New Roman" w:hAnsi="Times New Roman" w:cs="Times New Roman"/>
          <w:sz w:val="24"/>
          <w:szCs w:val="24"/>
          <w:lang w:val="en-GB"/>
        </w:rPr>
        <w:t xml:space="preserve">Finally another study </w:t>
      </w:r>
      <w:r w:rsidR="00A96C40" w:rsidRPr="004545BE">
        <w:rPr>
          <w:rFonts w:ascii="Times New Roman" w:hAnsi="Times New Roman" w:cs="Times New Roman"/>
          <w:sz w:val="24"/>
          <w:szCs w:val="24"/>
          <w:lang w:val="en-GB"/>
        </w:rPr>
        <w:t xml:space="preserve">focused on analyse the peritonitis-free survival in the peritoneal dialysis. They found that using a competing risk approach the cumulative incidence of at </w:t>
      </w:r>
      <w:r w:rsidR="00A96C40" w:rsidRPr="004545BE">
        <w:rPr>
          <w:rFonts w:ascii="Times New Roman" w:hAnsi="Times New Roman" w:cs="Times New Roman"/>
          <w:sz w:val="24"/>
          <w:szCs w:val="24"/>
          <w:lang w:val="en-GB"/>
        </w:rPr>
        <w:lastRenderedPageBreak/>
        <w:t>least one peritonitis episode was lower than reported by the Kaplan–Meier method</w:t>
      </w:r>
      <w:r w:rsidR="00EF4443" w:rsidRPr="004545BE">
        <w:rPr>
          <w:rFonts w:ascii="Times New Roman" w:hAnsi="Times New Roman" w:cs="Times New Roman"/>
          <w:sz w:val="24"/>
          <w:szCs w:val="24"/>
          <w:lang w:val="en-GB"/>
        </w:rPr>
        <w:fldChar w:fldCharType="begin" w:fldLock="1"/>
      </w:r>
      <w:r w:rsidR="004B17C2" w:rsidRPr="004545BE">
        <w:rPr>
          <w:rFonts w:ascii="Times New Roman" w:hAnsi="Times New Roman" w:cs="Times New Roman"/>
          <w:sz w:val="24"/>
          <w:szCs w:val="24"/>
          <w:lang w:val="en-GB"/>
        </w:rPr>
        <w:instrText>ADDIN CSL_CITATION { "citationItems" : [ { "id" : "ITEM-1", "itemData" : { "DOI" : "10.1093/ndt/gfq003", "ISSN" : "1460-2385", "PMID" : "20103502", "abstract" : "BACKGROUND Peritonitis-free survival is commonly reported in the peritoneal dialysis (PD) literature. The Kaplan-Meier method appears to be the only technique used to date, although it has known limitations for cohorts with multiple outcomes, as in PD. In the presence of these 'competing risks' outcomes, the Kaplan-Meier estimate is interpretable only under restrictive assumptions. In contrast, methods which take competing risks into account provide unbiased estimates of probabilities of outcomes as actually experienced by patients. METHODS We analysed peritonitis-free survival in a cohort of 8711 incident patients from the 'Registre de Dialyse P\u00e9riton\u00e9ale de Langue Fran\u00e7aise' between 1 January 2000 and 31 December 2007 by calculating the cumulative incidence (CI) of the first episode of peritonitis using the Kaplan-Meier method and a method accounting for competing risks. We compared the CI in different patient groups by the log-rank test and a test developed for competing risk data, Gray's test. RESULTS After 5 years of PD, the CI of at least one peritonitis episode was 0.4, and the probability of any outcome was 0.96. The Kaplan-Meier method overestimated the CI by a large amount. Compared with the log-rank test, Gray's test led to different conclusions in three out of seven comparisons. CONCLUSIONS The competing risk approach shows that the CI of at least one peritonitis episode was lower than reported by the Kaplan-Meier method but that survival peritonitis-free and still on PD was overall low. The competing risk approach provides estimates which have a clearer interpretation than Kaplan-Meier methods and could be more widely used in PD research.", "author" : [ { "dropping-particle" : "", "family" : "Evans", "given" : "David W", "non-dropping-particle" : "", "parse-names" : false, "suffix" : "" }, { "dropping-particle" : "", "family" : "Ryckelynck", "given" : "Jean-Philippe", "non-dropping-particle" : "", "parse-names" : false, "suffix" : "" }, { "dropping-particle" : "", "family" : "Fabre", "given" : "Emmanuel", "non-dropping-particle" : "", "parse-names" : false, "suffix" : "" }, { "dropping-particle" : "", "family" : "Verger", "given" : "Christian", "non-dropping-particle" : "", "parse-names" : false, "suffix" : "" } ], "container-title" : "Nephrology, dialysis, transplantation : official publication of the European Dialysis and Transplant Association - European Renal Association", "id" : "ITEM-1", "issue" : "7", "issued" : { "date-parts" : [ [ "2010", "7", "1" ] ] }, "page" : "2315-22", "title" : "Peritonitis-free survival in peritoneal dialysis: an update taking competing risks into account.", "type" : "article-journal", "volume" : "25" }, "uris" : [ "http://www.mendeley.com/documents/?uuid=7377739e-7a71-3f6e-9aee-e61da5165f77" ] } ], "mendeley" : { "formattedCitation" : "&lt;sup&gt;33&lt;/sup&gt;", "plainTextFormattedCitation" : "33", "previouslyFormattedCitation" : "&lt;sup&gt;33&lt;/sup&gt;"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4B17C2" w:rsidRPr="004545BE">
        <w:rPr>
          <w:rFonts w:ascii="Times New Roman" w:hAnsi="Times New Roman" w:cs="Times New Roman"/>
          <w:noProof/>
          <w:sz w:val="24"/>
          <w:szCs w:val="24"/>
          <w:vertAlign w:val="superscript"/>
          <w:lang w:val="en-GB"/>
        </w:rPr>
        <w:t>33</w:t>
      </w:r>
      <w:r w:rsidR="00EF4443" w:rsidRPr="004545BE">
        <w:rPr>
          <w:rFonts w:ascii="Times New Roman" w:hAnsi="Times New Roman" w:cs="Times New Roman"/>
          <w:sz w:val="24"/>
          <w:szCs w:val="24"/>
          <w:lang w:val="en-GB"/>
        </w:rPr>
        <w:fldChar w:fldCharType="end"/>
      </w:r>
      <w:r w:rsidR="006D43CA" w:rsidRPr="004545BE">
        <w:rPr>
          <w:rFonts w:ascii="Times New Roman" w:hAnsi="Times New Roman" w:cs="Times New Roman"/>
          <w:sz w:val="24"/>
          <w:szCs w:val="24"/>
          <w:lang w:val="en-GB"/>
        </w:rPr>
        <w:t>.</w:t>
      </w:r>
    </w:p>
    <w:p w:rsidR="006F7D4F" w:rsidRPr="004545BE" w:rsidRDefault="000C0707" w:rsidP="00E679CE">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 xml:space="preserve">However, there are some limitations in our study. First, </w:t>
      </w:r>
      <w:r w:rsidR="00916055" w:rsidRPr="004545BE">
        <w:rPr>
          <w:rFonts w:ascii="Times New Roman" w:hAnsi="Times New Roman" w:cs="Times New Roman"/>
          <w:sz w:val="24"/>
          <w:szCs w:val="24"/>
          <w:lang w:val="en-GB"/>
        </w:rPr>
        <w:t xml:space="preserve">our data is based on clinical records and we </w:t>
      </w:r>
      <w:r w:rsidR="006F7D4F" w:rsidRPr="004545BE">
        <w:rPr>
          <w:rFonts w:ascii="Times New Roman" w:hAnsi="Times New Roman" w:cs="Times New Roman"/>
          <w:sz w:val="24"/>
          <w:szCs w:val="24"/>
          <w:lang w:val="en-GB"/>
        </w:rPr>
        <w:t>lack validation of each individual fracture. However, coding of fractures in SIDIAP has been compared to classical cohort data and hospital databases and shown to be highly specific (&gt;95% for all fracture sites tested) and moderately sensitive (almost 70% for hip fractures)</w:t>
      </w:r>
      <w:r w:rsidR="00EF4443" w:rsidRPr="004545BE">
        <w:rPr>
          <w:rFonts w:ascii="Times New Roman" w:hAnsi="Times New Roman" w:cs="Times New Roman"/>
          <w:sz w:val="24"/>
          <w:szCs w:val="24"/>
          <w:lang w:val="en-GB"/>
        </w:rPr>
        <w:fldChar w:fldCharType="begin" w:fldLock="1"/>
      </w:r>
      <w:r w:rsidR="004B17C2" w:rsidRPr="004545BE">
        <w:rPr>
          <w:rFonts w:ascii="Times New Roman" w:hAnsi="Times New Roman" w:cs="Times New Roman"/>
          <w:sz w:val="24"/>
          <w:szCs w:val="24"/>
          <w:lang w:val="en-GB"/>
        </w:rPr>
        <w:instrText>ADDIN CSL_CITATION { "citationItems" : [ { "id" : "ITEM-1", "itemData" : { "DOI" : "10.1186/1471-2474-13-79", "ISSN" : "1471-2474", "PMID" : "22639802", "abstract" : "BACKGROUND Knowledge on the epidemiology of non-hip fractures in Spain is limited and somewhat outdated. Using computerized primary care records from the SIDIAP database, we derived age and sex-specific fracture incidence rates for the region of Catalonia during the year 2009. METHODS The SIDIAP database contains quality-checked clinical information from computerized medical records of a representative sample of &gt;5,800,000 patients (80% of the population of Catalonia). We conducted a retrospective cohort study including all patients aged \u226550\u2009years, and followed them from January 1 to December 31, 2009. Major osteoporotic fractures registered in SIDIAP were ascertained using ICD-10 codes and validated by comparing data to hospital admission and patient-reported fractures records. Incidence rates and 95% confidence intervals were calculated. RESULTS In total, 2,011,430 subjects were studied (54.6% women). Overall fracture rates were 10.91/1,000 person-years (py) [95%CI 10.89-10.92]: 15.18/1,000 py [15.15-15.21] in women and 5.78/1,000 py [5.76-5.79] in men. The most common fracture among women was wrist/forearm (3.86/1,000 py [3.74-3.98]), while among men it was clinical spine (1.25/1,000 py [1.18-1.33]). All fracture rates increased with age, but varying patterns were observed: while most of the fractures (hip, proximal humerus, clinical spine and pelvis) increased continuously with age, wrist and multiple rib fractures peaked at age 75-80 and then reached a plateau. CONCLUSIONS Our study provides local estimates of age, sex and site-specific fracture burden in primary health care, which will be helpful for health-care planning and delivery. A proportion of fractures are not reported in primary care records, leading to underestimation of fracture incidence rates in these data.", "author" : [ { "dropping-particle" : "", "family" : "Pag\u00e8s-Castell\u00e0", "given" : "Aina", "non-dropping-particle" : "", "parse-names" : false, "suffix" : "" }, { "dropping-particle" : "", "family" : "Carbonell-Abella", "given" : "Cristina", "non-dropping-particle" : "", "parse-names" : false, "suffix" : "" }, { "dropping-particle" : "", "family" : "Avil\u00e9s", "given" : "Francesc Fina", "non-dropping-particle" : "", "parse-names" : false, "suffix" : "" }, { "dropping-particle" : "", "family" : "Alzamora", "given" : "Maite", "non-dropping-particle" : "", "parse-names" : false, "suffix" : "" }, { "dropping-particle" : "", "family" : "Baena-D\u00edez", "given" : "Jose Miguel", "non-dropping-particle" : "", "parse-names" : false, "suffix" : "" }, { "dropping-particle" : "", "family" : "Laguna", "given" : "Daniel Mart\u00ednez", "non-dropping-particle" : "", "parse-names" : false, "suffix" : "" }, { "dropping-particle" : "", "family" : "Nogu\u00e9s", "given" : "Xavier", "non-dropping-particle" : "", "parse-names" : false, "suffix" : "" }, { "dropping-particle" : "", "family" : "D\u00edez-P\u00e9rez", "given" : "Adolfo", "non-dropping-particle" : "", "parse-names" : false, "suffix" : "" }, { "dropping-particle" : "", "family" : "Prieto-Alhambra", "given" : "Daniel", "non-dropping-particle" : "", "parse-names" : false, "suffix" : "" } ], "container-title" : "BMC musculoskeletal disorders", "id" : "ITEM-1", "issue" : "1", "issued" : { "date-parts" : [ [ "2012", "5", "28" ] ] }, "page" : "79", "title" : "&amp;quot;Burden of osteoporotic fractures in primary health care in Catalonia (Spain): a population-based study&amp;quot;.", "type" : "article-journal", "volume" : "13" }, "uris" : [ "http://www.mendeley.com/documents/?uuid=1e9b7741-90b9-3022-9730-a7001d7c80e1" ] } ], "mendeley" : { "formattedCitation" : "&lt;sup&gt;19&lt;/sup&gt;", "plainTextFormattedCitation" : "19", "previouslyFormattedCitation" : "&lt;sup&gt;19&lt;/sup&gt;"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4B17C2" w:rsidRPr="004545BE">
        <w:rPr>
          <w:rFonts w:ascii="Times New Roman" w:hAnsi="Times New Roman" w:cs="Times New Roman"/>
          <w:noProof/>
          <w:sz w:val="24"/>
          <w:szCs w:val="24"/>
          <w:vertAlign w:val="superscript"/>
          <w:lang w:val="en-GB"/>
        </w:rPr>
        <w:t>19</w:t>
      </w:r>
      <w:r w:rsidR="00EF4443" w:rsidRPr="004545BE">
        <w:rPr>
          <w:rFonts w:ascii="Times New Roman" w:hAnsi="Times New Roman" w:cs="Times New Roman"/>
          <w:sz w:val="24"/>
          <w:szCs w:val="24"/>
          <w:lang w:val="en-GB"/>
        </w:rPr>
        <w:fldChar w:fldCharType="end"/>
      </w:r>
      <w:r w:rsidR="006F7D4F" w:rsidRPr="004545BE">
        <w:rPr>
          <w:rFonts w:ascii="Times New Roman" w:hAnsi="Times New Roman" w:cs="Times New Roman"/>
          <w:sz w:val="24"/>
          <w:szCs w:val="24"/>
          <w:lang w:val="en-GB"/>
        </w:rPr>
        <w:t>. Also, ICD-10 does not distinguish between traumatic fractures and fragility fractures. A recent study including a random sample of 300 SIDIAP participants aged &gt; 50 years old who suffered a fracture during 2012 has showed that &gt;90% of hip fractures and &gt;80% of major fractures were fragility (not related to high impact trauma)</w:t>
      </w:r>
      <w:r w:rsidR="00EF4443" w:rsidRPr="004545BE">
        <w:rPr>
          <w:rFonts w:ascii="Times New Roman" w:hAnsi="Times New Roman" w:cs="Times New Roman"/>
          <w:sz w:val="24"/>
          <w:szCs w:val="24"/>
          <w:lang w:val="en-GB"/>
        </w:rPr>
        <w:fldChar w:fldCharType="begin" w:fldLock="1"/>
      </w:r>
      <w:r w:rsidR="004B17C2" w:rsidRPr="004545BE">
        <w:rPr>
          <w:rFonts w:ascii="Times New Roman" w:hAnsi="Times New Roman" w:cs="Times New Roman"/>
          <w:sz w:val="24"/>
          <w:szCs w:val="24"/>
          <w:lang w:val="en-GB"/>
        </w:rPr>
        <w:instrText>ADDIN CSL_CITATION { "citationItems" : [ { "id" : "ITEM-1", "itemData" : { "DOI" : "10.1016/j.reuma.2017.10.013", "ISSN" : "1885-1398", "PMID" : "29195740", "abstract" : "PURPOSE Electronic medical records databases use pre-specified lists of diagnostic codes to identify fractures. These codes, however, are not specific enough to disentangle traumatic from fragility-related fractures. We report on the proportion of fragility fractures identified in a random sample of coded fractures in SIDIAP. METHODS Patients\u226550 years old with any fracture recorded in 2012 (as per pre-specified ICD-10 codes) and alive at the time of recruitment were eligible for this retrospective observational study in 6 primary care centres contributing to the SIDIAP database (www.sidiap.org). Those with previous fracture/s, non-responders, and those with dementia or a serious psychiatric disease were excluded. Data on fracture type (traumatic vs fragility), skeletal site, and basic patient characteristics were collected. RESULTS Of 491/616 (79.7%) patients with a registered fracture in 2012 who were contacted, 331 (349 fractures) were included. The most common fractures were forearm (82), ribs (38), and humerus (32), and 225/349 (64.5%) were fragility fractures, with higher proportions for classic osteoporotic sites: hip, 91.7%; spine, 87.7%; and major fractures, 80.5%. This proportion was higher in women, the elderly, and patients with a previously coded diagnosis of osteoporosis. CONCLUSIONS More than 4 in 5 major fractures recorded in SIDIAP are due to fragility (non-traumatic), with higher proportions for hip (92%) and vertebral (88%) fracture, and a lower proportion for fractures other than major ones. Our data support the validity of SIDIAP for the study of the epidemiology of osteoporotic fractures.", "author" : [ { "dropping-particle" : "", "family" : "Martinez-Laguna", "given" : "Daniel", "non-dropping-particle" : "", "parse-names" : false, "suffix" : "" }, { "dropping-particle" : "", "family" : "Soria-Castro", "given" : "Alberto", "non-dropping-particle" : "", "parse-names" : false, "suffix" : "" }, { "dropping-particle" : "", "family" : "Carbonell-Abella", "given" : "Cristina", "non-dropping-particle" : "", "parse-names" : false, "suffix" : "" }, { "dropping-particle" : "", "family" : "Orozco-L\u00f3pez", "given" : "Pilar", "non-dropping-particle" : "", "parse-names" : false, "suffix" : "" }, { "dropping-particle" : "", "family" : "Estrada-Laza", "given" : "Pilar", "non-dropping-particle" : "", "parse-names" : false, "suffix" : "" }, { "dropping-particle" : "", "family" : "Nogues", "given" : "Xavier", "non-dropping-particle" : "", "parse-names" : false, "suffix" : "" }, { "dropping-particle" : "", "family" : "D\u00edez-Perez", "given" : "Adolfo", "non-dropping-particle" : "", "parse-names" : false, "suffix" : "" }, { "dropping-particle" : "", "family" : "Prieto-Alhambra", "given" : "Daniel", "non-dropping-particle" : "", "parse-names" : false, "suffix" : "" } ], "container-title" : "Reumatologia clinica", "id" : "ITEM-1", "issued" : { "date-parts" : [ [ "2017", "11", "28" ] ] }, "title" : "Validation of fragility fractures in primary care electronic medical records: A population-based study.", "type" : "article-journal" }, "uris" : [ "http://www.mendeley.com/documents/?uuid=5371419c-5229-3218-b8f8-1d6591974180" ] } ], "mendeley" : { "formattedCitation" : "&lt;sup&gt;23&lt;/sup&gt;", "plainTextFormattedCitation" : "23", "previouslyFormattedCitation" : "&lt;sup&gt;23&lt;/sup&gt;"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4B17C2" w:rsidRPr="004545BE">
        <w:rPr>
          <w:rFonts w:ascii="Times New Roman" w:hAnsi="Times New Roman" w:cs="Times New Roman"/>
          <w:noProof/>
          <w:sz w:val="24"/>
          <w:szCs w:val="24"/>
          <w:vertAlign w:val="superscript"/>
          <w:lang w:val="en-GB"/>
        </w:rPr>
        <w:t>23</w:t>
      </w:r>
      <w:r w:rsidR="00EF4443" w:rsidRPr="004545BE">
        <w:rPr>
          <w:rFonts w:ascii="Times New Roman" w:hAnsi="Times New Roman" w:cs="Times New Roman"/>
          <w:sz w:val="24"/>
          <w:szCs w:val="24"/>
          <w:lang w:val="en-GB"/>
        </w:rPr>
        <w:fldChar w:fldCharType="end"/>
      </w:r>
      <w:r w:rsidR="004F3865" w:rsidRPr="004545BE">
        <w:rPr>
          <w:rFonts w:ascii="Times New Roman" w:hAnsi="Times New Roman" w:cs="Times New Roman"/>
          <w:sz w:val="24"/>
          <w:szCs w:val="24"/>
          <w:lang w:val="en-GB"/>
        </w:rPr>
        <w:t>.</w:t>
      </w:r>
      <w:r w:rsidR="00004B29" w:rsidRPr="004545BE">
        <w:rPr>
          <w:rFonts w:ascii="Times New Roman" w:hAnsi="Times New Roman" w:cs="Times New Roman"/>
          <w:sz w:val="24"/>
          <w:szCs w:val="24"/>
          <w:lang w:val="en-GB"/>
        </w:rPr>
        <w:t xml:space="preserve"> Residual confounding is possible in our study, as some key potential risk factors for fracture such as parental hip fracture history were not available in the dataset.</w:t>
      </w:r>
      <w:r w:rsidR="004F3865" w:rsidRPr="004545BE">
        <w:rPr>
          <w:rFonts w:ascii="Times New Roman" w:hAnsi="Times New Roman" w:cs="Times New Roman"/>
          <w:sz w:val="24"/>
          <w:szCs w:val="24"/>
          <w:lang w:val="en-GB"/>
        </w:rPr>
        <w:t xml:space="preserve"> </w:t>
      </w:r>
      <w:r w:rsidR="00004B29" w:rsidRPr="004545BE">
        <w:rPr>
          <w:rFonts w:ascii="Times New Roman" w:hAnsi="Times New Roman" w:cs="Times New Roman"/>
          <w:sz w:val="24"/>
          <w:szCs w:val="24"/>
          <w:lang w:val="en-GB"/>
        </w:rPr>
        <w:t>Finally, w</w:t>
      </w:r>
      <w:r w:rsidR="008A5794" w:rsidRPr="004545BE">
        <w:rPr>
          <w:rFonts w:ascii="Times New Roman" w:hAnsi="Times New Roman" w:cs="Times New Roman"/>
          <w:sz w:val="24"/>
          <w:szCs w:val="24"/>
          <w:lang w:val="en-GB"/>
        </w:rPr>
        <w:t>e are uncertain whether these findings are generalizable to other populations</w:t>
      </w:r>
      <w:r w:rsidR="007033AB">
        <w:rPr>
          <w:rFonts w:ascii="Times New Roman" w:hAnsi="Times New Roman" w:cs="Times New Roman"/>
          <w:sz w:val="24"/>
          <w:szCs w:val="24"/>
          <w:lang w:val="en-GB"/>
        </w:rPr>
        <w:t>, but previous research by</w:t>
      </w:r>
      <w:r w:rsidR="008A5794" w:rsidRPr="004545BE">
        <w:rPr>
          <w:rFonts w:ascii="Times New Roman" w:hAnsi="Times New Roman" w:cs="Times New Roman"/>
          <w:sz w:val="24"/>
          <w:szCs w:val="24"/>
          <w:lang w:val="en-GB"/>
        </w:rPr>
        <w:t xml:space="preserve"> Giangregorio </w:t>
      </w:r>
      <w:r w:rsidR="008A5794" w:rsidRPr="004545BE">
        <w:rPr>
          <w:rFonts w:ascii="Times New Roman" w:hAnsi="Times New Roman" w:cs="Times New Roman"/>
          <w:sz w:val="24"/>
          <w:szCs w:val="24"/>
          <w:lang w:val="en-GB"/>
        </w:rPr>
        <w:lastRenderedPageBreak/>
        <w:t>et al</w:t>
      </w:r>
      <w:r w:rsidR="00EF4443" w:rsidRPr="004545BE">
        <w:rPr>
          <w:rFonts w:ascii="Times New Roman" w:hAnsi="Times New Roman" w:cs="Times New Roman"/>
          <w:sz w:val="24"/>
          <w:szCs w:val="24"/>
          <w:lang w:val="en-GB"/>
        </w:rPr>
        <w:fldChar w:fldCharType="begin" w:fldLock="1"/>
      </w:r>
      <w:r w:rsidR="004B17C2" w:rsidRPr="004545BE">
        <w:rPr>
          <w:rFonts w:ascii="Times New Roman" w:hAnsi="Times New Roman" w:cs="Times New Roman"/>
          <w:sz w:val="24"/>
          <w:szCs w:val="24"/>
          <w:lang w:val="en-GB"/>
        </w:rPr>
        <w:instrText>ADDIN CSL_CITATION { "citationItems" : [ { "id" : "ITEM-1", "itemData" : { "DOI" : "10.1002/jbmr.556", "ISSN" : "08840431", "author" : [ { "dropping-particle" : "", "family" : "Giangregorio", "given" : "Lora M", "non-dropping-particle" : "", "parse-names" : false, "suffix" : "" }, { "dropping-particle" : "", "family" : "Leslie", "given" : "William D", "non-dropping-particle" : "", "parse-names" : false, "suffix" : "" }, { "dropping-particle" : "", "family" : "Lix", "given" : "Lisa M", "non-dropping-particle" : "", "parse-names" : false, "suffix" : "" }, { "dropping-particle" : "", "family" : "Johansson", "given" : "Helena", "non-dropping-particle" : "", "parse-names" : false, "suffix" : "" }, { "dropping-particle" : "", "family" : "Oden", "given" : "Anders", "non-dropping-particle" : "", "parse-names" : false, "suffix" : "" }, { "dropping-particle" : "", "family" : "McCloskey", "given" : "Eugene", "non-dropping-particle" : "", "parse-names" : false, "suffix" : "" }, { "dropping-particle" : "", "family" : "Kanis", "given" : "John A", "non-dropping-particle" : "", "parse-names" : false, "suffix" : "" } ], "container-title" : "Journal of Bone and Mineral Research", "id" : "ITEM-1", "issue" : "2", "issued" : { "date-parts" : [ [ "2012", "2" ] ] }, "page" : "301-308", "title" : "FRAX underestimates fracture risk in patients with diabetes", "type" : "article-journal", "volume" : "27" }, "uris" : [ "http://www.mendeley.com/documents/?uuid=916bd2d3-80ba-3d79-a76b-81772abf8348" ] } ], "mendeley" : { "formattedCitation" : "&lt;sup&gt;34&lt;/sup&gt;", "plainTextFormattedCitation" : "34", "previouslyFormattedCitation" : "&lt;sup&gt;34&lt;/sup&gt;" }, "properties" : { "noteIndex" : 0 }, "schema" : "https://github.com/citation-style-language/schema/raw/master/csl-citation.json" }</w:instrText>
      </w:r>
      <w:r w:rsidR="00EF4443" w:rsidRPr="004545BE">
        <w:rPr>
          <w:rFonts w:ascii="Times New Roman" w:hAnsi="Times New Roman" w:cs="Times New Roman"/>
          <w:sz w:val="24"/>
          <w:szCs w:val="24"/>
          <w:lang w:val="en-GB"/>
        </w:rPr>
        <w:fldChar w:fldCharType="separate"/>
      </w:r>
      <w:r w:rsidR="004B17C2" w:rsidRPr="004545BE">
        <w:rPr>
          <w:rFonts w:ascii="Times New Roman" w:hAnsi="Times New Roman" w:cs="Times New Roman"/>
          <w:noProof/>
          <w:sz w:val="24"/>
          <w:szCs w:val="24"/>
          <w:vertAlign w:val="superscript"/>
          <w:lang w:val="en-GB"/>
        </w:rPr>
        <w:t>34</w:t>
      </w:r>
      <w:r w:rsidR="00EF4443" w:rsidRPr="004545BE">
        <w:rPr>
          <w:rFonts w:ascii="Times New Roman" w:hAnsi="Times New Roman" w:cs="Times New Roman"/>
          <w:sz w:val="24"/>
          <w:szCs w:val="24"/>
          <w:lang w:val="en-GB"/>
        </w:rPr>
        <w:fldChar w:fldCharType="end"/>
      </w:r>
      <w:r w:rsidR="008A5794" w:rsidRPr="004545BE">
        <w:rPr>
          <w:rFonts w:ascii="Times New Roman" w:hAnsi="Times New Roman" w:cs="Times New Roman"/>
          <w:sz w:val="24"/>
          <w:szCs w:val="24"/>
          <w:lang w:val="en-GB"/>
        </w:rPr>
        <w:t xml:space="preserve"> </w:t>
      </w:r>
      <w:r w:rsidR="007033AB">
        <w:rPr>
          <w:rFonts w:ascii="Times New Roman" w:hAnsi="Times New Roman" w:cs="Times New Roman"/>
          <w:sz w:val="24"/>
          <w:szCs w:val="24"/>
          <w:lang w:val="en-GB"/>
        </w:rPr>
        <w:t xml:space="preserve">have </w:t>
      </w:r>
      <w:r w:rsidR="008A5794" w:rsidRPr="004545BE">
        <w:rPr>
          <w:rFonts w:ascii="Times New Roman" w:hAnsi="Times New Roman" w:cs="Times New Roman"/>
          <w:sz w:val="24"/>
          <w:szCs w:val="24"/>
          <w:lang w:val="en-GB"/>
        </w:rPr>
        <w:t>found a similar association in Manitoba cohort, Canada.</w:t>
      </w:r>
    </w:p>
    <w:p w:rsidR="001D5C28" w:rsidRPr="004545BE" w:rsidRDefault="00381636" w:rsidP="001D5C28">
      <w:pPr>
        <w:spacing w:line="480" w:lineRule="auto"/>
        <w:jc w:val="both"/>
        <w:rPr>
          <w:rFonts w:ascii="Times New Roman" w:hAnsi="Times New Roman" w:cs="Times New Roman"/>
          <w:sz w:val="24"/>
          <w:szCs w:val="24"/>
          <w:lang w:val="en-GB"/>
        </w:rPr>
      </w:pPr>
      <w:r w:rsidRPr="004545BE">
        <w:rPr>
          <w:rFonts w:ascii="Times New Roman" w:hAnsi="Times New Roman" w:cs="Times New Roman"/>
          <w:sz w:val="24"/>
          <w:szCs w:val="24"/>
          <w:lang w:val="en-GB"/>
        </w:rPr>
        <w:t>In summary, we conclude that estimation of hip fracture risk without accounting for death as a competing event results in an overestimation of fracture risk. All fracture risk estimation/s on T2DM patients should therefore be addressed accounting for death as a competing risk. Our data do however confirm that T2DM patients are at higher risk of hip fracture even after accounting for death as a competing risk. Conventional fracture risk assessment models like FRAX do not include T2DM as a risk factor so a limited predictive accuracy in T2DM patients is expected. Studies on the anti-fracture effectiveness of anti-osteoporosis medications (or non-pharmacological treatments) should account for a competing risk with death. This is particularly relevant if such interventions can affect mortality, similar to the effects observed in our T2DM vs non-T2DM example.</w:t>
      </w:r>
    </w:p>
    <w:p w:rsidR="001D5C28" w:rsidRPr="004545BE" w:rsidRDefault="001D5C28" w:rsidP="009123BE">
      <w:pPr>
        <w:spacing w:line="480" w:lineRule="auto"/>
        <w:jc w:val="both"/>
        <w:rPr>
          <w:rFonts w:ascii="Times New Roman" w:hAnsi="Times New Roman" w:cs="Times New Roman"/>
          <w:strike/>
          <w:sz w:val="24"/>
          <w:szCs w:val="24"/>
          <w:lang w:val="en-US"/>
        </w:rPr>
      </w:pPr>
    </w:p>
    <w:p w:rsidR="00520A9B" w:rsidRPr="004545BE" w:rsidRDefault="00520A9B">
      <w:pPr>
        <w:rPr>
          <w:rFonts w:ascii="Times New Roman" w:hAnsi="Times New Roman" w:cs="Times New Roman"/>
          <w:color w:val="000000"/>
          <w:sz w:val="24"/>
          <w:szCs w:val="24"/>
          <w:shd w:val="clear" w:color="auto" w:fill="FFFFFF"/>
          <w:lang w:val="en-GB"/>
        </w:rPr>
      </w:pPr>
      <w:r w:rsidRPr="004545BE">
        <w:rPr>
          <w:rFonts w:ascii="Times New Roman" w:hAnsi="Times New Roman" w:cs="Times New Roman"/>
          <w:color w:val="000000"/>
          <w:sz w:val="24"/>
          <w:szCs w:val="24"/>
          <w:shd w:val="clear" w:color="auto" w:fill="FFFFFF"/>
          <w:lang w:val="en-GB"/>
        </w:rPr>
        <w:br w:type="page"/>
      </w:r>
    </w:p>
    <w:p w:rsidR="00520A9B" w:rsidRPr="004545BE" w:rsidRDefault="00520A9B" w:rsidP="00520A9B">
      <w:pPr>
        <w:spacing w:line="480" w:lineRule="auto"/>
        <w:jc w:val="both"/>
        <w:rPr>
          <w:rFonts w:ascii="Times New Roman" w:hAnsi="Times New Roman"/>
          <w:b/>
          <w:sz w:val="24"/>
          <w:szCs w:val="24"/>
          <w:lang w:val="en-US"/>
        </w:rPr>
      </w:pPr>
      <w:r w:rsidRPr="004545BE">
        <w:rPr>
          <w:rFonts w:ascii="Times New Roman" w:hAnsi="Times New Roman"/>
          <w:b/>
          <w:sz w:val="24"/>
          <w:szCs w:val="24"/>
          <w:lang w:val="en-US"/>
        </w:rPr>
        <w:lastRenderedPageBreak/>
        <w:t>ACKNOWLEDGEMENTS</w:t>
      </w:r>
    </w:p>
    <w:p w:rsidR="00AC22A4" w:rsidRPr="004545BE" w:rsidRDefault="00AC22A4" w:rsidP="00AC22A4">
      <w:pPr>
        <w:spacing w:line="480" w:lineRule="auto"/>
        <w:jc w:val="both"/>
        <w:rPr>
          <w:rFonts w:ascii="Times New Roman" w:hAnsi="Times New Roman"/>
          <w:iCs/>
          <w:sz w:val="24"/>
          <w:szCs w:val="24"/>
          <w:lang w:val="en-US"/>
        </w:rPr>
      </w:pPr>
      <w:r w:rsidRPr="004545BE">
        <w:rPr>
          <w:rFonts w:ascii="Times New Roman" w:hAnsi="Times New Roman"/>
          <w:sz w:val="24"/>
          <w:szCs w:val="24"/>
          <w:lang w:val="en-US"/>
        </w:rPr>
        <w:t xml:space="preserve">Cristian Tebe, Daniel Martinez-Laguna, and Daniel Prieto-Alhambra designed the study, performed data management, statistical analysis, and </w:t>
      </w:r>
      <w:r w:rsidRPr="004545BE">
        <w:rPr>
          <w:rFonts w:ascii="Times New Roman" w:hAnsi="Times New Roman"/>
          <w:iCs/>
          <w:sz w:val="24"/>
          <w:szCs w:val="24"/>
          <w:lang w:val="en-US"/>
        </w:rPr>
        <w:t xml:space="preserve">drafted the paper. </w:t>
      </w:r>
      <w:r w:rsidRPr="004545BE">
        <w:rPr>
          <w:rFonts w:ascii="Times New Roman" w:hAnsi="Times New Roman"/>
          <w:sz w:val="24"/>
          <w:szCs w:val="24"/>
          <w:lang w:val="en-US"/>
        </w:rPr>
        <w:t xml:space="preserve">Cyrus Cooper, Victor Moreno, Adolfo Diez-Perez and Gary S. Collins supervised epidemiological/analytical aspects, </w:t>
      </w:r>
      <w:r w:rsidRPr="004545BE">
        <w:rPr>
          <w:rFonts w:ascii="Times New Roman" w:hAnsi="Times New Roman"/>
          <w:iCs/>
          <w:sz w:val="24"/>
          <w:szCs w:val="24"/>
          <w:lang w:val="en-US"/>
        </w:rPr>
        <w:t>participated in the discussion and interpretation of results, and reviewed and critically edited the paper. All authors read the final version and approved submission.</w:t>
      </w:r>
    </w:p>
    <w:p w:rsidR="00520A9B" w:rsidRPr="004545BE" w:rsidRDefault="00520A9B" w:rsidP="00520A9B">
      <w:pPr>
        <w:spacing w:line="480" w:lineRule="auto"/>
        <w:jc w:val="both"/>
        <w:rPr>
          <w:rFonts w:ascii="Times New Roman" w:hAnsi="Times New Roman"/>
          <w:sz w:val="24"/>
          <w:szCs w:val="24"/>
        </w:rPr>
      </w:pPr>
      <w:r w:rsidRPr="004545BE">
        <w:rPr>
          <w:rFonts w:ascii="Times New Roman" w:hAnsi="Times New Roman"/>
          <w:sz w:val="24"/>
          <w:szCs w:val="24"/>
        </w:rPr>
        <w:t>This work was supported by the NIHR Biomedical Research Centre, Oxford. DPA is funded by a National Institute for Health Research Clinician Scientist award (CS-2013-13-012). This article presents independent research funded by the National Institute for Health Research (NIHR). The views expressed are those of the authors and not necessarily those of the NHS, the NIHR or the Department of Health.</w:t>
      </w:r>
    </w:p>
    <w:p w:rsidR="001C3F64" w:rsidRPr="004545BE" w:rsidRDefault="001C3F64">
      <w:pPr>
        <w:rPr>
          <w:rFonts w:ascii="Times New Roman" w:hAnsi="Times New Roman" w:cs="Times New Roman"/>
          <w:sz w:val="24"/>
          <w:szCs w:val="24"/>
          <w:lang w:val="en-GB"/>
        </w:rPr>
      </w:pPr>
      <w:r w:rsidRPr="004545BE">
        <w:rPr>
          <w:rFonts w:ascii="Times New Roman" w:hAnsi="Times New Roman" w:cs="Times New Roman"/>
          <w:sz w:val="24"/>
          <w:szCs w:val="24"/>
          <w:lang w:val="en-GB"/>
        </w:rPr>
        <w:br w:type="page"/>
      </w:r>
    </w:p>
    <w:p w:rsidR="00C61D2B" w:rsidRPr="004545BE" w:rsidRDefault="00C61D2B" w:rsidP="009123BE">
      <w:pPr>
        <w:spacing w:line="480" w:lineRule="auto"/>
        <w:jc w:val="both"/>
        <w:rPr>
          <w:rFonts w:ascii="Times New Roman" w:hAnsi="Times New Roman" w:cs="Times New Roman"/>
          <w:b/>
          <w:sz w:val="24"/>
          <w:szCs w:val="24"/>
          <w:lang w:val="es-ES"/>
        </w:rPr>
      </w:pPr>
      <w:r w:rsidRPr="004545BE">
        <w:rPr>
          <w:rFonts w:ascii="Times New Roman" w:hAnsi="Times New Roman" w:cs="Times New Roman"/>
          <w:b/>
          <w:sz w:val="24"/>
          <w:szCs w:val="24"/>
          <w:lang w:val="es-ES"/>
        </w:rPr>
        <w:lastRenderedPageBreak/>
        <w:t>REFERECENCES</w:t>
      </w:r>
    </w:p>
    <w:p w:rsidR="001B59E2" w:rsidRPr="007033AB" w:rsidRDefault="00EF4443">
      <w:pPr>
        <w:pStyle w:val="NormalWeb"/>
        <w:ind w:left="640" w:hanging="640"/>
        <w:divId w:val="1315062668"/>
        <w:rPr>
          <w:noProof/>
          <w:lang w:val="en-US"/>
        </w:rPr>
      </w:pPr>
      <w:r w:rsidRPr="004545BE">
        <w:rPr>
          <w:b/>
          <w:lang w:val="en-GB"/>
        </w:rPr>
        <w:fldChar w:fldCharType="begin" w:fldLock="1"/>
      </w:r>
      <w:r w:rsidR="004B17C2" w:rsidRPr="004545BE">
        <w:rPr>
          <w:b/>
        </w:rPr>
        <w:instrText xml:space="preserve">ADDIN Mendeley Bibliography CSL_BIBLIOGRAPHY </w:instrText>
      </w:r>
      <w:r w:rsidRPr="004545BE">
        <w:rPr>
          <w:b/>
          <w:lang w:val="en-GB"/>
        </w:rPr>
        <w:fldChar w:fldCharType="separate"/>
      </w:r>
      <w:r w:rsidR="001B59E2" w:rsidRPr="004545BE">
        <w:rPr>
          <w:noProof/>
        </w:rPr>
        <w:t xml:space="preserve">1. </w:t>
      </w:r>
      <w:r w:rsidR="001B59E2" w:rsidRPr="004545BE">
        <w:rPr>
          <w:noProof/>
        </w:rPr>
        <w:tab/>
        <w:t xml:space="preserve">Ogurtsova K, da Rocha Fernandes JD, Huang Y, et al. </w:t>
      </w:r>
      <w:r w:rsidR="001B59E2" w:rsidRPr="007033AB">
        <w:rPr>
          <w:noProof/>
          <w:lang w:val="en-US"/>
        </w:rPr>
        <w:t xml:space="preserve">IDF Diabetes Atlas: Global estimates for the prevalence of diabetes for 2015 and 2040. </w:t>
      </w:r>
      <w:r w:rsidR="001B59E2" w:rsidRPr="007033AB">
        <w:rPr>
          <w:i/>
          <w:iCs/>
          <w:noProof/>
          <w:lang w:val="en-US"/>
        </w:rPr>
        <w:t>Diabetes Res Clin Pract</w:t>
      </w:r>
      <w:r w:rsidR="001B59E2" w:rsidRPr="007033AB">
        <w:rPr>
          <w:noProof/>
          <w:lang w:val="en-US"/>
        </w:rPr>
        <w:t>. 2017;128:40-50. doi:10.1016/j.diabres.2017.03.024</w:t>
      </w:r>
    </w:p>
    <w:p w:rsidR="001B59E2" w:rsidRPr="007033AB" w:rsidRDefault="001B59E2">
      <w:pPr>
        <w:pStyle w:val="NormalWeb"/>
        <w:ind w:left="640" w:hanging="640"/>
        <w:divId w:val="1315062668"/>
        <w:rPr>
          <w:noProof/>
          <w:lang w:val="en-US"/>
        </w:rPr>
      </w:pPr>
      <w:r w:rsidRPr="007033AB">
        <w:rPr>
          <w:noProof/>
          <w:lang w:val="en-US"/>
        </w:rPr>
        <w:t xml:space="preserve">2. </w:t>
      </w:r>
      <w:r w:rsidRPr="007033AB">
        <w:rPr>
          <w:noProof/>
          <w:lang w:val="en-US"/>
        </w:rPr>
        <w:tab/>
        <w:t xml:space="preserve">Fuller JH, Elford J, Goldblatt P, Adelstein AM. Diabetes mortality: new light on an underestimated public health problem. </w:t>
      </w:r>
      <w:r w:rsidRPr="007033AB">
        <w:rPr>
          <w:i/>
          <w:iCs/>
          <w:noProof/>
          <w:lang w:val="en-US"/>
        </w:rPr>
        <w:t>Diabetologia</w:t>
      </w:r>
      <w:r w:rsidRPr="007033AB">
        <w:rPr>
          <w:noProof/>
          <w:lang w:val="en-US"/>
        </w:rPr>
        <w:t>. 1983;24(5):336-341. http://www.ncbi.nlm.nih.gov/pubmed/6873513. Accessed February 19, 2018.</w:t>
      </w:r>
    </w:p>
    <w:p w:rsidR="001B59E2" w:rsidRPr="007033AB" w:rsidRDefault="001B59E2">
      <w:pPr>
        <w:pStyle w:val="NormalWeb"/>
        <w:ind w:left="640" w:hanging="640"/>
        <w:divId w:val="1315062668"/>
        <w:rPr>
          <w:noProof/>
          <w:lang w:val="en-US"/>
        </w:rPr>
      </w:pPr>
      <w:r w:rsidRPr="007033AB">
        <w:rPr>
          <w:noProof/>
          <w:lang w:val="en-US"/>
        </w:rPr>
        <w:t xml:space="preserve">3. </w:t>
      </w:r>
      <w:r w:rsidRPr="007033AB">
        <w:rPr>
          <w:noProof/>
          <w:lang w:val="en-US"/>
        </w:rPr>
        <w:tab/>
        <w:t xml:space="preserve">Sandoz MS, Ess SM, Keusch GW, Schwenkglenks M, Szucs TD. Prevalence and direct medical costs of end-stage renal disease in patients with type 2 diabetes mellitus in Switzerland for 2001. </w:t>
      </w:r>
      <w:r w:rsidRPr="007033AB">
        <w:rPr>
          <w:i/>
          <w:iCs/>
          <w:noProof/>
          <w:lang w:val="en-US"/>
        </w:rPr>
        <w:t>Swiss Med Wkly</w:t>
      </w:r>
      <w:r w:rsidRPr="007033AB">
        <w:rPr>
          <w:noProof/>
          <w:lang w:val="en-US"/>
        </w:rPr>
        <w:t>. 2004;134(31-32):448-458. doi:2004/31/smw-10682</w:t>
      </w:r>
    </w:p>
    <w:p w:rsidR="001B59E2" w:rsidRPr="007033AB" w:rsidRDefault="001B59E2">
      <w:pPr>
        <w:pStyle w:val="NormalWeb"/>
        <w:ind w:left="640" w:hanging="640"/>
        <w:divId w:val="1315062668"/>
        <w:rPr>
          <w:noProof/>
          <w:lang w:val="en-US"/>
        </w:rPr>
      </w:pPr>
      <w:r w:rsidRPr="007033AB">
        <w:rPr>
          <w:noProof/>
          <w:lang w:val="en-US"/>
        </w:rPr>
        <w:t xml:space="preserve">4. </w:t>
      </w:r>
      <w:r w:rsidRPr="007033AB">
        <w:rPr>
          <w:noProof/>
          <w:lang w:val="en-US"/>
        </w:rPr>
        <w:tab/>
        <w:t xml:space="preserve">Narres M, Claessen H, Droste S, et al. The Incidence of End-Stage Renal Disease in the Diabetic (Compared to the Non-Diabetic) Population: A Systematic Review. Jandeleit-Dahm K, ed. </w:t>
      </w:r>
      <w:r w:rsidRPr="007033AB">
        <w:rPr>
          <w:i/>
          <w:iCs/>
          <w:noProof/>
          <w:lang w:val="en-US"/>
        </w:rPr>
        <w:t>PLoS One</w:t>
      </w:r>
      <w:r w:rsidRPr="007033AB">
        <w:rPr>
          <w:noProof/>
          <w:lang w:val="en-US"/>
        </w:rPr>
        <w:t>. 2016;11(1):e0147329. doi:10.1371/journal.pone.0147329</w:t>
      </w:r>
    </w:p>
    <w:p w:rsidR="001B59E2" w:rsidRPr="007033AB" w:rsidRDefault="001B59E2">
      <w:pPr>
        <w:pStyle w:val="NormalWeb"/>
        <w:ind w:left="640" w:hanging="640"/>
        <w:divId w:val="1315062668"/>
        <w:rPr>
          <w:noProof/>
          <w:lang w:val="en-US"/>
        </w:rPr>
      </w:pPr>
      <w:r w:rsidRPr="007033AB">
        <w:rPr>
          <w:noProof/>
          <w:lang w:val="en-US"/>
        </w:rPr>
        <w:t xml:space="preserve">5. </w:t>
      </w:r>
      <w:r w:rsidRPr="007033AB">
        <w:rPr>
          <w:noProof/>
          <w:lang w:val="en-US"/>
        </w:rPr>
        <w:tab/>
        <w:t xml:space="preserve">Holman N, Hillson R, Young RJ. Excess mortality during hospital stays among patients with recorded diabetes compared with those without diabetes. </w:t>
      </w:r>
      <w:r w:rsidRPr="007033AB">
        <w:rPr>
          <w:i/>
          <w:iCs/>
          <w:noProof/>
          <w:lang w:val="en-US"/>
        </w:rPr>
        <w:t>Diabet Med</w:t>
      </w:r>
      <w:r w:rsidRPr="007033AB">
        <w:rPr>
          <w:noProof/>
          <w:lang w:val="en-US"/>
        </w:rPr>
        <w:t>. 2013;30(12):1393-1402. doi:10.1111/dme.12282</w:t>
      </w:r>
    </w:p>
    <w:p w:rsidR="001B59E2" w:rsidRPr="007033AB" w:rsidRDefault="001B59E2">
      <w:pPr>
        <w:pStyle w:val="NormalWeb"/>
        <w:ind w:left="640" w:hanging="640"/>
        <w:divId w:val="1315062668"/>
        <w:rPr>
          <w:noProof/>
          <w:lang w:val="en-US"/>
        </w:rPr>
      </w:pPr>
      <w:r w:rsidRPr="007033AB">
        <w:rPr>
          <w:noProof/>
          <w:lang w:val="en-US"/>
        </w:rPr>
        <w:t xml:space="preserve">6. </w:t>
      </w:r>
      <w:r w:rsidRPr="007033AB">
        <w:rPr>
          <w:noProof/>
          <w:lang w:val="en-US"/>
        </w:rPr>
        <w:tab/>
        <w:t xml:space="preserve">Lutgers HL, Gerrits EG, Sluiter WJ, et al. Life Expectancy in a Large Cohort of Type 2 Diabetes Patients Treated in Primary Care (ZODIAC-10). Sorensen TIA, ed. </w:t>
      </w:r>
      <w:r w:rsidRPr="007033AB">
        <w:rPr>
          <w:i/>
          <w:iCs/>
          <w:noProof/>
          <w:lang w:val="en-US"/>
        </w:rPr>
        <w:t>PLoS One</w:t>
      </w:r>
      <w:r w:rsidRPr="007033AB">
        <w:rPr>
          <w:noProof/>
          <w:lang w:val="en-US"/>
        </w:rPr>
        <w:t>. 2009;4(8):e6817. doi:10.1371/journal.pone.0006817</w:t>
      </w:r>
    </w:p>
    <w:p w:rsidR="001B59E2" w:rsidRPr="007033AB" w:rsidRDefault="001B59E2">
      <w:pPr>
        <w:pStyle w:val="NormalWeb"/>
        <w:ind w:left="640" w:hanging="640"/>
        <w:divId w:val="1315062668"/>
        <w:rPr>
          <w:noProof/>
          <w:lang w:val="en-US"/>
        </w:rPr>
      </w:pPr>
      <w:r w:rsidRPr="007033AB">
        <w:rPr>
          <w:noProof/>
          <w:lang w:val="en-US"/>
        </w:rPr>
        <w:lastRenderedPageBreak/>
        <w:t xml:space="preserve">7. </w:t>
      </w:r>
      <w:r w:rsidRPr="007033AB">
        <w:rPr>
          <w:noProof/>
          <w:lang w:val="en-US"/>
        </w:rPr>
        <w:tab/>
        <w:t xml:space="preserve">Nwaneri C, Cooper H, Bowen-Jones D. Mortality in type 2 diabetes mellitus: magnitude of the evidence from a systematic review and meta-analysis. </w:t>
      </w:r>
      <w:r w:rsidRPr="007033AB">
        <w:rPr>
          <w:i/>
          <w:iCs/>
          <w:noProof/>
          <w:lang w:val="en-US"/>
        </w:rPr>
        <w:t>Br J Diabetes Vasc Dis</w:t>
      </w:r>
      <w:r w:rsidRPr="007033AB">
        <w:rPr>
          <w:noProof/>
          <w:lang w:val="en-US"/>
        </w:rPr>
        <w:t>. 2013;13(4):192-207. doi:10.1177/1474651413495703</w:t>
      </w:r>
    </w:p>
    <w:p w:rsidR="001B59E2" w:rsidRPr="007033AB" w:rsidRDefault="001B59E2">
      <w:pPr>
        <w:pStyle w:val="NormalWeb"/>
        <w:ind w:left="640" w:hanging="640"/>
        <w:divId w:val="1315062668"/>
        <w:rPr>
          <w:noProof/>
          <w:lang w:val="en-US"/>
        </w:rPr>
      </w:pPr>
      <w:r w:rsidRPr="007033AB">
        <w:rPr>
          <w:noProof/>
          <w:lang w:val="en-US"/>
        </w:rPr>
        <w:t xml:space="preserve">8. </w:t>
      </w:r>
      <w:r w:rsidRPr="007033AB">
        <w:rPr>
          <w:noProof/>
          <w:lang w:val="en-US"/>
        </w:rPr>
        <w:tab/>
        <w:t xml:space="preserve">Leung M-YM, Pollack LM, Colditz GA, Chang S-H. Life Years Lost and Lifetime Health Care Expenditures Associated With Diabetes in the U.S., National Health Interview Survey, 1997–2000. </w:t>
      </w:r>
      <w:r w:rsidRPr="007033AB">
        <w:rPr>
          <w:i/>
          <w:iCs/>
          <w:noProof/>
          <w:lang w:val="en-US"/>
        </w:rPr>
        <w:t>Diabetes Care</w:t>
      </w:r>
      <w:r w:rsidRPr="007033AB">
        <w:rPr>
          <w:noProof/>
          <w:lang w:val="en-US"/>
        </w:rPr>
        <w:t>. 2015;38(3):460-468. doi:10.2337/dc14-1453</w:t>
      </w:r>
    </w:p>
    <w:p w:rsidR="001B59E2" w:rsidRPr="007033AB" w:rsidRDefault="001B59E2">
      <w:pPr>
        <w:pStyle w:val="NormalWeb"/>
        <w:ind w:left="640" w:hanging="640"/>
        <w:divId w:val="1315062668"/>
        <w:rPr>
          <w:noProof/>
          <w:lang w:val="en-US"/>
        </w:rPr>
      </w:pPr>
      <w:r w:rsidRPr="007033AB">
        <w:rPr>
          <w:noProof/>
          <w:lang w:val="en-US"/>
        </w:rPr>
        <w:t xml:space="preserve">9. </w:t>
      </w:r>
      <w:r w:rsidRPr="007033AB">
        <w:rPr>
          <w:noProof/>
          <w:lang w:val="en-US"/>
        </w:rPr>
        <w:tab/>
        <w:t>British Orthopaedic Association THE CARE OF PATIENTS WITH FRAGILITY FRACTURE. 2007. www.boa.ac.uk. Accessed February 19, 2018.</w:t>
      </w:r>
    </w:p>
    <w:p w:rsidR="001B59E2" w:rsidRPr="007033AB" w:rsidRDefault="001B59E2">
      <w:pPr>
        <w:pStyle w:val="NormalWeb"/>
        <w:ind w:left="640" w:hanging="640"/>
        <w:divId w:val="1315062668"/>
        <w:rPr>
          <w:noProof/>
          <w:lang w:val="en-US"/>
        </w:rPr>
      </w:pPr>
      <w:r w:rsidRPr="007033AB">
        <w:rPr>
          <w:noProof/>
          <w:lang w:val="en-US"/>
        </w:rPr>
        <w:t xml:space="preserve">10. </w:t>
      </w:r>
      <w:r w:rsidRPr="007033AB">
        <w:rPr>
          <w:noProof/>
          <w:lang w:val="en-US"/>
        </w:rPr>
        <w:tab/>
        <w:t xml:space="preserve">Tuominen JT, Impivaara O, Puukka P, Rönnemaa T. Bone mineral density in patients with type 1 and type 2 diabetes. </w:t>
      </w:r>
      <w:r w:rsidRPr="007033AB">
        <w:rPr>
          <w:i/>
          <w:iCs/>
          <w:noProof/>
          <w:lang w:val="en-US"/>
        </w:rPr>
        <w:t>Diabetes Care</w:t>
      </w:r>
      <w:r w:rsidRPr="007033AB">
        <w:rPr>
          <w:noProof/>
          <w:lang w:val="en-US"/>
        </w:rPr>
        <w:t>. 1999;22(7):1196-1200. http://www.ncbi.nlm.nih.gov/pubmed/10388989. Accessed February 19, 2018.</w:t>
      </w:r>
    </w:p>
    <w:p w:rsidR="001B59E2" w:rsidRPr="007033AB" w:rsidRDefault="001B59E2">
      <w:pPr>
        <w:pStyle w:val="NormalWeb"/>
        <w:ind w:left="640" w:hanging="640"/>
        <w:divId w:val="1315062668"/>
        <w:rPr>
          <w:noProof/>
          <w:lang w:val="en-US"/>
        </w:rPr>
      </w:pPr>
      <w:r w:rsidRPr="007033AB">
        <w:rPr>
          <w:noProof/>
          <w:lang w:val="en-US"/>
        </w:rPr>
        <w:t xml:space="preserve">11. </w:t>
      </w:r>
      <w:r w:rsidRPr="007033AB">
        <w:rPr>
          <w:noProof/>
          <w:lang w:val="en-US"/>
        </w:rPr>
        <w:tab/>
        <w:t xml:space="preserve">Vestergaard P. Discrepancies in bone mineral density and fracture risk in patients with type 1 and type 2 diabetes--a meta-analysis. </w:t>
      </w:r>
      <w:r w:rsidRPr="007033AB">
        <w:rPr>
          <w:i/>
          <w:iCs/>
          <w:noProof/>
          <w:lang w:val="en-US"/>
        </w:rPr>
        <w:t>Osteoporos Int</w:t>
      </w:r>
      <w:r w:rsidRPr="007033AB">
        <w:rPr>
          <w:noProof/>
          <w:lang w:val="en-US"/>
        </w:rPr>
        <w:t>. 2007;18(4):427-444. doi:10.1007/s00198-006-0253-4</w:t>
      </w:r>
    </w:p>
    <w:p w:rsidR="001B59E2" w:rsidRPr="007033AB" w:rsidRDefault="001B59E2">
      <w:pPr>
        <w:pStyle w:val="NormalWeb"/>
        <w:ind w:left="640" w:hanging="640"/>
        <w:divId w:val="1315062668"/>
        <w:rPr>
          <w:noProof/>
          <w:lang w:val="en-US"/>
        </w:rPr>
      </w:pPr>
      <w:r w:rsidRPr="007033AB">
        <w:rPr>
          <w:noProof/>
          <w:lang w:val="en-US"/>
        </w:rPr>
        <w:t xml:space="preserve">12. </w:t>
      </w:r>
      <w:r w:rsidRPr="007033AB">
        <w:rPr>
          <w:noProof/>
          <w:lang w:val="en-US"/>
        </w:rPr>
        <w:tab/>
        <w:t xml:space="preserve">Hothersall EJ, Livingstone SJ, Looker HC, et al. Contemporary Risk of Hip Fracture in Type 1 and Type 2 Diabetes: A National Registry Study From Scotland. </w:t>
      </w:r>
      <w:r w:rsidRPr="007033AB">
        <w:rPr>
          <w:i/>
          <w:iCs/>
          <w:noProof/>
          <w:lang w:val="en-US"/>
        </w:rPr>
        <w:t>J Bone Miner Res</w:t>
      </w:r>
      <w:r w:rsidRPr="007033AB">
        <w:rPr>
          <w:noProof/>
          <w:lang w:val="en-US"/>
        </w:rPr>
        <w:t>. 2014;29(5):1054-1060. doi:10.1002/jbmr.2118</w:t>
      </w:r>
    </w:p>
    <w:p w:rsidR="001B59E2" w:rsidRPr="007033AB" w:rsidRDefault="001B59E2">
      <w:pPr>
        <w:pStyle w:val="NormalWeb"/>
        <w:ind w:left="640" w:hanging="640"/>
        <w:divId w:val="1315062668"/>
        <w:rPr>
          <w:noProof/>
          <w:lang w:val="en-US"/>
        </w:rPr>
      </w:pPr>
      <w:r w:rsidRPr="007033AB">
        <w:rPr>
          <w:noProof/>
          <w:lang w:val="en-US"/>
        </w:rPr>
        <w:t xml:space="preserve">13. </w:t>
      </w:r>
      <w:r w:rsidRPr="007033AB">
        <w:rPr>
          <w:noProof/>
          <w:lang w:val="en-US"/>
        </w:rPr>
        <w:tab/>
        <w:t xml:space="preserve">Schwartz A V., Sellmeyer DE, Ensrud KE, et al. Older Women with Diabetes Have an Increased Risk of Fracture: A Prospective Study. </w:t>
      </w:r>
      <w:r w:rsidRPr="007033AB">
        <w:rPr>
          <w:i/>
          <w:iCs/>
          <w:noProof/>
          <w:lang w:val="en-US"/>
        </w:rPr>
        <w:t>J Clin Endocrinol Metab</w:t>
      </w:r>
      <w:r w:rsidRPr="007033AB">
        <w:rPr>
          <w:noProof/>
          <w:lang w:val="en-US"/>
        </w:rPr>
        <w:t>. 2001;86(1):32-38. doi:10.1210/jcem.86.1.7139</w:t>
      </w:r>
    </w:p>
    <w:p w:rsidR="001B59E2" w:rsidRPr="007033AB" w:rsidRDefault="001B59E2">
      <w:pPr>
        <w:pStyle w:val="NormalWeb"/>
        <w:ind w:left="640" w:hanging="640"/>
        <w:divId w:val="1315062668"/>
        <w:rPr>
          <w:noProof/>
          <w:lang w:val="en-US"/>
        </w:rPr>
      </w:pPr>
      <w:r w:rsidRPr="007033AB">
        <w:rPr>
          <w:noProof/>
          <w:lang w:val="en-US"/>
        </w:rPr>
        <w:lastRenderedPageBreak/>
        <w:t xml:space="preserve">14. </w:t>
      </w:r>
      <w:r w:rsidRPr="007033AB">
        <w:rPr>
          <w:noProof/>
          <w:lang w:val="en-US"/>
        </w:rPr>
        <w:tab/>
        <w:t xml:space="preserve">Bonds DE, Larson JC, Schwartz A V., et al. Risk of Fracture in Women with Type 2 Diabetes: the Women’s Health Initiative Observational Study. </w:t>
      </w:r>
      <w:r w:rsidRPr="007033AB">
        <w:rPr>
          <w:i/>
          <w:iCs/>
          <w:noProof/>
          <w:lang w:val="en-US"/>
        </w:rPr>
        <w:t>J Clin Endocrinol Metab</w:t>
      </w:r>
      <w:r w:rsidRPr="007033AB">
        <w:rPr>
          <w:noProof/>
          <w:lang w:val="en-US"/>
        </w:rPr>
        <w:t>. 2006;91(9):3404-3410. doi:10.1210/jc.2006-0614</w:t>
      </w:r>
    </w:p>
    <w:p w:rsidR="001B59E2" w:rsidRPr="007033AB" w:rsidRDefault="001B59E2">
      <w:pPr>
        <w:pStyle w:val="NormalWeb"/>
        <w:ind w:left="640" w:hanging="640"/>
        <w:divId w:val="1315062668"/>
        <w:rPr>
          <w:noProof/>
          <w:lang w:val="en-US"/>
        </w:rPr>
      </w:pPr>
      <w:r w:rsidRPr="007033AB">
        <w:rPr>
          <w:noProof/>
          <w:lang w:val="en-US"/>
        </w:rPr>
        <w:t xml:space="preserve">15. </w:t>
      </w:r>
      <w:r w:rsidRPr="007033AB">
        <w:rPr>
          <w:noProof/>
          <w:lang w:val="en-US"/>
        </w:rPr>
        <w:tab/>
        <w:t xml:space="preserve">Melton LJ, Leibson CL, Achenbach SJ, Therneau TM, Khosla S. Fracture risk in type 2 diabetes: update of a population-based study. </w:t>
      </w:r>
      <w:r w:rsidRPr="007033AB">
        <w:rPr>
          <w:i/>
          <w:iCs/>
          <w:noProof/>
          <w:lang w:val="en-US"/>
        </w:rPr>
        <w:t>J Bone Miner Res</w:t>
      </w:r>
      <w:r w:rsidRPr="007033AB">
        <w:rPr>
          <w:noProof/>
          <w:lang w:val="en-US"/>
        </w:rPr>
        <w:t>. 2008;23(8):1334-1342. doi:10.1359/jbmr.080323</w:t>
      </w:r>
    </w:p>
    <w:p w:rsidR="001B59E2" w:rsidRPr="007033AB" w:rsidRDefault="001B59E2">
      <w:pPr>
        <w:pStyle w:val="NormalWeb"/>
        <w:ind w:left="640" w:hanging="640"/>
        <w:divId w:val="1315062668"/>
        <w:rPr>
          <w:noProof/>
          <w:lang w:val="en-US"/>
        </w:rPr>
      </w:pPr>
      <w:r w:rsidRPr="007033AB">
        <w:rPr>
          <w:noProof/>
          <w:lang w:val="en-US"/>
        </w:rPr>
        <w:t xml:space="preserve">16. </w:t>
      </w:r>
      <w:r w:rsidRPr="007033AB">
        <w:rPr>
          <w:noProof/>
          <w:lang w:val="en-US"/>
        </w:rPr>
        <w:tab/>
        <w:t xml:space="preserve">Martinez-Laguna D, Tebe C, Javaid MK, et al. Incident type 2 diabetes and hip fracture risk: a population-based matched cohort study. </w:t>
      </w:r>
      <w:r w:rsidRPr="007033AB">
        <w:rPr>
          <w:i/>
          <w:iCs/>
          <w:noProof/>
          <w:lang w:val="en-US"/>
        </w:rPr>
        <w:t>Osteoporos Int</w:t>
      </w:r>
      <w:r w:rsidRPr="007033AB">
        <w:rPr>
          <w:noProof/>
          <w:lang w:val="en-US"/>
        </w:rPr>
        <w:t>. 2015;26(2):827-833. doi:10.1007/s00198-014-2986-9</w:t>
      </w:r>
    </w:p>
    <w:p w:rsidR="001B59E2" w:rsidRPr="007033AB" w:rsidRDefault="001B59E2">
      <w:pPr>
        <w:pStyle w:val="NormalWeb"/>
        <w:ind w:left="640" w:hanging="640"/>
        <w:divId w:val="1315062668"/>
        <w:rPr>
          <w:noProof/>
          <w:lang w:val="en-US"/>
        </w:rPr>
      </w:pPr>
      <w:r w:rsidRPr="007033AB">
        <w:rPr>
          <w:noProof/>
          <w:lang w:val="en-US"/>
        </w:rPr>
        <w:t xml:space="preserve">17. </w:t>
      </w:r>
      <w:r w:rsidRPr="007033AB">
        <w:rPr>
          <w:noProof/>
          <w:lang w:val="en-US"/>
        </w:rPr>
        <w:tab/>
        <w:t xml:space="preserve">Roman de Mettelinge T, Cambier D, Calders P, Van Den Noortgate N, Delbaere K. Understanding the relationship between type 2 diabetes mellitus and falls in older adults: a prospective cohort study. Bayer A, ed. </w:t>
      </w:r>
      <w:r w:rsidRPr="007033AB">
        <w:rPr>
          <w:i/>
          <w:iCs/>
          <w:noProof/>
          <w:lang w:val="en-US"/>
        </w:rPr>
        <w:t>PLoS One</w:t>
      </w:r>
      <w:r w:rsidRPr="007033AB">
        <w:rPr>
          <w:noProof/>
          <w:lang w:val="en-US"/>
        </w:rPr>
        <w:t>. 2013;8(6):e67055. doi:10.1371/journal.pone.0067055</w:t>
      </w:r>
    </w:p>
    <w:p w:rsidR="001B59E2" w:rsidRPr="007033AB" w:rsidRDefault="001B59E2">
      <w:pPr>
        <w:pStyle w:val="NormalWeb"/>
        <w:ind w:left="640" w:hanging="640"/>
        <w:divId w:val="1315062668"/>
        <w:rPr>
          <w:noProof/>
          <w:lang w:val="en-US"/>
        </w:rPr>
      </w:pPr>
      <w:r w:rsidRPr="007033AB">
        <w:rPr>
          <w:noProof/>
          <w:lang w:val="en-US"/>
        </w:rPr>
        <w:t xml:space="preserve">18. </w:t>
      </w:r>
      <w:r w:rsidRPr="007033AB">
        <w:rPr>
          <w:noProof/>
          <w:lang w:val="en-US"/>
        </w:rPr>
        <w:tab/>
        <w:t xml:space="preserve">Harvey N, Dennison E, Cooper C. Osteoporosis: impact on health and economics. </w:t>
      </w:r>
      <w:r w:rsidRPr="007033AB">
        <w:rPr>
          <w:i/>
          <w:iCs/>
          <w:noProof/>
          <w:lang w:val="en-US"/>
        </w:rPr>
        <w:t>Nat Rev Rheumatol</w:t>
      </w:r>
      <w:r w:rsidRPr="007033AB">
        <w:rPr>
          <w:noProof/>
          <w:lang w:val="en-US"/>
        </w:rPr>
        <w:t>. 2010;6(2):99-105. doi:10.1038/nrrheum.2009.260</w:t>
      </w:r>
    </w:p>
    <w:p w:rsidR="001B59E2" w:rsidRPr="007033AB" w:rsidRDefault="001B59E2">
      <w:pPr>
        <w:pStyle w:val="NormalWeb"/>
        <w:ind w:left="640" w:hanging="640"/>
        <w:divId w:val="1315062668"/>
        <w:rPr>
          <w:noProof/>
          <w:lang w:val="en-US"/>
        </w:rPr>
      </w:pPr>
      <w:r w:rsidRPr="007033AB">
        <w:rPr>
          <w:noProof/>
          <w:lang w:val="en-US"/>
        </w:rPr>
        <w:t xml:space="preserve">19. </w:t>
      </w:r>
      <w:r w:rsidRPr="007033AB">
        <w:rPr>
          <w:noProof/>
          <w:lang w:val="en-US"/>
        </w:rPr>
        <w:tab/>
        <w:t xml:space="preserve">Pagès-Castellà A, Carbonell-Abella C, Avilés FF, et al. &amp;quot;Burden of osteoporotic fractures in primary health care in Catalonia (Spain): a population-based study&amp;quot;. </w:t>
      </w:r>
      <w:r w:rsidRPr="007033AB">
        <w:rPr>
          <w:i/>
          <w:iCs/>
          <w:noProof/>
          <w:lang w:val="en-US"/>
        </w:rPr>
        <w:t>BMC Musculoskelet Disord</w:t>
      </w:r>
      <w:r w:rsidRPr="007033AB">
        <w:rPr>
          <w:noProof/>
          <w:lang w:val="en-US"/>
        </w:rPr>
        <w:t>. 2012;13(1):79. doi:10.1186/1471-2474-13-79</w:t>
      </w:r>
    </w:p>
    <w:p w:rsidR="001B59E2" w:rsidRPr="007033AB" w:rsidRDefault="001B59E2">
      <w:pPr>
        <w:pStyle w:val="NormalWeb"/>
        <w:ind w:left="640" w:hanging="640"/>
        <w:divId w:val="1315062668"/>
        <w:rPr>
          <w:noProof/>
          <w:lang w:val="en-US"/>
        </w:rPr>
      </w:pPr>
      <w:r w:rsidRPr="007033AB">
        <w:rPr>
          <w:noProof/>
          <w:lang w:val="en-US"/>
        </w:rPr>
        <w:t xml:space="preserve">20. </w:t>
      </w:r>
      <w:r w:rsidRPr="007033AB">
        <w:rPr>
          <w:noProof/>
          <w:lang w:val="en-US"/>
        </w:rPr>
        <w:tab/>
        <w:t xml:space="preserve">Hailer NP, Garland A, Rogmark C, Garellick G, Kärrholm J. Early mortality and morbidity after total hip arthroplasty in patients with femoral neck fracture. </w:t>
      </w:r>
      <w:r w:rsidRPr="007033AB">
        <w:rPr>
          <w:i/>
          <w:iCs/>
          <w:noProof/>
          <w:lang w:val="en-US"/>
        </w:rPr>
        <w:t>Acta Orthop</w:t>
      </w:r>
      <w:r w:rsidRPr="007033AB">
        <w:rPr>
          <w:noProof/>
          <w:lang w:val="en-US"/>
        </w:rPr>
        <w:t>. 2016;87(6):560-566. doi:10.1080/17453674.2016.1234869</w:t>
      </w:r>
    </w:p>
    <w:p w:rsidR="001B59E2" w:rsidRPr="004545BE" w:rsidRDefault="001B59E2">
      <w:pPr>
        <w:pStyle w:val="NormalWeb"/>
        <w:ind w:left="640" w:hanging="640"/>
        <w:divId w:val="1315062668"/>
        <w:rPr>
          <w:noProof/>
        </w:rPr>
      </w:pPr>
      <w:r w:rsidRPr="007033AB">
        <w:rPr>
          <w:noProof/>
          <w:lang w:val="en-US"/>
        </w:rPr>
        <w:lastRenderedPageBreak/>
        <w:t xml:space="preserve">21. </w:t>
      </w:r>
      <w:r w:rsidRPr="007033AB">
        <w:rPr>
          <w:noProof/>
          <w:lang w:val="en-US"/>
        </w:rPr>
        <w:tab/>
        <w:t xml:space="preserve">Lau B, Cole SR, Gange SJ. Competing Risk Regression Models for Epidemiologic Data. </w:t>
      </w:r>
      <w:r w:rsidRPr="004545BE">
        <w:rPr>
          <w:i/>
          <w:iCs/>
          <w:noProof/>
        </w:rPr>
        <w:t>Am J Epidemiol</w:t>
      </w:r>
      <w:r w:rsidRPr="004545BE">
        <w:rPr>
          <w:noProof/>
        </w:rPr>
        <w:t>. 2009;170(2):244-256. doi:10.1093/aje/kwp107</w:t>
      </w:r>
    </w:p>
    <w:p w:rsidR="001B59E2" w:rsidRPr="004545BE" w:rsidRDefault="001B59E2">
      <w:pPr>
        <w:pStyle w:val="NormalWeb"/>
        <w:ind w:left="640" w:hanging="640"/>
        <w:divId w:val="1315062668"/>
        <w:rPr>
          <w:noProof/>
        </w:rPr>
      </w:pPr>
      <w:r w:rsidRPr="004545BE">
        <w:rPr>
          <w:noProof/>
        </w:rPr>
        <w:t xml:space="preserve">22. </w:t>
      </w:r>
      <w:r w:rsidRPr="004545BE">
        <w:rPr>
          <w:noProof/>
        </w:rPr>
        <w:tab/>
        <w:t xml:space="preserve">Bolíbar B, Fina Avilés F, Morros R, et al. </w:t>
      </w:r>
      <w:r w:rsidRPr="007033AB">
        <w:rPr>
          <w:noProof/>
          <w:lang w:val="en-US"/>
        </w:rPr>
        <w:t xml:space="preserve">[SIDIAP database: electronic clinical records in primary care as a source of information for epidemiologic research]. </w:t>
      </w:r>
      <w:r w:rsidRPr="004545BE">
        <w:rPr>
          <w:i/>
          <w:iCs/>
          <w:noProof/>
        </w:rPr>
        <w:t>Med Clin (Barc)</w:t>
      </w:r>
      <w:r w:rsidRPr="004545BE">
        <w:rPr>
          <w:noProof/>
        </w:rPr>
        <w:t>. 2012;138(14):617-621. doi:10.1016/j.medcli.2012.01.020</w:t>
      </w:r>
    </w:p>
    <w:p w:rsidR="001B59E2" w:rsidRPr="007033AB" w:rsidRDefault="001B59E2">
      <w:pPr>
        <w:pStyle w:val="NormalWeb"/>
        <w:ind w:left="640" w:hanging="640"/>
        <w:divId w:val="1315062668"/>
        <w:rPr>
          <w:noProof/>
          <w:lang w:val="en-US"/>
        </w:rPr>
      </w:pPr>
      <w:r w:rsidRPr="004545BE">
        <w:rPr>
          <w:noProof/>
        </w:rPr>
        <w:t xml:space="preserve">23. </w:t>
      </w:r>
      <w:r w:rsidRPr="004545BE">
        <w:rPr>
          <w:noProof/>
        </w:rPr>
        <w:tab/>
        <w:t xml:space="preserve">Martinez-Laguna D, Soria-Castro A, Carbonell-Abella C, et al. </w:t>
      </w:r>
      <w:r w:rsidRPr="007033AB">
        <w:rPr>
          <w:noProof/>
          <w:lang w:val="en-US"/>
        </w:rPr>
        <w:t xml:space="preserve">Validation of fragility fractures in primary care electronic medical records: A population-based study. </w:t>
      </w:r>
      <w:r w:rsidRPr="007033AB">
        <w:rPr>
          <w:i/>
          <w:iCs/>
          <w:noProof/>
          <w:lang w:val="en-US"/>
        </w:rPr>
        <w:t>Reumatol Clin</w:t>
      </w:r>
      <w:r w:rsidRPr="007033AB">
        <w:rPr>
          <w:noProof/>
          <w:lang w:val="en-US"/>
        </w:rPr>
        <w:t>. November 2017. doi:10.1016/j.reuma.2017.10.013</w:t>
      </w:r>
    </w:p>
    <w:p w:rsidR="001B59E2" w:rsidRPr="007033AB" w:rsidRDefault="001B59E2">
      <w:pPr>
        <w:pStyle w:val="NormalWeb"/>
        <w:ind w:left="640" w:hanging="640"/>
        <w:divId w:val="1315062668"/>
        <w:rPr>
          <w:noProof/>
          <w:lang w:val="en-US"/>
        </w:rPr>
      </w:pPr>
      <w:r w:rsidRPr="007033AB">
        <w:rPr>
          <w:noProof/>
          <w:lang w:val="en-US"/>
        </w:rPr>
        <w:t xml:space="preserve">24. </w:t>
      </w:r>
      <w:r w:rsidRPr="007033AB">
        <w:rPr>
          <w:noProof/>
          <w:lang w:val="en-US"/>
        </w:rPr>
        <w:tab/>
        <w:t xml:space="preserve">Kleinbaum DG, Klein M. </w:t>
      </w:r>
      <w:r w:rsidRPr="007033AB">
        <w:rPr>
          <w:i/>
          <w:iCs/>
          <w:noProof/>
          <w:lang w:val="en-US"/>
        </w:rPr>
        <w:t>Survival Analysis : A Self-Learning Text</w:t>
      </w:r>
      <w:r w:rsidRPr="007033AB">
        <w:rPr>
          <w:noProof/>
          <w:lang w:val="en-US"/>
        </w:rPr>
        <w:t>. Springer; 2012.</w:t>
      </w:r>
    </w:p>
    <w:p w:rsidR="001B59E2" w:rsidRPr="007033AB" w:rsidRDefault="001B59E2">
      <w:pPr>
        <w:pStyle w:val="NormalWeb"/>
        <w:ind w:left="640" w:hanging="640"/>
        <w:divId w:val="1315062668"/>
        <w:rPr>
          <w:noProof/>
          <w:lang w:val="en-US"/>
        </w:rPr>
      </w:pPr>
      <w:r w:rsidRPr="007033AB">
        <w:rPr>
          <w:noProof/>
          <w:lang w:val="en-US"/>
        </w:rPr>
        <w:t xml:space="preserve">25. </w:t>
      </w:r>
      <w:r w:rsidRPr="007033AB">
        <w:rPr>
          <w:noProof/>
          <w:lang w:val="en-US"/>
        </w:rPr>
        <w:tab/>
        <w:t xml:space="preserve">Fine JP, Gray RJ. A proportional hazards model for the subdistribution of a competing risk. </w:t>
      </w:r>
      <w:r w:rsidRPr="007033AB">
        <w:rPr>
          <w:i/>
          <w:iCs/>
          <w:noProof/>
          <w:lang w:val="en-US"/>
        </w:rPr>
        <w:t>J Am Stat Assoc</w:t>
      </w:r>
      <w:r w:rsidRPr="007033AB">
        <w:rPr>
          <w:noProof/>
          <w:lang w:val="en-US"/>
        </w:rPr>
        <w:t>. 1999;94:496-509. doi:10.1080/01621459.1999.10474144</w:t>
      </w:r>
    </w:p>
    <w:p w:rsidR="001B59E2" w:rsidRPr="007033AB" w:rsidRDefault="001B59E2">
      <w:pPr>
        <w:pStyle w:val="NormalWeb"/>
        <w:ind w:left="640" w:hanging="640"/>
        <w:divId w:val="1315062668"/>
        <w:rPr>
          <w:noProof/>
          <w:lang w:val="en-US"/>
        </w:rPr>
      </w:pPr>
      <w:r w:rsidRPr="007033AB">
        <w:rPr>
          <w:noProof/>
          <w:lang w:val="en-US"/>
        </w:rPr>
        <w:t xml:space="preserve">26. </w:t>
      </w:r>
      <w:r w:rsidRPr="007033AB">
        <w:rPr>
          <w:noProof/>
          <w:lang w:val="en-US"/>
        </w:rPr>
        <w:tab/>
        <w:t xml:space="preserve">Austin PC, Lee DS, Fine JP. Introduction to the Analysis of Survival Data in the Presence of Competing Risks. </w:t>
      </w:r>
      <w:r w:rsidRPr="007033AB">
        <w:rPr>
          <w:i/>
          <w:iCs/>
          <w:noProof/>
          <w:lang w:val="en-US"/>
        </w:rPr>
        <w:t>Circulation</w:t>
      </w:r>
      <w:r w:rsidRPr="007033AB">
        <w:rPr>
          <w:noProof/>
          <w:lang w:val="en-US"/>
        </w:rPr>
        <w:t>. 2016;133(6):601-609. doi:10.1161/CIRCULATIONAHA.115.017719</w:t>
      </w:r>
    </w:p>
    <w:p w:rsidR="001B59E2" w:rsidRPr="007033AB" w:rsidRDefault="001B59E2">
      <w:pPr>
        <w:pStyle w:val="NormalWeb"/>
        <w:ind w:left="640" w:hanging="640"/>
        <w:divId w:val="1315062668"/>
        <w:rPr>
          <w:noProof/>
          <w:lang w:val="en-US"/>
        </w:rPr>
      </w:pPr>
      <w:r w:rsidRPr="007033AB">
        <w:rPr>
          <w:noProof/>
          <w:lang w:val="en-US"/>
        </w:rPr>
        <w:t xml:space="preserve">27. </w:t>
      </w:r>
      <w:r w:rsidRPr="007033AB">
        <w:rPr>
          <w:noProof/>
          <w:lang w:val="en-US"/>
        </w:rPr>
        <w:tab/>
        <w:t xml:space="preserve">D’Agostino RB, Grundy S, Sullivan LM, Wilson P, CHD Risk Prediction Group. Validation of the Framingham coronary heart disease prediction scores: results of a multiple ethnic groups investigation. </w:t>
      </w:r>
      <w:r w:rsidRPr="007033AB">
        <w:rPr>
          <w:i/>
          <w:iCs/>
          <w:noProof/>
          <w:lang w:val="en-US"/>
        </w:rPr>
        <w:t>JAMA</w:t>
      </w:r>
      <w:r w:rsidRPr="007033AB">
        <w:rPr>
          <w:noProof/>
          <w:lang w:val="en-US"/>
        </w:rPr>
        <w:t>. 2001;286(2):180-187. http://www.ncbi.nlm.nih.gov/pubmed/11448281. Accessed February 19, 2018.</w:t>
      </w:r>
    </w:p>
    <w:p w:rsidR="001B59E2" w:rsidRPr="007033AB" w:rsidRDefault="001B59E2">
      <w:pPr>
        <w:pStyle w:val="NormalWeb"/>
        <w:ind w:left="640" w:hanging="640"/>
        <w:divId w:val="1315062668"/>
        <w:rPr>
          <w:noProof/>
          <w:lang w:val="en-US"/>
        </w:rPr>
      </w:pPr>
      <w:r w:rsidRPr="004545BE">
        <w:rPr>
          <w:noProof/>
        </w:rPr>
        <w:lastRenderedPageBreak/>
        <w:t xml:space="preserve">28. </w:t>
      </w:r>
      <w:r w:rsidRPr="004545BE">
        <w:rPr>
          <w:noProof/>
        </w:rPr>
        <w:tab/>
        <w:t xml:space="preserve">Marrugat J, Subirana I, Ramos R, et al. </w:t>
      </w:r>
      <w:r w:rsidRPr="007033AB">
        <w:rPr>
          <w:noProof/>
          <w:lang w:val="en-US"/>
        </w:rPr>
        <w:t xml:space="preserve">Derivation and validation of a set of 10-year cardiovascular risk predictive functions in Spain: The FRESCO Study. </w:t>
      </w:r>
      <w:r w:rsidRPr="007033AB">
        <w:rPr>
          <w:i/>
          <w:iCs/>
          <w:noProof/>
          <w:lang w:val="en-US"/>
        </w:rPr>
        <w:t>Prev Med (Baltim)</w:t>
      </w:r>
      <w:r w:rsidRPr="007033AB">
        <w:rPr>
          <w:noProof/>
          <w:lang w:val="en-US"/>
        </w:rPr>
        <w:t>. 2014;61:66-74. doi:10.1016/j.ypmed.2013.12.031</w:t>
      </w:r>
    </w:p>
    <w:p w:rsidR="001B59E2" w:rsidRPr="004545BE" w:rsidRDefault="001B59E2">
      <w:pPr>
        <w:pStyle w:val="NormalWeb"/>
        <w:ind w:left="640" w:hanging="640"/>
        <w:divId w:val="1315062668"/>
        <w:rPr>
          <w:noProof/>
        </w:rPr>
      </w:pPr>
      <w:r w:rsidRPr="007033AB">
        <w:rPr>
          <w:noProof/>
          <w:lang w:val="en-US"/>
        </w:rPr>
        <w:t xml:space="preserve">29. </w:t>
      </w:r>
      <w:r w:rsidRPr="007033AB">
        <w:rPr>
          <w:noProof/>
          <w:lang w:val="en-US"/>
        </w:rPr>
        <w:tab/>
        <w:t xml:space="preserve">Andersen PK, Geskus RB, de Witte T, Putter H. Competing risks in epidemiology: possibilities and pitfalls. </w:t>
      </w:r>
      <w:r w:rsidRPr="004545BE">
        <w:rPr>
          <w:i/>
          <w:iCs/>
          <w:noProof/>
        </w:rPr>
        <w:t>Int J Epidemiol</w:t>
      </w:r>
      <w:r w:rsidRPr="004545BE">
        <w:rPr>
          <w:noProof/>
        </w:rPr>
        <w:t>. 2012;41(3):861-870. doi:10.1093/ije/dyr213</w:t>
      </w:r>
    </w:p>
    <w:p w:rsidR="001B59E2" w:rsidRPr="007033AB" w:rsidRDefault="001B59E2">
      <w:pPr>
        <w:pStyle w:val="NormalWeb"/>
        <w:ind w:left="640" w:hanging="640"/>
        <w:divId w:val="1315062668"/>
        <w:rPr>
          <w:noProof/>
          <w:lang w:val="en-US"/>
        </w:rPr>
      </w:pPr>
      <w:r w:rsidRPr="004545BE">
        <w:rPr>
          <w:noProof/>
        </w:rPr>
        <w:t xml:space="preserve">30. </w:t>
      </w:r>
      <w:r w:rsidRPr="004545BE">
        <w:rPr>
          <w:noProof/>
        </w:rPr>
        <w:tab/>
        <w:t xml:space="preserve">Kiderlen M, de Glas NA, Bastiaannet E, et al. </w:t>
      </w:r>
      <w:r w:rsidRPr="007033AB">
        <w:rPr>
          <w:noProof/>
          <w:lang w:val="en-US"/>
        </w:rPr>
        <w:t xml:space="preserve">Diabetes in relation to breast cancer relapse and all-cause mortality in elderly breast cancer patients: a FOCUS study analysis. </w:t>
      </w:r>
      <w:r w:rsidRPr="007033AB">
        <w:rPr>
          <w:i/>
          <w:iCs/>
          <w:noProof/>
          <w:lang w:val="en-US"/>
        </w:rPr>
        <w:t>Ann Oncol  Off J Eur Soc Med Oncol</w:t>
      </w:r>
      <w:r w:rsidRPr="007033AB">
        <w:rPr>
          <w:noProof/>
          <w:lang w:val="en-US"/>
        </w:rPr>
        <w:t>. 2013;24(12):3011-3016. doi:10.1093/annonc/mdt367</w:t>
      </w:r>
    </w:p>
    <w:p w:rsidR="001B59E2" w:rsidRPr="007033AB" w:rsidRDefault="001B59E2">
      <w:pPr>
        <w:pStyle w:val="NormalWeb"/>
        <w:ind w:left="640" w:hanging="640"/>
        <w:divId w:val="1315062668"/>
        <w:rPr>
          <w:noProof/>
          <w:lang w:val="en-US"/>
        </w:rPr>
      </w:pPr>
      <w:r w:rsidRPr="007033AB">
        <w:rPr>
          <w:noProof/>
          <w:lang w:val="en-US"/>
        </w:rPr>
        <w:t xml:space="preserve">31. </w:t>
      </w:r>
      <w:r w:rsidRPr="007033AB">
        <w:rPr>
          <w:noProof/>
          <w:lang w:val="en-US"/>
        </w:rPr>
        <w:tab/>
        <w:t xml:space="preserve">Lobbedez T, Verger C, Ryckelynck J-P, Fabre E, Evans D. Is assisted peritoneal dialysis associated with technique survival when competing events are considered? </w:t>
      </w:r>
      <w:r w:rsidRPr="007033AB">
        <w:rPr>
          <w:i/>
          <w:iCs/>
          <w:noProof/>
          <w:lang w:val="en-US"/>
        </w:rPr>
        <w:t>Clin J Am Soc Nephrol</w:t>
      </w:r>
      <w:r w:rsidRPr="007033AB">
        <w:rPr>
          <w:noProof/>
          <w:lang w:val="en-US"/>
        </w:rPr>
        <w:t>. 2012;7(4):612-618. doi:10.2215/CJN.10161011</w:t>
      </w:r>
    </w:p>
    <w:p w:rsidR="001B59E2" w:rsidRPr="007033AB" w:rsidRDefault="001B59E2">
      <w:pPr>
        <w:pStyle w:val="NormalWeb"/>
        <w:ind w:left="640" w:hanging="640"/>
        <w:divId w:val="1315062668"/>
        <w:rPr>
          <w:noProof/>
          <w:lang w:val="en-US"/>
        </w:rPr>
      </w:pPr>
      <w:r w:rsidRPr="007033AB">
        <w:rPr>
          <w:noProof/>
          <w:lang w:val="en-US"/>
        </w:rPr>
        <w:t xml:space="preserve">32. </w:t>
      </w:r>
      <w:r w:rsidRPr="007033AB">
        <w:rPr>
          <w:noProof/>
          <w:lang w:val="en-US"/>
        </w:rPr>
        <w:tab/>
        <w:t xml:space="preserve">Ensrud KE, Harrison SL, Cauley JA, et al. Impact of Competing Risk of Mortality on Association of Weight Loss With Risk of Central Body Fractures in Older Men: A Prospective Cohort Study. </w:t>
      </w:r>
      <w:r w:rsidRPr="007033AB">
        <w:rPr>
          <w:i/>
          <w:iCs/>
          <w:noProof/>
          <w:lang w:val="en-US"/>
        </w:rPr>
        <w:t>J Bone Miner Res</w:t>
      </w:r>
      <w:r w:rsidRPr="007033AB">
        <w:rPr>
          <w:noProof/>
          <w:lang w:val="en-US"/>
        </w:rPr>
        <w:t>. 2017;32(3):624-632. doi:10.1002/jbmr.3020</w:t>
      </w:r>
    </w:p>
    <w:p w:rsidR="001B59E2" w:rsidRPr="007033AB" w:rsidRDefault="001B59E2">
      <w:pPr>
        <w:pStyle w:val="NormalWeb"/>
        <w:ind w:left="640" w:hanging="640"/>
        <w:divId w:val="1315062668"/>
        <w:rPr>
          <w:noProof/>
          <w:lang w:val="en-US"/>
        </w:rPr>
      </w:pPr>
      <w:r w:rsidRPr="007033AB">
        <w:rPr>
          <w:noProof/>
          <w:lang w:val="en-US"/>
        </w:rPr>
        <w:t xml:space="preserve">33. </w:t>
      </w:r>
      <w:r w:rsidRPr="007033AB">
        <w:rPr>
          <w:noProof/>
          <w:lang w:val="en-US"/>
        </w:rPr>
        <w:tab/>
        <w:t xml:space="preserve">Evans DW, Ryckelynck J-P, Fabre E, Verger C. Peritonitis-free survival in peritoneal dialysis: an update taking competing risks into account. </w:t>
      </w:r>
      <w:r w:rsidRPr="007033AB">
        <w:rPr>
          <w:i/>
          <w:iCs/>
          <w:noProof/>
          <w:lang w:val="en-US"/>
        </w:rPr>
        <w:t>Nephrol Dial Transplant</w:t>
      </w:r>
      <w:r w:rsidRPr="007033AB">
        <w:rPr>
          <w:noProof/>
          <w:lang w:val="en-US"/>
        </w:rPr>
        <w:t>. 2010;25(7):2315-2322. doi:10.1093/ndt/gfq003</w:t>
      </w:r>
    </w:p>
    <w:p w:rsidR="001B59E2" w:rsidRPr="004545BE" w:rsidRDefault="001B59E2">
      <w:pPr>
        <w:pStyle w:val="NormalWeb"/>
        <w:ind w:left="640" w:hanging="640"/>
        <w:divId w:val="1315062668"/>
        <w:rPr>
          <w:noProof/>
        </w:rPr>
      </w:pPr>
      <w:r w:rsidRPr="007033AB">
        <w:rPr>
          <w:noProof/>
          <w:lang w:val="en-US"/>
        </w:rPr>
        <w:t xml:space="preserve">34. </w:t>
      </w:r>
      <w:r w:rsidRPr="007033AB">
        <w:rPr>
          <w:noProof/>
          <w:lang w:val="en-US"/>
        </w:rPr>
        <w:tab/>
        <w:t xml:space="preserve">Giangregorio LM, Leslie WD, Lix LM, et al. FRAX underestimates fracture risk in patients with diabetes. </w:t>
      </w:r>
      <w:r w:rsidRPr="004545BE">
        <w:rPr>
          <w:i/>
          <w:iCs/>
          <w:noProof/>
        </w:rPr>
        <w:t xml:space="preserve">J </w:t>
      </w:r>
      <w:r w:rsidRPr="004545BE">
        <w:rPr>
          <w:i/>
          <w:iCs/>
          <w:noProof/>
        </w:rPr>
        <w:lastRenderedPageBreak/>
        <w:t>Bone Miner Res</w:t>
      </w:r>
      <w:r w:rsidRPr="004545BE">
        <w:rPr>
          <w:noProof/>
        </w:rPr>
        <w:t xml:space="preserve">. 2012;27(2):301-308. doi:10.1002/jbmr.556 </w:t>
      </w:r>
    </w:p>
    <w:p w:rsidR="004B17C2" w:rsidRPr="004545BE" w:rsidRDefault="00EF4443" w:rsidP="001B59E2">
      <w:pPr>
        <w:pStyle w:val="NormalWeb"/>
        <w:ind w:left="640" w:hanging="640"/>
        <w:divId w:val="1774544708"/>
        <w:rPr>
          <w:b/>
          <w:lang w:val="en-GB"/>
        </w:rPr>
      </w:pPr>
      <w:r w:rsidRPr="004545BE">
        <w:rPr>
          <w:b/>
          <w:lang w:val="en-GB"/>
        </w:rPr>
        <w:fldChar w:fldCharType="end"/>
      </w:r>
    </w:p>
    <w:p w:rsidR="001D5C28" w:rsidRPr="004545BE" w:rsidRDefault="001D5C28" w:rsidP="00B679B1">
      <w:pPr>
        <w:spacing w:line="480" w:lineRule="auto"/>
        <w:jc w:val="both"/>
        <w:rPr>
          <w:rFonts w:ascii="Times New Roman" w:hAnsi="Times New Roman" w:cs="Times New Roman"/>
          <w:sz w:val="24"/>
          <w:szCs w:val="24"/>
          <w:lang w:val="en-GB"/>
        </w:rPr>
      </w:pPr>
    </w:p>
    <w:p w:rsidR="00C61D2B" w:rsidRPr="004545BE" w:rsidRDefault="00C61D2B" w:rsidP="009123BE">
      <w:pPr>
        <w:spacing w:line="480" w:lineRule="auto"/>
        <w:jc w:val="both"/>
        <w:rPr>
          <w:rFonts w:ascii="Times New Roman" w:hAnsi="Times New Roman" w:cs="Times New Roman"/>
          <w:b/>
          <w:sz w:val="24"/>
          <w:szCs w:val="24"/>
          <w:lang w:val="en-GB"/>
        </w:rPr>
      </w:pPr>
      <w:r w:rsidRPr="004545BE">
        <w:rPr>
          <w:rFonts w:ascii="Times New Roman" w:hAnsi="Times New Roman" w:cs="Times New Roman"/>
          <w:b/>
          <w:sz w:val="24"/>
          <w:szCs w:val="24"/>
          <w:lang w:val="en-GB"/>
        </w:rPr>
        <w:t>FIGURE LEGENDS</w:t>
      </w:r>
    </w:p>
    <w:p w:rsidR="00C61D2B" w:rsidRPr="004545BE" w:rsidRDefault="00C61D2B" w:rsidP="009123BE">
      <w:pPr>
        <w:spacing w:line="480" w:lineRule="auto"/>
        <w:jc w:val="both"/>
        <w:rPr>
          <w:rFonts w:ascii="Times New Roman" w:hAnsi="Times New Roman" w:cs="Times New Roman"/>
          <w:b/>
          <w:sz w:val="24"/>
          <w:szCs w:val="24"/>
          <w:lang w:val="en-GB"/>
        </w:rPr>
      </w:pPr>
      <w:r w:rsidRPr="004545BE">
        <w:rPr>
          <w:rFonts w:ascii="Times New Roman" w:hAnsi="Times New Roman" w:cs="Times New Roman"/>
          <w:b/>
          <w:sz w:val="24"/>
          <w:szCs w:val="24"/>
          <w:lang w:val="en-GB"/>
        </w:rPr>
        <w:t xml:space="preserve">TABLES </w:t>
      </w:r>
    </w:p>
    <w:p w:rsidR="00AD2469" w:rsidRPr="004545BE" w:rsidRDefault="00A219A1" w:rsidP="009123BE">
      <w:pPr>
        <w:spacing w:line="480" w:lineRule="auto"/>
        <w:rPr>
          <w:rFonts w:ascii="Times New Roman" w:hAnsi="Times New Roman" w:cs="Times New Roman"/>
          <w:sz w:val="24"/>
          <w:szCs w:val="24"/>
          <w:lang w:val="en-GB"/>
        </w:rPr>
      </w:pPr>
      <w:r w:rsidRPr="004545BE">
        <w:rPr>
          <w:rFonts w:ascii="Times New Roman" w:hAnsi="Times New Roman" w:cs="Times New Roman"/>
          <w:b/>
          <w:sz w:val="24"/>
          <w:szCs w:val="24"/>
          <w:lang w:val="en-GB"/>
        </w:rPr>
        <w:t>Table 1</w:t>
      </w:r>
      <w:r w:rsidRPr="004545BE">
        <w:rPr>
          <w:rFonts w:ascii="Times New Roman" w:hAnsi="Times New Roman" w:cs="Times New Roman"/>
          <w:sz w:val="24"/>
          <w:szCs w:val="24"/>
          <w:lang w:val="en-GB"/>
        </w:rPr>
        <w:t>: Baseline characteristics of the SIDIAP cohort, according to T2DM status.</w:t>
      </w:r>
    </w:p>
    <w:tbl>
      <w:tblPr>
        <w:tblStyle w:val="TableGrid"/>
        <w:tblW w:w="8343" w:type="dxa"/>
        <w:tblBorders>
          <w:left w:val="none" w:sz="0" w:space="0" w:color="auto"/>
          <w:right w:val="none" w:sz="0" w:space="0" w:color="auto"/>
        </w:tblBorders>
        <w:tblLook w:val="04A0" w:firstRow="1" w:lastRow="0" w:firstColumn="1" w:lastColumn="0" w:noHBand="0" w:noVBand="1"/>
      </w:tblPr>
      <w:tblGrid>
        <w:gridCol w:w="3417"/>
        <w:gridCol w:w="996"/>
        <w:gridCol w:w="934"/>
        <w:gridCol w:w="1251"/>
        <w:gridCol w:w="1577"/>
        <w:gridCol w:w="168"/>
      </w:tblGrid>
      <w:tr w:rsidR="00AD2469" w:rsidRPr="004545BE" w:rsidTr="006E0CFA">
        <w:trPr>
          <w:trHeight w:val="540"/>
        </w:trPr>
        <w:tc>
          <w:tcPr>
            <w:tcW w:w="3417" w:type="dxa"/>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 </w:t>
            </w:r>
          </w:p>
        </w:tc>
        <w:tc>
          <w:tcPr>
            <w:tcW w:w="1930" w:type="dxa"/>
            <w:gridSpan w:val="2"/>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non-</w:t>
            </w:r>
            <w:r w:rsidR="005D4845" w:rsidRPr="004545BE">
              <w:rPr>
                <w:rFonts w:ascii="Times New Roman" w:eastAsia="Times New Roman" w:hAnsi="Times New Roman" w:cs="Times New Roman"/>
                <w:b/>
                <w:bCs/>
                <w:color w:val="000000"/>
                <w:sz w:val="24"/>
                <w:szCs w:val="24"/>
                <w:lang w:val="en-GB" w:eastAsia="en-GB"/>
              </w:rPr>
              <w:t>T2DM</w:t>
            </w:r>
          </w:p>
        </w:tc>
        <w:tc>
          <w:tcPr>
            <w:tcW w:w="2996" w:type="dxa"/>
            <w:gridSpan w:val="3"/>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T2DM patients</w:t>
            </w:r>
          </w:p>
        </w:tc>
      </w:tr>
      <w:tr w:rsidR="00B94948" w:rsidRPr="004545BE" w:rsidTr="006E0CFA">
        <w:trPr>
          <w:gridAfter w:val="1"/>
          <w:wAfter w:w="168" w:type="dxa"/>
          <w:trHeight w:val="300"/>
        </w:trPr>
        <w:tc>
          <w:tcPr>
            <w:tcW w:w="3417" w:type="dxa"/>
            <w:noWrap/>
            <w:hideMark/>
          </w:tcPr>
          <w:p w:rsidR="00B94948" w:rsidRPr="004545BE" w:rsidRDefault="00A219A1" w:rsidP="009123BE">
            <w:pPr>
              <w:spacing w:after="160" w:line="480" w:lineRule="auto"/>
              <w:jc w:val="right"/>
              <w:rPr>
                <w:rFonts w:ascii="Times New Roman" w:eastAsia="Times New Roman" w:hAnsi="Times New Roman" w:cs="Times New Roman"/>
                <w:color w:val="000000"/>
                <w:sz w:val="24"/>
                <w:szCs w:val="24"/>
                <w:lang w:val="en-GB" w:eastAsia="en-GB"/>
              </w:rPr>
            </w:pPr>
            <w:r w:rsidRPr="004545BE">
              <w:rPr>
                <w:rFonts w:ascii="Times New Roman" w:eastAsia="Times New Roman" w:hAnsi="Times New Roman" w:cs="Times New Roman"/>
                <w:color w:val="000000"/>
                <w:sz w:val="24"/>
                <w:szCs w:val="24"/>
                <w:lang w:val="en-GB" w:eastAsia="en-GB"/>
              </w:rPr>
              <w:t>N</w:t>
            </w:r>
          </w:p>
        </w:tc>
        <w:tc>
          <w:tcPr>
            <w:tcW w:w="996" w:type="dxa"/>
            <w:noWrap/>
            <w:hideMark/>
          </w:tcPr>
          <w:p w:rsidR="00B94948" w:rsidRPr="004545BE" w:rsidRDefault="00B94948" w:rsidP="009123BE">
            <w:pPr>
              <w:spacing w:after="160" w:line="480" w:lineRule="auto"/>
              <w:rPr>
                <w:rFonts w:ascii="Times New Roman" w:hAnsi="Times New Roman" w:cs="Times New Roman"/>
                <w:sz w:val="24"/>
                <w:szCs w:val="24"/>
                <w:lang w:val="en-GB"/>
              </w:rPr>
            </w:pPr>
            <w:r w:rsidRPr="004545BE">
              <w:rPr>
                <w:rFonts w:ascii="Times New Roman" w:eastAsia="Times New Roman" w:hAnsi="Times New Roman" w:cs="Times New Roman"/>
                <w:color w:val="000000"/>
                <w:sz w:val="24"/>
                <w:szCs w:val="24"/>
                <w:lang w:val="en-GB" w:eastAsia="ca-ES"/>
              </w:rPr>
              <w:t>103,</w:t>
            </w:r>
            <w:r w:rsidR="00EC6309" w:rsidRPr="004545BE">
              <w:rPr>
                <w:rFonts w:ascii="Times New Roman" w:eastAsia="Times New Roman" w:hAnsi="Times New Roman" w:cs="Times New Roman"/>
                <w:color w:val="000000"/>
                <w:sz w:val="24"/>
                <w:szCs w:val="24"/>
                <w:lang w:val="en-GB" w:eastAsia="ca-ES"/>
              </w:rPr>
              <w:t>093</w:t>
            </w:r>
          </w:p>
        </w:tc>
        <w:tc>
          <w:tcPr>
            <w:tcW w:w="934" w:type="dxa"/>
            <w:noWrap/>
            <w:hideMark/>
          </w:tcPr>
          <w:p w:rsidR="00B94948" w:rsidRPr="004545BE" w:rsidRDefault="00B94948" w:rsidP="009123BE">
            <w:pPr>
              <w:spacing w:after="160" w:line="480" w:lineRule="auto"/>
              <w:rPr>
                <w:rFonts w:ascii="Times New Roman" w:hAnsi="Times New Roman" w:cs="Times New Roman"/>
                <w:sz w:val="24"/>
                <w:szCs w:val="24"/>
                <w:lang w:val="en-GB"/>
              </w:rPr>
            </w:pPr>
          </w:p>
        </w:tc>
        <w:tc>
          <w:tcPr>
            <w:tcW w:w="1251" w:type="dxa"/>
            <w:noWrap/>
            <w:hideMark/>
          </w:tcPr>
          <w:p w:rsidR="00B94948" w:rsidRPr="004545BE" w:rsidRDefault="00B94948" w:rsidP="009123BE">
            <w:pPr>
              <w:spacing w:after="160" w:line="480" w:lineRule="auto"/>
              <w:jc w:val="center"/>
              <w:rPr>
                <w:rFonts w:ascii="Times New Roman" w:eastAsia="Times New Roman" w:hAnsi="Times New Roman" w:cs="Times New Roman"/>
                <w:color w:val="000000"/>
                <w:sz w:val="24"/>
                <w:szCs w:val="24"/>
                <w:lang w:val="en-GB" w:eastAsia="en-GB"/>
              </w:rPr>
            </w:pPr>
            <w:r w:rsidRPr="004545BE">
              <w:rPr>
                <w:rFonts w:ascii="Times New Roman" w:eastAsia="Times New Roman" w:hAnsi="Times New Roman" w:cs="Times New Roman"/>
                <w:color w:val="000000"/>
                <w:sz w:val="24"/>
                <w:szCs w:val="24"/>
                <w:lang w:val="en-GB" w:eastAsia="ca-ES"/>
              </w:rPr>
              <w:t>55,891</w:t>
            </w:r>
          </w:p>
        </w:tc>
        <w:tc>
          <w:tcPr>
            <w:tcW w:w="1577" w:type="dxa"/>
            <w:noWrap/>
            <w:hideMark/>
          </w:tcPr>
          <w:p w:rsidR="00B94948" w:rsidRPr="004545BE" w:rsidRDefault="00B94948" w:rsidP="009123BE">
            <w:pPr>
              <w:spacing w:after="160" w:line="480" w:lineRule="auto"/>
              <w:jc w:val="center"/>
              <w:rPr>
                <w:rFonts w:ascii="Times New Roman" w:eastAsia="Times New Roman" w:hAnsi="Times New Roman" w:cs="Times New Roman"/>
                <w:color w:val="000000"/>
                <w:sz w:val="24"/>
                <w:szCs w:val="24"/>
                <w:lang w:val="en-GB" w:eastAsia="en-GB"/>
              </w:rPr>
            </w:pP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 </w:t>
            </w:r>
          </w:p>
        </w:tc>
        <w:tc>
          <w:tcPr>
            <w:tcW w:w="996" w:type="dxa"/>
            <w:noWrap/>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mean</w:t>
            </w:r>
          </w:p>
        </w:tc>
        <w:tc>
          <w:tcPr>
            <w:tcW w:w="934" w:type="dxa"/>
            <w:noWrap/>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sd</w:t>
            </w:r>
          </w:p>
        </w:tc>
        <w:tc>
          <w:tcPr>
            <w:tcW w:w="1251" w:type="dxa"/>
            <w:noWrap/>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mean</w:t>
            </w:r>
          </w:p>
        </w:tc>
        <w:tc>
          <w:tcPr>
            <w:tcW w:w="1745" w:type="dxa"/>
            <w:gridSpan w:val="2"/>
            <w:noWrap/>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sd</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Age (years)</w:t>
            </w:r>
          </w:p>
        </w:tc>
        <w:tc>
          <w:tcPr>
            <w:tcW w:w="996" w:type="dxa"/>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74.68</w:t>
            </w:r>
          </w:p>
        </w:tc>
        <w:tc>
          <w:tcPr>
            <w:tcW w:w="934" w:type="dxa"/>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6.52</w:t>
            </w:r>
          </w:p>
        </w:tc>
        <w:tc>
          <w:tcPr>
            <w:tcW w:w="1251" w:type="dxa"/>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74.63</w:t>
            </w:r>
          </w:p>
        </w:tc>
        <w:tc>
          <w:tcPr>
            <w:tcW w:w="1745" w:type="dxa"/>
            <w:gridSpan w:val="2"/>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6.46</w:t>
            </w:r>
          </w:p>
        </w:tc>
      </w:tr>
      <w:tr w:rsidR="00AD2469" w:rsidRPr="004545BE" w:rsidTr="006E0CFA">
        <w:trPr>
          <w:trHeight w:val="315"/>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BMI (kg/m</w:t>
            </w:r>
            <w:r w:rsidRPr="004545BE">
              <w:rPr>
                <w:rFonts w:ascii="Times New Roman" w:eastAsia="Times New Roman" w:hAnsi="Times New Roman" w:cs="Times New Roman"/>
                <w:b/>
                <w:bCs/>
                <w:color w:val="000000"/>
                <w:sz w:val="24"/>
                <w:szCs w:val="24"/>
                <w:vertAlign w:val="superscript"/>
                <w:lang w:val="en-GB" w:eastAsia="en-GB"/>
              </w:rPr>
              <w:t>2</w:t>
            </w:r>
            <w:r w:rsidRPr="004545BE">
              <w:rPr>
                <w:rFonts w:ascii="Times New Roman" w:eastAsia="Times New Roman" w:hAnsi="Times New Roman" w:cs="Times New Roman"/>
                <w:b/>
                <w:bCs/>
                <w:color w:val="000000"/>
                <w:sz w:val="24"/>
                <w:szCs w:val="24"/>
                <w:lang w:val="en-GB" w:eastAsia="en-GB"/>
              </w:rPr>
              <w:t>)</w:t>
            </w:r>
          </w:p>
        </w:tc>
        <w:tc>
          <w:tcPr>
            <w:tcW w:w="996" w:type="dxa"/>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28.70</w:t>
            </w:r>
          </w:p>
        </w:tc>
        <w:tc>
          <w:tcPr>
            <w:tcW w:w="934" w:type="dxa"/>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4.51</w:t>
            </w:r>
          </w:p>
        </w:tc>
        <w:tc>
          <w:tcPr>
            <w:tcW w:w="1251" w:type="dxa"/>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29.91</w:t>
            </w:r>
          </w:p>
        </w:tc>
        <w:tc>
          <w:tcPr>
            <w:tcW w:w="1745" w:type="dxa"/>
            <w:gridSpan w:val="2"/>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4.84</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 </w:t>
            </w:r>
          </w:p>
        </w:tc>
        <w:tc>
          <w:tcPr>
            <w:tcW w:w="996" w:type="dxa"/>
            <w:noWrap/>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n</w:t>
            </w:r>
          </w:p>
        </w:tc>
        <w:tc>
          <w:tcPr>
            <w:tcW w:w="934" w:type="dxa"/>
            <w:noWrap/>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w:t>
            </w:r>
          </w:p>
        </w:tc>
        <w:tc>
          <w:tcPr>
            <w:tcW w:w="1251" w:type="dxa"/>
            <w:noWrap/>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n</w:t>
            </w:r>
          </w:p>
        </w:tc>
        <w:tc>
          <w:tcPr>
            <w:tcW w:w="1745" w:type="dxa"/>
            <w:gridSpan w:val="2"/>
            <w:noWrap/>
            <w:hideMark/>
          </w:tcPr>
          <w:p w:rsidR="00AD2469" w:rsidRPr="004545BE" w:rsidRDefault="00A219A1" w:rsidP="009123BE">
            <w:pPr>
              <w:spacing w:after="160" w:line="480" w:lineRule="auto"/>
              <w:jc w:val="center"/>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w:t>
            </w:r>
          </w:p>
        </w:tc>
      </w:tr>
      <w:tr w:rsidR="00AD2469" w:rsidRPr="004545BE" w:rsidTr="006E0CFA">
        <w:trPr>
          <w:trHeight w:val="300"/>
        </w:trPr>
        <w:tc>
          <w:tcPr>
            <w:tcW w:w="3417" w:type="dxa"/>
            <w:noWrap/>
            <w:hideMark/>
          </w:tcPr>
          <w:p w:rsidR="00AD2469" w:rsidRPr="004545BE" w:rsidRDefault="00994608"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Sex</w:t>
            </w:r>
            <w:r w:rsidR="00A219A1" w:rsidRPr="004545BE">
              <w:rPr>
                <w:rFonts w:ascii="Times New Roman" w:eastAsia="Times New Roman" w:hAnsi="Times New Roman" w:cs="Times New Roman"/>
                <w:b/>
                <w:bCs/>
                <w:color w:val="000000"/>
                <w:sz w:val="24"/>
                <w:szCs w:val="24"/>
                <w:lang w:val="en-GB" w:eastAsia="en-GB"/>
              </w:rPr>
              <w:t>: Men</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45094</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43.74</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24413</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43.68</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Smoking status: Never</w:t>
            </w:r>
            <w:r w:rsidR="006E0CFA" w:rsidRPr="004545BE">
              <w:rPr>
                <w:rFonts w:ascii="Times New Roman" w:eastAsia="Times New Roman" w:hAnsi="Times New Roman" w:cs="Times New Roman"/>
                <w:b/>
                <w:bCs/>
                <w:color w:val="000000"/>
                <w:sz w:val="24"/>
                <w:szCs w:val="24"/>
                <w:lang w:val="en-GB" w:eastAsia="en-GB"/>
              </w:rPr>
              <w:t xml:space="preserve"> Smoker</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29442</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28.56</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20708</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37.05</w:t>
            </w:r>
          </w:p>
        </w:tc>
      </w:tr>
      <w:tr w:rsidR="00AD2469" w:rsidRPr="004545BE" w:rsidTr="006E0CFA">
        <w:trPr>
          <w:trHeight w:val="300"/>
        </w:trPr>
        <w:tc>
          <w:tcPr>
            <w:tcW w:w="3417" w:type="dxa"/>
            <w:noWrap/>
            <w:hideMark/>
          </w:tcPr>
          <w:p w:rsidR="00AD2469" w:rsidRPr="004545BE" w:rsidRDefault="006E0CFA"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Former Smoker</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7822</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7.59</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5503</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9.85</w:t>
            </w:r>
          </w:p>
        </w:tc>
      </w:tr>
      <w:tr w:rsidR="00AD2469" w:rsidRPr="004545BE" w:rsidTr="006E0CFA">
        <w:trPr>
          <w:trHeight w:val="300"/>
        </w:trPr>
        <w:tc>
          <w:tcPr>
            <w:tcW w:w="3417" w:type="dxa"/>
            <w:noWrap/>
            <w:hideMark/>
          </w:tcPr>
          <w:p w:rsidR="00AD2469" w:rsidRPr="004545BE" w:rsidRDefault="006E0CFA" w:rsidP="009123BE">
            <w:pPr>
              <w:spacing w:after="160" w:line="480" w:lineRule="auto"/>
              <w:jc w:val="right"/>
              <w:rPr>
                <w:rFonts w:ascii="Times New Roman" w:eastAsia="Times New Roman" w:hAnsi="Times New Roman" w:cs="Times New Roman"/>
                <w:b/>
                <w:bCs/>
                <w:strike/>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lastRenderedPageBreak/>
              <w:t>Current Smoker</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4914</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4.77</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2834</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5.07</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i/>
                <w:iCs/>
                <w:color w:val="000000"/>
                <w:sz w:val="24"/>
                <w:szCs w:val="24"/>
                <w:lang w:val="en-GB" w:eastAsia="en-GB"/>
              </w:rPr>
            </w:pPr>
            <w:r w:rsidRPr="004545BE">
              <w:rPr>
                <w:rFonts w:ascii="Times New Roman" w:eastAsia="Times New Roman" w:hAnsi="Times New Roman" w:cs="Times New Roman"/>
                <w:b/>
                <w:bCs/>
                <w:i/>
                <w:iCs/>
                <w:color w:val="000000"/>
                <w:sz w:val="24"/>
                <w:szCs w:val="24"/>
                <w:lang w:val="en-GB" w:eastAsia="en-GB"/>
              </w:rPr>
              <w:t>Missing</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60915</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59.09</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26846</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48.03</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Previous hip fracture</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220</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0.21</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142</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0.25</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Previous major fracture</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282</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0.27</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160</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0.29</w:t>
            </w:r>
          </w:p>
        </w:tc>
      </w:tr>
      <w:tr w:rsidR="0036682A" w:rsidRPr="004545BE" w:rsidTr="006E0CFA">
        <w:trPr>
          <w:trHeight w:val="300"/>
        </w:trPr>
        <w:tc>
          <w:tcPr>
            <w:tcW w:w="3417" w:type="dxa"/>
            <w:noWrap/>
            <w:hideMark/>
          </w:tcPr>
          <w:p w:rsidR="0036682A"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Previous osteoarthritis</w:t>
            </w:r>
          </w:p>
        </w:tc>
        <w:tc>
          <w:tcPr>
            <w:tcW w:w="996"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23483</w:t>
            </w:r>
          </w:p>
        </w:tc>
        <w:tc>
          <w:tcPr>
            <w:tcW w:w="934"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22.78</w:t>
            </w:r>
          </w:p>
        </w:tc>
        <w:tc>
          <w:tcPr>
            <w:tcW w:w="1251"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13367</w:t>
            </w:r>
          </w:p>
        </w:tc>
        <w:tc>
          <w:tcPr>
            <w:tcW w:w="1745" w:type="dxa"/>
            <w:gridSpan w:val="2"/>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23.92</w:t>
            </w:r>
          </w:p>
        </w:tc>
      </w:tr>
      <w:tr w:rsidR="0036682A" w:rsidRPr="004545BE" w:rsidTr="006E0CFA">
        <w:trPr>
          <w:trHeight w:val="300"/>
        </w:trPr>
        <w:tc>
          <w:tcPr>
            <w:tcW w:w="3417" w:type="dxa"/>
            <w:noWrap/>
            <w:hideMark/>
          </w:tcPr>
          <w:p w:rsidR="0036682A" w:rsidRPr="004545BE" w:rsidRDefault="00A219A1" w:rsidP="004545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 xml:space="preserve">Previous </w:t>
            </w:r>
            <w:r w:rsidR="006E0CFA" w:rsidRPr="004545BE">
              <w:rPr>
                <w:rFonts w:ascii="Times New Roman" w:eastAsia="Times New Roman" w:hAnsi="Times New Roman" w:cs="Times New Roman"/>
                <w:b/>
                <w:bCs/>
                <w:color w:val="000000"/>
                <w:sz w:val="24"/>
                <w:szCs w:val="24"/>
                <w:lang w:val="en-GB" w:eastAsia="en-GB"/>
              </w:rPr>
              <w:t>CVA</w:t>
            </w:r>
          </w:p>
        </w:tc>
        <w:tc>
          <w:tcPr>
            <w:tcW w:w="996"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5466</w:t>
            </w:r>
          </w:p>
        </w:tc>
        <w:tc>
          <w:tcPr>
            <w:tcW w:w="934"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5.30</w:t>
            </w:r>
          </w:p>
        </w:tc>
        <w:tc>
          <w:tcPr>
            <w:tcW w:w="1251"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4752</w:t>
            </w:r>
          </w:p>
        </w:tc>
        <w:tc>
          <w:tcPr>
            <w:tcW w:w="1745" w:type="dxa"/>
            <w:gridSpan w:val="2"/>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8.50</w:t>
            </w:r>
          </w:p>
        </w:tc>
      </w:tr>
      <w:tr w:rsidR="0036682A" w:rsidRPr="004545BE" w:rsidTr="006E0CFA">
        <w:trPr>
          <w:trHeight w:val="300"/>
        </w:trPr>
        <w:tc>
          <w:tcPr>
            <w:tcW w:w="3417" w:type="dxa"/>
            <w:noWrap/>
            <w:hideMark/>
          </w:tcPr>
          <w:p w:rsidR="0036682A"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Previous IHD</w:t>
            </w:r>
          </w:p>
        </w:tc>
        <w:tc>
          <w:tcPr>
            <w:tcW w:w="996"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6681</w:t>
            </w:r>
          </w:p>
        </w:tc>
        <w:tc>
          <w:tcPr>
            <w:tcW w:w="934"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6.48</w:t>
            </w:r>
          </w:p>
        </w:tc>
        <w:tc>
          <w:tcPr>
            <w:tcW w:w="1251"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7405</w:t>
            </w:r>
          </w:p>
        </w:tc>
        <w:tc>
          <w:tcPr>
            <w:tcW w:w="1745" w:type="dxa"/>
            <w:gridSpan w:val="2"/>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13.25</w:t>
            </w:r>
          </w:p>
        </w:tc>
      </w:tr>
      <w:tr w:rsidR="0036682A" w:rsidRPr="004545BE" w:rsidTr="006E0CFA">
        <w:trPr>
          <w:trHeight w:val="300"/>
        </w:trPr>
        <w:tc>
          <w:tcPr>
            <w:tcW w:w="3417" w:type="dxa"/>
            <w:noWrap/>
            <w:hideMark/>
          </w:tcPr>
          <w:p w:rsidR="0036682A"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Previous nephropathy</w:t>
            </w:r>
          </w:p>
        </w:tc>
        <w:tc>
          <w:tcPr>
            <w:tcW w:w="996"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12137</w:t>
            </w:r>
          </w:p>
        </w:tc>
        <w:tc>
          <w:tcPr>
            <w:tcW w:w="934"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11.77</w:t>
            </w:r>
          </w:p>
        </w:tc>
        <w:tc>
          <w:tcPr>
            <w:tcW w:w="1251"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11084</w:t>
            </w:r>
          </w:p>
        </w:tc>
        <w:tc>
          <w:tcPr>
            <w:tcW w:w="1745" w:type="dxa"/>
            <w:gridSpan w:val="2"/>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19.83</w:t>
            </w:r>
          </w:p>
        </w:tc>
      </w:tr>
      <w:tr w:rsidR="0036682A" w:rsidRPr="004545BE" w:rsidTr="006E0CFA">
        <w:trPr>
          <w:trHeight w:val="300"/>
        </w:trPr>
        <w:tc>
          <w:tcPr>
            <w:tcW w:w="3417" w:type="dxa"/>
            <w:noWrap/>
            <w:hideMark/>
          </w:tcPr>
          <w:p w:rsidR="0036682A"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Previous nuropathy</w:t>
            </w:r>
          </w:p>
        </w:tc>
        <w:tc>
          <w:tcPr>
            <w:tcW w:w="996"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14</w:t>
            </w:r>
          </w:p>
        </w:tc>
        <w:tc>
          <w:tcPr>
            <w:tcW w:w="934"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0.01</w:t>
            </w:r>
          </w:p>
        </w:tc>
        <w:tc>
          <w:tcPr>
            <w:tcW w:w="1251" w:type="dxa"/>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931</w:t>
            </w:r>
          </w:p>
        </w:tc>
        <w:tc>
          <w:tcPr>
            <w:tcW w:w="1745" w:type="dxa"/>
            <w:gridSpan w:val="2"/>
            <w:noWrap/>
            <w:hideMark/>
          </w:tcPr>
          <w:p w:rsidR="0036682A" w:rsidRPr="004545BE" w:rsidRDefault="0036682A"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1.67</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Previous Falls</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883</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0.86</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668</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1.20</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Corticoids prescriptions</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6749</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6.55</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3816</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6.83</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Calcium + vitamin D</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13686</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13.28</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6108</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10.93</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Anti-Osteporosis</w:t>
            </w:r>
            <w:r w:rsidR="006E0CFA" w:rsidRPr="004545BE">
              <w:rPr>
                <w:rFonts w:ascii="Times New Roman" w:eastAsia="Times New Roman" w:hAnsi="Times New Roman" w:cs="Times New Roman"/>
                <w:b/>
                <w:bCs/>
                <w:color w:val="000000"/>
                <w:sz w:val="24"/>
                <w:szCs w:val="24"/>
                <w:lang w:val="en-GB" w:eastAsia="en-GB"/>
              </w:rPr>
              <w:t xml:space="preserve"> drugs</w:t>
            </w:r>
          </w:p>
        </w:tc>
        <w:tc>
          <w:tcPr>
            <w:tcW w:w="996" w:type="dxa"/>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12271</w:t>
            </w:r>
          </w:p>
        </w:tc>
        <w:tc>
          <w:tcPr>
            <w:tcW w:w="934" w:type="dxa"/>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11.90</w:t>
            </w:r>
          </w:p>
        </w:tc>
        <w:tc>
          <w:tcPr>
            <w:tcW w:w="1251" w:type="dxa"/>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5162</w:t>
            </w:r>
          </w:p>
        </w:tc>
        <w:tc>
          <w:tcPr>
            <w:tcW w:w="1745" w:type="dxa"/>
            <w:gridSpan w:val="2"/>
            <w:noWrap/>
            <w:hideMark/>
          </w:tcPr>
          <w:p w:rsidR="00AD2469" w:rsidRPr="004545BE" w:rsidRDefault="00AD2469" w:rsidP="009123BE">
            <w:pPr>
              <w:spacing w:line="480" w:lineRule="auto"/>
              <w:jc w:val="center"/>
              <w:rPr>
                <w:rFonts w:ascii="Times New Roman" w:hAnsi="Times New Roman" w:cs="Times New Roman"/>
                <w:color w:val="000000"/>
                <w:sz w:val="24"/>
                <w:szCs w:val="24"/>
                <w:lang w:val="en-GB"/>
              </w:rPr>
            </w:pPr>
            <w:r w:rsidRPr="004545BE">
              <w:rPr>
                <w:rFonts w:ascii="Times New Roman" w:hAnsi="Times New Roman" w:cs="Times New Roman"/>
                <w:color w:val="000000"/>
                <w:sz w:val="24"/>
                <w:szCs w:val="24"/>
                <w:lang w:val="en-GB"/>
              </w:rPr>
              <w:t>9.24</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Insulin prescriptions</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0.00</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11619</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20.79</w:t>
            </w:r>
          </w:p>
        </w:tc>
      </w:tr>
      <w:tr w:rsidR="00AD2469" w:rsidRPr="004545BE" w:rsidTr="006E0CFA">
        <w:trPr>
          <w:trHeight w:val="300"/>
        </w:trPr>
        <w:tc>
          <w:tcPr>
            <w:tcW w:w="3417" w:type="dxa"/>
            <w:noWrap/>
            <w:hideMark/>
          </w:tcPr>
          <w:p w:rsidR="00AD2469" w:rsidRPr="004545BE" w:rsidRDefault="00A219A1" w:rsidP="009123BE">
            <w:pPr>
              <w:spacing w:after="160" w:line="480" w:lineRule="auto"/>
              <w:jc w:val="right"/>
              <w:rPr>
                <w:rFonts w:ascii="Times New Roman" w:eastAsia="Times New Roman" w:hAnsi="Times New Roman" w:cs="Times New Roman"/>
                <w:b/>
                <w:bCs/>
                <w:color w:val="000000"/>
                <w:sz w:val="24"/>
                <w:szCs w:val="24"/>
                <w:lang w:val="en-GB" w:eastAsia="en-GB"/>
              </w:rPr>
            </w:pPr>
            <w:r w:rsidRPr="004545BE">
              <w:rPr>
                <w:rFonts w:ascii="Times New Roman" w:eastAsia="Times New Roman" w:hAnsi="Times New Roman" w:cs="Times New Roman"/>
                <w:b/>
                <w:bCs/>
                <w:color w:val="000000"/>
                <w:sz w:val="24"/>
                <w:szCs w:val="24"/>
                <w:lang w:val="en-GB" w:eastAsia="en-GB"/>
              </w:rPr>
              <w:t>Oral antidiabetic drug prescriptions</w:t>
            </w:r>
          </w:p>
        </w:tc>
        <w:tc>
          <w:tcPr>
            <w:tcW w:w="996"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w:t>
            </w:r>
          </w:p>
        </w:tc>
        <w:tc>
          <w:tcPr>
            <w:tcW w:w="934"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0.00</w:t>
            </w:r>
          </w:p>
        </w:tc>
        <w:tc>
          <w:tcPr>
            <w:tcW w:w="1251" w:type="dxa"/>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37163</w:t>
            </w:r>
          </w:p>
        </w:tc>
        <w:tc>
          <w:tcPr>
            <w:tcW w:w="1745" w:type="dxa"/>
            <w:gridSpan w:val="2"/>
            <w:noWrap/>
            <w:hideMark/>
          </w:tcPr>
          <w:p w:rsidR="00AD2469" w:rsidRPr="004545BE" w:rsidRDefault="00AD2469" w:rsidP="009123BE">
            <w:pPr>
              <w:spacing w:line="480" w:lineRule="auto"/>
              <w:jc w:val="center"/>
              <w:rPr>
                <w:rFonts w:ascii="Times New Roman" w:eastAsia="Times New Roman" w:hAnsi="Times New Roman" w:cs="Times New Roman"/>
                <w:color w:val="000000"/>
                <w:sz w:val="24"/>
                <w:szCs w:val="24"/>
                <w:lang w:val="en-GB" w:eastAsia="ca-ES"/>
              </w:rPr>
            </w:pPr>
            <w:r w:rsidRPr="004545BE">
              <w:rPr>
                <w:rFonts w:ascii="Times New Roman" w:hAnsi="Times New Roman" w:cs="Times New Roman"/>
                <w:color w:val="000000"/>
                <w:sz w:val="24"/>
                <w:szCs w:val="24"/>
                <w:lang w:val="en-GB"/>
              </w:rPr>
              <w:t>66.49</w:t>
            </w:r>
          </w:p>
        </w:tc>
      </w:tr>
    </w:tbl>
    <w:p w:rsidR="006E0CFA" w:rsidRPr="004545BE" w:rsidRDefault="006E0CFA" w:rsidP="006E0CFA">
      <w:pPr>
        <w:spacing w:after="0" w:line="240" w:lineRule="auto"/>
        <w:rPr>
          <w:rFonts w:ascii="Times New Roman" w:hAnsi="Times New Roman" w:cs="Times New Roman"/>
          <w:sz w:val="24"/>
          <w:szCs w:val="24"/>
          <w:lang w:val="en-GB"/>
        </w:rPr>
      </w:pPr>
      <w:r w:rsidRPr="004545BE">
        <w:rPr>
          <w:rFonts w:ascii="Times New Roman" w:hAnsi="Times New Roman" w:cs="Times New Roman"/>
          <w:sz w:val="24"/>
          <w:szCs w:val="24"/>
          <w:lang w:val="en-GB"/>
        </w:rPr>
        <w:t>BMI: Body Mass Index; IHD: Ischemic heart disease; CVA: Cerebrovascular accident; SD: Standard Deviation.</w:t>
      </w:r>
    </w:p>
    <w:p w:rsidR="006E0CFA" w:rsidRPr="004545BE" w:rsidRDefault="006E0CFA" w:rsidP="006E0CFA">
      <w:pPr>
        <w:spacing w:after="0" w:line="240" w:lineRule="auto"/>
        <w:rPr>
          <w:rFonts w:ascii="Times New Roman" w:hAnsi="Times New Roman" w:cs="Times New Roman"/>
          <w:sz w:val="20"/>
          <w:szCs w:val="24"/>
          <w:lang w:val="en-GB"/>
        </w:rPr>
      </w:pPr>
    </w:p>
    <w:p w:rsidR="00062814" w:rsidRPr="004545BE" w:rsidRDefault="00062814" w:rsidP="006E0CFA">
      <w:pPr>
        <w:spacing w:after="0" w:line="240" w:lineRule="auto"/>
        <w:rPr>
          <w:rFonts w:ascii="Times New Roman" w:hAnsi="Times New Roman" w:cs="Times New Roman"/>
          <w:sz w:val="20"/>
          <w:szCs w:val="24"/>
          <w:lang w:val="en-GB"/>
        </w:rPr>
      </w:pPr>
    </w:p>
    <w:p w:rsidR="00062814" w:rsidRPr="004545BE" w:rsidRDefault="00062814" w:rsidP="00062814">
      <w:pPr>
        <w:spacing w:after="40" w:line="360" w:lineRule="auto"/>
        <w:rPr>
          <w:rFonts w:ascii="Times New Roman" w:hAnsi="Times New Roman" w:cs="Times New Roman"/>
          <w:sz w:val="24"/>
          <w:szCs w:val="24"/>
          <w:lang w:val="en-GB"/>
        </w:rPr>
      </w:pPr>
      <w:r w:rsidRPr="004545BE">
        <w:rPr>
          <w:rFonts w:ascii="Times New Roman" w:hAnsi="Times New Roman" w:cs="Times New Roman"/>
          <w:sz w:val="24"/>
          <w:szCs w:val="24"/>
          <w:lang w:val="en-GB"/>
        </w:rPr>
        <w:lastRenderedPageBreak/>
        <w:t>Table 2. Hazard and Subhazard ratio of risk fracture between groups.</w:t>
      </w:r>
    </w:p>
    <w:tbl>
      <w:tblPr>
        <w:tblStyle w:val="Sombreadoclaro1"/>
        <w:tblW w:w="0" w:type="auto"/>
        <w:tblLook w:val="04A0" w:firstRow="1" w:lastRow="0" w:firstColumn="1" w:lastColumn="0" w:noHBand="0" w:noVBand="1"/>
      </w:tblPr>
      <w:tblGrid>
        <w:gridCol w:w="1412"/>
        <w:gridCol w:w="803"/>
        <w:gridCol w:w="1645"/>
        <w:gridCol w:w="1323"/>
        <w:gridCol w:w="1595"/>
      </w:tblGrid>
      <w:tr w:rsidR="00062814" w:rsidRPr="004545BE" w:rsidTr="00337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062814" w:rsidRPr="004545BE" w:rsidRDefault="00062814" w:rsidP="0033737C">
            <w:pPr>
              <w:spacing w:line="360" w:lineRule="auto"/>
              <w:jc w:val="center"/>
              <w:rPr>
                <w:rFonts w:ascii="Times New Roman" w:hAnsi="Times New Roman" w:cs="Times New Roman"/>
                <w:sz w:val="24"/>
                <w:szCs w:val="24"/>
                <w:lang w:val="en-GB"/>
              </w:rPr>
            </w:pPr>
          </w:p>
        </w:tc>
        <w:tc>
          <w:tcPr>
            <w:tcW w:w="803" w:type="dxa"/>
            <w:vAlign w:val="center"/>
          </w:tcPr>
          <w:p w:rsidR="00062814" w:rsidRPr="004545BE" w:rsidRDefault="00062814" w:rsidP="003373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Raw*</w:t>
            </w:r>
          </w:p>
        </w:tc>
        <w:tc>
          <w:tcPr>
            <w:tcW w:w="1645" w:type="dxa"/>
            <w:tcBorders>
              <w:right w:val="single" w:sz="12" w:space="0" w:color="auto"/>
            </w:tcBorders>
            <w:vAlign w:val="center"/>
          </w:tcPr>
          <w:p w:rsidR="00062814" w:rsidRPr="004545BE" w:rsidRDefault="00062814" w:rsidP="003373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CI 95%</w:t>
            </w:r>
          </w:p>
        </w:tc>
        <w:tc>
          <w:tcPr>
            <w:tcW w:w="1323" w:type="dxa"/>
            <w:tcBorders>
              <w:left w:val="single" w:sz="12" w:space="0" w:color="auto"/>
            </w:tcBorders>
            <w:vAlign w:val="center"/>
          </w:tcPr>
          <w:p w:rsidR="00062814" w:rsidRPr="004545BE" w:rsidRDefault="00062814" w:rsidP="003373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Adjusted</w:t>
            </w:r>
          </w:p>
        </w:tc>
        <w:tc>
          <w:tcPr>
            <w:tcW w:w="1595" w:type="dxa"/>
            <w:vAlign w:val="center"/>
          </w:tcPr>
          <w:p w:rsidR="00062814" w:rsidRPr="004545BE" w:rsidRDefault="00062814" w:rsidP="0033737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CI 95%</w:t>
            </w:r>
          </w:p>
        </w:tc>
      </w:tr>
      <w:tr w:rsidR="00062814" w:rsidRPr="004545BE" w:rsidTr="0033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vAlign w:val="center"/>
          </w:tcPr>
          <w:p w:rsidR="00062814" w:rsidRPr="004545BE" w:rsidRDefault="00062814" w:rsidP="0033737C">
            <w:pPr>
              <w:spacing w:line="360" w:lineRule="auto"/>
              <w:rPr>
                <w:rFonts w:ascii="Times New Roman" w:hAnsi="Times New Roman" w:cs="Times New Roman"/>
                <w:sz w:val="24"/>
                <w:szCs w:val="24"/>
                <w:lang w:val="en-GB"/>
              </w:rPr>
            </w:pPr>
            <w:r w:rsidRPr="004545BE">
              <w:rPr>
                <w:rFonts w:ascii="Times New Roman" w:hAnsi="Times New Roman" w:cs="Times New Roman"/>
                <w:sz w:val="24"/>
                <w:szCs w:val="24"/>
                <w:lang w:val="en-GB"/>
              </w:rPr>
              <w:t>HR</w:t>
            </w:r>
            <w:r w:rsidRPr="004545BE">
              <w:rPr>
                <w:rFonts w:ascii="Times New Roman" w:hAnsi="Times New Roman" w:cs="Times New Roman"/>
                <w:sz w:val="24"/>
                <w:szCs w:val="24"/>
                <w:vertAlign w:val="subscript"/>
                <w:lang w:val="en-GB"/>
              </w:rPr>
              <w:t>death</w:t>
            </w:r>
          </w:p>
        </w:tc>
        <w:tc>
          <w:tcPr>
            <w:tcW w:w="803" w:type="dxa"/>
            <w:shd w:val="clear" w:color="auto" w:fill="FFFFFF" w:themeFill="background1"/>
            <w:vAlign w:val="center"/>
          </w:tcPr>
          <w:p w:rsidR="00062814" w:rsidRPr="004545BE" w:rsidRDefault="00062814" w:rsidP="003373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1.51</w:t>
            </w:r>
          </w:p>
        </w:tc>
        <w:tc>
          <w:tcPr>
            <w:tcW w:w="1645" w:type="dxa"/>
            <w:tcBorders>
              <w:right w:val="single" w:sz="12" w:space="0" w:color="auto"/>
            </w:tcBorders>
            <w:shd w:val="clear" w:color="auto" w:fill="FFFFFF" w:themeFill="background1"/>
            <w:vAlign w:val="center"/>
          </w:tcPr>
          <w:p w:rsidR="00062814" w:rsidRPr="004545BE" w:rsidRDefault="00062814" w:rsidP="003373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1.48 to 1.55</w:t>
            </w:r>
          </w:p>
        </w:tc>
        <w:tc>
          <w:tcPr>
            <w:tcW w:w="1323" w:type="dxa"/>
            <w:tcBorders>
              <w:left w:val="single" w:sz="12" w:space="0" w:color="auto"/>
            </w:tcBorders>
            <w:shd w:val="clear" w:color="auto" w:fill="FFFFFF" w:themeFill="background1"/>
            <w:vAlign w:val="center"/>
          </w:tcPr>
          <w:p w:rsidR="00062814" w:rsidRPr="004545BE" w:rsidRDefault="00062814" w:rsidP="003373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1.46**</w:t>
            </w:r>
          </w:p>
        </w:tc>
        <w:tc>
          <w:tcPr>
            <w:tcW w:w="1595" w:type="dxa"/>
            <w:shd w:val="clear" w:color="auto" w:fill="FFFFFF" w:themeFill="background1"/>
            <w:vAlign w:val="center"/>
          </w:tcPr>
          <w:p w:rsidR="00062814" w:rsidRPr="004545BE" w:rsidRDefault="00062814" w:rsidP="003373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1.42 to 1.49</w:t>
            </w:r>
          </w:p>
        </w:tc>
      </w:tr>
      <w:tr w:rsidR="00062814" w:rsidRPr="004545BE" w:rsidTr="0033737C">
        <w:tc>
          <w:tcPr>
            <w:cnfStyle w:val="001000000000" w:firstRow="0" w:lastRow="0" w:firstColumn="1" w:lastColumn="0" w:oddVBand="0" w:evenVBand="0" w:oddHBand="0" w:evenHBand="0" w:firstRowFirstColumn="0" w:firstRowLastColumn="0" w:lastRowFirstColumn="0" w:lastRowLastColumn="0"/>
            <w:tcW w:w="1412" w:type="dxa"/>
            <w:vAlign w:val="center"/>
          </w:tcPr>
          <w:p w:rsidR="00062814" w:rsidRPr="004545BE" w:rsidRDefault="00062814" w:rsidP="0033737C">
            <w:pPr>
              <w:spacing w:line="360" w:lineRule="auto"/>
              <w:rPr>
                <w:rFonts w:ascii="Times New Roman" w:hAnsi="Times New Roman" w:cs="Times New Roman"/>
                <w:sz w:val="24"/>
                <w:szCs w:val="24"/>
                <w:lang w:val="en-GB"/>
              </w:rPr>
            </w:pPr>
            <w:r w:rsidRPr="004545BE">
              <w:rPr>
                <w:rFonts w:ascii="Times New Roman" w:hAnsi="Times New Roman" w:cs="Times New Roman"/>
                <w:sz w:val="24"/>
                <w:szCs w:val="24"/>
                <w:lang w:val="en-GB"/>
              </w:rPr>
              <w:t>HR</w:t>
            </w:r>
            <w:r w:rsidRPr="004545BE">
              <w:rPr>
                <w:rFonts w:ascii="Times New Roman" w:hAnsi="Times New Roman" w:cs="Times New Roman"/>
                <w:sz w:val="24"/>
                <w:szCs w:val="24"/>
                <w:vertAlign w:val="subscript"/>
                <w:lang w:val="en-GB"/>
              </w:rPr>
              <w:t>hip fracture</w:t>
            </w:r>
          </w:p>
        </w:tc>
        <w:tc>
          <w:tcPr>
            <w:tcW w:w="803" w:type="dxa"/>
            <w:vAlign w:val="center"/>
          </w:tcPr>
          <w:p w:rsidR="00062814" w:rsidRPr="004545BE" w:rsidRDefault="00062814" w:rsidP="003373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1.32</w:t>
            </w:r>
          </w:p>
        </w:tc>
        <w:tc>
          <w:tcPr>
            <w:tcW w:w="1645" w:type="dxa"/>
            <w:tcBorders>
              <w:right w:val="single" w:sz="12" w:space="0" w:color="auto"/>
            </w:tcBorders>
            <w:vAlign w:val="center"/>
          </w:tcPr>
          <w:p w:rsidR="00062814" w:rsidRPr="004545BE" w:rsidRDefault="00062814" w:rsidP="003373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1.24 to 1.40</w:t>
            </w:r>
          </w:p>
        </w:tc>
        <w:tc>
          <w:tcPr>
            <w:tcW w:w="1323" w:type="dxa"/>
            <w:tcBorders>
              <w:left w:val="single" w:sz="12" w:space="0" w:color="auto"/>
            </w:tcBorders>
            <w:vAlign w:val="center"/>
          </w:tcPr>
          <w:p w:rsidR="00062814" w:rsidRPr="004545BE" w:rsidRDefault="00062814" w:rsidP="003373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1.31***</w:t>
            </w:r>
          </w:p>
        </w:tc>
        <w:tc>
          <w:tcPr>
            <w:tcW w:w="1595" w:type="dxa"/>
            <w:vAlign w:val="center"/>
          </w:tcPr>
          <w:p w:rsidR="00062814" w:rsidRPr="004545BE" w:rsidRDefault="00062814" w:rsidP="0033737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1.23 to 1.40</w:t>
            </w:r>
          </w:p>
        </w:tc>
      </w:tr>
      <w:tr w:rsidR="00062814" w:rsidRPr="004545BE" w:rsidTr="003373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vAlign w:val="center"/>
          </w:tcPr>
          <w:p w:rsidR="00062814" w:rsidRPr="004545BE" w:rsidRDefault="00062814" w:rsidP="0033737C">
            <w:pPr>
              <w:spacing w:line="360" w:lineRule="auto"/>
              <w:rPr>
                <w:rFonts w:ascii="Times New Roman" w:hAnsi="Times New Roman" w:cs="Times New Roman"/>
                <w:sz w:val="24"/>
                <w:szCs w:val="24"/>
                <w:lang w:val="en-GB"/>
              </w:rPr>
            </w:pPr>
            <w:r w:rsidRPr="004545BE">
              <w:rPr>
                <w:rFonts w:ascii="Times New Roman" w:hAnsi="Times New Roman" w:cs="Times New Roman"/>
                <w:sz w:val="24"/>
                <w:szCs w:val="24"/>
                <w:lang w:val="en-GB"/>
              </w:rPr>
              <w:t>SHR</w:t>
            </w:r>
          </w:p>
        </w:tc>
        <w:tc>
          <w:tcPr>
            <w:tcW w:w="803" w:type="dxa"/>
            <w:shd w:val="clear" w:color="auto" w:fill="FFFFFF" w:themeFill="background1"/>
            <w:vAlign w:val="center"/>
          </w:tcPr>
          <w:p w:rsidR="00062814" w:rsidRPr="004545BE" w:rsidRDefault="00062814" w:rsidP="003373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1.17</w:t>
            </w:r>
          </w:p>
        </w:tc>
        <w:tc>
          <w:tcPr>
            <w:tcW w:w="1645" w:type="dxa"/>
            <w:tcBorders>
              <w:right w:val="single" w:sz="12" w:space="0" w:color="auto"/>
            </w:tcBorders>
            <w:shd w:val="clear" w:color="auto" w:fill="FFFFFF" w:themeFill="background1"/>
            <w:vAlign w:val="center"/>
          </w:tcPr>
          <w:p w:rsidR="00062814" w:rsidRPr="004545BE" w:rsidRDefault="00062814" w:rsidP="003373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1.11 to 1.23</w:t>
            </w:r>
          </w:p>
        </w:tc>
        <w:tc>
          <w:tcPr>
            <w:tcW w:w="1323" w:type="dxa"/>
            <w:tcBorders>
              <w:left w:val="single" w:sz="12" w:space="0" w:color="auto"/>
              <w:bottom w:val="single" w:sz="8" w:space="0" w:color="000000" w:themeColor="text1"/>
            </w:tcBorders>
            <w:shd w:val="clear" w:color="auto" w:fill="FFFFFF" w:themeFill="background1"/>
            <w:vAlign w:val="center"/>
          </w:tcPr>
          <w:p w:rsidR="00062814" w:rsidRPr="004545BE" w:rsidRDefault="00062814" w:rsidP="003373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1.15***</w:t>
            </w:r>
          </w:p>
        </w:tc>
        <w:tc>
          <w:tcPr>
            <w:tcW w:w="1595" w:type="dxa"/>
            <w:shd w:val="clear" w:color="auto" w:fill="FFFFFF" w:themeFill="background1"/>
            <w:vAlign w:val="center"/>
          </w:tcPr>
          <w:p w:rsidR="00062814" w:rsidRPr="004545BE" w:rsidRDefault="00062814" w:rsidP="0033737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4545BE">
              <w:rPr>
                <w:rFonts w:ascii="Times New Roman" w:hAnsi="Times New Roman" w:cs="Times New Roman"/>
                <w:sz w:val="24"/>
                <w:szCs w:val="24"/>
                <w:lang w:val="en-GB"/>
              </w:rPr>
              <w:t>1.09 to 1.21</w:t>
            </w:r>
          </w:p>
        </w:tc>
      </w:tr>
    </w:tbl>
    <w:p w:rsidR="00062814" w:rsidRPr="004545BE" w:rsidRDefault="00062814" w:rsidP="00062814">
      <w:pPr>
        <w:spacing w:after="0" w:line="240" w:lineRule="auto"/>
        <w:rPr>
          <w:rFonts w:ascii="Times New Roman" w:hAnsi="Times New Roman" w:cs="Times New Roman"/>
          <w:sz w:val="18"/>
          <w:szCs w:val="24"/>
          <w:lang w:val="en-GB"/>
        </w:rPr>
      </w:pPr>
      <w:r w:rsidRPr="004545BE">
        <w:rPr>
          <w:rFonts w:ascii="Times New Roman" w:hAnsi="Times New Roman" w:cs="Times New Roman"/>
          <w:sz w:val="18"/>
          <w:szCs w:val="24"/>
          <w:lang w:val="en-GB"/>
        </w:rPr>
        <w:t>HRdeath: Death Cause-Specific Hazard Ratio ; HRhip fracture: Hip fracture Cause-Specific Hazard Ratio; SHR: SubHazard Ratio; CI95%; 95% confidence interval.</w:t>
      </w:r>
    </w:p>
    <w:p w:rsidR="00062814" w:rsidRPr="004545BE" w:rsidRDefault="00062814" w:rsidP="00062814">
      <w:pPr>
        <w:spacing w:after="0" w:line="240" w:lineRule="auto"/>
        <w:rPr>
          <w:rFonts w:ascii="Times New Roman" w:hAnsi="Times New Roman" w:cs="Times New Roman"/>
          <w:sz w:val="18"/>
          <w:szCs w:val="24"/>
          <w:lang w:val="en-GB"/>
        </w:rPr>
      </w:pPr>
      <w:r w:rsidRPr="004545BE">
        <w:rPr>
          <w:rFonts w:ascii="Times New Roman" w:hAnsi="Times New Roman" w:cs="Times New Roman"/>
          <w:sz w:val="18"/>
          <w:szCs w:val="24"/>
          <w:lang w:val="en-GB"/>
        </w:rPr>
        <w:t>*Match by age and sex; **Adjusted by age, previous cerebrovascular accident, previous Ischemic heart disease, previous osteoarthritis, previous nephropathy, previous falls, corticoids prescriptions and anti-osteoporosis prescriptions. ***Adjusted by previous major osteoporotic fracture, previous cerebrovascular accident, previous Ischemic heart disease, previous osteoarthritis, previous nephropathy, previous falls, corticoids prescriptions and anti-osteoporosis prescriptions.</w:t>
      </w:r>
    </w:p>
    <w:p w:rsidR="006E0CFA" w:rsidRPr="004545BE" w:rsidRDefault="006E0CFA" w:rsidP="006E0CFA">
      <w:pPr>
        <w:spacing w:after="0" w:line="240" w:lineRule="auto"/>
        <w:rPr>
          <w:rFonts w:ascii="Times New Roman" w:hAnsi="Times New Roman" w:cs="Times New Roman"/>
          <w:strike/>
          <w:sz w:val="24"/>
          <w:szCs w:val="24"/>
          <w:lang w:val="en-GB"/>
        </w:rPr>
      </w:pPr>
    </w:p>
    <w:p w:rsidR="004545BE" w:rsidRPr="004545BE" w:rsidRDefault="004545BE">
      <w:pPr>
        <w:rPr>
          <w:rFonts w:ascii="Times New Roman" w:hAnsi="Times New Roman" w:cs="Times New Roman"/>
          <w:b/>
          <w:sz w:val="24"/>
          <w:szCs w:val="24"/>
          <w:lang w:val="en-GB"/>
        </w:rPr>
      </w:pPr>
      <w:r w:rsidRPr="004545BE">
        <w:rPr>
          <w:rFonts w:ascii="Times New Roman" w:hAnsi="Times New Roman" w:cs="Times New Roman"/>
          <w:b/>
          <w:sz w:val="24"/>
          <w:szCs w:val="24"/>
          <w:lang w:val="en-GB"/>
        </w:rPr>
        <w:br w:type="page"/>
      </w:r>
    </w:p>
    <w:p w:rsidR="00C61D2B" w:rsidRPr="004545BE" w:rsidRDefault="00C61D2B" w:rsidP="009123BE">
      <w:pPr>
        <w:spacing w:line="480" w:lineRule="auto"/>
        <w:jc w:val="both"/>
        <w:rPr>
          <w:rFonts w:ascii="Times New Roman" w:hAnsi="Times New Roman" w:cs="Times New Roman"/>
          <w:b/>
          <w:sz w:val="24"/>
          <w:szCs w:val="24"/>
          <w:lang w:val="en-GB"/>
        </w:rPr>
      </w:pPr>
      <w:r w:rsidRPr="004545BE">
        <w:rPr>
          <w:rFonts w:ascii="Times New Roman" w:hAnsi="Times New Roman" w:cs="Times New Roman"/>
          <w:b/>
          <w:sz w:val="24"/>
          <w:szCs w:val="24"/>
          <w:lang w:val="en-GB"/>
        </w:rPr>
        <w:lastRenderedPageBreak/>
        <w:t>FIGURES</w:t>
      </w:r>
      <w:r w:rsidR="008C65B9" w:rsidRPr="004545BE">
        <w:rPr>
          <w:rFonts w:ascii="Times New Roman" w:hAnsi="Times New Roman" w:cs="Times New Roman"/>
          <w:b/>
          <w:sz w:val="24"/>
          <w:szCs w:val="24"/>
          <w:lang w:val="en-GB"/>
        </w:rPr>
        <w:tab/>
      </w:r>
    </w:p>
    <w:p w:rsidR="00EB6415" w:rsidRPr="004545BE" w:rsidRDefault="00EB6415" w:rsidP="009123BE">
      <w:pPr>
        <w:spacing w:line="480" w:lineRule="auto"/>
        <w:rPr>
          <w:rFonts w:ascii="Times New Roman" w:hAnsi="Times New Roman" w:cs="Times New Roman"/>
          <w:noProof/>
          <w:sz w:val="24"/>
          <w:szCs w:val="24"/>
          <w:lang w:val="en-GB" w:eastAsia="ca-ES"/>
        </w:rPr>
      </w:pPr>
      <w:r w:rsidRPr="004545BE">
        <w:rPr>
          <w:rFonts w:ascii="Times New Roman" w:hAnsi="Times New Roman" w:cs="Times New Roman"/>
          <w:noProof/>
          <w:sz w:val="24"/>
          <w:szCs w:val="24"/>
          <w:lang w:val="en-GB" w:eastAsia="ca-ES"/>
        </w:rPr>
        <w:t xml:space="preserve">Figure 1. </w:t>
      </w:r>
      <w:r w:rsidR="00521671" w:rsidRPr="004545BE">
        <w:rPr>
          <w:rFonts w:ascii="Times New Roman" w:hAnsi="Times New Roman" w:cs="Times New Roman"/>
          <w:noProof/>
          <w:sz w:val="24"/>
          <w:szCs w:val="24"/>
          <w:lang w:val="en-GB" w:eastAsia="ca-ES"/>
        </w:rPr>
        <w:t>Population Flow-chart</w:t>
      </w:r>
    </w:p>
    <w:p w:rsidR="00EB6415" w:rsidRPr="004545BE" w:rsidRDefault="00172151" w:rsidP="009123BE">
      <w:pPr>
        <w:spacing w:line="480" w:lineRule="auto"/>
        <w:rPr>
          <w:rFonts w:ascii="Times New Roman" w:hAnsi="Times New Roman" w:cs="Times New Roman"/>
          <w:sz w:val="24"/>
          <w:szCs w:val="24"/>
          <w:lang w:val="en-GB"/>
        </w:rPr>
      </w:pPr>
      <w:r w:rsidRPr="004545BE">
        <w:rPr>
          <w:rFonts w:ascii="Times New Roman" w:hAnsi="Times New Roman" w:cs="Times New Roman"/>
          <w:noProof/>
          <w:sz w:val="24"/>
          <w:szCs w:val="24"/>
          <w:lang w:val="en-GB" w:eastAsia="en-GB"/>
        </w:rPr>
        <w:drawing>
          <wp:inline distT="0" distB="0" distL="0" distR="0">
            <wp:extent cx="5400040" cy="4245833"/>
            <wp:effectExtent l="0" t="0" r="0" b="0"/>
            <wp:docPr id="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72151" w:rsidRPr="004545BE" w:rsidRDefault="00172151">
      <w:pPr>
        <w:rPr>
          <w:rFonts w:ascii="Times New Roman" w:hAnsi="Times New Roman" w:cs="Times New Roman"/>
          <w:noProof/>
          <w:sz w:val="24"/>
          <w:szCs w:val="24"/>
          <w:lang w:val="en-GB" w:eastAsia="ca-ES"/>
        </w:rPr>
      </w:pPr>
      <w:r w:rsidRPr="004545BE">
        <w:rPr>
          <w:rFonts w:ascii="Times New Roman" w:hAnsi="Times New Roman" w:cs="Times New Roman"/>
          <w:noProof/>
          <w:sz w:val="24"/>
          <w:szCs w:val="24"/>
          <w:lang w:val="en-GB" w:eastAsia="ca-ES"/>
        </w:rPr>
        <w:br w:type="page"/>
      </w:r>
    </w:p>
    <w:p w:rsidR="00EB6415" w:rsidRPr="004545BE" w:rsidRDefault="00EB6415" w:rsidP="009123BE">
      <w:pPr>
        <w:spacing w:line="480" w:lineRule="auto"/>
        <w:rPr>
          <w:rFonts w:ascii="Times New Roman" w:hAnsi="Times New Roman" w:cs="Times New Roman"/>
          <w:noProof/>
          <w:sz w:val="24"/>
          <w:szCs w:val="24"/>
          <w:lang w:val="en-GB" w:eastAsia="ca-ES"/>
        </w:rPr>
      </w:pPr>
      <w:r w:rsidRPr="004545BE">
        <w:rPr>
          <w:rFonts w:ascii="Times New Roman" w:hAnsi="Times New Roman" w:cs="Times New Roman"/>
          <w:noProof/>
          <w:sz w:val="24"/>
          <w:szCs w:val="24"/>
          <w:lang w:val="en-GB" w:eastAsia="ca-ES"/>
        </w:rPr>
        <w:lastRenderedPageBreak/>
        <w:t xml:space="preserve">Figure 2. Kaplan-Meier </w:t>
      </w:r>
      <w:r w:rsidR="00E4494A" w:rsidRPr="004545BE">
        <w:rPr>
          <w:rFonts w:ascii="Times New Roman" w:hAnsi="Times New Roman" w:cs="Times New Roman"/>
          <w:noProof/>
          <w:sz w:val="24"/>
          <w:szCs w:val="24"/>
          <w:lang w:val="en-GB" w:eastAsia="ca-ES"/>
        </w:rPr>
        <w:t xml:space="preserve">mortality </w:t>
      </w:r>
      <w:r w:rsidRPr="004545BE">
        <w:rPr>
          <w:rFonts w:ascii="Times New Roman" w:hAnsi="Times New Roman" w:cs="Times New Roman"/>
          <w:noProof/>
          <w:sz w:val="24"/>
          <w:szCs w:val="24"/>
          <w:lang w:val="en-GB" w:eastAsia="ca-ES"/>
        </w:rPr>
        <w:t xml:space="preserve">risk function in T2DM </w:t>
      </w:r>
      <w:r w:rsidR="00E4494A" w:rsidRPr="004545BE">
        <w:rPr>
          <w:rFonts w:ascii="Times New Roman" w:hAnsi="Times New Roman" w:cs="Times New Roman"/>
          <w:noProof/>
          <w:sz w:val="24"/>
          <w:szCs w:val="24"/>
          <w:lang w:val="en-GB" w:eastAsia="ca-ES"/>
        </w:rPr>
        <w:t xml:space="preserve">and matched non-T2DM </w:t>
      </w:r>
      <w:r w:rsidRPr="004545BE">
        <w:rPr>
          <w:rFonts w:ascii="Times New Roman" w:hAnsi="Times New Roman" w:cs="Times New Roman"/>
          <w:noProof/>
          <w:sz w:val="24"/>
          <w:szCs w:val="24"/>
          <w:lang w:val="en-GB" w:eastAsia="ca-ES"/>
        </w:rPr>
        <w:t>patients</w:t>
      </w:r>
    </w:p>
    <w:p w:rsidR="00EB6415" w:rsidRPr="004545BE" w:rsidRDefault="006A0978" w:rsidP="009123BE">
      <w:pPr>
        <w:spacing w:line="480" w:lineRule="auto"/>
        <w:rPr>
          <w:rFonts w:ascii="Times New Roman" w:hAnsi="Times New Roman" w:cs="Times New Roman"/>
          <w:sz w:val="24"/>
          <w:szCs w:val="24"/>
          <w:lang w:val="en-GB"/>
        </w:rPr>
      </w:pPr>
      <w:r w:rsidRPr="004545BE">
        <w:rPr>
          <w:rFonts w:ascii="Times New Roman" w:hAnsi="Times New Roman" w:cs="Times New Roman"/>
          <w:noProof/>
          <w:sz w:val="24"/>
          <w:szCs w:val="24"/>
          <w:lang w:val="en-GB" w:eastAsia="en-GB"/>
        </w:rPr>
        <w:drawing>
          <wp:inline distT="0" distB="0" distL="0" distR="0">
            <wp:extent cx="4424961" cy="3240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424961" cy="3240000"/>
                    </a:xfrm>
                    <a:prstGeom prst="rect">
                      <a:avLst/>
                    </a:prstGeom>
                    <a:noFill/>
                    <a:ln w="9525">
                      <a:noFill/>
                      <a:miter lim="800000"/>
                      <a:headEnd/>
                      <a:tailEnd/>
                    </a:ln>
                  </pic:spPr>
                </pic:pic>
              </a:graphicData>
            </a:graphic>
          </wp:inline>
        </w:drawing>
      </w:r>
    </w:p>
    <w:p w:rsidR="00EB6415" w:rsidRPr="004545BE" w:rsidRDefault="00EB6415" w:rsidP="009123BE">
      <w:pPr>
        <w:spacing w:line="480" w:lineRule="auto"/>
        <w:rPr>
          <w:rFonts w:ascii="Times New Roman" w:hAnsi="Times New Roman" w:cs="Times New Roman"/>
          <w:noProof/>
          <w:sz w:val="24"/>
          <w:szCs w:val="24"/>
          <w:lang w:val="en-GB" w:eastAsia="ca-ES"/>
        </w:rPr>
      </w:pPr>
      <w:r w:rsidRPr="004545BE">
        <w:rPr>
          <w:rFonts w:ascii="Times New Roman" w:hAnsi="Times New Roman" w:cs="Times New Roman"/>
          <w:noProof/>
          <w:sz w:val="24"/>
          <w:szCs w:val="24"/>
          <w:lang w:val="en-GB" w:eastAsia="ca-ES"/>
        </w:rPr>
        <w:t>igure 3. Estimates probabilities of hip fracture in non-T2DM and T2DM using Kaplan-Meyer and Cumulative Incidence Function.</w:t>
      </w:r>
    </w:p>
    <w:p w:rsidR="00EB6415" w:rsidRPr="009123BE" w:rsidRDefault="006A0978" w:rsidP="00172151">
      <w:pPr>
        <w:spacing w:line="480" w:lineRule="auto"/>
        <w:rPr>
          <w:rFonts w:ascii="Times New Roman" w:hAnsi="Times New Roman" w:cs="Times New Roman"/>
          <w:sz w:val="24"/>
          <w:szCs w:val="24"/>
          <w:lang w:val="en-GB"/>
        </w:rPr>
      </w:pPr>
      <w:r w:rsidRPr="004545BE">
        <w:rPr>
          <w:rFonts w:ascii="Times New Roman" w:hAnsi="Times New Roman" w:cs="Times New Roman"/>
          <w:noProof/>
          <w:sz w:val="24"/>
          <w:szCs w:val="24"/>
          <w:lang w:val="en-GB" w:eastAsia="en-GB"/>
        </w:rPr>
        <w:lastRenderedPageBreak/>
        <w:drawing>
          <wp:inline distT="0" distB="0" distL="0" distR="0">
            <wp:extent cx="5113020" cy="374396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113020" cy="3743960"/>
                    </a:xfrm>
                    <a:prstGeom prst="rect">
                      <a:avLst/>
                    </a:prstGeom>
                    <a:noFill/>
                    <a:ln w="9525">
                      <a:noFill/>
                      <a:miter lim="800000"/>
                      <a:headEnd/>
                      <a:tailEnd/>
                    </a:ln>
                  </pic:spPr>
                </pic:pic>
              </a:graphicData>
            </a:graphic>
          </wp:inline>
        </w:drawing>
      </w:r>
    </w:p>
    <w:sectPr w:rsidR="00EB6415" w:rsidRPr="009123BE" w:rsidSect="00880243">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324" w:rsidRDefault="00847324" w:rsidP="005060D7">
      <w:pPr>
        <w:spacing w:after="0" w:line="240" w:lineRule="auto"/>
      </w:pPr>
      <w:r>
        <w:separator/>
      </w:r>
    </w:p>
  </w:endnote>
  <w:endnote w:type="continuationSeparator" w:id="0">
    <w:p w:rsidR="00847324" w:rsidRDefault="00847324" w:rsidP="0050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902966"/>
      <w:docPartObj>
        <w:docPartGallery w:val="Page Numbers (Bottom of Page)"/>
        <w:docPartUnique/>
      </w:docPartObj>
    </w:sdtPr>
    <w:sdtEndPr/>
    <w:sdtContent>
      <w:p w:rsidR="0033737C" w:rsidRDefault="00EF4443">
        <w:pPr>
          <w:pStyle w:val="Footer"/>
          <w:jc w:val="right"/>
        </w:pPr>
        <w:r>
          <w:fldChar w:fldCharType="begin"/>
        </w:r>
        <w:r w:rsidR="0033737C">
          <w:instrText>PAGE   \* MERGEFORMAT</w:instrText>
        </w:r>
        <w:r>
          <w:fldChar w:fldCharType="separate"/>
        </w:r>
        <w:r w:rsidR="00961790" w:rsidRPr="00961790">
          <w:rPr>
            <w:noProof/>
            <w:lang w:val="es-ES"/>
          </w:rPr>
          <w:t>1</w:t>
        </w:r>
        <w:r>
          <w:rPr>
            <w:noProof/>
            <w:lang w:val="es-ES"/>
          </w:rPr>
          <w:fldChar w:fldCharType="end"/>
        </w:r>
      </w:p>
    </w:sdtContent>
  </w:sdt>
  <w:p w:rsidR="0033737C" w:rsidRDefault="00337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324" w:rsidRDefault="00847324" w:rsidP="005060D7">
      <w:pPr>
        <w:spacing w:after="0" w:line="240" w:lineRule="auto"/>
      </w:pPr>
      <w:r>
        <w:separator/>
      </w:r>
    </w:p>
  </w:footnote>
  <w:footnote w:type="continuationSeparator" w:id="0">
    <w:p w:rsidR="00847324" w:rsidRDefault="00847324" w:rsidP="00506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15777"/>
    <w:multiLevelType w:val="hybridMultilevel"/>
    <w:tmpl w:val="946C79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2F56755"/>
    <w:multiLevelType w:val="hybridMultilevel"/>
    <w:tmpl w:val="D594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C03D6"/>
    <w:multiLevelType w:val="hybridMultilevel"/>
    <w:tmpl w:val="CD4ED2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B1962C0"/>
    <w:multiLevelType w:val="hybridMultilevel"/>
    <w:tmpl w:val="7A7C69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A100002"/>
    <w:multiLevelType w:val="hybridMultilevel"/>
    <w:tmpl w:val="0908B7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2B"/>
    <w:rsid w:val="00002660"/>
    <w:rsid w:val="00004312"/>
    <w:rsid w:val="00004B29"/>
    <w:rsid w:val="00004D01"/>
    <w:rsid w:val="0000667C"/>
    <w:rsid w:val="0001231B"/>
    <w:rsid w:val="00032112"/>
    <w:rsid w:val="00037CD4"/>
    <w:rsid w:val="0004086A"/>
    <w:rsid w:val="00041A58"/>
    <w:rsid w:val="00042212"/>
    <w:rsid w:val="00043434"/>
    <w:rsid w:val="00060F30"/>
    <w:rsid w:val="00062814"/>
    <w:rsid w:val="00076696"/>
    <w:rsid w:val="00083B44"/>
    <w:rsid w:val="00092868"/>
    <w:rsid w:val="000953A1"/>
    <w:rsid w:val="00095D25"/>
    <w:rsid w:val="000A10F2"/>
    <w:rsid w:val="000A41FE"/>
    <w:rsid w:val="000A677A"/>
    <w:rsid w:val="000A6B22"/>
    <w:rsid w:val="000B187D"/>
    <w:rsid w:val="000B5926"/>
    <w:rsid w:val="000B5C38"/>
    <w:rsid w:val="000B6842"/>
    <w:rsid w:val="000C0707"/>
    <w:rsid w:val="000C23F4"/>
    <w:rsid w:val="000C43F4"/>
    <w:rsid w:val="000D655F"/>
    <w:rsid w:val="000E07E3"/>
    <w:rsid w:val="000E0F33"/>
    <w:rsid w:val="000E1954"/>
    <w:rsid w:val="000E7481"/>
    <w:rsid w:val="000F5409"/>
    <w:rsid w:val="001063DF"/>
    <w:rsid w:val="00116EBF"/>
    <w:rsid w:val="001178CF"/>
    <w:rsid w:val="00117D2C"/>
    <w:rsid w:val="00120DAC"/>
    <w:rsid w:val="00123090"/>
    <w:rsid w:val="00157B3F"/>
    <w:rsid w:val="00164A7A"/>
    <w:rsid w:val="00172151"/>
    <w:rsid w:val="001722B5"/>
    <w:rsid w:val="00183B9E"/>
    <w:rsid w:val="00183D77"/>
    <w:rsid w:val="001852EA"/>
    <w:rsid w:val="00191E43"/>
    <w:rsid w:val="00192A9C"/>
    <w:rsid w:val="00195FC5"/>
    <w:rsid w:val="001A33B4"/>
    <w:rsid w:val="001A6408"/>
    <w:rsid w:val="001A6DCC"/>
    <w:rsid w:val="001B59E2"/>
    <w:rsid w:val="001C20AE"/>
    <w:rsid w:val="001C20B0"/>
    <w:rsid w:val="001C3F64"/>
    <w:rsid w:val="001D0281"/>
    <w:rsid w:val="001D5C28"/>
    <w:rsid w:val="001D5DB4"/>
    <w:rsid w:val="001F2532"/>
    <w:rsid w:val="001F7B12"/>
    <w:rsid w:val="0021004E"/>
    <w:rsid w:val="00212E8F"/>
    <w:rsid w:val="002204F4"/>
    <w:rsid w:val="0022342E"/>
    <w:rsid w:val="00224974"/>
    <w:rsid w:val="0023078B"/>
    <w:rsid w:val="00235AE8"/>
    <w:rsid w:val="00242857"/>
    <w:rsid w:val="00250618"/>
    <w:rsid w:val="00255FC2"/>
    <w:rsid w:val="00257C52"/>
    <w:rsid w:val="0026055A"/>
    <w:rsid w:val="00265ABF"/>
    <w:rsid w:val="00272883"/>
    <w:rsid w:val="002742DC"/>
    <w:rsid w:val="00276DE4"/>
    <w:rsid w:val="0027727D"/>
    <w:rsid w:val="00282272"/>
    <w:rsid w:val="0028473B"/>
    <w:rsid w:val="0028604E"/>
    <w:rsid w:val="0028738E"/>
    <w:rsid w:val="002942E3"/>
    <w:rsid w:val="002A41BF"/>
    <w:rsid w:val="002B3236"/>
    <w:rsid w:val="002B63F8"/>
    <w:rsid w:val="002B7F36"/>
    <w:rsid w:val="002C1238"/>
    <w:rsid w:val="002C490F"/>
    <w:rsid w:val="002D49B6"/>
    <w:rsid w:val="002D7068"/>
    <w:rsid w:val="002D7ECE"/>
    <w:rsid w:val="002E67F7"/>
    <w:rsid w:val="002F22EB"/>
    <w:rsid w:val="002F3F22"/>
    <w:rsid w:val="003045A0"/>
    <w:rsid w:val="00315164"/>
    <w:rsid w:val="003172F4"/>
    <w:rsid w:val="00317D7E"/>
    <w:rsid w:val="00327C29"/>
    <w:rsid w:val="00327C81"/>
    <w:rsid w:val="00331F78"/>
    <w:rsid w:val="003354D9"/>
    <w:rsid w:val="003366BA"/>
    <w:rsid w:val="0033737C"/>
    <w:rsid w:val="00345036"/>
    <w:rsid w:val="00364147"/>
    <w:rsid w:val="00365851"/>
    <w:rsid w:val="0036682A"/>
    <w:rsid w:val="00374263"/>
    <w:rsid w:val="003805DA"/>
    <w:rsid w:val="00380D07"/>
    <w:rsid w:val="00381636"/>
    <w:rsid w:val="003868B4"/>
    <w:rsid w:val="0039002B"/>
    <w:rsid w:val="003935B2"/>
    <w:rsid w:val="003A5E19"/>
    <w:rsid w:val="003C5FB6"/>
    <w:rsid w:val="003D1743"/>
    <w:rsid w:val="003D48B5"/>
    <w:rsid w:val="003E2847"/>
    <w:rsid w:val="003E7766"/>
    <w:rsid w:val="003F27B6"/>
    <w:rsid w:val="003F3F37"/>
    <w:rsid w:val="00404EF4"/>
    <w:rsid w:val="0041467F"/>
    <w:rsid w:val="00414D99"/>
    <w:rsid w:val="0041621B"/>
    <w:rsid w:val="00423642"/>
    <w:rsid w:val="00434DF7"/>
    <w:rsid w:val="00434E24"/>
    <w:rsid w:val="00437248"/>
    <w:rsid w:val="00440208"/>
    <w:rsid w:val="00445CE9"/>
    <w:rsid w:val="00450021"/>
    <w:rsid w:val="004545BE"/>
    <w:rsid w:val="004548DC"/>
    <w:rsid w:val="00460416"/>
    <w:rsid w:val="00460DCC"/>
    <w:rsid w:val="004638F0"/>
    <w:rsid w:val="004656FB"/>
    <w:rsid w:val="0047575A"/>
    <w:rsid w:val="00481AFB"/>
    <w:rsid w:val="004839E9"/>
    <w:rsid w:val="00490270"/>
    <w:rsid w:val="00494010"/>
    <w:rsid w:val="004B17C2"/>
    <w:rsid w:val="004B5D68"/>
    <w:rsid w:val="004D1F11"/>
    <w:rsid w:val="004E275C"/>
    <w:rsid w:val="004E4F5D"/>
    <w:rsid w:val="004F138D"/>
    <w:rsid w:val="004F3865"/>
    <w:rsid w:val="004F3C83"/>
    <w:rsid w:val="004F3F54"/>
    <w:rsid w:val="005017F7"/>
    <w:rsid w:val="005060D7"/>
    <w:rsid w:val="00507AC8"/>
    <w:rsid w:val="00511412"/>
    <w:rsid w:val="00512C8C"/>
    <w:rsid w:val="00513EF8"/>
    <w:rsid w:val="00517822"/>
    <w:rsid w:val="00520A9B"/>
    <w:rsid w:val="00521671"/>
    <w:rsid w:val="005316A0"/>
    <w:rsid w:val="00575C17"/>
    <w:rsid w:val="00583486"/>
    <w:rsid w:val="00585DFB"/>
    <w:rsid w:val="00593408"/>
    <w:rsid w:val="00596C2C"/>
    <w:rsid w:val="005A7D5B"/>
    <w:rsid w:val="005B19B7"/>
    <w:rsid w:val="005B329E"/>
    <w:rsid w:val="005C1478"/>
    <w:rsid w:val="005D4845"/>
    <w:rsid w:val="005D530D"/>
    <w:rsid w:val="005E219A"/>
    <w:rsid w:val="005E7C21"/>
    <w:rsid w:val="005F2B4A"/>
    <w:rsid w:val="005F35C0"/>
    <w:rsid w:val="005F6C43"/>
    <w:rsid w:val="00600B22"/>
    <w:rsid w:val="0060159C"/>
    <w:rsid w:val="00601C2F"/>
    <w:rsid w:val="00602C4A"/>
    <w:rsid w:val="00610D7B"/>
    <w:rsid w:val="00623E1C"/>
    <w:rsid w:val="0062471C"/>
    <w:rsid w:val="00625CB3"/>
    <w:rsid w:val="006276BD"/>
    <w:rsid w:val="00641495"/>
    <w:rsid w:val="00643B62"/>
    <w:rsid w:val="00646035"/>
    <w:rsid w:val="00664137"/>
    <w:rsid w:val="00672E41"/>
    <w:rsid w:val="006840EF"/>
    <w:rsid w:val="00690AF0"/>
    <w:rsid w:val="00692898"/>
    <w:rsid w:val="00696D9F"/>
    <w:rsid w:val="006A05C8"/>
    <w:rsid w:val="006A0978"/>
    <w:rsid w:val="006A115B"/>
    <w:rsid w:val="006B130A"/>
    <w:rsid w:val="006B2E75"/>
    <w:rsid w:val="006B3DF7"/>
    <w:rsid w:val="006B5931"/>
    <w:rsid w:val="006C0388"/>
    <w:rsid w:val="006C1EC4"/>
    <w:rsid w:val="006C6AAC"/>
    <w:rsid w:val="006D43CA"/>
    <w:rsid w:val="006D7259"/>
    <w:rsid w:val="006E0CFA"/>
    <w:rsid w:val="006F7D4F"/>
    <w:rsid w:val="007013D5"/>
    <w:rsid w:val="00701555"/>
    <w:rsid w:val="00702B44"/>
    <w:rsid w:val="007032D1"/>
    <w:rsid w:val="007033AB"/>
    <w:rsid w:val="00703B87"/>
    <w:rsid w:val="0071138B"/>
    <w:rsid w:val="00712A01"/>
    <w:rsid w:val="0071564D"/>
    <w:rsid w:val="00726C9F"/>
    <w:rsid w:val="00727574"/>
    <w:rsid w:val="00730869"/>
    <w:rsid w:val="00730B5B"/>
    <w:rsid w:val="00742138"/>
    <w:rsid w:val="0075066C"/>
    <w:rsid w:val="007578CF"/>
    <w:rsid w:val="0076121F"/>
    <w:rsid w:val="007630CC"/>
    <w:rsid w:val="00763DE7"/>
    <w:rsid w:val="00772DC4"/>
    <w:rsid w:val="00774898"/>
    <w:rsid w:val="00774FD0"/>
    <w:rsid w:val="00776C0E"/>
    <w:rsid w:val="007839CE"/>
    <w:rsid w:val="00796151"/>
    <w:rsid w:val="00796D34"/>
    <w:rsid w:val="007A0DDE"/>
    <w:rsid w:val="007A0E03"/>
    <w:rsid w:val="007A7CA9"/>
    <w:rsid w:val="007C49F0"/>
    <w:rsid w:val="007E4403"/>
    <w:rsid w:val="007E4A81"/>
    <w:rsid w:val="007F1AAE"/>
    <w:rsid w:val="007F31E4"/>
    <w:rsid w:val="007F3492"/>
    <w:rsid w:val="007F4E88"/>
    <w:rsid w:val="008322C3"/>
    <w:rsid w:val="00833536"/>
    <w:rsid w:val="00837B49"/>
    <w:rsid w:val="00837DA4"/>
    <w:rsid w:val="00841E82"/>
    <w:rsid w:val="00842E88"/>
    <w:rsid w:val="00845A5B"/>
    <w:rsid w:val="00847324"/>
    <w:rsid w:val="00853369"/>
    <w:rsid w:val="0085518A"/>
    <w:rsid w:val="00855CE4"/>
    <w:rsid w:val="00860686"/>
    <w:rsid w:val="00862E73"/>
    <w:rsid w:val="0087674B"/>
    <w:rsid w:val="00880243"/>
    <w:rsid w:val="00886AC5"/>
    <w:rsid w:val="00890C0D"/>
    <w:rsid w:val="00893AAE"/>
    <w:rsid w:val="008A1A2D"/>
    <w:rsid w:val="008A3916"/>
    <w:rsid w:val="008A5794"/>
    <w:rsid w:val="008A741D"/>
    <w:rsid w:val="008B5E2F"/>
    <w:rsid w:val="008C3303"/>
    <w:rsid w:val="008C65B9"/>
    <w:rsid w:val="008C73F8"/>
    <w:rsid w:val="008D3430"/>
    <w:rsid w:val="008D39DA"/>
    <w:rsid w:val="008D3ED8"/>
    <w:rsid w:val="008E0E32"/>
    <w:rsid w:val="008E51FD"/>
    <w:rsid w:val="008E620B"/>
    <w:rsid w:val="008F4FBB"/>
    <w:rsid w:val="008F6D83"/>
    <w:rsid w:val="008F7F38"/>
    <w:rsid w:val="009123BE"/>
    <w:rsid w:val="009131D0"/>
    <w:rsid w:val="00915A01"/>
    <w:rsid w:val="00916055"/>
    <w:rsid w:val="0092194C"/>
    <w:rsid w:val="00931F38"/>
    <w:rsid w:val="00946D37"/>
    <w:rsid w:val="00954EFE"/>
    <w:rsid w:val="00955EE6"/>
    <w:rsid w:val="00960ED6"/>
    <w:rsid w:val="00961790"/>
    <w:rsid w:val="00963E49"/>
    <w:rsid w:val="00964780"/>
    <w:rsid w:val="00966764"/>
    <w:rsid w:val="009707CA"/>
    <w:rsid w:val="00970EA4"/>
    <w:rsid w:val="00974DB3"/>
    <w:rsid w:val="00980CB1"/>
    <w:rsid w:val="00990675"/>
    <w:rsid w:val="00993C83"/>
    <w:rsid w:val="00994608"/>
    <w:rsid w:val="009A1986"/>
    <w:rsid w:val="009A32A3"/>
    <w:rsid w:val="009A6463"/>
    <w:rsid w:val="009A66C4"/>
    <w:rsid w:val="009B6C25"/>
    <w:rsid w:val="009C0A7E"/>
    <w:rsid w:val="009C18EC"/>
    <w:rsid w:val="009C2BA0"/>
    <w:rsid w:val="009E1862"/>
    <w:rsid w:val="009E1E3F"/>
    <w:rsid w:val="009E3771"/>
    <w:rsid w:val="009F26F3"/>
    <w:rsid w:val="009F73D1"/>
    <w:rsid w:val="00A03853"/>
    <w:rsid w:val="00A07115"/>
    <w:rsid w:val="00A147D1"/>
    <w:rsid w:val="00A16AD0"/>
    <w:rsid w:val="00A17A20"/>
    <w:rsid w:val="00A17EDD"/>
    <w:rsid w:val="00A219A1"/>
    <w:rsid w:val="00A303BE"/>
    <w:rsid w:val="00A31976"/>
    <w:rsid w:val="00A322CA"/>
    <w:rsid w:val="00A41792"/>
    <w:rsid w:val="00A549B8"/>
    <w:rsid w:val="00A6634E"/>
    <w:rsid w:val="00A66EB9"/>
    <w:rsid w:val="00A8043A"/>
    <w:rsid w:val="00A833FC"/>
    <w:rsid w:val="00A911EF"/>
    <w:rsid w:val="00A96C40"/>
    <w:rsid w:val="00AA31EF"/>
    <w:rsid w:val="00AB6974"/>
    <w:rsid w:val="00AC22A4"/>
    <w:rsid w:val="00AC2784"/>
    <w:rsid w:val="00AC5C13"/>
    <w:rsid w:val="00AD108B"/>
    <w:rsid w:val="00AD1D46"/>
    <w:rsid w:val="00AD2163"/>
    <w:rsid w:val="00AD2469"/>
    <w:rsid w:val="00AD4F82"/>
    <w:rsid w:val="00AE4623"/>
    <w:rsid w:val="00AE6F63"/>
    <w:rsid w:val="00AF43B7"/>
    <w:rsid w:val="00AF491E"/>
    <w:rsid w:val="00B03DE2"/>
    <w:rsid w:val="00B07EC6"/>
    <w:rsid w:val="00B214A5"/>
    <w:rsid w:val="00B255C3"/>
    <w:rsid w:val="00B327CB"/>
    <w:rsid w:val="00B330A1"/>
    <w:rsid w:val="00B466A1"/>
    <w:rsid w:val="00B679B1"/>
    <w:rsid w:val="00B72E90"/>
    <w:rsid w:val="00B75D90"/>
    <w:rsid w:val="00B80006"/>
    <w:rsid w:val="00B8014E"/>
    <w:rsid w:val="00B94948"/>
    <w:rsid w:val="00B97651"/>
    <w:rsid w:val="00B97FF8"/>
    <w:rsid w:val="00BA32BA"/>
    <w:rsid w:val="00BB63ED"/>
    <w:rsid w:val="00BC328C"/>
    <w:rsid w:val="00BD4A62"/>
    <w:rsid w:val="00BD4AC5"/>
    <w:rsid w:val="00BD59B4"/>
    <w:rsid w:val="00BD6EFD"/>
    <w:rsid w:val="00BE0D46"/>
    <w:rsid w:val="00BE120C"/>
    <w:rsid w:val="00BE7EFC"/>
    <w:rsid w:val="00BF6331"/>
    <w:rsid w:val="00C03CEA"/>
    <w:rsid w:val="00C0524B"/>
    <w:rsid w:val="00C26BCD"/>
    <w:rsid w:val="00C44CEB"/>
    <w:rsid w:val="00C4532B"/>
    <w:rsid w:val="00C45BC4"/>
    <w:rsid w:val="00C47453"/>
    <w:rsid w:val="00C52E5E"/>
    <w:rsid w:val="00C53703"/>
    <w:rsid w:val="00C57ED6"/>
    <w:rsid w:val="00C61D2B"/>
    <w:rsid w:val="00C65D51"/>
    <w:rsid w:val="00C721AA"/>
    <w:rsid w:val="00C76E9D"/>
    <w:rsid w:val="00C80089"/>
    <w:rsid w:val="00C81D70"/>
    <w:rsid w:val="00C876EF"/>
    <w:rsid w:val="00C9107B"/>
    <w:rsid w:val="00C93C2F"/>
    <w:rsid w:val="00C9582B"/>
    <w:rsid w:val="00C96612"/>
    <w:rsid w:val="00C97389"/>
    <w:rsid w:val="00CA08F3"/>
    <w:rsid w:val="00CA65D9"/>
    <w:rsid w:val="00CA71A9"/>
    <w:rsid w:val="00CB58A3"/>
    <w:rsid w:val="00CB6DC5"/>
    <w:rsid w:val="00CC63F3"/>
    <w:rsid w:val="00CD239F"/>
    <w:rsid w:val="00CD4C3F"/>
    <w:rsid w:val="00CD6CC1"/>
    <w:rsid w:val="00CE6AC0"/>
    <w:rsid w:val="00CE6D0A"/>
    <w:rsid w:val="00CE7ECC"/>
    <w:rsid w:val="00CF1812"/>
    <w:rsid w:val="00CF2644"/>
    <w:rsid w:val="00CF5B6B"/>
    <w:rsid w:val="00D03A45"/>
    <w:rsid w:val="00D04183"/>
    <w:rsid w:val="00D10721"/>
    <w:rsid w:val="00D11CB2"/>
    <w:rsid w:val="00D141A5"/>
    <w:rsid w:val="00D14FB9"/>
    <w:rsid w:val="00D162A7"/>
    <w:rsid w:val="00D2182C"/>
    <w:rsid w:val="00D26D64"/>
    <w:rsid w:val="00D304BA"/>
    <w:rsid w:val="00D31FEF"/>
    <w:rsid w:val="00D3503D"/>
    <w:rsid w:val="00D351EB"/>
    <w:rsid w:val="00D37DE9"/>
    <w:rsid w:val="00D43775"/>
    <w:rsid w:val="00D4666F"/>
    <w:rsid w:val="00D520E7"/>
    <w:rsid w:val="00D644A2"/>
    <w:rsid w:val="00D65BDD"/>
    <w:rsid w:val="00D9040E"/>
    <w:rsid w:val="00D92349"/>
    <w:rsid w:val="00D93818"/>
    <w:rsid w:val="00D97723"/>
    <w:rsid w:val="00DA2870"/>
    <w:rsid w:val="00DB0DBA"/>
    <w:rsid w:val="00DB1398"/>
    <w:rsid w:val="00DB1EDB"/>
    <w:rsid w:val="00DB5242"/>
    <w:rsid w:val="00DB6EB4"/>
    <w:rsid w:val="00DC35E1"/>
    <w:rsid w:val="00DC4E43"/>
    <w:rsid w:val="00DC5B4A"/>
    <w:rsid w:val="00DD1A1F"/>
    <w:rsid w:val="00DD2D1A"/>
    <w:rsid w:val="00DD312D"/>
    <w:rsid w:val="00DD7910"/>
    <w:rsid w:val="00DE529D"/>
    <w:rsid w:val="00DF5799"/>
    <w:rsid w:val="00E018FB"/>
    <w:rsid w:val="00E01B76"/>
    <w:rsid w:val="00E06350"/>
    <w:rsid w:val="00E143BB"/>
    <w:rsid w:val="00E15746"/>
    <w:rsid w:val="00E161E3"/>
    <w:rsid w:val="00E20141"/>
    <w:rsid w:val="00E226EF"/>
    <w:rsid w:val="00E24237"/>
    <w:rsid w:val="00E25730"/>
    <w:rsid w:val="00E335C4"/>
    <w:rsid w:val="00E37D70"/>
    <w:rsid w:val="00E43E45"/>
    <w:rsid w:val="00E4494A"/>
    <w:rsid w:val="00E50F5E"/>
    <w:rsid w:val="00E53D97"/>
    <w:rsid w:val="00E56E05"/>
    <w:rsid w:val="00E62077"/>
    <w:rsid w:val="00E62D6B"/>
    <w:rsid w:val="00E636FF"/>
    <w:rsid w:val="00E66FF4"/>
    <w:rsid w:val="00E679CE"/>
    <w:rsid w:val="00E725BC"/>
    <w:rsid w:val="00E75C5F"/>
    <w:rsid w:val="00E8123F"/>
    <w:rsid w:val="00E83198"/>
    <w:rsid w:val="00E838C0"/>
    <w:rsid w:val="00E87802"/>
    <w:rsid w:val="00E92E6F"/>
    <w:rsid w:val="00E97508"/>
    <w:rsid w:val="00E97FA7"/>
    <w:rsid w:val="00EA39F3"/>
    <w:rsid w:val="00EB1B5D"/>
    <w:rsid w:val="00EB39DE"/>
    <w:rsid w:val="00EB6415"/>
    <w:rsid w:val="00EC052A"/>
    <w:rsid w:val="00EC39E0"/>
    <w:rsid w:val="00EC6309"/>
    <w:rsid w:val="00EC6753"/>
    <w:rsid w:val="00ED3461"/>
    <w:rsid w:val="00EE2FDF"/>
    <w:rsid w:val="00EE6D7C"/>
    <w:rsid w:val="00EE6E31"/>
    <w:rsid w:val="00EF0A6A"/>
    <w:rsid w:val="00EF2F11"/>
    <w:rsid w:val="00EF4443"/>
    <w:rsid w:val="00F06A3A"/>
    <w:rsid w:val="00F06C78"/>
    <w:rsid w:val="00F15A07"/>
    <w:rsid w:val="00F16C3F"/>
    <w:rsid w:val="00F232D2"/>
    <w:rsid w:val="00F32EF4"/>
    <w:rsid w:val="00F5561F"/>
    <w:rsid w:val="00F564B7"/>
    <w:rsid w:val="00F605B9"/>
    <w:rsid w:val="00F6547F"/>
    <w:rsid w:val="00F7064E"/>
    <w:rsid w:val="00F81808"/>
    <w:rsid w:val="00F8190F"/>
    <w:rsid w:val="00F837B6"/>
    <w:rsid w:val="00F850D5"/>
    <w:rsid w:val="00F86B34"/>
    <w:rsid w:val="00F86B3A"/>
    <w:rsid w:val="00F90A68"/>
    <w:rsid w:val="00F922EA"/>
    <w:rsid w:val="00F979DF"/>
    <w:rsid w:val="00FA41AA"/>
    <w:rsid w:val="00FC508C"/>
    <w:rsid w:val="00FC6BC3"/>
    <w:rsid w:val="00FD094C"/>
    <w:rsid w:val="00FE19A2"/>
    <w:rsid w:val="00FE4495"/>
    <w:rsid w:val="00FF438B"/>
    <w:rsid w:val="00FF45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4F48592-4D99-4B92-AB8E-32553AE1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1FD"/>
    <w:rPr>
      <w:color w:val="0563C1" w:themeColor="hyperlink"/>
      <w:u w:val="single"/>
    </w:rPr>
  </w:style>
  <w:style w:type="paragraph" w:styleId="ListParagraph">
    <w:name w:val="List Paragraph"/>
    <w:basedOn w:val="Normal"/>
    <w:uiPriority w:val="34"/>
    <w:qFormat/>
    <w:rsid w:val="008E51FD"/>
    <w:pPr>
      <w:ind w:left="720"/>
      <w:contextualSpacing/>
    </w:pPr>
  </w:style>
  <w:style w:type="paragraph" w:styleId="NoSpacing">
    <w:name w:val="No Spacing"/>
    <w:uiPriority w:val="1"/>
    <w:qFormat/>
    <w:rsid w:val="00460416"/>
    <w:pPr>
      <w:spacing w:after="0" w:line="240" w:lineRule="auto"/>
    </w:pPr>
    <w:rPr>
      <w:rFonts w:eastAsiaTheme="minorEastAsia"/>
      <w:lang w:val="es-ES" w:eastAsia="es-ES"/>
    </w:rPr>
  </w:style>
  <w:style w:type="character" w:customStyle="1" w:styleId="apple-converted-space">
    <w:name w:val="apple-converted-space"/>
    <w:basedOn w:val="DefaultParagraphFont"/>
    <w:rsid w:val="00A147D1"/>
  </w:style>
  <w:style w:type="character" w:styleId="Emphasis">
    <w:name w:val="Emphasis"/>
    <w:basedOn w:val="DefaultParagraphFont"/>
    <w:uiPriority w:val="20"/>
    <w:qFormat/>
    <w:rsid w:val="00A147D1"/>
    <w:rPr>
      <w:i/>
      <w:iCs/>
    </w:rPr>
  </w:style>
  <w:style w:type="character" w:styleId="CommentReference">
    <w:name w:val="annotation reference"/>
    <w:basedOn w:val="DefaultParagraphFont"/>
    <w:uiPriority w:val="99"/>
    <w:semiHidden/>
    <w:unhideWhenUsed/>
    <w:rsid w:val="007E4403"/>
    <w:rPr>
      <w:sz w:val="16"/>
      <w:szCs w:val="16"/>
    </w:rPr>
  </w:style>
  <w:style w:type="paragraph" w:styleId="CommentText">
    <w:name w:val="annotation text"/>
    <w:basedOn w:val="Normal"/>
    <w:link w:val="CommentTextChar"/>
    <w:uiPriority w:val="99"/>
    <w:semiHidden/>
    <w:unhideWhenUsed/>
    <w:rsid w:val="007E4403"/>
    <w:pPr>
      <w:spacing w:line="240" w:lineRule="auto"/>
    </w:pPr>
    <w:rPr>
      <w:sz w:val="20"/>
      <w:szCs w:val="20"/>
    </w:rPr>
  </w:style>
  <w:style w:type="character" w:customStyle="1" w:styleId="CommentTextChar">
    <w:name w:val="Comment Text Char"/>
    <w:basedOn w:val="DefaultParagraphFont"/>
    <w:link w:val="CommentText"/>
    <w:uiPriority w:val="99"/>
    <w:semiHidden/>
    <w:rsid w:val="007E4403"/>
    <w:rPr>
      <w:sz w:val="20"/>
      <w:szCs w:val="20"/>
    </w:rPr>
  </w:style>
  <w:style w:type="paragraph" w:styleId="CommentSubject">
    <w:name w:val="annotation subject"/>
    <w:basedOn w:val="CommentText"/>
    <w:next w:val="CommentText"/>
    <w:link w:val="CommentSubjectChar"/>
    <w:uiPriority w:val="99"/>
    <w:semiHidden/>
    <w:unhideWhenUsed/>
    <w:rsid w:val="007E4403"/>
    <w:rPr>
      <w:b/>
      <w:bCs/>
    </w:rPr>
  </w:style>
  <w:style w:type="character" w:customStyle="1" w:styleId="CommentSubjectChar">
    <w:name w:val="Comment Subject Char"/>
    <w:basedOn w:val="CommentTextChar"/>
    <w:link w:val="CommentSubject"/>
    <w:uiPriority w:val="99"/>
    <w:semiHidden/>
    <w:rsid w:val="007E4403"/>
    <w:rPr>
      <w:b/>
      <w:bCs/>
      <w:sz w:val="20"/>
      <w:szCs w:val="20"/>
    </w:rPr>
  </w:style>
  <w:style w:type="paragraph" w:styleId="BalloonText">
    <w:name w:val="Balloon Text"/>
    <w:basedOn w:val="Normal"/>
    <w:link w:val="BalloonTextChar"/>
    <w:uiPriority w:val="99"/>
    <w:semiHidden/>
    <w:unhideWhenUsed/>
    <w:rsid w:val="007E4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403"/>
    <w:rPr>
      <w:rFonts w:ascii="Tahoma" w:hAnsi="Tahoma" w:cs="Tahoma"/>
      <w:sz w:val="16"/>
      <w:szCs w:val="16"/>
    </w:rPr>
  </w:style>
  <w:style w:type="paragraph" w:styleId="Header">
    <w:name w:val="header"/>
    <w:basedOn w:val="Normal"/>
    <w:link w:val="HeaderChar"/>
    <w:uiPriority w:val="99"/>
    <w:unhideWhenUsed/>
    <w:rsid w:val="005060D7"/>
    <w:pPr>
      <w:tabs>
        <w:tab w:val="center" w:pos="4252"/>
        <w:tab w:val="right" w:pos="8504"/>
      </w:tabs>
      <w:spacing w:after="0" w:line="240" w:lineRule="auto"/>
    </w:pPr>
  </w:style>
  <w:style w:type="character" w:customStyle="1" w:styleId="HeaderChar">
    <w:name w:val="Header Char"/>
    <w:basedOn w:val="DefaultParagraphFont"/>
    <w:link w:val="Header"/>
    <w:uiPriority w:val="99"/>
    <w:rsid w:val="005060D7"/>
  </w:style>
  <w:style w:type="paragraph" w:styleId="Footer">
    <w:name w:val="footer"/>
    <w:basedOn w:val="Normal"/>
    <w:link w:val="FooterChar"/>
    <w:uiPriority w:val="99"/>
    <w:unhideWhenUsed/>
    <w:rsid w:val="005060D7"/>
    <w:pPr>
      <w:tabs>
        <w:tab w:val="center" w:pos="4252"/>
        <w:tab w:val="right" w:pos="8504"/>
      </w:tabs>
      <w:spacing w:after="0" w:line="240" w:lineRule="auto"/>
    </w:pPr>
  </w:style>
  <w:style w:type="character" w:customStyle="1" w:styleId="FooterChar">
    <w:name w:val="Footer Char"/>
    <w:basedOn w:val="DefaultParagraphFont"/>
    <w:link w:val="Footer"/>
    <w:uiPriority w:val="99"/>
    <w:rsid w:val="005060D7"/>
  </w:style>
  <w:style w:type="table" w:customStyle="1" w:styleId="Tabladecuadrcula4-nfasis11">
    <w:name w:val="Tabla de cuadrícula 4 - Énfasis 11"/>
    <w:basedOn w:val="TableNormal"/>
    <w:uiPriority w:val="49"/>
    <w:rsid w:val="00EB641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EB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7802"/>
    <w:rPr>
      <w:b/>
      <w:bCs/>
    </w:rPr>
  </w:style>
  <w:style w:type="paragraph" w:styleId="Revision">
    <w:name w:val="Revision"/>
    <w:hidden/>
    <w:uiPriority w:val="99"/>
    <w:semiHidden/>
    <w:rsid w:val="00212E8F"/>
    <w:pPr>
      <w:spacing w:after="0" w:line="240" w:lineRule="auto"/>
    </w:pPr>
  </w:style>
  <w:style w:type="character" w:customStyle="1" w:styleId="ref-journal">
    <w:name w:val="ref-journal"/>
    <w:basedOn w:val="DefaultParagraphFont"/>
    <w:rsid w:val="00DA2870"/>
  </w:style>
  <w:style w:type="character" w:customStyle="1" w:styleId="ref-vol">
    <w:name w:val="ref-vol"/>
    <w:basedOn w:val="DefaultParagraphFont"/>
    <w:rsid w:val="00DA2870"/>
  </w:style>
  <w:style w:type="character" w:customStyle="1" w:styleId="highlight">
    <w:name w:val="highlight"/>
    <w:basedOn w:val="DefaultParagraphFont"/>
    <w:rsid w:val="0021004E"/>
  </w:style>
  <w:style w:type="paragraph" w:styleId="NormalWeb">
    <w:name w:val="Normal (Web)"/>
    <w:basedOn w:val="Normal"/>
    <w:uiPriority w:val="99"/>
    <w:unhideWhenUsed/>
    <w:rsid w:val="004B17C2"/>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table" w:customStyle="1" w:styleId="Sombreadoclaro1">
    <w:name w:val="Sombreado claro1"/>
    <w:basedOn w:val="TableNormal"/>
    <w:uiPriority w:val="60"/>
    <w:rsid w:val="000628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6789">
      <w:bodyDiv w:val="1"/>
      <w:marLeft w:val="0"/>
      <w:marRight w:val="0"/>
      <w:marTop w:val="0"/>
      <w:marBottom w:val="0"/>
      <w:divBdr>
        <w:top w:val="none" w:sz="0" w:space="0" w:color="auto"/>
        <w:left w:val="none" w:sz="0" w:space="0" w:color="auto"/>
        <w:bottom w:val="none" w:sz="0" w:space="0" w:color="auto"/>
        <w:right w:val="none" w:sz="0" w:space="0" w:color="auto"/>
      </w:divBdr>
    </w:div>
    <w:div w:id="717707143">
      <w:bodyDiv w:val="1"/>
      <w:marLeft w:val="0"/>
      <w:marRight w:val="0"/>
      <w:marTop w:val="0"/>
      <w:marBottom w:val="0"/>
      <w:divBdr>
        <w:top w:val="none" w:sz="0" w:space="0" w:color="auto"/>
        <w:left w:val="none" w:sz="0" w:space="0" w:color="auto"/>
        <w:bottom w:val="none" w:sz="0" w:space="0" w:color="auto"/>
        <w:right w:val="none" w:sz="0" w:space="0" w:color="auto"/>
      </w:divBdr>
      <w:divsChild>
        <w:div w:id="1774544708">
          <w:marLeft w:val="0"/>
          <w:marRight w:val="0"/>
          <w:marTop w:val="0"/>
          <w:marBottom w:val="0"/>
          <w:divBdr>
            <w:top w:val="none" w:sz="0" w:space="0" w:color="auto"/>
            <w:left w:val="none" w:sz="0" w:space="0" w:color="auto"/>
            <w:bottom w:val="none" w:sz="0" w:space="0" w:color="auto"/>
            <w:right w:val="none" w:sz="0" w:space="0" w:color="auto"/>
          </w:divBdr>
          <w:divsChild>
            <w:div w:id="13150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5339">
      <w:bodyDiv w:val="1"/>
      <w:marLeft w:val="0"/>
      <w:marRight w:val="0"/>
      <w:marTop w:val="0"/>
      <w:marBottom w:val="0"/>
      <w:divBdr>
        <w:top w:val="none" w:sz="0" w:space="0" w:color="auto"/>
        <w:left w:val="none" w:sz="0" w:space="0" w:color="auto"/>
        <w:bottom w:val="none" w:sz="0" w:space="0" w:color="auto"/>
        <w:right w:val="none" w:sz="0" w:space="0" w:color="auto"/>
      </w:divBdr>
      <w:divsChild>
        <w:div w:id="269355569">
          <w:marLeft w:val="0"/>
          <w:marRight w:val="0"/>
          <w:marTop w:val="120"/>
          <w:marBottom w:val="0"/>
          <w:divBdr>
            <w:top w:val="none" w:sz="0" w:space="0" w:color="auto"/>
            <w:left w:val="none" w:sz="0" w:space="0" w:color="auto"/>
            <w:bottom w:val="none" w:sz="0" w:space="0" w:color="auto"/>
            <w:right w:val="none" w:sz="0" w:space="0" w:color="auto"/>
          </w:divBdr>
        </w:div>
        <w:div w:id="227542533">
          <w:marLeft w:val="0"/>
          <w:marRight w:val="0"/>
          <w:marTop w:val="120"/>
          <w:marBottom w:val="0"/>
          <w:divBdr>
            <w:top w:val="none" w:sz="0" w:space="0" w:color="auto"/>
            <w:left w:val="none" w:sz="0" w:space="0" w:color="auto"/>
            <w:bottom w:val="none" w:sz="0" w:space="0" w:color="auto"/>
            <w:right w:val="none" w:sz="0" w:space="0" w:color="auto"/>
          </w:divBdr>
        </w:div>
      </w:divsChild>
    </w:div>
    <w:div w:id="18627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diap.org"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40F52C-7598-4593-9247-E5BC7A3AD40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ca-ES"/>
        </a:p>
      </dgm:t>
    </dgm:pt>
    <dgm:pt modelId="{E7A2DB17-4BB4-45A6-835C-4E907026FE58}">
      <dgm:prSet phldrT="[Texto]">
        <dgm:style>
          <a:lnRef idx="2">
            <a:schemeClr val="accent4"/>
          </a:lnRef>
          <a:fillRef idx="1">
            <a:schemeClr val="lt1"/>
          </a:fillRef>
          <a:effectRef idx="0">
            <a:schemeClr val="accent4"/>
          </a:effectRef>
          <a:fontRef idx="minor">
            <a:schemeClr val="dk1"/>
          </a:fontRef>
        </dgm:style>
      </dgm:prSet>
      <dgm:spPr/>
      <dgm:t>
        <a:bodyPr/>
        <a:lstStyle/>
        <a:p>
          <a:r>
            <a:rPr lang="ca-ES"/>
            <a:t>T2DM patients n=56,350</a:t>
          </a:r>
        </a:p>
      </dgm:t>
    </dgm:pt>
    <dgm:pt modelId="{3246C6C6-8923-4D2E-A3F2-CC019B324FCA}" type="parTrans" cxnId="{DAE86B8B-0223-42FA-AAAD-22438CE4D75B}">
      <dgm:prSet/>
      <dgm:spPr/>
      <dgm:t>
        <a:bodyPr/>
        <a:lstStyle/>
        <a:p>
          <a:endParaRPr lang="ca-ES"/>
        </a:p>
      </dgm:t>
    </dgm:pt>
    <dgm:pt modelId="{5B13E70F-5B32-4D40-B1D0-F9E57CCD4A4B}" type="sibTrans" cxnId="{DAE86B8B-0223-42FA-AAAD-22438CE4D75B}">
      <dgm:prSet/>
      <dgm:spPr/>
      <dgm:t>
        <a:bodyPr/>
        <a:lstStyle/>
        <a:p>
          <a:endParaRPr lang="ca-ES"/>
        </a:p>
      </dgm:t>
    </dgm:pt>
    <dgm:pt modelId="{B80B50E9-B78D-4311-85ED-B2EA81CDDFF8}">
      <dgm:prSet phldrT="[Texto]">
        <dgm:style>
          <a:lnRef idx="2">
            <a:schemeClr val="accent4"/>
          </a:lnRef>
          <a:fillRef idx="1">
            <a:schemeClr val="lt1"/>
          </a:fillRef>
          <a:effectRef idx="0">
            <a:schemeClr val="accent4"/>
          </a:effectRef>
          <a:fontRef idx="minor">
            <a:schemeClr val="dk1"/>
          </a:fontRef>
        </dgm:style>
      </dgm:prSet>
      <dgm:spPr/>
      <dgm:t>
        <a:bodyPr/>
        <a:lstStyle/>
        <a:p>
          <a:r>
            <a:rPr lang="ca-ES"/>
            <a:t>INCLUDED</a:t>
          </a:r>
        </a:p>
        <a:p>
          <a:r>
            <a:rPr lang="ca-ES"/>
            <a:t>n=55,891</a:t>
          </a:r>
        </a:p>
      </dgm:t>
    </dgm:pt>
    <dgm:pt modelId="{8078C0AB-11A9-4271-A8B5-E9CD4A320310}" type="parTrans" cxnId="{C989C1A7-E016-418B-B2E4-7B377817C971}">
      <dgm:prSet/>
      <dgm:spPr/>
      <dgm:t>
        <a:bodyPr/>
        <a:lstStyle/>
        <a:p>
          <a:endParaRPr lang="ca-ES"/>
        </a:p>
      </dgm:t>
    </dgm:pt>
    <dgm:pt modelId="{D221D49D-82B3-4FAE-BEE3-9742BFC6DA67}" type="sibTrans" cxnId="{C989C1A7-E016-418B-B2E4-7B377817C971}">
      <dgm:prSet/>
      <dgm:spPr/>
      <dgm:t>
        <a:bodyPr/>
        <a:lstStyle/>
        <a:p>
          <a:endParaRPr lang="ca-ES"/>
        </a:p>
      </dgm:t>
    </dgm:pt>
    <dgm:pt modelId="{7DB93B08-9CAE-4BE3-9A84-7DC4B5BC59FB}" type="asst">
      <dgm:prSet phldrT="[Texto]">
        <dgm:style>
          <a:lnRef idx="2">
            <a:schemeClr val="accent4"/>
          </a:lnRef>
          <a:fillRef idx="1">
            <a:schemeClr val="lt1"/>
          </a:fillRef>
          <a:effectRef idx="0">
            <a:schemeClr val="accent4"/>
          </a:effectRef>
          <a:fontRef idx="minor">
            <a:schemeClr val="dk1"/>
          </a:fontRef>
        </dgm:style>
      </dgm:prSet>
      <dgm:spPr/>
      <dgm:t>
        <a:bodyPr/>
        <a:lstStyle/>
        <a:p>
          <a:pPr>
            <a:spcAft>
              <a:spcPts val="0"/>
            </a:spcAft>
          </a:pPr>
          <a:r>
            <a:rPr lang="ca-ES">
              <a:latin typeface="+mn-lt"/>
            </a:rPr>
            <a:t>Unmatched </a:t>
          </a:r>
        </a:p>
        <a:p>
          <a:pPr>
            <a:spcAft>
              <a:spcPts val="0"/>
            </a:spcAft>
          </a:pPr>
          <a:r>
            <a:rPr lang="ca-ES">
              <a:latin typeface="+mn-lt"/>
            </a:rPr>
            <a:t>(after exclusion/s) </a:t>
          </a:r>
        </a:p>
        <a:p>
          <a:pPr>
            <a:spcAft>
              <a:spcPts val="0"/>
            </a:spcAft>
          </a:pPr>
          <a:r>
            <a:rPr lang="ca-ES">
              <a:latin typeface="+mn-lt"/>
            </a:rPr>
            <a:t>n=450</a:t>
          </a:r>
          <a:endParaRPr lang="ca-ES"/>
        </a:p>
      </dgm:t>
    </dgm:pt>
    <dgm:pt modelId="{F10D6747-A6F1-43D2-9C5A-2A69CEFE2C4D}" type="sibTrans" cxnId="{FA2B9734-C388-4267-AC01-D57D53E06296}">
      <dgm:prSet/>
      <dgm:spPr/>
      <dgm:t>
        <a:bodyPr/>
        <a:lstStyle/>
        <a:p>
          <a:endParaRPr lang="ca-ES"/>
        </a:p>
      </dgm:t>
    </dgm:pt>
    <dgm:pt modelId="{97B05DC6-3E39-4B6A-B310-01206E453C3A}" type="parTrans" cxnId="{FA2B9734-C388-4267-AC01-D57D53E06296}">
      <dgm:prSet/>
      <dgm:spPr/>
      <dgm:t>
        <a:bodyPr/>
        <a:lstStyle/>
        <a:p>
          <a:endParaRPr lang="ca-ES"/>
        </a:p>
      </dgm:t>
    </dgm:pt>
    <dgm:pt modelId="{E7372E9E-B772-422D-8B5A-E40957DF0194}">
      <dgm:prSet>
        <dgm:style>
          <a:lnRef idx="2">
            <a:schemeClr val="accent6"/>
          </a:lnRef>
          <a:fillRef idx="1">
            <a:schemeClr val="lt1"/>
          </a:fillRef>
          <a:effectRef idx="0">
            <a:schemeClr val="accent6"/>
          </a:effectRef>
          <a:fontRef idx="minor">
            <a:schemeClr val="dk1"/>
          </a:fontRef>
        </dgm:style>
      </dgm:prSet>
      <dgm:spPr/>
      <dgm:t>
        <a:bodyPr/>
        <a:lstStyle/>
        <a:p>
          <a:r>
            <a:rPr lang="ca-ES"/>
            <a:t>Non-diabetic matched patients n=112,548</a:t>
          </a:r>
        </a:p>
      </dgm:t>
    </dgm:pt>
    <dgm:pt modelId="{AB83D74C-AF2A-4FAD-B929-02064996856A}" type="parTrans" cxnId="{A7C87CB1-DD61-4C1D-98E5-F0B2BFD437D6}">
      <dgm:prSet/>
      <dgm:spPr/>
      <dgm:t>
        <a:bodyPr/>
        <a:lstStyle/>
        <a:p>
          <a:endParaRPr lang="ca-ES"/>
        </a:p>
      </dgm:t>
    </dgm:pt>
    <dgm:pt modelId="{B777E89C-47F6-42B1-8ECB-087689ED7DC7}" type="sibTrans" cxnId="{A7C87CB1-DD61-4C1D-98E5-F0B2BFD437D6}">
      <dgm:prSet/>
      <dgm:spPr/>
      <dgm:t>
        <a:bodyPr/>
        <a:lstStyle/>
        <a:p>
          <a:endParaRPr lang="ca-ES"/>
        </a:p>
      </dgm:t>
    </dgm:pt>
    <dgm:pt modelId="{C1F62D2F-FF98-4EAF-BF30-2B71B85873AA}">
      <dgm:prSet>
        <dgm:style>
          <a:lnRef idx="2">
            <a:schemeClr val="accent6"/>
          </a:lnRef>
          <a:fillRef idx="1">
            <a:schemeClr val="lt1"/>
          </a:fillRef>
          <a:effectRef idx="0">
            <a:schemeClr val="accent6"/>
          </a:effectRef>
          <a:fontRef idx="minor">
            <a:schemeClr val="dk1"/>
          </a:fontRef>
        </dgm:style>
      </dgm:prSet>
      <dgm:spPr/>
      <dgm:t>
        <a:bodyPr/>
        <a:lstStyle/>
        <a:p>
          <a:r>
            <a:rPr lang="ca-ES"/>
            <a:t>INCLUDED</a:t>
          </a:r>
        </a:p>
        <a:p>
          <a:r>
            <a:rPr lang="ca-ES"/>
            <a:t>n=103,093</a:t>
          </a:r>
        </a:p>
      </dgm:t>
    </dgm:pt>
    <dgm:pt modelId="{BD6B7202-4953-4C9E-BF4D-584FAAD265C0}" type="parTrans" cxnId="{80020B42-DEA3-45FA-8CB0-87420FCE3B7C}">
      <dgm:prSet/>
      <dgm:spPr/>
      <dgm:t>
        <a:bodyPr/>
        <a:lstStyle/>
        <a:p>
          <a:endParaRPr lang="ca-ES"/>
        </a:p>
      </dgm:t>
    </dgm:pt>
    <dgm:pt modelId="{6ABA14E7-A847-4EC7-8AAB-BEB87DCDCF49}" type="sibTrans" cxnId="{80020B42-DEA3-45FA-8CB0-87420FCE3B7C}">
      <dgm:prSet/>
      <dgm:spPr/>
      <dgm:t>
        <a:bodyPr/>
        <a:lstStyle/>
        <a:p>
          <a:endParaRPr lang="ca-ES"/>
        </a:p>
      </dgm:t>
    </dgm:pt>
    <dgm:pt modelId="{72038D36-D72C-4D3E-B6D3-A15A58D74FBE}" type="asst">
      <dgm:prSet>
        <dgm:style>
          <a:lnRef idx="2">
            <a:schemeClr val="accent6"/>
          </a:lnRef>
          <a:fillRef idx="1">
            <a:schemeClr val="lt1"/>
          </a:fillRef>
          <a:effectRef idx="0">
            <a:schemeClr val="accent6"/>
          </a:effectRef>
          <a:fontRef idx="minor">
            <a:schemeClr val="dk1"/>
          </a:fontRef>
        </dgm:style>
      </dgm:prSet>
      <dgm:spPr/>
      <dgm:t>
        <a:bodyPr/>
        <a:lstStyle/>
        <a:p>
          <a:r>
            <a:rPr lang="ca-ES"/>
            <a:t>Insulin, OADs use or 2+</a:t>
          </a:r>
          <a:r>
            <a:rPr lang="ca-ES">
              <a:latin typeface="+mn-lt"/>
            </a:rPr>
            <a:t>HbA1c</a:t>
          </a:r>
          <a:r>
            <a:rPr lang="ca-ES">
              <a:latin typeface="+mn-lt"/>
              <a:cs typeface="Times New Roman" panose="02020603050405020304" pitchFamily="18" charset="0"/>
            </a:rPr>
            <a:t>≥6.5% </a:t>
          </a:r>
          <a:r>
            <a:rPr lang="ca-ES"/>
            <a:t>  n=9,436</a:t>
          </a:r>
        </a:p>
      </dgm:t>
    </dgm:pt>
    <dgm:pt modelId="{813CE20E-8C92-4202-8ED1-1BB99691939F}" type="parTrans" cxnId="{8ED29531-FCE4-4815-88F5-93DB2499D7E9}">
      <dgm:prSet/>
      <dgm:spPr/>
      <dgm:t>
        <a:bodyPr/>
        <a:lstStyle/>
        <a:p>
          <a:endParaRPr lang="ca-ES"/>
        </a:p>
      </dgm:t>
    </dgm:pt>
    <dgm:pt modelId="{08A11503-C0AA-4180-BAE0-393EF529A830}" type="sibTrans" cxnId="{8ED29531-FCE4-4815-88F5-93DB2499D7E9}">
      <dgm:prSet/>
      <dgm:spPr/>
      <dgm:t>
        <a:bodyPr/>
        <a:lstStyle/>
        <a:p>
          <a:endParaRPr lang="ca-ES"/>
        </a:p>
      </dgm:t>
    </dgm:pt>
    <dgm:pt modelId="{69494FFD-350E-4075-8EC6-9C1D234D6B2D}" type="asst">
      <dgm:prSet>
        <dgm:style>
          <a:lnRef idx="2">
            <a:schemeClr val="accent6"/>
          </a:lnRef>
          <a:fillRef idx="1">
            <a:schemeClr val="lt1"/>
          </a:fillRef>
          <a:effectRef idx="0">
            <a:schemeClr val="accent6"/>
          </a:effectRef>
          <a:fontRef idx="minor">
            <a:schemeClr val="dk1"/>
          </a:fontRef>
        </dgm:style>
      </dgm:prSet>
      <dgm:spPr/>
      <dgm:t>
        <a:bodyPr/>
        <a:lstStyle/>
        <a:p>
          <a:r>
            <a:rPr lang="ca-ES"/>
            <a:t>Follow-up time=0</a:t>
          </a:r>
        </a:p>
        <a:p>
          <a:r>
            <a:rPr lang="ca-ES"/>
            <a:t>n=2</a:t>
          </a:r>
        </a:p>
      </dgm:t>
    </dgm:pt>
    <dgm:pt modelId="{C1CCDC35-779A-409E-8737-A70064A71287}" type="parTrans" cxnId="{B6F02787-06D5-4238-95DC-D0C3ABB36A20}">
      <dgm:prSet/>
      <dgm:spPr/>
      <dgm:t>
        <a:bodyPr/>
        <a:lstStyle/>
        <a:p>
          <a:endParaRPr lang="en-US"/>
        </a:p>
      </dgm:t>
    </dgm:pt>
    <dgm:pt modelId="{9C73940C-6794-4DC2-9BC9-BAF6248E2943}" type="sibTrans" cxnId="{B6F02787-06D5-4238-95DC-D0C3ABB36A20}">
      <dgm:prSet/>
      <dgm:spPr/>
      <dgm:t>
        <a:bodyPr/>
        <a:lstStyle/>
        <a:p>
          <a:endParaRPr lang="en-US"/>
        </a:p>
      </dgm:t>
    </dgm:pt>
    <dgm:pt modelId="{C0FD7DE3-8F72-4A8D-BA5C-D5432B9195CA}" type="asst">
      <dgm:prSet>
        <dgm:style>
          <a:lnRef idx="2">
            <a:schemeClr val="accent4"/>
          </a:lnRef>
          <a:fillRef idx="1">
            <a:schemeClr val="lt1"/>
          </a:fillRef>
          <a:effectRef idx="0">
            <a:schemeClr val="accent4"/>
          </a:effectRef>
          <a:fontRef idx="minor">
            <a:schemeClr val="dk1"/>
          </a:fontRef>
        </dgm:style>
      </dgm:prSet>
      <dgm:spPr/>
      <dgm:t>
        <a:bodyPr/>
        <a:lstStyle/>
        <a:p>
          <a:r>
            <a:rPr lang="ca-ES"/>
            <a:t>Follow-up time=0</a:t>
          </a:r>
        </a:p>
        <a:p>
          <a:r>
            <a:rPr lang="ca-ES"/>
            <a:t>n=9</a:t>
          </a:r>
        </a:p>
      </dgm:t>
    </dgm:pt>
    <dgm:pt modelId="{D26E58F4-DC23-4532-8087-E287551C8246}" type="parTrans" cxnId="{305E4510-06DD-4D35-B27F-FB39A487E2C0}">
      <dgm:prSet/>
      <dgm:spPr/>
      <dgm:t>
        <a:bodyPr/>
        <a:lstStyle/>
        <a:p>
          <a:endParaRPr lang="en-US"/>
        </a:p>
      </dgm:t>
    </dgm:pt>
    <dgm:pt modelId="{18495E23-B475-4ACD-A0A8-0A57C2E02525}" type="sibTrans" cxnId="{305E4510-06DD-4D35-B27F-FB39A487E2C0}">
      <dgm:prSet/>
      <dgm:spPr/>
      <dgm:t>
        <a:bodyPr/>
        <a:lstStyle/>
        <a:p>
          <a:endParaRPr lang="en-US"/>
        </a:p>
      </dgm:t>
    </dgm:pt>
    <dgm:pt modelId="{EEC41138-BCF4-4639-84D0-86527166A5E0}" type="asst">
      <dgm:prSet>
        <dgm:style>
          <a:lnRef idx="2">
            <a:schemeClr val="accent6"/>
          </a:lnRef>
          <a:fillRef idx="1">
            <a:schemeClr val="lt1"/>
          </a:fillRef>
          <a:effectRef idx="0">
            <a:schemeClr val="accent6"/>
          </a:effectRef>
          <a:fontRef idx="minor">
            <a:schemeClr val="dk1"/>
          </a:fontRef>
        </dgm:style>
      </dgm:prSet>
      <dgm:spPr/>
      <dgm:t>
        <a:bodyPr/>
        <a:lstStyle/>
        <a:p>
          <a:pPr>
            <a:spcAft>
              <a:spcPts val="0"/>
            </a:spcAft>
          </a:pPr>
          <a:r>
            <a:rPr lang="ca-ES">
              <a:latin typeface="+mn-lt"/>
            </a:rPr>
            <a:t>Unmatched </a:t>
          </a:r>
        </a:p>
        <a:p>
          <a:pPr>
            <a:spcAft>
              <a:spcPts val="0"/>
            </a:spcAft>
          </a:pPr>
          <a:r>
            <a:rPr lang="ca-ES">
              <a:latin typeface="+mn-lt"/>
            </a:rPr>
            <a:t>(after exclusion/s)</a:t>
          </a:r>
        </a:p>
        <a:p>
          <a:pPr>
            <a:spcAft>
              <a:spcPts val="0"/>
            </a:spcAft>
          </a:pPr>
          <a:r>
            <a:rPr lang="ca-ES">
              <a:latin typeface="+mn-lt"/>
            </a:rPr>
            <a:t>n=17</a:t>
          </a:r>
          <a:endParaRPr lang="ca-ES"/>
        </a:p>
      </dgm:t>
    </dgm:pt>
    <dgm:pt modelId="{CE503A32-36A1-456F-AB5A-A27C06CB6F4E}" type="parTrans" cxnId="{92E68F93-D32F-4E72-A086-02377558FEF8}">
      <dgm:prSet/>
      <dgm:spPr/>
      <dgm:t>
        <a:bodyPr/>
        <a:lstStyle/>
        <a:p>
          <a:endParaRPr lang="en-US"/>
        </a:p>
      </dgm:t>
    </dgm:pt>
    <dgm:pt modelId="{E9CACD18-C6B4-4BE3-998B-80259A942330}" type="sibTrans" cxnId="{92E68F93-D32F-4E72-A086-02377558FEF8}">
      <dgm:prSet/>
      <dgm:spPr/>
      <dgm:t>
        <a:bodyPr/>
        <a:lstStyle/>
        <a:p>
          <a:endParaRPr lang="en-US"/>
        </a:p>
      </dgm:t>
    </dgm:pt>
    <dgm:pt modelId="{9C256EDC-1249-4996-848D-280709938FDB}" type="pres">
      <dgm:prSet presAssocID="{BB40F52C-7598-4593-9247-E5BC7A3AD406}" presName="hierChild1" presStyleCnt="0">
        <dgm:presLayoutVars>
          <dgm:orgChart val="1"/>
          <dgm:chPref val="1"/>
          <dgm:dir/>
          <dgm:animOne val="branch"/>
          <dgm:animLvl val="lvl"/>
          <dgm:resizeHandles/>
        </dgm:presLayoutVars>
      </dgm:prSet>
      <dgm:spPr/>
      <dgm:t>
        <a:bodyPr/>
        <a:lstStyle/>
        <a:p>
          <a:endParaRPr lang="ca-ES"/>
        </a:p>
      </dgm:t>
    </dgm:pt>
    <dgm:pt modelId="{CA6CD345-3BB5-40F9-A0CA-546552A06C3F}" type="pres">
      <dgm:prSet presAssocID="{E7372E9E-B772-422D-8B5A-E40957DF0194}" presName="hierRoot1" presStyleCnt="0">
        <dgm:presLayoutVars>
          <dgm:hierBranch val="init"/>
        </dgm:presLayoutVars>
      </dgm:prSet>
      <dgm:spPr/>
    </dgm:pt>
    <dgm:pt modelId="{779520FA-0E47-4DD3-9453-5CEA79D9F56F}" type="pres">
      <dgm:prSet presAssocID="{E7372E9E-B772-422D-8B5A-E40957DF0194}" presName="rootComposite1" presStyleCnt="0"/>
      <dgm:spPr/>
    </dgm:pt>
    <dgm:pt modelId="{757F012D-C9F2-459B-BA72-375E168D2D8E}" type="pres">
      <dgm:prSet presAssocID="{E7372E9E-B772-422D-8B5A-E40957DF0194}" presName="rootText1" presStyleLbl="node0" presStyleIdx="0" presStyleCnt="2" custLinFactNeighborX="1053" custLinFactNeighborY="-73693">
        <dgm:presLayoutVars>
          <dgm:chPref val="3"/>
        </dgm:presLayoutVars>
      </dgm:prSet>
      <dgm:spPr/>
      <dgm:t>
        <a:bodyPr/>
        <a:lstStyle/>
        <a:p>
          <a:endParaRPr lang="ca-ES"/>
        </a:p>
      </dgm:t>
    </dgm:pt>
    <dgm:pt modelId="{F21B8473-AED8-4540-BA1E-445E626B2BB6}" type="pres">
      <dgm:prSet presAssocID="{E7372E9E-B772-422D-8B5A-E40957DF0194}" presName="rootConnector1" presStyleLbl="node1" presStyleIdx="0" presStyleCnt="0"/>
      <dgm:spPr/>
      <dgm:t>
        <a:bodyPr/>
        <a:lstStyle/>
        <a:p>
          <a:endParaRPr lang="ca-ES"/>
        </a:p>
      </dgm:t>
    </dgm:pt>
    <dgm:pt modelId="{5D99CE3E-D544-4DAD-8397-7E9E3658128D}" type="pres">
      <dgm:prSet presAssocID="{E7372E9E-B772-422D-8B5A-E40957DF0194}" presName="hierChild2" presStyleCnt="0"/>
      <dgm:spPr/>
    </dgm:pt>
    <dgm:pt modelId="{4CE7FCCE-DC2E-46A3-AEDE-658C0D65ED37}" type="pres">
      <dgm:prSet presAssocID="{BD6B7202-4953-4C9E-BF4D-584FAAD265C0}" presName="Name37" presStyleLbl="parChTrans1D2" presStyleIdx="0" presStyleCnt="7"/>
      <dgm:spPr/>
      <dgm:t>
        <a:bodyPr/>
        <a:lstStyle/>
        <a:p>
          <a:endParaRPr lang="ca-ES"/>
        </a:p>
      </dgm:t>
    </dgm:pt>
    <dgm:pt modelId="{3CE7E200-4A3F-412D-8853-F80789C79E92}" type="pres">
      <dgm:prSet presAssocID="{C1F62D2F-FF98-4EAF-BF30-2B71B85873AA}" presName="hierRoot2" presStyleCnt="0">
        <dgm:presLayoutVars>
          <dgm:hierBranch val="init"/>
        </dgm:presLayoutVars>
      </dgm:prSet>
      <dgm:spPr/>
    </dgm:pt>
    <dgm:pt modelId="{ACC9FFA4-10D1-4BC6-B8BC-2A4B61B2943E}" type="pres">
      <dgm:prSet presAssocID="{C1F62D2F-FF98-4EAF-BF30-2B71B85873AA}" presName="rootComposite" presStyleCnt="0"/>
      <dgm:spPr/>
    </dgm:pt>
    <dgm:pt modelId="{425ADC72-DA27-4123-8424-5E8CCDD1F2AB}" type="pres">
      <dgm:prSet presAssocID="{C1F62D2F-FF98-4EAF-BF30-2B71B85873AA}" presName="rootText" presStyleLbl="node2" presStyleIdx="0" presStyleCnt="2" custLinFactNeighborX="1054" custLinFactNeighborY="42044">
        <dgm:presLayoutVars>
          <dgm:chPref val="3"/>
        </dgm:presLayoutVars>
      </dgm:prSet>
      <dgm:spPr/>
      <dgm:t>
        <a:bodyPr/>
        <a:lstStyle/>
        <a:p>
          <a:endParaRPr lang="ca-ES"/>
        </a:p>
      </dgm:t>
    </dgm:pt>
    <dgm:pt modelId="{048A9D23-BF44-4608-814B-64F5AEA5A02D}" type="pres">
      <dgm:prSet presAssocID="{C1F62D2F-FF98-4EAF-BF30-2B71B85873AA}" presName="rootConnector" presStyleLbl="node2" presStyleIdx="0" presStyleCnt="2"/>
      <dgm:spPr/>
      <dgm:t>
        <a:bodyPr/>
        <a:lstStyle/>
        <a:p>
          <a:endParaRPr lang="ca-ES"/>
        </a:p>
      </dgm:t>
    </dgm:pt>
    <dgm:pt modelId="{7841BB7A-2890-49F3-B158-BBA6AF8ABDE9}" type="pres">
      <dgm:prSet presAssocID="{C1F62D2F-FF98-4EAF-BF30-2B71B85873AA}" presName="hierChild4" presStyleCnt="0"/>
      <dgm:spPr/>
    </dgm:pt>
    <dgm:pt modelId="{B9691E73-591C-4799-B967-412A3C7D8602}" type="pres">
      <dgm:prSet presAssocID="{C1F62D2F-FF98-4EAF-BF30-2B71B85873AA}" presName="hierChild5" presStyleCnt="0"/>
      <dgm:spPr/>
    </dgm:pt>
    <dgm:pt modelId="{50139274-D647-4BE0-8A06-83FF50902A3C}" type="pres">
      <dgm:prSet presAssocID="{E7372E9E-B772-422D-8B5A-E40957DF0194}" presName="hierChild3" presStyleCnt="0"/>
      <dgm:spPr/>
    </dgm:pt>
    <dgm:pt modelId="{0C2B9338-244A-4CA4-A2EC-4550556242AC}" type="pres">
      <dgm:prSet presAssocID="{813CE20E-8C92-4202-8ED1-1BB99691939F}" presName="Name111" presStyleLbl="parChTrans1D2" presStyleIdx="1" presStyleCnt="7"/>
      <dgm:spPr/>
      <dgm:t>
        <a:bodyPr/>
        <a:lstStyle/>
        <a:p>
          <a:endParaRPr lang="ca-ES"/>
        </a:p>
      </dgm:t>
    </dgm:pt>
    <dgm:pt modelId="{C0E604AE-DEB1-4EE8-9508-1838BA054294}" type="pres">
      <dgm:prSet presAssocID="{72038D36-D72C-4D3E-B6D3-A15A58D74FBE}" presName="hierRoot3" presStyleCnt="0">
        <dgm:presLayoutVars>
          <dgm:hierBranch val="init"/>
        </dgm:presLayoutVars>
      </dgm:prSet>
      <dgm:spPr/>
    </dgm:pt>
    <dgm:pt modelId="{2E4DACF5-9BA4-4A4D-B1EA-CFBF17F61989}" type="pres">
      <dgm:prSet presAssocID="{72038D36-D72C-4D3E-B6D3-A15A58D74FBE}" presName="rootComposite3" presStyleCnt="0"/>
      <dgm:spPr/>
    </dgm:pt>
    <dgm:pt modelId="{B4B4032B-AC9D-49F1-A7F1-3B45EAFB1EBE}" type="pres">
      <dgm:prSet presAssocID="{72038D36-D72C-4D3E-B6D3-A15A58D74FBE}" presName="rootText3" presStyleLbl="asst1" presStyleIdx="0" presStyleCnt="5" custLinFactX="44773" custLinFactNeighborX="100000" custLinFactNeighborY="-92963">
        <dgm:presLayoutVars>
          <dgm:chPref val="3"/>
        </dgm:presLayoutVars>
      </dgm:prSet>
      <dgm:spPr/>
      <dgm:t>
        <a:bodyPr/>
        <a:lstStyle/>
        <a:p>
          <a:endParaRPr lang="ca-ES"/>
        </a:p>
      </dgm:t>
    </dgm:pt>
    <dgm:pt modelId="{3B2DA506-4D4D-433D-BD22-9B2B40957F02}" type="pres">
      <dgm:prSet presAssocID="{72038D36-D72C-4D3E-B6D3-A15A58D74FBE}" presName="rootConnector3" presStyleLbl="asst1" presStyleIdx="0" presStyleCnt="5"/>
      <dgm:spPr/>
      <dgm:t>
        <a:bodyPr/>
        <a:lstStyle/>
        <a:p>
          <a:endParaRPr lang="ca-ES"/>
        </a:p>
      </dgm:t>
    </dgm:pt>
    <dgm:pt modelId="{25941E5D-168A-43F8-B70C-6E7F10DF3A59}" type="pres">
      <dgm:prSet presAssocID="{72038D36-D72C-4D3E-B6D3-A15A58D74FBE}" presName="hierChild6" presStyleCnt="0"/>
      <dgm:spPr/>
    </dgm:pt>
    <dgm:pt modelId="{19ED85DF-A543-439E-B10A-3FF4E55FC0ED}" type="pres">
      <dgm:prSet presAssocID="{72038D36-D72C-4D3E-B6D3-A15A58D74FBE}" presName="hierChild7" presStyleCnt="0"/>
      <dgm:spPr/>
    </dgm:pt>
    <dgm:pt modelId="{99F0DE3B-6AB4-4D2D-8670-5C5C3C94C3D0}" type="pres">
      <dgm:prSet presAssocID="{C1CCDC35-779A-409E-8737-A70064A71287}" presName="Name111" presStyleLbl="parChTrans1D2" presStyleIdx="2" presStyleCnt="7"/>
      <dgm:spPr/>
      <dgm:t>
        <a:bodyPr/>
        <a:lstStyle/>
        <a:p>
          <a:endParaRPr lang="es-ES"/>
        </a:p>
      </dgm:t>
    </dgm:pt>
    <dgm:pt modelId="{AB1BECCE-5DE9-4F05-B546-6D9F912B2CF5}" type="pres">
      <dgm:prSet presAssocID="{69494FFD-350E-4075-8EC6-9C1D234D6B2D}" presName="hierRoot3" presStyleCnt="0">
        <dgm:presLayoutVars>
          <dgm:hierBranch val="init"/>
        </dgm:presLayoutVars>
      </dgm:prSet>
      <dgm:spPr/>
    </dgm:pt>
    <dgm:pt modelId="{98E98F94-6474-47D8-AD06-6263BF4E7E9D}" type="pres">
      <dgm:prSet presAssocID="{69494FFD-350E-4075-8EC6-9C1D234D6B2D}" presName="rootComposite3" presStyleCnt="0"/>
      <dgm:spPr/>
    </dgm:pt>
    <dgm:pt modelId="{F846EB34-3949-4CC2-8F56-7BCD6E2871B3}" type="pres">
      <dgm:prSet presAssocID="{69494FFD-350E-4075-8EC6-9C1D234D6B2D}" presName="rootText3" presStyleLbl="asst1" presStyleIdx="1" presStyleCnt="5" custLinFactY="90403" custLinFactNeighborX="24519" custLinFactNeighborY="100000">
        <dgm:presLayoutVars>
          <dgm:chPref val="3"/>
        </dgm:presLayoutVars>
      </dgm:prSet>
      <dgm:spPr/>
      <dgm:t>
        <a:bodyPr/>
        <a:lstStyle/>
        <a:p>
          <a:endParaRPr lang="ca-ES"/>
        </a:p>
      </dgm:t>
    </dgm:pt>
    <dgm:pt modelId="{7AC8A0CB-FA3B-45A4-9FF4-5855F322F40B}" type="pres">
      <dgm:prSet presAssocID="{69494FFD-350E-4075-8EC6-9C1D234D6B2D}" presName="rootConnector3" presStyleLbl="asst1" presStyleIdx="1" presStyleCnt="5"/>
      <dgm:spPr/>
      <dgm:t>
        <a:bodyPr/>
        <a:lstStyle/>
        <a:p>
          <a:endParaRPr lang="ca-ES"/>
        </a:p>
      </dgm:t>
    </dgm:pt>
    <dgm:pt modelId="{B2F55EB0-BC08-4EBD-B69E-B1BB3AF24879}" type="pres">
      <dgm:prSet presAssocID="{69494FFD-350E-4075-8EC6-9C1D234D6B2D}" presName="hierChild6" presStyleCnt="0"/>
      <dgm:spPr/>
    </dgm:pt>
    <dgm:pt modelId="{3A9B8B4D-39D8-44D2-9CF5-8C2EBC95219E}" type="pres">
      <dgm:prSet presAssocID="{69494FFD-350E-4075-8EC6-9C1D234D6B2D}" presName="hierChild7" presStyleCnt="0"/>
      <dgm:spPr/>
    </dgm:pt>
    <dgm:pt modelId="{FE23E990-EEAA-4CA7-A957-1712B70F3493}" type="pres">
      <dgm:prSet presAssocID="{CE503A32-36A1-456F-AB5A-A27C06CB6F4E}" presName="Name111" presStyleLbl="parChTrans1D2" presStyleIdx="3" presStyleCnt="7"/>
      <dgm:spPr/>
      <dgm:t>
        <a:bodyPr/>
        <a:lstStyle/>
        <a:p>
          <a:endParaRPr lang="es-ES"/>
        </a:p>
      </dgm:t>
    </dgm:pt>
    <dgm:pt modelId="{BEDA33D2-2A4B-4886-9F4A-5300E5590D03}" type="pres">
      <dgm:prSet presAssocID="{EEC41138-BCF4-4639-84D0-86527166A5E0}" presName="hierRoot3" presStyleCnt="0">
        <dgm:presLayoutVars>
          <dgm:hierBranch val="init"/>
        </dgm:presLayoutVars>
      </dgm:prSet>
      <dgm:spPr/>
    </dgm:pt>
    <dgm:pt modelId="{A2A4AEAF-3CB4-4648-B543-F9D7C797F07A}" type="pres">
      <dgm:prSet presAssocID="{EEC41138-BCF4-4639-84D0-86527166A5E0}" presName="rootComposite3" presStyleCnt="0"/>
      <dgm:spPr/>
    </dgm:pt>
    <dgm:pt modelId="{971B2D34-A0DA-4C1D-AC74-5702EB406B43}" type="pres">
      <dgm:prSet presAssocID="{EEC41138-BCF4-4639-84D0-86527166A5E0}" presName="rootText3" presStyleLbl="asst1" presStyleIdx="2" presStyleCnt="5" custLinFactX="44995" custLinFactNeighborX="100000" custLinFactNeighborY="-93588">
        <dgm:presLayoutVars>
          <dgm:chPref val="3"/>
        </dgm:presLayoutVars>
      </dgm:prSet>
      <dgm:spPr/>
      <dgm:t>
        <a:bodyPr/>
        <a:lstStyle/>
        <a:p>
          <a:endParaRPr lang="ca-ES"/>
        </a:p>
      </dgm:t>
    </dgm:pt>
    <dgm:pt modelId="{EB38B490-0D40-492B-BE3A-8945F6FBD147}" type="pres">
      <dgm:prSet presAssocID="{EEC41138-BCF4-4639-84D0-86527166A5E0}" presName="rootConnector3" presStyleLbl="asst1" presStyleIdx="2" presStyleCnt="5"/>
      <dgm:spPr/>
      <dgm:t>
        <a:bodyPr/>
        <a:lstStyle/>
        <a:p>
          <a:endParaRPr lang="ca-ES"/>
        </a:p>
      </dgm:t>
    </dgm:pt>
    <dgm:pt modelId="{C6340DFA-EC38-4CD5-ACD4-F8100885DB52}" type="pres">
      <dgm:prSet presAssocID="{EEC41138-BCF4-4639-84D0-86527166A5E0}" presName="hierChild6" presStyleCnt="0"/>
      <dgm:spPr/>
    </dgm:pt>
    <dgm:pt modelId="{7D32957C-ED89-46E0-AED8-FDD4571DB8D4}" type="pres">
      <dgm:prSet presAssocID="{EEC41138-BCF4-4639-84D0-86527166A5E0}" presName="hierChild7" presStyleCnt="0"/>
      <dgm:spPr/>
    </dgm:pt>
    <dgm:pt modelId="{9E3EBBE3-26E0-4173-8359-78CFC08F8DD0}" type="pres">
      <dgm:prSet presAssocID="{E7A2DB17-4BB4-45A6-835C-4E907026FE58}" presName="hierRoot1" presStyleCnt="0">
        <dgm:presLayoutVars>
          <dgm:hierBranch val="init"/>
        </dgm:presLayoutVars>
      </dgm:prSet>
      <dgm:spPr/>
    </dgm:pt>
    <dgm:pt modelId="{C82690DE-9163-43F0-A3C8-4BEB7E77876F}" type="pres">
      <dgm:prSet presAssocID="{E7A2DB17-4BB4-45A6-835C-4E907026FE58}" presName="rootComposite1" presStyleCnt="0"/>
      <dgm:spPr/>
    </dgm:pt>
    <dgm:pt modelId="{949BF757-40D8-476C-BBB7-76F356843EE8}" type="pres">
      <dgm:prSet presAssocID="{E7A2DB17-4BB4-45A6-835C-4E907026FE58}" presName="rootText1" presStyleLbl="node0" presStyleIdx="1" presStyleCnt="2" custLinFactNeighborX="-47614" custLinFactNeighborY="-72700">
        <dgm:presLayoutVars>
          <dgm:chPref val="3"/>
        </dgm:presLayoutVars>
      </dgm:prSet>
      <dgm:spPr/>
      <dgm:t>
        <a:bodyPr/>
        <a:lstStyle/>
        <a:p>
          <a:endParaRPr lang="ca-ES"/>
        </a:p>
      </dgm:t>
    </dgm:pt>
    <dgm:pt modelId="{B6B58744-19F5-46C8-B7E1-F5F7B4FF0A27}" type="pres">
      <dgm:prSet presAssocID="{E7A2DB17-4BB4-45A6-835C-4E907026FE58}" presName="rootConnector1" presStyleLbl="node1" presStyleIdx="0" presStyleCnt="0"/>
      <dgm:spPr/>
      <dgm:t>
        <a:bodyPr/>
        <a:lstStyle/>
        <a:p>
          <a:endParaRPr lang="ca-ES"/>
        </a:p>
      </dgm:t>
    </dgm:pt>
    <dgm:pt modelId="{7DECD863-909B-450F-BC7B-49FC0A0151CB}" type="pres">
      <dgm:prSet presAssocID="{E7A2DB17-4BB4-45A6-835C-4E907026FE58}" presName="hierChild2" presStyleCnt="0"/>
      <dgm:spPr/>
    </dgm:pt>
    <dgm:pt modelId="{C261541C-3A12-41EE-B2FF-B79B0C09B953}" type="pres">
      <dgm:prSet presAssocID="{8078C0AB-11A9-4271-A8B5-E9CD4A320310}" presName="Name37" presStyleLbl="parChTrans1D2" presStyleIdx="4" presStyleCnt="7"/>
      <dgm:spPr/>
      <dgm:t>
        <a:bodyPr/>
        <a:lstStyle/>
        <a:p>
          <a:endParaRPr lang="ca-ES"/>
        </a:p>
      </dgm:t>
    </dgm:pt>
    <dgm:pt modelId="{9CCF1058-C7AF-41BA-A082-CC765FB5B3F3}" type="pres">
      <dgm:prSet presAssocID="{B80B50E9-B78D-4311-85ED-B2EA81CDDFF8}" presName="hierRoot2" presStyleCnt="0">
        <dgm:presLayoutVars>
          <dgm:hierBranch val="init"/>
        </dgm:presLayoutVars>
      </dgm:prSet>
      <dgm:spPr/>
    </dgm:pt>
    <dgm:pt modelId="{58249731-00F2-47C1-B6C7-B86127C9ED2E}" type="pres">
      <dgm:prSet presAssocID="{B80B50E9-B78D-4311-85ED-B2EA81CDDFF8}" presName="rootComposite" presStyleCnt="0"/>
      <dgm:spPr/>
    </dgm:pt>
    <dgm:pt modelId="{81C4EC42-F8CF-434E-A01C-1B816059CEAD}" type="pres">
      <dgm:prSet presAssocID="{B80B50E9-B78D-4311-85ED-B2EA81CDDFF8}" presName="rootText" presStyleLbl="node2" presStyleIdx="1" presStyleCnt="2" custLinFactY="90123" custLinFactNeighborX="-47607" custLinFactNeighborY="100000">
        <dgm:presLayoutVars>
          <dgm:chPref val="3"/>
        </dgm:presLayoutVars>
      </dgm:prSet>
      <dgm:spPr/>
      <dgm:t>
        <a:bodyPr/>
        <a:lstStyle/>
        <a:p>
          <a:endParaRPr lang="ca-ES"/>
        </a:p>
      </dgm:t>
    </dgm:pt>
    <dgm:pt modelId="{D2D3FFE4-969C-4F09-ABDB-CC5F9E32C195}" type="pres">
      <dgm:prSet presAssocID="{B80B50E9-B78D-4311-85ED-B2EA81CDDFF8}" presName="rootConnector" presStyleLbl="node2" presStyleIdx="1" presStyleCnt="2"/>
      <dgm:spPr/>
      <dgm:t>
        <a:bodyPr/>
        <a:lstStyle/>
        <a:p>
          <a:endParaRPr lang="ca-ES"/>
        </a:p>
      </dgm:t>
    </dgm:pt>
    <dgm:pt modelId="{31D4D3BB-A23A-461A-94B8-BBFDE069EE8A}" type="pres">
      <dgm:prSet presAssocID="{B80B50E9-B78D-4311-85ED-B2EA81CDDFF8}" presName="hierChild4" presStyleCnt="0"/>
      <dgm:spPr/>
    </dgm:pt>
    <dgm:pt modelId="{56F95E56-F721-4E57-B87B-EE1E650B3DA9}" type="pres">
      <dgm:prSet presAssocID="{B80B50E9-B78D-4311-85ED-B2EA81CDDFF8}" presName="hierChild5" presStyleCnt="0"/>
      <dgm:spPr/>
    </dgm:pt>
    <dgm:pt modelId="{461B0E24-468A-4B3F-BAC6-19E8715A3E8E}" type="pres">
      <dgm:prSet presAssocID="{E7A2DB17-4BB4-45A6-835C-4E907026FE58}" presName="hierChild3" presStyleCnt="0"/>
      <dgm:spPr/>
    </dgm:pt>
    <dgm:pt modelId="{3AEBBB3F-1F16-4E44-AC81-8B1EB05D74ED}" type="pres">
      <dgm:prSet presAssocID="{97B05DC6-3E39-4B6A-B310-01206E453C3A}" presName="Name111" presStyleLbl="parChTrans1D2" presStyleIdx="5" presStyleCnt="7"/>
      <dgm:spPr/>
      <dgm:t>
        <a:bodyPr/>
        <a:lstStyle/>
        <a:p>
          <a:endParaRPr lang="ca-ES"/>
        </a:p>
      </dgm:t>
    </dgm:pt>
    <dgm:pt modelId="{0D3A3F02-03C0-4A48-A8E8-4A79C7A1BFED}" type="pres">
      <dgm:prSet presAssocID="{7DB93B08-9CAE-4BE3-9A84-7DC4B5BC59FB}" presName="hierRoot3" presStyleCnt="0">
        <dgm:presLayoutVars>
          <dgm:hierBranch val="init"/>
        </dgm:presLayoutVars>
      </dgm:prSet>
      <dgm:spPr/>
    </dgm:pt>
    <dgm:pt modelId="{5FAF887A-DD54-4ED9-B2BA-3E9A5393C83F}" type="pres">
      <dgm:prSet presAssocID="{7DB93B08-9CAE-4BE3-9A84-7DC4B5BC59FB}" presName="rootComposite3" presStyleCnt="0"/>
      <dgm:spPr/>
    </dgm:pt>
    <dgm:pt modelId="{2B435032-FA03-4061-A62E-3564ED7518AD}" type="pres">
      <dgm:prSet presAssocID="{7DB93B08-9CAE-4BE3-9A84-7DC4B5BC59FB}" presName="rootText3" presStyleLbl="asst1" presStyleIdx="3" presStyleCnt="5" custLinFactX="3550" custLinFactNeighborX="100000" custLinFactNeighborY="40833">
        <dgm:presLayoutVars>
          <dgm:chPref val="3"/>
        </dgm:presLayoutVars>
      </dgm:prSet>
      <dgm:spPr/>
      <dgm:t>
        <a:bodyPr/>
        <a:lstStyle/>
        <a:p>
          <a:endParaRPr lang="ca-ES"/>
        </a:p>
      </dgm:t>
    </dgm:pt>
    <dgm:pt modelId="{9ABD5F22-42D7-4503-9923-552AB92538D3}" type="pres">
      <dgm:prSet presAssocID="{7DB93B08-9CAE-4BE3-9A84-7DC4B5BC59FB}" presName="rootConnector3" presStyleLbl="asst1" presStyleIdx="3" presStyleCnt="5"/>
      <dgm:spPr/>
      <dgm:t>
        <a:bodyPr/>
        <a:lstStyle/>
        <a:p>
          <a:endParaRPr lang="ca-ES"/>
        </a:p>
      </dgm:t>
    </dgm:pt>
    <dgm:pt modelId="{DB0184A3-CF9F-4DD0-9028-EC226DA3A086}" type="pres">
      <dgm:prSet presAssocID="{7DB93B08-9CAE-4BE3-9A84-7DC4B5BC59FB}" presName="hierChild6" presStyleCnt="0"/>
      <dgm:spPr/>
    </dgm:pt>
    <dgm:pt modelId="{B11AF1A2-A742-457E-BFB1-D37AB85CF6C9}" type="pres">
      <dgm:prSet presAssocID="{7DB93B08-9CAE-4BE3-9A84-7DC4B5BC59FB}" presName="hierChild7" presStyleCnt="0"/>
      <dgm:spPr/>
    </dgm:pt>
    <dgm:pt modelId="{3FB4F044-30B1-46D3-A801-0DD5D0E5466E}" type="pres">
      <dgm:prSet presAssocID="{D26E58F4-DC23-4532-8087-E287551C8246}" presName="Name111" presStyleLbl="parChTrans1D2" presStyleIdx="6" presStyleCnt="7"/>
      <dgm:spPr/>
      <dgm:t>
        <a:bodyPr/>
        <a:lstStyle/>
        <a:p>
          <a:endParaRPr lang="es-ES"/>
        </a:p>
      </dgm:t>
    </dgm:pt>
    <dgm:pt modelId="{A2786530-F903-4360-9A6B-5093CB1897CA}" type="pres">
      <dgm:prSet presAssocID="{C0FD7DE3-8F72-4A8D-BA5C-D5432B9195CA}" presName="hierRoot3" presStyleCnt="0">
        <dgm:presLayoutVars>
          <dgm:hierBranch val="init"/>
        </dgm:presLayoutVars>
      </dgm:prSet>
      <dgm:spPr/>
    </dgm:pt>
    <dgm:pt modelId="{A2533E26-F9D1-4006-BFB2-5835AC2EAC3B}" type="pres">
      <dgm:prSet presAssocID="{C0FD7DE3-8F72-4A8D-BA5C-D5432B9195CA}" presName="rootComposite3" presStyleCnt="0"/>
      <dgm:spPr/>
    </dgm:pt>
    <dgm:pt modelId="{8C35F93F-5CEB-43C0-955D-FA8CBC06705C}" type="pres">
      <dgm:prSet presAssocID="{C0FD7DE3-8F72-4A8D-BA5C-D5432B9195CA}" presName="rootText3" presStyleLbl="asst1" presStyleIdx="4" presStyleCnt="5" custLinFactY="80670" custLinFactNeighborX="-16439" custLinFactNeighborY="100000">
        <dgm:presLayoutVars>
          <dgm:chPref val="3"/>
        </dgm:presLayoutVars>
      </dgm:prSet>
      <dgm:spPr/>
      <dgm:t>
        <a:bodyPr/>
        <a:lstStyle/>
        <a:p>
          <a:endParaRPr lang="ca-ES"/>
        </a:p>
      </dgm:t>
    </dgm:pt>
    <dgm:pt modelId="{8207FD67-59F9-4F78-8DD8-58DDC323D74E}" type="pres">
      <dgm:prSet presAssocID="{C0FD7DE3-8F72-4A8D-BA5C-D5432B9195CA}" presName="rootConnector3" presStyleLbl="asst1" presStyleIdx="4" presStyleCnt="5"/>
      <dgm:spPr/>
      <dgm:t>
        <a:bodyPr/>
        <a:lstStyle/>
        <a:p>
          <a:endParaRPr lang="ca-ES"/>
        </a:p>
      </dgm:t>
    </dgm:pt>
    <dgm:pt modelId="{48D0DEB2-9522-4F9A-A368-5E2433374E5C}" type="pres">
      <dgm:prSet presAssocID="{C0FD7DE3-8F72-4A8D-BA5C-D5432B9195CA}" presName="hierChild6" presStyleCnt="0"/>
      <dgm:spPr/>
    </dgm:pt>
    <dgm:pt modelId="{05EB5A21-6F76-48A7-B412-7E6EB52EADFE}" type="pres">
      <dgm:prSet presAssocID="{C0FD7DE3-8F72-4A8D-BA5C-D5432B9195CA}" presName="hierChild7" presStyleCnt="0"/>
      <dgm:spPr/>
    </dgm:pt>
  </dgm:ptLst>
  <dgm:cxnLst>
    <dgm:cxn modelId="{98AD6F0A-3FCC-478E-B3AA-EAC1F01E8B56}" type="presOf" srcId="{813CE20E-8C92-4202-8ED1-1BB99691939F}" destId="{0C2B9338-244A-4CA4-A2EC-4550556242AC}" srcOrd="0" destOrd="0" presId="urn:microsoft.com/office/officeart/2005/8/layout/orgChart1"/>
    <dgm:cxn modelId="{CA0E1687-4FBF-4DB0-9B43-F4708B4F6FE1}" type="presOf" srcId="{7DB93B08-9CAE-4BE3-9A84-7DC4B5BC59FB}" destId="{2B435032-FA03-4061-A62E-3564ED7518AD}" srcOrd="0" destOrd="0" presId="urn:microsoft.com/office/officeart/2005/8/layout/orgChart1"/>
    <dgm:cxn modelId="{A7C87CB1-DD61-4C1D-98E5-F0B2BFD437D6}" srcId="{BB40F52C-7598-4593-9247-E5BC7A3AD406}" destId="{E7372E9E-B772-422D-8B5A-E40957DF0194}" srcOrd="0" destOrd="0" parTransId="{AB83D74C-AF2A-4FAD-B929-02064996856A}" sibTransId="{B777E89C-47F6-42B1-8ECB-087689ED7DC7}"/>
    <dgm:cxn modelId="{B6BBE97C-1209-4E3F-9C38-C31F56105829}" type="presOf" srcId="{72038D36-D72C-4D3E-B6D3-A15A58D74FBE}" destId="{B4B4032B-AC9D-49F1-A7F1-3B45EAFB1EBE}" srcOrd="0" destOrd="0" presId="urn:microsoft.com/office/officeart/2005/8/layout/orgChart1"/>
    <dgm:cxn modelId="{92E68F93-D32F-4E72-A086-02377558FEF8}" srcId="{E7372E9E-B772-422D-8B5A-E40957DF0194}" destId="{EEC41138-BCF4-4639-84D0-86527166A5E0}" srcOrd="3" destOrd="0" parTransId="{CE503A32-36A1-456F-AB5A-A27C06CB6F4E}" sibTransId="{E9CACD18-C6B4-4BE3-998B-80259A942330}"/>
    <dgm:cxn modelId="{CA61258A-9CA0-4E28-B2DA-BA13C0F54C8D}" type="presOf" srcId="{69494FFD-350E-4075-8EC6-9C1D234D6B2D}" destId="{F846EB34-3949-4CC2-8F56-7BCD6E2871B3}" srcOrd="0" destOrd="0" presId="urn:microsoft.com/office/officeart/2005/8/layout/orgChart1"/>
    <dgm:cxn modelId="{5FA254A0-B5FE-46A6-A4C7-0510DD35F1E1}" type="presOf" srcId="{B80B50E9-B78D-4311-85ED-B2EA81CDDFF8}" destId="{81C4EC42-F8CF-434E-A01C-1B816059CEAD}" srcOrd="0" destOrd="0" presId="urn:microsoft.com/office/officeart/2005/8/layout/orgChart1"/>
    <dgm:cxn modelId="{6156F1F6-FB72-4099-A3BA-ACEBA366F391}" type="presOf" srcId="{97B05DC6-3E39-4B6A-B310-01206E453C3A}" destId="{3AEBBB3F-1F16-4E44-AC81-8B1EB05D74ED}" srcOrd="0" destOrd="0" presId="urn:microsoft.com/office/officeart/2005/8/layout/orgChart1"/>
    <dgm:cxn modelId="{DD47F2ED-4FA1-4F75-9800-29FA2288082D}" type="presOf" srcId="{E7372E9E-B772-422D-8B5A-E40957DF0194}" destId="{757F012D-C9F2-459B-BA72-375E168D2D8E}" srcOrd="0" destOrd="0" presId="urn:microsoft.com/office/officeart/2005/8/layout/orgChart1"/>
    <dgm:cxn modelId="{305E4510-06DD-4D35-B27F-FB39A487E2C0}" srcId="{E7A2DB17-4BB4-45A6-835C-4E907026FE58}" destId="{C0FD7DE3-8F72-4A8D-BA5C-D5432B9195CA}" srcOrd="2" destOrd="0" parTransId="{D26E58F4-DC23-4532-8087-E287551C8246}" sibTransId="{18495E23-B475-4ACD-A0A8-0A57C2E02525}"/>
    <dgm:cxn modelId="{377E3C0D-F349-40A3-9E4C-AAA9E1BD26D7}" type="presOf" srcId="{EEC41138-BCF4-4639-84D0-86527166A5E0}" destId="{EB38B490-0D40-492B-BE3A-8945F6FBD147}" srcOrd="1" destOrd="0" presId="urn:microsoft.com/office/officeart/2005/8/layout/orgChart1"/>
    <dgm:cxn modelId="{AF5849D6-CD87-4C6F-B533-CB39654624E7}" type="presOf" srcId="{E7A2DB17-4BB4-45A6-835C-4E907026FE58}" destId="{B6B58744-19F5-46C8-B7E1-F5F7B4FF0A27}" srcOrd="1" destOrd="0" presId="urn:microsoft.com/office/officeart/2005/8/layout/orgChart1"/>
    <dgm:cxn modelId="{24DC7D88-98F5-42F7-8567-F5CFCA83EFC8}" type="presOf" srcId="{C1CCDC35-779A-409E-8737-A70064A71287}" destId="{99F0DE3B-6AB4-4D2D-8670-5C5C3C94C3D0}" srcOrd="0" destOrd="0" presId="urn:microsoft.com/office/officeart/2005/8/layout/orgChart1"/>
    <dgm:cxn modelId="{BB02356F-00B3-40A2-BA2B-AA3F2DE4E56C}" type="presOf" srcId="{D26E58F4-DC23-4532-8087-E287551C8246}" destId="{3FB4F044-30B1-46D3-A801-0DD5D0E5466E}" srcOrd="0" destOrd="0" presId="urn:microsoft.com/office/officeart/2005/8/layout/orgChart1"/>
    <dgm:cxn modelId="{C989C1A7-E016-418B-B2E4-7B377817C971}" srcId="{E7A2DB17-4BB4-45A6-835C-4E907026FE58}" destId="{B80B50E9-B78D-4311-85ED-B2EA81CDDFF8}" srcOrd="1" destOrd="0" parTransId="{8078C0AB-11A9-4271-A8B5-E9CD4A320310}" sibTransId="{D221D49D-82B3-4FAE-BEE3-9742BFC6DA67}"/>
    <dgm:cxn modelId="{63429DF9-188D-469E-95D7-3BDA8A10E08C}" type="presOf" srcId="{72038D36-D72C-4D3E-B6D3-A15A58D74FBE}" destId="{3B2DA506-4D4D-433D-BD22-9B2B40957F02}" srcOrd="1" destOrd="0" presId="urn:microsoft.com/office/officeart/2005/8/layout/orgChart1"/>
    <dgm:cxn modelId="{1A38BEB7-52FC-4956-9B0A-099B1B7BB1C5}" type="presOf" srcId="{7DB93B08-9CAE-4BE3-9A84-7DC4B5BC59FB}" destId="{9ABD5F22-42D7-4503-9923-552AB92538D3}" srcOrd="1" destOrd="0" presId="urn:microsoft.com/office/officeart/2005/8/layout/orgChart1"/>
    <dgm:cxn modelId="{225F3483-C195-4B6E-8EB0-D186CF3E8A1A}" type="presOf" srcId="{BB40F52C-7598-4593-9247-E5BC7A3AD406}" destId="{9C256EDC-1249-4996-848D-280709938FDB}" srcOrd="0" destOrd="0" presId="urn:microsoft.com/office/officeart/2005/8/layout/orgChart1"/>
    <dgm:cxn modelId="{80020B42-DEA3-45FA-8CB0-87420FCE3B7C}" srcId="{E7372E9E-B772-422D-8B5A-E40957DF0194}" destId="{C1F62D2F-FF98-4EAF-BF30-2B71B85873AA}" srcOrd="0" destOrd="0" parTransId="{BD6B7202-4953-4C9E-BF4D-584FAAD265C0}" sibTransId="{6ABA14E7-A847-4EC7-8AAB-BEB87DCDCF49}"/>
    <dgm:cxn modelId="{748D29CC-253E-42EF-AEE8-C8B5EC731821}" type="presOf" srcId="{E7A2DB17-4BB4-45A6-835C-4E907026FE58}" destId="{949BF757-40D8-476C-BBB7-76F356843EE8}" srcOrd="0" destOrd="0" presId="urn:microsoft.com/office/officeart/2005/8/layout/orgChart1"/>
    <dgm:cxn modelId="{2A690141-8887-4934-8D7C-BA5669552BD1}" type="presOf" srcId="{BD6B7202-4953-4C9E-BF4D-584FAAD265C0}" destId="{4CE7FCCE-DC2E-46A3-AEDE-658C0D65ED37}" srcOrd="0" destOrd="0" presId="urn:microsoft.com/office/officeart/2005/8/layout/orgChart1"/>
    <dgm:cxn modelId="{FA2B9734-C388-4267-AC01-D57D53E06296}" srcId="{E7A2DB17-4BB4-45A6-835C-4E907026FE58}" destId="{7DB93B08-9CAE-4BE3-9A84-7DC4B5BC59FB}" srcOrd="0" destOrd="0" parTransId="{97B05DC6-3E39-4B6A-B310-01206E453C3A}" sibTransId="{F10D6747-A6F1-43D2-9C5A-2A69CEFE2C4D}"/>
    <dgm:cxn modelId="{5FC58D6F-6315-4265-A57F-0B65C565C91F}" type="presOf" srcId="{C0FD7DE3-8F72-4A8D-BA5C-D5432B9195CA}" destId="{8207FD67-59F9-4F78-8DD8-58DDC323D74E}" srcOrd="1" destOrd="0" presId="urn:microsoft.com/office/officeart/2005/8/layout/orgChart1"/>
    <dgm:cxn modelId="{2D651EDD-4288-4F1D-AEA4-AEF0EB00D962}" type="presOf" srcId="{8078C0AB-11A9-4271-A8B5-E9CD4A320310}" destId="{C261541C-3A12-41EE-B2FF-B79B0C09B953}" srcOrd="0" destOrd="0" presId="urn:microsoft.com/office/officeart/2005/8/layout/orgChart1"/>
    <dgm:cxn modelId="{BD3A0F98-FA7A-4161-8C2A-35EFF837CE0A}" type="presOf" srcId="{CE503A32-36A1-456F-AB5A-A27C06CB6F4E}" destId="{FE23E990-EEAA-4CA7-A957-1712B70F3493}" srcOrd="0" destOrd="0" presId="urn:microsoft.com/office/officeart/2005/8/layout/orgChart1"/>
    <dgm:cxn modelId="{4799E547-31A6-4DD9-B5AE-591162096981}" type="presOf" srcId="{C1F62D2F-FF98-4EAF-BF30-2B71B85873AA}" destId="{425ADC72-DA27-4123-8424-5E8CCDD1F2AB}" srcOrd="0" destOrd="0" presId="urn:microsoft.com/office/officeart/2005/8/layout/orgChart1"/>
    <dgm:cxn modelId="{999316AA-516C-4E11-B20C-0DC7B3540EEE}" type="presOf" srcId="{69494FFD-350E-4075-8EC6-9C1D234D6B2D}" destId="{7AC8A0CB-FA3B-45A4-9FF4-5855F322F40B}" srcOrd="1" destOrd="0" presId="urn:microsoft.com/office/officeart/2005/8/layout/orgChart1"/>
    <dgm:cxn modelId="{8ED29531-FCE4-4815-88F5-93DB2499D7E9}" srcId="{E7372E9E-B772-422D-8B5A-E40957DF0194}" destId="{72038D36-D72C-4D3E-B6D3-A15A58D74FBE}" srcOrd="1" destOrd="0" parTransId="{813CE20E-8C92-4202-8ED1-1BB99691939F}" sibTransId="{08A11503-C0AA-4180-BAE0-393EF529A830}"/>
    <dgm:cxn modelId="{2F7C4E29-9627-4EAD-95AF-68920CAC4859}" type="presOf" srcId="{C1F62D2F-FF98-4EAF-BF30-2B71B85873AA}" destId="{048A9D23-BF44-4608-814B-64F5AEA5A02D}" srcOrd="1" destOrd="0" presId="urn:microsoft.com/office/officeart/2005/8/layout/orgChart1"/>
    <dgm:cxn modelId="{B6F02787-06D5-4238-95DC-D0C3ABB36A20}" srcId="{E7372E9E-B772-422D-8B5A-E40957DF0194}" destId="{69494FFD-350E-4075-8EC6-9C1D234D6B2D}" srcOrd="2" destOrd="0" parTransId="{C1CCDC35-779A-409E-8737-A70064A71287}" sibTransId="{9C73940C-6794-4DC2-9BC9-BAF6248E2943}"/>
    <dgm:cxn modelId="{25B64676-2AA0-4DCF-A5AE-0F7DCB8028EA}" type="presOf" srcId="{E7372E9E-B772-422D-8B5A-E40957DF0194}" destId="{F21B8473-AED8-4540-BA1E-445E626B2BB6}" srcOrd="1" destOrd="0" presId="urn:microsoft.com/office/officeart/2005/8/layout/orgChart1"/>
    <dgm:cxn modelId="{9701F193-228A-4B96-9E82-4717529C8A36}" type="presOf" srcId="{EEC41138-BCF4-4639-84D0-86527166A5E0}" destId="{971B2D34-A0DA-4C1D-AC74-5702EB406B43}" srcOrd="0" destOrd="0" presId="urn:microsoft.com/office/officeart/2005/8/layout/orgChart1"/>
    <dgm:cxn modelId="{DAE86B8B-0223-42FA-AAAD-22438CE4D75B}" srcId="{BB40F52C-7598-4593-9247-E5BC7A3AD406}" destId="{E7A2DB17-4BB4-45A6-835C-4E907026FE58}" srcOrd="1" destOrd="0" parTransId="{3246C6C6-8923-4D2E-A3F2-CC019B324FCA}" sibTransId="{5B13E70F-5B32-4D40-B1D0-F9E57CCD4A4B}"/>
    <dgm:cxn modelId="{CA62FEAE-609D-469D-9536-A124BE9C725E}" type="presOf" srcId="{B80B50E9-B78D-4311-85ED-B2EA81CDDFF8}" destId="{D2D3FFE4-969C-4F09-ABDB-CC5F9E32C195}" srcOrd="1" destOrd="0" presId="urn:microsoft.com/office/officeart/2005/8/layout/orgChart1"/>
    <dgm:cxn modelId="{24E2169C-8F7E-4016-BF09-109E09471E22}" type="presOf" srcId="{C0FD7DE3-8F72-4A8D-BA5C-D5432B9195CA}" destId="{8C35F93F-5CEB-43C0-955D-FA8CBC06705C}" srcOrd="0" destOrd="0" presId="urn:microsoft.com/office/officeart/2005/8/layout/orgChart1"/>
    <dgm:cxn modelId="{FC5CA802-1784-4036-A920-88103647139E}" type="presParOf" srcId="{9C256EDC-1249-4996-848D-280709938FDB}" destId="{CA6CD345-3BB5-40F9-A0CA-546552A06C3F}" srcOrd="0" destOrd="0" presId="urn:microsoft.com/office/officeart/2005/8/layout/orgChart1"/>
    <dgm:cxn modelId="{36BEDB30-006B-4BF5-B471-E8D71F6F8389}" type="presParOf" srcId="{CA6CD345-3BB5-40F9-A0CA-546552A06C3F}" destId="{779520FA-0E47-4DD3-9453-5CEA79D9F56F}" srcOrd="0" destOrd="0" presId="urn:microsoft.com/office/officeart/2005/8/layout/orgChart1"/>
    <dgm:cxn modelId="{0F54BAE4-5274-41A3-A75E-229327C81AA8}" type="presParOf" srcId="{779520FA-0E47-4DD3-9453-5CEA79D9F56F}" destId="{757F012D-C9F2-459B-BA72-375E168D2D8E}" srcOrd="0" destOrd="0" presId="urn:microsoft.com/office/officeart/2005/8/layout/orgChart1"/>
    <dgm:cxn modelId="{CE7DD26C-6D56-422A-B8CE-B87657CFF87C}" type="presParOf" srcId="{779520FA-0E47-4DD3-9453-5CEA79D9F56F}" destId="{F21B8473-AED8-4540-BA1E-445E626B2BB6}" srcOrd="1" destOrd="0" presId="urn:microsoft.com/office/officeart/2005/8/layout/orgChart1"/>
    <dgm:cxn modelId="{63778063-EC1A-406D-8792-0A8E53417117}" type="presParOf" srcId="{CA6CD345-3BB5-40F9-A0CA-546552A06C3F}" destId="{5D99CE3E-D544-4DAD-8397-7E9E3658128D}" srcOrd="1" destOrd="0" presId="urn:microsoft.com/office/officeart/2005/8/layout/orgChart1"/>
    <dgm:cxn modelId="{43C1BC01-F747-4E80-B994-2AFE4E885B4C}" type="presParOf" srcId="{5D99CE3E-D544-4DAD-8397-7E9E3658128D}" destId="{4CE7FCCE-DC2E-46A3-AEDE-658C0D65ED37}" srcOrd="0" destOrd="0" presId="urn:microsoft.com/office/officeart/2005/8/layout/orgChart1"/>
    <dgm:cxn modelId="{195A3754-4610-4332-8804-FF56988D3691}" type="presParOf" srcId="{5D99CE3E-D544-4DAD-8397-7E9E3658128D}" destId="{3CE7E200-4A3F-412D-8853-F80789C79E92}" srcOrd="1" destOrd="0" presId="urn:microsoft.com/office/officeart/2005/8/layout/orgChart1"/>
    <dgm:cxn modelId="{943D2377-6969-4820-84A6-62504A157051}" type="presParOf" srcId="{3CE7E200-4A3F-412D-8853-F80789C79E92}" destId="{ACC9FFA4-10D1-4BC6-B8BC-2A4B61B2943E}" srcOrd="0" destOrd="0" presId="urn:microsoft.com/office/officeart/2005/8/layout/orgChart1"/>
    <dgm:cxn modelId="{C4AF7A02-70DF-4BE5-953F-B539F3E12B51}" type="presParOf" srcId="{ACC9FFA4-10D1-4BC6-B8BC-2A4B61B2943E}" destId="{425ADC72-DA27-4123-8424-5E8CCDD1F2AB}" srcOrd="0" destOrd="0" presId="urn:microsoft.com/office/officeart/2005/8/layout/orgChart1"/>
    <dgm:cxn modelId="{776A5F60-1D1A-45D1-A5A5-BA0BD3C3AA6D}" type="presParOf" srcId="{ACC9FFA4-10D1-4BC6-B8BC-2A4B61B2943E}" destId="{048A9D23-BF44-4608-814B-64F5AEA5A02D}" srcOrd="1" destOrd="0" presId="urn:microsoft.com/office/officeart/2005/8/layout/orgChart1"/>
    <dgm:cxn modelId="{EEC3D63E-D6D4-443A-941B-E6EB73352EEA}" type="presParOf" srcId="{3CE7E200-4A3F-412D-8853-F80789C79E92}" destId="{7841BB7A-2890-49F3-B158-BBA6AF8ABDE9}" srcOrd="1" destOrd="0" presId="urn:microsoft.com/office/officeart/2005/8/layout/orgChart1"/>
    <dgm:cxn modelId="{947451A1-A2A0-4813-87A9-6245806F9CD8}" type="presParOf" srcId="{3CE7E200-4A3F-412D-8853-F80789C79E92}" destId="{B9691E73-591C-4799-B967-412A3C7D8602}" srcOrd="2" destOrd="0" presId="urn:microsoft.com/office/officeart/2005/8/layout/orgChart1"/>
    <dgm:cxn modelId="{F9654D13-6D56-4F5E-AB7F-4A20F2B27E54}" type="presParOf" srcId="{CA6CD345-3BB5-40F9-A0CA-546552A06C3F}" destId="{50139274-D647-4BE0-8A06-83FF50902A3C}" srcOrd="2" destOrd="0" presId="urn:microsoft.com/office/officeart/2005/8/layout/orgChart1"/>
    <dgm:cxn modelId="{65DDC220-5062-4362-997B-38F827D932DD}" type="presParOf" srcId="{50139274-D647-4BE0-8A06-83FF50902A3C}" destId="{0C2B9338-244A-4CA4-A2EC-4550556242AC}" srcOrd="0" destOrd="0" presId="urn:microsoft.com/office/officeart/2005/8/layout/orgChart1"/>
    <dgm:cxn modelId="{5AFE8525-F588-4C13-8612-240C46C821A6}" type="presParOf" srcId="{50139274-D647-4BE0-8A06-83FF50902A3C}" destId="{C0E604AE-DEB1-4EE8-9508-1838BA054294}" srcOrd="1" destOrd="0" presId="urn:microsoft.com/office/officeart/2005/8/layout/orgChart1"/>
    <dgm:cxn modelId="{398AE653-1618-4EAB-899B-CB36BE599B81}" type="presParOf" srcId="{C0E604AE-DEB1-4EE8-9508-1838BA054294}" destId="{2E4DACF5-9BA4-4A4D-B1EA-CFBF17F61989}" srcOrd="0" destOrd="0" presId="urn:microsoft.com/office/officeart/2005/8/layout/orgChart1"/>
    <dgm:cxn modelId="{924ED539-AB45-492E-B53E-14CE58CEECDA}" type="presParOf" srcId="{2E4DACF5-9BA4-4A4D-B1EA-CFBF17F61989}" destId="{B4B4032B-AC9D-49F1-A7F1-3B45EAFB1EBE}" srcOrd="0" destOrd="0" presId="urn:microsoft.com/office/officeart/2005/8/layout/orgChart1"/>
    <dgm:cxn modelId="{98257898-4B7F-4437-8AA3-FE92082966C9}" type="presParOf" srcId="{2E4DACF5-9BA4-4A4D-B1EA-CFBF17F61989}" destId="{3B2DA506-4D4D-433D-BD22-9B2B40957F02}" srcOrd="1" destOrd="0" presId="urn:microsoft.com/office/officeart/2005/8/layout/orgChart1"/>
    <dgm:cxn modelId="{C122558C-C92F-4CF8-BCA2-331DD7893B1C}" type="presParOf" srcId="{C0E604AE-DEB1-4EE8-9508-1838BA054294}" destId="{25941E5D-168A-43F8-B70C-6E7F10DF3A59}" srcOrd="1" destOrd="0" presId="urn:microsoft.com/office/officeart/2005/8/layout/orgChart1"/>
    <dgm:cxn modelId="{5445A491-DD92-4A92-AFCA-0111612432A2}" type="presParOf" srcId="{C0E604AE-DEB1-4EE8-9508-1838BA054294}" destId="{19ED85DF-A543-439E-B10A-3FF4E55FC0ED}" srcOrd="2" destOrd="0" presId="urn:microsoft.com/office/officeart/2005/8/layout/orgChart1"/>
    <dgm:cxn modelId="{5A2955F8-E8F7-4206-8EBD-1F8208DD2E69}" type="presParOf" srcId="{50139274-D647-4BE0-8A06-83FF50902A3C}" destId="{99F0DE3B-6AB4-4D2D-8670-5C5C3C94C3D0}" srcOrd="2" destOrd="0" presId="urn:microsoft.com/office/officeart/2005/8/layout/orgChart1"/>
    <dgm:cxn modelId="{81F413AF-F619-4C5E-9C66-4050336585B4}" type="presParOf" srcId="{50139274-D647-4BE0-8A06-83FF50902A3C}" destId="{AB1BECCE-5DE9-4F05-B546-6D9F912B2CF5}" srcOrd="3" destOrd="0" presId="urn:microsoft.com/office/officeart/2005/8/layout/orgChart1"/>
    <dgm:cxn modelId="{24636FCE-78EC-4BBE-935C-F665B8A605E2}" type="presParOf" srcId="{AB1BECCE-5DE9-4F05-B546-6D9F912B2CF5}" destId="{98E98F94-6474-47D8-AD06-6263BF4E7E9D}" srcOrd="0" destOrd="0" presId="urn:microsoft.com/office/officeart/2005/8/layout/orgChart1"/>
    <dgm:cxn modelId="{691E68A5-1943-47DA-ACBB-80A75F7F76A2}" type="presParOf" srcId="{98E98F94-6474-47D8-AD06-6263BF4E7E9D}" destId="{F846EB34-3949-4CC2-8F56-7BCD6E2871B3}" srcOrd="0" destOrd="0" presId="urn:microsoft.com/office/officeart/2005/8/layout/orgChart1"/>
    <dgm:cxn modelId="{1F72EC17-AC8E-4A63-8519-8F2CC877BE02}" type="presParOf" srcId="{98E98F94-6474-47D8-AD06-6263BF4E7E9D}" destId="{7AC8A0CB-FA3B-45A4-9FF4-5855F322F40B}" srcOrd="1" destOrd="0" presId="urn:microsoft.com/office/officeart/2005/8/layout/orgChart1"/>
    <dgm:cxn modelId="{3316C1B2-3287-4B6C-9DBD-0FEF2873C796}" type="presParOf" srcId="{AB1BECCE-5DE9-4F05-B546-6D9F912B2CF5}" destId="{B2F55EB0-BC08-4EBD-B69E-B1BB3AF24879}" srcOrd="1" destOrd="0" presId="urn:microsoft.com/office/officeart/2005/8/layout/orgChart1"/>
    <dgm:cxn modelId="{3823E27A-3262-4FE7-BE89-20497788CA82}" type="presParOf" srcId="{AB1BECCE-5DE9-4F05-B546-6D9F912B2CF5}" destId="{3A9B8B4D-39D8-44D2-9CF5-8C2EBC95219E}" srcOrd="2" destOrd="0" presId="urn:microsoft.com/office/officeart/2005/8/layout/orgChart1"/>
    <dgm:cxn modelId="{5AEF81D3-53D2-409A-9B91-54AE12A92F52}" type="presParOf" srcId="{50139274-D647-4BE0-8A06-83FF50902A3C}" destId="{FE23E990-EEAA-4CA7-A957-1712B70F3493}" srcOrd="4" destOrd="0" presId="urn:microsoft.com/office/officeart/2005/8/layout/orgChart1"/>
    <dgm:cxn modelId="{B521FBA9-3953-4034-9C25-BD8771E4DF60}" type="presParOf" srcId="{50139274-D647-4BE0-8A06-83FF50902A3C}" destId="{BEDA33D2-2A4B-4886-9F4A-5300E5590D03}" srcOrd="5" destOrd="0" presId="urn:microsoft.com/office/officeart/2005/8/layout/orgChart1"/>
    <dgm:cxn modelId="{E8034B92-A685-467B-8280-04B231C1785C}" type="presParOf" srcId="{BEDA33D2-2A4B-4886-9F4A-5300E5590D03}" destId="{A2A4AEAF-3CB4-4648-B543-F9D7C797F07A}" srcOrd="0" destOrd="0" presId="urn:microsoft.com/office/officeart/2005/8/layout/orgChart1"/>
    <dgm:cxn modelId="{875316A9-E55E-450F-AE8B-A16834B7F37B}" type="presParOf" srcId="{A2A4AEAF-3CB4-4648-B543-F9D7C797F07A}" destId="{971B2D34-A0DA-4C1D-AC74-5702EB406B43}" srcOrd="0" destOrd="0" presId="urn:microsoft.com/office/officeart/2005/8/layout/orgChart1"/>
    <dgm:cxn modelId="{96F66194-2A1E-41B1-A8A6-E4C4D2E8BA85}" type="presParOf" srcId="{A2A4AEAF-3CB4-4648-B543-F9D7C797F07A}" destId="{EB38B490-0D40-492B-BE3A-8945F6FBD147}" srcOrd="1" destOrd="0" presId="urn:microsoft.com/office/officeart/2005/8/layout/orgChart1"/>
    <dgm:cxn modelId="{1C48238D-9F9D-43CC-9FE7-E3546FDFAE81}" type="presParOf" srcId="{BEDA33D2-2A4B-4886-9F4A-5300E5590D03}" destId="{C6340DFA-EC38-4CD5-ACD4-F8100885DB52}" srcOrd="1" destOrd="0" presId="urn:microsoft.com/office/officeart/2005/8/layout/orgChart1"/>
    <dgm:cxn modelId="{7B150FB4-F02B-49B5-810A-9A0082DB3071}" type="presParOf" srcId="{BEDA33D2-2A4B-4886-9F4A-5300E5590D03}" destId="{7D32957C-ED89-46E0-AED8-FDD4571DB8D4}" srcOrd="2" destOrd="0" presId="urn:microsoft.com/office/officeart/2005/8/layout/orgChart1"/>
    <dgm:cxn modelId="{D2C5D09D-8883-40F5-B0D2-F9D505D076B7}" type="presParOf" srcId="{9C256EDC-1249-4996-848D-280709938FDB}" destId="{9E3EBBE3-26E0-4173-8359-78CFC08F8DD0}" srcOrd="1" destOrd="0" presId="urn:microsoft.com/office/officeart/2005/8/layout/orgChart1"/>
    <dgm:cxn modelId="{150DC883-E325-4B2D-869F-07DD7679AABD}" type="presParOf" srcId="{9E3EBBE3-26E0-4173-8359-78CFC08F8DD0}" destId="{C82690DE-9163-43F0-A3C8-4BEB7E77876F}" srcOrd="0" destOrd="0" presId="urn:microsoft.com/office/officeart/2005/8/layout/orgChart1"/>
    <dgm:cxn modelId="{4AE9DDE2-B502-4A06-93F1-6490937BA00C}" type="presParOf" srcId="{C82690DE-9163-43F0-A3C8-4BEB7E77876F}" destId="{949BF757-40D8-476C-BBB7-76F356843EE8}" srcOrd="0" destOrd="0" presId="urn:microsoft.com/office/officeart/2005/8/layout/orgChart1"/>
    <dgm:cxn modelId="{D471178B-E000-44EC-BDF6-315B9B226C17}" type="presParOf" srcId="{C82690DE-9163-43F0-A3C8-4BEB7E77876F}" destId="{B6B58744-19F5-46C8-B7E1-F5F7B4FF0A27}" srcOrd="1" destOrd="0" presId="urn:microsoft.com/office/officeart/2005/8/layout/orgChart1"/>
    <dgm:cxn modelId="{6301E813-231F-4905-9336-9783986EC25B}" type="presParOf" srcId="{9E3EBBE3-26E0-4173-8359-78CFC08F8DD0}" destId="{7DECD863-909B-450F-BC7B-49FC0A0151CB}" srcOrd="1" destOrd="0" presId="urn:microsoft.com/office/officeart/2005/8/layout/orgChart1"/>
    <dgm:cxn modelId="{D60A35E7-523A-4A6B-9B60-229DDA50C625}" type="presParOf" srcId="{7DECD863-909B-450F-BC7B-49FC0A0151CB}" destId="{C261541C-3A12-41EE-B2FF-B79B0C09B953}" srcOrd="0" destOrd="0" presId="urn:microsoft.com/office/officeart/2005/8/layout/orgChart1"/>
    <dgm:cxn modelId="{92E9924E-3579-4242-9833-721DE7367CE3}" type="presParOf" srcId="{7DECD863-909B-450F-BC7B-49FC0A0151CB}" destId="{9CCF1058-C7AF-41BA-A082-CC765FB5B3F3}" srcOrd="1" destOrd="0" presId="urn:microsoft.com/office/officeart/2005/8/layout/orgChart1"/>
    <dgm:cxn modelId="{EF327E24-F85F-41B2-8CEF-7BA920E7AA40}" type="presParOf" srcId="{9CCF1058-C7AF-41BA-A082-CC765FB5B3F3}" destId="{58249731-00F2-47C1-B6C7-B86127C9ED2E}" srcOrd="0" destOrd="0" presId="urn:microsoft.com/office/officeart/2005/8/layout/orgChart1"/>
    <dgm:cxn modelId="{C2EC008A-15A1-4F1D-B098-C32C9757D409}" type="presParOf" srcId="{58249731-00F2-47C1-B6C7-B86127C9ED2E}" destId="{81C4EC42-F8CF-434E-A01C-1B816059CEAD}" srcOrd="0" destOrd="0" presId="urn:microsoft.com/office/officeart/2005/8/layout/orgChart1"/>
    <dgm:cxn modelId="{7AA92D6C-BCC1-4BE9-8CC7-F7129783D5C4}" type="presParOf" srcId="{58249731-00F2-47C1-B6C7-B86127C9ED2E}" destId="{D2D3FFE4-969C-4F09-ABDB-CC5F9E32C195}" srcOrd="1" destOrd="0" presId="urn:microsoft.com/office/officeart/2005/8/layout/orgChart1"/>
    <dgm:cxn modelId="{8EC86AEC-C262-4BC2-BA00-7A13ED12187F}" type="presParOf" srcId="{9CCF1058-C7AF-41BA-A082-CC765FB5B3F3}" destId="{31D4D3BB-A23A-461A-94B8-BBFDE069EE8A}" srcOrd="1" destOrd="0" presId="urn:microsoft.com/office/officeart/2005/8/layout/orgChart1"/>
    <dgm:cxn modelId="{F03344EC-ED2D-41E4-B1DE-51F55BA2A4C2}" type="presParOf" srcId="{9CCF1058-C7AF-41BA-A082-CC765FB5B3F3}" destId="{56F95E56-F721-4E57-B87B-EE1E650B3DA9}" srcOrd="2" destOrd="0" presId="urn:microsoft.com/office/officeart/2005/8/layout/orgChart1"/>
    <dgm:cxn modelId="{C7261A0D-DD42-4462-BD7F-9692E64883FE}" type="presParOf" srcId="{9E3EBBE3-26E0-4173-8359-78CFC08F8DD0}" destId="{461B0E24-468A-4B3F-BAC6-19E8715A3E8E}" srcOrd="2" destOrd="0" presId="urn:microsoft.com/office/officeart/2005/8/layout/orgChart1"/>
    <dgm:cxn modelId="{72277404-6579-4D74-B47C-8ABAE8C8CC37}" type="presParOf" srcId="{461B0E24-468A-4B3F-BAC6-19E8715A3E8E}" destId="{3AEBBB3F-1F16-4E44-AC81-8B1EB05D74ED}" srcOrd="0" destOrd="0" presId="urn:microsoft.com/office/officeart/2005/8/layout/orgChart1"/>
    <dgm:cxn modelId="{91C809AC-89DA-40A1-B159-110F2C317CA2}" type="presParOf" srcId="{461B0E24-468A-4B3F-BAC6-19E8715A3E8E}" destId="{0D3A3F02-03C0-4A48-A8E8-4A79C7A1BFED}" srcOrd="1" destOrd="0" presId="urn:microsoft.com/office/officeart/2005/8/layout/orgChart1"/>
    <dgm:cxn modelId="{416C2F6C-746D-487E-8044-F6E8E379C938}" type="presParOf" srcId="{0D3A3F02-03C0-4A48-A8E8-4A79C7A1BFED}" destId="{5FAF887A-DD54-4ED9-B2BA-3E9A5393C83F}" srcOrd="0" destOrd="0" presId="urn:microsoft.com/office/officeart/2005/8/layout/orgChart1"/>
    <dgm:cxn modelId="{6097B8BE-F7D0-4801-BE5C-A837B423DC9B}" type="presParOf" srcId="{5FAF887A-DD54-4ED9-B2BA-3E9A5393C83F}" destId="{2B435032-FA03-4061-A62E-3564ED7518AD}" srcOrd="0" destOrd="0" presId="urn:microsoft.com/office/officeart/2005/8/layout/orgChart1"/>
    <dgm:cxn modelId="{5EEDA8CC-6A63-4D82-9C8E-8A3F781A35C0}" type="presParOf" srcId="{5FAF887A-DD54-4ED9-B2BA-3E9A5393C83F}" destId="{9ABD5F22-42D7-4503-9923-552AB92538D3}" srcOrd="1" destOrd="0" presId="urn:microsoft.com/office/officeart/2005/8/layout/orgChart1"/>
    <dgm:cxn modelId="{334E1E38-F13D-42C6-B784-CE2C5AA07B82}" type="presParOf" srcId="{0D3A3F02-03C0-4A48-A8E8-4A79C7A1BFED}" destId="{DB0184A3-CF9F-4DD0-9028-EC226DA3A086}" srcOrd="1" destOrd="0" presId="urn:microsoft.com/office/officeart/2005/8/layout/orgChart1"/>
    <dgm:cxn modelId="{CEB02FED-AE91-478E-9FA6-EB38A32EF1F2}" type="presParOf" srcId="{0D3A3F02-03C0-4A48-A8E8-4A79C7A1BFED}" destId="{B11AF1A2-A742-457E-BFB1-D37AB85CF6C9}" srcOrd="2" destOrd="0" presId="urn:microsoft.com/office/officeart/2005/8/layout/orgChart1"/>
    <dgm:cxn modelId="{FF6397D0-510C-4156-8EA0-DABAE231E9CC}" type="presParOf" srcId="{461B0E24-468A-4B3F-BAC6-19E8715A3E8E}" destId="{3FB4F044-30B1-46D3-A801-0DD5D0E5466E}" srcOrd="2" destOrd="0" presId="urn:microsoft.com/office/officeart/2005/8/layout/orgChart1"/>
    <dgm:cxn modelId="{DDE753AF-5741-4241-8477-2402FAEDA0DA}" type="presParOf" srcId="{461B0E24-468A-4B3F-BAC6-19E8715A3E8E}" destId="{A2786530-F903-4360-9A6B-5093CB1897CA}" srcOrd="3" destOrd="0" presId="urn:microsoft.com/office/officeart/2005/8/layout/orgChart1"/>
    <dgm:cxn modelId="{C385FC43-20A2-48F7-B38C-03B8F3EFAA0C}" type="presParOf" srcId="{A2786530-F903-4360-9A6B-5093CB1897CA}" destId="{A2533E26-F9D1-4006-BFB2-5835AC2EAC3B}" srcOrd="0" destOrd="0" presId="urn:microsoft.com/office/officeart/2005/8/layout/orgChart1"/>
    <dgm:cxn modelId="{31A37221-57A2-490F-9112-E8568E15ED46}" type="presParOf" srcId="{A2533E26-F9D1-4006-BFB2-5835AC2EAC3B}" destId="{8C35F93F-5CEB-43C0-955D-FA8CBC06705C}" srcOrd="0" destOrd="0" presId="urn:microsoft.com/office/officeart/2005/8/layout/orgChart1"/>
    <dgm:cxn modelId="{1771675E-3080-429C-B95F-640C87DAE5B2}" type="presParOf" srcId="{A2533E26-F9D1-4006-BFB2-5835AC2EAC3B}" destId="{8207FD67-59F9-4F78-8DD8-58DDC323D74E}" srcOrd="1" destOrd="0" presId="urn:microsoft.com/office/officeart/2005/8/layout/orgChart1"/>
    <dgm:cxn modelId="{4C887686-F878-4D11-A844-7B9ED377D172}" type="presParOf" srcId="{A2786530-F903-4360-9A6B-5093CB1897CA}" destId="{48D0DEB2-9522-4F9A-A368-5E2433374E5C}" srcOrd="1" destOrd="0" presId="urn:microsoft.com/office/officeart/2005/8/layout/orgChart1"/>
    <dgm:cxn modelId="{834FBF07-80D9-4360-9A15-53BF6DF8982B}" type="presParOf" srcId="{A2786530-F903-4360-9A6B-5093CB1897CA}" destId="{05EB5A21-6F76-48A7-B412-7E6EB52EADF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B4F044-30B1-46D3-A801-0DD5D0E5466E}">
      <dsp:nvSpPr>
        <dsp:cNvPr id="0" name=""/>
        <dsp:cNvSpPr/>
      </dsp:nvSpPr>
      <dsp:spPr>
        <a:xfrm>
          <a:off x="3555046" y="749835"/>
          <a:ext cx="485559" cy="2011968"/>
        </a:xfrm>
        <a:custGeom>
          <a:avLst/>
          <a:gdLst/>
          <a:ahLst/>
          <a:cxnLst/>
          <a:rect l="0" t="0" r="0" b="0"/>
          <a:pathLst>
            <a:path>
              <a:moveTo>
                <a:pt x="0" y="0"/>
              </a:moveTo>
              <a:lnTo>
                <a:pt x="0" y="2011968"/>
              </a:lnTo>
              <a:lnTo>
                <a:pt x="485559" y="20119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EBBB3F-1F16-4E44-AC81-8B1EB05D74ED}">
      <dsp:nvSpPr>
        <dsp:cNvPr id="0" name=""/>
        <dsp:cNvSpPr/>
      </dsp:nvSpPr>
      <dsp:spPr>
        <a:xfrm>
          <a:off x="3555046" y="749835"/>
          <a:ext cx="473779" cy="1197341"/>
        </a:xfrm>
        <a:custGeom>
          <a:avLst/>
          <a:gdLst/>
          <a:ahLst/>
          <a:cxnLst/>
          <a:rect l="0" t="0" r="0" b="0"/>
          <a:pathLst>
            <a:path>
              <a:moveTo>
                <a:pt x="0" y="0"/>
              </a:moveTo>
              <a:lnTo>
                <a:pt x="0" y="1197341"/>
              </a:lnTo>
              <a:lnTo>
                <a:pt x="473779" y="11973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61541C-3A12-41EE-B2FF-B79B0C09B953}">
      <dsp:nvSpPr>
        <dsp:cNvPr id="0" name=""/>
        <dsp:cNvSpPr/>
      </dsp:nvSpPr>
      <dsp:spPr>
        <a:xfrm>
          <a:off x="3509326" y="749835"/>
          <a:ext cx="91440" cy="2602986"/>
        </a:xfrm>
        <a:custGeom>
          <a:avLst/>
          <a:gdLst/>
          <a:ahLst/>
          <a:cxnLst/>
          <a:rect l="0" t="0" r="0" b="0"/>
          <a:pathLst>
            <a:path>
              <a:moveTo>
                <a:pt x="45720" y="0"/>
              </a:moveTo>
              <a:lnTo>
                <a:pt x="45720" y="2480650"/>
              </a:lnTo>
              <a:lnTo>
                <a:pt x="45801" y="2480650"/>
              </a:lnTo>
              <a:lnTo>
                <a:pt x="45801" y="26029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23E990-EEAA-4CA7-A957-1712B70F3493}">
      <dsp:nvSpPr>
        <dsp:cNvPr id="0" name=""/>
        <dsp:cNvSpPr/>
      </dsp:nvSpPr>
      <dsp:spPr>
        <a:xfrm>
          <a:off x="1302507" y="744051"/>
          <a:ext cx="389635" cy="1247278"/>
        </a:xfrm>
        <a:custGeom>
          <a:avLst/>
          <a:gdLst/>
          <a:ahLst/>
          <a:cxnLst/>
          <a:rect l="0" t="0" r="0" b="0"/>
          <a:pathLst>
            <a:path>
              <a:moveTo>
                <a:pt x="0" y="0"/>
              </a:moveTo>
              <a:lnTo>
                <a:pt x="0" y="1247278"/>
              </a:lnTo>
              <a:lnTo>
                <a:pt x="389635" y="12472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F0DE3B-6AB4-4D2D-8670-5C5C3C94C3D0}">
      <dsp:nvSpPr>
        <dsp:cNvPr id="0" name=""/>
        <dsp:cNvSpPr/>
      </dsp:nvSpPr>
      <dsp:spPr>
        <a:xfrm>
          <a:off x="1302507" y="744051"/>
          <a:ext cx="395740" cy="2074452"/>
        </a:xfrm>
        <a:custGeom>
          <a:avLst/>
          <a:gdLst/>
          <a:ahLst/>
          <a:cxnLst/>
          <a:rect l="0" t="0" r="0" b="0"/>
          <a:pathLst>
            <a:path>
              <a:moveTo>
                <a:pt x="0" y="0"/>
              </a:moveTo>
              <a:lnTo>
                <a:pt x="0" y="2074452"/>
              </a:lnTo>
              <a:lnTo>
                <a:pt x="395740" y="20744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2B9338-244A-4CA4-A2EC-4550556242AC}">
      <dsp:nvSpPr>
        <dsp:cNvPr id="0" name=""/>
        <dsp:cNvSpPr/>
      </dsp:nvSpPr>
      <dsp:spPr>
        <a:xfrm>
          <a:off x="1302507" y="744051"/>
          <a:ext cx="387049" cy="423691"/>
        </a:xfrm>
        <a:custGeom>
          <a:avLst/>
          <a:gdLst/>
          <a:ahLst/>
          <a:cxnLst/>
          <a:rect l="0" t="0" r="0" b="0"/>
          <a:pathLst>
            <a:path>
              <a:moveTo>
                <a:pt x="0" y="0"/>
              </a:moveTo>
              <a:lnTo>
                <a:pt x="0" y="423691"/>
              </a:lnTo>
              <a:lnTo>
                <a:pt x="387049" y="42369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E7FCCE-DC2E-46A3-AEDE-658C0D65ED37}">
      <dsp:nvSpPr>
        <dsp:cNvPr id="0" name=""/>
        <dsp:cNvSpPr/>
      </dsp:nvSpPr>
      <dsp:spPr>
        <a:xfrm>
          <a:off x="1256787" y="744051"/>
          <a:ext cx="91440" cy="2573358"/>
        </a:xfrm>
        <a:custGeom>
          <a:avLst/>
          <a:gdLst/>
          <a:ahLst/>
          <a:cxnLst/>
          <a:rect l="0" t="0" r="0" b="0"/>
          <a:pathLst>
            <a:path>
              <a:moveTo>
                <a:pt x="45720" y="0"/>
              </a:moveTo>
              <a:lnTo>
                <a:pt x="45720" y="2451021"/>
              </a:lnTo>
              <a:lnTo>
                <a:pt x="45731" y="2451021"/>
              </a:lnTo>
              <a:lnTo>
                <a:pt x="45731" y="25733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7F012D-C9F2-459B-BA72-375E168D2D8E}">
      <dsp:nvSpPr>
        <dsp:cNvPr id="0" name=""/>
        <dsp:cNvSpPr/>
      </dsp:nvSpPr>
      <dsp:spPr>
        <a:xfrm>
          <a:off x="719952" y="161496"/>
          <a:ext cx="1165108" cy="582554"/>
        </a:xfrm>
        <a:prstGeom prst="rect">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a-ES" sz="1200" kern="1200"/>
            <a:t>Non-diabetic matched patients n=112,548</a:t>
          </a:r>
        </a:p>
      </dsp:txBody>
      <dsp:txXfrm>
        <a:off x="719952" y="161496"/>
        <a:ext cx="1165108" cy="582554"/>
      </dsp:txXfrm>
    </dsp:sp>
    <dsp:sp modelId="{425ADC72-DA27-4123-8424-5E8CCDD1F2AB}">
      <dsp:nvSpPr>
        <dsp:cNvPr id="0" name=""/>
        <dsp:cNvSpPr/>
      </dsp:nvSpPr>
      <dsp:spPr>
        <a:xfrm>
          <a:off x="719964" y="3317409"/>
          <a:ext cx="1165108" cy="582554"/>
        </a:xfrm>
        <a:prstGeom prst="rect">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a-ES" sz="1200" kern="1200"/>
            <a:t>INCLUDED</a:t>
          </a:r>
        </a:p>
        <a:p>
          <a:pPr lvl="0" algn="ctr" defTabSz="533400">
            <a:lnSpc>
              <a:spcPct val="90000"/>
            </a:lnSpc>
            <a:spcBef>
              <a:spcPct val="0"/>
            </a:spcBef>
            <a:spcAft>
              <a:spcPct val="35000"/>
            </a:spcAft>
          </a:pPr>
          <a:r>
            <a:rPr lang="ca-ES" sz="1200" kern="1200"/>
            <a:t>n=103,093</a:t>
          </a:r>
        </a:p>
      </dsp:txBody>
      <dsp:txXfrm>
        <a:off x="719964" y="3317409"/>
        <a:ext cx="1165108" cy="582554"/>
      </dsp:txXfrm>
    </dsp:sp>
    <dsp:sp modelId="{B4B4032B-AC9D-49F1-A7F1-3B45EAFB1EBE}">
      <dsp:nvSpPr>
        <dsp:cNvPr id="0" name=""/>
        <dsp:cNvSpPr/>
      </dsp:nvSpPr>
      <dsp:spPr>
        <a:xfrm>
          <a:off x="1689556" y="876465"/>
          <a:ext cx="1165108" cy="582554"/>
        </a:xfrm>
        <a:prstGeom prst="rect">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a-ES" sz="1200" kern="1200"/>
            <a:t>Insulin, OADs use or 2+</a:t>
          </a:r>
          <a:r>
            <a:rPr lang="ca-ES" sz="1200" kern="1200">
              <a:latin typeface="+mn-lt"/>
            </a:rPr>
            <a:t>HbA1c</a:t>
          </a:r>
          <a:r>
            <a:rPr lang="ca-ES" sz="1200" kern="1200">
              <a:latin typeface="+mn-lt"/>
              <a:cs typeface="Times New Roman" panose="02020603050405020304" pitchFamily="18" charset="0"/>
            </a:rPr>
            <a:t>≥6.5% </a:t>
          </a:r>
          <a:r>
            <a:rPr lang="ca-ES" sz="1200" kern="1200"/>
            <a:t>  n=9,436</a:t>
          </a:r>
        </a:p>
      </dsp:txBody>
      <dsp:txXfrm>
        <a:off x="1689556" y="876465"/>
        <a:ext cx="1165108" cy="582554"/>
      </dsp:txXfrm>
    </dsp:sp>
    <dsp:sp modelId="{F846EB34-3949-4CC2-8F56-7BCD6E2871B3}">
      <dsp:nvSpPr>
        <dsp:cNvPr id="0" name=""/>
        <dsp:cNvSpPr/>
      </dsp:nvSpPr>
      <dsp:spPr>
        <a:xfrm>
          <a:off x="1698247" y="2527226"/>
          <a:ext cx="1165108" cy="582554"/>
        </a:xfrm>
        <a:prstGeom prst="rect">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a-ES" sz="1200" kern="1200"/>
            <a:t>Follow-up time=0</a:t>
          </a:r>
        </a:p>
        <a:p>
          <a:pPr lvl="0" algn="ctr" defTabSz="533400">
            <a:lnSpc>
              <a:spcPct val="90000"/>
            </a:lnSpc>
            <a:spcBef>
              <a:spcPct val="0"/>
            </a:spcBef>
            <a:spcAft>
              <a:spcPct val="35000"/>
            </a:spcAft>
          </a:pPr>
          <a:r>
            <a:rPr lang="ca-ES" sz="1200" kern="1200"/>
            <a:t>n=2</a:t>
          </a:r>
        </a:p>
      </dsp:txBody>
      <dsp:txXfrm>
        <a:off x="1698247" y="2527226"/>
        <a:ext cx="1165108" cy="582554"/>
      </dsp:txXfrm>
    </dsp:sp>
    <dsp:sp modelId="{971B2D34-A0DA-4C1D-AC74-5702EB406B43}">
      <dsp:nvSpPr>
        <dsp:cNvPr id="0" name=""/>
        <dsp:cNvSpPr/>
      </dsp:nvSpPr>
      <dsp:spPr>
        <a:xfrm>
          <a:off x="1692142" y="1700051"/>
          <a:ext cx="1165108" cy="582554"/>
        </a:xfrm>
        <a:prstGeom prst="rect">
          <a:avLst/>
        </a:prstGeom>
        <a:solidFill>
          <a:schemeClr val="lt1"/>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pPr>
          <a:r>
            <a:rPr lang="ca-ES" sz="1200" kern="1200">
              <a:latin typeface="+mn-lt"/>
            </a:rPr>
            <a:t>Unmatched </a:t>
          </a:r>
        </a:p>
        <a:p>
          <a:pPr lvl="0" algn="ctr" defTabSz="533400">
            <a:lnSpc>
              <a:spcPct val="90000"/>
            </a:lnSpc>
            <a:spcBef>
              <a:spcPct val="0"/>
            </a:spcBef>
            <a:spcAft>
              <a:spcPts val="0"/>
            </a:spcAft>
          </a:pPr>
          <a:r>
            <a:rPr lang="ca-ES" sz="1200" kern="1200">
              <a:latin typeface="+mn-lt"/>
            </a:rPr>
            <a:t>(after exclusion/s)</a:t>
          </a:r>
        </a:p>
        <a:p>
          <a:pPr lvl="0" algn="ctr" defTabSz="533400">
            <a:lnSpc>
              <a:spcPct val="90000"/>
            </a:lnSpc>
            <a:spcBef>
              <a:spcPct val="0"/>
            </a:spcBef>
            <a:spcAft>
              <a:spcPts val="0"/>
            </a:spcAft>
          </a:pPr>
          <a:r>
            <a:rPr lang="ca-ES" sz="1200" kern="1200">
              <a:latin typeface="+mn-lt"/>
            </a:rPr>
            <a:t>n=17</a:t>
          </a:r>
          <a:endParaRPr lang="ca-ES" sz="1200" kern="1200"/>
        </a:p>
      </dsp:txBody>
      <dsp:txXfrm>
        <a:off x="1692142" y="1700051"/>
        <a:ext cx="1165108" cy="582554"/>
      </dsp:txXfrm>
    </dsp:sp>
    <dsp:sp modelId="{949BF757-40D8-476C-BBB7-76F356843EE8}">
      <dsp:nvSpPr>
        <dsp:cNvPr id="0" name=""/>
        <dsp:cNvSpPr/>
      </dsp:nvSpPr>
      <dsp:spPr>
        <a:xfrm>
          <a:off x="2972492" y="167281"/>
          <a:ext cx="1165108" cy="582554"/>
        </a:xfrm>
        <a:prstGeom prst="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a-ES" sz="1200" kern="1200"/>
            <a:t>T2DM patients n=56,350</a:t>
          </a:r>
        </a:p>
      </dsp:txBody>
      <dsp:txXfrm>
        <a:off x="2972492" y="167281"/>
        <a:ext cx="1165108" cy="582554"/>
      </dsp:txXfrm>
    </dsp:sp>
    <dsp:sp modelId="{81C4EC42-F8CF-434E-A01C-1B816059CEAD}">
      <dsp:nvSpPr>
        <dsp:cNvPr id="0" name=""/>
        <dsp:cNvSpPr/>
      </dsp:nvSpPr>
      <dsp:spPr>
        <a:xfrm>
          <a:off x="2972573" y="3352822"/>
          <a:ext cx="1165108" cy="582554"/>
        </a:xfrm>
        <a:prstGeom prst="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a-ES" sz="1200" kern="1200"/>
            <a:t>INCLUDED</a:t>
          </a:r>
        </a:p>
        <a:p>
          <a:pPr lvl="0" algn="ctr" defTabSz="533400">
            <a:lnSpc>
              <a:spcPct val="90000"/>
            </a:lnSpc>
            <a:spcBef>
              <a:spcPct val="0"/>
            </a:spcBef>
            <a:spcAft>
              <a:spcPct val="35000"/>
            </a:spcAft>
          </a:pPr>
          <a:r>
            <a:rPr lang="ca-ES" sz="1200" kern="1200"/>
            <a:t>n=55,891</a:t>
          </a:r>
        </a:p>
      </dsp:txBody>
      <dsp:txXfrm>
        <a:off x="2972573" y="3352822"/>
        <a:ext cx="1165108" cy="582554"/>
      </dsp:txXfrm>
    </dsp:sp>
    <dsp:sp modelId="{2B435032-FA03-4061-A62E-3564ED7518AD}">
      <dsp:nvSpPr>
        <dsp:cNvPr id="0" name=""/>
        <dsp:cNvSpPr/>
      </dsp:nvSpPr>
      <dsp:spPr>
        <a:xfrm>
          <a:off x="4028826" y="1655900"/>
          <a:ext cx="1165108" cy="582554"/>
        </a:xfrm>
        <a:prstGeom prst="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pPr>
          <a:r>
            <a:rPr lang="ca-ES" sz="1200" kern="1200">
              <a:latin typeface="+mn-lt"/>
            </a:rPr>
            <a:t>Unmatched </a:t>
          </a:r>
        </a:p>
        <a:p>
          <a:pPr lvl="0" algn="ctr" defTabSz="533400">
            <a:lnSpc>
              <a:spcPct val="90000"/>
            </a:lnSpc>
            <a:spcBef>
              <a:spcPct val="0"/>
            </a:spcBef>
            <a:spcAft>
              <a:spcPts val="0"/>
            </a:spcAft>
          </a:pPr>
          <a:r>
            <a:rPr lang="ca-ES" sz="1200" kern="1200">
              <a:latin typeface="+mn-lt"/>
            </a:rPr>
            <a:t>(after exclusion/s) </a:t>
          </a:r>
        </a:p>
        <a:p>
          <a:pPr lvl="0" algn="ctr" defTabSz="533400">
            <a:lnSpc>
              <a:spcPct val="90000"/>
            </a:lnSpc>
            <a:spcBef>
              <a:spcPct val="0"/>
            </a:spcBef>
            <a:spcAft>
              <a:spcPts val="0"/>
            </a:spcAft>
          </a:pPr>
          <a:r>
            <a:rPr lang="ca-ES" sz="1200" kern="1200">
              <a:latin typeface="+mn-lt"/>
            </a:rPr>
            <a:t>n=450</a:t>
          </a:r>
          <a:endParaRPr lang="ca-ES" sz="1200" kern="1200"/>
        </a:p>
      </dsp:txBody>
      <dsp:txXfrm>
        <a:off x="4028826" y="1655900"/>
        <a:ext cx="1165108" cy="582554"/>
      </dsp:txXfrm>
    </dsp:sp>
    <dsp:sp modelId="{8C35F93F-5CEB-43C0-955D-FA8CBC06705C}">
      <dsp:nvSpPr>
        <dsp:cNvPr id="0" name=""/>
        <dsp:cNvSpPr/>
      </dsp:nvSpPr>
      <dsp:spPr>
        <a:xfrm>
          <a:off x="4040605" y="2470526"/>
          <a:ext cx="1165108" cy="582554"/>
        </a:xfrm>
        <a:prstGeom prst="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ca-ES" sz="1200" kern="1200"/>
            <a:t>Follow-up time=0</a:t>
          </a:r>
        </a:p>
        <a:p>
          <a:pPr lvl="0" algn="ctr" defTabSz="533400">
            <a:lnSpc>
              <a:spcPct val="90000"/>
            </a:lnSpc>
            <a:spcBef>
              <a:spcPct val="0"/>
            </a:spcBef>
            <a:spcAft>
              <a:spcPct val="35000"/>
            </a:spcAft>
          </a:pPr>
          <a:r>
            <a:rPr lang="ca-ES" sz="1200" kern="1200"/>
            <a:t>n=9</a:t>
          </a:r>
        </a:p>
      </dsp:txBody>
      <dsp:txXfrm>
        <a:off x="4040605" y="2470526"/>
        <a:ext cx="1165108" cy="5825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C732F-26A7-4BC3-9F7E-242E71CC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22768</Words>
  <Characters>129781</Characters>
  <Application>Microsoft Office Word</Application>
  <DocSecurity>4</DocSecurity>
  <Lines>1081</Lines>
  <Paragraphs>304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IDIBELL</Company>
  <LinksUpToDate>false</LinksUpToDate>
  <CharactersWithSpaces>152245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TbCr</dc:creator>
  <cp:lastModifiedBy>Karen Drake</cp:lastModifiedBy>
  <cp:revision>2</cp:revision>
  <cp:lastPrinted>2018-02-19T13:37:00Z</cp:lastPrinted>
  <dcterms:created xsi:type="dcterms:W3CDTF">2018-04-09T14:42:00Z</dcterms:created>
  <dcterms:modified xsi:type="dcterms:W3CDTF">2018-04-09T14:42:00Z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cristian.tebe@urv.cat@www.mendeley.com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