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C2D2F" w14:textId="77777777" w:rsidR="00091EBD" w:rsidRPr="00D86603" w:rsidRDefault="00091EBD" w:rsidP="00091EBD">
      <w:pPr>
        <w:pStyle w:val="Plattetekst"/>
        <w:spacing w:after="0" w:line="480" w:lineRule="auto"/>
        <w:rPr>
          <w:rFonts w:cs="Times New Roman"/>
          <w:b/>
          <w:bCs/>
        </w:rPr>
      </w:pPr>
      <w:r w:rsidRPr="00D86603">
        <w:rPr>
          <w:rFonts w:cs="Times New Roman"/>
          <w:b/>
          <w:bCs/>
        </w:rPr>
        <w:t>TITLE PAGE</w:t>
      </w:r>
    </w:p>
    <w:p w14:paraId="297E4209" w14:textId="77777777" w:rsidR="00091EBD" w:rsidRPr="00D86603" w:rsidRDefault="00091EBD" w:rsidP="00091EBD">
      <w:pPr>
        <w:pStyle w:val="Plattetekst"/>
        <w:spacing w:after="0" w:line="480" w:lineRule="auto"/>
        <w:rPr>
          <w:rFonts w:cs="Times New Roman"/>
          <w:b/>
          <w:bCs/>
        </w:rPr>
      </w:pPr>
    </w:p>
    <w:p w14:paraId="6BB82490" w14:textId="77777777" w:rsidR="00091EBD" w:rsidRPr="00D86603" w:rsidRDefault="00091EBD" w:rsidP="00091EBD">
      <w:pPr>
        <w:pStyle w:val="Plattetekst"/>
        <w:spacing w:after="0" w:line="480" w:lineRule="auto"/>
        <w:rPr>
          <w:rFonts w:cs="Times New Roman"/>
        </w:rPr>
      </w:pPr>
      <w:r w:rsidRPr="00D86603">
        <w:rPr>
          <w:rFonts w:cs="Times New Roman"/>
        </w:rPr>
        <w:t>Title: Clinical relevance of bacterial resistance in lower respiratory tract infection in primary care</w:t>
      </w:r>
    </w:p>
    <w:p w14:paraId="125FAB97" w14:textId="77777777" w:rsidR="00091EBD" w:rsidRPr="00D86603" w:rsidRDefault="00091EBD" w:rsidP="00091EBD">
      <w:pPr>
        <w:pStyle w:val="Plattetekst"/>
        <w:spacing w:after="0" w:line="480" w:lineRule="auto"/>
        <w:rPr>
          <w:rFonts w:cs="Times New Roman"/>
        </w:rPr>
      </w:pPr>
    </w:p>
    <w:p w14:paraId="7B467C52"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lang w:val="en-GB"/>
        </w:rPr>
        <w:t xml:space="preserve">Authors: </w:t>
      </w:r>
      <w:proofErr w:type="spellStart"/>
      <w:r w:rsidRPr="00D86603">
        <w:rPr>
          <w:rFonts w:eastAsia="CourierNew"/>
          <w:lang w:val="en-GB"/>
        </w:rPr>
        <w:t>Jolien</w:t>
      </w:r>
      <w:proofErr w:type="spellEnd"/>
      <w:r w:rsidRPr="00D86603">
        <w:rPr>
          <w:rFonts w:eastAsia="CourierNew"/>
          <w:lang w:val="en-GB"/>
        </w:rPr>
        <w:t xml:space="preserve"> Teepe, </w:t>
      </w:r>
      <w:r w:rsidR="0000259B" w:rsidRPr="00D86603">
        <w:rPr>
          <w:rFonts w:eastAsia="CourierNew"/>
          <w:i/>
          <w:iCs/>
          <w:lang w:val="en-GB"/>
        </w:rPr>
        <w:t>MD, PhD</w:t>
      </w:r>
      <w:r w:rsidRPr="00D86603">
        <w:rPr>
          <w:rFonts w:eastAsia="CourierNew"/>
          <w:vertAlign w:val="superscript"/>
          <w:lang w:val="en-GB"/>
        </w:rPr>
        <w:t>1</w:t>
      </w:r>
      <w:r w:rsidRPr="00D86603">
        <w:rPr>
          <w:rFonts w:eastAsia="CourierNew"/>
          <w:lang w:val="en-GB"/>
        </w:rPr>
        <w:t xml:space="preserve">, Berna DL </w:t>
      </w:r>
      <w:proofErr w:type="spellStart"/>
      <w:r w:rsidRPr="00D86603">
        <w:rPr>
          <w:rFonts w:eastAsia="CourierNew"/>
          <w:lang w:val="en-GB"/>
        </w:rPr>
        <w:t>Broekhuizen</w:t>
      </w:r>
      <w:proofErr w:type="spellEnd"/>
      <w:r w:rsidRPr="00D86603">
        <w:rPr>
          <w:rFonts w:eastAsia="CourierNew"/>
          <w:lang w:val="en-GB"/>
        </w:rPr>
        <w:t xml:space="preserve">, </w:t>
      </w:r>
      <w:r w:rsidRPr="00D86603">
        <w:rPr>
          <w:rFonts w:eastAsia="CourierNew"/>
          <w:i/>
          <w:iCs/>
          <w:lang w:val="en-GB"/>
        </w:rPr>
        <w:t>MD, PhD</w:t>
      </w:r>
      <w:r w:rsidRPr="00D86603">
        <w:rPr>
          <w:rFonts w:eastAsia="CourierNew"/>
          <w:vertAlign w:val="superscript"/>
          <w:lang w:val="en-GB"/>
        </w:rPr>
        <w:t>1</w:t>
      </w:r>
      <w:r w:rsidRPr="00D86603">
        <w:rPr>
          <w:rFonts w:eastAsia="CourierNew"/>
          <w:lang w:val="en-GB"/>
        </w:rPr>
        <w:t xml:space="preserve">, Herman </w:t>
      </w:r>
      <w:proofErr w:type="spellStart"/>
      <w:r w:rsidRPr="00D86603">
        <w:rPr>
          <w:rFonts w:eastAsia="CourierNew"/>
          <w:lang w:val="en-GB"/>
        </w:rPr>
        <w:t>Goossens</w:t>
      </w:r>
      <w:proofErr w:type="spellEnd"/>
      <w:r w:rsidRPr="00D86603">
        <w:rPr>
          <w:rFonts w:eastAsia="CourierNew"/>
          <w:lang w:val="en-GB"/>
        </w:rPr>
        <w:t xml:space="preserve">, </w:t>
      </w:r>
      <w:r w:rsidRPr="00D86603">
        <w:rPr>
          <w:rFonts w:eastAsia="CourierNew"/>
          <w:i/>
          <w:iCs/>
          <w:lang w:val="en-GB"/>
        </w:rPr>
        <w:t>MD, PhD</w:t>
      </w:r>
      <w:r w:rsidRPr="00D86603">
        <w:rPr>
          <w:rFonts w:eastAsia="CourierNew"/>
          <w:vertAlign w:val="superscript"/>
          <w:lang w:val="en-GB"/>
        </w:rPr>
        <w:t>2</w:t>
      </w:r>
      <w:r w:rsidRPr="00D86603">
        <w:rPr>
          <w:rFonts w:eastAsia="CourierNew"/>
          <w:lang w:val="en-GB"/>
        </w:rPr>
        <w:t xml:space="preserve">, Patricia </w:t>
      </w:r>
      <w:proofErr w:type="spellStart"/>
      <w:r w:rsidR="00EA15F8" w:rsidRPr="00D86603">
        <w:rPr>
          <w:rFonts w:eastAsia="CourierNew"/>
          <w:lang w:val="en-GB"/>
        </w:rPr>
        <w:t>Marinka</w:t>
      </w:r>
      <w:proofErr w:type="spellEnd"/>
      <w:r w:rsidR="00EA15F8" w:rsidRPr="00D86603">
        <w:rPr>
          <w:rFonts w:eastAsia="CourierNew"/>
          <w:lang w:val="en-GB"/>
        </w:rPr>
        <w:t xml:space="preserve"> </w:t>
      </w:r>
      <w:proofErr w:type="spellStart"/>
      <w:r w:rsidRPr="00D86603">
        <w:rPr>
          <w:rFonts w:eastAsia="CourierNew"/>
          <w:lang w:val="en-GB"/>
        </w:rPr>
        <w:t>Hordijk</w:t>
      </w:r>
      <w:proofErr w:type="spellEnd"/>
      <w:r w:rsidRPr="00D86603">
        <w:rPr>
          <w:rFonts w:eastAsia="CourierNew"/>
          <w:lang w:val="en-GB"/>
        </w:rPr>
        <w:t xml:space="preserve">, </w:t>
      </w:r>
      <w:r w:rsidRPr="00D86603">
        <w:rPr>
          <w:rFonts w:eastAsia="CourierNew"/>
          <w:i/>
          <w:iCs/>
          <w:lang w:val="en-GB"/>
        </w:rPr>
        <w:t>MD, MSc</w:t>
      </w:r>
      <w:r w:rsidRPr="00D86603">
        <w:rPr>
          <w:rFonts w:eastAsia="CourierNew"/>
          <w:vertAlign w:val="superscript"/>
          <w:lang w:val="en-GB"/>
        </w:rPr>
        <w:t>1</w:t>
      </w:r>
      <w:r w:rsidRPr="00D86603">
        <w:rPr>
          <w:rFonts w:eastAsia="CourierNew"/>
          <w:lang w:val="en-GB"/>
        </w:rPr>
        <w:t xml:space="preserve">, Katherine </w:t>
      </w:r>
      <w:proofErr w:type="spellStart"/>
      <w:r w:rsidRPr="00D86603">
        <w:rPr>
          <w:rFonts w:eastAsia="CourierNew"/>
          <w:lang w:val="en-GB"/>
        </w:rPr>
        <w:t>Loens</w:t>
      </w:r>
      <w:proofErr w:type="spellEnd"/>
      <w:r w:rsidRPr="00D86603">
        <w:rPr>
          <w:rFonts w:eastAsia="CourierNew"/>
          <w:lang w:val="en-GB"/>
        </w:rPr>
        <w:t xml:space="preserve">, </w:t>
      </w:r>
      <w:r w:rsidRPr="00D86603">
        <w:rPr>
          <w:rFonts w:eastAsia="CourierNew"/>
          <w:i/>
          <w:iCs/>
          <w:lang w:val="en-GB"/>
        </w:rPr>
        <w:t>PhD</w:t>
      </w:r>
      <w:r w:rsidRPr="00D86603">
        <w:rPr>
          <w:rFonts w:eastAsia="CourierNew"/>
          <w:vertAlign w:val="superscript"/>
          <w:lang w:val="en-GB"/>
        </w:rPr>
        <w:t>2</w:t>
      </w:r>
      <w:r w:rsidRPr="00D86603">
        <w:rPr>
          <w:rFonts w:eastAsia="CourierNew"/>
          <w:lang w:val="en-GB"/>
        </w:rPr>
        <w:t xml:space="preserve">, Christine </w:t>
      </w:r>
      <w:proofErr w:type="spellStart"/>
      <w:r w:rsidRPr="00D86603">
        <w:rPr>
          <w:rFonts w:eastAsia="CourierNew"/>
          <w:lang w:val="en-GB"/>
        </w:rPr>
        <w:t>Lammens</w:t>
      </w:r>
      <w:proofErr w:type="spellEnd"/>
      <w:r w:rsidRPr="00D86603">
        <w:rPr>
          <w:rFonts w:eastAsia="CourierNew"/>
          <w:lang w:val="en-GB"/>
        </w:rPr>
        <w:t xml:space="preserve">, </w:t>
      </w:r>
      <w:r w:rsidRPr="00D86603">
        <w:rPr>
          <w:rFonts w:eastAsia="CourierNew"/>
          <w:i/>
          <w:iCs/>
          <w:lang w:val="en-GB"/>
        </w:rPr>
        <w:t>MSc</w:t>
      </w:r>
      <w:r w:rsidRPr="00D86603">
        <w:rPr>
          <w:rFonts w:eastAsia="CourierNew"/>
          <w:vertAlign w:val="superscript"/>
          <w:lang w:val="en-GB"/>
        </w:rPr>
        <w:t>2</w:t>
      </w:r>
      <w:r w:rsidRPr="00D86603">
        <w:rPr>
          <w:rFonts w:eastAsia="CourierNew"/>
          <w:lang w:val="en-GB"/>
        </w:rPr>
        <w:t xml:space="preserve">, Margareta </w:t>
      </w:r>
      <w:proofErr w:type="spellStart"/>
      <w:r w:rsidRPr="00D86603">
        <w:rPr>
          <w:rFonts w:eastAsia="CourierNew"/>
          <w:lang w:val="en-GB"/>
        </w:rPr>
        <w:t>Ieven</w:t>
      </w:r>
      <w:proofErr w:type="spellEnd"/>
      <w:r w:rsidRPr="00D86603">
        <w:rPr>
          <w:rFonts w:eastAsia="CourierNew"/>
          <w:lang w:val="en-GB"/>
        </w:rPr>
        <w:t xml:space="preserve">, </w:t>
      </w:r>
      <w:r w:rsidRPr="00D86603">
        <w:rPr>
          <w:rFonts w:eastAsia="CourierNew"/>
          <w:i/>
          <w:iCs/>
          <w:lang w:val="en-GB"/>
        </w:rPr>
        <w:t>PhD</w:t>
      </w:r>
      <w:r w:rsidRPr="00D86603">
        <w:rPr>
          <w:rFonts w:eastAsia="CourierNew"/>
          <w:vertAlign w:val="superscript"/>
          <w:lang w:val="en-GB"/>
        </w:rPr>
        <w:t>2</w:t>
      </w:r>
      <w:r w:rsidRPr="00D86603">
        <w:rPr>
          <w:rFonts w:eastAsia="CourierNew"/>
          <w:lang w:val="en-GB"/>
        </w:rPr>
        <w:t xml:space="preserve">, Paul Little, </w:t>
      </w:r>
      <w:r w:rsidRPr="00D86603">
        <w:rPr>
          <w:rFonts w:eastAsia="CourierNew"/>
          <w:i/>
          <w:iCs/>
          <w:lang w:val="en-GB"/>
        </w:rPr>
        <w:t>FMedSci</w:t>
      </w:r>
      <w:r w:rsidRPr="00D86603">
        <w:rPr>
          <w:rFonts w:eastAsia="CourierNew"/>
          <w:vertAlign w:val="superscript"/>
          <w:lang w:val="en-GB"/>
        </w:rPr>
        <w:t>3</w:t>
      </w:r>
      <w:r w:rsidRPr="00D86603">
        <w:rPr>
          <w:rFonts w:eastAsia="CourierNew"/>
          <w:lang w:val="en-GB"/>
        </w:rPr>
        <w:t xml:space="preserve">, Chris C. Butler, </w:t>
      </w:r>
      <w:proofErr w:type="spellStart"/>
      <w:r w:rsidRPr="00D86603">
        <w:rPr>
          <w:rFonts w:eastAsia="CourierNew"/>
          <w:i/>
          <w:iCs/>
          <w:lang w:val="en-GB"/>
        </w:rPr>
        <w:t>FMedSci</w:t>
      </w:r>
      <w:proofErr w:type="spellEnd"/>
      <w:r w:rsidRPr="00D86603">
        <w:rPr>
          <w:rFonts w:eastAsia="CourierNew"/>
          <w:i/>
          <w:iCs/>
          <w:lang w:val="en-GB"/>
        </w:rPr>
        <w:t xml:space="preserve"> </w:t>
      </w:r>
      <w:r w:rsidRPr="00D86603">
        <w:rPr>
          <w:rFonts w:eastAsia="CourierNew"/>
          <w:vertAlign w:val="superscript"/>
          <w:lang w:val="en-GB"/>
        </w:rPr>
        <w:t>4</w:t>
      </w:r>
      <w:r w:rsidRPr="00D86603">
        <w:rPr>
          <w:rFonts w:eastAsia="CourierNew"/>
          <w:lang w:val="en-GB"/>
        </w:rPr>
        <w:t xml:space="preserve">, Samuel </w:t>
      </w:r>
      <w:proofErr w:type="spellStart"/>
      <w:r w:rsidRPr="00D86603">
        <w:rPr>
          <w:rFonts w:eastAsia="CourierNew"/>
          <w:lang w:val="en-GB"/>
        </w:rPr>
        <w:t>Coenen</w:t>
      </w:r>
      <w:proofErr w:type="spellEnd"/>
      <w:r w:rsidRPr="00D86603">
        <w:rPr>
          <w:rFonts w:eastAsia="CourierNew"/>
          <w:lang w:val="en-GB"/>
        </w:rPr>
        <w:t xml:space="preserve">, </w:t>
      </w:r>
      <w:r w:rsidRPr="00D86603">
        <w:rPr>
          <w:rFonts w:eastAsia="CourierNew"/>
          <w:i/>
          <w:iCs/>
          <w:lang w:val="en-GB"/>
        </w:rPr>
        <w:t>MD, PhD</w:t>
      </w:r>
      <w:r w:rsidRPr="00D86603">
        <w:rPr>
          <w:rFonts w:eastAsia="CourierNew"/>
          <w:vertAlign w:val="superscript"/>
          <w:lang w:val="en-GB"/>
        </w:rPr>
        <w:t>2,5</w:t>
      </w:r>
      <w:r w:rsidRPr="00D86603">
        <w:rPr>
          <w:rFonts w:eastAsia="CourierNew"/>
          <w:lang w:val="en-GB"/>
        </w:rPr>
        <w:t xml:space="preserve">, Maciek </w:t>
      </w:r>
      <w:proofErr w:type="spellStart"/>
      <w:r w:rsidRPr="00D86603">
        <w:rPr>
          <w:rFonts w:eastAsia="CourierNew"/>
          <w:lang w:val="en-GB"/>
        </w:rPr>
        <w:t>Godycki-Cwirko</w:t>
      </w:r>
      <w:proofErr w:type="spellEnd"/>
      <w:r w:rsidRPr="00D86603">
        <w:rPr>
          <w:rFonts w:eastAsia="CourierNew"/>
          <w:lang w:val="en-GB"/>
        </w:rPr>
        <w:t xml:space="preserve">, </w:t>
      </w:r>
      <w:r w:rsidRPr="00D86603">
        <w:rPr>
          <w:rFonts w:eastAsia="CourierNew"/>
          <w:i/>
          <w:iCs/>
          <w:lang w:val="en-GB"/>
        </w:rPr>
        <w:t>MD, PhD</w:t>
      </w:r>
      <w:r w:rsidRPr="00D86603">
        <w:rPr>
          <w:rFonts w:eastAsia="CourierNew"/>
          <w:vertAlign w:val="superscript"/>
          <w:lang w:val="en-GB"/>
        </w:rPr>
        <w:t>6</w:t>
      </w:r>
      <w:r w:rsidRPr="00D86603">
        <w:rPr>
          <w:rFonts w:eastAsia="CourierNew"/>
          <w:lang w:val="en-GB"/>
        </w:rPr>
        <w:t>, Birgitta Henriques-</w:t>
      </w:r>
      <w:proofErr w:type="spellStart"/>
      <w:r w:rsidRPr="00D86603">
        <w:rPr>
          <w:rFonts w:eastAsia="CourierNew"/>
          <w:lang w:val="en-GB"/>
        </w:rPr>
        <w:t>Normark</w:t>
      </w:r>
      <w:proofErr w:type="spellEnd"/>
      <w:r w:rsidRPr="00D86603">
        <w:rPr>
          <w:rFonts w:eastAsia="CourierNew"/>
          <w:lang w:val="en-GB"/>
        </w:rPr>
        <w:t xml:space="preserve">, </w:t>
      </w:r>
      <w:r w:rsidRPr="00D86603">
        <w:rPr>
          <w:rFonts w:eastAsia="CourierNew"/>
          <w:i/>
          <w:iCs/>
          <w:lang w:val="en-GB"/>
        </w:rPr>
        <w:t>MD, PhD</w:t>
      </w:r>
      <w:r w:rsidRPr="00D86603">
        <w:rPr>
          <w:rFonts w:eastAsia="CourierNew"/>
          <w:vertAlign w:val="superscript"/>
          <w:lang w:val="en-GB"/>
        </w:rPr>
        <w:t>7</w:t>
      </w:r>
      <w:r w:rsidRPr="00D86603">
        <w:rPr>
          <w:rFonts w:eastAsia="CourierNew"/>
          <w:lang w:val="en-GB"/>
        </w:rPr>
        <w:t xml:space="preserve">, Theo JM </w:t>
      </w:r>
      <w:proofErr w:type="spellStart"/>
      <w:r w:rsidRPr="00D86603">
        <w:rPr>
          <w:rFonts w:eastAsia="CourierNew"/>
          <w:lang w:val="en-GB"/>
        </w:rPr>
        <w:t>Verheij</w:t>
      </w:r>
      <w:proofErr w:type="spellEnd"/>
      <w:r w:rsidRPr="00D86603">
        <w:rPr>
          <w:rFonts w:eastAsia="CourierNew"/>
          <w:lang w:val="en-GB"/>
        </w:rPr>
        <w:t xml:space="preserve">, </w:t>
      </w:r>
      <w:r w:rsidRPr="00D86603">
        <w:rPr>
          <w:rFonts w:eastAsia="CourierNew"/>
          <w:i/>
          <w:iCs/>
          <w:lang w:val="en-GB"/>
        </w:rPr>
        <w:t>MD, PhD</w:t>
      </w:r>
      <w:r w:rsidRPr="00D86603">
        <w:rPr>
          <w:rFonts w:eastAsia="CourierNew"/>
          <w:vertAlign w:val="superscript"/>
          <w:lang w:val="en-GB"/>
        </w:rPr>
        <w:t>1</w:t>
      </w:r>
      <w:r w:rsidRPr="00D86603">
        <w:rPr>
          <w:rFonts w:eastAsia="CourierNew"/>
          <w:lang w:val="en-GB"/>
        </w:rPr>
        <w:t>, on behalf of the GRACE consortium</w:t>
      </w:r>
      <w:r w:rsidRPr="00D86603">
        <w:rPr>
          <w:lang w:val="en-GB"/>
        </w:rPr>
        <w:br/>
      </w:r>
    </w:p>
    <w:p w14:paraId="5A1C4608"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lang w:val="en-GB"/>
        </w:rPr>
        <w:t>Affiliations:</w:t>
      </w:r>
    </w:p>
    <w:p w14:paraId="09B77EA5"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t>1</w:t>
      </w:r>
      <w:r w:rsidRPr="00D86603">
        <w:rPr>
          <w:rFonts w:eastAsia="CourierNew"/>
          <w:lang w:val="en-GB"/>
        </w:rPr>
        <w:t xml:space="preserve"> Julius </w:t>
      </w:r>
      <w:proofErr w:type="spellStart"/>
      <w:r w:rsidRPr="00D86603">
        <w:rPr>
          <w:rFonts w:eastAsia="CourierNew"/>
          <w:lang w:val="en-GB"/>
        </w:rPr>
        <w:t>Center</w:t>
      </w:r>
      <w:proofErr w:type="spellEnd"/>
      <w:r w:rsidRPr="00D86603">
        <w:rPr>
          <w:rFonts w:eastAsia="CourierNew"/>
          <w:lang w:val="en-GB"/>
        </w:rPr>
        <w:t xml:space="preserve"> for Health Sciences and Primary Care, University Medical </w:t>
      </w:r>
      <w:proofErr w:type="spellStart"/>
      <w:r w:rsidRPr="00D86603">
        <w:rPr>
          <w:rFonts w:eastAsia="CourierNew"/>
          <w:lang w:val="en-GB"/>
        </w:rPr>
        <w:t>Center</w:t>
      </w:r>
      <w:proofErr w:type="spellEnd"/>
      <w:r w:rsidRPr="00D86603">
        <w:rPr>
          <w:rFonts w:eastAsia="CourierNew"/>
          <w:lang w:val="en-GB"/>
        </w:rPr>
        <w:t xml:space="preserve"> Utrecht, Utrecht, The Netherlands</w:t>
      </w:r>
    </w:p>
    <w:p w14:paraId="5F823C55"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t>2</w:t>
      </w:r>
      <w:r w:rsidRPr="00D86603">
        <w:rPr>
          <w:rFonts w:eastAsia="CourierNew"/>
          <w:lang w:val="en-GB"/>
        </w:rPr>
        <w:t xml:space="preserve"> University of Antwerp, Laboratory of Medical Microbiology, Vaccine &amp; Infectious Diseases Institute (VAXINFECTIO), Antwerp, Belgium</w:t>
      </w:r>
    </w:p>
    <w:p w14:paraId="22517228"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t>3</w:t>
      </w:r>
      <w:r w:rsidRPr="00D86603">
        <w:rPr>
          <w:rFonts w:eastAsia="CourierNew"/>
          <w:lang w:val="en-GB"/>
        </w:rPr>
        <w:t xml:space="preserve"> University of Southampton Medical School, Primary Care Medical Group, Southampton, United Kingdom</w:t>
      </w:r>
    </w:p>
    <w:p w14:paraId="299523E0"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t>4</w:t>
      </w:r>
      <w:r w:rsidRPr="00D86603">
        <w:rPr>
          <w:rFonts w:eastAsia="CourierNew"/>
          <w:lang w:val="en-GB"/>
        </w:rPr>
        <w:t xml:space="preserve"> Nuffield Department of Primary Care Health Sciences Oxford University, Radcliffe Primary Care Building, Radcliffe Observatory Quarter, Woodstock Road. Oxford OX2 6GG, and Cwm </w:t>
      </w:r>
      <w:proofErr w:type="spellStart"/>
      <w:r w:rsidRPr="00D86603">
        <w:rPr>
          <w:rFonts w:eastAsia="CourierNew"/>
          <w:lang w:val="en-GB"/>
        </w:rPr>
        <w:t>Taf</w:t>
      </w:r>
      <w:proofErr w:type="spellEnd"/>
      <w:r w:rsidRPr="00D86603">
        <w:rPr>
          <w:rFonts w:eastAsia="CourierNew"/>
          <w:lang w:val="en-GB"/>
        </w:rPr>
        <w:t xml:space="preserve"> University Health Board</w:t>
      </w:r>
    </w:p>
    <w:p w14:paraId="598E1CD1"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t>5</w:t>
      </w:r>
      <w:r w:rsidRPr="00D86603">
        <w:rPr>
          <w:rFonts w:eastAsia="CourierNew"/>
          <w:lang w:val="en-GB"/>
        </w:rPr>
        <w:t xml:space="preserve"> University of Antwerp, Centre for General Practice, Department of Primary and Interdisciplinary Care (ELIZA) Antwerp, Belgium</w:t>
      </w:r>
    </w:p>
    <w:p w14:paraId="3BF472F7"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t>6</w:t>
      </w:r>
      <w:r w:rsidRPr="00D86603">
        <w:rPr>
          <w:rFonts w:eastAsia="CourierNew"/>
          <w:lang w:val="en-GB"/>
        </w:rPr>
        <w:t xml:space="preserve"> Faculty of Health Sciences, Medical University of Lodz, Lodz, Poland</w:t>
      </w:r>
    </w:p>
    <w:p w14:paraId="2BEB3CEE" w14:textId="77777777" w:rsidR="00091EBD" w:rsidRPr="00D86603" w:rsidRDefault="00091EBD" w:rsidP="00091EBD">
      <w:pPr>
        <w:autoSpaceDE w:val="0"/>
        <w:autoSpaceDN w:val="0"/>
        <w:adjustRightInd w:val="0"/>
        <w:spacing w:line="480" w:lineRule="auto"/>
        <w:rPr>
          <w:rFonts w:eastAsia="CourierNew"/>
          <w:lang w:val="en-GB"/>
        </w:rPr>
      </w:pPr>
      <w:r w:rsidRPr="00D86603">
        <w:rPr>
          <w:rFonts w:eastAsia="CourierNew"/>
          <w:vertAlign w:val="superscript"/>
          <w:lang w:val="en-GB"/>
        </w:rPr>
        <w:lastRenderedPageBreak/>
        <w:t>7</w:t>
      </w:r>
      <w:r w:rsidRPr="00D86603">
        <w:rPr>
          <w:rFonts w:eastAsia="CourierNew"/>
          <w:lang w:val="en-GB"/>
        </w:rPr>
        <w:t xml:space="preserve"> Department of Microbiology, </w:t>
      </w:r>
      <w:proofErr w:type="spellStart"/>
      <w:r w:rsidRPr="00D86603">
        <w:rPr>
          <w:rFonts w:eastAsia="CourierNew"/>
          <w:lang w:val="en-GB"/>
        </w:rPr>
        <w:t>Tumor</w:t>
      </w:r>
      <w:proofErr w:type="spellEnd"/>
      <w:r w:rsidRPr="00D86603">
        <w:rPr>
          <w:rFonts w:eastAsia="CourierNew"/>
          <w:lang w:val="en-GB"/>
        </w:rPr>
        <w:t xml:space="preserve"> and Cell Biology, 17177 Karolinska </w:t>
      </w:r>
      <w:proofErr w:type="spellStart"/>
      <w:r w:rsidRPr="00D86603">
        <w:rPr>
          <w:rFonts w:eastAsia="CourierNew"/>
          <w:lang w:val="en-GB"/>
        </w:rPr>
        <w:t>Institutet</w:t>
      </w:r>
      <w:proofErr w:type="spellEnd"/>
      <w:r w:rsidRPr="00D86603">
        <w:rPr>
          <w:rFonts w:eastAsia="CourierNew"/>
          <w:lang w:val="en-GB"/>
        </w:rPr>
        <w:t>, Stockholm, Sweden, Clinical Microbiology, Karolinska University Hospital 171 76 Stockholm, Sweden and the Swedish Institute for Infectious Disease Control</w:t>
      </w:r>
    </w:p>
    <w:p w14:paraId="7A8D5012" w14:textId="77777777" w:rsidR="00091EBD" w:rsidRPr="00D86603" w:rsidRDefault="00091EBD" w:rsidP="00091EBD">
      <w:pPr>
        <w:tabs>
          <w:tab w:val="left" w:pos="1418"/>
          <w:tab w:val="left" w:pos="2835"/>
          <w:tab w:val="left" w:pos="4253"/>
          <w:tab w:val="left" w:pos="5670"/>
          <w:tab w:val="left" w:pos="7095"/>
          <w:tab w:val="left" w:pos="9072"/>
        </w:tabs>
        <w:spacing w:line="480" w:lineRule="auto"/>
        <w:rPr>
          <w:rFonts w:eastAsia="TimesNewRoman"/>
          <w:lang w:val="en-GB"/>
        </w:rPr>
      </w:pPr>
    </w:p>
    <w:p w14:paraId="1A45CC09" w14:textId="77777777" w:rsidR="00091EBD" w:rsidRPr="00D86603" w:rsidRDefault="00091EBD" w:rsidP="00091EBD">
      <w:pPr>
        <w:tabs>
          <w:tab w:val="left" w:pos="1418"/>
          <w:tab w:val="left" w:pos="2835"/>
          <w:tab w:val="left" w:pos="4253"/>
          <w:tab w:val="left" w:pos="5670"/>
          <w:tab w:val="left" w:pos="7095"/>
          <w:tab w:val="left" w:pos="9072"/>
        </w:tabs>
        <w:spacing w:line="480" w:lineRule="auto"/>
        <w:rPr>
          <w:rFonts w:eastAsia="TimesNewRoman"/>
          <w:lang w:val="en-GB"/>
        </w:rPr>
      </w:pPr>
      <w:r w:rsidRPr="00D86603">
        <w:rPr>
          <w:rFonts w:eastAsia="TimesNewRoman"/>
          <w:lang w:val="en-GB"/>
        </w:rPr>
        <w:t>* Corresponding author:</w:t>
      </w:r>
    </w:p>
    <w:p w14:paraId="02B134BD" w14:textId="77777777" w:rsidR="00091EBD" w:rsidRPr="00D86603" w:rsidRDefault="00091EBD" w:rsidP="00091EBD">
      <w:pPr>
        <w:tabs>
          <w:tab w:val="left" w:pos="1418"/>
          <w:tab w:val="left" w:pos="2835"/>
          <w:tab w:val="left" w:pos="4253"/>
          <w:tab w:val="left" w:pos="5670"/>
          <w:tab w:val="left" w:pos="7095"/>
          <w:tab w:val="left" w:pos="9072"/>
        </w:tabs>
        <w:spacing w:line="480" w:lineRule="auto"/>
        <w:rPr>
          <w:rFonts w:eastAsia="TimesNewRoman"/>
          <w:lang w:val="en-GB"/>
        </w:rPr>
      </w:pPr>
      <w:r w:rsidRPr="00D86603">
        <w:rPr>
          <w:rFonts w:eastAsia="TimesNewRoman"/>
          <w:lang w:val="en-GB"/>
        </w:rPr>
        <w:t xml:space="preserve">J Teepe, University Medical </w:t>
      </w:r>
      <w:proofErr w:type="spellStart"/>
      <w:r w:rsidRPr="00D86603">
        <w:rPr>
          <w:rFonts w:eastAsia="TimesNewRoman"/>
          <w:lang w:val="en-GB"/>
        </w:rPr>
        <w:t>Center</w:t>
      </w:r>
      <w:proofErr w:type="spellEnd"/>
      <w:r w:rsidRPr="00D86603">
        <w:rPr>
          <w:rFonts w:eastAsia="TimesNewRoman"/>
          <w:lang w:val="en-GB"/>
        </w:rPr>
        <w:t xml:space="preserve"> Utrecht, Julius </w:t>
      </w:r>
      <w:proofErr w:type="spellStart"/>
      <w:r w:rsidRPr="00D86603">
        <w:rPr>
          <w:rFonts w:eastAsia="TimesNewRoman"/>
          <w:lang w:val="en-GB"/>
        </w:rPr>
        <w:t>Center</w:t>
      </w:r>
      <w:proofErr w:type="spellEnd"/>
      <w:r w:rsidRPr="00D86603">
        <w:rPr>
          <w:rFonts w:eastAsia="TimesNewRoman"/>
          <w:lang w:val="en-GB"/>
        </w:rPr>
        <w:t xml:space="preserve"> for Health Sciences and Primary Care, </w:t>
      </w:r>
      <w:proofErr w:type="spellStart"/>
      <w:r w:rsidRPr="00D86603">
        <w:rPr>
          <w:rFonts w:eastAsia="TimesNewRoman"/>
          <w:lang w:val="en-GB"/>
        </w:rPr>
        <w:t>Stratenum</w:t>
      </w:r>
      <w:proofErr w:type="spellEnd"/>
      <w:r w:rsidRPr="00D86603">
        <w:rPr>
          <w:rFonts w:eastAsia="TimesNewRoman"/>
          <w:lang w:val="en-GB"/>
        </w:rPr>
        <w:t xml:space="preserve"> 6.131, PO Box 85500, 3508 GA Utrecht, The Netherlands. E-mail: </w:t>
      </w:r>
      <w:r w:rsidR="004E3576" w:rsidRPr="00D86603">
        <w:rPr>
          <w:rFonts w:eastAsia="TimesNewRoman"/>
          <w:lang w:val="en-GB"/>
        </w:rPr>
        <w:t>jolienteepe@gmail.com</w:t>
      </w:r>
      <w:r w:rsidRPr="00D86603">
        <w:rPr>
          <w:rFonts w:eastAsia="TimesNewRoman"/>
          <w:lang w:val="en-GB"/>
        </w:rPr>
        <w:t xml:space="preserve">. Tel: +31 88 756 8362, Fax : +31 88 756 8099 </w:t>
      </w:r>
    </w:p>
    <w:p w14:paraId="6340E45D" w14:textId="77777777" w:rsidR="00091EBD" w:rsidRPr="00D86603" w:rsidRDefault="00091EBD" w:rsidP="00091EBD">
      <w:pPr>
        <w:spacing w:line="480" w:lineRule="auto"/>
        <w:rPr>
          <w:rFonts w:eastAsia="Arial Unicode MS"/>
          <w:lang w:val="en-GB"/>
        </w:rPr>
      </w:pPr>
    </w:p>
    <w:p w14:paraId="4B85BC59" w14:textId="77777777" w:rsidR="00091EBD" w:rsidRPr="00D86603" w:rsidRDefault="00091EBD" w:rsidP="00091EBD">
      <w:pPr>
        <w:spacing w:line="480" w:lineRule="auto"/>
        <w:rPr>
          <w:lang w:val="en-GB"/>
        </w:rPr>
      </w:pPr>
    </w:p>
    <w:p w14:paraId="649776C6" w14:textId="5219BA21" w:rsidR="00091EBD" w:rsidRPr="00D86603" w:rsidRDefault="00091EBD" w:rsidP="00091EBD">
      <w:pPr>
        <w:spacing w:line="480" w:lineRule="auto"/>
        <w:rPr>
          <w:rFonts w:eastAsia="Arial Unicode MS"/>
          <w:color w:val="000000"/>
          <w:lang w:val="en-GB"/>
        </w:rPr>
      </w:pPr>
      <w:r w:rsidRPr="00D86603">
        <w:rPr>
          <w:rFonts w:eastAsia="Arial Unicode MS"/>
          <w:color w:val="000000"/>
          <w:lang w:val="en-GB"/>
        </w:rPr>
        <w:t>Word count: 2</w:t>
      </w:r>
      <w:r w:rsidR="00DB2013" w:rsidRPr="00D86603">
        <w:rPr>
          <w:rFonts w:eastAsia="Arial Unicode MS"/>
          <w:color w:val="000000"/>
          <w:lang w:val="en-GB"/>
        </w:rPr>
        <w:t>3</w:t>
      </w:r>
      <w:r w:rsidR="00625744">
        <w:rPr>
          <w:rFonts w:eastAsia="Arial Unicode MS"/>
          <w:color w:val="000000"/>
          <w:lang w:val="en-GB"/>
        </w:rPr>
        <w:t>46</w:t>
      </w:r>
    </w:p>
    <w:p w14:paraId="21B47EF8" w14:textId="77777777" w:rsidR="00091EBD" w:rsidRPr="00D86603" w:rsidRDefault="00091EBD" w:rsidP="00091EBD">
      <w:pPr>
        <w:spacing w:line="480" w:lineRule="auto"/>
        <w:rPr>
          <w:rFonts w:eastAsia="Arial Unicode MS"/>
          <w:color w:val="000000"/>
          <w:lang w:val="en-GB"/>
        </w:rPr>
      </w:pPr>
      <w:r w:rsidRPr="00D86603">
        <w:rPr>
          <w:rFonts w:eastAsia="Arial Unicode MS"/>
          <w:color w:val="000000"/>
          <w:lang w:val="en-GB"/>
        </w:rPr>
        <w:t>Number of tables: 2</w:t>
      </w:r>
    </w:p>
    <w:p w14:paraId="2477BF4C" w14:textId="40065FB3" w:rsidR="00091EBD" w:rsidRPr="00D86603" w:rsidRDefault="00091EBD" w:rsidP="00091EBD">
      <w:pPr>
        <w:spacing w:line="480" w:lineRule="auto"/>
        <w:rPr>
          <w:rFonts w:eastAsia="Arial Unicode MS"/>
          <w:color w:val="000000"/>
          <w:lang w:val="en-GB"/>
        </w:rPr>
      </w:pPr>
      <w:r w:rsidRPr="00D86603">
        <w:rPr>
          <w:rFonts w:eastAsia="Arial Unicode MS"/>
          <w:color w:val="000000"/>
          <w:lang w:val="en-GB"/>
        </w:rPr>
        <w:t xml:space="preserve">Number of appendices: </w:t>
      </w:r>
      <w:r w:rsidR="00AF631B" w:rsidRPr="00D86603">
        <w:rPr>
          <w:rFonts w:eastAsia="Arial Unicode MS"/>
          <w:color w:val="000000"/>
          <w:lang w:val="en-GB"/>
        </w:rPr>
        <w:t>7</w:t>
      </w:r>
    </w:p>
    <w:p w14:paraId="20F279DD" w14:textId="77777777" w:rsidR="00091EBD" w:rsidRPr="00D86603" w:rsidRDefault="00091EBD" w:rsidP="00091EBD">
      <w:pPr>
        <w:autoSpaceDE w:val="0"/>
        <w:autoSpaceDN w:val="0"/>
        <w:adjustRightInd w:val="0"/>
        <w:spacing w:line="480" w:lineRule="auto"/>
        <w:rPr>
          <w:rFonts w:eastAsia="CourierNew"/>
          <w:lang w:val="en-GB" w:eastAsia="en-US"/>
        </w:rPr>
      </w:pPr>
    </w:p>
    <w:p w14:paraId="1139D00E" w14:textId="77777777" w:rsidR="00940DAF" w:rsidRPr="00D86603" w:rsidRDefault="00940DAF" w:rsidP="00091EBD">
      <w:pPr>
        <w:spacing w:line="480" w:lineRule="auto"/>
        <w:rPr>
          <w:lang w:val="en-GB"/>
        </w:rPr>
      </w:pPr>
    </w:p>
    <w:p w14:paraId="71EF6879" w14:textId="77777777" w:rsidR="00091EBD" w:rsidRPr="00D86603" w:rsidRDefault="00091EBD" w:rsidP="00091EBD">
      <w:pPr>
        <w:spacing w:line="480" w:lineRule="auto"/>
        <w:rPr>
          <w:lang w:val="en-GB"/>
        </w:rPr>
      </w:pPr>
    </w:p>
    <w:p w14:paraId="0887DD6D" w14:textId="77777777" w:rsidR="00091EBD" w:rsidRPr="00D86603" w:rsidRDefault="00091EBD" w:rsidP="00091EBD">
      <w:pPr>
        <w:spacing w:line="480" w:lineRule="auto"/>
        <w:rPr>
          <w:lang w:val="en-GB"/>
        </w:rPr>
      </w:pPr>
    </w:p>
    <w:p w14:paraId="5F464EA0" w14:textId="77777777" w:rsidR="00091EBD" w:rsidRPr="00D86603" w:rsidRDefault="00091EBD" w:rsidP="00091EBD">
      <w:pPr>
        <w:spacing w:line="480" w:lineRule="auto"/>
        <w:rPr>
          <w:lang w:val="en-GB"/>
        </w:rPr>
      </w:pPr>
    </w:p>
    <w:p w14:paraId="27433A86" w14:textId="77777777" w:rsidR="00091EBD" w:rsidRPr="00D86603" w:rsidRDefault="00091EBD" w:rsidP="00091EBD">
      <w:pPr>
        <w:spacing w:line="480" w:lineRule="auto"/>
        <w:rPr>
          <w:lang w:val="en-GB"/>
        </w:rPr>
      </w:pPr>
    </w:p>
    <w:p w14:paraId="5928FDD2" w14:textId="77777777" w:rsidR="00091EBD" w:rsidRPr="00D86603" w:rsidRDefault="00091EBD" w:rsidP="00091EBD">
      <w:pPr>
        <w:spacing w:line="480" w:lineRule="auto"/>
        <w:rPr>
          <w:lang w:val="en-GB"/>
        </w:rPr>
      </w:pPr>
    </w:p>
    <w:p w14:paraId="149E44A6" w14:textId="77777777" w:rsidR="00091EBD" w:rsidRPr="00D86603" w:rsidRDefault="00091EBD" w:rsidP="00091EBD">
      <w:pPr>
        <w:spacing w:line="480" w:lineRule="auto"/>
        <w:rPr>
          <w:lang w:val="en-GB"/>
        </w:rPr>
      </w:pPr>
    </w:p>
    <w:p w14:paraId="16BC423D" w14:textId="77777777" w:rsidR="00091EBD" w:rsidRPr="00D86603" w:rsidRDefault="00091EBD" w:rsidP="00091EBD">
      <w:pPr>
        <w:spacing w:line="480" w:lineRule="auto"/>
        <w:rPr>
          <w:lang w:val="en-GB"/>
        </w:rPr>
      </w:pPr>
    </w:p>
    <w:p w14:paraId="4F45DEE6" w14:textId="77777777" w:rsidR="00091EBD" w:rsidRPr="00D86603" w:rsidRDefault="00091EBD" w:rsidP="00091EBD">
      <w:pPr>
        <w:spacing w:line="480" w:lineRule="auto"/>
        <w:rPr>
          <w:lang w:val="en-GB"/>
        </w:rPr>
      </w:pPr>
    </w:p>
    <w:p w14:paraId="4684F4FF" w14:textId="77777777" w:rsidR="00091EBD" w:rsidRPr="00D86603" w:rsidRDefault="00091EBD" w:rsidP="00091EBD">
      <w:pPr>
        <w:spacing w:line="480" w:lineRule="auto"/>
        <w:rPr>
          <w:lang w:val="en-GB"/>
        </w:rPr>
      </w:pPr>
    </w:p>
    <w:p w14:paraId="75B7B380" w14:textId="77777777" w:rsidR="004E3576" w:rsidRPr="00D86603" w:rsidRDefault="004E3576" w:rsidP="00091EBD">
      <w:pPr>
        <w:spacing w:line="480" w:lineRule="auto"/>
        <w:rPr>
          <w:b/>
          <w:lang w:val="en-GB"/>
        </w:rPr>
      </w:pPr>
    </w:p>
    <w:p w14:paraId="236E1FAD" w14:textId="77777777" w:rsidR="00091EBD" w:rsidRPr="00D86603" w:rsidRDefault="00091EBD" w:rsidP="00091EBD">
      <w:pPr>
        <w:spacing w:line="480" w:lineRule="auto"/>
        <w:rPr>
          <w:b/>
          <w:lang w:val="en-GB"/>
        </w:rPr>
      </w:pPr>
      <w:r w:rsidRPr="00D86603">
        <w:rPr>
          <w:b/>
          <w:lang w:val="en-GB"/>
        </w:rPr>
        <w:lastRenderedPageBreak/>
        <w:t>Abstract</w:t>
      </w:r>
    </w:p>
    <w:p w14:paraId="52C1F229" w14:textId="77777777" w:rsidR="00091EBD" w:rsidRPr="00D86603" w:rsidRDefault="00091EBD" w:rsidP="00091EBD">
      <w:pPr>
        <w:spacing w:line="480" w:lineRule="auto"/>
        <w:rPr>
          <w:b/>
          <w:lang w:val="en-GB"/>
        </w:rPr>
      </w:pPr>
    </w:p>
    <w:p w14:paraId="7573DF37" w14:textId="77777777" w:rsidR="00091EBD" w:rsidRPr="00D86603" w:rsidRDefault="004C438F" w:rsidP="00091EBD">
      <w:pPr>
        <w:spacing w:line="480" w:lineRule="auto"/>
        <w:rPr>
          <w:b/>
          <w:lang w:val="en-GB"/>
        </w:rPr>
      </w:pPr>
      <w:r w:rsidRPr="00D86603">
        <w:rPr>
          <w:b/>
          <w:lang w:val="en-GB"/>
        </w:rPr>
        <w:t>Background</w:t>
      </w:r>
      <w:r w:rsidR="00091EBD" w:rsidRPr="00D86603">
        <w:rPr>
          <w:b/>
          <w:lang w:val="en-GB"/>
        </w:rPr>
        <w:t xml:space="preserve">: </w:t>
      </w:r>
    </w:p>
    <w:p w14:paraId="79473664" w14:textId="77777777" w:rsidR="004C438F" w:rsidRPr="00D86603" w:rsidRDefault="00091EBD" w:rsidP="00091EBD">
      <w:pPr>
        <w:spacing w:line="480" w:lineRule="auto"/>
        <w:rPr>
          <w:lang w:val="en-GB"/>
        </w:rPr>
      </w:pPr>
      <w:r w:rsidRPr="00D86603">
        <w:rPr>
          <w:lang w:val="en-GB"/>
        </w:rPr>
        <w:t xml:space="preserve">The impact of antimicrobial resistance on clinical outcomes in patients with lower respiratory tract infection in primary care is largely unknown. </w:t>
      </w:r>
    </w:p>
    <w:p w14:paraId="3BFE8C72" w14:textId="77777777" w:rsidR="004C438F" w:rsidRPr="00D86603" w:rsidRDefault="004C438F" w:rsidP="00091EBD">
      <w:pPr>
        <w:spacing w:line="480" w:lineRule="auto"/>
        <w:rPr>
          <w:lang w:val="en-GB"/>
        </w:rPr>
      </w:pPr>
    </w:p>
    <w:p w14:paraId="2F5EBD78" w14:textId="77777777" w:rsidR="004C438F" w:rsidRPr="00D86603" w:rsidRDefault="004C438F" w:rsidP="00091EBD">
      <w:pPr>
        <w:spacing w:line="480" w:lineRule="auto"/>
        <w:rPr>
          <w:b/>
          <w:lang w:val="en-GB"/>
        </w:rPr>
      </w:pPr>
      <w:r w:rsidRPr="00D86603">
        <w:rPr>
          <w:b/>
          <w:lang w:val="en-GB"/>
        </w:rPr>
        <w:t>Aim:</w:t>
      </w:r>
    </w:p>
    <w:p w14:paraId="60976614" w14:textId="77777777" w:rsidR="00091EBD" w:rsidRPr="00D86603" w:rsidRDefault="00091EBD" w:rsidP="00091EBD">
      <w:pPr>
        <w:spacing w:line="480" w:lineRule="auto"/>
        <w:rPr>
          <w:lang w:val="en-GB"/>
        </w:rPr>
      </w:pPr>
      <w:r w:rsidRPr="00D86603">
        <w:rPr>
          <w:lang w:val="en-GB"/>
        </w:rPr>
        <w:t xml:space="preserve">We determined the illness course of infections with resistant bacteria in adults presenting with acute cough to primary care. </w:t>
      </w:r>
    </w:p>
    <w:p w14:paraId="2B340407" w14:textId="77777777" w:rsidR="00091EBD" w:rsidRPr="00D86603" w:rsidRDefault="00091EBD" w:rsidP="00091EBD">
      <w:pPr>
        <w:spacing w:line="480" w:lineRule="auto"/>
        <w:rPr>
          <w:b/>
          <w:lang w:val="en-GB"/>
        </w:rPr>
      </w:pPr>
    </w:p>
    <w:p w14:paraId="058B5691" w14:textId="77777777" w:rsidR="004C438F" w:rsidRPr="00D86603" w:rsidRDefault="004C438F" w:rsidP="00091EBD">
      <w:pPr>
        <w:spacing w:line="480" w:lineRule="auto"/>
        <w:rPr>
          <w:b/>
          <w:lang w:val="en-GB"/>
        </w:rPr>
      </w:pPr>
      <w:r w:rsidRPr="00D86603">
        <w:rPr>
          <w:b/>
          <w:lang w:val="en-GB"/>
        </w:rPr>
        <w:t>Design and setting:</w:t>
      </w:r>
    </w:p>
    <w:p w14:paraId="4D8499DE" w14:textId="77777777" w:rsidR="004C438F" w:rsidRPr="00D86603" w:rsidRDefault="004C438F" w:rsidP="00091EBD">
      <w:pPr>
        <w:spacing w:line="480" w:lineRule="auto"/>
        <w:rPr>
          <w:lang w:val="en-GB"/>
        </w:rPr>
      </w:pPr>
      <w:r w:rsidRPr="00D86603">
        <w:rPr>
          <w:lang w:val="en-GB"/>
        </w:rPr>
        <w:t>Secondary analysis of a multicentre European trial in primary care.</w:t>
      </w:r>
    </w:p>
    <w:p w14:paraId="730FC564" w14:textId="77777777" w:rsidR="004C438F" w:rsidRPr="00D86603" w:rsidRDefault="004C438F" w:rsidP="00091EBD">
      <w:pPr>
        <w:spacing w:line="480" w:lineRule="auto"/>
        <w:rPr>
          <w:b/>
          <w:lang w:val="en-GB"/>
        </w:rPr>
      </w:pPr>
    </w:p>
    <w:p w14:paraId="3F14952C" w14:textId="77777777" w:rsidR="00091EBD" w:rsidRPr="00D86603" w:rsidRDefault="004C438F" w:rsidP="00091EBD">
      <w:pPr>
        <w:spacing w:line="480" w:lineRule="auto"/>
        <w:rPr>
          <w:lang w:val="en-GB"/>
        </w:rPr>
      </w:pPr>
      <w:r w:rsidRPr="00D86603">
        <w:rPr>
          <w:b/>
          <w:lang w:val="en-GB"/>
        </w:rPr>
        <w:t>Method</w:t>
      </w:r>
      <w:r w:rsidR="00091EBD" w:rsidRPr="00D86603">
        <w:rPr>
          <w:b/>
          <w:lang w:val="en-GB"/>
        </w:rPr>
        <w:t>:</w:t>
      </w:r>
      <w:r w:rsidR="00091EBD" w:rsidRPr="00D86603">
        <w:rPr>
          <w:lang w:val="en-GB"/>
        </w:rPr>
        <w:t xml:space="preserve"> </w:t>
      </w:r>
    </w:p>
    <w:p w14:paraId="13AB9EF7" w14:textId="77777777" w:rsidR="00091EBD" w:rsidRPr="00D86603" w:rsidRDefault="00091EBD" w:rsidP="00EF6A2D">
      <w:pPr>
        <w:spacing w:line="480" w:lineRule="auto"/>
        <w:rPr>
          <w:lang w:val="en-GB"/>
        </w:rPr>
      </w:pPr>
      <w:r w:rsidRPr="00D86603">
        <w:rPr>
          <w:lang w:val="en-GB"/>
        </w:rPr>
        <w:t xml:space="preserve">2,061 adults with acute cough (≤ 28 days) were recruited from primary care and randomised to amoxicillin or placebo. </w:t>
      </w:r>
      <w:r w:rsidR="004C438F" w:rsidRPr="00D86603">
        <w:rPr>
          <w:lang w:val="en-GB"/>
        </w:rPr>
        <w:t xml:space="preserve">To reflect the natural course of disease, only patients in the placebo group (n = 1,021) were eligible. </w:t>
      </w:r>
      <w:r w:rsidRPr="00D86603">
        <w:rPr>
          <w:lang w:val="en-GB"/>
        </w:rPr>
        <w:t xml:space="preserve">Nasopharyngeal flocked swabs and/or sputa (when available) were analysed at baseline and </w:t>
      </w:r>
      <w:r w:rsidRPr="00D86603">
        <w:rPr>
          <w:i/>
          <w:lang w:val="en-GB"/>
        </w:rPr>
        <w:t>Streptococcus pneumoniae</w:t>
      </w:r>
      <w:r w:rsidRPr="00D86603">
        <w:rPr>
          <w:lang w:val="en-GB"/>
        </w:rPr>
        <w:t xml:space="preserve"> and </w:t>
      </w:r>
      <w:r w:rsidRPr="00D86603">
        <w:rPr>
          <w:i/>
          <w:lang w:val="en-GB"/>
        </w:rPr>
        <w:t>Haemophilus influenzae</w:t>
      </w:r>
      <w:r w:rsidRPr="00D86603">
        <w:rPr>
          <w:lang w:val="en-GB"/>
        </w:rPr>
        <w:t xml:space="preserve"> isolates underwent susceptibility testing. Patients recorded their symptoms in a diary every day for four weeks. Patients with and without resistant bacterial infection were compared with regards to symptom severity, duration of symptoms and a return consultation. </w:t>
      </w:r>
    </w:p>
    <w:p w14:paraId="39FE2560" w14:textId="77777777" w:rsidR="00091EBD" w:rsidRPr="00D86603" w:rsidRDefault="00091EBD" w:rsidP="00091EBD">
      <w:pPr>
        <w:spacing w:line="480" w:lineRule="auto"/>
        <w:rPr>
          <w:lang w:val="en-GB"/>
        </w:rPr>
      </w:pPr>
    </w:p>
    <w:p w14:paraId="65EC9DD4" w14:textId="77777777" w:rsidR="00091EBD" w:rsidRPr="00D86603" w:rsidRDefault="00091EBD" w:rsidP="00091EBD">
      <w:pPr>
        <w:spacing w:line="480" w:lineRule="auto"/>
        <w:rPr>
          <w:lang w:val="en-GB"/>
        </w:rPr>
      </w:pPr>
      <w:r w:rsidRPr="00D86603">
        <w:rPr>
          <w:b/>
          <w:lang w:val="en-GB"/>
        </w:rPr>
        <w:t>Results:</w:t>
      </w:r>
      <w:r w:rsidRPr="00D86603">
        <w:rPr>
          <w:lang w:val="en-GB"/>
        </w:rPr>
        <w:t xml:space="preserve"> </w:t>
      </w:r>
    </w:p>
    <w:p w14:paraId="3F35569A" w14:textId="1579E0AB" w:rsidR="00BA38F1" w:rsidRPr="00D86603" w:rsidRDefault="00091EBD" w:rsidP="00EF6A2D">
      <w:pPr>
        <w:autoSpaceDE w:val="0"/>
        <w:autoSpaceDN w:val="0"/>
        <w:adjustRightInd w:val="0"/>
        <w:spacing w:line="480" w:lineRule="auto"/>
        <w:rPr>
          <w:lang w:val="en-GB"/>
        </w:rPr>
      </w:pPr>
      <w:r w:rsidRPr="00D86603">
        <w:rPr>
          <w:lang w:val="en-GB"/>
        </w:rPr>
        <w:t xml:space="preserve">Of the 834 patients with diary records, 104 showed </w:t>
      </w:r>
      <w:r w:rsidRPr="00D86603">
        <w:rPr>
          <w:i/>
          <w:lang w:val="en-GB"/>
        </w:rPr>
        <w:t>S. pneumoniae</w:t>
      </w:r>
      <w:r w:rsidRPr="00D86603">
        <w:rPr>
          <w:lang w:val="en-GB"/>
        </w:rPr>
        <w:t xml:space="preserve"> and/or </w:t>
      </w:r>
      <w:r w:rsidRPr="00D86603">
        <w:rPr>
          <w:i/>
          <w:lang w:val="en-GB"/>
        </w:rPr>
        <w:t>H. influenzae</w:t>
      </w:r>
      <w:r w:rsidRPr="00D86603">
        <w:rPr>
          <w:lang w:val="en-GB"/>
        </w:rPr>
        <w:t xml:space="preserve"> infection. Of this number, 54</w:t>
      </w:r>
      <w:r w:rsidR="00B529D1" w:rsidRPr="00D86603">
        <w:rPr>
          <w:lang w:val="en-GB"/>
        </w:rPr>
        <w:t>/104</w:t>
      </w:r>
      <w:r w:rsidRPr="00D86603">
        <w:rPr>
          <w:lang w:val="en-GB"/>
        </w:rPr>
        <w:t xml:space="preserve"> (52%) were antibiotic-resistant, while 7</w:t>
      </w:r>
      <w:r w:rsidR="00B529D1" w:rsidRPr="00D86603">
        <w:rPr>
          <w:lang w:val="en-GB"/>
        </w:rPr>
        <w:t>/104</w:t>
      </w:r>
      <w:r w:rsidRPr="00D86603">
        <w:rPr>
          <w:lang w:val="en-GB"/>
        </w:rPr>
        <w:t xml:space="preserve"> (7%) were </w:t>
      </w:r>
      <w:r w:rsidRPr="00D86603">
        <w:rPr>
          <w:lang w:val="en-GB"/>
        </w:rPr>
        <w:lastRenderedPageBreak/>
        <w:t xml:space="preserve">resistant to penicillin. </w:t>
      </w:r>
      <w:bookmarkStart w:id="0" w:name="_Hlk505850613"/>
      <w:r w:rsidR="00BA38F1" w:rsidRPr="00D86603">
        <w:rPr>
          <w:lang w:val="en-GB"/>
        </w:rPr>
        <w:t>Neither duration of symptoms rated “</w:t>
      </w:r>
      <w:r w:rsidR="00BA38F1" w:rsidRPr="00D86603">
        <w:rPr>
          <w:rFonts w:eastAsia="Calibri"/>
          <w:lang w:val="en-GB"/>
        </w:rPr>
        <w:t>moderately bad or worse</w:t>
      </w:r>
      <w:r w:rsidR="00BA38F1" w:rsidRPr="00D86603">
        <w:rPr>
          <w:lang w:val="en-GB"/>
        </w:rPr>
        <w:t>” (hazard ratio 1.27, 95% CI 0.67-2.44) nor mean symptom severity (difference -0.48, 95% CI -1.17-0.21) nor worsening of illness (</w:t>
      </w:r>
      <w:r w:rsidR="00EF6A2D" w:rsidRPr="00D86603">
        <w:rPr>
          <w:lang w:val="en-GB"/>
        </w:rPr>
        <w:t xml:space="preserve">odds ratio 0.31, 95% CI 0.07-1.41) </w:t>
      </w:r>
      <w:r w:rsidR="00BA38F1" w:rsidRPr="00D86603">
        <w:rPr>
          <w:lang w:val="en-GB"/>
        </w:rPr>
        <w:t xml:space="preserve">differed significantly between the antibiotic resistant and antibiotic sensitive groups. </w:t>
      </w:r>
      <w:bookmarkEnd w:id="0"/>
    </w:p>
    <w:p w14:paraId="75225BBC" w14:textId="77777777" w:rsidR="00091EBD" w:rsidRPr="00D86603" w:rsidRDefault="00091EBD" w:rsidP="00091EBD">
      <w:pPr>
        <w:spacing w:line="480" w:lineRule="auto"/>
        <w:rPr>
          <w:lang w:val="en-GB"/>
        </w:rPr>
      </w:pPr>
    </w:p>
    <w:p w14:paraId="42262D30" w14:textId="77777777" w:rsidR="00091EBD" w:rsidRPr="00D86603" w:rsidRDefault="004C438F" w:rsidP="00091EBD">
      <w:pPr>
        <w:spacing w:line="480" w:lineRule="auto"/>
        <w:rPr>
          <w:lang w:val="en-GB"/>
        </w:rPr>
      </w:pPr>
      <w:r w:rsidRPr="00D86603">
        <w:rPr>
          <w:b/>
          <w:lang w:val="en-GB"/>
        </w:rPr>
        <w:t>Conclusion</w:t>
      </w:r>
      <w:r w:rsidR="00091EBD" w:rsidRPr="00D86603">
        <w:rPr>
          <w:b/>
          <w:lang w:val="en-GB"/>
        </w:rPr>
        <w:t>:</w:t>
      </w:r>
      <w:r w:rsidR="00091EBD" w:rsidRPr="00D86603">
        <w:rPr>
          <w:lang w:val="en-GB"/>
        </w:rPr>
        <w:t xml:space="preserve"> </w:t>
      </w:r>
    </w:p>
    <w:p w14:paraId="4DA067DF" w14:textId="77777777" w:rsidR="00091EBD" w:rsidRPr="00D86603" w:rsidRDefault="00091EBD" w:rsidP="00091EBD">
      <w:pPr>
        <w:spacing w:line="480" w:lineRule="auto"/>
        <w:rPr>
          <w:lang w:val="en-GB"/>
        </w:rPr>
      </w:pPr>
      <w:r w:rsidRPr="00D86603">
        <w:rPr>
          <w:lang w:val="en-GB"/>
        </w:rPr>
        <w:t xml:space="preserve">The illness course of antibiotic-resistant lower respiratory tract infection does not differ from that caused by sensitive bacteria. </w:t>
      </w:r>
    </w:p>
    <w:p w14:paraId="1DBDC342" w14:textId="77777777" w:rsidR="004C438F" w:rsidRPr="00D86603" w:rsidRDefault="004C438F" w:rsidP="00091EBD">
      <w:pPr>
        <w:spacing w:line="480" w:lineRule="auto"/>
        <w:rPr>
          <w:lang w:val="en-GB"/>
        </w:rPr>
      </w:pPr>
    </w:p>
    <w:p w14:paraId="13F88E60" w14:textId="77777777" w:rsidR="004C438F" w:rsidRPr="00D86603" w:rsidRDefault="004C438F" w:rsidP="00091EBD">
      <w:pPr>
        <w:spacing w:line="480" w:lineRule="auto"/>
        <w:rPr>
          <w:b/>
          <w:lang w:val="en-GB"/>
        </w:rPr>
      </w:pPr>
      <w:r w:rsidRPr="00D86603">
        <w:rPr>
          <w:b/>
          <w:lang w:val="en-GB"/>
        </w:rPr>
        <w:t>Keywords:</w:t>
      </w:r>
    </w:p>
    <w:p w14:paraId="417AB2B8" w14:textId="77777777" w:rsidR="004C438F" w:rsidRPr="00D86603" w:rsidRDefault="004C438F" w:rsidP="00091EBD">
      <w:pPr>
        <w:spacing w:line="480" w:lineRule="auto"/>
        <w:rPr>
          <w:lang w:val="en-GB"/>
        </w:rPr>
      </w:pPr>
      <w:r w:rsidRPr="00D86603">
        <w:rPr>
          <w:rFonts w:eastAsia="CourierNew"/>
          <w:lang w:val="en-GB" w:eastAsia="en-US"/>
        </w:rPr>
        <w:t>antimicrobial resistance, lower respiratory tract infection, cough, prognosis, primary care</w:t>
      </w:r>
    </w:p>
    <w:p w14:paraId="1B271F61" w14:textId="77777777" w:rsidR="00091EBD" w:rsidRPr="00D86603" w:rsidRDefault="00091EBD" w:rsidP="00091EBD">
      <w:pPr>
        <w:spacing w:line="480" w:lineRule="auto"/>
        <w:rPr>
          <w:lang w:val="en-GB"/>
        </w:rPr>
      </w:pPr>
    </w:p>
    <w:p w14:paraId="46EB7A3F" w14:textId="77777777" w:rsidR="00091EBD" w:rsidRPr="00D86603" w:rsidRDefault="00091EBD" w:rsidP="00091EBD">
      <w:pPr>
        <w:spacing w:line="480" w:lineRule="auto"/>
        <w:rPr>
          <w:lang w:val="en-GB"/>
        </w:rPr>
      </w:pPr>
    </w:p>
    <w:p w14:paraId="52BD8A98" w14:textId="77777777" w:rsidR="00091EBD" w:rsidRPr="00D86603" w:rsidRDefault="00091EBD" w:rsidP="00091EBD">
      <w:pPr>
        <w:spacing w:line="480" w:lineRule="auto"/>
        <w:rPr>
          <w:lang w:val="en-GB"/>
        </w:rPr>
      </w:pPr>
    </w:p>
    <w:p w14:paraId="4C7ABC8A" w14:textId="77777777" w:rsidR="00091EBD" w:rsidRPr="00D86603" w:rsidRDefault="00091EBD" w:rsidP="00091EBD">
      <w:pPr>
        <w:spacing w:line="480" w:lineRule="auto"/>
        <w:rPr>
          <w:lang w:val="en-GB"/>
        </w:rPr>
      </w:pPr>
    </w:p>
    <w:p w14:paraId="1B9FD360" w14:textId="77777777" w:rsidR="00091EBD" w:rsidRPr="00D86603" w:rsidRDefault="00091EBD" w:rsidP="00091EBD">
      <w:pPr>
        <w:spacing w:line="480" w:lineRule="auto"/>
        <w:rPr>
          <w:lang w:val="en-GB"/>
        </w:rPr>
      </w:pPr>
    </w:p>
    <w:p w14:paraId="5D7CCA29" w14:textId="77777777" w:rsidR="00091EBD" w:rsidRPr="00D86603" w:rsidRDefault="00091EBD" w:rsidP="00091EBD">
      <w:pPr>
        <w:spacing w:line="480" w:lineRule="auto"/>
        <w:rPr>
          <w:lang w:val="en-GB"/>
        </w:rPr>
      </w:pPr>
    </w:p>
    <w:p w14:paraId="17648141" w14:textId="77777777" w:rsidR="00091EBD" w:rsidRPr="00D86603" w:rsidRDefault="00091EBD" w:rsidP="00091EBD">
      <w:pPr>
        <w:spacing w:line="480" w:lineRule="auto"/>
        <w:rPr>
          <w:lang w:val="en-GB"/>
        </w:rPr>
      </w:pPr>
    </w:p>
    <w:p w14:paraId="05BF65D8" w14:textId="77777777" w:rsidR="00091EBD" w:rsidRPr="00D86603" w:rsidRDefault="00091EBD" w:rsidP="00091EBD">
      <w:pPr>
        <w:spacing w:line="480" w:lineRule="auto"/>
        <w:rPr>
          <w:lang w:val="en-GB"/>
        </w:rPr>
      </w:pPr>
    </w:p>
    <w:p w14:paraId="1AB2D109" w14:textId="77777777" w:rsidR="00091EBD" w:rsidRPr="00D86603" w:rsidRDefault="00091EBD" w:rsidP="00091EBD">
      <w:pPr>
        <w:spacing w:line="480" w:lineRule="auto"/>
        <w:rPr>
          <w:lang w:val="en-GB"/>
        </w:rPr>
      </w:pPr>
    </w:p>
    <w:p w14:paraId="5909F745" w14:textId="77777777" w:rsidR="00091EBD" w:rsidRPr="00D86603" w:rsidRDefault="00091EBD" w:rsidP="00091EBD">
      <w:pPr>
        <w:spacing w:line="480" w:lineRule="auto"/>
        <w:rPr>
          <w:lang w:val="en-GB"/>
        </w:rPr>
      </w:pPr>
    </w:p>
    <w:p w14:paraId="3B3D696B" w14:textId="77777777" w:rsidR="008F76A0" w:rsidRPr="00D86603" w:rsidRDefault="008F76A0" w:rsidP="00091EBD">
      <w:pPr>
        <w:spacing w:line="480" w:lineRule="auto"/>
        <w:rPr>
          <w:b/>
          <w:lang w:val="en-GB"/>
        </w:rPr>
      </w:pPr>
    </w:p>
    <w:p w14:paraId="43021E81" w14:textId="77777777" w:rsidR="007B38A8" w:rsidRDefault="007B38A8" w:rsidP="00091EBD">
      <w:pPr>
        <w:spacing w:line="480" w:lineRule="auto"/>
        <w:rPr>
          <w:b/>
          <w:lang w:val="en-GB"/>
        </w:rPr>
      </w:pPr>
    </w:p>
    <w:p w14:paraId="48B32F23" w14:textId="77777777" w:rsidR="007B38A8" w:rsidRDefault="007B38A8" w:rsidP="00091EBD">
      <w:pPr>
        <w:spacing w:line="480" w:lineRule="auto"/>
        <w:rPr>
          <w:b/>
          <w:lang w:val="en-GB"/>
        </w:rPr>
      </w:pPr>
    </w:p>
    <w:p w14:paraId="0D8590D5" w14:textId="77777777" w:rsidR="007B38A8" w:rsidRDefault="007B38A8" w:rsidP="00091EBD">
      <w:pPr>
        <w:spacing w:line="480" w:lineRule="auto"/>
        <w:rPr>
          <w:b/>
          <w:lang w:val="en-GB"/>
        </w:rPr>
      </w:pPr>
    </w:p>
    <w:p w14:paraId="7D8C40D7" w14:textId="1D241D52" w:rsidR="00091EBD" w:rsidRPr="00D86603" w:rsidRDefault="00091EBD" w:rsidP="00091EBD">
      <w:pPr>
        <w:spacing w:line="480" w:lineRule="auto"/>
        <w:rPr>
          <w:lang w:val="en-GB"/>
        </w:rPr>
      </w:pPr>
      <w:r w:rsidRPr="00D86603">
        <w:rPr>
          <w:b/>
          <w:lang w:val="en-GB"/>
        </w:rPr>
        <w:lastRenderedPageBreak/>
        <w:t xml:space="preserve">Introduction </w:t>
      </w:r>
    </w:p>
    <w:p w14:paraId="08A0608F" w14:textId="1E17E25A" w:rsidR="00091EBD" w:rsidRPr="00D86603" w:rsidRDefault="00091EBD" w:rsidP="00091EBD">
      <w:pPr>
        <w:spacing w:line="480" w:lineRule="auto"/>
        <w:rPr>
          <w:lang w:val="en-GB"/>
        </w:rPr>
      </w:pPr>
      <w:r w:rsidRPr="00D86603">
        <w:rPr>
          <w:lang w:val="en-GB"/>
        </w:rPr>
        <w:t xml:space="preserve">Lower respiratory tract infection is one of the leading reasons for consulting in primary care and antibiotic prescription, which drives antibiotic resistance.[1,2] </w:t>
      </w:r>
      <w:bookmarkStart w:id="1" w:name="_Hlk505847239"/>
      <w:r w:rsidRPr="00D86603">
        <w:rPr>
          <w:lang w:val="en-GB"/>
        </w:rPr>
        <w:t>Despite growing concerns about antibiotic-resistant bacteria, there is a lack of information about the impact of antibiotic resistance</w:t>
      </w:r>
      <w:r w:rsidR="00CA6F9A" w:rsidRPr="00D86603">
        <w:rPr>
          <w:lang w:val="en-GB"/>
        </w:rPr>
        <w:t xml:space="preserve"> in respiratory tract infections</w:t>
      </w:r>
      <w:r w:rsidRPr="00D86603">
        <w:rPr>
          <w:lang w:val="en-GB"/>
        </w:rPr>
        <w:t xml:space="preserve"> in primary care</w:t>
      </w:r>
      <w:bookmarkEnd w:id="1"/>
      <w:r w:rsidRPr="00D86603">
        <w:rPr>
          <w:lang w:val="en-GB"/>
        </w:rPr>
        <w:t>. There is an abundance of data on the impact of antibiotic resistance in hospital settings which shows that antimicrobial-resistant organisms are associated with increased length of hospital stay, mortality and costs</w:t>
      </w:r>
      <w:bookmarkStart w:id="2" w:name="_Hlk505852360"/>
      <w:r w:rsidR="00BC2091">
        <w:rPr>
          <w:lang w:val="en-GB"/>
        </w:rPr>
        <w:t xml:space="preserve">. </w:t>
      </w:r>
      <w:r w:rsidR="00424C2F" w:rsidRPr="00D86603">
        <w:rPr>
          <w:lang w:val="en-GB"/>
        </w:rPr>
        <w:t>T</w:t>
      </w:r>
      <w:r w:rsidR="007B46E2" w:rsidRPr="00D86603">
        <w:rPr>
          <w:lang w:val="en-GB"/>
        </w:rPr>
        <w:t xml:space="preserve">he underlying pathophysiology for worse outcomes as presented in secondary care studies in antibiotic-resistant bacteria is </w:t>
      </w:r>
      <w:r w:rsidR="004C63A2" w:rsidRPr="00D86603">
        <w:rPr>
          <w:lang w:val="en-GB"/>
        </w:rPr>
        <w:t xml:space="preserve">however </w:t>
      </w:r>
      <w:r w:rsidR="007B46E2" w:rsidRPr="00D86603">
        <w:rPr>
          <w:lang w:val="en-GB"/>
        </w:rPr>
        <w:t>unclear and could largely be explained by confounding.</w:t>
      </w:r>
      <w:r w:rsidR="00424C2F" w:rsidRPr="00D86603">
        <w:rPr>
          <w:lang w:val="en-GB"/>
        </w:rPr>
        <w:t>[3-6]</w:t>
      </w:r>
      <w:r w:rsidR="007B46E2" w:rsidRPr="00D86603">
        <w:rPr>
          <w:lang w:val="en-GB"/>
        </w:rPr>
        <w:t xml:space="preserve"> In primary care, where infections and also respiratory tract infections are often self-limiting and not treated by antibiotics, resistance of bacteria in itself is not likely to provoke worse outcomes. However, data on this domain </w:t>
      </w:r>
      <w:r w:rsidR="004C63A2" w:rsidRPr="00D86603">
        <w:rPr>
          <w:lang w:val="en-GB"/>
        </w:rPr>
        <w:t>are</w:t>
      </w:r>
      <w:r w:rsidR="007B46E2" w:rsidRPr="00D86603">
        <w:rPr>
          <w:lang w:val="en-GB"/>
        </w:rPr>
        <w:t xml:space="preserve"> lacking.</w:t>
      </w:r>
      <w:r w:rsidR="00424C2F" w:rsidRPr="00D86603">
        <w:rPr>
          <w:lang w:val="en-GB"/>
        </w:rPr>
        <w:t xml:space="preserve"> </w:t>
      </w:r>
      <w:r w:rsidR="007B46E2" w:rsidRPr="00D86603">
        <w:rPr>
          <w:lang w:val="en-GB"/>
        </w:rPr>
        <w:t>Our hypothesis is that there is no relevant difference in outcome in outpatients with lower respiratory tract infections between those with and without antibiotic-resistant bacteria in the absence of antibiotic treatment in primary care</w:t>
      </w:r>
      <w:bookmarkEnd w:id="2"/>
      <w:r w:rsidR="007B46E2" w:rsidRPr="00D86603">
        <w:rPr>
          <w:lang w:val="en-GB"/>
        </w:rPr>
        <w:t>.</w:t>
      </w:r>
    </w:p>
    <w:p w14:paraId="0BA50985" w14:textId="7FC23A39" w:rsidR="00091EBD" w:rsidRPr="00D86603" w:rsidRDefault="00091EBD" w:rsidP="00E95A38">
      <w:pPr>
        <w:spacing w:line="480" w:lineRule="auto"/>
        <w:rPr>
          <w:lang w:val="en-GB"/>
        </w:rPr>
      </w:pPr>
      <w:r w:rsidRPr="00D86603">
        <w:rPr>
          <w:lang w:val="en-GB"/>
        </w:rPr>
        <w:t xml:space="preserve">A few studies reported on the effects of antibiotic resistance in primary care.[7-9] These studies show that antibiotic resistance is associated with increased duration and severity of symptoms and a higher chance that a patient will re-consult. These studies focused on urinary tract infections and often did not include the interaction between type of antibiotic and bacterial resistance. No study has explored the impact of antibiotic resistance on the natural course of disease in primary care patients with respiratory tract infections. </w:t>
      </w:r>
      <w:bookmarkStart w:id="3" w:name="_Hlk487625169"/>
      <w:r w:rsidRPr="00D86603">
        <w:rPr>
          <w:lang w:val="en-GB"/>
        </w:rPr>
        <w:t xml:space="preserve">Improved knowledge of the consequences of resistance in respiratory tract infections in primary care could contribute to discussions on first- and second-choice agents and help physicians and their patients consider the risks and benefits of antibiotic use in these highly common infections.  </w:t>
      </w:r>
    </w:p>
    <w:bookmarkEnd w:id="3"/>
    <w:p w14:paraId="556AF64D" w14:textId="77777777" w:rsidR="00E95A38" w:rsidRPr="00D86603" w:rsidRDefault="00091EBD" w:rsidP="00E95A38">
      <w:pPr>
        <w:spacing w:line="480" w:lineRule="auto"/>
        <w:rPr>
          <w:lang w:val="en-GB"/>
        </w:rPr>
      </w:pPr>
      <w:r w:rsidRPr="00D86603">
        <w:rPr>
          <w:lang w:val="en-GB"/>
        </w:rPr>
        <w:lastRenderedPageBreak/>
        <w:t xml:space="preserve">The aim of this study was therefore to </w:t>
      </w:r>
      <w:bookmarkStart w:id="4" w:name="_Hlk487625196"/>
      <w:r w:rsidRPr="00D86603">
        <w:rPr>
          <w:lang w:val="en-GB"/>
        </w:rPr>
        <w:t>evaluate the illness course of patients presenting in primary care with lower respiratory tract infection in whom antibiotic-resistant bacteria were isolated and to compare their illness course with that of patients with lower respiratory tract infection with no antibiotic-resistant bacteria.</w:t>
      </w:r>
      <w:bookmarkEnd w:id="4"/>
    </w:p>
    <w:p w14:paraId="0377D0A7" w14:textId="77777777" w:rsidR="00155925" w:rsidRPr="00D86603" w:rsidRDefault="00155925" w:rsidP="00E95A38">
      <w:pPr>
        <w:spacing w:line="480" w:lineRule="auto"/>
        <w:rPr>
          <w:b/>
          <w:lang w:val="en-GB"/>
        </w:rPr>
      </w:pPr>
    </w:p>
    <w:p w14:paraId="268C40A1" w14:textId="77777777" w:rsidR="001C3CB7" w:rsidRPr="00D86603" w:rsidRDefault="001C3CB7" w:rsidP="00E95A38">
      <w:pPr>
        <w:spacing w:line="480" w:lineRule="auto"/>
        <w:rPr>
          <w:b/>
          <w:lang w:val="en-GB"/>
        </w:rPr>
      </w:pPr>
    </w:p>
    <w:p w14:paraId="6169C31B" w14:textId="77777777" w:rsidR="008F76A0" w:rsidRPr="00D86603" w:rsidRDefault="008F76A0" w:rsidP="00E95A38">
      <w:pPr>
        <w:spacing w:line="480" w:lineRule="auto"/>
        <w:rPr>
          <w:b/>
          <w:lang w:val="en-GB"/>
        </w:rPr>
      </w:pPr>
    </w:p>
    <w:p w14:paraId="09A64D59" w14:textId="77777777" w:rsidR="008F76A0" w:rsidRPr="00D86603" w:rsidRDefault="008F76A0" w:rsidP="00E95A38">
      <w:pPr>
        <w:spacing w:line="480" w:lineRule="auto"/>
        <w:rPr>
          <w:b/>
          <w:lang w:val="en-GB"/>
        </w:rPr>
      </w:pPr>
    </w:p>
    <w:p w14:paraId="2C6CA97D" w14:textId="77777777" w:rsidR="008F76A0" w:rsidRPr="00D86603" w:rsidRDefault="008F76A0" w:rsidP="00E95A38">
      <w:pPr>
        <w:spacing w:line="480" w:lineRule="auto"/>
        <w:rPr>
          <w:b/>
          <w:lang w:val="en-GB"/>
        </w:rPr>
      </w:pPr>
    </w:p>
    <w:p w14:paraId="10BD19F7" w14:textId="77777777" w:rsidR="008F76A0" w:rsidRPr="00D86603" w:rsidRDefault="008F76A0" w:rsidP="00E95A38">
      <w:pPr>
        <w:spacing w:line="480" w:lineRule="auto"/>
        <w:rPr>
          <w:b/>
          <w:lang w:val="en-GB"/>
        </w:rPr>
      </w:pPr>
    </w:p>
    <w:p w14:paraId="0CDA268C" w14:textId="77777777" w:rsidR="008F76A0" w:rsidRPr="00D86603" w:rsidRDefault="008F76A0" w:rsidP="00E95A38">
      <w:pPr>
        <w:spacing w:line="480" w:lineRule="auto"/>
        <w:rPr>
          <w:b/>
          <w:lang w:val="en-GB"/>
        </w:rPr>
      </w:pPr>
    </w:p>
    <w:p w14:paraId="0E28A2AC" w14:textId="77777777" w:rsidR="008F76A0" w:rsidRPr="00D86603" w:rsidRDefault="008F76A0" w:rsidP="00E95A38">
      <w:pPr>
        <w:spacing w:line="480" w:lineRule="auto"/>
        <w:rPr>
          <w:b/>
          <w:lang w:val="en-GB"/>
        </w:rPr>
      </w:pPr>
    </w:p>
    <w:p w14:paraId="4B981DDF" w14:textId="77777777" w:rsidR="008F76A0" w:rsidRPr="00D86603" w:rsidRDefault="008F76A0" w:rsidP="00E95A38">
      <w:pPr>
        <w:spacing w:line="480" w:lineRule="auto"/>
        <w:rPr>
          <w:b/>
          <w:lang w:val="en-GB"/>
        </w:rPr>
      </w:pPr>
    </w:p>
    <w:p w14:paraId="66C7731B" w14:textId="77777777" w:rsidR="008F76A0" w:rsidRPr="00D86603" w:rsidRDefault="008F76A0" w:rsidP="00E95A38">
      <w:pPr>
        <w:spacing w:line="480" w:lineRule="auto"/>
        <w:rPr>
          <w:b/>
          <w:lang w:val="en-GB"/>
        </w:rPr>
      </w:pPr>
    </w:p>
    <w:p w14:paraId="47747DA7" w14:textId="77777777" w:rsidR="008F76A0" w:rsidRPr="00D86603" w:rsidRDefault="008F76A0" w:rsidP="00E95A38">
      <w:pPr>
        <w:spacing w:line="480" w:lineRule="auto"/>
        <w:rPr>
          <w:b/>
          <w:lang w:val="en-GB"/>
        </w:rPr>
      </w:pPr>
    </w:p>
    <w:p w14:paraId="5C595FDA" w14:textId="77777777" w:rsidR="008F76A0" w:rsidRPr="00D86603" w:rsidRDefault="008F76A0" w:rsidP="00E95A38">
      <w:pPr>
        <w:spacing w:line="480" w:lineRule="auto"/>
        <w:rPr>
          <w:b/>
          <w:lang w:val="en-GB"/>
        </w:rPr>
      </w:pPr>
    </w:p>
    <w:p w14:paraId="5BAFA359" w14:textId="77777777" w:rsidR="008F76A0" w:rsidRPr="00D86603" w:rsidRDefault="008F76A0" w:rsidP="00E95A38">
      <w:pPr>
        <w:spacing w:line="480" w:lineRule="auto"/>
        <w:rPr>
          <w:b/>
          <w:lang w:val="en-GB"/>
        </w:rPr>
      </w:pPr>
    </w:p>
    <w:p w14:paraId="7F9C73CA" w14:textId="77777777" w:rsidR="008F76A0" w:rsidRPr="00D86603" w:rsidRDefault="008F76A0" w:rsidP="00E95A38">
      <w:pPr>
        <w:spacing w:line="480" w:lineRule="auto"/>
        <w:rPr>
          <w:b/>
          <w:lang w:val="en-GB"/>
        </w:rPr>
      </w:pPr>
    </w:p>
    <w:p w14:paraId="21618899" w14:textId="77777777" w:rsidR="008F76A0" w:rsidRPr="00D86603" w:rsidRDefault="008F76A0" w:rsidP="00E95A38">
      <w:pPr>
        <w:spacing w:line="480" w:lineRule="auto"/>
        <w:rPr>
          <w:b/>
          <w:lang w:val="en-GB"/>
        </w:rPr>
      </w:pPr>
    </w:p>
    <w:p w14:paraId="1FABA218" w14:textId="77777777" w:rsidR="008F76A0" w:rsidRPr="00D86603" w:rsidRDefault="008F76A0" w:rsidP="00E95A38">
      <w:pPr>
        <w:spacing w:line="480" w:lineRule="auto"/>
        <w:rPr>
          <w:b/>
          <w:lang w:val="en-GB"/>
        </w:rPr>
      </w:pPr>
    </w:p>
    <w:p w14:paraId="4FBB4FA4" w14:textId="77777777" w:rsidR="008F76A0" w:rsidRPr="00D86603" w:rsidRDefault="008F76A0" w:rsidP="00E95A38">
      <w:pPr>
        <w:spacing w:line="480" w:lineRule="auto"/>
        <w:rPr>
          <w:b/>
          <w:lang w:val="en-GB"/>
        </w:rPr>
      </w:pPr>
    </w:p>
    <w:p w14:paraId="5E2640BF" w14:textId="77777777" w:rsidR="008F76A0" w:rsidRPr="00D86603" w:rsidRDefault="008F76A0" w:rsidP="00E95A38">
      <w:pPr>
        <w:spacing w:line="480" w:lineRule="auto"/>
        <w:rPr>
          <w:b/>
          <w:lang w:val="en-GB"/>
        </w:rPr>
      </w:pPr>
    </w:p>
    <w:p w14:paraId="18EF37A7" w14:textId="77777777" w:rsidR="008F76A0" w:rsidRPr="00D86603" w:rsidRDefault="008F76A0" w:rsidP="00E95A38">
      <w:pPr>
        <w:spacing w:line="480" w:lineRule="auto"/>
        <w:rPr>
          <w:b/>
          <w:lang w:val="en-GB"/>
        </w:rPr>
      </w:pPr>
    </w:p>
    <w:p w14:paraId="454F7ED9" w14:textId="77777777" w:rsidR="007B38A8" w:rsidRDefault="007B38A8" w:rsidP="00E95A38">
      <w:pPr>
        <w:spacing w:line="480" w:lineRule="auto"/>
        <w:rPr>
          <w:b/>
          <w:lang w:val="en-GB"/>
        </w:rPr>
      </w:pPr>
    </w:p>
    <w:p w14:paraId="5472E73E" w14:textId="77777777" w:rsidR="007B38A8" w:rsidRDefault="007B38A8" w:rsidP="00E95A38">
      <w:pPr>
        <w:spacing w:line="480" w:lineRule="auto"/>
        <w:rPr>
          <w:b/>
          <w:lang w:val="en-GB"/>
        </w:rPr>
      </w:pPr>
    </w:p>
    <w:p w14:paraId="6D982F89" w14:textId="15C22785" w:rsidR="00091EBD" w:rsidRPr="00D86603" w:rsidRDefault="001C3CB7" w:rsidP="00E95A38">
      <w:pPr>
        <w:spacing w:line="480" w:lineRule="auto"/>
        <w:rPr>
          <w:lang w:val="en-GB"/>
        </w:rPr>
      </w:pPr>
      <w:r w:rsidRPr="00D86603">
        <w:rPr>
          <w:b/>
          <w:lang w:val="en-GB"/>
        </w:rPr>
        <w:lastRenderedPageBreak/>
        <w:t>Method</w:t>
      </w:r>
    </w:p>
    <w:p w14:paraId="02648CD1" w14:textId="77777777" w:rsidR="00091EBD" w:rsidRPr="00D86603" w:rsidRDefault="00091EBD" w:rsidP="00091EBD">
      <w:pPr>
        <w:shd w:val="clear" w:color="auto" w:fill="FFFFFF"/>
        <w:spacing w:line="480" w:lineRule="auto"/>
        <w:rPr>
          <w:i/>
          <w:lang w:val="en-GB"/>
        </w:rPr>
      </w:pPr>
      <w:r w:rsidRPr="00D86603">
        <w:rPr>
          <w:i/>
          <w:lang w:val="en-GB"/>
        </w:rPr>
        <w:t>Design and study population</w:t>
      </w:r>
    </w:p>
    <w:p w14:paraId="667ACCB8" w14:textId="7E217016" w:rsidR="00091EBD" w:rsidRPr="00D86603" w:rsidRDefault="00091EBD" w:rsidP="00091EBD">
      <w:pPr>
        <w:spacing w:line="480" w:lineRule="auto"/>
        <w:rPr>
          <w:lang w:val="en-GB"/>
        </w:rPr>
      </w:pPr>
      <w:r w:rsidRPr="00D86603">
        <w:rPr>
          <w:lang w:val="en-GB"/>
        </w:rPr>
        <w:t xml:space="preserve">This was a secondary analysis of a randomised, placebo-controlled trial of amoxicillin for lower respiratory tract infection in 16 primary care networks in 12 European countries from October 2007 until April 2010. More details on this GRACE-10 study (Genomics to combat Resistance against Antibiotics in Community-acquired lower respiratory tract infection in Europe; www.grace-lrti.org/portal/en-gb/homepage) have been reported elsewhere.[10] Recruited networks had access to a minimum of 20,000 patients. </w:t>
      </w:r>
    </w:p>
    <w:p w14:paraId="100CA1CA" w14:textId="63D5E770" w:rsidR="001C3CB7" w:rsidRPr="00D86603" w:rsidRDefault="00091EBD" w:rsidP="00155925">
      <w:pPr>
        <w:spacing w:line="480" w:lineRule="auto"/>
        <w:rPr>
          <w:lang w:val="en-GB"/>
        </w:rPr>
      </w:pPr>
      <w:r w:rsidRPr="00D86603">
        <w:rPr>
          <w:rFonts w:eastAsia="Calibri"/>
          <w:lang w:val="en-GB"/>
        </w:rPr>
        <w:t xml:space="preserve">Eligible patients were at least 18 years old who consulted their general practitioner for the first time with an acute cough (duration of ≤ 28 days) as their main symptom </w:t>
      </w:r>
      <w:r w:rsidRPr="00D86603">
        <w:rPr>
          <w:lang w:val="en-GB"/>
        </w:rPr>
        <w:t xml:space="preserve">or where cough was not the most prominent symptom, but where the </w:t>
      </w:r>
      <w:r w:rsidRPr="00D86603">
        <w:rPr>
          <w:rFonts w:eastAsia="Calibri"/>
          <w:lang w:val="en-GB"/>
        </w:rPr>
        <w:t>general practitioner</w:t>
      </w:r>
      <w:r w:rsidRPr="00D86603">
        <w:rPr>
          <w:lang w:val="en-GB"/>
        </w:rPr>
        <w:t xml:space="preserve"> considered an acute lower respiratory tract infection as the main diagnosis. Exclusion criteria were clinically suspected pneumonia[1</w:t>
      </w:r>
      <w:r w:rsidR="005A3C40" w:rsidRPr="00D86603">
        <w:rPr>
          <w:lang w:val="en-GB"/>
        </w:rPr>
        <w:t>1</w:t>
      </w:r>
      <w:r w:rsidRPr="00D86603">
        <w:rPr>
          <w:lang w:val="en-GB"/>
        </w:rPr>
        <w:t xml:space="preserve">] based on focal chest signs (focal crepitation and bronchial breathing) and systemic features (high fever, vomiting, severe diarrhoea), pregnancy, allergy to penicillin, treatment with antibiotics in the previous month and immunodeficiency disorders. The study was approved by ethics committees in all participating countries and all participants provided written informed consent. For the present analysis, patients allocated to amoxicillin or patients who did not return their follow-up diary were excluded. Furthermore, we included patients in whom </w:t>
      </w:r>
      <w:r w:rsidRPr="00D86603">
        <w:rPr>
          <w:rFonts w:eastAsia="TimesNewRomanPSMT"/>
          <w:lang w:val="en-GB"/>
        </w:rPr>
        <w:t>infection with</w:t>
      </w:r>
      <w:r w:rsidRPr="00D86603">
        <w:rPr>
          <w:i/>
          <w:color w:val="000000"/>
          <w:lang w:val="en-GB"/>
        </w:rPr>
        <w:t xml:space="preserve"> Streptococcus pneumoniae </w:t>
      </w:r>
      <w:r w:rsidRPr="00D86603">
        <w:rPr>
          <w:color w:val="000000"/>
          <w:lang w:val="en-GB"/>
        </w:rPr>
        <w:t>and/or</w:t>
      </w:r>
      <w:r w:rsidRPr="00D86603">
        <w:rPr>
          <w:i/>
          <w:color w:val="000000"/>
          <w:lang w:val="en-GB"/>
        </w:rPr>
        <w:t xml:space="preserve"> Haemophilus </w:t>
      </w:r>
      <w:r w:rsidRPr="00D86603">
        <w:rPr>
          <w:i/>
          <w:lang w:val="en-GB"/>
        </w:rPr>
        <w:t xml:space="preserve">influenzae </w:t>
      </w:r>
      <w:r w:rsidRPr="00D86603">
        <w:rPr>
          <w:lang w:val="en-GB"/>
        </w:rPr>
        <w:t>was present.</w:t>
      </w:r>
    </w:p>
    <w:p w14:paraId="25B73230" w14:textId="77777777" w:rsidR="00AF631B" w:rsidRPr="00D86603" w:rsidRDefault="00AF631B" w:rsidP="00155925">
      <w:pPr>
        <w:spacing w:line="480" w:lineRule="auto"/>
        <w:rPr>
          <w:i/>
          <w:lang w:val="en-GB"/>
        </w:rPr>
      </w:pPr>
    </w:p>
    <w:p w14:paraId="4FA77EED" w14:textId="4FD1264D" w:rsidR="00091EBD" w:rsidRPr="00D86603" w:rsidRDefault="00091EBD" w:rsidP="00155925">
      <w:pPr>
        <w:spacing w:line="480" w:lineRule="auto"/>
        <w:rPr>
          <w:lang w:val="en-GB"/>
        </w:rPr>
      </w:pPr>
      <w:r w:rsidRPr="00D86603">
        <w:rPr>
          <w:i/>
          <w:lang w:val="en-GB"/>
        </w:rPr>
        <w:t>Measurements</w:t>
      </w:r>
    </w:p>
    <w:p w14:paraId="67BD1AF1" w14:textId="644EE8B6" w:rsidR="00091EBD" w:rsidRPr="00D86603" w:rsidRDefault="00091EBD" w:rsidP="00091EBD">
      <w:pPr>
        <w:shd w:val="clear" w:color="auto" w:fill="FFFFFF"/>
        <w:spacing w:line="480" w:lineRule="auto"/>
        <w:rPr>
          <w:i/>
          <w:lang w:val="en-GB"/>
        </w:rPr>
      </w:pPr>
      <w:r w:rsidRPr="00D86603">
        <w:rPr>
          <w:i/>
          <w:lang w:val="en-GB"/>
        </w:rPr>
        <w:t>Patient follow-up</w:t>
      </w:r>
      <w:r w:rsidRPr="00D86603">
        <w:rPr>
          <w:lang w:val="en-GB"/>
        </w:rPr>
        <w:t xml:space="preserve">. </w:t>
      </w:r>
      <w:r w:rsidRPr="00D86603">
        <w:rPr>
          <w:rFonts w:eastAsia="Calibri"/>
          <w:lang w:val="en-GB"/>
        </w:rPr>
        <w:t>General practitioners recorded patients’ clinical signs and comorbidities on a case report</w:t>
      </w:r>
      <w:r w:rsidRPr="00D86603">
        <w:rPr>
          <w:rFonts w:eastAsia="Calibri"/>
          <w:i/>
          <w:lang w:val="en-GB"/>
        </w:rPr>
        <w:t xml:space="preserve"> </w:t>
      </w:r>
      <w:r w:rsidRPr="00D86603">
        <w:rPr>
          <w:rFonts w:eastAsia="Calibri"/>
          <w:lang w:val="en-GB"/>
        </w:rPr>
        <w:t>form</w:t>
      </w:r>
      <w:r w:rsidR="00BD7784" w:rsidRPr="00D86603">
        <w:rPr>
          <w:rFonts w:eastAsia="Calibri"/>
          <w:lang w:val="en-GB"/>
        </w:rPr>
        <w:t xml:space="preserve"> (appendix 1)</w:t>
      </w:r>
      <w:r w:rsidRPr="00D86603">
        <w:rPr>
          <w:rFonts w:eastAsia="Calibri"/>
          <w:lang w:val="en-GB"/>
        </w:rPr>
        <w:t>.</w:t>
      </w:r>
      <w:r w:rsidRPr="00D86603">
        <w:rPr>
          <w:i/>
          <w:lang w:val="en-GB"/>
        </w:rPr>
        <w:t xml:space="preserve"> </w:t>
      </w:r>
      <w:r w:rsidRPr="00D86603">
        <w:rPr>
          <w:lang w:val="en-GB"/>
        </w:rPr>
        <w:t xml:space="preserve">They also registered 14 baseline symptoms (cough, phlegm, shortness of breath, wheeze, runny nose, fever, chest pain, muscle ache, headache, disturbed </w:t>
      </w:r>
      <w:r w:rsidRPr="00D86603">
        <w:rPr>
          <w:lang w:val="en-GB"/>
        </w:rPr>
        <w:lastRenderedPageBreak/>
        <w:t>sleep, feeling generally unwell, interference with normal activities/work, confusion/disorientation and diarrhoea) on a four-point Likert-scale that ranged from “no problem” to “severe problem”. Baseline symptom severity was calculated by summing the scores of the symptoms and rescaling them to make them range between 0 and 100.</w:t>
      </w:r>
      <w:r w:rsidRPr="00D86603">
        <w:rPr>
          <w:i/>
          <w:lang w:val="en-GB"/>
        </w:rPr>
        <w:t xml:space="preserve"> </w:t>
      </w:r>
      <w:r w:rsidRPr="00D86603">
        <w:rPr>
          <w:rFonts w:eastAsia="Calibri"/>
          <w:lang w:val="en-GB"/>
        </w:rPr>
        <w:t xml:space="preserve">Patients filled out a daily symptom diary during their illness for a period of up to 28 days, grading the same symptoms </w:t>
      </w:r>
      <w:r w:rsidRPr="00D86603">
        <w:rPr>
          <w:lang w:val="en-GB"/>
        </w:rPr>
        <w:t>on a seven-point Likert scale ranging from “no problem” to “severe problem”</w:t>
      </w:r>
      <w:r w:rsidR="00BD7784" w:rsidRPr="00D86603">
        <w:rPr>
          <w:lang w:val="en-GB"/>
        </w:rPr>
        <w:t xml:space="preserve"> (appendix 2)</w:t>
      </w:r>
      <w:r w:rsidRPr="00D86603">
        <w:rPr>
          <w:lang w:val="en-GB"/>
        </w:rPr>
        <w:t xml:space="preserve">. </w:t>
      </w:r>
      <w:r w:rsidRPr="00D86603">
        <w:rPr>
          <w:rFonts w:eastAsia="Calibri"/>
          <w:lang w:val="en-GB"/>
        </w:rPr>
        <w:t>This diary was previously validated and shown sensitiv</w:t>
      </w:r>
      <w:r w:rsidR="0053788A" w:rsidRPr="00D86603">
        <w:rPr>
          <w:rFonts w:eastAsia="Calibri"/>
          <w:lang w:val="en-GB"/>
        </w:rPr>
        <w:t>ity</w:t>
      </w:r>
      <w:r w:rsidRPr="00D86603">
        <w:rPr>
          <w:rFonts w:eastAsia="Calibri"/>
          <w:lang w:val="en-GB"/>
        </w:rPr>
        <w:t xml:space="preserve"> to change.[1</w:t>
      </w:r>
      <w:r w:rsidR="005A3C40" w:rsidRPr="00D86603">
        <w:rPr>
          <w:rFonts w:eastAsia="Calibri"/>
          <w:lang w:val="en-GB"/>
        </w:rPr>
        <w:t>2</w:t>
      </w:r>
      <w:r w:rsidRPr="00D86603">
        <w:rPr>
          <w:rFonts w:eastAsia="Calibri"/>
          <w:lang w:val="en-GB"/>
        </w:rPr>
        <w:t xml:space="preserve">] </w:t>
      </w:r>
      <w:r w:rsidRPr="00D86603">
        <w:rPr>
          <w:lang w:val="en-GB"/>
        </w:rPr>
        <w:t xml:space="preserve">All patients underwent chest radiography within seven days of their first visit, preferably within three days. Pneumonia was determined by radiologists who were blinded to all other information and examined chest radiographs using a uniform procedure (appendix </w:t>
      </w:r>
      <w:r w:rsidR="00BD7784" w:rsidRPr="00D86603">
        <w:rPr>
          <w:lang w:val="en-GB"/>
        </w:rPr>
        <w:t>3</w:t>
      </w:r>
      <w:r w:rsidRPr="00D86603">
        <w:rPr>
          <w:lang w:val="en-GB"/>
        </w:rPr>
        <w:t>).[1</w:t>
      </w:r>
      <w:r w:rsidR="005A3C40" w:rsidRPr="00D86603">
        <w:rPr>
          <w:lang w:val="en-GB"/>
        </w:rPr>
        <w:t>3</w:t>
      </w:r>
      <w:r w:rsidRPr="00D86603">
        <w:rPr>
          <w:lang w:val="en-GB"/>
        </w:rPr>
        <w:t>]</w:t>
      </w:r>
    </w:p>
    <w:p w14:paraId="5CBF8F61" w14:textId="77777777" w:rsidR="00091EBD" w:rsidRPr="00D86603" w:rsidRDefault="00091EBD" w:rsidP="00091EBD">
      <w:pPr>
        <w:spacing w:line="480" w:lineRule="auto"/>
        <w:rPr>
          <w:rFonts w:eastAsia="Calibri"/>
          <w:lang w:val="en-GB"/>
        </w:rPr>
      </w:pPr>
      <w:r w:rsidRPr="00D86603">
        <w:rPr>
          <w:rFonts w:eastAsia="Calibri"/>
          <w:lang w:val="en-GB"/>
        </w:rPr>
        <w:t xml:space="preserve"> </w:t>
      </w:r>
    </w:p>
    <w:p w14:paraId="3BEC516F" w14:textId="424270F3" w:rsidR="00091EBD" w:rsidRPr="00D86603" w:rsidRDefault="00091EBD" w:rsidP="00091EBD">
      <w:pPr>
        <w:shd w:val="clear" w:color="auto" w:fill="FFFFFF"/>
        <w:spacing w:line="480" w:lineRule="auto"/>
        <w:rPr>
          <w:rFonts w:eastAsia="Arial Unicode MS"/>
          <w:lang w:val="en-GB"/>
        </w:rPr>
      </w:pPr>
      <w:r w:rsidRPr="00D86603">
        <w:rPr>
          <w:i/>
          <w:lang w:val="en-GB"/>
        </w:rPr>
        <w:t>Laboratory analysis</w:t>
      </w:r>
      <w:r w:rsidRPr="00D86603">
        <w:rPr>
          <w:lang w:val="en-GB"/>
        </w:rPr>
        <w:t xml:space="preserve">. </w:t>
      </w:r>
      <w:r w:rsidRPr="00D86603">
        <w:rPr>
          <w:rFonts w:eastAsia="Arial Unicode MS"/>
          <w:lang w:val="en-GB"/>
        </w:rPr>
        <w:t xml:space="preserve">A sputum sample from a productive cough (not available for all) and a nasopharyngeal swab sample were collected from each patient on the day of presentation, before any antibiotic therapy was prescribed. Sputum samples were sent to the local laboratory for immediate processing. Direct microscopy, gram stain and culture were performed according to a standardised protocol (appendix </w:t>
      </w:r>
      <w:r w:rsidR="00BD7784" w:rsidRPr="00D86603">
        <w:rPr>
          <w:rFonts w:eastAsia="Arial Unicode MS"/>
          <w:lang w:val="en-GB"/>
        </w:rPr>
        <w:t>4</w:t>
      </w:r>
      <w:r w:rsidRPr="00D86603">
        <w:rPr>
          <w:rFonts w:eastAsia="Arial Unicode MS"/>
          <w:lang w:val="en-GB"/>
        </w:rPr>
        <w:t xml:space="preserve">). Nasopharyngeal swabs, stored in Universal Transport Medium (Copan Diagnostics) and in skim milk medium, were sent to the laboratory of the University of Antwerp for bacterial and viral polymerase chain reaction analysis. Infection with </w:t>
      </w:r>
      <w:r w:rsidRPr="00D86603">
        <w:rPr>
          <w:i/>
          <w:color w:val="000000"/>
          <w:lang w:val="en-GB"/>
        </w:rPr>
        <w:t xml:space="preserve">S. pneumoniae </w:t>
      </w:r>
      <w:r w:rsidRPr="00D86603">
        <w:rPr>
          <w:color w:val="000000"/>
          <w:lang w:val="en-GB"/>
        </w:rPr>
        <w:t>or</w:t>
      </w:r>
      <w:r w:rsidRPr="00D86603">
        <w:rPr>
          <w:i/>
          <w:color w:val="000000"/>
          <w:lang w:val="en-GB"/>
        </w:rPr>
        <w:t xml:space="preserve"> H. </w:t>
      </w:r>
      <w:r w:rsidRPr="00D86603">
        <w:rPr>
          <w:i/>
          <w:lang w:val="en-GB"/>
        </w:rPr>
        <w:t>influenzae</w:t>
      </w:r>
      <w:r w:rsidRPr="00D86603">
        <w:rPr>
          <w:color w:val="000000"/>
          <w:lang w:val="en-GB"/>
        </w:rPr>
        <w:t xml:space="preserve"> was defined by isolation of </w:t>
      </w:r>
      <w:r w:rsidRPr="00D86603">
        <w:rPr>
          <w:rFonts w:eastAsia="Arial Unicode MS"/>
          <w:lang w:val="en-GB"/>
        </w:rPr>
        <w:t xml:space="preserve">a predominant microorganism in the sputum (using a </w:t>
      </w:r>
      <w:r w:rsidRPr="00D86603">
        <w:rPr>
          <w:lang w:val="en-GB"/>
        </w:rPr>
        <w:t>ratio of one or more leukocytes to epithelial cells as the criterion for good quality</w:t>
      </w:r>
      <w:r w:rsidRPr="00D86603">
        <w:rPr>
          <w:rFonts w:eastAsia="Arial Unicode MS"/>
          <w:lang w:val="en-GB"/>
        </w:rPr>
        <w:t>) or from the nasopharyngeal swab. Other bacterial pathogens were also identified (</w:t>
      </w:r>
      <w:r w:rsidRPr="00D86603">
        <w:rPr>
          <w:rFonts w:eastAsia="Arial Unicode MS"/>
          <w:i/>
          <w:lang w:val="en-GB"/>
        </w:rPr>
        <w:t>Mycoplasma pneumoniae</w:t>
      </w:r>
      <w:r w:rsidRPr="00D86603">
        <w:rPr>
          <w:rFonts w:eastAsia="Arial Unicode MS"/>
          <w:lang w:val="en-GB"/>
        </w:rPr>
        <w:t xml:space="preserve">, </w:t>
      </w:r>
      <w:r w:rsidRPr="00D86603">
        <w:rPr>
          <w:rFonts w:eastAsia="Arial Unicode MS"/>
          <w:i/>
          <w:lang w:val="en-GB"/>
        </w:rPr>
        <w:t>Bordetella pertussis</w:t>
      </w:r>
      <w:r w:rsidRPr="00D86603">
        <w:rPr>
          <w:rFonts w:eastAsia="Arial Unicode MS"/>
          <w:lang w:val="en-GB"/>
        </w:rPr>
        <w:t xml:space="preserve"> and </w:t>
      </w:r>
      <w:r w:rsidRPr="00D86603">
        <w:rPr>
          <w:rFonts w:eastAsia="Arial Unicode MS"/>
          <w:i/>
          <w:lang w:val="en-GB"/>
        </w:rPr>
        <w:t>Legionella pneumophila</w:t>
      </w:r>
      <w:r w:rsidRPr="00D86603">
        <w:rPr>
          <w:rFonts w:eastAsia="Arial Unicode MS"/>
          <w:lang w:val="en-GB"/>
        </w:rPr>
        <w:t>); methods and results ha</w:t>
      </w:r>
      <w:r w:rsidR="00E95A38" w:rsidRPr="00D86603">
        <w:rPr>
          <w:rFonts w:eastAsia="Arial Unicode MS"/>
          <w:lang w:val="en-GB"/>
        </w:rPr>
        <w:t xml:space="preserve">ve been reported elsewhere.[14] </w:t>
      </w:r>
      <w:r w:rsidRPr="00D86603">
        <w:rPr>
          <w:lang w:val="en-GB" w:eastAsia="it-IT"/>
        </w:rPr>
        <w:t xml:space="preserve">Susceptibility </w:t>
      </w:r>
      <w:r w:rsidRPr="00D86603">
        <w:rPr>
          <w:color w:val="000000"/>
          <w:lang w:val="en-GB"/>
        </w:rPr>
        <w:t>testing to a uniform panel of antimicrobial agents</w:t>
      </w:r>
      <w:r w:rsidRPr="00D86603">
        <w:rPr>
          <w:lang w:val="en-GB" w:eastAsia="it-IT"/>
        </w:rPr>
        <w:t xml:space="preserve">, only for </w:t>
      </w:r>
      <w:r w:rsidRPr="00D86603">
        <w:rPr>
          <w:i/>
          <w:lang w:val="en-GB" w:eastAsia="it-IT"/>
        </w:rPr>
        <w:t>S. pneumoniae</w:t>
      </w:r>
      <w:r w:rsidRPr="00D86603">
        <w:rPr>
          <w:lang w:val="en-GB" w:eastAsia="it-IT"/>
        </w:rPr>
        <w:t xml:space="preserve"> and </w:t>
      </w:r>
      <w:r w:rsidRPr="00D86603">
        <w:rPr>
          <w:i/>
          <w:lang w:val="en-GB" w:eastAsia="it-IT"/>
        </w:rPr>
        <w:t>H.</w:t>
      </w:r>
      <w:r w:rsidRPr="00D86603">
        <w:rPr>
          <w:lang w:val="en-GB" w:eastAsia="it-IT"/>
        </w:rPr>
        <w:t xml:space="preserve"> </w:t>
      </w:r>
      <w:r w:rsidRPr="00D86603">
        <w:rPr>
          <w:i/>
          <w:lang w:val="en-GB" w:eastAsia="it-IT"/>
        </w:rPr>
        <w:t>influenzae,</w:t>
      </w:r>
      <w:r w:rsidRPr="00D86603">
        <w:rPr>
          <w:lang w:val="en-GB" w:eastAsia="it-IT"/>
        </w:rPr>
        <w:t xml:space="preserve"> was performed </w:t>
      </w:r>
      <w:r w:rsidRPr="00D86603">
        <w:rPr>
          <w:rFonts w:eastAsia="Arial Unicode MS"/>
          <w:lang w:val="en-GB"/>
        </w:rPr>
        <w:t xml:space="preserve">with </w:t>
      </w:r>
      <w:proofErr w:type="spellStart"/>
      <w:r w:rsidRPr="00D86603">
        <w:rPr>
          <w:rFonts w:eastAsia="Arial Unicode MS"/>
          <w:lang w:val="en-GB"/>
        </w:rPr>
        <w:t>Etest</w:t>
      </w:r>
      <w:proofErr w:type="spellEnd"/>
      <w:r w:rsidRPr="00D86603">
        <w:rPr>
          <w:rFonts w:eastAsia="Arial Unicode MS"/>
          <w:lang w:val="en-GB"/>
        </w:rPr>
        <w:t xml:space="preserve"> or agar dilution method</w:t>
      </w:r>
      <w:r w:rsidRPr="00D86603">
        <w:rPr>
          <w:lang w:val="en-GB" w:eastAsia="it-IT"/>
        </w:rPr>
        <w:t xml:space="preserve"> at the Karolinska Institute in </w:t>
      </w:r>
      <w:r w:rsidRPr="00D86603">
        <w:rPr>
          <w:lang w:val="en-GB" w:eastAsia="it-IT"/>
        </w:rPr>
        <w:lastRenderedPageBreak/>
        <w:t xml:space="preserve">Stockholm, Sweden and at Oxford University in Oxford, United Kingdom, respectively, after frozen transport by the </w:t>
      </w:r>
      <w:r w:rsidRPr="00D86603">
        <w:rPr>
          <w:rFonts w:eastAsia="Arial Unicode MS"/>
          <w:lang w:val="en-GB"/>
        </w:rPr>
        <w:t>laboratory of the University of Antwerp</w:t>
      </w:r>
      <w:r w:rsidRPr="00D86603">
        <w:rPr>
          <w:lang w:val="en-GB" w:eastAsia="it-IT"/>
        </w:rPr>
        <w:t xml:space="preserve">. </w:t>
      </w:r>
      <w:r w:rsidRPr="00D86603">
        <w:rPr>
          <w:color w:val="000000"/>
          <w:lang w:val="en-GB"/>
        </w:rPr>
        <w:t>Minimum inhibitory concentrations of</w:t>
      </w:r>
      <w:r w:rsidRPr="00D86603">
        <w:rPr>
          <w:rFonts w:eastAsia="Arial Unicode MS"/>
          <w:lang w:val="en-GB"/>
        </w:rPr>
        <w:t xml:space="preserve"> </w:t>
      </w:r>
      <w:r w:rsidRPr="00D86603">
        <w:rPr>
          <w:i/>
          <w:color w:val="000000"/>
          <w:lang w:val="en-GB"/>
        </w:rPr>
        <w:t xml:space="preserve">H. </w:t>
      </w:r>
      <w:r w:rsidRPr="00D86603">
        <w:rPr>
          <w:i/>
          <w:lang w:val="en-GB"/>
        </w:rPr>
        <w:t>influenzae</w:t>
      </w:r>
      <w:r w:rsidRPr="00D86603">
        <w:rPr>
          <w:rFonts w:eastAsia="Arial Unicode MS"/>
          <w:lang w:val="en-GB"/>
        </w:rPr>
        <w:t xml:space="preserve"> to ampicillin and tetracycline were performed and for </w:t>
      </w:r>
      <w:r w:rsidRPr="00D86603">
        <w:rPr>
          <w:i/>
          <w:color w:val="000000"/>
          <w:lang w:val="en-GB"/>
        </w:rPr>
        <w:t>S. pneumoniae</w:t>
      </w:r>
      <w:r w:rsidRPr="00D86603">
        <w:rPr>
          <w:rFonts w:eastAsia="Arial Unicode MS"/>
          <w:lang w:val="en-GB"/>
        </w:rPr>
        <w:t xml:space="preserve"> to penicillin G, amoxicillin, erythromycin/clindamycin, tetracycline, chloramphenicol, trimethoprim/sulfamethoxazole, levofloxacin and cefotaxime. Isolates were classified as sensitive, intermediate or resistant according to the EUCAST system of species-related breakpoints.[15] </w:t>
      </w:r>
    </w:p>
    <w:p w14:paraId="73FCD6F4" w14:textId="77777777" w:rsidR="00091EBD" w:rsidRPr="00D86603" w:rsidRDefault="00091EBD" w:rsidP="00E95A38">
      <w:pPr>
        <w:shd w:val="clear" w:color="auto" w:fill="FFFFFF"/>
        <w:spacing w:line="480" w:lineRule="auto"/>
        <w:rPr>
          <w:lang w:val="en-GB"/>
        </w:rPr>
      </w:pPr>
      <w:r w:rsidRPr="00D86603">
        <w:rPr>
          <w:lang w:val="en-GB"/>
        </w:rPr>
        <w:t xml:space="preserve">Bacterial resistance was defined as the presence of </w:t>
      </w:r>
      <w:r w:rsidRPr="00D86603">
        <w:rPr>
          <w:rFonts w:eastAsia="TimesNewRomanPSMT"/>
          <w:lang w:val="en-GB"/>
        </w:rPr>
        <w:t xml:space="preserve">infection with </w:t>
      </w:r>
      <w:r w:rsidRPr="00D86603">
        <w:rPr>
          <w:i/>
          <w:color w:val="000000"/>
          <w:lang w:val="en-GB"/>
        </w:rPr>
        <w:t xml:space="preserve">S. pneumoniae </w:t>
      </w:r>
      <w:r w:rsidRPr="00D86603">
        <w:rPr>
          <w:color w:val="000000"/>
          <w:lang w:val="en-GB"/>
        </w:rPr>
        <w:t>and/or</w:t>
      </w:r>
      <w:r w:rsidRPr="00D86603">
        <w:rPr>
          <w:i/>
          <w:color w:val="000000"/>
          <w:lang w:val="en-GB"/>
        </w:rPr>
        <w:t xml:space="preserve"> H. influenzae</w:t>
      </w:r>
      <w:r w:rsidRPr="00D86603">
        <w:rPr>
          <w:lang w:val="en-GB"/>
        </w:rPr>
        <w:t xml:space="preserve"> which was classified as resistant to at least one tested antibiotic. All other isolates that were classified as sensitive and/or intermediate were defined as ‘sensitive to antibiotics’. Isolates with intermediate resistance were classified as ‘sensitive to antibiotics’, because the most commonly used dosages of amoxicillin are high enough to overcome intermediate resistance.</w:t>
      </w:r>
    </w:p>
    <w:p w14:paraId="45CF415B" w14:textId="77777777" w:rsidR="00091EBD" w:rsidRPr="00D86603" w:rsidRDefault="00091EBD" w:rsidP="00091EBD">
      <w:pPr>
        <w:shd w:val="clear" w:color="auto" w:fill="FFFFFF"/>
        <w:spacing w:line="480" w:lineRule="auto"/>
        <w:rPr>
          <w:i/>
          <w:lang w:val="en-GB"/>
        </w:rPr>
      </w:pPr>
    </w:p>
    <w:p w14:paraId="3B0B1D7F" w14:textId="77777777" w:rsidR="00091EBD" w:rsidRPr="00D86603" w:rsidRDefault="00091EBD" w:rsidP="00AF631B">
      <w:pPr>
        <w:shd w:val="clear" w:color="auto" w:fill="FFFFFF"/>
        <w:spacing w:line="480" w:lineRule="auto"/>
        <w:rPr>
          <w:lang w:val="en-GB"/>
        </w:rPr>
      </w:pPr>
      <w:r w:rsidRPr="00D86603">
        <w:rPr>
          <w:i/>
          <w:lang w:val="en-GB"/>
        </w:rPr>
        <w:t>Main outcomes</w:t>
      </w:r>
    </w:p>
    <w:p w14:paraId="34775805" w14:textId="66CA0F09" w:rsidR="00091EBD" w:rsidRPr="00305F3E" w:rsidRDefault="00091EBD" w:rsidP="00AF631B">
      <w:pPr>
        <w:autoSpaceDE w:val="0"/>
        <w:autoSpaceDN w:val="0"/>
        <w:adjustRightInd w:val="0"/>
        <w:spacing w:line="480" w:lineRule="auto"/>
        <w:rPr>
          <w:rFonts w:eastAsia="ScalaLancetPro"/>
          <w:lang w:val="en-GB" w:eastAsia="en-US"/>
        </w:rPr>
      </w:pPr>
      <w:r w:rsidRPr="00D86603">
        <w:rPr>
          <w:lang w:val="en-GB"/>
        </w:rPr>
        <w:t>The disease course was defined in f</w:t>
      </w:r>
      <w:r w:rsidRPr="00D86603">
        <w:rPr>
          <w:rFonts w:eastAsia="Calibri"/>
          <w:lang w:val="en-GB"/>
        </w:rPr>
        <w:t xml:space="preserve">ive ways, similar to other analyses of this trial: 1. Duration of symptoms rated by patients as </w:t>
      </w:r>
      <w:r w:rsidRPr="00D86603">
        <w:rPr>
          <w:lang w:val="en-GB"/>
        </w:rPr>
        <w:t>“</w:t>
      </w:r>
      <w:r w:rsidRPr="00D86603">
        <w:rPr>
          <w:rFonts w:eastAsia="Calibri"/>
          <w:lang w:val="en-GB"/>
        </w:rPr>
        <w:t>moderately bad or worse</w:t>
      </w:r>
      <w:r w:rsidRPr="00D86603">
        <w:rPr>
          <w:lang w:val="en-GB"/>
        </w:rPr>
        <w:t xml:space="preserve">” </w:t>
      </w:r>
      <w:r w:rsidRPr="00D86603">
        <w:rPr>
          <w:rFonts w:eastAsia="Calibri"/>
          <w:lang w:val="en-GB"/>
        </w:rPr>
        <w:t xml:space="preserve">after initial presentation; 2. Symptom severity on days 2-4 after the index consultation; 3. Worsening of illness, defined as a return visit to the general practitioner with worsening symptoms, new symptoms, new signs or illness necessitating admission to hospital within four weeks of the first consultation[10]; 4. </w:t>
      </w:r>
      <w:r w:rsidRPr="00D86603">
        <w:rPr>
          <w:lang w:val="en-GB"/>
        </w:rPr>
        <w:t>Duration of symptoms until complete resolution; 5. Duration of interference with normal activities or work.</w:t>
      </w:r>
      <w:r w:rsidR="0053788A" w:rsidRPr="00D86603">
        <w:rPr>
          <w:lang w:val="en-GB"/>
        </w:rPr>
        <w:t xml:space="preserve"> The duration of symptoms was reported in days.</w:t>
      </w:r>
      <w:r w:rsidR="00AF631B" w:rsidRPr="00D86603">
        <w:rPr>
          <w:lang w:val="en-GB"/>
        </w:rPr>
        <w:t xml:space="preserve"> </w:t>
      </w:r>
      <w:r w:rsidR="00AF631B" w:rsidRPr="00305F3E">
        <w:rPr>
          <w:rFonts w:eastAsia="ScalaLancetPro"/>
          <w:lang w:val="en-GB" w:eastAsia="en-US"/>
        </w:rPr>
        <w:t xml:space="preserve">Symptom severity was </w:t>
      </w:r>
      <w:r w:rsidR="00756DE1" w:rsidRPr="00305F3E">
        <w:rPr>
          <w:rFonts w:eastAsia="ScalaLancetPro"/>
          <w:lang w:val="en-GB" w:eastAsia="en-US"/>
        </w:rPr>
        <w:t>defined</w:t>
      </w:r>
      <w:r w:rsidR="00AF631B" w:rsidRPr="00305F3E">
        <w:rPr>
          <w:rFonts w:eastAsia="ScalaLancetPro"/>
          <w:lang w:val="en-GB" w:eastAsia="en-US"/>
        </w:rPr>
        <w:t xml:space="preserve"> as the mean diary score for all symptoms during days 2–4 after the index consultation.</w:t>
      </w:r>
    </w:p>
    <w:p w14:paraId="61788B36" w14:textId="77777777" w:rsidR="00091EBD" w:rsidRPr="00D86603" w:rsidRDefault="00091EBD" w:rsidP="00091EBD">
      <w:pPr>
        <w:shd w:val="clear" w:color="auto" w:fill="FFFFFF"/>
        <w:spacing w:line="480" w:lineRule="auto"/>
        <w:rPr>
          <w:lang w:val="en-GB"/>
        </w:rPr>
      </w:pPr>
    </w:p>
    <w:p w14:paraId="688176D3" w14:textId="77777777" w:rsidR="00091EBD" w:rsidRPr="00D86603" w:rsidRDefault="00091EBD" w:rsidP="00091EBD">
      <w:pPr>
        <w:shd w:val="clear" w:color="auto" w:fill="FFFFFF"/>
        <w:spacing w:line="480" w:lineRule="auto"/>
        <w:rPr>
          <w:i/>
          <w:lang w:val="en-GB"/>
        </w:rPr>
      </w:pPr>
      <w:r w:rsidRPr="00D86603">
        <w:rPr>
          <w:i/>
          <w:lang w:val="en-GB"/>
        </w:rPr>
        <w:t>Data analysis</w:t>
      </w:r>
    </w:p>
    <w:p w14:paraId="49B85F2F" w14:textId="7CE3B4FE" w:rsidR="00091EBD" w:rsidRPr="00D86603" w:rsidRDefault="00091EBD" w:rsidP="00091EBD">
      <w:pPr>
        <w:shd w:val="clear" w:color="auto" w:fill="FFFFFF"/>
        <w:spacing w:line="480" w:lineRule="auto"/>
        <w:rPr>
          <w:lang w:val="en-GB"/>
        </w:rPr>
      </w:pPr>
      <w:r w:rsidRPr="00D86603">
        <w:rPr>
          <w:lang w:val="en-GB"/>
        </w:rPr>
        <w:lastRenderedPageBreak/>
        <w:t>The course of disease of antibiotic-resistant lower respiratory tract infection in adults with acute cough was compared to that of patients without antibiotic-resistant lower respiratory tract infection for all five outcomes. Data w</w:t>
      </w:r>
      <w:r w:rsidR="0032352A" w:rsidRPr="00D86603">
        <w:rPr>
          <w:lang w:val="en-GB"/>
        </w:rPr>
        <w:t>ere</w:t>
      </w:r>
      <w:r w:rsidRPr="00D86603">
        <w:rPr>
          <w:lang w:val="en-GB"/>
        </w:rPr>
        <w:t xml:space="preserve"> analysed using  regression analyses.  </w:t>
      </w:r>
      <w:r w:rsidR="0032352A" w:rsidRPr="00D86603">
        <w:rPr>
          <w:lang w:val="en-GB"/>
        </w:rPr>
        <w:t>L</w:t>
      </w:r>
      <w:r w:rsidRPr="00D86603">
        <w:rPr>
          <w:lang w:val="en-GB"/>
        </w:rPr>
        <w:t xml:space="preserve">inear regression was used for symptom severity, Cox regression for the duration of symptoms allowing for censoring and logistic regression for return visits for new or worsened symptoms. In the multivariable analyses, we controlled all outcomes for the potentially confounding factors age, current smoking, comorbidity </w:t>
      </w:r>
      <w:r w:rsidRPr="00D86603">
        <w:rPr>
          <w:rFonts w:eastAsia="Arial Unicode MS"/>
          <w:lang w:val="en-GB"/>
        </w:rPr>
        <w:t>(pulmonary, cardiac, diabetes mellitus</w:t>
      </w:r>
      <w:r w:rsidRPr="00D86603">
        <w:rPr>
          <w:lang w:val="en-GB"/>
        </w:rPr>
        <w:t>) and cough duration before index consultation. Moreover, we adjusted for bacteria (</w:t>
      </w:r>
      <w:r w:rsidRPr="00D86603">
        <w:rPr>
          <w:i/>
          <w:color w:val="000000"/>
          <w:lang w:val="en-GB"/>
        </w:rPr>
        <w:t xml:space="preserve">S. pneumoniae </w:t>
      </w:r>
      <w:r w:rsidRPr="00D86603">
        <w:rPr>
          <w:color w:val="000000"/>
          <w:lang w:val="en-GB"/>
        </w:rPr>
        <w:t xml:space="preserve">or </w:t>
      </w:r>
      <w:r w:rsidRPr="00D86603">
        <w:rPr>
          <w:i/>
          <w:color w:val="000000"/>
          <w:lang w:val="en-GB"/>
        </w:rPr>
        <w:t>H. influenzae</w:t>
      </w:r>
      <w:r w:rsidRPr="00D86603">
        <w:rPr>
          <w:color w:val="000000"/>
          <w:lang w:val="en-GB"/>
        </w:rPr>
        <w:t xml:space="preserve">), because of the unequal distribution of resistance among the two bacteria species. </w:t>
      </w:r>
      <w:r w:rsidRPr="00D86603">
        <w:rPr>
          <w:rFonts w:eastAsia="Arial Unicode MS"/>
          <w:lang w:val="en-GB"/>
        </w:rPr>
        <w:t>Data was analysed using SPSS (version 20.0) for Windows.</w:t>
      </w:r>
    </w:p>
    <w:p w14:paraId="41286272" w14:textId="77777777" w:rsidR="00091EBD" w:rsidRPr="00D86603" w:rsidRDefault="00091EBD" w:rsidP="00091EBD">
      <w:pPr>
        <w:shd w:val="clear" w:color="auto" w:fill="FFFFFF"/>
        <w:spacing w:line="480" w:lineRule="auto"/>
        <w:rPr>
          <w:rFonts w:eastAsia="Arial Unicode MS"/>
          <w:b/>
          <w:lang w:val="en-GB"/>
        </w:rPr>
      </w:pPr>
    </w:p>
    <w:p w14:paraId="4555771F" w14:textId="77777777" w:rsidR="00E95A38" w:rsidRPr="00D86603" w:rsidRDefault="00E95A38" w:rsidP="00091EBD">
      <w:pPr>
        <w:shd w:val="clear" w:color="auto" w:fill="FFFFFF"/>
        <w:spacing w:line="480" w:lineRule="auto"/>
        <w:rPr>
          <w:rFonts w:eastAsia="Arial Unicode MS"/>
          <w:b/>
          <w:lang w:val="en-GB"/>
        </w:rPr>
      </w:pPr>
    </w:p>
    <w:p w14:paraId="7AC7B394" w14:textId="77777777" w:rsidR="00E95A38" w:rsidRPr="00D86603" w:rsidRDefault="00E95A38" w:rsidP="00091EBD">
      <w:pPr>
        <w:shd w:val="clear" w:color="auto" w:fill="FFFFFF"/>
        <w:spacing w:line="480" w:lineRule="auto"/>
        <w:rPr>
          <w:rFonts w:eastAsia="Arial Unicode MS"/>
          <w:b/>
          <w:lang w:val="en-GB"/>
        </w:rPr>
      </w:pPr>
    </w:p>
    <w:p w14:paraId="5A41345E" w14:textId="77777777" w:rsidR="00E95A38" w:rsidRPr="00D86603" w:rsidRDefault="00E95A38" w:rsidP="00091EBD">
      <w:pPr>
        <w:shd w:val="clear" w:color="auto" w:fill="FFFFFF"/>
        <w:spacing w:line="480" w:lineRule="auto"/>
        <w:rPr>
          <w:rFonts w:eastAsia="Arial Unicode MS"/>
          <w:b/>
          <w:lang w:val="en-GB"/>
        </w:rPr>
      </w:pPr>
    </w:p>
    <w:p w14:paraId="1282E0E1" w14:textId="77777777" w:rsidR="00E95A38" w:rsidRPr="00D86603" w:rsidRDefault="00E95A38" w:rsidP="00091EBD">
      <w:pPr>
        <w:shd w:val="clear" w:color="auto" w:fill="FFFFFF"/>
        <w:spacing w:line="480" w:lineRule="auto"/>
        <w:rPr>
          <w:rFonts w:eastAsia="Arial Unicode MS"/>
          <w:b/>
          <w:lang w:val="en-GB"/>
        </w:rPr>
      </w:pPr>
    </w:p>
    <w:p w14:paraId="41F9CC57" w14:textId="77777777" w:rsidR="00E95A38" w:rsidRPr="00D86603" w:rsidRDefault="00E95A38" w:rsidP="00091EBD">
      <w:pPr>
        <w:shd w:val="clear" w:color="auto" w:fill="FFFFFF"/>
        <w:spacing w:line="480" w:lineRule="auto"/>
        <w:rPr>
          <w:rFonts w:eastAsia="Arial Unicode MS"/>
          <w:b/>
          <w:lang w:val="en-GB"/>
        </w:rPr>
      </w:pPr>
    </w:p>
    <w:p w14:paraId="2720ECB7" w14:textId="77777777" w:rsidR="00E95A38" w:rsidRPr="00D86603" w:rsidRDefault="00E95A38" w:rsidP="00091EBD">
      <w:pPr>
        <w:shd w:val="clear" w:color="auto" w:fill="FFFFFF"/>
        <w:spacing w:line="480" w:lineRule="auto"/>
        <w:rPr>
          <w:rFonts w:eastAsia="Arial Unicode MS"/>
          <w:b/>
          <w:lang w:val="en-GB"/>
        </w:rPr>
      </w:pPr>
    </w:p>
    <w:p w14:paraId="3525EA6B" w14:textId="77777777" w:rsidR="00E95A38" w:rsidRPr="00D86603" w:rsidRDefault="00E95A38" w:rsidP="00091EBD">
      <w:pPr>
        <w:shd w:val="clear" w:color="auto" w:fill="FFFFFF"/>
        <w:spacing w:line="480" w:lineRule="auto"/>
        <w:rPr>
          <w:rFonts w:eastAsia="Arial Unicode MS"/>
          <w:b/>
          <w:lang w:val="en-GB"/>
        </w:rPr>
      </w:pPr>
    </w:p>
    <w:p w14:paraId="0A9EDEB8" w14:textId="77777777" w:rsidR="00E95A38" w:rsidRPr="00D86603" w:rsidRDefault="00E95A38" w:rsidP="00091EBD">
      <w:pPr>
        <w:shd w:val="clear" w:color="auto" w:fill="FFFFFF"/>
        <w:spacing w:line="480" w:lineRule="auto"/>
        <w:rPr>
          <w:rFonts w:eastAsia="Arial Unicode MS"/>
          <w:b/>
          <w:lang w:val="en-GB"/>
        </w:rPr>
      </w:pPr>
    </w:p>
    <w:p w14:paraId="4F779874" w14:textId="77777777" w:rsidR="00C3218E" w:rsidRDefault="00C3218E" w:rsidP="00091EBD">
      <w:pPr>
        <w:shd w:val="clear" w:color="auto" w:fill="FFFFFF"/>
        <w:spacing w:line="480" w:lineRule="auto"/>
        <w:rPr>
          <w:rFonts w:eastAsia="Arial Unicode MS"/>
          <w:b/>
          <w:lang w:val="en-GB"/>
        </w:rPr>
      </w:pPr>
    </w:p>
    <w:p w14:paraId="36B63AAA" w14:textId="77777777" w:rsidR="007B38A8" w:rsidRDefault="007B38A8" w:rsidP="00091EBD">
      <w:pPr>
        <w:shd w:val="clear" w:color="auto" w:fill="FFFFFF"/>
        <w:spacing w:line="480" w:lineRule="auto"/>
        <w:rPr>
          <w:rFonts w:eastAsia="Arial Unicode MS"/>
          <w:b/>
          <w:lang w:val="en-GB"/>
        </w:rPr>
      </w:pPr>
    </w:p>
    <w:p w14:paraId="6D1C26AE" w14:textId="77777777" w:rsidR="007B38A8" w:rsidRDefault="007B38A8" w:rsidP="00091EBD">
      <w:pPr>
        <w:shd w:val="clear" w:color="auto" w:fill="FFFFFF"/>
        <w:spacing w:line="480" w:lineRule="auto"/>
        <w:rPr>
          <w:rFonts w:eastAsia="Arial Unicode MS"/>
          <w:b/>
          <w:lang w:val="en-GB"/>
        </w:rPr>
      </w:pPr>
    </w:p>
    <w:p w14:paraId="1281EEAC" w14:textId="77777777" w:rsidR="007B38A8" w:rsidRDefault="007B38A8" w:rsidP="00091EBD">
      <w:pPr>
        <w:shd w:val="clear" w:color="auto" w:fill="FFFFFF"/>
        <w:spacing w:line="480" w:lineRule="auto"/>
        <w:rPr>
          <w:rFonts w:eastAsia="Arial Unicode MS"/>
          <w:b/>
          <w:lang w:val="en-GB"/>
        </w:rPr>
      </w:pPr>
    </w:p>
    <w:p w14:paraId="34FE007D" w14:textId="77777777" w:rsidR="007B38A8" w:rsidRDefault="007B38A8" w:rsidP="00091EBD">
      <w:pPr>
        <w:shd w:val="clear" w:color="auto" w:fill="FFFFFF"/>
        <w:spacing w:line="480" w:lineRule="auto"/>
        <w:rPr>
          <w:rFonts w:eastAsia="Arial Unicode MS"/>
          <w:b/>
          <w:lang w:val="en-GB"/>
        </w:rPr>
      </w:pPr>
    </w:p>
    <w:p w14:paraId="4560DDD7" w14:textId="77777777" w:rsidR="007B38A8" w:rsidRDefault="007B38A8" w:rsidP="00091EBD">
      <w:pPr>
        <w:shd w:val="clear" w:color="auto" w:fill="FFFFFF"/>
        <w:spacing w:line="480" w:lineRule="auto"/>
        <w:rPr>
          <w:rFonts w:eastAsia="Arial Unicode MS"/>
          <w:b/>
          <w:lang w:val="en-GB"/>
        </w:rPr>
      </w:pPr>
    </w:p>
    <w:p w14:paraId="301ED2EF" w14:textId="0F6589B7" w:rsidR="00091EBD" w:rsidRPr="00D86603" w:rsidRDefault="00091EBD" w:rsidP="00091EBD">
      <w:pPr>
        <w:shd w:val="clear" w:color="auto" w:fill="FFFFFF"/>
        <w:spacing w:line="480" w:lineRule="auto"/>
        <w:rPr>
          <w:lang w:val="en-GB"/>
        </w:rPr>
      </w:pPr>
      <w:r w:rsidRPr="00D86603">
        <w:rPr>
          <w:rFonts w:eastAsia="Arial Unicode MS"/>
          <w:b/>
          <w:lang w:val="en-GB"/>
        </w:rPr>
        <w:lastRenderedPageBreak/>
        <w:t>Results</w:t>
      </w:r>
    </w:p>
    <w:p w14:paraId="298EF3C4" w14:textId="3F1F5102" w:rsidR="00091EBD" w:rsidRPr="00D86603" w:rsidRDefault="00091EBD" w:rsidP="00091EBD">
      <w:pPr>
        <w:spacing w:line="480" w:lineRule="auto"/>
        <w:rPr>
          <w:lang w:val="en-GB"/>
        </w:rPr>
      </w:pPr>
      <w:r w:rsidRPr="00D86603">
        <w:rPr>
          <w:rFonts w:eastAsia="Arial Unicode MS"/>
          <w:lang w:val="en-GB"/>
        </w:rPr>
        <w:t xml:space="preserve">In total, 1,021 patients were randomised to placebo. Of that number, 834 patients (82%) returned the diary. There was evidence of infection in 104 participants: with </w:t>
      </w:r>
      <w:r w:rsidRPr="00D86603">
        <w:rPr>
          <w:rFonts w:eastAsia="Arial Unicode MS"/>
          <w:i/>
          <w:lang w:val="en-GB"/>
        </w:rPr>
        <w:t xml:space="preserve">S. pneumoniae </w:t>
      </w:r>
      <w:r w:rsidRPr="00D86603">
        <w:rPr>
          <w:rFonts w:eastAsia="Arial Unicode MS"/>
          <w:lang w:val="en-GB"/>
        </w:rPr>
        <w:t xml:space="preserve">(48 participants), </w:t>
      </w:r>
      <w:r w:rsidRPr="00D86603">
        <w:rPr>
          <w:rFonts w:eastAsia="Arial Unicode MS"/>
          <w:i/>
          <w:lang w:val="en-GB"/>
        </w:rPr>
        <w:t>H. influenzae</w:t>
      </w:r>
      <w:r w:rsidRPr="00D86603">
        <w:rPr>
          <w:rFonts w:eastAsia="Arial Unicode MS"/>
          <w:lang w:val="en-GB"/>
        </w:rPr>
        <w:t xml:space="preserve"> (48 participants) or both (8 participants). The baseline characteristics of these 104 patients were similar to those who did </w:t>
      </w:r>
      <w:r w:rsidRPr="00D86603">
        <w:rPr>
          <w:lang w:val="en-GB"/>
        </w:rPr>
        <w:t xml:space="preserve">not return the diary or had </w:t>
      </w:r>
      <w:r w:rsidRPr="00D86603">
        <w:rPr>
          <w:rFonts w:eastAsia="Arial Unicode MS"/>
          <w:lang w:val="en-GB"/>
        </w:rPr>
        <w:t xml:space="preserve">no evidence of infection with </w:t>
      </w:r>
      <w:r w:rsidRPr="00D86603">
        <w:rPr>
          <w:rFonts w:eastAsia="Arial Unicode MS"/>
          <w:i/>
          <w:lang w:val="en-GB"/>
        </w:rPr>
        <w:t xml:space="preserve">S. pneumoniae </w:t>
      </w:r>
      <w:r w:rsidRPr="00D86603">
        <w:rPr>
          <w:rFonts w:eastAsia="Arial Unicode MS"/>
          <w:lang w:val="en-GB"/>
        </w:rPr>
        <w:t>or</w:t>
      </w:r>
      <w:r w:rsidRPr="00D86603">
        <w:rPr>
          <w:rFonts w:eastAsia="Arial Unicode MS"/>
          <w:i/>
          <w:lang w:val="en-GB"/>
        </w:rPr>
        <w:t xml:space="preserve"> H. influenzae, </w:t>
      </w:r>
      <w:r w:rsidRPr="00D86603">
        <w:rPr>
          <w:rFonts w:eastAsia="Arial Unicode MS"/>
          <w:lang w:val="en-GB"/>
        </w:rPr>
        <w:t xml:space="preserve">except for age and baseline symptom severity scores (appendix </w:t>
      </w:r>
      <w:r w:rsidR="00BD7784" w:rsidRPr="00D86603">
        <w:rPr>
          <w:rFonts w:eastAsia="Arial Unicode MS"/>
          <w:lang w:val="en-GB"/>
        </w:rPr>
        <w:t>5</w:t>
      </w:r>
      <w:r w:rsidRPr="00D86603">
        <w:rPr>
          <w:rFonts w:eastAsia="Arial Unicode MS"/>
          <w:lang w:val="en-GB"/>
        </w:rPr>
        <w:t xml:space="preserve">). Antibiotic-resistant </w:t>
      </w:r>
      <w:r w:rsidRPr="00D86603">
        <w:rPr>
          <w:lang w:val="en-GB"/>
        </w:rPr>
        <w:t>lower respiratory tract infection</w:t>
      </w:r>
      <w:r w:rsidRPr="00D86603">
        <w:rPr>
          <w:rFonts w:eastAsia="Arial Unicode MS"/>
          <w:lang w:val="en-GB"/>
        </w:rPr>
        <w:t xml:space="preserve"> was present in 54 (52%) out of 104 patients. </w:t>
      </w:r>
      <w:r w:rsidR="00B529D1" w:rsidRPr="005C2AC2">
        <w:rPr>
          <w:rFonts w:eastAsia="Arial Unicode MS"/>
          <w:lang w:val="en-GB"/>
        </w:rPr>
        <w:t>Resistance to amoxicillin, ampicillin or penicillin (</w:t>
      </w:r>
      <w:proofErr w:type="spellStart"/>
      <w:r w:rsidR="00B529D1" w:rsidRPr="005C2AC2">
        <w:rPr>
          <w:rFonts w:eastAsia="Arial Unicode MS"/>
          <w:lang w:val="en-GB"/>
        </w:rPr>
        <w:t>penicillins</w:t>
      </w:r>
      <w:proofErr w:type="spellEnd"/>
      <w:r w:rsidR="00B529D1" w:rsidRPr="005C2AC2">
        <w:rPr>
          <w:rFonts w:eastAsia="Arial Unicode MS"/>
          <w:lang w:val="en-GB"/>
        </w:rPr>
        <w:t xml:space="preserve">) was present in 7/104 patients (7%). </w:t>
      </w:r>
      <w:r w:rsidRPr="00D86603">
        <w:rPr>
          <w:rFonts w:eastAsia="Arial Unicode MS"/>
          <w:lang w:val="en-GB"/>
        </w:rPr>
        <w:t xml:space="preserve">The proportion of resistance was much higher in patients infected with </w:t>
      </w:r>
      <w:r w:rsidRPr="00D86603">
        <w:rPr>
          <w:rFonts w:eastAsia="Arial Unicode MS"/>
          <w:i/>
          <w:lang w:val="en-GB"/>
        </w:rPr>
        <w:t>S. pneumoniae</w:t>
      </w:r>
      <w:r w:rsidRPr="00D86603">
        <w:rPr>
          <w:rFonts w:eastAsia="Arial Unicode MS"/>
          <w:lang w:val="en-GB"/>
        </w:rPr>
        <w:t xml:space="preserve"> (42 of 48) than in those infected with </w:t>
      </w:r>
      <w:r w:rsidRPr="00D86603">
        <w:rPr>
          <w:rFonts w:eastAsia="Arial Unicode MS"/>
          <w:i/>
          <w:lang w:val="en-GB"/>
        </w:rPr>
        <w:t>H. influenzae</w:t>
      </w:r>
      <w:r w:rsidRPr="00D86603">
        <w:rPr>
          <w:rFonts w:eastAsia="Arial Unicode MS"/>
          <w:lang w:val="en-GB"/>
        </w:rPr>
        <w:t xml:space="preserve"> (5 of 48).</w:t>
      </w:r>
      <w:r w:rsidRPr="00D86603">
        <w:rPr>
          <w:lang w:val="en-GB"/>
        </w:rPr>
        <w:t xml:space="preserve"> Resistance of </w:t>
      </w:r>
      <w:r w:rsidRPr="00D86603">
        <w:rPr>
          <w:i/>
          <w:lang w:val="en-GB"/>
        </w:rPr>
        <w:t>S. pneumoniae</w:t>
      </w:r>
      <w:r w:rsidRPr="00D86603">
        <w:rPr>
          <w:lang w:val="en-GB"/>
        </w:rPr>
        <w:t xml:space="preserve"> to specific antibiotics were as follows: amoxicillin </w:t>
      </w:r>
      <w:r w:rsidR="006747C7" w:rsidRPr="00D86603">
        <w:rPr>
          <w:lang w:val="en-GB"/>
        </w:rPr>
        <w:t>0/56 (</w:t>
      </w:r>
      <w:r w:rsidRPr="00D86603">
        <w:rPr>
          <w:lang w:val="en-GB"/>
        </w:rPr>
        <w:t>0%</w:t>
      </w:r>
      <w:r w:rsidR="006747C7" w:rsidRPr="00D86603">
        <w:rPr>
          <w:lang w:val="en-GB"/>
        </w:rPr>
        <w:t>)</w:t>
      </w:r>
      <w:r w:rsidRPr="00D86603">
        <w:rPr>
          <w:lang w:val="en-GB"/>
        </w:rPr>
        <w:t xml:space="preserve">, penicillin G </w:t>
      </w:r>
      <w:r w:rsidR="006747C7" w:rsidRPr="00D86603">
        <w:rPr>
          <w:lang w:val="en-GB"/>
        </w:rPr>
        <w:t>1/56 (</w:t>
      </w:r>
      <w:r w:rsidR="00850419" w:rsidRPr="00D86603">
        <w:rPr>
          <w:lang w:val="en-GB"/>
        </w:rPr>
        <w:t>2</w:t>
      </w:r>
      <w:r w:rsidRPr="00D86603">
        <w:rPr>
          <w:lang w:val="en-GB"/>
        </w:rPr>
        <w:t>%</w:t>
      </w:r>
      <w:r w:rsidR="006747C7" w:rsidRPr="00D86603">
        <w:rPr>
          <w:lang w:val="en-GB"/>
        </w:rPr>
        <w:t>)</w:t>
      </w:r>
      <w:r w:rsidRPr="00D86603">
        <w:rPr>
          <w:lang w:val="en-GB"/>
        </w:rPr>
        <w:t xml:space="preserve">, erythromycin/clindamycin </w:t>
      </w:r>
      <w:r w:rsidR="006747C7" w:rsidRPr="00D86603">
        <w:rPr>
          <w:lang w:val="en-GB"/>
        </w:rPr>
        <w:t>13/56 (</w:t>
      </w:r>
      <w:r w:rsidRPr="00D86603">
        <w:rPr>
          <w:lang w:val="en-GB"/>
        </w:rPr>
        <w:t>23%</w:t>
      </w:r>
      <w:r w:rsidR="006747C7" w:rsidRPr="00D86603">
        <w:rPr>
          <w:lang w:val="en-GB"/>
        </w:rPr>
        <w:t>)</w:t>
      </w:r>
      <w:r w:rsidRPr="00D86603">
        <w:rPr>
          <w:lang w:val="en-GB"/>
        </w:rPr>
        <w:t xml:space="preserve">, tetracycline </w:t>
      </w:r>
      <w:r w:rsidR="006747C7" w:rsidRPr="00D86603">
        <w:rPr>
          <w:lang w:val="en-GB"/>
        </w:rPr>
        <w:t>13/56 (</w:t>
      </w:r>
      <w:r w:rsidRPr="00D86603">
        <w:rPr>
          <w:lang w:val="en-GB"/>
        </w:rPr>
        <w:t>23%</w:t>
      </w:r>
      <w:r w:rsidR="006747C7" w:rsidRPr="00D86603">
        <w:rPr>
          <w:lang w:val="en-GB"/>
        </w:rPr>
        <w:t>)</w:t>
      </w:r>
      <w:r w:rsidRPr="00D86603">
        <w:rPr>
          <w:lang w:val="en-GB"/>
        </w:rPr>
        <w:t xml:space="preserve">, chloramphenicol </w:t>
      </w:r>
      <w:r w:rsidR="006747C7" w:rsidRPr="00D86603">
        <w:rPr>
          <w:lang w:val="en-GB"/>
        </w:rPr>
        <w:t>4/56 (</w:t>
      </w:r>
      <w:r w:rsidRPr="00D86603">
        <w:rPr>
          <w:lang w:val="en-GB"/>
        </w:rPr>
        <w:t>7%</w:t>
      </w:r>
      <w:r w:rsidR="006747C7" w:rsidRPr="00D86603">
        <w:rPr>
          <w:lang w:val="en-GB"/>
        </w:rPr>
        <w:t>)</w:t>
      </w:r>
      <w:r w:rsidRPr="00D86603">
        <w:rPr>
          <w:lang w:val="en-GB"/>
        </w:rPr>
        <w:t xml:space="preserve">, trimethoprim/sulfamethoxazole </w:t>
      </w:r>
      <w:r w:rsidR="006747C7" w:rsidRPr="00D86603">
        <w:rPr>
          <w:lang w:val="en-GB"/>
        </w:rPr>
        <w:t>48/56 (</w:t>
      </w:r>
      <w:r w:rsidRPr="00D86603">
        <w:rPr>
          <w:lang w:val="en-GB"/>
        </w:rPr>
        <w:t>8</w:t>
      </w:r>
      <w:r w:rsidR="00167868" w:rsidRPr="00D86603">
        <w:rPr>
          <w:lang w:val="en-GB"/>
        </w:rPr>
        <w:t>6</w:t>
      </w:r>
      <w:r w:rsidRPr="00D86603">
        <w:rPr>
          <w:lang w:val="en-GB"/>
        </w:rPr>
        <w:t>%</w:t>
      </w:r>
      <w:r w:rsidR="006747C7" w:rsidRPr="00D86603">
        <w:rPr>
          <w:lang w:val="en-GB"/>
        </w:rPr>
        <w:t>)</w:t>
      </w:r>
      <w:r w:rsidRPr="00D86603">
        <w:rPr>
          <w:lang w:val="en-GB"/>
        </w:rPr>
        <w:t xml:space="preserve">, levofloxacin </w:t>
      </w:r>
      <w:r w:rsidR="006747C7" w:rsidRPr="00D86603">
        <w:rPr>
          <w:lang w:val="en-GB"/>
        </w:rPr>
        <w:t>0/56 (</w:t>
      </w:r>
      <w:r w:rsidRPr="00D86603">
        <w:rPr>
          <w:lang w:val="en-GB"/>
        </w:rPr>
        <w:t>0%</w:t>
      </w:r>
      <w:r w:rsidR="006747C7" w:rsidRPr="00D86603">
        <w:rPr>
          <w:lang w:val="en-GB"/>
        </w:rPr>
        <w:t>)</w:t>
      </w:r>
      <w:r w:rsidRPr="00D86603">
        <w:rPr>
          <w:lang w:val="en-GB"/>
        </w:rPr>
        <w:t xml:space="preserve"> and cefotaxime </w:t>
      </w:r>
      <w:r w:rsidR="006747C7" w:rsidRPr="00D86603">
        <w:rPr>
          <w:lang w:val="en-GB"/>
        </w:rPr>
        <w:t>0/56 (</w:t>
      </w:r>
      <w:r w:rsidRPr="00D86603">
        <w:rPr>
          <w:lang w:val="en-GB"/>
        </w:rPr>
        <w:t>0%</w:t>
      </w:r>
      <w:r w:rsidR="006747C7" w:rsidRPr="00D86603">
        <w:rPr>
          <w:lang w:val="en-GB"/>
        </w:rPr>
        <w:t>)</w:t>
      </w:r>
      <w:r w:rsidRPr="00D86603">
        <w:rPr>
          <w:lang w:val="en-GB"/>
        </w:rPr>
        <w:t xml:space="preserve">. For </w:t>
      </w:r>
      <w:r w:rsidRPr="00D86603">
        <w:rPr>
          <w:i/>
          <w:lang w:val="en-GB"/>
        </w:rPr>
        <w:t>H. influenzae</w:t>
      </w:r>
      <w:r w:rsidRPr="00D86603">
        <w:rPr>
          <w:lang w:val="en-GB"/>
        </w:rPr>
        <w:t xml:space="preserve">, the numbers were as follows: ampicillin </w:t>
      </w:r>
      <w:r w:rsidR="006747C7" w:rsidRPr="00D86603">
        <w:rPr>
          <w:lang w:val="en-GB"/>
        </w:rPr>
        <w:t>6/56 (</w:t>
      </w:r>
      <w:r w:rsidRPr="00D86603">
        <w:rPr>
          <w:lang w:val="en-GB"/>
        </w:rPr>
        <w:t>1</w:t>
      </w:r>
      <w:r w:rsidR="00167868" w:rsidRPr="00D86603">
        <w:rPr>
          <w:lang w:val="en-GB"/>
        </w:rPr>
        <w:t>1</w:t>
      </w:r>
      <w:r w:rsidRPr="00D86603">
        <w:rPr>
          <w:lang w:val="en-GB"/>
        </w:rPr>
        <w:t>%</w:t>
      </w:r>
      <w:r w:rsidR="006747C7" w:rsidRPr="00D86603">
        <w:rPr>
          <w:lang w:val="en-GB"/>
        </w:rPr>
        <w:t>)</w:t>
      </w:r>
      <w:r w:rsidRPr="00D86603">
        <w:rPr>
          <w:lang w:val="en-GB"/>
        </w:rPr>
        <w:t xml:space="preserve"> and tetracycline </w:t>
      </w:r>
      <w:r w:rsidR="006747C7" w:rsidRPr="00D86603">
        <w:rPr>
          <w:lang w:val="en-GB"/>
        </w:rPr>
        <w:t>1/56 (</w:t>
      </w:r>
      <w:r w:rsidR="00167868" w:rsidRPr="00D86603">
        <w:rPr>
          <w:lang w:val="en-GB"/>
        </w:rPr>
        <w:t>2</w:t>
      </w:r>
      <w:r w:rsidRPr="00D86603">
        <w:rPr>
          <w:lang w:val="en-GB"/>
        </w:rPr>
        <w:t>%</w:t>
      </w:r>
      <w:r w:rsidR="006747C7" w:rsidRPr="00D86603">
        <w:rPr>
          <w:lang w:val="en-GB"/>
        </w:rPr>
        <w:t>)</w:t>
      </w:r>
      <w:r w:rsidRPr="00D86603">
        <w:rPr>
          <w:lang w:val="en-GB"/>
        </w:rPr>
        <w:t xml:space="preserve">. </w:t>
      </w:r>
      <w:r w:rsidRPr="00D86603">
        <w:rPr>
          <w:rFonts w:eastAsia="Arial Unicode MS"/>
          <w:lang w:val="en-GB"/>
        </w:rPr>
        <w:t xml:space="preserve">The baseline characteristics did not differ between patients with and without antibiotic-resistant </w:t>
      </w:r>
      <w:r w:rsidRPr="00D86603">
        <w:rPr>
          <w:lang w:val="en-GB"/>
        </w:rPr>
        <w:t>lower respiratory tract infections</w:t>
      </w:r>
      <w:r w:rsidRPr="00D86603">
        <w:rPr>
          <w:rFonts w:eastAsia="Arial Unicode MS"/>
          <w:lang w:val="en-GB"/>
        </w:rPr>
        <w:t xml:space="preserve"> (table 1); this was also the case for the subgroups of infection with </w:t>
      </w:r>
      <w:r w:rsidRPr="00D86603">
        <w:rPr>
          <w:rFonts w:eastAsia="Arial Unicode MS"/>
          <w:i/>
          <w:lang w:val="en-GB"/>
        </w:rPr>
        <w:t>S. pneumoniae</w:t>
      </w:r>
      <w:r w:rsidRPr="00D86603">
        <w:rPr>
          <w:rFonts w:eastAsia="Arial Unicode MS"/>
          <w:lang w:val="en-GB"/>
        </w:rPr>
        <w:t xml:space="preserve"> (appendix </w:t>
      </w:r>
      <w:r w:rsidR="00BD7784" w:rsidRPr="00D86603">
        <w:rPr>
          <w:rFonts w:eastAsia="Arial Unicode MS"/>
          <w:lang w:val="en-GB"/>
        </w:rPr>
        <w:t>6</w:t>
      </w:r>
      <w:r w:rsidRPr="00D86603">
        <w:rPr>
          <w:rFonts w:eastAsia="Arial Unicode MS"/>
          <w:lang w:val="en-GB"/>
        </w:rPr>
        <w:t xml:space="preserve">) and infection with </w:t>
      </w:r>
      <w:r w:rsidRPr="00D86603">
        <w:rPr>
          <w:rFonts w:eastAsia="Arial Unicode MS"/>
          <w:i/>
          <w:lang w:val="en-GB"/>
        </w:rPr>
        <w:t>H. influenzae</w:t>
      </w:r>
      <w:r w:rsidRPr="00D86603">
        <w:rPr>
          <w:rFonts w:eastAsia="Arial Unicode MS"/>
          <w:lang w:val="en-GB"/>
        </w:rPr>
        <w:t xml:space="preserve"> (appendix </w:t>
      </w:r>
      <w:r w:rsidR="00BD7784" w:rsidRPr="00D86603">
        <w:rPr>
          <w:rFonts w:eastAsia="Arial Unicode MS"/>
          <w:lang w:val="en-GB"/>
        </w:rPr>
        <w:t>7</w:t>
      </w:r>
      <w:r w:rsidRPr="00D86603">
        <w:rPr>
          <w:rFonts w:eastAsia="Arial Unicode MS"/>
          <w:lang w:val="en-GB"/>
        </w:rPr>
        <w:t xml:space="preserve">). </w:t>
      </w:r>
    </w:p>
    <w:p w14:paraId="6C2A70FB" w14:textId="77777777" w:rsidR="00091EBD" w:rsidRPr="00D86603" w:rsidRDefault="00091EBD" w:rsidP="00091EBD">
      <w:pPr>
        <w:spacing w:line="480" w:lineRule="auto"/>
        <w:rPr>
          <w:rFonts w:eastAsia="Arial Unicode MS"/>
          <w:lang w:val="en-GB"/>
        </w:rPr>
      </w:pPr>
    </w:p>
    <w:p w14:paraId="333D31AA" w14:textId="77777777" w:rsidR="00091EBD" w:rsidRPr="00D86603" w:rsidRDefault="00091EBD" w:rsidP="00091EBD">
      <w:pPr>
        <w:spacing w:line="480" w:lineRule="auto"/>
        <w:rPr>
          <w:rFonts w:eastAsia="Arial Unicode MS"/>
          <w:i/>
          <w:lang w:val="en-GB"/>
        </w:rPr>
      </w:pPr>
      <w:r w:rsidRPr="00D86603">
        <w:rPr>
          <w:rFonts w:eastAsia="Arial Unicode MS"/>
          <w:i/>
          <w:lang w:val="en-GB"/>
        </w:rPr>
        <w:t>Disease course</w:t>
      </w:r>
    </w:p>
    <w:p w14:paraId="4DA71090" w14:textId="77777777" w:rsidR="001C3CB7" w:rsidRPr="00D86603" w:rsidRDefault="00091EBD" w:rsidP="00091EBD">
      <w:pPr>
        <w:spacing w:line="480" w:lineRule="auto"/>
        <w:rPr>
          <w:rFonts w:eastAsia="Arial Unicode MS"/>
          <w:lang w:val="en-GB"/>
        </w:rPr>
      </w:pPr>
      <w:r w:rsidRPr="00D86603">
        <w:rPr>
          <w:rFonts w:eastAsia="Arial Unicode MS"/>
          <w:lang w:val="en-GB"/>
        </w:rPr>
        <w:t xml:space="preserve">For all outcomes, the illness course of patients with antibiotic-resistant </w:t>
      </w:r>
      <w:r w:rsidRPr="00D86603">
        <w:rPr>
          <w:lang w:val="en-GB"/>
        </w:rPr>
        <w:t>lower respiratory tract infection</w:t>
      </w:r>
      <w:r w:rsidRPr="00D86603">
        <w:rPr>
          <w:rFonts w:eastAsia="Arial Unicode MS"/>
          <w:lang w:val="en-GB"/>
        </w:rPr>
        <w:t xml:space="preserve"> tended to be slightly more favourable than that of patients with sensitive bacteria. After adjustment for confounders, however, there were no significant differences in illness course between those with and those without antibiotic-resistant lower respiratory tract infections (table 2). Only one patient from the non-antibiotic-resistant </w:t>
      </w:r>
      <w:r w:rsidRPr="00D86603">
        <w:rPr>
          <w:lang w:val="en-GB"/>
        </w:rPr>
        <w:t xml:space="preserve">lower respiratory tract </w:t>
      </w:r>
      <w:r w:rsidRPr="00D86603">
        <w:rPr>
          <w:lang w:val="en-GB"/>
        </w:rPr>
        <w:lastRenderedPageBreak/>
        <w:t>infection</w:t>
      </w:r>
      <w:r w:rsidRPr="00D86603">
        <w:rPr>
          <w:rFonts w:eastAsia="Arial Unicode MS"/>
          <w:lang w:val="en-GB"/>
        </w:rPr>
        <w:t xml:space="preserve"> group required hospital admission within four weeks after their first consultation. No study-related deaths were noted.</w:t>
      </w:r>
      <w:r w:rsidRPr="00D86603">
        <w:rPr>
          <w:lang w:val="en-GB"/>
        </w:rPr>
        <w:t xml:space="preserve"> </w:t>
      </w:r>
    </w:p>
    <w:p w14:paraId="6B605D7E" w14:textId="77777777" w:rsidR="00550DED" w:rsidRPr="00D86603" w:rsidRDefault="00550DED" w:rsidP="00091EBD">
      <w:pPr>
        <w:spacing w:line="480" w:lineRule="auto"/>
        <w:rPr>
          <w:b/>
          <w:lang w:val="en-GB"/>
        </w:rPr>
      </w:pPr>
    </w:p>
    <w:p w14:paraId="05F892B5" w14:textId="77777777" w:rsidR="008F76A0" w:rsidRPr="00D86603" w:rsidRDefault="008F76A0" w:rsidP="00091EBD">
      <w:pPr>
        <w:spacing w:line="480" w:lineRule="auto"/>
        <w:rPr>
          <w:b/>
          <w:lang w:val="en-GB"/>
        </w:rPr>
      </w:pPr>
    </w:p>
    <w:p w14:paraId="711C18DB" w14:textId="77777777" w:rsidR="008F76A0" w:rsidRPr="00D86603" w:rsidRDefault="008F76A0" w:rsidP="00091EBD">
      <w:pPr>
        <w:spacing w:line="480" w:lineRule="auto"/>
        <w:rPr>
          <w:b/>
          <w:lang w:val="en-GB"/>
        </w:rPr>
      </w:pPr>
    </w:p>
    <w:p w14:paraId="4F0CC46C" w14:textId="77777777" w:rsidR="008F76A0" w:rsidRPr="00D86603" w:rsidRDefault="008F76A0" w:rsidP="00091EBD">
      <w:pPr>
        <w:spacing w:line="480" w:lineRule="auto"/>
        <w:rPr>
          <w:b/>
          <w:lang w:val="en-GB"/>
        </w:rPr>
      </w:pPr>
    </w:p>
    <w:p w14:paraId="1D740C2E" w14:textId="77777777" w:rsidR="008F76A0" w:rsidRPr="00D86603" w:rsidRDefault="008F76A0" w:rsidP="00091EBD">
      <w:pPr>
        <w:spacing w:line="480" w:lineRule="auto"/>
        <w:rPr>
          <w:b/>
          <w:lang w:val="en-GB"/>
        </w:rPr>
      </w:pPr>
    </w:p>
    <w:p w14:paraId="743EA601" w14:textId="77777777" w:rsidR="008F76A0" w:rsidRPr="00D86603" w:rsidRDefault="008F76A0" w:rsidP="00091EBD">
      <w:pPr>
        <w:spacing w:line="480" w:lineRule="auto"/>
        <w:rPr>
          <w:b/>
          <w:lang w:val="en-GB"/>
        </w:rPr>
      </w:pPr>
    </w:p>
    <w:p w14:paraId="0D47C2E7" w14:textId="77777777" w:rsidR="008F76A0" w:rsidRPr="00D86603" w:rsidRDefault="008F76A0" w:rsidP="00091EBD">
      <w:pPr>
        <w:spacing w:line="480" w:lineRule="auto"/>
        <w:rPr>
          <w:b/>
          <w:lang w:val="en-GB"/>
        </w:rPr>
      </w:pPr>
    </w:p>
    <w:p w14:paraId="6E7F3C94" w14:textId="77777777" w:rsidR="008F76A0" w:rsidRPr="00D86603" w:rsidRDefault="008F76A0" w:rsidP="00091EBD">
      <w:pPr>
        <w:spacing w:line="480" w:lineRule="auto"/>
        <w:rPr>
          <w:b/>
          <w:lang w:val="en-GB"/>
        </w:rPr>
      </w:pPr>
    </w:p>
    <w:p w14:paraId="016FD7FF" w14:textId="77777777" w:rsidR="008F76A0" w:rsidRPr="00D86603" w:rsidRDefault="008F76A0" w:rsidP="00091EBD">
      <w:pPr>
        <w:spacing w:line="480" w:lineRule="auto"/>
        <w:rPr>
          <w:b/>
          <w:lang w:val="en-GB"/>
        </w:rPr>
      </w:pPr>
    </w:p>
    <w:p w14:paraId="549901DD" w14:textId="77777777" w:rsidR="008F76A0" w:rsidRPr="00D86603" w:rsidRDefault="008F76A0" w:rsidP="00091EBD">
      <w:pPr>
        <w:spacing w:line="480" w:lineRule="auto"/>
        <w:rPr>
          <w:b/>
          <w:lang w:val="en-GB"/>
        </w:rPr>
      </w:pPr>
    </w:p>
    <w:p w14:paraId="0B394001" w14:textId="77777777" w:rsidR="008F76A0" w:rsidRPr="00D86603" w:rsidRDefault="008F76A0" w:rsidP="00091EBD">
      <w:pPr>
        <w:spacing w:line="480" w:lineRule="auto"/>
        <w:rPr>
          <w:b/>
          <w:lang w:val="en-GB"/>
        </w:rPr>
      </w:pPr>
    </w:p>
    <w:p w14:paraId="1021C200" w14:textId="77777777" w:rsidR="008F76A0" w:rsidRPr="00D86603" w:rsidRDefault="008F76A0" w:rsidP="00091EBD">
      <w:pPr>
        <w:spacing w:line="480" w:lineRule="auto"/>
        <w:rPr>
          <w:b/>
          <w:lang w:val="en-GB"/>
        </w:rPr>
      </w:pPr>
    </w:p>
    <w:p w14:paraId="64704FC7" w14:textId="77777777" w:rsidR="008F76A0" w:rsidRPr="00D86603" w:rsidRDefault="008F76A0" w:rsidP="00091EBD">
      <w:pPr>
        <w:spacing w:line="480" w:lineRule="auto"/>
        <w:rPr>
          <w:b/>
          <w:lang w:val="en-GB"/>
        </w:rPr>
      </w:pPr>
    </w:p>
    <w:p w14:paraId="6FC06D1B" w14:textId="77777777" w:rsidR="008F76A0" w:rsidRPr="00D86603" w:rsidRDefault="008F76A0" w:rsidP="00091EBD">
      <w:pPr>
        <w:spacing w:line="480" w:lineRule="auto"/>
        <w:rPr>
          <w:b/>
          <w:lang w:val="en-GB"/>
        </w:rPr>
      </w:pPr>
    </w:p>
    <w:p w14:paraId="17F63869" w14:textId="77777777" w:rsidR="008F76A0" w:rsidRPr="00D86603" w:rsidRDefault="008F76A0" w:rsidP="00091EBD">
      <w:pPr>
        <w:spacing w:line="480" w:lineRule="auto"/>
        <w:rPr>
          <w:b/>
          <w:lang w:val="en-GB"/>
        </w:rPr>
      </w:pPr>
    </w:p>
    <w:p w14:paraId="21F6B792" w14:textId="77777777" w:rsidR="008F76A0" w:rsidRPr="00D86603" w:rsidRDefault="008F76A0" w:rsidP="00091EBD">
      <w:pPr>
        <w:spacing w:line="480" w:lineRule="auto"/>
        <w:rPr>
          <w:b/>
          <w:lang w:val="en-GB"/>
        </w:rPr>
      </w:pPr>
    </w:p>
    <w:p w14:paraId="019D7978" w14:textId="77777777" w:rsidR="008F76A0" w:rsidRPr="00D86603" w:rsidRDefault="008F76A0" w:rsidP="00091EBD">
      <w:pPr>
        <w:spacing w:line="480" w:lineRule="auto"/>
        <w:rPr>
          <w:b/>
          <w:lang w:val="en-GB"/>
        </w:rPr>
      </w:pPr>
    </w:p>
    <w:p w14:paraId="424BA8E2" w14:textId="77777777" w:rsidR="008F76A0" w:rsidRPr="00D86603" w:rsidRDefault="008F76A0" w:rsidP="00091EBD">
      <w:pPr>
        <w:spacing w:line="480" w:lineRule="auto"/>
        <w:rPr>
          <w:b/>
          <w:lang w:val="en-GB"/>
        </w:rPr>
      </w:pPr>
    </w:p>
    <w:p w14:paraId="5D93BC81" w14:textId="77777777" w:rsidR="008F76A0" w:rsidRPr="00D86603" w:rsidRDefault="008F76A0" w:rsidP="00091EBD">
      <w:pPr>
        <w:spacing w:line="480" w:lineRule="auto"/>
        <w:rPr>
          <w:b/>
          <w:lang w:val="en-GB"/>
        </w:rPr>
      </w:pPr>
    </w:p>
    <w:p w14:paraId="5B7A573D" w14:textId="77777777" w:rsidR="008F76A0" w:rsidRPr="00D86603" w:rsidRDefault="008F76A0" w:rsidP="00091EBD">
      <w:pPr>
        <w:spacing w:line="480" w:lineRule="auto"/>
        <w:rPr>
          <w:b/>
          <w:lang w:val="en-GB"/>
        </w:rPr>
      </w:pPr>
    </w:p>
    <w:p w14:paraId="764D1C8D" w14:textId="77777777" w:rsidR="008F76A0" w:rsidRPr="00D86603" w:rsidRDefault="008F76A0" w:rsidP="00091EBD">
      <w:pPr>
        <w:spacing w:line="480" w:lineRule="auto"/>
        <w:rPr>
          <w:b/>
          <w:lang w:val="en-GB"/>
        </w:rPr>
      </w:pPr>
    </w:p>
    <w:p w14:paraId="60F157AD" w14:textId="77777777" w:rsidR="008F76A0" w:rsidRPr="00D86603" w:rsidRDefault="008F76A0" w:rsidP="00091EBD">
      <w:pPr>
        <w:spacing w:line="480" w:lineRule="auto"/>
        <w:rPr>
          <w:b/>
          <w:lang w:val="en-GB"/>
        </w:rPr>
      </w:pPr>
    </w:p>
    <w:p w14:paraId="079AE6A1" w14:textId="77777777" w:rsidR="007B38A8" w:rsidRDefault="007B38A8" w:rsidP="00091EBD">
      <w:pPr>
        <w:spacing w:line="480" w:lineRule="auto"/>
        <w:rPr>
          <w:b/>
          <w:lang w:val="en-GB"/>
        </w:rPr>
      </w:pPr>
    </w:p>
    <w:p w14:paraId="1D333AEF" w14:textId="302B48F7" w:rsidR="00091EBD" w:rsidRPr="00D86603" w:rsidRDefault="00091EBD" w:rsidP="00091EBD">
      <w:pPr>
        <w:spacing w:line="480" w:lineRule="auto"/>
        <w:rPr>
          <w:rFonts w:eastAsia="Arial Unicode MS"/>
          <w:lang w:val="en-GB"/>
        </w:rPr>
      </w:pPr>
      <w:r w:rsidRPr="00D86603">
        <w:rPr>
          <w:b/>
          <w:lang w:val="en-GB"/>
        </w:rPr>
        <w:lastRenderedPageBreak/>
        <w:t>Discussion</w:t>
      </w:r>
    </w:p>
    <w:p w14:paraId="51689566" w14:textId="77777777" w:rsidR="00091EBD" w:rsidRPr="00D86603" w:rsidRDefault="001C3CB7" w:rsidP="00091EBD">
      <w:pPr>
        <w:spacing w:line="480" w:lineRule="auto"/>
        <w:rPr>
          <w:i/>
          <w:lang w:val="en-GB"/>
        </w:rPr>
      </w:pPr>
      <w:r w:rsidRPr="00D86603">
        <w:rPr>
          <w:i/>
          <w:lang w:val="en-GB"/>
        </w:rPr>
        <w:t>Summary</w:t>
      </w:r>
    </w:p>
    <w:p w14:paraId="34385B33" w14:textId="77777777" w:rsidR="00091EBD" w:rsidRPr="00D86603" w:rsidRDefault="00091EBD" w:rsidP="00091EBD">
      <w:pPr>
        <w:spacing w:line="480" w:lineRule="auto"/>
        <w:rPr>
          <w:lang w:val="en-GB"/>
        </w:rPr>
      </w:pPr>
      <w:r w:rsidRPr="00D86603">
        <w:rPr>
          <w:lang w:val="en-GB"/>
        </w:rPr>
        <w:t xml:space="preserve">Over half of the </w:t>
      </w:r>
      <w:r w:rsidRPr="00D86603">
        <w:rPr>
          <w:i/>
          <w:lang w:val="en-GB"/>
        </w:rPr>
        <w:t>S. pneumoniae</w:t>
      </w:r>
      <w:r w:rsidRPr="00D86603">
        <w:rPr>
          <w:lang w:val="en-GB"/>
        </w:rPr>
        <w:t xml:space="preserve"> and </w:t>
      </w:r>
      <w:r w:rsidRPr="00D86603">
        <w:rPr>
          <w:i/>
          <w:lang w:val="en-GB"/>
        </w:rPr>
        <w:t>H. influenzae</w:t>
      </w:r>
      <w:r w:rsidRPr="00D86603">
        <w:rPr>
          <w:lang w:val="en-GB"/>
        </w:rPr>
        <w:t xml:space="preserve"> isolates from adults presenting to primary care with lower respiratory tract infection were resistant </w:t>
      </w:r>
      <w:r w:rsidRPr="00D86603">
        <w:rPr>
          <w:rFonts w:eastAsia="Arial Unicode MS"/>
          <w:lang w:val="en-GB"/>
        </w:rPr>
        <w:t xml:space="preserve">to at least one tested antibiotic, but resistance to </w:t>
      </w:r>
      <w:proofErr w:type="spellStart"/>
      <w:r w:rsidRPr="00D86603">
        <w:rPr>
          <w:rFonts w:eastAsia="Arial Unicode MS"/>
          <w:lang w:val="en-GB"/>
        </w:rPr>
        <w:t>penicillins</w:t>
      </w:r>
      <w:proofErr w:type="spellEnd"/>
      <w:r w:rsidRPr="00D86603">
        <w:rPr>
          <w:rFonts w:eastAsia="Arial Unicode MS"/>
          <w:lang w:val="en-GB"/>
        </w:rPr>
        <w:t xml:space="preserve"> was present in less than 10%. Patients with antibiotic-resistant </w:t>
      </w:r>
      <w:r w:rsidRPr="00D86603">
        <w:rPr>
          <w:lang w:val="en-GB"/>
        </w:rPr>
        <w:t>lower respiratory tract infection</w:t>
      </w:r>
      <w:r w:rsidRPr="00D86603">
        <w:rPr>
          <w:rFonts w:eastAsia="Arial Unicode MS"/>
          <w:lang w:val="en-GB"/>
        </w:rPr>
        <w:t xml:space="preserve"> did not have a different illness course than those with susceptible infections. </w:t>
      </w:r>
    </w:p>
    <w:p w14:paraId="710F71A4" w14:textId="77777777" w:rsidR="001C3CB7" w:rsidRPr="00D86603" w:rsidRDefault="001C3CB7" w:rsidP="00091EBD">
      <w:pPr>
        <w:spacing w:line="480" w:lineRule="auto"/>
        <w:rPr>
          <w:lang w:val="en-GB"/>
        </w:rPr>
      </w:pPr>
    </w:p>
    <w:p w14:paraId="788790AB" w14:textId="77777777" w:rsidR="001C3CB7" w:rsidRPr="00D86603" w:rsidRDefault="001C3CB7" w:rsidP="001C3CB7">
      <w:pPr>
        <w:spacing w:line="480" w:lineRule="auto"/>
        <w:rPr>
          <w:i/>
          <w:lang w:val="en-GB"/>
        </w:rPr>
      </w:pPr>
      <w:r w:rsidRPr="00D86603">
        <w:rPr>
          <w:i/>
          <w:lang w:val="en-GB"/>
        </w:rPr>
        <w:t>Strengths and limitations</w:t>
      </w:r>
    </w:p>
    <w:p w14:paraId="03C5E623" w14:textId="34A13C99" w:rsidR="001C3CB7" w:rsidRPr="00D86603" w:rsidRDefault="001C3CB7" w:rsidP="001C3CB7">
      <w:pPr>
        <w:spacing w:line="480" w:lineRule="auto"/>
        <w:rPr>
          <w:lang w:val="en-GB"/>
        </w:rPr>
      </w:pPr>
      <w:r w:rsidRPr="00D86603">
        <w:rPr>
          <w:lang w:val="en-GB"/>
        </w:rPr>
        <w:t>To our knowledge, this is the first</w:t>
      </w:r>
      <w:r w:rsidR="001C270D">
        <w:rPr>
          <w:lang w:val="en-GB"/>
        </w:rPr>
        <w:t xml:space="preserve"> </w:t>
      </w:r>
      <w:r w:rsidRPr="00D86603">
        <w:rPr>
          <w:lang w:val="en-GB"/>
        </w:rPr>
        <w:t>study of the illness course of antimicrobial-resistant lower respiratory tract infection in primary care. We were able to describe and compare the illness course of antibiotic-resistant and antibiotic-sensitive lower respiratory tract infections.</w:t>
      </w:r>
    </w:p>
    <w:p w14:paraId="5A1A837C" w14:textId="77777777" w:rsidR="001C3CB7" w:rsidRPr="00D86603" w:rsidRDefault="001C3CB7" w:rsidP="001C3CB7">
      <w:pPr>
        <w:spacing w:line="480" w:lineRule="auto"/>
        <w:rPr>
          <w:lang w:val="en-GB"/>
        </w:rPr>
      </w:pPr>
      <w:r w:rsidRPr="00D86603">
        <w:rPr>
          <w:lang w:val="en-GB"/>
        </w:rPr>
        <w:t xml:space="preserve">A first potential limitation is misclassification of bacterial lower respiratory tract infection by airway bacterial colonisation or carriership, due to which we may have erroneously concluded that there are no differences in disease course between those with and without antibiotic-resistant lower respiratory tract infections. In studies where </w:t>
      </w:r>
      <w:r w:rsidRPr="00D86603">
        <w:rPr>
          <w:i/>
          <w:lang w:val="en-GB"/>
        </w:rPr>
        <w:t>H. influenzae</w:t>
      </w:r>
      <w:r w:rsidRPr="00D86603">
        <w:rPr>
          <w:lang w:val="en-GB"/>
        </w:rPr>
        <w:t xml:space="preserve"> and </w:t>
      </w:r>
      <w:r w:rsidRPr="00D86603">
        <w:rPr>
          <w:i/>
          <w:lang w:val="en-GB"/>
        </w:rPr>
        <w:t>S. pneumoniae</w:t>
      </w:r>
      <w:r w:rsidRPr="00D86603">
        <w:rPr>
          <w:lang w:val="en-GB"/>
        </w:rPr>
        <w:t xml:space="preserve"> were identified using conventional methods in healthy individuals, prevalence of colonisation was 10% at most.[16,17] Patients with chronic obstructive pulmonary disease are different in the sense that they are more likely to be colonised with </w:t>
      </w:r>
      <w:r w:rsidRPr="00D86603">
        <w:rPr>
          <w:i/>
          <w:lang w:val="en-GB"/>
        </w:rPr>
        <w:t>H. influenzae</w:t>
      </w:r>
      <w:r w:rsidRPr="00D86603">
        <w:rPr>
          <w:lang w:val="en-GB"/>
        </w:rPr>
        <w:t xml:space="preserve"> (17%),[18] but only a few patients with chronic obstructive pulmonary disease (n = 6/104, 6%) were included in our study. In our study population of symptomatic patients with acute lower respiratory tract infection, we expect misclassification by carriership to be far less than 10% because we assume there to be a high chance that detected bacteria were actually the cause of current complaints, rather than a sign of carriership. </w:t>
      </w:r>
    </w:p>
    <w:p w14:paraId="463323C8" w14:textId="7CEBB622" w:rsidR="001C3CB7" w:rsidRPr="00D86603" w:rsidRDefault="001C3CB7" w:rsidP="001C3CB7">
      <w:pPr>
        <w:spacing w:line="480" w:lineRule="auto"/>
        <w:rPr>
          <w:lang w:val="en-GB"/>
        </w:rPr>
      </w:pPr>
      <w:r w:rsidRPr="00D86603">
        <w:rPr>
          <w:lang w:val="en-GB"/>
        </w:rPr>
        <w:lastRenderedPageBreak/>
        <w:t xml:space="preserve">Another possible limitation is that we defined bacterial resistance as resistance </w:t>
      </w:r>
      <w:r w:rsidRPr="00D86603">
        <w:rPr>
          <w:rFonts w:eastAsia="Arial Unicode MS"/>
          <w:lang w:val="en-GB"/>
        </w:rPr>
        <w:t>to at least one tested antibiotic</w:t>
      </w:r>
      <w:r w:rsidRPr="00D86603">
        <w:rPr>
          <w:lang w:val="en-GB"/>
        </w:rPr>
        <w:t xml:space="preserve">. In our study, the overall prevalence of bacterial resistance was mainly driven by the resistance of </w:t>
      </w:r>
      <w:r w:rsidRPr="00D86603">
        <w:rPr>
          <w:i/>
          <w:lang w:val="en-GB"/>
        </w:rPr>
        <w:t>S. pneumoniae</w:t>
      </w:r>
      <w:r w:rsidRPr="00D86603">
        <w:rPr>
          <w:lang w:val="en-GB"/>
        </w:rPr>
        <w:t xml:space="preserve"> to trimethoprim/sulfamethoxazole (8</w:t>
      </w:r>
      <w:r w:rsidR="0032352A" w:rsidRPr="00D86603">
        <w:rPr>
          <w:lang w:val="en-GB"/>
        </w:rPr>
        <w:t>6</w:t>
      </w:r>
      <w:r w:rsidRPr="00D86603">
        <w:rPr>
          <w:lang w:val="en-GB"/>
        </w:rPr>
        <w:t xml:space="preserve">%). One might claim, however, that resistance to </w:t>
      </w:r>
      <w:proofErr w:type="spellStart"/>
      <w:r w:rsidRPr="00D86603">
        <w:rPr>
          <w:lang w:val="en-GB"/>
        </w:rPr>
        <w:t>penicillins</w:t>
      </w:r>
      <w:proofErr w:type="spellEnd"/>
      <w:r w:rsidRPr="00D86603">
        <w:rPr>
          <w:lang w:val="en-GB"/>
        </w:rPr>
        <w:t xml:space="preserve"> is more clinically relevant, since </w:t>
      </w:r>
      <w:proofErr w:type="spellStart"/>
      <w:r w:rsidRPr="00D86603">
        <w:rPr>
          <w:lang w:val="en-GB"/>
        </w:rPr>
        <w:t>penicillins</w:t>
      </w:r>
      <w:proofErr w:type="spellEnd"/>
      <w:r w:rsidRPr="00D86603">
        <w:rPr>
          <w:lang w:val="en-GB"/>
        </w:rPr>
        <w:t xml:space="preserve"> are the recommended antibiotic for lower respiratory tract infection in Europe. However, the number of patients with resistance to </w:t>
      </w:r>
      <w:proofErr w:type="spellStart"/>
      <w:r w:rsidRPr="00D86603">
        <w:rPr>
          <w:lang w:val="en-GB"/>
        </w:rPr>
        <w:t>penicillins</w:t>
      </w:r>
      <w:proofErr w:type="spellEnd"/>
      <w:r w:rsidRPr="00D86603">
        <w:rPr>
          <w:lang w:val="en-GB"/>
        </w:rPr>
        <w:t xml:space="preserve"> was too small (n = 7) to evaluate the course of disease in this subgroup separately. Moreover, antibiotic resistance does not appear to be a relevant issue for the individual patient with lower respiratory tract infection in our study. It is probably more relevant for patients with pneumonia where antibiotics were shown to have a relevant effect.[19] </w:t>
      </w:r>
    </w:p>
    <w:p w14:paraId="12BD1E54" w14:textId="79B73221" w:rsidR="008F76A0" w:rsidRPr="00D86603" w:rsidRDefault="00B529D1" w:rsidP="001C3CB7">
      <w:pPr>
        <w:spacing w:line="480" w:lineRule="auto"/>
        <w:rPr>
          <w:lang w:val="en-GB"/>
        </w:rPr>
      </w:pPr>
      <w:r w:rsidRPr="00D86603">
        <w:rPr>
          <w:lang w:val="en-GB"/>
        </w:rPr>
        <w:t>Because lower respiratory tract infections are common, far more eligible patients consulted their clinicians during the recruitment period than were invited to participate in this study. As a result, we did not achieve the goal of recruiting all consecutive, eligible patients. Nevertheless, we assume that this study sample resulted in limited selection bias, because participating clinicians reported that the main reason not to include all eligible patients was due to time constraints.[1</w:t>
      </w:r>
      <w:r w:rsidR="005A3C40" w:rsidRPr="00D86603">
        <w:rPr>
          <w:lang w:val="en-GB"/>
        </w:rPr>
        <w:t>3</w:t>
      </w:r>
      <w:r w:rsidRPr="00D86603">
        <w:rPr>
          <w:lang w:val="en-GB"/>
        </w:rPr>
        <w:t>]</w:t>
      </w:r>
      <w:r w:rsidR="008F76A0" w:rsidRPr="00D86603">
        <w:rPr>
          <w:lang w:val="en-GB"/>
        </w:rPr>
        <w:t xml:space="preserve"> </w:t>
      </w:r>
    </w:p>
    <w:p w14:paraId="41EA1E40" w14:textId="0E48A331" w:rsidR="001C3CB7" w:rsidRPr="00D177AE" w:rsidRDefault="008F76A0" w:rsidP="00091EBD">
      <w:pPr>
        <w:spacing w:line="480" w:lineRule="auto"/>
        <w:rPr>
          <w:lang w:val="en-GB"/>
        </w:rPr>
      </w:pPr>
      <w:r w:rsidRPr="00D86603">
        <w:rPr>
          <w:lang w:val="en-GB"/>
        </w:rPr>
        <w:t>R</w:t>
      </w:r>
      <w:r w:rsidR="001C3CB7" w:rsidRPr="00D86603">
        <w:rPr>
          <w:lang w:val="en-GB"/>
        </w:rPr>
        <w:t xml:space="preserve">egarding generalisability, we studied outpatients with lower respiratory tract infection with little comorbidity in whom pneumonia or the need for hospitalisation were not suspected during their initial assessment. Our findings might not be generalizable to more vulnerable or more severely ill patients. </w:t>
      </w:r>
      <w:bookmarkStart w:id="5" w:name="_Hlk505845860"/>
      <w:r w:rsidR="00BA3C78" w:rsidRPr="00D177AE">
        <w:rPr>
          <w:lang w:val="en-GB"/>
        </w:rPr>
        <w:t xml:space="preserve">Finally, the power calculation of the GRACE trial did not formally include analyses on the subgroup of patients with antibiotic-resistant bacteria and therefore there is a risk of false negative results (Type II error). </w:t>
      </w:r>
      <w:bookmarkEnd w:id="5"/>
    </w:p>
    <w:p w14:paraId="02F64F88" w14:textId="77777777" w:rsidR="00BA3C78" w:rsidRPr="00D177AE" w:rsidRDefault="00BA3C78" w:rsidP="00091EBD">
      <w:pPr>
        <w:spacing w:line="480" w:lineRule="auto"/>
        <w:rPr>
          <w:lang w:val="en-GB"/>
        </w:rPr>
      </w:pPr>
    </w:p>
    <w:p w14:paraId="4D9763D4" w14:textId="77777777" w:rsidR="00091EBD" w:rsidRPr="00D86603" w:rsidRDefault="001C3CB7" w:rsidP="00091EBD">
      <w:pPr>
        <w:spacing w:line="480" w:lineRule="auto"/>
        <w:rPr>
          <w:i/>
          <w:lang w:val="en-GB"/>
        </w:rPr>
      </w:pPr>
      <w:r w:rsidRPr="00D86603">
        <w:rPr>
          <w:i/>
          <w:lang w:val="en-GB"/>
        </w:rPr>
        <w:t>Comparison with existing literature</w:t>
      </w:r>
    </w:p>
    <w:p w14:paraId="43DD890B" w14:textId="77777777" w:rsidR="00091EBD" w:rsidRPr="00D86603" w:rsidRDefault="00091EBD" w:rsidP="00091EBD">
      <w:pPr>
        <w:spacing w:line="480" w:lineRule="auto"/>
        <w:rPr>
          <w:lang w:val="en-GB"/>
        </w:rPr>
      </w:pPr>
      <w:r w:rsidRPr="00D86603">
        <w:rPr>
          <w:lang w:val="en-GB"/>
        </w:rPr>
        <w:lastRenderedPageBreak/>
        <w:t xml:space="preserve">In our study, </w:t>
      </w:r>
      <w:r w:rsidRPr="00D86603">
        <w:rPr>
          <w:rFonts w:eastAsia="Arial Unicode MS"/>
          <w:lang w:val="en-GB"/>
        </w:rPr>
        <w:t xml:space="preserve">antibiotic-resistant </w:t>
      </w:r>
      <w:r w:rsidRPr="00D86603">
        <w:rPr>
          <w:lang w:val="en-GB"/>
        </w:rPr>
        <w:t xml:space="preserve">lower respiratory tract infections are not associated with a different illness course than </w:t>
      </w:r>
      <w:r w:rsidRPr="00D86603">
        <w:rPr>
          <w:rFonts w:eastAsia="Arial Unicode MS"/>
          <w:lang w:val="en-GB"/>
        </w:rPr>
        <w:t xml:space="preserve">susceptible infections. </w:t>
      </w:r>
      <w:r w:rsidRPr="00D86603">
        <w:rPr>
          <w:lang w:val="en-GB"/>
        </w:rPr>
        <w:t>The impact of bacterial resistance in lower respiratory tract infections in primary care was never studied. However, i</w:t>
      </w:r>
      <w:r w:rsidRPr="00D86603">
        <w:rPr>
          <w:rFonts w:eastAsia="Arial Unicode MS"/>
          <w:lang w:val="en-GB"/>
        </w:rPr>
        <w:t>n urinary tract infections</w:t>
      </w:r>
      <w:r w:rsidRPr="00D86603">
        <w:rPr>
          <w:lang w:val="en-GB"/>
        </w:rPr>
        <w:t xml:space="preserve"> a few studies found that antibiotic resistance is associated with prolonged symptoms and frequent return visits.[7-9] One of the explanations for this difference may be treatment failure caused by resistance of the causal </w:t>
      </w:r>
      <w:proofErr w:type="spellStart"/>
      <w:r w:rsidRPr="00D86603">
        <w:rPr>
          <w:lang w:val="en-GB"/>
        </w:rPr>
        <w:t>uropathogen</w:t>
      </w:r>
      <w:proofErr w:type="spellEnd"/>
      <w:r w:rsidRPr="00D86603">
        <w:rPr>
          <w:lang w:val="en-GB"/>
        </w:rPr>
        <w:t xml:space="preserve"> to the prescribed antibiotics, which was not taken into account in the study conducted by McNulty.[9] Butler et al. found that infections caused by </w:t>
      </w:r>
      <w:r w:rsidRPr="00D86603">
        <w:rPr>
          <w:i/>
          <w:lang w:val="en-GB"/>
        </w:rPr>
        <w:t>E. coli</w:t>
      </w:r>
      <w:r w:rsidRPr="00D86603">
        <w:rPr>
          <w:lang w:val="en-GB"/>
        </w:rPr>
        <w:t xml:space="preserve"> resistant to trimethoprim lasted longer even when treated with an appropriate antibiotic[7] and Little et al. showed that both treating with an antibiotic to which the infection is resistant and not prescribing antibiotics at all are associated with a longer duration of more severe symptoms in women with uncomplicated urinary tract infection.[8]</w:t>
      </w:r>
    </w:p>
    <w:p w14:paraId="24DF3A59" w14:textId="77777777" w:rsidR="00091EBD" w:rsidRPr="00D86603" w:rsidRDefault="00091EBD" w:rsidP="00091EBD">
      <w:pPr>
        <w:spacing w:line="480" w:lineRule="auto"/>
        <w:rPr>
          <w:lang w:val="en-GB"/>
        </w:rPr>
      </w:pPr>
    </w:p>
    <w:p w14:paraId="22CE2986" w14:textId="77777777" w:rsidR="00091EBD" w:rsidRPr="00D86603" w:rsidRDefault="001C3CB7" w:rsidP="00091EBD">
      <w:pPr>
        <w:spacing w:line="480" w:lineRule="auto"/>
        <w:rPr>
          <w:lang w:val="en-GB"/>
        </w:rPr>
      </w:pPr>
      <w:bookmarkStart w:id="6" w:name="_Hlk505782951"/>
      <w:r w:rsidRPr="00D86603">
        <w:rPr>
          <w:i/>
          <w:lang w:val="en-GB"/>
        </w:rPr>
        <w:t>Implications for research and/or practice</w:t>
      </w:r>
    </w:p>
    <w:bookmarkEnd w:id="6"/>
    <w:p w14:paraId="72F6E764" w14:textId="2D17AEE3" w:rsidR="00E95A38" w:rsidRPr="00D86603" w:rsidRDefault="00091EBD" w:rsidP="00091EBD">
      <w:pPr>
        <w:spacing w:line="480" w:lineRule="auto"/>
        <w:rPr>
          <w:lang w:val="en-GB"/>
        </w:rPr>
      </w:pPr>
      <w:r w:rsidRPr="00D86603">
        <w:rPr>
          <w:rFonts w:eastAsia="Arial Unicode MS"/>
          <w:lang w:val="en-GB"/>
        </w:rPr>
        <w:t>Our results show that when bacteria are present, lower respiratory tract infections generally have a mild, uncomplicated and self-limiting disease course, irrespective of the presence of antimicrobial resistance.</w:t>
      </w:r>
      <w:bookmarkStart w:id="7" w:name="_Hlk511121671"/>
      <w:r w:rsidR="001C270D">
        <w:rPr>
          <w:rFonts w:eastAsia="Arial Unicode MS"/>
          <w:lang w:val="en-GB"/>
        </w:rPr>
        <w:t xml:space="preserve"> </w:t>
      </w:r>
      <w:r w:rsidR="00BA3C78" w:rsidRPr="00D86603">
        <w:rPr>
          <w:lang w:val="en-GB"/>
        </w:rPr>
        <w:t xml:space="preserve">This study </w:t>
      </w:r>
      <w:r w:rsidR="00D86603" w:rsidRPr="00D86603">
        <w:rPr>
          <w:lang w:val="en-GB"/>
        </w:rPr>
        <w:t>confirms</w:t>
      </w:r>
      <w:r w:rsidR="00BA3C78" w:rsidRPr="00D86603">
        <w:rPr>
          <w:lang w:val="en-GB"/>
        </w:rPr>
        <w:t xml:space="preserve"> that </w:t>
      </w:r>
      <w:r w:rsidR="00D86603" w:rsidRPr="00D86603">
        <w:rPr>
          <w:lang w:val="en-GB"/>
        </w:rPr>
        <w:t xml:space="preserve">regarding antimicrobial </w:t>
      </w:r>
      <w:r w:rsidR="00BA3C78" w:rsidRPr="00D86603">
        <w:rPr>
          <w:lang w:val="en-GB"/>
        </w:rPr>
        <w:t>resistance</w:t>
      </w:r>
      <w:r w:rsidR="00D86603" w:rsidRPr="00D86603">
        <w:rPr>
          <w:lang w:val="en-GB"/>
        </w:rPr>
        <w:t xml:space="preserve">, </w:t>
      </w:r>
      <w:r w:rsidR="00BA3C78" w:rsidRPr="00D86603">
        <w:rPr>
          <w:lang w:val="en-GB"/>
        </w:rPr>
        <w:t xml:space="preserve">outpatients who do not require antibiotics are a different domain than </w:t>
      </w:r>
      <w:r w:rsidR="00D86603" w:rsidRPr="00D86603">
        <w:rPr>
          <w:lang w:val="en-GB"/>
        </w:rPr>
        <w:t>hospitalised</w:t>
      </w:r>
      <w:r w:rsidR="00BA3C78" w:rsidRPr="00D86603">
        <w:rPr>
          <w:lang w:val="en-GB"/>
        </w:rPr>
        <w:t xml:space="preserve"> patients, or outpatients who have already been treated with antibiotics.</w:t>
      </w:r>
      <w:bookmarkEnd w:id="7"/>
    </w:p>
    <w:p w14:paraId="6C3FD709" w14:textId="77777777" w:rsidR="00C3218E" w:rsidRDefault="00C3218E" w:rsidP="008F76A0">
      <w:pPr>
        <w:autoSpaceDE w:val="0"/>
        <w:autoSpaceDN w:val="0"/>
        <w:adjustRightInd w:val="0"/>
        <w:spacing w:line="480" w:lineRule="auto"/>
        <w:rPr>
          <w:rFonts w:eastAsia="CourierNew"/>
          <w:b/>
          <w:lang w:val="en-GB" w:eastAsia="en-US"/>
        </w:rPr>
      </w:pPr>
    </w:p>
    <w:p w14:paraId="15A8E2D9" w14:textId="77777777" w:rsidR="00C3218E" w:rsidRDefault="00C3218E" w:rsidP="008F76A0">
      <w:pPr>
        <w:autoSpaceDE w:val="0"/>
        <w:autoSpaceDN w:val="0"/>
        <w:adjustRightInd w:val="0"/>
        <w:spacing w:line="480" w:lineRule="auto"/>
        <w:rPr>
          <w:rFonts w:eastAsia="CourierNew"/>
          <w:b/>
          <w:lang w:val="en-GB" w:eastAsia="en-US"/>
        </w:rPr>
      </w:pPr>
    </w:p>
    <w:p w14:paraId="5BFDE1A9" w14:textId="77777777" w:rsidR="007B38A8" w:rsidRDefault="007B38A8" w:rsidP="008F76A0">
      <w:pPr>
        <w:autoSpaceDE w:val="0"/>
        <w:autoSpaceDN w:val="0"/>
        <w:adjustRightInd w:val="0"/>
        <w:spacing w:line="480" w:lineRule="auto"/>
        <w:rPr>
          <w:rFonts w:eastAsia="CourierNew"/>
          <w:b/>
          <w:lang w:val="en-GB" w:eastAsia="en-US"/>
        </w:rPr>
      </w:pPr>
    </w:p>
    <w:p w14:paraId="2EE62580" w14:textId="77777777" w:rsidR="007B38A8" w:rsidRDefault="007B38A8" w:rsidP="008F76A0">
      <w:pPr>
        <w:autoSpaceDE w:val="0"/>
        <w:autoSpaceDN w:val="0"/>
        <w:adjustRightInd w:val="0"/>
        <w:spacing w:line="480" w:lineRule="auto"/>
        <w:rPr>
          <w:rFonts w:eastAsia="CourierNew"/>
          <w:b/>
          <w:lang w:val="en-GB" w:eastAsia="en-US"/>
        </w:rPr>
      </w:pPr>
    </w:p>
    <w:p w14:paraId="0ADD33B7" w14:textId="77777777" w:rsidR="007B38A8" w:rsidRDefault="007B38A8" w:rsidP="008F76A0">
      <w:pPr>
        <w:autoSpaceDE w:val="0"/>
        <w:autoSpaceDN w:val="0"/>
        <w:adjustRightInd w:val="0"/>
        <w:spacing w:line="480" w:lineRule="auto"/>
        <w:rPr>
          <w:rFonts w:eastAsia="CourierNew"/>
          <w:b/>
          <w:lang w:val="en-GB" w:eastAsia="en-US"/>
        </w:rPr>
      </w:pPr>
    </w:p>
    <w:p w14:paraId="531FBABE" w14:textId="77777777" w:rsidR="007B38A8" w:rsidRDefault="007B38A8" w:rsidP="008F76A0">
      <w:pPr>
        <w:autoSpaceDE w:val="0"/>
        <w:autoSpaceDN w:val="0"/>
        <w:adjustRightInd w:val="0"/>
        <w:spacing w:line="480" w:lineRule="auto"/>
        <w:rPr>
          <w:rFonts w:eastAsia="CourierNew"/>
          <w:b/>
          <w:lang w:val="en-GB" w:eastAsia="en-US"/>
        </w:rPr>
      </w:pPr>
    </w:p>
    <w:p w14:paraId="5103FDD8" w14:textId="6315B724" w:rsidR="008F76A0" w:rsidRPr="00D86603" w:rsidRDefault="008F76A0" w:rsidP="008F76A0">
      <w:pPr>
        <w:autoSpaceDE w:val="0"/>
        <w:autoSpaceDN w:val="0"/>
        <w:adjustRightInd w:val="0"/>
        <w:spacing w:line="480" w:lineRule="auto"/>
        <w:rPr>
          <w:rFonts w:eastAsia="CourierNew"/>
          <w:b/>
          <w:lang w:val="en-GB" w:eastAsia="en-US"/>
        </w:rPr>
      </w:pPr>
      <w:r w:rsidRPr="00D86603">
        <w:rPr>
          <w:rFonts w:eastAsia="CourierNew"/>
          <w:b/>
          <w:lang w:val="en-GB" w:eastAsia="en-US"/>
        </w:rPr>
        <w:lastRenderedPageBreak/>
        <w:t>Acknowledgments</w:t>
      </w:r>
    </w:p>
    <w:p w14:paraId="212E2C66" w14:textId="77777777" w:rsidR="008F76A0" w:rsidRPr="00D177AE" w:rsidRDefault="008F76A0" w:rsidP="008F76A0">
      <w:pPr>
        <w:spacing w:line="480" w:lineRule="auto"/>
        <w:rPr>
          <w:lang w:val="en-GB"/>
        </w:rPr>
      </w:pPr>
      <w:r w:rsidRPr="00D177AE">
        <w:rPr>
          <w:bCs/>
          <w:lang w:val="en-GB"/>
        </w:rPr>
        <w:t>The work reported on in this publication has been financially supported through the European Science Foundation (ESF), in the framework of the Research Networking Programme TRACE (www.esf.org/trace)</w:t>
      </w:r>
      <w:r w:rsidRPr="00D177AE">
        <w:rPr>
          <w:lang w:val="en-GB"/>
        </w:rPr>
        <w:t>.</w:t>
      </w:r>
    </w:p>
    <w:p w14:paraId="0517D3C1" w14:textId="77777777" w:rsidR="001C3CB7" w:rsidRPr="00D177AE" w:rsidRDefault="001C3CB7" w:rsidP="00E95A38">
      <w:pPr>
        <w:autoSpaceDE w:val="0"/>
        <w:autoSpaceDN w:val="0"/>
        <w:adjustRightInd w:val="0"/>
        <w:spacing w:line="480" w:lineRule="auto"/>
        <w:rPr>
          <w:rFonts w:eastAsiaTheme="minorHAnsi"/>
          <w:b/>
          <w:bCs/>
          <w:color w:val="000000"/>
          <w:lang w:val="en-GB" w:eastAsia="en-US"/>
        </w:rPr>
      </w:pPr>
    </w:p>
    <w:p w14:paraId="0361E57A" w14:textId="77777777" w:rsidR="00E95A38" w:rsidRPr="00D86603" w:rsidRDefault="007E313D" w:rsidP="00E95A38">
      <w:pPr>
        <w:autoSpaceDE w:val="0"/>
        <w:autoSpaceDN w:val="0"/>
        <w:adjustRightInd w:val="0"/>
        <w:spacing w:line="480" w:lineRule="auto"/>
        <w:rPr>
          <w:rFonts w:eastAsiaTheme="minorHAnsi"/>
          <w:b/>
          <w:bCs/>
          <w:color w:val="000000"/>
          <w:lang w:val="en-GB" w:eastAsia="en-US"/>
        </w:rPr>
      </w:pPr>
      <w:r w:rsidRPr="00D86603">
        <w:rPr>
          <w:rFonts w:eastAsiaTheme="minorHAnsi"/>
          <w:b/>
          <w:bCs/>
          <w:color w:val="000000"/>
          <w:lang w:val="en-GB" w:eastAsia="en-US"/>
        </w:rPr>
        <w:t>Funding</w:t>
      </w:r>
    </w:p>
    <w:p w14:paraId="5DAD2CDF" w14:textId="77777777" w:rsidR="00E95A38" w:rsidRPr="00D86603" w:rsidRDefault="00E95A38" w:rsidP="00E95A38">
      <w:pPr>
        <w:autoSpaceDE w:val="0"/>
        <w:autoSpaceDN w:val="0"/>
        <w:adjustRightInd w:val="0"/>
        <w:spacing w:line="480" w:lineRule="auto"/>
        <w:rPr>
          <w:rFonts w:eastAsia="CourierNew"/>
          <w:color w:val="000000"/>
          <w:lang w:val="en-GB" w:eastAsia="en-US"/>
        </w:rPr>
      </w:pPr>
      <w:r w:rsidRPr="00D86603">
        <w:rPr>
          <w:rFonts w:eastAsia="CourierNew"/>
          <w:color w:val="000000"/>
          <w:lang w:val="en-GB" w:eastAsia="en-US"/>
        </w:rPr>
        <w:t>This study was part of the GRACE project (www.gracelrti.org/portal/en-gb/homepage), funded by the 6th Framework Program of the European Commission (Reference: LSHM-CT-2005-518226).The GRACE project has been financially supported through the European Science Foundation (ESF), in the framework of the Research Networking Programme TRACE (www.esf.org/trace) and by the Research Foundation Flanders (FWO; Belgium). The current analysis was supported by the SBOH (www.sboh.nl), employer of Dutch general practitioner trainees. The funding sources were not involved in the design, conduct, analysis and interpretation of the data, nor in the writing of the paper.</w:t>
      </w:r>
    </w:p>
    <w:p w14:paraId="579F3FA7" w14:textId="77777777" w:rsidR="00E95A38" w:rsidRPr="00D86603" w:rsidRDefault="00E95A38" w:rsidP="00E95A38">
      <w:pPr>
        <w:autoSpaceDE w:val="0"/>
        <w:autoSpaceDN w:val="0"/>
        <w:adjustRightInd w:val="0"/>
        <w:spacing w:line="480" w:lineRule="auto"/>
        <w:rPr>
          <w:rFonts w:eastAsiaTheme="minorHAnsi"/>
          <w:b/>
          <w:bCs/>
          <w:color w:val="000000"/>
          <w:lang w:val="en-GB" w:eastAsia="en-US"/>
        </w:rPr>
      </w:pPr>
    </w:p>
    <w:p w14:paraId="1359BEF0" w14:textId="77777777" w:rsidR="007E313D" w:rsidRPr="00D86603" w:rsidRDefault="007E313D" w:rsidP="007E313D">
      <w:pPr>
        <w:autoSpaceDE w:val="0"/>
        <w:autoSpaceDN w:val="0"/>
        <w:adjustRightInd w:val="0"/>
        <w:spacing w:line="480" w:lineRule="auto"/>
        <w:rPr>
          <w:rFonts w:eastAsiaTheme="minorHAnsi"/>
          <w:b/>
          <w:bCs/>
          <w:lang w:val="en-GB" w:eastAsia="en-US"/>
        </w:rPr>
      </w:pPr>
      <w:r w:rsidRPr="00D86603">
        <w:rPr>
          <w:rFonts w:eastAsiaTheme="minorHAnsi"/>
          <w:b/>
          <w:bCs/>
          <w:lang w:val="en-GB" w:eastAsia="en-US"/>
        </w:rPr>
        <w:t>Ethical approval</w:t>
      </w:r>
    </w:p>
    <w:p w14:paraId="79E18AE2" w14:textId="77777777" w:rsidR="001C270D" w:rsidRDefault="007E313D" w:rsidP="00E95A38">
      <w:pPr>
        <w:autoSpaceDE w:val="0"/>
        <w:autoSpaceDN w:val="0"/>
        <w:adjustRightInd w:val="0"/>
        <w:spacing w:line="480" w:lineRule="auto"/>
        <w:rPr>
          <w:rFonts w:eastAsia="CourierNew"/>
          <w:lang w:val="en-GB" w:eastAsia="en-US"/>
        </w:rPr>
      </w:pPr>
      <w:r w:rsidRPr="00D86603">
        <w:rPr>
          <w:rFonts w:eastAsia="CourierNew"/>
          <w:lang w:val="en-GB" w:eastAsia="en-US"/>
        </w:rPr>
        <w:t xml:space="preserve">Ethical approval for the Netherlands was granted by the </w:t>
      </w:r>
      <w:proofErr w:type="spellStart"/>
      <w:r w:rsidRPr="00D86603">
        <w:rPr>
          <w:rFonts w:eastAsia="CourierNew"/>
          <w:lang w:val="en-GB" w:eastAsia="en-US"/>
        </w:rPr>
        <w:t>Medisch</w:t>
      </w:r>
      <w:proofErr w:type="spellEnd"/>
      <w:r w:rsidRPr="00D86603">
        <w:rPr>
          <w:rFonts w:eastAsia="CourierNew"/>
          <w:lang w:val="en-GB" w:eastAsia="en-US"/>
        </w:rPr>
        <w:t xml:space="preserve"> </w:t>
      </w:r>
      <w:proofErr w:type="spellStart"/>
      <w:r w:rsidRPr="00D86603">
        <w:rPr>
          <w:rFonts w:eastAsia="CourierNew"/>
          <w:lang w:val="en-GB" w:eastAsia="en-US"/>
        </w:rPr>
        <w:t>Ethische</w:t>
      </w:r>
      <w:proofErr w:type="spellEnd"/>
      <w:r w:rsidRPr="00D86603">
        <w:rPr>
          <w:rFonts w:eastAsia="CourierNew"/>
          <w:lang w:val="en-GB" w:eastAsia="en-US"/>
        </w:rPr>
        <w:t xml:space="preserve"> </w:t>
      </w:r>
      <w:proofErr w:type="spellStart"/>
      <w:r w:rsidRPr="00D86603">
        <w:rPr>
          <w:rFonts w:eastAsia="CourierNew"/>
          <w:lang w:val="en-GB" w:eastAsia="en-US"/>
        </w:rPr>
        <w:t>Toetsing</w:t>
      </w:r>
      <w:proofErr w:type="spellEnd"/>
      <w:r w:rsidRPr="00D86603">
        <w:rPr>
          <w:rFonts w:eastAsia="CourierNew"/>
          <w:lang w:val="en-GB" w:eastAsia="en-US"/>
        </w:rPr>
        <w:t xml:space="preserve"> </w:t>
      </w:r>
      <w:proofErr w:type="spellStart"/>
      <w:r w:rsidRPr="00D86603">
        <w:rPr>
          <w:rFonts w:eastAsia="CourierNew"/>
          <w:lang w:val="en-GB" w:eastAsia="en-US"/>
        </w:rPr>
        <w:t>Commissie</w:t>
      </w:r>
      <w:proofErr w:type="spellEnd"/>
      <w:r w:rsidRPr="00D86603">
        <w:rPr>
          <w:rFonts w:eastAsia="CourierNew"/>
          <w:lang w:val="en-GB" w:eastAsia="en-US"/>
        </w:rPr>
        <w:t xml:space="preserve"> (METC) of the University Medical </w:t>
      </w:r>
      <w:proofErr w:type="spellStart"/>
      <w:r w:rsidRPr="00D86603">
        <w:rPr>
          <w:rFonts w:eastAsia="CourierNew"/>
          <w:lang w:val="en-GB" w:eastAsia="en-US"/>
        </w:rPr>
        <w:t>Center</w:t>
      </w:r>
      <w:proofErr w:type="spellEnd"/>
      <w:r w:rsidRPr="00D86603">
        <w:rPr>
          <w:rFonts w:eastAsia="CourierNew"/>
          <w:lang w:val="en-GB" w:eastAsia="en-US"/>
        </w:rPr>
        <w:t xml:space="preserve"> Utrecht (ref 07-179/O). Competent authority approval for the Netherlands was granted by De Centrale </w:t>
      </w:r>
      <w:proofErr w:type="spellStart"/>
      <w:r w:rsidRPr="00D86603">
        <w:rPr>
          <w:rFonts w:eastAsia="CourierNew"/>
          <w:lang w:val="en-GB" w:eastAsia="en-US"/>
        </w:rPr>
        <w:t>Commissie</w:t>
      </w:r>
      <w:proofErr w:type="spellEnd"/>
      <w:r w:rsidRPr="00D86603">
        <w:rPr>
          <w:rFonts w:eastAsia="CourierNew"/>
          <w:lang w:val="en-GB" w:eastAsia="en-US"/>
        </w:rPr>
        <w:t xml:space="preserve"> </w:t>
      </w:r>
      <w:proofErr w:type="spellStart"/>
      <w:r w:rsidRPr="00D86603">
        <w:rPr>
          <w:rFonts w:eastAsia="CourierNew"/>
          <w:lang w:val="en-GB" w:eastAsia="en-US"/>
        </w:rPr>
        <w:t>Mensgebonden</w:t>
      </w:r>
      <w:proofErr w:type="spellEnd"/>
      <w:r w:rsidRPr="00D86603">
        <w:rPr>
          <w:rFonts w:eastAsia="CourierNew"/>
          <w:lang w:val="en-GB" w:eastAsia="en-US"/>
        </w:rPr>
        <w:t xml:space="preserve"> </w:t>
      </w:r>
      <w:proofErr w:type="spellStart"/>
      <w:r w:rsidRPr="00D86603">
        <w:rPr>
          <w:rFonts w:eastAsia="CourierNew"/>
          <w:lang w:val="en-GB" w:eastAsia="en-US"/>
        </w:rPr>
        <w:t>Onderzoek</w:t>
      </w:r>
      <w:proofErr w:type="spellEnd"/>
      <w:r w:rsidRPr="00D86603">
        <w:rPr>
          <w:rFonts w:eastAsia="CourierNew"/>
          <w:lang w:val="en-GB" w:eastAsia="en-US"/>
        </w:rPr>
        <w:t xml:space="preserve"> (CCMO). For the UK ethical approval was granted by Southampton and South West Hampshire Local Research Ethics Committee (B) (ref 07/H0504/104). Competent authority approval for the UK was granted by the Medicines and Healthcare Products Regulatory Agency. Also the other research sites obtained ethical and competent authority approval from their local organizations. Patients who fulfilled the inclusion criteria were given written and verbal information on the study and gave informed consent.</w:t>
      </w:r>
    </w:p>
    <w:p w14:paraId="4AA280C5" w14:textId="218EAF23" w:rsidR="00E95A38" w:rsidRPr="001C270D" w:rsidRDefault="00E95A38" w:rsidP="00E95A38">
      <w:pPr>
        <w:autoSpaceDE w:val="0"/>
        <w:autoSpaceDN w:val="0"/>
        <w:adjustRightInd w:val="0"/>
        <w:spacing w:line="480" w:lineRule="auto"/>
        <w:rPr>
          <w:rFonts w:eastAsia="CourierNew"/>
          <w:lang w:val="en-GB" w:eastAsia="en-US"/>
        </w:rPr>
      </w:pPr>
      <w:r w:rsidRPr="00D86603">
        <w:rPr>
          <w:rFonts w:eastAsiaTheme="minorHAnsi"/>
          <w:b/>
          <w:bCs/>
          <w:color w:val="000000"/>
          <w:lang w:val="en-GB" w:eastAsia="en-US"/>
        </w:rPr>
        <w:lastRenderedPageBreak/>
        <w:t>Competing interests</w:t>
      </w:r>
    </w:p>
    <w:p w14:paraId="5732E865" w14:textId="77777777" w:rsidR="00E95A38" w:rsidRPr="00D86603" w:rsidRDefault="00E95A38" w:rsidP="00E95A38">
      <w:pPr>
        <w:autoSpaceDE w:val="0"/>
        <w:autoSpaceDN w:val="0"/>
        <w:adjustRightInd w:val="0"/>
        <w:spacing w:line="480" w:lineRule="auto"/>
        <w:rPr>
          <w:rFonts w:eastAsia="CourierNew"/>
          <w:color w:val="000000"/>
          <w:lang w:val="en-GB" w:eastAsia="en-US"/>
        </w:rPr>
      </w:pPr>
      <w:r w:rsidRPr="00D86603">
        <w:rPr>
          <w:rFonts w:eastAsia="CourierNew"/>
          <w:color w:val="000000"/>
          <w:lang w:val="en-GB" w:eastAsia="en-US"/>
        </w:rPr>
        <w:t>All authors declare that we have no relevant conflicts of interest.</w:t>
      </w:r>
    </w:p>
    <w:p w14:paraId="570A5AEF" w14:textId="77777777" w:rsidR="00E95A38" w:rsidRPr="00D86603" w:rsidRDefault="00E95A38" w:rsidP="00E95A38">
      <w:pPr>
        <w:autoSpaceDE w:val="0"/>
        <w:autoSpaceDN w:val="0"/>
        <w:adjustRightInd w:val="0"/>
        <w:spacing w:line="480" w:lineRule="auto"/>
        <w:rPr>
          <w:rFonts w:eastAsiaTheme="minorHAnsi"/>
          <w:b/>
          <w:bCs/>
          <w:color w:val="000000"/>
          <w:lang w:val="en-GB" w:eastAsia="en-US"/>
        </w:rPr>
      </w:pPr>
    </w:p>
    <w:p w14:paraId="434F6069" w14:textId="77777777" w:rsidR="00E95A38" w:rsidRPr="00D86603" w:rsidRDefault="00E95A38" w:rsidP="00E95A38">
      <w:pPr>
        <w:autoSpaceDE w:val="0"/>
        <w:autoSpaceDN w:val="0"/>
        <w:adjustRightInd w:val="0"/>
        <w:spacing w:line="480" w:lineRule="auto"/>
        <w:rPr>
          <w:rFonts w:eastAsiaTheme="minorHAnsi"/>
          <w:b/>
          <w:bCs/>
          <w:color w:val="000000"/>
          <w:lang w:val="en-GB" w:eastAsia="en-US"/>
        </w:rPr>
      </w:pPr>
      <w:r w:rsidRPr="00D86603">
        <w:rPr>
          <w:rFonts w:eastAsiaTheme="minorHAnsi"/>
          <w:b/>
          <w:bCs/>
          <w:color w:val="000000"/>
          <w:lang w:val="en-GB" w:eastAsia="en-US"/>
        </w:rPr>
        <w:t>Authors' contributions</w:t>
      </w:r>
    </w:p>
    <w:p w14:paraId="573270F6" w14:textId="77777777" w:rsidR="00E95A38" w:rsidRPr="00D86603" w:rsidRDefault="00E95A38" w:rsidP="00E95A38">
      <w:pPr>
        <w:autoSpaceDE w:val="0"/>
        <w:autoSpaceDN w:val="0"/>
        <w:adjustRightInd w:val="0"/>
        <w:spacing w:line="480" w:lineRule="auto"/>
        <w:rPr>
          <w:rFonts w:eastAsia="CourierNew"/>
          <w:color w:val="000000"/>
          <w:lang w:val="en-GB" w:eastAsia="en-US"/>
        </w:rPr>
      </w:pPr>
      <w:r w:rsidRPr="00D86603">
        <w:rPr>
          <w:rFonts w:eastAsia="CourierNew"/>
          <w:color w:val="000000"/>
          <w:lang w:val="en-GB" w:eastAsia="en-US"/>
        </w:rPr>
        <w:t xml:space="preserve">Chris Butler, Margareta </w:t>
      </w:r>
      <w:proofErr w:type="spellStart"/>
      <w:r w:rsidRPr="00D86603">
        <w:rPr>
          <w:rFonts w:eastAsia="CourierNew"/>
          <w:color w:val="000000"/>
          <w:lang w:val="en-GB" w:eastAsia="en-US"/>
        </w:rPr>
        <w:t>Ieven</w:t>
      </w:r>
      <w:proofErr w:type="spellEnd"/>
      <w:r w:rsidRPr="00D86603">
        <w:rPr>
          <w:rFonts w:eastAsia="CourierNew"/>
          <w:color w:val="000000"/>
          <w:lang w:val="en-GB" w:eastAsia="en-US"/>
        </w:rPr>
        <w:t xml:space="preserve">, Samuel </w:t>
      </w:r>
      <w:proofErr w:type="spellStart"/>
      <w:r w:rsidRPr="00D86603">
        <w:rPr>
          <w:rFonts w:eastAsia="CourierNew"/>
          <w:color w:val="000000"/>
          <w:lang w:val="en-GB" w:eastAsia="en-US"/>
        </w:rPr>
        <w:t>Coenen</w:t>
      </w:r>
      <w:proofErr w:type="spellEnd"/>
      <w:r w:rsidRPr="00D86603">
        <w:rPr>
          <w:rFonts w:eastAsia="CourierNew"/>
          <w:color w:val="000000"/>
          <w:lang w:val="en-GB" w:eastAsia="en-US"/>
        </w:rPr>
        <w:t xml:space="preserve">, Maciek </w:t>
      </w:r>
      <w:proofErr w:type="spellStart"/>
      <w:r w:rsidRPr="00D86603">
        <w:rPr>
          <w:rFonts w:eastAsia="CourierNew"/>
          <w:color w:val="000000"/>
          <w:lang w:val="en-GB" w:eastAsia="en-US"/>
        </w:rPr>
        <w:t>Godycki-Cwirko</w:t>
      </w:r>
      <w:proofErr w:type="spellEnd"/>
      <w:r w:rsidRPr="00D86603">
        <w:rPr>
          <w:rFonts w:eastAsia="CourierNew"/>
          <w:color w:val="000000"/>
          <w:lang w:val="en-GB" w:eastAsia="en-US"/>
        </w:rPr>
        <w:t xml:space="preserve">, , Herman </w:t>
      </w:r>
      <w:proofErr w:type="spellStart"/>
      <w:r w:rsidRPr="00D86603">
        <w:rPr>
          <w:rFonts w:eastAsia="CourierNew"/>
          <w:color w:val="000000"/>
          <w:lang w:val="en-GB" w:eastAsia="en-US"/>
        </w:rPr>
        <w:t>Goossens</w:t>
      </w:r>
      <w:proofErr w:type="spellEnd"/>
      <w:r w:rsidRPr="00D86603">
        <w:rPr>
          <w:rFonts w:eastAsia="CourierNew"/>
          <w:color w:val="000000"/>
          <w:lang w:val="en-GB" w:eastAsia="en-US"/>
        </w:rPr>
        <w:t xml:space="preserve">, Paul Little, and Theo </w:t>
      </w:r>
      <w:proofErr w:type="spellStart"/>
      <w:r w:rsidRPr="00D86603">
        <w:rPr>
          <w:rFonts w:eastAsia="CourierNew"/>
          <w:color w:val="000000"/>
          <w:lang w:val="en-GB" w:eastAsia="en-US"/>
        </w:rPr>
        <w:t>Verheij</w:t>
      </w:r>
      <w:proofErr w:type="spellEnd"/>
      <w:r w:rsidRPr="00D86603">
        <w:rPr>
          <w:rFonts w:eastAsia="CourierNew"/>
          <w:color w:val="000000"/>
          <w:lang w:val="en-GB" w:eastAsia="en-US"/>
        </w:rPr>
        <w:t xml:space="preserve"> conceived and designed the study. Katherine </w:t>
      </w:r>
      <w:proofErr w:type="spellStart"/>
      <w:r w:rsidRPr="00D86603">
        <w:rPr>
          <w:rFonts w:eastAsia="CourierNew"/>
          <w:color w:val="000000"/>
          <w:lang w:val="en-GB" w:eastAsia="en-US"/>
        </w:rPr>
        <w:t>Loens</w:t>
      </w:r>
      <w:proofErr w:type="spellEnd"/>
      <w:r w:rsidRPr="00D86603">
        <w:rPr>
          <w:rFonts w:eastAsia="CourierNew"/>
          <w:color w:val="000000"/>
          <w:lang w:val="en-GB" w:eastAsia="en-US"/>
        </w:rPr>
        <w:t xml:space="preserve"> and Christine </w:t>
      </w:r>
      <w:proofErr w:type="spellStart"/>
      <w:r w:rsidRPr="00D86603">
        <w:rPr>
          <w:rFonts w:eastAsia="CourierNew"/>
          <w:color w:val="000000"/>
          <w:lang w:val="en-GB" w:eastAsia="en-US"/>
        </w:rPr>
        <w:t>Lammens</w:t>
      </w:r>
      <w:proofErr w:type="spellEnd"/>
      <w:r w:rsidRPr="00D86603">
        <w:rPr>
          <w:rFonts w:eastAsia="CourierNew"/>
          <w:color w:val="000000"/>
          <w:lang w:val="en-GB" w:eastAsia="en-US"/>
        </w:rPr>
        <w:t xml:space="preserve"> were responsible for testing all samples for bacterial infection. Birgitta Henriques was responsible for reidentification and further testing of all pneumococcal strains. </w:t>
      </w:r>
      <w:r w:rsidRPr="00D86603">
        <w:rPr>
          <w:rFonts w:eastAsia="CourierNew"/>
          <w:lang w:val="en-GB" w:eastAsia="en-US"/>
        </w:rPr>
        <w:t xml:space="preserve">Patricia </w:t>
      </w:r>
      <w:proofErr w:type="spellStart"/>
      <w:r w:rsidRPr="00D86603">
        <w:rPr>
          <w:rFonts w:eastAsia="CourierNew"/>
          <w:lang w:val="en-GB" w:eastAsia="en-US"/>
        </w:rPr>
        <w:t>Hordijk</w:t>
      </w:r>
      <w:proofErr w:type="spellEnd"/>
      <w:r w:rsidRPr="00D86603">
        <w:rPr>
          <w:rFonts w:eastAsia="CourierNew"/>
          <w:lang w:val="en-GB" w:eastAsia="en-US"/>
        </w:rPr>
        <w:t xml:space="preserve"> reviewed the literature critically. </w:t>
      </w:r>
      <w:proofErr w:type="spellStart"/>
      <w:r w:rsidRPr="00D86603">
        <w:rPr>
          <w:rFonts w:eastAsia="CourierNew"/>
          <w:lang w:val="en-GB" w:eastAsia="en-US"/>
        </w:rPr>
        <w:t>Jolien</w:t>
      </w:r>
      <w:proofErr w:type="spellEnd"/>
      <w:r w:rsidRPr="00D86603">
        <w:rPr>
          <w:rFonts w:eastAsia="CourierNew"/>
          <w:color w:val="000000"/>
          <w:lang w:val="en-GB" w:eastAsia="en-US"/>
        </w:rPr>
        <w:t xml:space="preserve"> </w:t>
      </w:r>
      <w:r w:rsidRPr="00D86603">
        <w:rPr>
          <w:rFonts w:eastAsia="CourierNew"/>
          <w:lang w:val="en-GB" w:eastAsia="en-US"/>
        </w:rPr>
        <w:t xml:space="preserve">Teepe and </w:t>
      </w:r>
      <w:proofErr w:type="spellStart"/>
      <w:r w:rsidRPr="00D86603">
        <w:rPr>
          <w:rFonts w:eastAsia="CourierNew"/>
          <w:lang w:val="en-GB" w:eastAsia="en-US"/>
        </w:rPr>
        <w:t>Lidewij</w:t>
      </w:r>
      <w:proofErr w:type="spellEnd"/>
      <w:r w:rsidRPr="00D86603">
        <w:rPr>
          <w:rFonts w:eastAsia="CourierNew"/>
          <w:lang w:val="en-GB" w:eastAsia="en-US"/>
        </w:rPr>
        <w:t xml:space="preserve"> </w:t>
      </w:r>
      <w:proofErr w:type="spellStart"/>
      <w:r w:rsidRPr="00D86603">
        <w:rPr>
          <w:rFonts w:eastAsia="CourierNew"/>
          <w:lang w:val="en-GB" w:eastAsia="en-US"/>
        </w:rPr>
        <w:t>Broekhuizen</w:t>
      </w:r>
      <w:proofErr w:type="spellEnd"/>
      <w:r w:rsidRPr="00D86603">
        <w:rPr>
          <w:rFonts w:eastAsia="CourierNew"/>
          <w:lang w:val="en-GB" w:eastAsia="en-US"/>
        </w:rPr>
        <w:t xml:space="preserve"> interpreted the data and performed</w:t>
      </w:r>
      <w:r w:rsidRPr="00D86603">
        <w:rPr>
          <w:rFonts w:eastAsia="CourierNew"/>
          <w:color w:val="000000"/>
          <w:lang w:val="en-GB" w:eastAsia="en-US"/>
        </w:rPr>
        <w:t xml:space="preserve"> </w:t>
      </w:r>
      <w:r w:rsidRPr="00D86603">
        <w:rPr>
          <w:rFonts w:eastAsia="CourierNew"/>
          <w:lang w:val="en-GB" w:eastAsia="en-US"/>
        </w:rPr>
        <w:t xml:space="preserve">the analyses. </w:t>
      </w:r>
      <w:proofErr w:type="spellStart"/>
      <w:r w:rsidRPr="00D86603">
        <w:rPr>
          <w:rFonts w:eastAsia="CourierNew"/>
          <w:lang w:val="en-GB" w:eastAsia="en-US"/>
        </w:rPr>
        <w:t>Jolien</w:t>
      </w:r>
      <w:proofErr w:type="spellEnd"/>
      <w:r w:rsidRPr="00D86603">
        <w:rPr>
          <w:rFonts w:eastAsia="CourierNew"/>
          <w:lang w:val="en-GB" w:eastAsia="en-US"/>
        </w:rPr>
        <w:t xml:space="preserve"> Teepe, </w:t>
      </w:r>
      <w:proofErr w:type="spellStart"/>
      <w:r w:rsidRPr="00D86603">
        <w:rPr>
          <w:rFonts w:eastAsia="CourierNew"/>
          <w:lang w:val="en-GB" w:eastAsia="en-US"/>
        </w:rPr>
        <w:t>Lidewij</w:t>
      </w:r>
      <w:proofErr w:type="spellEnd"/>
      <w:r w:rsidRPr="00D86603">
        <w:rPr>
          <w:rFonts w:eastAsia="CourierNew"/>
          <w:lang w:val="en-GB" w:eastAsia="en-US"/>
        </w:rPr>
        <w:t xml:space="preserve"> </w:t>
      </w:r>
      <w:proofErr w:type="spellStart"/>
      <w:r w:rsidRPr="00D86603">
        <w:rPr>
          <w:rFonts w:eastAsia="CourierNew"/>
          <w:lang w:val="en-GB" w:eastAsia="en-US"/>
        </w:rPr>
        <w:t>Broekhuizen</w:t>
      </w:r>
      <w:proofErr w:type="spellEnd"/>
      <w:r w:rsidRPr="00D86603">
        <w:rPr>
          <w:rFonts w:eastAsia="CourierNew"/>
          <w:lang w:val="en-GB" w:eastAsia="en-US"/>
        </w:rPr>
        <w:t>, and Theo</w:t>
      </w:r>
      <w:r w:rsidRPr="00D86603">
        <w:rPr>
          <w:rFonts w:eastAsia="CourierNew"/>
          <w:color w:val="000000"/>
          <w:lang w:val="en-GB" w:eastAsia="en-US"/>
        </w:rPr>
        <w:t xml:space="preserve"> </w:t>
      </w:r>
      <w:proofErr w:type="spellStart"/>
      <w:r w:rsidRPr="00D86603">
        <w:rPr>
          <w:rFonts w:eastAsia="CourierNew"/>
          <w:lang w:val="en-GB" w:eastAsia="en-US"/>
        </w:rPr>
        <w:t>Verheij</w:t>
      </w:r>
      <w:proofErr w:type="spellEnd"/>
      <w:r w:rsidRPr="00D86603">
        <w:rPr>
          <w:rFonts w:eastAsia="CourierNew"/>
          <w:lang w:val="en-GB" w:eastAsia="en-US"/>
        </w:rPr>
        <w:t xml:space="preserve"> wrote the first draft of the manuscript, and all of the</w:t>
      </w:r>
      <w:r w:rsidRPr="00D86603">
        <w:rPr>
          <w:rFonts w:eastAsia="CourierNew"/>
          <w:color w:val="000000"/>
          <w:lang w:val="en-GB" w:eastAsia="en-US"/>
        </w:rPr>
        <w:t xml:space="preserve"> </w:t>
      </w:r>
      <w:proofErr w:type="spellStart"/>
      <w:r w:rsidRPr="00D86603">
        <w:rPr>
          <w:rFonts w:eastAsia="CourierNew"/>
          <w:lang w:val="en-GB" w:eastAsia="en-US"/>
        </w:rPr>
        <w:t>coauthors</w:t>
      </w:r>
      <w:proofErr w:type="spellEnd"/>
      <w:r w:rsidRPr="00D86603">
        <w:rPr>
          <w:rFonts w:eastAsia="CourierNew"/>
          <w:lang w:val="en-GB" w:eastAsia="en-US"/>
        </w:rPr>
        <w:t xml:space="preserve"> critically revised the manuscript. The guarantor is</w:t>
      </w:r>
      <w:r w:rsidRPr="00D86603">
        <w:rPr>
          <w:rFonts w:eastAsia="CourierNew"/>
          <w:color w:val="000000"/>
          <w:lang w:val="en-GB" w:eastAsia="en-US"/>
        </w:rPr>
        <w:t xml:space="preserve"> </w:t>
      </w:r>
      <w:r w:rsidRPr="00D86603">
        <w:rPr>
          <w:rFonts w:eastAsia="CourierNew"/>
          <w:lang w:val="en-GB" w:eastAsia="en-US"/>
        </w:rPr>
        <w:t xml:space="preserve">Theo </w:t>
      </w:r>
      <w:proofErr w:type="spellStart"/>
      <w:r w:rsidRPr="00D86603">
        <w:rPr>
          <w:rFonts w:eastAsia="CourierNew"/>
          <w:lang w:val="en-GB" w:eastAsia="en-US"/>
        </w:rPr>
        <w:t>Verheij</w:t>
      </w:r>
      <w:proofErr w:type="spellEnd"/>
      <w:r w:rsidRPr="00D86603">
        <w:rPr>
          <w:rFonts w:eastAsia="CourierNew"/>
          <w:lang w:val="en-GB" w:eastAsia="en-US"/>
        </w:rPr>
        <w:t>.</w:t>
      </w:r>
    </w:p>
    <w:p w14:paraId="45247EE2" w14:textId="3DD96F81" w:rsidR="00E95A38" w:rsidRPr="00D86603" w:rsidRDefault="00E95A38" w:rsidP="00E95A38">
      <w:pPr>
        <w:autoSpaceDE w:val="0"/>
        <w:autoSpaceDN w:val="0"/>
        <w:adjustRightInd w:val="0"/>
        <w:spacing w:line="480" w:lineRule="auto"/>
        <w:rPr>
          <w:rFonts w:eastAsia="CourierNew"/>
          <w:lang w:val="en-GB" w:eastAsia="en-US"/>
        </w:rPr>
      </w:pPr>
    </w:p>
    <w:p w14:paraId="1AE64538" w14:textId="77777777" w:rsidR="000A5E2A" w:rsidRPr="00D86603" w:rsidRDefault="000A5E2A" w:rsidP="00E95A38">
      <w:pPr>
        <w:autoSpaceDE w:val="0"/>
        <w:autoSpaceDN w:val="0"/>
        <w:adjustRightInd w:val="0"/>
        <w:spacing w:line="480" w:lineRule="auto"/>
        <w:rPr>
          <w:rFonts w:eastAsia="CourierNew"/>
          <w:lang w:val="en-GB" w:eastAsia="en-US"/>
        </w:rPr>
      </w:pPr>
    </w:p>
    <w:p w14:paraId="24248510" w14:textId="77777777" w:rsidR="00E95A38" w:rsidRPr="00D86603" w:rsidRDefault="00E95A38" w:rsidP="00091EBD">
      <w:pPr>
        <w:spacing w:line="480" w:lineRule="auto"/>
        <w:rPr>
          <w:lang w:val="en-GB"/>
        </w:rPr>
      </w:pPr>
    </w:p>
    <w:p w14:paraId="28116BF0" w14:textId="77777777" w:rsidR="00E95A38" w:rsidRPr="00D86603" w:rsidRDefault="00E95A38" w:rsidP="00091EBD">
      <w:pPr>
        <w:spacing w:line="480" w:lineRule="auto"/>
        <w:rPr>
          <w:lang w:val="en-GB"/>
        </w:rPr>
      </w:pPr>
    </w:p>
    <w:p w14:paraId="3F66A7B6" w14:textId="77777777" w:rsidR="002D2BAA" w:rsidRPr="00D86603" w:rsidRDefault="002D2BAA" w:rsidP="00091EBD">
      <w:pPr>
        <w:spacing w:line="480" w:lineRule="auto"/>
        <w:rPr>
          <w:lang w:val="en-GB"/>
        </w:rPr>
      </w:pPr>
    </w:p>
    <w:p w14:paraId="603CBC91" w14:textId="77777777" w:rsidR="00E95A38" w:rsidRPr="00D86603" w:rsidRDefault="00E95A38" w:rsidP="00091EBD">
      <w:pPr>
        <w:spacing w:line="480" w:lineRule="auto"/>
        <w:rPr>
          <w:lang w:val="en-GB"/>
        </w:rPr>
      </w:pPr>
    </w:p>
    <w:p w14:paraId="151B0382" w14:textId="77777777" w:rsidR="002D2BAA" w:rsidRPr="00D86603" w:rsidRDefault="002D2BAA" w:rsidP="00091EBD">
      <w:pPr>
        <w:spacing w:line="480" w:lineRule="auto"/>
        <w:rPr>
          <w:lang w:val="en-GB"/>
        </w:rPr>
      </w:pPr>
    </w:p>
    <w:p w14:paraId="48625D3B" w14:textId="77777777" w:rsidR="001C3CB7" w:rsidRPr="00D86603" w:rsidRDefault="001C3CB7" w:rsidP="002D2BAA">
      <w:pPr>
        <w:spacing w:line="480" w:lineRule="auto"/>
        <w:rPr>
          <w:lang w:val="en-GB"/>
        </w:rPr>
      </w:pPr>
    </w:p>
    <w:p w14:paraId="009F7375" w14:textId="77777777" w:rsidR="001C3CB7" w:rsidRPr="00D86603" w:rsidRDefault="001C3CB7" w:rsidP="002D2BAA">
      <w:pPr>
        <w:spacing w:line="480" w:lineRule="auto"/>
        <w:rPr>
          <w:lang w:val="en-GB"/>
        </w:rPr>
      </w:pPr>
    </w:p>
    <w:p w14:paraId="001D0CE0" w14:textId="77777777" w:rsidR="001C3CB7" w:rsidRPr="00D86603" w:rsidRDefault="001C3CB7" w:rsidP="002D2BAA">
      <w:pPr>
        <w:spacing w:line="480" w:lineRule="auto"/>
        <w:rPr>
          <w:lang w:val="en-GB"/>
        </w:rPr>
      </w:pPr>
    </w:p>
    <w:p w14:paraId="758397C8" w14:textId="77777777" w:rsidR="001C3CB7" w:rsidRPr="00D86603" w:rsidRDefault="001C3CB7" w:rsidP="002D2BAA">
      <w:pPr>
        <w:spacing w:line="480" w:lineRule="auto"/>
        <w:rPr>
          <w:lang w:val="en-GB"/>
        </w:rPr>
      </w:pPr>
    </w:p>
    <w:p w14:paraId="105B9230" w14:textId="77777777" w:rsidR="007B38A8" w:rsidRDefault="007B38A8" w:rsidP="002D2BAA">
      <w:pPr>
        <w:spacing w:line="480" w:lineRule="auto"/>
        <w:rPr>
          <w:lang w:val="en-GB"/>
        </w:rPr>
      </w:pPr>
    </w:p>
    <w:p w14:paraId="1A6AF93A" w14:textId="77777777" w:rsidR="001C270D" w:rsidRDefault="001C270D" w:rsidP="002D2BAA">
      <w:pPr>
        <w:spacing w:line="480" w:lineRule="auto"/>
        <w:rPr>
          <w:lang w:val="en-GB"/>
        </w:rPr>
      </w:pPr>
    </w:p>
    <w:p w14:paraId="47DD68BB" w14:textId="5C99FC25" w:rsidR="00E95A38" w:rsidRPr="00D177AE" w:rsidRDefault="00E95A38" w:rsidP="002D2BAA">
      <w:pPr>
        <w:spacing w:line="480" w:lineRule="auto"/>
        <w:rPr>
          <w:lang w:val="en-GB"/>
        </w:rPr>
      </w:pPr>
      <w:r w:rsidRPr="00D86603">
        <w:rPr>
          <w:lang w:val="en-GB"/>
        </w:rPr>
        <w:lastRenderedPageBreak/>
        <w:fldChar w:fldCharType="begin"/>
      </w:r>
      <w:r w:rsidRPr="00D177AE">
        <w:rPr>
          <w:lang w:val="en-GB"/>
        </w:rPr>
        <w:instrText xml:space="preserve"> ADDIN REFMGR.REFLIST </w:instrText>
      </w:r>
      <w:r w:rsidRPr="00D86603">
        <w:rPr>
          <w:lang w:val="en-GB"/>
        </w:rPr>
        <w:fldChar w:fldCharType="separate"/>
      </w:r>
      <w:r w:rsidRPr="00D86603">
        <w:rPr>
          <w:b/>
          <w:lang w:val="en-GB"/>
        </w:rPr>
        <w:t>References</w:t>
      </w:r>
    </w:p>
    <w:p w14:paraId="1407BBEE" w14:textId="77777777" w:rsidR="00E95A38" w:rsidRPr="00D177AE" w:rsidRDefault="00E95A38" w:rsidP="002D2BAA">
      <w:pPr>
        <w:spacing w:line="480" w:lineRule="auto"/>
        <w:rPr>
          <w:lang w:val="en-GB"/>
        </w:rPr>
      </w:pPr>
    </w:p>
    <w:p w14:paraId="07C165D1" w14:textId="77777777" w:rsidR="00E95A38" w:rsidRPr="00305F3E" w:rsidRDefault="00E95A38" w:rsidP="002D2BAA">
      <w:pPr>
        <w:pStyle w:val="Lijstalinea1"/>
        <w:tabs>
          <w:tab w:val="right" w:pos="540"/>
          <w:tab w:val="left" w:pos="720"/>
        </w:tabs>
        <w:spacing w:line="480" w:lineRule="auto"/>
        <w:ind w:hanging="680"/>
        <w:rPr>
          <w:sz w:val="24"/>
          <w:szCs w:val="24"/>
        </w:rPr>
      </w:pPr>
      <w:r w:rsidRPr="00D177AE">
        <w:rPr>
          <w:lang w:val="en-GB"/>
        </w:rPr>
        <w:tab/>
      </w:r>
      <w:r w:rsidR="002D2BAA" w:rsidRPr="00D177AE">
        <w:rPr>
          <w:sz w:val="24"/>
          <w:szCs w:val="24"/>
          <w:lang w:val="en-GB"/>
        </w:rPr>
        <w:t>[1]</w:t>
      </w:r>
      <w:r w:rsidRPr="00D177AE">
        <w:rPr>
          <w:lang w:val="en-GB"/>
        </w:rPr>
        <w:t xml:space="preserve"> </w:t>
      </w:r>
      <w:r w:rsidRPr="00D177AE">
        <w:rPr>
          <w:lang w:val="en-GB"/>
        </w:rPr>
        <w:tab/>
      </w:r>
      <w:r w:rsidRPr="00D177AE">
        <w:rPr>
          <w:sz w:val="24"/>
          <w:szCs w:val="24"/>
          <w:lang w:val="en-GB"/>
        </w:rPr>
        <w:t xml:space="preserve">Macfarlane J, Holmes W, Gard P, et al. Prospective study of the incidence, aetiology and outcome of adult lower respiratory tract illness in the community. </w:t>
      </w:r>
      <w:r w:rsidRPr="00305F3E">
        <w:rPr>
          <w:sz w:val="24"/>
          <w:szCs w:val="24"/>
        </w:rPr>
        <w:t>Thorax 2001; 56:109-114.</w:t>
      </w:r>
    </w:p>
    <w:p w14:paraId="216BB9ED" w14:textId="77777777" w:rsidR="00E95A38" w:rsidRPr="00305F3E" w:rsidRDefault="00E95A38" w:rsidP="002D2BAA">
      <w:pPr>
        <w:pStyle w:val="Lijstalinea1"/>
        <w:tabs>
          <w:tab w:val="right" w:pos="540"/>
          <w:tab w:val="left" w:pos="720"/>
        </w:tabs>
        <w:spacing w:line="480" w:lineRule="auto"/>
        <w:rPr>
          <w:sz w:val="24"/>
          <w:szCs w:val="24"/>
        </w:rPr>
      </w:pPr>
    </w:p>
    <w:p w14:paraId="3CC87903" w14:textId="77777777" w:rsidR="00E95A38" w:rsidRPr="00305F3E" w:rsidRDefault="002D2BAA" w:rsidP="002D2BAA">
      <w:pPr>
        <w:pStyle w:val="Lijstalinea"/>
        <w:tabs>
          <w:tab w:val="right" w:pos="540"/>
          <w:tab w:val="left" w:pos="720"/>
        </w:tabs>
        <w:spacing w:line="480" w:lineRule="auto"/>
        <w:ind w:left="0" w:hanging="680"/>
        <w:rPr>
          <w:rFonts w:eastAsia="Arial Unicode MS" w:cs="Times New Roman"/>
          <w:szCs w:val="24"/>
          <w:lang w:val="nl-NL"/>
        </w:rPr>
      </w:pPr>
      <w:r w:rsidRPr="00305F3E">
        <w:rPr>
          <w:szCs w:val="24"/>
          <w:lang w:val="nl-NL"/>
        </w:rPr>
        <w:tab/>
        <w:t>[2]</w:t>
      </w:r>
      <w:r w:rsidR="00E95A38" w:rsidRPr="00305F3E">
        <w:rPr>
          <w:szCs w:val="24"/>
          <w:lang w:val="nl-NL"/>
        </w:rPr>
        <w:t xml:space="preserve"> </w:t>
      </w:r>
      <w:r w:rsidR="00E95A38" w:rsidRPr="00305F3E">
        <w:rPr>
          <w:szCs w:val="24"/>
          <w:lang w:val="nl-NL"/>
        </w:rPr>
        <w:tab/>
        <w:t xml:space="preserve">Goossens H, Ferech M, Vander Stichele R, et al. </w:t>
      </w:r>
      <w:r w:rsidR="00E95A38" w:rsidRPr="00D177AE">
        <w:rPr>
          <w:szCs w:val="24"/>
        </w:rPr>
        <w:t xml:space="preserve">ESAC Project Group. Outpatient antibiotic use in Europe and association with resistance: a cross-national database study. </w:t>
      </w:r>
      <w:r w:rsidR="00E95A38" w:rsidRPr="00305F3E">
        <w:rPr>
          <w:rStyle w:val="jrnl"/>
          <w:szCs w:val="24"/>
          <w:lang w:val="nl-NL"/>
        </w:rPr>
        <w:t>Lancet</w:t>
      </w:r>
      <w:r w:rsidR="00E95A38" w:rsidRPr="00305F3E">
        <w:rPr>
          <w:szCs w:val="24"/>
          <w:lang w:val="nl-NL"/>
        </w:rPr>
        <w:t xml:space="preserve"> 2005; 365:579-587</w:t>
      </w:r>
      <w:r w:rsidR="00E95A38" w:rsidRPr="00305F3E">
        <w:rPr>
          <w:rFonts w:eastAsia="Arial Unicode MS" w:cs="Times New Roman"/>
          <w:szCs w:val="24"/>
          <w:lang w:val="nl-NL"/>
        </w:rPr>
        <w:t>.</w:t>
      </w:r>
    </w:p>
    <w:p w14:paraId="71D73F9A" w14:textId="77777777" w:rsidR="00E95A38" w:rsidRPr="00305F3E" w:rsidRDefault="00E95A38" w:rsidP="002D2BAA">
      <w:pPr>
        <w:pStyle w:val="Lijstalinea"/>
        <w:tabs>
          <w:tab w:val="right" w:pos="540"/>
          <w:tab w:val="left" w:pos="720"/>
        </w:tabs>
        <w:spacing w:line="480" w:lineRule="auto"/>
        <w:ind w:left="0" w:hanging="680"/>
        <w:rPr>
          <w:rFonts w:cs="Times New Roman"/>
          <w:szCs w:val="24"/>
          <w:lang w:val="nl-NL"/>
        </w:rPr>
      </w:pPr>
    </w:p>
    <w:p w14:paraId="69AFFD24" w14:textId="77777777" w:rsidR="00E95A38" w:rsidRPr="00D177AE" w:rsidRDefault="002D2BAA" w:rsidP="002D2BAA">
      <w:pPr>
        <w:tabs>
          <w:tab w:val="right" w:pos="540"/>
          <w:tab w:val="left" w:pos="720"/>
        </w:tabs>
        <w:spacing w:line="480" w:lineRule="auto"/>
        <w:ind w:hanging="720"/>
        <w:rPr>
          <w:lang w:val="en-GB"/>
        </w:rPr>
      </w:pPr>
      <w:r w:rsidRPr="00305F3E">
        <w:tab/>
        <w:t>[3]</w:t>
      </w:r>
      <w:r w:rsidR="00E95A38" w:rsidRPr="00305F3E">
        <w:t xml:space="preserve"> </w:t>
      </w:r>
      <w:r w:rsidR="00E95A38" w:rsidRPr="00305F3E">
        <w:tab/>
        <w:t xml:space="preserve">de Kraker ME, Wolkewitz M, Davey PG, et al. </w:t>
      </w:r>
      <w:r w:rsidR="00E95A38" w:rsidRPr="00D177AE">
        <w:rPr>
          <w:lang w:val="en-GB"/>
        </w:rPr>
        <w:t xml:space="preserve">Burden of antimicrobial resistance in European hospitals: excess mortality and length of hospital stay associated with bloodstream infections due to Escherichia coli resistant to third-generation cephalosporins. </w:t>
      </w:r>
      <w:r w:rsidR="00E95A38" w:rsidRPr="00D177AE">
        <w:rPr>
          <w:rStyle w:val="jrnl"/>
          <w:lang w:val="en-GB"/>
        </w:rPr>
        <w:t>J Antimicrob Chemother</w:t>
      </w:r>
      <w:r w:rsidR="00E95A38" w:rsidRPr="00D177AE">
        <w:rPr>
          <w:lang w:val="en-GB"/>
        </w:rPr>
        <w:t xml:space="preserve"> 2011; 66:398-407.</w:t>
      </w:r>
    </w:p>
    <w:p w14:paraId="1F8F3435" w14:textId="77777777" w:rsidR="002D2BAA" w:rsidRPr="00D177AE" w:rsidRDefault="002D2BAA" w:rsidP="002D2BAA">
      <w:pPr>
        <w:tabs>
          <w:tab w:val="right" w:pos="540"/>
          <w:tab w:val="left" w:pos="720"/>
        </w:tabs>
        <w:spacing w:line="480" w:lineRule="auto"/>
        <w:ind w:hanging="720"/>
        <w:rPr>
          <w:lang w:val="en-GB"/>
        </w:rPr>
      </w:pPr>
    </w:p>
    <w:p w14:paraId="53D29ED5" w14:textId="77777777" w:rsidR="00E95A38" w:rsidRPr="00305F3E" w:rsidRDefault="002D2BAA" w:rsidP="002D2BAA">
      <w:pPr>
        <w:tabs>
          <w:tab w:val="right" w:pos="540"/>
          <w:tab w:val="left" w:pos="720"/>
        </w:tabs>
        <w:spacing w:line="480" w:lineRule="auto"/>
        <w:ind w:hanging="720"/>
      </w:pPr>
      <w:r w:rsidRPr="00D177AE">
        <w:rPr>
          <w:lang w:val="en-GB"/>
        </w:rPr>
        <w:tab/>
        <w:t>[4]</w:t>
      </w:r>
      <w:r w:rsidR="00E95A38" w:rsidRPr="00D177AE">
        <w:rPr>
          <w:lang w:val="en-GB"/>
        </w:rPr>
        <w:t xml:space="preserve"> </w:t>
      </w:r>
      <w:r w:rsidR="00E95A38" w:rsidRPr="00D177AE">
        <w:rPr>
          <w:lang w:val="en-GB"/>
        </w:rPr>
        <w:tab/>
        <w:t xml:space="preserve">Lambert ML, Suetens C, Savey A, et al. Clinical outcomes of health-care-associated infections and antimicrobial resistance in patients admitted to European intensive-care units: a cohort study. </w:t>
      </w:r>
      <w:r w:rsidR="00E95A38" w:rsidRPr="00305F3E">
        <w:rPr>
          <w:rStyle w:val="jrnl"/>
        </w:rPr>
        <w:t>Lancet Infect Dis</w:t>
      </w:r>
      <w:r w:rsidR="00E95A38" w:rsidRPr="00305F3E">
        <w:t xml:space="preserve"> 2011; 11:30-38.</w:t>
      </w:r>
    </w:p>
    <w:p w14:paraId="52243974" w14:textId="77777777" w:rsidR="002D2BAA" w:rsidRPr="00305F3E" w:rsidRDefault="002D2BAA" w:rsidP="002D2BAA">
      <w:pPr>
        <w:tabs>
          <w:tab w:val="right" w:pos="540"/>
          <w:tab w:val="left" w:pos="720"/>
        </w:tabs>
        <w:spacing w:line="480" w:lineRule="auto"/>
        <w:ind w:hanging="720"/>
      </w:pPr>
    </w:p>
    <w:p w14:paraId="52BCFC71" w14:textId="77777777" w:rsidR="00E95A38" w:rsidRPr="00D177AE" w:rsidRDefault="002D2BAA" w:rsidP="002D2BAA">
      <w:pPr>
        <w:tabs>
          <w:tab w:val="right" w:pos="540"/>
          <w:tab w:val="left" w:pos="720"/>
        </w:tabs>
        <w:spacing w:line="480" w:lineRule="auto"/>
        <w:ind w:hanging="720"/>
        <w:rPr>
          <w:lang w:val="en-GB"/>
        </w:rPr>
      </w:pPr>
      <w:r w:rsidRPr="00305F3E">
        <w:tab/>
        <w:t>[5]</w:t>
      </w:r>
      <w:r w:rsidR="00E95A38" w:rsidRPr="00305F3E">
        <w:t xml:space="preserve"> </w:t>
      </w:r>
      <w:r w:rsidR="00E95A38" w:rsidRPr="00305F3E">
        <w:tab/>
        <w:t xml:space="preserve">Einarsson S, Kristjansson M, Kristinsson KG, et al. </w:t>
      </w:r>
      <w:r w:rsidR="00E95A38" w:rsidRPr="00D177AE">
        <w:rPr>
          <w:lang w:val="en-GB"/>
        </w:rPr>
        <w:t xml:space="preserve">Pneumonia caused by penicillin-non-susceptible and penicillin-susceptible pneumococci in adults: a case-control study. </w:t>
      </w:r>
      <w:r w:rsidR="00E95A38" w:rsidRPr="00D177AE">
        <w:rPr>
          <w:rStyle w:val="jrnl"/>
          <w:lang w:val="en-GB"/>
        </w:rPr>
        <w:t>Scand J Infect Dis</w:t>
      </w:r>
      <w:r w:rsidR="00E95A38" w:rsidRPr="00D177AE">
        <w:rPr>
          <w:lang w:val="en-GB"/>
        </w:rPr>
        <w:t xml:space="preserve"> 1998; 30:253-256.</w:t>
      </w:r>
    </w:p>
    <w:p w14:paraId="372D6B12" w14:textId="77777777" w:rsidR="002D2BAA" w:rsidRPr="00D177AE" w:rsidRDefault="002D2BAA" w:rsidP="002D2BAA">
      <w:pPr>
        <w:tabs>
          <w:tab w:val="right" w:pos="540"/>
          <w:tab w:val="left" w:pos="720"/>
        </w:tabs>
        <w:spacing w:line="480" w:lineRule="auto"/>
        <w:ind w:hanging="720"/>
        <w:rPr>
          <w:lang w:val="en-GB"/>
        </w:rPr>
      </w:pPr>
    </w:p>
    <w:p w14:paraId="64715A38" w14:textId="77777777" w:rsidR="00E95A38" w:rsidRPr="00D86603" w:rsidRDefault="002D2BAA" w:rsidP="002D2BAA">
      <w:pPr>
        <w:tabs>
          <w:tab w:val="right" w:pos="540"/>
          <w:tab w:val="left" w:pos="720"/>
        </w:tabs>
        <w:spacing w:line="480" w:lineRule="auto"/>
        <w:ind w:hanging="720"/>
        <w:rPr>
          <w:lang w:val="en-GB"/>
        </w:rPr>
      </w:pPr>
      <w:r w:rsidRPr="00D177AE">
        <w:rPr>
          <w:lang w:val="en-GB"/>
        </w:rPr>
        <w:tab/>
        <w:t>[</w:t>
      </w:r>
      <w:r w:rsidR="00E95A38" w:rsidRPr="00D177AE">
        <w:rPr>
          <w:lang w:val="en-GB"/>
        </w:rPr>
        <w:t>6</w:t>
      </w:r>
      <w:r w:rsidRPr="00D177AE">
        <w:rPr>
          <w:lang w:val="en-GB"/>
        </w:rPr>
        <w:t>]</w:t>
      </w:r>
      <w:r w:rsidR="00E95A38" w:rsidRPr="00D177AE">
        <w:rPr>
          <w:lang w:val="en-GB"/>
        </w:rPr>
        <w:t xml:space="preserve"> </w:t>
      </w:r>
      <w:r w:rsidR="00E95A38" w:rsidRPr="00D177AE">
        <w:rPr>
          <w:lang w:val="en-GB"/>
        </w:rPr>
        <w:tab/>
        <w:t xml:space="preserve">Feikin DR, Schuchat A, Kolczak M, et al. Mortality from invasive pneumococcal pneumonia in the era of antibiotic resistance, 1995-1997. </w:t>
      </w:r>
      <w:r w:rsidR="00E95A38" w:rsidRPr="00D86603">
        <w:rPr>
          <w:rStyle w:val="jrnl"/>
          <w:lang w:val="en-GB"/>
        </w:rPr>
        <w:t>Am J Public Health</w:t>
      </w:r>
      <w:r w:rsidR="00E95A38" w:rsidRPr="00D86603">
        <w:rPr>
          <w:lang w:val="en-GB"/>
        </w:rPr>
        <w:t xml:space="preserve"> 2000; 90:223-229.</w:t>
      </w:r>
    </w:p>
    <w:p w14:paraId="6B9EF786" w14:textId="77777777" w:rsidR="007B79F7" w:rsidRPr="00D86603" w:rsidRDefault="002D2BAA" w:rsidP="002D2BAA">
      <w:pPr>
        <w:tabs>
          <w:tab w:val="right" w:pos="540"/>
          <w:tab w:val="left" w:pos="720"/>
        </w:tabs>
        <w:spacing w:line="480" w:lineRule="auto"/>
        <w:ind w:hanging="720"/>
        <w:rPr>
          <w:lang w:val="en-GB"/>
        </w:rPr>
      </w:pPr>
      <w:r w:rsidRPr="00D86603">
        <w:rPr>
          <w:lang w:val="en-GB"/>
        </w:rPr>
        <w:lastRenderedPageBreak/>
        <w:tab/>
      </w:r>
    </w:p>
    <w:p w14:paraId="4C8AC012" w14:textId="77777777" w:rsidR="00E95A38" w:rsidRPr="00D86603" w:rsidRDefault="007B79F7" w:rsidP="002D2BAA">
      <w:pPr>
        <w:tabs>
          <w:tab w:val="right" w:pos="540"/>
          <w:tab w:val="left" w:pos="720"/>
        </w:tabs>
        <w:spacing w:line="480" w:lineRule="auto"/>
        <w:ind w:hanging="720"/>
        <w:rPr>
          <w:lang w:val="en-GB"/>
        </w:rPr>
      </w:pPr>
      <w:r w:rsidRPr="00D86603">
        <w:rPr>
          <w:lang w:val="en-GB"/>
        </w:rPr>
        <w:tab/>
      </w:r>
      <w:r w:rsidR="002D2BAA" w:rsidRPr="00D86603">
        <w:rPr>
          <w:lang w:val="en-GB"/>
        </w:rPr>
        <w:t>[7]</w:t>
      </w:r>
      <w:r w:rsidR="00E95A38" w:rsidRPr="00D86603">
        <w:rPr>
          <w:lang w:val="en-GB"/>
        </w:rPr>
        <w:t xml:space="preserve"> </w:t>
      </w:r>
      <w:r w:rsidR="00E95A38" w:rsidRPr="00D86603">
        <w:rPr>
          <w:lang w:val="en-GB"/>
        </w:rPr>
        <w:tab/>
        <w:t xml:space="preserve">Butler CC, Hillier S, Roberts Z, et al. Antibiotic-resistant infections in primary care are symptomatic for longer and increase workload: outcomes for patients with E. coli UTIs. </w:t>
      </w:r>
      <w:r w:rsidR="00E95A38" w:rsidRPr="00D86603">
        <w:rPr>
          <w:rStyle w:val="jrnl"/>
          <w:lang w:val="en-GB"/>
        </w:rPr>
        <w:t>Br J Gen Pract</w:t>
      </w:r>
      <w:r w:rsidR="00E95A38" w:rsidRPr="00D86603">
        <w:rPr>
          <w:lang w:val="en-GB"/>
        </w:rPr>
        <w:t xml:space="preserve"> 2006; 56:686-692.</w:t>
      </w:r>
    </w:p>
    <w:p w14:paraId="01F75E11" w14:textId="77777777" w:rsidR="002D2BAA" w:rsidRPr="00D86603" w:rsidRDefault="002D2BAA" w:rsidP="002D2BAA">
      <w:pPr>
        <w:tabs>
          <w:tab w:val="right" w:pos="540"/>
          <w:tab w:val="left" w:pos="720"/>
        </w:tabs>
        <w:spacing w:line="480" w:lineRule="auto"/>
        <w:ind w:hanging="720"/>
        <w:rPr>
          <w:lang w:val="en-GB"/>
        </w:rPr>
      </w:pPr>
    </w:p>
    <w:p w14:paraId="09E05865" w14:textId="77777777" w:rsidR="00E95A38" w:rsidRPr="00D86603" w:rsidRDefault="002D2BAA" w:rsidP="002D2BAA">
      <w:pPr>
        <w:tabs>
          <w:tab w:val="right" w:pos="540"/>
          <w:tab w:val="left" w:pos="720"/>
        </w:tabs>
        <w:spacing w:line="480" w:lineRule="auto"/>
        <w:ind w:hanging="720"/>
        <w:rPr>
          <w:lang w:val="en-GB"/>
        </w:rPr>
      </w:pPr>
      <w:r w:rsidRPr="00D86603">
        <w:rPr>
          <w:lang w:val="en-GB"/>
        </w:rPr>
        <w:tab/>
        <w:t>[8]</w:t>
      </w:r>
      <w:r w:rsidR="00E95A38" w:rsidRPr="00D86603">
        <w:rPr>
          <w:lang w:val="en-GB"/>
        </w:rPr>
        <w:t xml:space="preserve"> </w:t>
      </w:r>
      <w:r w:rsidR="00E95A38" w:rsidRPr="00D86603">
        <w:rPr>
          <w:lang w:val="en-GB"/>
        </w:rPr>
        <w:tab/>
        <w:t xml:space="preserve">Little P, Merriman R, Turner S, et al. Presentation, pattern, and natural course of severe symptoms, and role of antibiotics and antibiotic resistance among patients presenting with suspected uncomplicated urinary tract infection in primary care: observational study. </w:t>
      </w:r>
      <w:r w:rsidR="00E95A38" w:rsidRPr="00D86603">
        <w:rPr>
          <w:rStyle w:val="jrnl"/>
          <w:lang w:val="en-GB"/>
        </w:rPr>
        <w:t>BMJ</w:t>
      </w:r>
      <w:r w:rsidR="00E95A38" w:rsidRPr="00D86603">
        <w:rPr>
          <w:lang w:val="en-GB"/>
        </w:rPr>
        <w:t xml:space="preserve"> 2010; 340:b5633.</w:t>
      </w:r>
    </w:p>
    <w:p w14:paraId="7EABC03B" w14:textId="77777777" w:rsidR="002D2BAA" w:rsidRPr="00D86603" w:rsidRDefault="002D2BAA" w:rsidP="002D2BAA">
      <w:pPr>
        <w:tabs>
          <w:tab w:val="right" w:pos="540"/>
          <w:tab w:val="left" w:pos="720"/>
        </w:tabs>
        <w:spacing w:line="480" w:lineRule="auto"/>
        <w:ind w:hanging="720"/>
        <w:rPr>
          <w:lang w:val="en-GB"/>
        </w:rPr>
      </w:pPr>
    </w:p>
    <w:p w14:paraId="1DFA8858" w14:textId="77777777" w:rsidR="00E95A38" w:rsidRPr="00D86603" w:rsidRDefault="002D2BAA" w:rsidP="002D2BAA">
      <w:pPr>
        <w:tabs>
          <w:tab w:val="right" w:pos="540"/>
          <w:tab w:val="left" w:pos="720"/>
        </w:tabs>
        <w:spacing w:line="480" w:lineRule="auto"/>
        <w:ind w:hanging="720"/>
        <w:rPr>
          <w:lang w:val="en-GB"/>
        </w:rPr>
      </w:pPr>
      <w:r w:rsidRPr="00D86603">
        <w:rPr>
          <w:lang w:val="en-GB"/>
        </w:rPr>
        <w:tab/>
        <w:t>[9]</w:t>
      </w:r>
      <w:r w:rsidR="00E95A38" w:rsidRPr="00D86603">
        <w:rPr>
          <w:lang w:val="en-GB"/>
        </w:rPr>
        <w:t xml:space="preserve"> </w:t>
      </w:r>
      <w:r w:rsidR="00E95A38" w:rsidRPr="00D86603">
        <w:rPr>
          <w:lang w:val="en-GB"/>
        </w:rPr>
        <w:tab/>
        <w:t xml:space="preserve">McNulty CA, Richards J, Livermore DM, et al. Clinical relevance of laboratory-reported antibiotic resistance in acute uncomplicated urinary tract infection in primary care. </w:t>
      </w:r>
      <w:r w:rsidR="00E95A38" w:rsidRPr="00D86603">
        <w:rPr>
          <w:rStyle w:val="jrnl"/>
          <w:lang w:val="en-GB"/>
        </w:rPr>
        <w:t>J Antimicrob Chemother</w:t>
      </w:r>
      <w:r w:rsidR="00E95A38" w:rsidRPr="00D86603">
        <w:rPr>
          <w:lang w:val="en-GB"/>
        </w:rPr>
        <w:t xml:space="preserve"> 2006; 58:1000-1008.</w:t>
      </w:r>
    </w:p>
    <w:p w14:paraId="2F4D5855" w14:textId="77777777" w:rsidR="002D2BAA" w:rsidRPr="00D86603" w:rsidRDefault="002D2BAA" w:rsidP="002D2BAA">
      <w:pPr>
        <w:tabs>
          <w:tab w:val="right" w:pos="540"/>
          <w:tab w:val="left" w:pos="720"/>
        </w:tabs>
        <w:spacing w:line="480" w:lineRule="auto"/>
        <w:ind w:hanging="720"/>
        <w:rPr>
          <w:lang w:val="en-GB"/>
        </w:rPr>
      </w:pPr>
    </w:p>
    <w:p w14:paraId="45428FD8" w14:textId="77777777" w:rsidR="00E95A38" w:rsidRPr="00D177AE" w:rsidRDefault="002D2BAA" w:rsidP="002D2BAA">
      <w:pPr>
        <w:tabs>
          <w:tab w:val="right" w:pos="540"/>
          <w:tab w:val="left" w:pos="720"/>
        </w:tabs>
        <w:spacing w:line="480" w:lineRule="auto"/>
        <w:ind w:hanging="720"/>
        <w:rPr>
          <w:lang w:val="en-GB"/>
        </w:rPr>
      </w:pPr>
      <w:r w:rsidRPr="00D86603">
        <w:rPr>
          <w:lang w:val="en-GB"/>
        </w:rPr>
        <w:tab/>
        <w:t>[10]</w:t>
      </w:r>
      <w:r w:rsidR="00E95A38" w:rsidRPr="00D86603">
        <w:rPr>
          <w:lang w:val="en-GB"/>
        </w:rPr>
        <w:t xml:space="preserve"> </w:t>
      </w:r>
      <w:bookmarkStart w:id="8" w:name="_Hlk506813805"/>
      <w:r w:rsidR="00E95A38" w:rsidRPr="00D86603">
        <w:rPr>
          <w:lang w:val="en-GB"/>
        </w:rPr>
        <w:tab/>
        <w:t xml:space="preserve">Little P, Stuart B, Moore M, et al. Amoxicillin for acute lower-respiratory-tract infection in primary care when pneumonia is not suspected: a 12-country, randomised, placebo-controlled trial. </w:t>
      </w:r>
      <w:r w:rsidR="00E95A38" w:rsidRPr="00D177AE">
        <w:rPr>
          <w:lang w:val="en-GB"/>
        </w:rPr>
        <w:t>Lancet Infect Dis 2013; 13:123-129.</w:t>
      </w:r>
      <w:bookmarkEnd w:id="8"/>
    </w:p>
    <w:p w14:paraId="231A783D" w14:textId="44D1FC9E" w:rsidR="002D2BAA" w:rsidRPr="00D177AE" w:rsidRDefault="002D2BAA" w:rsidP="007B38A8">
      <w:pPr>
        <w:tabs>
          <w:tab w:val="right" w:pos="540"/>
          <w:tab w:val="left" w:pos="720"/>
        </w:tabs>
        <w:spacing w:line="480" w:lineRule="auto"/>
        <w:rPr>
          <w:lang w:val="en-GB"/>
        </w:rPr>
      </w:pPr>
    </w:p>
    <w:p w14:paraId="49837974" w14:textId="28A77B2A" w:rsidR="00E95A38" w:rsidRPr="00D86603" w:rsidRDefault="002D2BAA" w:rsidP="002D2BAA">
      <w:pPr>
        <w:tabs>
          <w:tab w:val="right" w:pos="540"/>
          <w:tab w:val="left" w:pos="720"/>
        </w:tabs>
        <w:spacing w:line="480" w:lineRule="auto"/>
        <w:ind w:hanging="720"/>
        <w:rPr>
          <w:lang w:val="en-GB"/>
        </w:rPr>
      </w:pPr>
      <w:r w:rsidRPr="00D177AE">
        <w:rPr>
          <w:lang w:val="en-GB"/>
        </w:rPr>
        <w:tab/>
        <w:t>[1</w:t>
      </w:r>
      <w:r w:rsidR="005A3C40" w:rsidRPr="00D177AE">
        <w:rPr>
          <w:lang w:val="en-GB"/>
        </w:rPr>
        <w:t>1</w:t>
      </w:r>
      <w:r w:rsidRPr="00D177AE">
        <w:rPr>
          <w:lang w:val="en-GB"/>
        </w:rPr>
        <w:t>]</w:t>
      </w:r>
      <w:r w:rsidR="00E95A38" w:rsidRPr="00D177AE">
        <w:rPr>
          <w:lang w:val="en-GB"/>
        </w:rPr>
        <w:t xml:space="preserve"> </w:t>
      </w:r>
      <w:r w:rsidR="00E95A38" w:rsidRPr="00D177AE">
        <w:rPr>
          <w:lang w:val="en-GB"/>
        </w:rPr>
        <w:tab/>
        <w:t xml:space="preserve">British Thoracic Society. British Thoracic Society Guidelines for the management of Community Acquired Pneumonia. </w:t>
      </w:r>
      <w:r w:rsidR="00E95A38" w:rsidRPr="00D86603">
        <w:rPr>
          <w:rStyle w:val="jrnl"/>
          <w:lang w:val="en-GB"/>
        </w:rPr>
        <w:t>Thorax</w:t>
      </w:r>
      <w:r w:rsidR="00E95A38" w:rsidRPr="00D86603">
        <w:rPr>
          <w:lang w:val="en-GB"/>
        </w:rPr>
        <w:t xml:space="preserve"> 2001; 56(suppl 4):1-64.</w:t>
      </w:r>
    </w:p>
    <w:p w14:paraId="53D720F2" w14:textId="77777777" w:rsidR="00155925" w:rsidRPr="00D86603" w:rsidRDefault="00155925" w:rsidP="00155925">
      <w:pPr>
        <w:tabs>
          <w:tab w:val="right" w:pos="540"/>
          <w:tab w:val="left" w:pos="720"/>
        </w:tabs>
        <w:spacing w:line="480" w:lineRule="auto"/>
        <w:rPr>
          <w:lang w:val="en-GB"/>
        </w:rPr>
      </w:pPr>
    </w:p>
    <w:p w14:paraId="7F17BA87" w14:textId="3C2CB963" w:rsidR="00E95A38" w:rsidRPr="00305F3E" w:rsidRDefault="002D2BAA" w:rsidP="00155925">
      <w:pPr>
        <w:tabs>
          <w:tab w:val="right" w:pos="540"/>
          <w:tab w:val="left" w:pos="720"/>
        </w:tabs>
        <w:spacing w:line="480" w:lineRule="auto"/>
      </w:pPr>
      <w:r w:rsidRPr="00D86603">
        <w:rPr>
          <w:lang w:val="en-GB"/>
        </w:rPr>
        <w:t>[1</w:t>
      </w:r>
      <w:r w:rsidR="005A3C40" w:rsidRPr="00D86603">
        <w:rPr>
          <w:lang w:val="en-GB"/>
        </w:rPr>
        <w:t>2</w:t>
      </w:r>
      <w:r w:rsidRPr="00D86603">
        <w:rPr>
          <w:lang w:val="en-GB"/>
        </w:rPr>
        <w:t>]</w:t>
      </w:r>
      <w:r w:rsidR="00E95A38" w:rsidRPr="00D86603">
        <w:rPr>
          <w:lang w:val="en-GB"/>
        </w:rPr>
        <w:t xml:space="preserve"> </w:t>
      </w:r>
      <w:r w:rsidR="00E95A38" w:rsidRPr="00D86603">
        <w:rPr>
          <w:lang w:val="en-GB"/>
        </w:rPr>
        <w:tab/>
        <w:t xml:space="preserve">Watson L, Little P, Moore M, et al. </w:t>
      </w:r>
      <w:r w:rsidR="00E95A38" w:rsidRPr="00D86603">
        <w:rPr>
          <w:color w:val="00000A"/>
          <w:lang w:val="en-GB"/>
        </w:rPr>
        <w:t>Validation study of a diary for use in acute lower respiratory tract infection.</w:t>
      </w:r>
      <w:r w:rsidR="00E95A38" w:rsidRPr="00D86603">
        <w:rPr>
          <w:lang w:val="en-GB"/>
        </w:rPr>
        <w:t xml:space="preserve"> </w:t>
      </w:r>
      <w:r w:rsidR="00E95A38" w:rsidRPr="00305F3E">
        <w:rPr>
          <w:rStyle w:val="jrnl"/>
        </w:rPr>
        <w:t>Fam Pract</w:t>
      </w:r>
      <w:r w:rsidR="00E95A38" w:rsidRPr="00305F3E">
        <w:t xml:space="preserve"> 2001; 18:553-554.</w:t>
      </w:r>
    </w:p>
    <w:p w14:paraId="55309012" w14:textId="77777777" w:rsidR="005A3C40" w:rsidRPr="00305F3E" w:rsidRDefault="005A3C40" w:rsidP="00155925">
      <w:pPr>
        <w:tabs>
          <w:tab w:val="right" w:pos="540"/>
          <w:tab w:val="left" w:pos="720"/>
        </w:tabs>
        <w:spacing w:line="480" w:lineRule="auto"/>
      </w:pPr>
    </w:p>
    <w:p w14:paraId="4C5BCC59" w14:textId="59894E8D" w:rsidR="002D2BAA" w:rsidRPr="00305F3E" w:rsidRDefault="005A3C40" w:rsidP="002D2BAA">
      <w:pPr>
        <w:tabs>
          <w:tab w:val="right" w:pos="540"/>
          <w:tab w:val="left" w:pos="720"/>
        </w:tabs>
        <w:spacing w:line="480" w:lineRule="auto"/>
        <w:ind w:hanging="720"/>
      </w:pPr>
      <w:r w:rsidRPr="00305F3E">
        <w:lastRenderedPageBreak/>
        <w:tab/>
        <w:t xml:space="preserve">[13] </w:t>
      </w:r>
      <w:r w:rsidRPr="00305F3E">
        <w:tab/>
        <w:t xml:space="preserve">van Vugt SF, Broekhuizen BD, Lammens C, et al. </w:t>
      </w:r>
      <w:r w:rsidRPr="00D86603">
        <w:rPr>
          <w:lang w:val="en-GB"/>
        </w:rPr>
        <w:t xml:space="preserve">Use of serum C reactive protein and procalcitonin concentrations in addition to symptoms and signs to predict pneumonia in patients presenting to primary care with acute cough: diagnostic study. </w:t>
      </w:r>
      <w:r w:rsidRPr="00305F3E">
        <w:rPr>
          <w:rStyle w:val="jrnl"/>
        </w:rPr>
        <w:t xml:space="preserve">BMJ </w:t>
      </w:r>
      <w:r w:rsidRPr="00305F3E">
        <w:t>2013; 346:f2450.</w:t>
      </w:r>
    </w:p>
    <w:p w14:paraId="180D00FE" w14:textId="77777777" w:rsidR="005A3C40" w:rsidRPr="00305F3E" w:rsidRDefault="005A3C40" w:rsidP="002D2BAA">
      <w:pPr>
        <w:tabs>
          <w:tab w:val="right" w:pos="540"/>
          <w:tab w:val="left" w:pos="720"/>
        </w:tabs>
        <w:spacing w:line="480" w:lineRule="auto"/>
        <w:ind w:hanging="720"/>
      </w:pPr>
    </w:p>
    <w:p w14:paraId="78BB3D2F" w14:textId="77777777" w:rsidR="00E95A38" w:rsidRPr="00D177AE" w:rsidRDefault="002D2BAA" w:rsidP="002D2BAA">
      <w:pPr>
        <w:tabs>
          <w:tab w:val="right" w:pos="540"/>
          <w:tab w:val="left" w:pos="720"/>
        </w:tabs>
        <w:spacing w:line="480" w:lineRule="auto"/>
        <w:ind w:hanging="720"/>
        <w:rPr>
          <w:lang w:val="en-GB"/>
        </w:rPr>
      </w:pPr>
      <w:r w:rsidRPr="00305F3E">
        <w:tab/>
        <w:t>[14]</w:t>
      </w:r>
      <w:r w:rsidR="00E95A38" w:rsidRPr="00305F3E">
        <w:t xml:space="preserve"> </w:t>
      </w:r>
      <w:r w:rsidR="00E95A38" w:rsidRPr="00305F3E">
        <w:tab/>
      </w:r>
      <w:bookmarkStart w:id="9" w:name="_Hlk505846595"/>
      <w:r w:rsidR="00E95A38" w:rsidRPr="00305F3E">
        <w:t xml:space="preserve">Teepe J, BDL Broekhuizen, Loens K, et al. </w:t>
      </w:r>
      <w:r w:rsidR="00E95A38" w:rsidRPr="00D86603">
        <w:rPr>
          <w:lang w:val="en-GB"/>
        </w:rPr>
        <w:t xml:space="preserve">Predicting the presence of bacterial pathogens in the airways of primary care patients with acute cough. </w:t>
      </w:r>
      <w:r w:rsidR="00E95A38" w:rsidRPr="00D177AE">
        <w:rPr>
          <w:rStyle w:val="jrnl"/>
          <w:lang w:val="en-GB"/>
        </w:rPr>
        <w:t>CMAJ</w:t>
      </w:r>
      <w:r w:rsidR="00E95A38" w:rsidRPr="00D177AE">
        <w:rPr>
          <w:lang w:val="en-GB"/>
        </w:rPr>
        <w:t xml:space="preserve"> 2016 Oct 24. pii:cmaj.151364.</w:t>
      </w:r>
    </w:p>
    <w:bookmarkEnd w:id="9"/>
    <w:p w14:paraId="42271F86" w14:textId="77777777" w:rsidR="002D2BAA" w:rsidRPr="00D177AE" w:rsidRDefault="002D2BAA" w:rsidP="002D2BAA">
      <w:pPr>
        <w:tabs>
          <w:tab w:val="right" w:pos="540"/>
          <w:tab w:val="left" w:pos="720"/>
        </w:tabs>
        <w:spacing w:line="480" w:lineRule="auto"/>
        <w:ind w:hanging="720"/>
        <w:rPr>
          <w:lang w:val="en-GB"/>
        </w:rPr>
      </w:pPr>
    </w:p>
    <w:p w14:paraId="71F11D6F" w14:textId="77777777" w:rsidR="00E95A38" w:rsidRPr="00D86603" w:rsidRDefault="002D2BAA" w:rsidP="002D2BAA">
      <w:pPr>
        <w:tabs>
          <w:tab w:val="right" w:pos="540"/>
          <w:tab w:val="left" w:pos="720"/>
        </w:tabs>
        <w:spacing w:line="480" w:lineRule="auto"/>
        <w:ind w:hanging="720"/>
        <w:rPr>
          <w:rFonts w:eastAsia="Arial Unicode MS"/>
          <w:lang w:val="en-GB"/>
        </w:rPr>
      </w:pPr>
      <w:r w:rsidRPr="00D177AE">
        <w:rPr>
          <w:lang w:val="en-GB"/>
        </w:rPr>
        <w:tab/>
        <w:t>[15]</w:t>
      </w:r>
      <w:r w:rsidR="00E95A38" w:rsidRPr="00D177AE">
        <w:rPr>
          <w:lang w:val="en-GB"/>
        </w:rPr>
        <w:t xml:space="preserve"> </w:t>
      </w:r>
      <w:r w:rsidR="00E95A38" w:rsidRPr="00D177AE">
        <w:rPr>
          <w:lang w:val="en-GB"/>
        </w:rPr>
        <w:tab/>
      </w:r>
      <w:r w:rsidR="00E95A38" w:rsidRPr="00D177AE">
        <w:rPr>
          <w:rFonts w:eastAsia="Arial Unicode MS"/>
          <w:lang w:val="en-GB"/>
        </w:rPr>
        <w:t>The European Committee on Antimicrobial Susceptibility Testing. Breakpoint tables for interpretation of MICs and zone diameters. Version 6.0, 2016. Available: http://www.eucast.org (accessed 11 Nov 2016).</w:t>
      </w:r>
    </w:p>
    <w:p w14:paraId="4A032FA6" w14:textId="77777777" w:rsidR="002D2BAA" w:rsidRPr="00D86603" w:rsidRDefault="002D2BAA" w:rsidP="002D2BAA">
      <w:pPr>
        <w:tabs>
          <w:tab w:val="right" w:pos="540"/>
          <w:tab w:val="left" w:pos="720"/>
        </w:tabs>
        <w:spacing w:line="480" w:lineRule="auto"/>
        <w:ind w:hanging="720"/>
        <w:rPr>
          <w:lang w:val="en-GB"/>
        </w:rPr>
      </w:pPr>
    </w:p>
    <w:p w14:paraId="7747C4C0" w14:textId="77777777" w:rsidR="00E95A38" w:rsidRPr="00D86603" w:rsidRDefault="002D2BAA" w:rsidP="002D2BAA">
      <w:pPr>
        <w:tabs>
          <w:tab w:val="right" w:pos="540"/>
          <w:tab w:val="left" w:pos="720"/>
        </w:tabs>
        <w:spacing w:line="480" w:lineRule="auto"/>
        <w:ind w:hanging="720"/>
        <w:rPr>
          <w:lang w:val="en-GB"/>
        </w:rPr>
      </w:pPr>
      <w:r w:rsidRPr="00D86603">
        <w:rPr>
          <w:lang w:val="en-GB"/>
        </w:rPr>
        <w:tab/>
        <w:t>[16]</w:t>
      </w:r>
      <w:r w:rsidR="00E95A38" w:rsidRPr="00D86603">
        <w:rPr>
          <w:lang w:val="en-GB"/>
        </w:rPr>
        <w:t xml:space="preserve"> </w:t>
      </w:r>
      <w:r w:rsidR="00E95A38" w:rsidRPr="00D86603">
        <w:rPr>
          <w:lang w:val="en-GB"/>
        </w:rPr>
        <w:tab/>
      </w:r>
      <w:r w:rsidR="00E95A38" w:rsidRPr="00D86603">
        <w:rPr>
          <w:bCs/>
          <w:lang w:val="en-GB"/>
        </w:rPr>
        <w:t>Lieberman</w:t>
      </w:r>
      <w:r w:rsidR="00E95A38" w:rsidRPr="00D86603">
        <w:rPr>
          <w:lang w:val="en-GB"/>
        </w:rPr>
        <w:t xml:space="preserve"> D, Shleyfer E, Castel H, et al. Nasopharyngeal versus oropharyngeal sampling for isolation of potential </w:t>
      </w:r>
      <w:r w:rsidR="00E95A38" w:rsidRPr="00D86603">
        <w:rPr>
          <w:bCs/>
          <w:lang w:val="en-GB"/>
        </w:rPr>
        <w:t>respiratory</w:t>
      </w:r>
      <w:r w:rsidR="00E95A38" w:rsidRPr="00D86603">
        <w:rPr>
          <w:lang w:val="en-GB"/>
        </w:rPr>
        <w:t xml:space="preserve"> pathogens in adults. J Clin Microbiol </w:t>
      </w:r>
      <w:r w:rsidR="00E95A38" w:rsidRPr="00D86603">
        <w:rPr>
          <w:bCs/>
          <w:lang w:val="en-GB"/>
        </w:rPr>
        <w:t>2006</w:t>
      </w:r>
      <w:r w:rsidR="00E95A38" w:rsidRPr="00D86603">
        <w:rPr>
          <w:lang w:val="en-GB"/>
        </w:rPr>
        <w:t>; 44:525-528.</w:t>
      </w:r>
    </w:p>
    <w:p w14:paraId="1753E49A" w14:textId="77777777" w:rsidR="002D2BAA" w:rsidRPr="00D86603" w:rsidRDefault="002D2BAA" w:rsidP="002D2BAA">
      <w:pPr>
        <w:tabs>
          <w:tab w:val="right" w:pos="540"/>
          <w:tab w:val="left" w:pos="720"/>
        </w:tabs>
        <w:spacing w:line="480" w:lineRule="auto"/>
        <w:ind w:hanging="720"/>
        <w:rPr>
          <w:lang w:val="en-GB"/>
        </w:rPr>
      </w:pPr>
    </w:p>
    <w:p w14:paraId="08759C53" w14:textId="77777777" w:rsidR="00E95A38" w:rsidRPr="00D86603" w:rsidRDefault="002D2BAA" w:rsidP="002D2BAA">
      <w:pPr>
        <w:tabs>
          <w:tab w:val="right" w:pos="540"/>
          <w:tab w:val="left" w:pos="720"/>
        </w:tabs>
        <w:spacing w:line="480" w:lineRule="auto"/>
        <w:ind w:hanging="720"/>
        <w:rPr>
          <w:rFonts w:eastAsia="Arial Unicode MS"/>
          <w:color w:val="000000"/>
          <w:lang w:val="en-GB"/>
        </w:rPr>
      </w:pPr>
      <w:r w:rsidRPr="00D86603">
        <w:rPr>
          <w:lang w:val="en-GB"/>
        </w:rPr>
        <w:tab/>
        <w:t>[17]</w:t>
      </w:r>
      <w:r w:rsidR="00E95A38" w:rsidRPr="00D86603">
        <w:rPr>
          <w:lang w:val="en-GB"/>
        </w:rPr>
        <w:t xml:space="preserve"> </w:t>
      </w:r>
      <w:r w:rsidR="00E95A38" w:rsidRPr="00D86603">
        <w:rPr>
          <w:lang w:val="en-GB"/>
        </w:rPr>
        <w:tab/>
      </w:r>
      <w:r w:rsidR="00E95A38" w:rsidRPr="00D86603">
        <w:rPr>
          <w:bCs/>
          <w:lang w:val="en-GB"/>
        </w:rPr>
        <w:t>Gunnarsson</w:t>
      </w:r>
      <w:r w:rsidR="00E95A38" w:rsidRPr="00D86603">
        <w:rPr>
          <w:lang w:val="en-GB"/>
        </w:rPr>
        <w:t xml:space="preserve"> RK, Holm SE, Söderström M. The prevalence of potential pathogenic </w:t>
      </w:r>
      <w:r w:rsidR="00E95A38" w:rsidRPr="00D86603">
        <w:rPr>
          <w:bCs/>
          <w:lang w:val="en-GB"/>
        </w:rPr>
        <w:t>bacteria</w:t>
      </w:r>
      <w:r w:rsidR="00E95A38" w:rsidRPr="00D86603">
        <w:rPr>
          <w:lang w:val="en-GB"/>
        </w:rPr>
        <w:t xml:space="preserve"> in nasopharyngeal samples from individuals with a respiratory tract infection and a sore throat--implications for the diagnosis of pharyngotonsillitis. Fam Pract </w:t>
      </w:r>
      <w:r w:rsidR="00E95A38" w:rsidRPr="00D86603">
        <w:rPr>
          <w:bCs/>
          <w:lang w:val="en-GB"/>
        </w:rPr>
        <w:t>2001</w:t>
      </w:r>
      <w:r w:rsidR="00E95A38" w:rsidRPr="00D86603">
        <w:rPr>
          <w:lang w:val="en-GB"/>
        </w:rPr>
        <w:t>; 18:266-271</w:t>
      </w:r>
      <w:r w:rsidR="00E95A38" w:rsidRPr="00D86603">
        <w:rPr>
          <w:rFonts w:eastAsia="Arial Unicode MS"/>
          <w:color w:val="000000"/>
          <w:lang w:val="en-GB"/>
        </w:rPr>
        <w:t>.</w:t>
      </w:r>
    </w:p>
    <w:p w14:paraId="22FACE5B" w14:textId="77777777" w:rsidR="002D2BAA" w:rsidRPr="00D86603" w:rsidRDefault="002D2BAA" w:rsidP="002D2BAA">
      <w:pPr>
        <w:tabs>
          <w:tab w:val="right" w:pos="540"/>
          <w:tab w:val="left" w:pos="720"/>
        </w:tabs>
        <w:spacing w:line="480" w:lineRule="auto"/>
        <w:ind w:hanging="720"/>
        <w:rPr>
          <w:lang w:val="en-GB"/>
        </w:rPr>
      </w:pPr>
    </w:p>
    <w:p w14:paraId="0ACB475D" w14:textId="77777777" w:rsidR="00E95A38" w:rsidRPr="00D86603" w:rsidRDefault="002D2BAA" w:rsidP="002D2BAA">
      <w:pPr>
        <w:tabs>
          <w:tab w:val="right" w:pos="540"/>
          <w:tab w:val="left" w:pos="720"/>
        </w:tabs>
        <w:spacing w:line="480" w:lineRule="auto"/>
        <w:ind w:hanging="720"/>
        <w:rPr>
          <w:lang w:val="en-GB"/>
        </w:rPr>
      </w:pPr>
      <w:r w:rsidRPr="00D86603">
        <w:rPr>
          <w:lang w:val="en-GB"/>
        </w:rPr>
        <w:tab/>
        <w:t>[18]</w:t>
      </w:r>
      <w:r w:rsidR="00E95A38" w:rsidRPr="00D86603">
        <w:rPr>
          <w:lang w:val="en-GB"/>
        </w:rPr>
        <w:t xml:space="preserve"> </w:t>
      </w:r>
      <w:r w:rsidR="00E95A38" w:rsidRPr="00D86603">
        <w:rPr>
          <w:lang w:val="en-GB"/>
        </w:rPr>
        <w:tab/>
      </w:r>
      <w:r w:rsidR="00E95A38" w:rsidRPr="00D86603">
        <w:rPr>
          <w:rFonts w:eastAsia="Arial Unicode MS"/>
          <w:color w:val="000000"/>
          <w:lang w:val="en-GB"/>
        </w:rPr>
        <w:t>Rosell A, Monsó E, Soler N, et al. Microbiologic determinants of exacerbation in chronic obstructive pulmonary disease. Arch Intern Med 2005; 165:891-897</w:t>
      </w:r>
      <w:r w:rsidR="00E95A38" w:rsidRPr="00D86603">
        <w:rPr>
          <w:lang w:val="en-GB"/>
        </w:rPr>
        <w:t xml:space="preserve">. </w:t>
      </w:r>
    </w:p>
    <w:p w14:paraId="337D6725" w14:textId="77777777" w:rsidR="002D2BAA" w:rsidRPr="00D86603" w:rsidRDefault="002D2BAA" w:rsidP="002D2BAA">
      <w:pPr>
        <w:tabs>
          <w:tab w:val="right" w:pos="540"/>
          <w:tab w:val="left" w:pos="720"/>
        </w:tabs>
        <w:spacing w:line="480" w:lineRule="auto"/>
        <w:ind w:hanging="720"/>
        <w:rPr>
          <w:lang w:val="en-GB"/>
        </w:rPr>
      </w:pPr>
    </w:p>
    <w:p w14:paraId="6CEABE4C" w14:textId="387269AC" w:rsidR="00091EBD" w:rsidRDefault="002D2BAA" w:rsidP="002D2BAA">
      <w:pPr>
        <w:tabs>
          <w:tab w:val="right" w:pos="540"/>
          <w:tab w:val="left" w:pos="720"/>
        </w:tabs>
        <w:spacing w:line="480" w:lineRule="auto"/>
        <w:ind w:hanging="720"/>
        <w:rPr>
          <w:lang w:val="en-GB"/>
        </w:rPr>
      </w:pPr>
      <w:r w:rsidRPr="00D86603">
        <w:rPr>
          <w:lang w:val="en-GB"/>
        </w:rPr>
        <w:lastRenderedPageBreak/>
        <w:tab/>
        <w:t>[19]</w:t>
      </w:r>
      <w:r w:rsidR="00E95A38" w:rsidRPr="00D86603">
        <w:rPr>
          <w:lang w:val="en-GB"/>
        </w:rPr>
        <w:t xml:space="preserve"> </w:t>
      </w:r>
      <w:r w:rsidR="00E95A38" w:rsidRPr="00D86603">
        <w:rPr>
          <w:lang w:val="en-GB"/>
        </w:rPr>
        <w:tab/>
      </w:r>
      <w:r w:rsidR="00E95A38" w:rsidRPr="00D86603">
        <w:rPr>
          <w:rStyle w:val="highlight"/>
          <w:lang w:val="en-GB"/>
        </w:rPr>
        <w:t>Teepe</w:t>
      </w:r>
      <w:r w:rsidR="00E95A38" w:rsidRPr="00D86603">
        <w:rPr>
          <w:lang w:val="en-GB"/>
        </w:rPr>
        <w:t xml:space="preserve"> J, Little P, Elshof N, et al. Amoxicillin for clinically unsuspected pneumonia in primary care: subgroup analysis. Eur Respir J 2016; 47:327-330.</w:t>
      </w:r>
      <w:r w:rsidR="00E95A38" w:rsidRPr="00D86603">
        <w:rPr>
          <w:lang w:val="en-GB"/>
        </w:rPr>
        <w:fldChar w:fldCharType="end"/>
      </w:r>
    </w:p>
    <w:p w14:paraId="184CB37E" w14:textId="518EB19A" w:rsidR="007B38A8" w:rsidRDefault="007B38A8" w:rsidP="002D2BAA">
      <w:pPr>
        <w:tabs>
          <w:tab w:val="right" w:pos="540"/>
          <w:tab w:val="left" w:pos="720"/>
        </w:tabs>
        <w:spacing w:line="480" w:lineRule="auto"/>
        <w:ind w:hanging="720"/>
        <w:rPr>
          <w:lang w:val="en-GB"/>
        </w:rPr>
      </w:pPr>
    </w:p>
    <w:p w14:paraId="6A405010" w14:textId="404C5DF7" w:rsidR="007B38A8" w:rsidRDefault="007B38A8" w:rsidP="002D2BAA">
      <w:pPr>
        <w:tabs>
          <w:tab w:val="right" w:pos="540"/>
          <w:tab w:val="left" w:pos="720"/>
        </w:tabs>
        <w:spacing w:line="480" w:lineRule="auto"/>
        <w:ind w:hanging="720"/>
        <w:rPr>
          <w:lang w:val="en-GB"/>
        </w:rPr>
      </w:pPr>
    </w:p>
    <w:p w14:paraId="4CBD92A3" w14:textId="1FAF631D" w:rsidR="007B38A8" w:rsidRDefault="007B38A8" w:rsidP="002D2BAA">
      <w:pPr>
        <w:tabs>
          <w:tab w:val="right" w:pos="540"/>
          <w:tab w:val="left" w:pos="720"/>
        </w:tabs>
        <w:spacing w:line="480" w:lineRule="auto"/>
        <w:ind w:hanging="720"/>
        <w:rPr>
          <w:lang w:val="en-GB"/>
        </w:rPr>
      </w:pPr>
    </w:p>
    <w:p w14:paraId="267A1898" w14:textId="350E3684" w:rsidR="007B38A8" w:rsidRDefault="007B38A8" w:rsidP="002D2BAA">
      <w:pPr>
        <w:tabs>
          <w:tab w:val="right" w:pos="540"/>
          <w:tab w:val="left" w:pos="720"/>
        </w:tabs>
        <w:spacing w:line="480" w:lineRule="auto"/>
        <w:ind w:hanging="720"/>
        <w:rPr>
          <w:lang w:val="en-GB"/>
        </w:rPr>
      </w:pPr>
    </w:p>
    <w:p w14:paraId="7D4E41BD" w14:textId="3E3CDD0E" w:rsidR="007B38A8" w:rsidRDefault="007B38A8" w:rsidP="002D2BAA">
      <w:pPr>
        <w:tabs>
          <w:tab w:val="right" w:pos="540"/>
          <w:tab w:val="left" w:pos="720"/>
        </w:tabs>
        <w:spacing w:line="480" w:lineRule="auto"/>
        <w:ind w:hanging="720"/>
        <w:rPr>
          <w:lang w:val="en-GB"/>
        </w:rPr>
      </w:pPr>
    </w:p>
    <w:p w14:paraId="3FF9436B" w14:textId="589C37D6" w:rsidR="007B38A8" w:rsidRDefault="007B38A8" w:rsidP="002D2BAA">
      <w:pPr>
        <w:tabs>
          <w:tab w:val="right" w:pos="540"/>
          <w:tab w:val="left" w:pos="720"/>
        </w:tabs>
        <w:spacing w:line="480" w:lineRule="auto"/>
        <w:ind w:hanging="720"/>
        <w:rPr>
          <w:lang w:val="en-GB"/>
        </w:rPr>
      </w:pPr>
    </w:p>
    <w:p w14:paraId="7C16F005" w14:textId="1702E382" w:rsidR="007B38A8" w:rsidRDefault="007B38A8" w:rsidP="002D2BAA">
      <w:pPr>
        <w:tabs>
          <w:tab w:val="right" w:pos="540"/>
          <w:tab w:val="left" w:pos="720"/>
        </w:tabs>
        <w:spacing w:line="480" w:lineRule="auto"/>
        <w:ind w:hanging="720"/>
        <w:rPr>
          <w:lang w:val="en-GB"/>
        </w:rPr>
      </w:pPr>
    </w:p>
    <w:p w14:paraId="64DEB715" w14:textId="4F229E0F" w:rsidR="007B38A8" w:rsidRDefault="007B38A8" w:rsidP="002D2BAA">
      <w:pPr>
        <w:tabs>
          <w:tab w:val="right" w:pos="540"/>
          <w:tab w:val="left" w:pos="720"/>
        </w:tabs>
        <w:spacing w:line="480" w:lineRule="auto"/>
        <w:ind w:hanging="720"/>
        <w:rPr>
          <w:lang w:val="en-GB"/>
        </w:rPr>
      </w:pPr>
    </w:p>
    <w:p w14:paraId="7E1681D5" w14:textId="407FC728" w:rsidR="007B38A8" w:rsidRDefault="007B38A8" w:rsidP="002D2BAA">
      <w:pPr>
        <w:tabs>
          <w:tab w:val="right" w:pos="540"/>
          <w:tab w:val="left" w:pos="720"/>
        </w:tabs>
        <w:spacing w:line="480" w:lineRule="auto"/>
        <w:ind w:hanging="720"/>
        <w:rPr>
          <w:lang w:val="en-GB"/>
        </w:rPr>
      </w:pPr>
    </w:p>
    <w:p w14:paraId="01083043" w14:textId="32302EF1" w:rsidR="007B38A8" w:rsidRDefault="007B38A8" w:rsidP="002D2BAA">
      <w:pPr>
        <w:tabs>
          <w:tab w:val="right" w:pos="540"/>
          <w:tab w:val="left" w:pos="720"/>
        </w:tabs>
        <w:spacing w:line="480" w:lineRule="auto"/>
        <w:ind w:hanging="720"/>
        <w:rPr>
          <w:lang w:val="en-GB"/>
        </w:rPr>
      </w:pPr>
    </w:p>
    <w:p w14:paraId="7D859AA8" w14:textId="098B12D6" w:rsidR="007B38A8" w:rsidRDefault="007B38A8" w:rsidP="002D2BAA">
      <w:pPr>
        <w:tabs>
          <w:tab w:val="right" w:pos="540"/>
          <w:tab w:val="left" w:pos="720"/>
        </w:tabs>
        <w:spacing w:line="480" w:lineRule="auto"/>
        <w:ind w:hanging="720"/>
        <w:rPr>
          <w:lang w:val="en-GB"/>
        </w:rPr>
      </w:pPr>
    </w:p>
    <w:p w14:paraId="375E57E9" w14:textId="395F5A04" w:rsidR="007B38A8" w:rsidRDefault="007B38A8" w:rsidP="002D2BAA">
      <w:pPr>
        <w:tabs>
          <w:tab w:val="right" w:pos="540"/>
          <w:tab w:val="left" w:pos="720"/>
        </w:tabs>
        <w:spacing w:line="480" w:lineRule="auto"/>
        <w:ind w:hanging="720"/>
        <w:rPr>
          <w:lang w:val="en-GB"/>
        </w:rPr>
      </w:pPr>
    </w:p>
    <w:p w14:paraId="1A0D132A" w14:textId="02A4DF38" w:rsidR="007B38A8" w:rsidRDefault="007B38A8" w:rsidP="002D2BAA">
      <w:pPr>
        <w:tabs>
          <w:tab w:val="right" w:pos="540"/>
          <w:tab w:val="left" w:pos="720"/>
        </w:tabs>
        <w:spacing w:line="480" w:lineRule="auto"/>
        <w:ind w:hanging="720"/>
        <w:rPr>
          <w:lang w:val="en-GB"/>
        </w:rPr>
      </w:pPr>
    </w:p>
    <w:p w14:paraId="0A141A39" w14:textId="403EBD00" w:rsidR="007B38A8" w:rsidRDefault="007B38A8" w:rsidP="002D2BAA">
      <w:pPr>
        <w:tabs>
          <w:tab w:val="right" w:pos="540"/>
          <w:tab w:val="left" w:pos="720"/>
        </w:tabs>
        <w:spacing w:line="480" w:lineRule="auto"/>
        <w:ind w:hanging="720"/>
        <w:rPr>
          <w:lang w:val="en-GB"/>
        </w:rPr>
      </w:pPr>
    </w:p>
    <w:p w14:paraId="41E56DA0" w14:textId="19AB6C5E" w:rsidR="007B38A8" w:rsidRDefault="007B38A8" w:rsidP="002D2BAA">
      <w:pPr>
        <w:tabs>
          <w:tab w:val="right" w:pos="540"/>
          <w:tab w:val="left" w:pos="720"/>
        </w:tabs>
        <w:spacing w:line="480" w:lineRule="auto"/>
        <w:ind w:hanging="720"/>
        <w:rPr>
          <w:lang w:val="en-GB"/>
        </w:rPr>
      </w:pPr>
    </w:p>
    <w:p w14:paraId="6069126F" w14:textId="39F526AF" w:rsidR="007B38A8" w:rsidRDefault="007B38A8" w:rsidP="002D2BAA">
      <w:pPr>
        <w:tabs>
          <w:tab w:val="right" w:pos="540"/>
          <w:tab w:val="left" w:pos="720"/>
        </w:tabs>
        <w:spacing w:line="480" w:lineRule="auto"/>
        <w:ind w:hanging="720"/>
        <w:rPr>
          <w:lang w:val="en-GB"/>
        </w:rPr>
      </w:pPr>
    </w:p>
    <w:p w14:paraId="0CD9D2CE" w14:textId="1B78EA67" w:rsidR="007B38A8" w:rsidRDefault="007B38A8" w:rsidP="002D2BAA">
      <w:pPr>
        <w:tabs>
          <w:tab w:val="right" w:pos="540"/>
          <w:tab w:val="left" w:pos="720"/>
        </w:tabs>
        <w:spacing w:line="480" w:lineRule="auto"/>
        <w:ind w:hanging="720"/>
        <w:rPr>
          <w:lang w:val="en-GB"/>
        </w:rPr>
      </w:pPr>
    </w:p>
    <w:p w14:paraId="08C5226D" w14:textId="0DC65B22" w:rsidR="007B38A8" w:rsidRDefault="007B38A8" w:rsidP="002D2BAA">
      <w:pPr>
        <w:tabs>
          <w:tab w:val="right" w:pos="540"/>
          <w:tab w:val="left" w:pos="720"/>
        </w:tabs>
        <w:spacing w:line="480" w:lineRule="auto"/>
        <w:ind w:hanging="720"/>
        <w:rPr>
          <w:lang w:val="en-GB"/>
        </w:rPr>
      </w:pPr>
    </w:p>
    <w:p w14:paraId="0DA2EF49" w14:textId="3EC28562" w:rsidR="007B38A8" w:rsidRDefault="007B38A8" w:rsidP="002D2BAA">
      <w:pPr>
        <w:tabs>
          <w:tab w:val="right" w:pos="540"/>
          <w:tab w:val="left" w:pos="720"/>
        </w:tabs>
        <w:spacing w:line="480" w:lineRule="auto"/>
        <w:ind w:hanging="720"/>
        <w:rPr>
          <w:lang w:val="en-GB"/>
        </w:rPr>
      </w:pPr>
    </w:p>
    <w:p w14:paraId="4783CD7A" w14:textId="266EA919" w:rsidR="007B38A8" w:rsidRDefault="007B38A8" w:rsidP="002D2BAA">
      <w:pPr>
        <w:tabs>
          <w:tab w:val="right" w:pos="540"/>
          <w:tab w:val="left" w:pos="720"/>
        </w:tabs>
        <w:spacing w:line="480" w:lineRule="auto"/>
        <w:ind w:hanging="720"/>
        <w:rPr>
          <w:lang w:val="en-GB"/>
        </w:rPr>
      </w:pPr>
    </w:p>
    <w:p w14:paraId="7E59ED82" w14:textId="5AF994BA" w:rsidR="007B38A8" w:rsidRDefault="007B38A8" w:rsidP="002D2BAA">
      <w:pPr>
        <w:tabs>
          <w:tab w:val="right" w:pos="540"/>
          <w:tab w:val="left" w:pos="720"/>
        </w:tabs>
        <w:spacing w:line="480" w:lineRule="auto"/>
        <w:ind w:hanging="720"/>
        <w:rPr>
          <w:lang w:val="en-GB"/>
        </w:rPr>
      </w:pPr>
    </w:p>
    <w:p w14:paraId="33CB9131" w14:textId="238DD4AD" w:rsidR="007B38A8" w:rsidRDefault="007B38A8" w:rsidP="002D2BAA">
      <w:pPr>
        <w:tabs>
          <w:tab w:val="right" w:pos="540"/>
          <w:tab w:val="left" w:pos="720"/>
        </w:tabs>
        <w:spacing w:line="480" w:lineRule="auto"/>
        <w:ind w:hanging="720"/>
        <w:rPr>
          <w:lang w:val="en-GB"/>
        </w:rPr>
      </w:pPr>
    </w:p>
    <w:p w14:paraId="518AC047" w14:textId="34E540CF" w:rsidR="007B38A8" w:rsidRDefault="007B38A8" w:rsidP="002D2BAA">
      <w:pPr>
        <w:tabs>
          <w:tab w:val="right" w:pos="540"/>
          <w:tab w:val="left" w:pos="720"/>
        </w:tabs>
        <w:spacing w:line="480" w:lineRule="auto"/>
        <w:ind w:hanging="720"/>
        <w:rPr>
          <w:lang w:val="en-GB"/>
        </w:rPr>
      </w:pPr>
    </w:p>
    <w:p w14:paraId="2A415ECA" w14:textId="77777777" w:rsidR="007B38A8" w:rsidRDefault="007B38A8" w:rsidP="007B38A8">
      <w:pPr>
        <w:rPr>
          <w:lang w:val="en-GB"/>
        </w:rPr>
        <w:sectPr w:rsidR="007B38A8">
          <w:footerReference w:type="default" r:id="rId6"/>
          <w:pgSz w:w="11906" w:h="16838"/>
          <w:pgMar w:top="1417" w:right="1417" w:bottom="1417" w:left="1417" w:header="708" w:footer="708" w:gutter="0"/>
          <w:cols w:space="708"/>
          <w:docGrid w:linePitch="360"/>
        </w:sectPr>
      </w:pPr>
    </w:p>
    <w:p w14:paraId="06126BE7" w14:textId="42008D81" w:rsidR="007B38A8" w:rsidRPr="00393F3F" w:rsidRDefault="007B38A8" w:rsidP="007B38A8">
      <w:pPr>
        <w:rPr>
          <w:lang w:val="en-GB"/>
        </w:rPr>
      </w:pPr>
      <w:r w:rsidRPr="00393F3F">
        <w:rPr>
          <w:lang w:val="en-GB"/>
        </w:rPr>
        <w:lastRenderedPageBreak/>
        <w:t>Table 1. Baseline characteristics of patients with and without antibiotic-resistant lower respiratory tract infection</w:t>
      </w:r>
    </w:p>
    <w:tbl>
      <w:tblPr>
        <w:tblW w:w="13491" w:type="dxa"/>
        <w:tblLayout w:type="fixed"/>
        <w:tblLook w:val="04A0" w:firstRow="1" w:lastRow="0" w:firstColumn="1" w:lastColumn="0" w:noHBand="0" w:noVBand="1"/>
      </w:tblPr>
      <w:tblGrid>
        <w:gridCol w:w="5132"/>
        <w:gridCol w:w="1417"/>
        <w:gridCol w:w="2459"/>
        <w:gridCol w:w="2280"/>
        <w:gridCol w:w="1079"/>
        <w:gridCol w:w="1124"/>
      </w:tblGrid>
      <w:tr w:rsidR="007B38A8" w:rsidRPr="00393F3F" w14:paraId="78979417" w14:textId="77777777" w:rsidTr="00DB3383">
        <w:tc>
          <w:tcPr>
            <w:tcW w:w="5132" w:type="dxa"/>
            <w:tcBorders>
              <w:top w:val="single" w:sz="4" w:space="0" w:color="auto"/>
              <w:bottom w:val="single" w:sz="4" w:space="0" w:color="auto"/>
            </w:tcBorders>
            <w:shd w:val="clear" w:color="auto" w:fill="auto"/>
          </w:tcPr>
          <w:p w14:paraId="0BC2309F" w14:textId="77777777" w:rsidR="007B38A8" w:rsidRPr="00393F3F" w:rsidRDefault="007B38A8" w:rsidP="00DB3383">
            <w:pPr>
              <w:rPr>
                <w:b/>
                <w:sz w:val="22"/>
                <w:szCs w:val="22"/>
                <w:lang w:val="en-GB"/>
              </w:rPr>
            </w:pPr>
          </w:p>
        </w:tc>
        <w:tc>
          <w:tcPr>
            <w:tcW w:w="1417" w:type="dxa"/>
            <w:tcBorders>
              <w:top w:val="single" w:sz="4" w:space="0" w:color="auto"/>
              <w:bottom w:val="single" w:sz="4" w:space="0" w:color="auto"/>
            </w:tcBorders>
            <w:shd w:val="clear" w:color="auto" w:fill="auto"/>
          </w:tcPr>
          <w:p w14:paraId="33D003FA" w14:textId="77777777" w:rsidR="007B38A8" w:rsidRPr="00393F3F" w:rsidRDefault="007B38A8" w:rsidP="00DB3383">
            <w:pPr>
              <w:rPr>
                <w:b/>
                <w:sz w:val="22"/>
                <w:szCs w:val="22"/>
                <w:lang w:val="en-GB"/>
              </w:rPr>
            </w:pPr>
            <w:r w:rsidRPr="00393F3F">
              <w:rPr>
                <w:b/>
                <w:sz w:val="22"/>
                <w:szCs w:val="22"/>
                <w:lang w:val="en-GB"/>
              </w:rPr>
              <w:t>All patients</w:t>
            </w:r>
          </w:p>
          <w:p w14:paraId="4E355AD9" w14:textId="77777777" w:rsidR="007B38A8" w:rsidRPr="00393F3F" w:rsidRDefault="007B38A8" w:rsidP="00DB3383">
            <w:pPr>
              <w:rPr>
                <w:b/>
                <w:sz w:val="22"/>
                <w:szCs w:val="22"/>
                <w:lang w:val="en-GB"/>
              </w:rPr>
            </w:pPr>
            <w:r w:rsidRPr="00393F3F">
              <w:rPr>
                <w:b/>
                <w:sz w:val="22"/>
                <w:szCs w:val="22"/>
                <w:lang w:val="en-GB"/>
              </w:rPr>
              <w:t>N=104 (%)</w:t>
            </w:r>
          </w:p>
        </w:tc>
        <w:tc>
          <w:tcPr>
            <w:tcW w:w="2459" w:type="dxa"/>
            <w:tcBorders>
              <w:top w:val="single" w:sz="4" w:space="0" w:color="auto"/>
              <w:bottom w:val="single" w:sz="4" w:space="0" w:color="auto"/>
            </w:tcBorders>
            <w:shd w:val="clear" w:color="auto" w:fill="auto"/>
          </w:tcPr>
          <w:p w14:paraId="6FEB062E" w14:textId="77777777" w:rsidR="007B38A8" w:rsidRPr="00393F3F" w:rsidRDefault="007B38A8" w:rsidP="00DB3383">
            <w:pPr>
              <w:rPr>
                <w:b/>
                <w:sz w:val="22"/>
                <w:szCs w:val="22"/>
                <w:lang w:val="en-GB"/>
              </w:rPr>
            </w:pPr>
            <w:r w:rsidRPr="00393F3F">
              <w:rPr>
                <w:b/>
                <w:sz w:val="22"/>
                <w:szCs w:val="22"/>
                <w:lang w:val="en-GB"/>
              </w:rPr>
              <w:t>Resistant to antibiotic</w:t>
            </w:r>
            <w:r w:rsidRPr="00393F3F">
              <w:rPr>
                <w:rFonts w:eastAsia="Calibri"/>
                <w:b/>
                <w:sz w:val="22"/>
                <w:szCs w:val="22"/>
                <w:vertAlign w:val="superscript"/>
                <w:lang w:val="en-GB" w:eastAsia="en-US"/>
              </w:rPr>
              <w:t>§</w:t>
            </w:r>
          </w:p>
          <w:p w14:paraId="2658FA44" w14:textId="77777777" w:rsidR="007B38A8" w:rsidRPr="00393F3F" w:rsidRDefault="007B38A8" w:rsidP="00DB3383">
            <w:pPr>
              <w:rPr>
                <w:b/>
                <w:sz w:val="22"/>
                <w:szCs w:val="22"/>
                <w:lang w:val="en-GB"/>
              </w:rPr>
            </w:pPr>
            <w:r w:rsidRPr="00393F3F">
              <w:rPr>
                <w:b/>
                <w:sz w:val="22"/>
                <w:szCs w:val="22"/>
                <w:lang w:val="en-GB"/>
              </w:rPr>
              <w:t>N=54 (%)</w:t>
            </w:r>
          </w:p>
        </w:tc>
        <w:tc>
          <w:tcPr>
            <w:tcW w:w="2280" w:type="dxa"/>
            <w:tcBorders>
              <w:top w:val="single" w:sz="4" w:space="0" w:color="auto"/>
              <w:bottom w:val="single" w:sz="4" w:space="0" w:color="auto"/>
            </w:tcBorders>
            <w:shd w:val="clear" w:color="auto" w:fill="auto"/>
          </w:tcPr>
          <w:p w14:paraId="3E85B761" w14:textId="77777777" w:rsidR="007B38A8" w:rsidRPr="00393F3F" w:rsidRDefault="007B38A8" w:rsidP="00DB3383">
            <w:pPr>
              <w:rPr>
                <w:b/>
                <w:sz w:val="22"/>
                <w:szCs w:val="22"/>
                <w:lang w:val="en-GB"/>
              </w:rPr>
            </w:pPr>
            <w:r w:rsidRPr="00393F3F">
              <w:rPr>
                <w:b/>
                <w:sz w:val="22"/>
                <w:szCs w:val="22"/>
                <w:lang w:val="en-GB"/>
              </w:rPr>
              <w:t>Sensitive to antibiotic</w:t>
            </w:r>
          </w:p>
          <w:p w14:paraId="2AD8D251" w14:textId="77777777" w:rsidR="007B38A8" w:rsidRPr="00393F3F" w:rsidRDefault="007B38A8" w:rsidP="00DB3383">
            <w:pPr>
              <w:rPr>
                <w:b/>
                <w:sz w:val="22"/>
                <w:szCs w:val="22"/>
                <w:lang w:val="en-GB"/>
              </w:rPr>
            </w:pPr>
            <w:r w:rsidRPr="00393F3F">
              <w:rPr>
                <w:b/>
                <w:sz w:val="22"/>
                <w:szCs w:val="22"/>
                <w:lang w:val="en-GB"/>
              </w:rPr>
              <w:t>N=50 (%)</w:t>
            </w:r>
          </w:p>
        </w:tc>
        <w:tc>
          <w:tcPr>
            <w:tcW w:w="1079" w:type="dxa"/>
            <w:tcBorders>
              <w:top w:val="single" w:sz="4" w:space="0" w:color="auto"/>
              <w:bottom w:val="single" w:sz="4" w:space="0" w:color="auto"/>
            </w:tcBorders>
            <w:shd w:val="clear" w:color="auto" w:fill="auto"/>
          </w:tcPr>
          <w:p w14:paraId="5B092B3E" w14:textId="77777777" w:rsidR="007B38A8" w:rsidRPr="00393F3F" w:rsidRDefault="007B38A8" w:rsidP="00DB3383">
            <w:pPr>
              <w:rPr>
                <w:b/>
                <w:sz w:val="22"/>
                <w:szCs w:val="22"/>
                <w:lang w:val="en-GB"/>
              </w:rPr>
            </w:pPr>
          </w:p>
        </w:tc>
        <w:tc>
          <w:tcPr>
            <w:tcW w:w="1124" w:type="dxa"/>
            <w:tcBorders>
              <w:top w:val="single" w:sz="4" w:space="0" w:color="auto"/>
              <w:bottom w:val="single" w:sz="4" w:space="0" w:color="auto"/>
            </w:tcBorders>
            <w:shd w:val="clear" w:color="auto" w:fill="auto"/>
          </w:tcPr>
          <w:p w14:paraId="09CCBDBF" w14:textId="77777777" w:rsidR="007B38A8" w:rsidRPr="00393F3F" w:rsidRDefault="007B38A8" w:rsidP="00DB3383">
            <w:pPr>
              <w:rPr>
                <w:b/>
                <w:sz w:val="22"/>
                <w:szCs w:val="22"/>
                <w:lang w:val="en-GB"/>
              </w:rPr>
            </w:pPr>
            <w:r w:rsidRPr="00393F3F">
              <w:rPr>
                <w:b/>
                <w:sz w:val="22"/>
                <w:szCs w:val="22"/>
                <w:lang w:val="en-GB"/>
              </w:rPr>
              <w:t xml:space="preserve">Missing </w:t>
            </w:r>
          </w:p>
          <w:p w14:paraId="0E980229" w14:textId="77777777" w:rsidR="007B38A8" w:rsidRPr="00393F3F" w:rsidRDefault="007B38A8" w:rsidP="00DB3383">
            <w:pPr>
              <w:rPr>
                <w:b/>
                <w:sz w:val="22"/>
                <w:szCs w:val="22"/>
                <w:lang w:val="en-GB"/>
              </w:rPr>
            </w:pPr>
            <w:r w:rsidRPr="00393F3F">
              <w:rPr>
                <w:b/>
                <w:sz w:val="22"/>
                <w:szCs w:val="22"/>
                <w:lang w:val="en-GB"/>
              </w:rPr>
              <w:t>N (%)</w:t>
            </w:r>
          </w:p>
        </w:tc>
      </w:tr>
      <w:tr w:rsidR="007B38A8" w:rsidRPr="00393F3F" w14:paraId="6022962C" w14:textId="77777777" w:rsidTr="00DB3383">
        <w:tc>
          <w:tcPr>
            <w:tcW w:w="5132" w:type="dxa"/>
            <w:tcBorders>
              <w:top w:val="single" w:sz="4" w:space="0" w:color="auto"/>
            </w:tcBorders>
            <w:shd w:val="clear" w:color="auto" w:fill="auto"/>
          </w:tcPr>
          <w:p w14:paraId="6A193535" w14:textId="77777777" w:rsidR="007B38A8" w:rsidRPr="00393F3F" w:rsidRDefault="007B38A8" w:rsidP="00DB3383">
            <w:pPr>
              <w:rPr>
                <w:sz w:val="22"/>
                <w:szCs w:val="22"/>
                <w:lang w:val="en-GB"/>
              </w:rPr>
            </w:pPr>
            <w:r w:rsidRPr="00393F3F">
              <w:rPr>
                <w:sz w:val="22"/>
                <w:szCs w:val="22"/>
                <w:lang w:val="en-GB"/>
              </w:rPr>
              <w:t>Age, mean (SD)</w:t>
            </w:r>
          </w:p>
        </w:tc>
        <w:tc>
          <w:tcPr>
            <w:tcW w:w="1417" w:type="dxa"/>
            <w:tcBorders>
              <w:top w:val="single" w:sz="4" w:space="0" w:color="auto"/>
            </w:tcBorders>
            <w:shd w:val="clear" w:color="auto" w:fill="auto"/>
          </w:tcPr>
          <w:p w14:paraId="641B2006" w14:textId="77777777" w:rsidR="007B38A8" w:rsidRPr="00393F3F" w:rsidRDefault="007B38A8" w:rsidP="00DB3383">
            <w:pPr>
              <w:rPr>
                <w:sz w:val="22"/>
                <w:szCs w:val="22"/>
                <w:lang w:val="en-GB"/>
              </w:rPr>
            </w:pPr>
            <w:r w:rsidRPr="00393F3F">
              <w:rPr>
                <w:sz w:val="22"/>
                <w:szCs w:val="22"/>
                <w:lang w:val="en-GB"/>
              </w:rPr>
              <w:t>53 (17)</w:t>
            </w:r>
          </w:p>
        </w:tc>
        <w:tc>
          <w:tcPr>
            <w:tcW w:w="2459" w:type="dxa"/>
            <w:tcBorders>
              <w:top w:val="single" w:sz="4" w:space="0" w:color="auto"/>
            </w:tcBorders>
            <w:shd w:val="clear" w:color="auto" w:fill="auto"/>
          </w:tcPr>
          <w:p w14:paraId="7FA863FD" w14:textId="77777777" w:rsidR="007B38A8" w:rsidRPr="00393F3F" w:rsidRDefault="007B38A8" w:rsidP="00DB3383">
            <w:pPr>
              <w:rPr>
                <w:sz w:val="22"/>
                <w:szCs w:val="22"/>
                <w:lang w:val="en-GB"/>
              </w:rPr>
            </w:pPr>
            <w:r w:rsidRPr="00393F3F">
              <w:rPr>
                <w:sz w:val="22"/>
                <w:szCs w:val="22"/>
                <w:lang w:val="en-GB"/>
              </w:rPr>
              <w:t>54 (15)</w:t>
            </w:r>
          </w:p>
        </w:tc>
        <w:tc>
          <w:tcPr>
            <w:tcW w:w="2280" w:type="dxa"/>
            <w:tcBorders>
              <w:top w:val="single" w:sz="4" w:space="0" w:color="auto"/>
            </w:tcBorders>
            <w:shd w:val="clear" w:color="auto" w:fill="auto"/>
          </w:tcPr>
          <w:p w14:paraId="7A10CAA1" w14:textId="77777777" w:rsidR="007B38A8" w:rsidRPr="00393F3F" w:rsidRDefault="007B38A8" w:rsidP="00DB3383">
            <w:pPr>
              <w:rPr>
                <w:sz w:val="22"/>
                <w:szCs w:val="22"/>
                <w:lang w:val="en-GB"/>
              </w:rPr>
            </w:pPr>
            <w:r w:rsidRPr="00393F3F">
              <w:rPr>
                <w:sz w:val="22"/>
                <w:szCs w:val="22"/>
                <w:lang w:val="en-GB"/>
              </w:rPr>
              <w:t>53 (19)</w:t>
            </w:r>
          </w:p>
        </w:tc>
        <w:tc>
          <w:tcPr>
            <w:tcW w:w="1079" w:type="dxa"/>
            <w:tcBorders>
              <w:top w:val="single" w:sz="4" w:space="0" w:color="auto"/>
            </w:tcBorders>
            <w:shd w:val="clear" w:color="auto" w:fill="auto"/>
          </w:tcPr>
          <w:p w14:paraId="713A8E14" w14:textId="77777777" w:rsidR="007B38A8" w:rsidRPr="00393F3F" w:rsidRDefault="007B38A8" w:rsidP="00DB3383">
            <w:pPr>
              <w:rPr>
                <w:sz w:val="22"/>
                <w:szCs w:val="22"/>
                <w:lang w:val="en-GB"/>
              </w:rPr>
            </w:pPr>
          </w:p>
        </w:tc>
        <w:tc>
          <w:tcPr>
            <w:tcW w:w="1124" w:type="dxa"/>
            <w:tcBorders>
              <w:top w:val="single" w:sz="4" w:space="0" w:color="auto"/>
            </w:tcBorders>
            <w:shd w:val="clear" w:color="auto" w:fill="auto"/>
          </w:tcPr>
          <w:p w14:paraId="6E697E63" w14:textId="77777777" w:rsidR="007B38A8" w:rsidRPr="00393F3F" w:rsidRDefault="007B38A8" w:rsidP="00DB3383">
            <w:pPr>
              <w:rPr>
                <w:sz w:val="22"/>
                <w:szCs w:val="22"/>
                <w:lang w:val="en-GB"/>
              </w:rPr>
            </w:pPr>
            <w:r w:rsidRPr="00393F3F">
              <w:rPr>
                <w:sz w:val="22"/>
                <w:szCs w:val="22"/>
                <w:lang w:val="en-GB"/>
              </w:rPr>
              <w:t>0 (0.0)</w:t>
            </w:r>
          </w:p>
        </w:tc>
      </w:tr>
      <w:tr w:rsidR="007B38A8" w:rsidRPr="00393F3F" w14:paraId="69A6F83D" w14:textId="77777777" w:rsidTr="00DB3383">
        <w:tc>
          <w:tcPr>
            <w:tcW w:w="5132" w:type="dxa"/>
            <w:shd w:val="clear" w:color="auto" w:fill="auto"/>
          </w:tcPr>
          <w:p w14:paraId="29E7F9B7" w14:textId="77777777" w:rsidR="007B38A8" w:rsidRPr="00393F3F" w:rsidRDefault="007B38A8" w:rsidP="00DB3383">
            <w:pPr>
              <w:rPr>
                <w:sz w:val="22"/>
                <w:szCs w:val="22"/>
                <w:lang w:val="en-GB"/>
              </w:rPr>
            </w:pPr>
            <w:r w:rsidRPr="00393F3F">
              <w:rPr>
                <w:sz w:val="22"/>
                <w:szCs w:val="22"/>
                <w:lang w:val="en-GB"/>
              </w:rPr>
              <w:t>Male gender</w:t>
            </w:r>
          </w:p>
        </w:tc>
        <w:tc>
          <w:tcPr>
            <w:tcW w:w="1417" w:type="dxa"/>
            <w:shd w:val="clear" w:color="auto" w:fill="auto"/>
          </w:tcPr>
          <w:p w14:paraId="4363B241" w14:textId="77777777" w:rsidR="007B38A8" w:rsidRPr="00393F3F" w:rsidRDefault="007B38A8" w:rsidP="00DB3383">
            <w:pPr>
              <w:rPr>
                <w:sz w:val="22"/>
                <w:szCs w:val="22"/>
                <w:lang w:val="en-GB"/>
              </w:rPr>
            </w:pPr>
            <w:r w:rsidRPr="00393F3F">
              <w:rPr>
                <w:sz w:val="22"/>
                <w:szCs w:val="22"/>
                <w:lang w:val="en-GB"/>
              </w:rPr>
              <w:t>47 (45)</w:t>
            </w:r>
          </w:p>
        </w:tc>
        <w:tc>
          <w:tcPr>
            <w:tcW w:w="2459" w:type="dxa"/>
            <w:shd w:val="clear" w:color="auto" w:fill="auto"/>
          </w:tcPr>
          <w:p w14:paraId="62BA3A1C" w14:textId="77777777" w:rsidR="007B38A8" w:rsidRPr="00393F3F" w:rsidRDefault="007B38A8" w:rsidP="00DB3383">
            <w:pPr>
              <w:rPr>
                <w:sz w:val="22"/>
                <w:szCs w:val="22"/>
                <w:lang w:val="en-GB"/>
              </w:rPr>
            </w:pPr>
            <w:r w:rsidRPr="00393F3F">
              <w:rPr>
                <w:sz w:val="22"/>
                <w:szCs w:val="22"/>
                <w:lang w:val="en-GB"/>
              </w:rPr>
              <w:t>22 (41)</w:t>
            </w:r>
          </w:p>
        </w:tc>
        <w:tc>
          <w:tcPr>
            <w:tcW w:w="2280" w:type="dxa"/>
            <w:shd w:val="clear" w:color="auto" w:fill="auto"/>
          </w:tcPr>
          <w:p w14:paraId="1D541D7D" w14:textId="77777777" w:rsidR="007B38A8" w:rsidRPr="00393F3F" w:rsidRDefault="007B38A8" w:rsidP="00DB3383">
            <w:pPr>
              <w:rPr>
                <w:sz w:val="22"/>
                <w:szCs w:val="22"/>
                <w:lang w:val="en-GB"/>
              </w:rPr>
            </w:pPr>
            <w:r w:rsidRPr="00393F3F">
              <w:rPr>
                <w:sz w:val="22"/>
                <w:szCs w:val="22"/>
                <w:lang w:val="en-GB"/>
              </w:rPr>
              <w:t>25 (50)</w:t>
            </w:r>
          </w:p>
        </w:tc>
        <w:tc>
          <w:tcPr>
            <w:tcW w:w="1079" w:type="dxa"/>
            <w:shd w:val="clear" w:color="auto" w:fill="auto"/>
          </w:tcPr>
          <w:p w14:paraId="3EFC0BAB" w14:textId="77777777" w:rsidR="007B38A8" w:rsidRPr="00393F3F" w:rsidRDefault="007B38A8" w:rsidP="00DB3383">
            <w:pPr>
              <w:rPr>
                <w:sz w:val="22"/>
                <w:szCs w:val="22"/>
                <w:lang w:val="en-GB"/>
              </w:rPr>
            </w:pPr>
          </w:p>
        </w:tc>
        <w:tc>
          <w:tcPr>
            <w:tcW w:w="1124" w:type="dxa"/>
            <w:shd w:val="clear" w:color="auto" w:fill="auto"/>
          </w:tcPr>
          <w:p w14:paraId="66586EFE" w14:textId="77777777" w:rsidR="007B38A8" w:rsidRPr="00393F3F" w:rsidRDefault="007B38A8" w:rsidP="00DB3383">
            <w:pPr>
              <w:rPr>
                <w:sz w:val="22"/>
                <w:szCs w:val="22"/>
                <w:lang w:val="en-GB"/>
              </w:rPr>
            </w:pPr>
            <w:r w:rsidRPr="00393F3F">
              <w:rPr>
                <w:sz w:val="22"/>
                <w:szCs w:val="22"/>
                <w:lang w:val="en-GB"/>
              </w:rPr>
              <w:t>0 (0.0)</w:t>
            </w:r>
          </w:p>
        </w:tc>
      </w:tr>
      <w:tr w:rsidR="007B38A8" w:rsidRPr="00393F3F" w14:paraId="15E00E79" w14:textId="77777777" w:rsidTr="00DB3383">
        <w:tc>
          <w:tcPr>
            <w:tcW w:w="5132" w:type="dxa"/>
            <w:shd w:val="clear" w:color="auto" w:fill="auto"/>
          </w:tcPr>
          <w:p w14:paraId="458E2090" w14:textId="77777777" w:rsidR="007B38A8" w:rsidRPr="00393F3F" w:rsidRDefault="007B38A8" w:rsidP="00DB3383">
            <w:pPr>
              <w:rPr>
                <w:sz w:val="22"/>
                <w:szCs w:val="22"/>
                <w:lang w:val="en-GB"/>
              </w:rPr>
            </w:pPr>
            <w:r w:rsidRPr="00393F3F">
              <w:rPr>
                <w:sz w:val="22"/>
                <w:szCs w:val="22"/>
                <w:lang w:val="en-GB"/>
              </w:rPr>
              <w:t>Current smoker</w:t>
            </w:r>
          </w:p>
        </w:tc>
        <w:tc>
          <w:tcPr>
            <w:tcW w:w="1417" w:type="dxa"/>
            <w:shd w:val="clear" w:color="auto" w:fill="auto"/>
          </w:tcPr>
          <w:p w14:paraId="78841D6F" w14:textId="77777777" w:rsidR="007B38A8" w:rsidRPr="00393F3F" w:rsidRDefault="007B38A8" w:rsidP="00DB3383">
            <w:pPr>
              <w:rPr>
                <w:sz w:val="22"/>
                <w:szCs w:val="22"/>
                <w:lang w:val="en-GB"/>
              </w:rPr>
            </w:pPr>
            <w:r w:rsidRPr="00393F3F">
              <w:rPr>
                <w:sz w:val="22"/>
                <w:szCs w:val="22"/>
                <w:lang w:val="en-GB"/>
              </w:rPr>
              <w:t>34 (33)</w:t>
            </w:r>
          </w:p>
        </w:tc>
        <w:tc>
          <w:tcPr>
            <w:tcW w:w="2459" w:type="dxa"/>
            <w:shd w:val="clear" w:color="auto" w:fill="auto"/>
          </w:tcPr>
          <w:p w14:paraId="7F6A2574" w14:textId="77777777" w:rsidR="007B38A8" w:rsidRPr="00393F3F" w:rsidRDefault="007B38A8" w:rsidP="00DB3383">
            <w:pPr>
              <w:rPr>
                <w:sz w:val="22"/>
                <w:szCs w:val="22"/>
                <w:lang w:val="en-GB"/>
              </w:rPr>
            </w:pPr>
            <w:r w:rsidRPr="00393F3F">
              <w:rPr>
                <w:sz w:val="22"/>
                <w:szCs w:val="22"/>
                <w:lang w:val="en-GB"/>
              </w:rPr>
              <w:t>18 (33)</w:t>
            </w:r>
          </w:p>
        </w:tc>
        <w:tc>
          <w:tcPr>
            <w:tcW w:w="2280" w:type="dxa"/>
            <w:shd w:val="clear" w:color="auto" w:fill="auto"/>
          </w:tcPr>
          <w:p w14:paraId="262BD658" w14:textId="77777777" w:rsidR="007B38A8" w:rsidRPr="00393F3F" w:rsidRDefault="007B38A8" w:rsidP="00DB3383">
            <w:pPr>
              <w:rPr>
                <w:sz w:val="22"/>
                <w:szCs w:val="22"/>
                <w:lang w:val="en-GB"/>
              </w:rPr>
            </w:pPr>
            <w:r w:rsidRPr="00393F3F">
              <w:rPr>
                <w:sz w:val="22"/>
                <w:szCs w:val="22"/>
                <w:lang w:val="en-GB"/>
              </w:rPr>
              <w:t>16 (32)</w:t>
            </w:r>
          </w:p>
        </w:tc>
        <w:tc>
          <w:tcPr>
            <w:tcW w:w="1079" w:type="dxa"/>
            <w:shd w:val="clear" w:color="auto" w:fill="auto"/>
          </w:tcPr>
          <w:p w14:paraId="7ACAA38A" w14:textId="77777777" w:rsidR="007B38A8" w:rsidRPr="00393F3F" w:rsidRDefault="007B38A8" w:rsidP="00DB3383">
            <w:pPr>
              <w:rPr>
                <w:sz w:val="22"/>
                <w:szCs w:val="22"/>
                <w:lang w:val="en-GB"/>
              </w:rPr>
            </w:pPr>
          </w:p>
        </w:tc>
        <w:tc>
          <w:tcPr>
            <w:tcW w:w="1124" w:type="dxa"/>
            <w:shd w:val="clear" w:color="auto" w:fill="auto"/>
          </w:tcPr>
          <w:p w14:paraId="4AF0E077" w14:textId="77777777" w:rsidR="007B38A8" w:rsidRPr="00393F3F" w:rsidRDefault="007B38A8" w:rsidP="00DB3383">
            <w:pPr>
              <w:rPr>
                <w:sz w:val="22"/>
                <w:szCs w:val="22"/>
                <w:lang w:val="en-GB"/>
              </w:rPr>
            </w:pPr>
            <w:r w:rsidRPr="00393F3F">
              <w:rPr>
                <w:sz w:val="22"/>
                <w:szCs w:val="22"/>
                <w:lang w:val="en-GB"/>
              </w:rPr>
              <w:t>0 (0.0)</w:t>
            </w:r>
          </w:p>
        </w:tc>
      </w:tr>
      <w:tr w:rsidR="007B38A8" w:rsidRPr="00393F3F" w14:paraId="4AC0FA63" w14:textId="77777777" w:rsidTr="00DB3383">
        <w:tc>
          <w:tcPr>
            <w:tcW w:w="5132" w:type="dxa"/>
            <w:shd w:val="clear" w:color="auto" w:fill="auto"/>
          </w:tcPr>
          <w:p w14:paraId="4F97F83F" w14:textId="77777777" w:rsidR="007B38A8" w:rsidRPr="00393F3F" w:rsidRDefault="007B38A8" w:rsidP="00DB3383">
            <w:pPr>
              <w:rPr>
                <w:sz w:val="22"/>
                <w:szCs w:val="22"/>
                <w:lang w:val="en-GB"/>
              </w:rPr>
            </w:pPr>
            <w:r w:rsidRPr="00393F3F">
              <w:rPr>
                <w:sz w:val="22"/>
                <w:szCs w:val="22"/>
                <w:lang w:val="en-GB"/>
              </w:rPr>
              <w:t>Comorbidity (pulmonary, cardiac, diabetes mellitus)</w:t>
            </w:r>
            <w:r w:rsidRPr="00393F3F">
              <w:rPr>
                <w:sz w:val="22"/>
                <w:szCs w:val="22"/>
                <w:vertAlign w:val="superscript"/>
                <w:lang w:val="en-GB"/>
              </w:rPr>
              <w:t>*</w:t>
            </w:r>
          </w:p>
        </w:tc>
        <w:tc>
          <w:tcPr>
            <w:tcW w:w="1417" w:type="dxa"/>
            <w:shd w:val="clear" w:color="auto" w:fill="auto"/>
          </w:tcPr>
          <w:p w14:paraId="141B5CE2" w14:textId="77777777" w:rsidR="007B38A8" w:rsidRPr="00393F3F" w:rsidRDefault="007B38A8" w:rsidP="00DB3383">
            <w:pPr>
              <w:rPr>
                <w:sz w:val="22"/>
                <w:szCs w:val="22"/>
                <w:lang w:val="en-GB"/>
              </w:rPr>
            </w:pPr>
            <w:r w:rsidRPr="00393F3F">
              <w:rPr>
                <w:sz w:val="22"/>
                <w:szCs w:val="22"/>
                <w:lang w:val="en-GB"/>
              </w:rPr>
              <w:t>30 (29)</w:t>
            </w:r>
          </w:p>
        </w:tc>
        <w:tc>
          <w:tcPr>
            <w:tcW w:w="2459" w:type="dxa"/>
            <w:shd w:val="clear" w:color="auto" w:fill="auto"/>
          </w:tcPr>
          <w:p w14:paraId="78C71554" w14:textId="77777777" w:rsidR="007B38A8" w:rsidRPr="00393F3F" w:rsidRDefault="007B38A8" w:rsidP="00DB3383">
            <w:pPr>
              <w:rPr>
                <w:sz w:val="22"/>
                <w:szCs w:val="22"/>
                <w:lang w:val="en-GB"/>
              </w:rPr>
            </w:pPr>
            <w:r w:rsidRPr="00393F3F">
              <w:rPr>
                <w:sz w:val="22"/>
                <w:szCs w:val="22"/>
                <w:lang w:val="en-GB"/>
              </w:rPr>
              <w:t>18 (33)</w:t>
            </w:r>
          </w:p>
        </w:tc>
        <w:tc>
          <w:tcPr>
            <w:tcW w:w="2280" w:type="dxa"/>
            <w:shd w:val="clear" w:color="auto" w:fill="auto"/>
          </w:tcPr>
          <w:p w14:paraId="088A1F72" w14:textId="77777777" w:rsidR="007B38A8" w:rsidRPr="00393F3F" w:rsidRDefault="007B38A8" w:rsidP="00DB3383">
            <w:pPr>
              <w:rPr>
                <w:sz w:val="22"/>
                <w:szCs w:val="22"/>
                <w:lang w:val="en-GB"/>
              </w:rPr>
            </w:pPr>
            <w:r w:rsidRPr="00393F3F">
              <w:rPr>
                <w:sz w:val="22"/>
                <w:szCs w:val="22"/>
                <w:lang w:val="en-GB"/>
              </w:rPr>
              <w:t>12 (24)</w:t>
            </w:r>
          </w:p>
        </w:tc>
        <w:tc>
          <w:tcPr>
            <w:tcW w:w="1079" w:type="dxa"/>
            <w:shd w:val="clear" w:color="auto" w:fill="auto"/>
          </w:tcPr>
          <w:p w14:paraId="35E5097E" w14:textId="77777777" w:rsidR="007B38A8" w:rsidRPr="00393F3F" w:rsidRDefault="007B38A8" w:rsidP="00DB3383">
            <w:pPr>
              <w:rPr>
                <w:sz w:val="22"/>
                <w:szCs w:val="22"/>
                <w:lang w:val="en-GB"/>
              </w:rPr>
            </w:pPr>
          </w:p>
        </w:tc>
        <w:tc>
          <w:tcPr>
            <w:tcW w:w="1124" w:type="dxa"/>
            <w:shd w:val="clear" w:color="auto" w:fill="auto"/>
          </w:tcPr>
          <w:p w14:paraId="2EA9FFA4" w14:textId="77777777" w:rsidR="007B38A8" w:rsidRPr="00393F3F" w:rsidRDefault="007B38A8" w:rsidP="00DB3383">
            <w:pPr>
              <w:rPr>
                <w:sz w:val="22"/>
                <w:szCs w:val="22"/>
                <w:lang w:val="en-GB"/>
              </w:rPr>
            </w:pPr>
            <w:r w:rsidRPr="00393F3F">
              <w:rPr>
                <w:sz w:val="22"/>
                <w:szCs w:val="22"/>
                <w:lang w:val="en-GB"/>
              </w:rPr>
              <w:t>0 (0.0)</w:t>
            </w:r>
          </w:p>
        </w:tc>
      </w:tr>
      <w:tr w:rsidR="007B38A8" w:rsidRPr="00393F3F" w14:paraId="3456F3CB" w14:textId="77777777" w:rsidTr="00DB3383">
        <w:tc>
          <w:tcPr>
            <w:tcW w:w="5132" w:type="dxa"/>
            <w:shd w:val="clear" w:color="auto" w:fill="auto"/>
          </w:tcPr>
          <w:p w14:paraId="68529090" w14:textId="77777777" w:rsidR="007B38A8" w:rsidRPr="00393F3F" w:rsidRDefault="007B38A8" w:rsidP="00DB3383">
            <w:pPr>
              <w:rPr>
                <w:sz w:val="22"/>
                <w:szCs w:val="22"/>
                <w:lang w:val="en-GB"/>
              </w:rPr>
            </w:pPr>
            <w:r w:rsidRPr="00393F3F">
              <w:rPr>
                <w:sz w:val="22"/>
                <w:szCs w:val="22"/>
                <w:lang w:val="en-GB"/>
              </w:rPr>
              <w:t>Cough duration before index consultation, mean (SD)</w:t>
            </w:r>
            <w:bookmarkStart w:id="10" w:name="_GoBack"/>
            <w:r w:rsidRPr="001C270D">
              <w:rPr>
                <w:rStyle w:val="A12"/>
                <w:i w:val="0"/>
                <w:iCs/>
                <w:sz w:val="22"/>
                <w:szCs w:val="22"/>
                <w:vertAlign w:val="superscript"/>
                <w:lang w:val="en-GB"/>
              </w:rPr>
              <w:t>†</w:t>
            </w:r>
            <w:bookmarkEnd w:id="10"/>
          </w:p>
        </w:tc>
        <w:tc>
          <w:tcPr>
            <w:tcW w:w="1417" w:type="dxa"/>
            <w:shd w:val="clear" w:color="auto" w:fill="auto"/>
          </w:tcPr>
          <w:p w14:paraId="4280D408" w14:textId="77777777" w:rsidR="007B38A8" w:rsidRPr="00393F3F" w:rsidRDefault="007B38A8" w:rsidP="00DB3383">
            <w:pPr>
              <w:rPr>
                <w:sz w:val="22"/>
                <w:szCs w:val="22"/>
                <w:lang w:val="en-GB"/>
              </w:rPr>
            </w:pPr>
            <w:r w:rsidRPr="00393F3F">
              <w:rPr>
                <w:sz w:val="22"/>
                <w:szCs w:val="22"/>
                <w:lang w:val="en-GB"/>
              </w:rPr>
              <w:t>9 (6)</w:t>
            </w:r>
          </w:p>
        </w:tc>
        <w:tc>
          <w:tcPr>
            <w:tcW w:w="2459" w:type="dxa"/>
            <w:shd w:val="clear" w:color="auto" w:fill="auto"/>
          </w:tcPr>
          <w:p w14:paraId="63530A13" w14:textId="77777777" w:rsidR="007B38A8" w:rsidRPr="00393F3F" w:rsidRDefault="007B38A8" w:rsidP="00DB3383">
            <w:pPr>
              <w:rPr>
                <w:sz w:val="22"/>
                <w:szCs w:val="22"/>
                <w:lang w:val="en-GB"/>
              </w:rPr>
            </w:pPr>
            <w:r w:rsidRPr="00393F3F">
              <w:rPr>
                <w:sz w:val="22"/>
                <w:szCs w:val="22"/>
                <w:lang w:val="en-GB"/>
              </w:rPr>
              <w:t>8 (6)</w:t>
            </w:r>
          </w:p>
        </w:tc>
        <w:tc>
          <w:tcPr>
            <w:tcW w:w="2280" w:type="dxa"/>
            <w:shd w:val="clear" w:color="auto" w:fill="auto"/>
          </w:tcPr>
          <w:p w14:paraId="03B66C93" w14:textId="77777777" w:rsidR="007B38A8" w:rsidRPr="00393F3F" w:rsidRDefault="007B38A8" w:rsidP="00DB3383">
            <w:pPr>
              <w:rPr>
                <w:sz w:val="22"/>
                <w:szCs w:val="22"/>
                <w:lang w:val="en-GB"/>
              </w:rPr>
            </w:pPr>
            <w:r w:rsidRPr="00393F3F">
              <w:rPr>
                <w:sz w:val="22"/>
                <w:szCs w:val="22"/>
                <w:lang w:val="en-GB"/>
              </w:rPr>
              <w:t>10 (7)</w:t>
            </w:r>
          </w:p>
        </w:tc>
        <w:tc>
          <w:tcPr>
            <w:tcW w:w="1079" w:type="dxa"/>
            <w:shd w:val="clear" w:color="auto" w:fill="auto"/>
          </w:tcPr>
          <w:p w14:paraId="086FE593" w14:textId="77777777" w:rsidR="007B38A8" w:rsidRPr="00393F3F" w:rsidRDefault="007B38A8" w:rsidP="00DB3383">
            <w:pPr>
              <w:rPr>
                <w:sz w:val="22"/>
                <w:szCs w:val="22"/>
                <w:lang w:val="en-GB"/>
              </w:rPr>
            </w:pPr>
          </w:p>
        </w:tc>
        <w:tc>
          <w:tcPr>
            <w:tcW w:w="1124" w:type="dxa"/>
            <w:shd w:val="clear" w:color="auto" w:fill="auto"/>
          </w:tcPr>
          <w:p w14:paraId="47C6E549" w14:textId="77777777" w:rsidR="007B38A8" w:rsidRPr="00393F3F" w:rsidRDefault="007B38A8" w:rsidP="00DB3383">
            <w:pPr>
              <w:rPr>
                <w:sz w:val="22"/>
                <w:szCs w:val="22"/>
                <w:lang w:val="en-GB"/>
              </w:rPr>
            </w:pPr>
            <w:r w:rsidRPr="00393F3F">
              <w:rPr>
                <w:sz w:val="22"/>
                <w:szCs w:val="22"/>
                <w:lang w:val="en-GB"/>
              </w:rPr>
              <w:t>0 (0.0)</w:t>
            </w:r>
          </w:p>
        </w:tc>
      </w:tr>
      <w:tr w:rsidR="007B38A8" w:rsidRPr="00393F3F" w14:paraId="3B0A90AF" w14:textId="77777777" w:rsidTr="00DB3383">
        <w:tc>
          <w:tcPr>
            <w:tcW w:w="5132" w:type="dxa"/>
            <w:shd w:val="clear" w:color="auto" w:fill="auto"/>
          </w:tcPr>
          <w:p w14:paraId="06D37729" w14:textId="77777777" w:rsidR="007B38A8" w:rsidRPr="00393F3F" w:rsidRDefault="007B38A8" w:rsidP="00DB3383">
            <w:pPr>
              <w:rPr>
                <w:sz w:val="22"/>
                <w:szCs w:val="22"/>
                <w:lang w:val="en-GB"/>
              </w:rPr>
            </w:pPr>
            <w:r w:rsidRPr="00393F3F">
              <w:rPr>
                <w:rFonts w:eastAsia="Calibri"/>
                <w:sz w:val="22"/>
                <w:szCs w:val="22"/>
                <w:lang w:val="en-GB" w:eastAsia="en-US"/>
              </w:rPr>
              <w:t>Severity score (all symptoms), mean (SD)</w:t>
            </w:r>
            <w:r w:rsidRPr="00393F3F">
              <w:rPr>
                <w:rFonts w:eastAsia="Calibri"/>
                <w:sz w:val="22"/>
                <w:szCs w:val="22"/>
                <w:vertAlign w:val="superscript"/>
                <w:lang w:val="en-GB" w:eastAsia="en-US"/>
              </w:rPr>
              <w:t>‡</w:t>
            </w:r>
          </w:p>
        </w:tc>
        <w:tc>
          <w:tcPr>
            <w:tcW w:w="1417" w:type="dxa"/>
            <w:shd w:val="clear" w:color="auto" w:fill="auto"/>
          </w:tcPr>
          <w:p w14:paraId="798F0D26" w14:textId="77777777" w:rsidR="007B38A8" w:rsidRPr="00393F3F" w:rsidRDefault="007B38A8" w:rsidP="00DB3383">
            <w:pPr>
              <w:rPr>
                <w:sz w:val="22"/>
                <w:szCs w:val="22"/>
                <w:lang w:val="en-GB"/>
              </w:rPr>
            </w:pPr>
            <w:r w:rsidRPr="00393F3F">
              <w:rPr>
                <w:sz w:val="22"/>
                <w:szCs w:val="22"/>
                <w:lang w:val="en-GB"/>
              </w:rPr>
              <w:t>35 (14)</w:t>
            </w:r>
          </w:p>
        </w:tc>
        <w:tc>
          <w:tcPr>
            <w:tcW w:w="2459" w:type="dxa"/>
            <w:shd w:val="clear" w:color="auto" w:fill="auto"/>
          </w:tcPr>
          <w:p w14:paraId="7FF85FEA" w14:textId="77777777" w:rsidR="007B38A8" w:rsidRPr="00393F3F" w:rsidRDefault="007B38A8" w:rsidP="00DB3383">
            <w:pPr>
              <w:rPr>
                <w:sz w:val="22"/>
                <w:szCs w:val="22"/>
                <w:lang w:val="en-GB"/>
              </w:rPr>
            </w:pPr>
            <w:r w:rsidRPr="00393F3F">
              <w:rPr>
                <w:sz w:val="22"/>
                <w:szCs w:val="22"/>
                <w:lang w:val="en-GB"/>
              </w:rPr>
              <w:t>33 (12)</w:t>
            </w:r>
          </w:p>
        </w:tc>
        <w:tc>
          <w:tcPr>
            <w:tcW w:w="2280" w:type="dxa"/>
            <w:shd w:val="clear" w:color="auto" w:fill="auto"/>
          </w:tcPr>
          <w:p w14:paraId="7684909C" w14:textId="77777777" w:rsidR="007B38A8" w:rsidRPr="00393F3F" w:rsidRDefault="007B38A8" w:rsidP="00DB3383">
            <w:pPr>
              <w:rPr>
                <w:sz w:val="22"/>
                <w:szCs w:val="22"/>
                <w:lang w:val="en-GB"/>
              </w:rPr>
            </w:pPr>
            <w:r w:rsidRPr="00393F3F">
              <w:rPr>
                <w:sz w:val="22"/>
                <w:szCs w:val="22"/>
                <w:lang w:val="en-GB"/>
              </w:rPr>
              <w:t>38 (16)</w:t>
            </w:r>
          </w:p>
        </w:tc>
        <w:tc>
          <w:tcPr>
            <w:tcW w:w="1079" w:type="dxa"/>
            <w:shd w:val="clear" w:color="auto" w:fill="auto"/>
          </w:tcPr>
          <w:p w14:paraId="56ACB392" w14:textId="77777777" w:rsidR="007B38A8" w:rsidRPr="00393F3F" w:rsidRDefault="007B38A8" w:rsidP="00DB3383">
            <w:pPr>
              <w:rPr>
                <w:sz w:val="22"/>
                <w:szCs w:val="22"/>
                <w:lang w:val="en-GB"/>
              </w:rPr>
            </w:pPr>
          </w:p>
        </w:tc>
        <w:tc>
          <w:tcPr>
            <w:tcW w:w="1124" w:type="dxa"/>
            <w:shd w:val="clear" w:color="auto" w:fill="auto"/>
          </w:tcPr>
          <w:p w14:paraId="3A71CE77" w14:textId="77777777" w:rsidR="007B38A8" w:rsidRPr="00393F3F" w:rsidRDefault="007B38A8" w:rsidP="00DB3383">
            <w:pPr>
              <w:rPr>
                <w:sz w:val="22"/>
                <w:szCs w:val="22"/>
                <w:lang w:val="en-GB"/>
              </w:rPr>
            </w:pPr>
            <w:r w:rsidRPr="00393F3F">
              <w:rPr>
                <w:sz w:val="22"/>
                <w:szCs w:val="22"/>
                <w:lang w:val="en-GB"/>
              </w:rPr>
              <w:t>1 (1.0)</w:t>
            </w:r>
          </w:p>
        </w:tc>
      </w:tr>
      <w:tr w:rsidR="007B38A8" w:rsidRPr="00393F3F" w14:paraId="4E5E38D5" w14:textId="77777777" w:rsidTr="00DB3383">
        <w:tc>
          <w:tcPr>
            <w:tcW w:w="5132" w:type="dxa"/>
            <w:tcBorders>
              <w:bottom w:val="single" w:sz="4" w:space="0" w:color="auto"/>
            </w:tcBorders>
            <w:shd w:val="clear" w:color="auto" w:fill="auto"/>
          </w:tcPr>
          <w:p w14:paraId="1F5D612B" w14:textId="77777777" w:rsidR="007B38A8" w:rsidRPr="00393F3F" w:rsidRDefault="007B38A8" w:rsidP="00DB3383">
            <w:pPr>
              <w:rPr>
                <w:rFonts w:eastAsia="Calibri"/>
                <w:sz w:val="22"/>
                <w:szCs w:val="22"/>
                <w:lang w:val="en-GB" w:eastAsia="en-US"/>
              </w:rPr>
            </w:pPr>
            <w:r w:rsidRPr="00393F3F">
              <w:rPr>
                <w:rFonts w:eastAsia="Calibri"/>
                <w:sz w:val="22"/>
                <w:szCs w:val="22"/>
                <w:lang w:val="en-GB" w:eastAsia="en-US"/>
              </w:rPr>
              <w:t>Infiltrate on chest radiograph</w:t>
            </w:r>
          </w:p>
        </w:tc>
        <w:tc>
          <w:tcPr>
            <w:tcW w:w="1417" w:type="dxa"/>
            <w:tcBorders>
              <w:bottom w:val="single" w:sz="4" w:space="0" w:color="auto"/>
            </w:tcBorders>
            <w:shd w:val="clear" w:color="auto" w:fill="auto"/>
          </w:tcPr>
          <w:p w14:paraId="5C656F0F" w14:textId="77777777" w:rsidR="007B38A8" w:rsidRPr="00393F3F" w:rsidRDefault="007B38A8" w:rsidP="00DB3383">
            <w:pPr>
              <w:rPr>
                <w:sz w:val="22"/>
                <w:szCs w:val="22"/>
                <w:lang w:val="en-GB"/>
              </w:rPr>
            </w:pPr>
            <w:r w:rsidRPr="00393F3F">
              <w:rPr>
                <w:sz w:val="22"/>
                <w:szCs w:val="22"/>
                <w:lang w:val="en-GB"/>
              </w:rPr>
              <w:t>7 (7)</w:t>
            </w:r>
          </w:p>
        </w:tc>
        <w:tc>
          <w:tcPr>
            <w:tcW w:w="2459" w:type="dxa"/>
            <w:tcBorders>
              <w:bottom w:val="single" w:sz="4" w:space="0" w:color="auto"/>
            </w:tcBorders>
            <w:shd w:val="clear" w:color="auto" w:fill="auto"/>
          </w:tcPr>
          <w:p w14:paraId="3A627462" w14:textId="77777777" w:rsidR="007B38A8" w:rsidRPr="00393F3F" w:rsidRDefault="007B38A8" w:rsidP="00DB3383">
            <w:pPr>
              <w:rPr>
                <w:sz w:val="22"/>
                <w:szCs w:val="22"/>
                <w:lang w:val="en-GB"/>
              </w:rPr>
            </w:pPr>
            <w:r w:rsidRPr="00393F3F">
              <w:rPr>
                <w:sz w:val="22"/>
                <w:szCs w:val="22"/>
                <w:lang w:val="en-GB"/>
              </w:rPr>
              <w:t>3 (6)</w:t>
            </w:r>
          </w:p>
        </w:tc>
        <w:tc>
          <w:tcPr>
            <w:tcW w:w="2280" w:type="dxa"/>
            <w:tcBorders>
              <w:bottom w:val="single" w:sz="4" w:space="0" w:color="auto"/>
            </w:tcBorders>
            <w:shd w:val="clear" w:color="auto" w:fill="auto"/>
          </w:tcPr>
          <w:p w14:paraId="6E179696" w14:textId="77777777" w:rsidR="007B38A8" w:rsidRPr="00393F3F" w:rsidRDefault="007B38A8" w:rsidP="00DB3383">
            <w:pPr>
              <w:rPr>
                <w:sz w:val="22"/>
                <w:szCs w:val="22"/>
                <w:lang w:val="en-GB"/>
              </w:rPr>
            </w:pPr>
            <w:r w:rsidRPr="00393F3F">
              <w:rPr>
                <w:sz w:val="22"/>
                <w:szCs w:val="22"/>
                <w:lang w:val="en-GB"/>
              </w:rPr>
              <w:t>4 (8)</w:t>
            </w:r>
          </w:p>
        </w:tc>
        <w:tc>
          <w:tcPr>
            <w:tcW w:w="1079" w:type="dxa"/>
            <w:tcBorders>
              <w:bottom w:val="single" w:sz="4" w:space="0" w:color="auto"/>
            </w:tcBorders>
            <w:shd w:val="clear" w:color="auto" w:fill="auto"/>
          </w:tcPr>
          <w:p w14:paraId="19F8E12B" w14:textId="77777777" w:rsidR="007B38A8" w:rsidRPr="00393F3F" w:rsidRDefault="007B38A8" w:rsidP="00DB3383">
            <w:pPr>
              <w:rPr>
                <w:sz w:val="22"/>
                <w:szCs w:val="22"/>
                <w:lang w:val="en-GB"/>
              </w:rPr>
            </w:pPr>
          </w:p>
        </w:tc>
        <w:tc>
          <w:tcPr>
            <w:tcW w:w="1124" w:type="dxa"/>
            <w:tcBorders>
              <w:bottom w:val="single" w:sz="4" w:space="0" w:color="auto"/>
            </w:tcBorders>
            <w:shd w:val="clear" w:color="auto" w:fill="auto"/>
          </w:tcPr>
          <w:p w14:paraId="7BE2FF04" w14:textId="77777777" w:rsidR="007B38A8" w:rsidRPr="00393F3F" w:rsidRDefault="007B38A8" w:rsidP="00DB3383">
            <w:pPr>
              <w:rPr>
                <w:sz w:val="22"/>
                <w:szCs w:val="22"/>
                <w:lang w:val="en-GB"/>
              </w:rPr>
            </w:pPr>
            <w:r w:rsidRPr="00393F3F">
              <w:rPr>
                <w:sz w:val="22"/>
                <w:szCs w:val="22"/>
                <w:lang w:val="en-GB"/>
              </w:rPr>
              <w:t>5 (4.8)</w:t>
            </w:r>
          </w:p>
        </w:tc>
      </w:tr>
    </w:tbl>
    <w:p w14:paraId="0FB7314D" w14:textId="77777777" w:rsidR="007B38A8" w:rsidRPr="00393F3F" w:rsidRDefault="007B38A8" w:rsidP="007B38A8">
      <w:pPr>
        <w:rPr>
          <w:i/>
          <w:sz w:val="22"/>
          <w:szCs w:val="22"/>
          <w:lang w:val="en-GB"/>
        </w:rPr>
      </w:pPr>
      <w:r w:rsidRPr="003E6431">
        <w:rPr>
          <w:sz w:val="22"/>
          <w:szCs w:val="22"/>
          <w:lang w:val="en-GB"/>
        </w:rPr>
        <w:t>Numbers represent number (%), unless stated otherwise</w:t>
      </w:r>
      <w:r>
        <w:rPr>
          <w:sz w:val="22"/>
          <w:szCs w:val="22"/>
          <w:lang w:val="en-GB"/>
        </w:rPr>
        <w:t xml:space="preserve">. </w:t>
      </w:r>
      <w:r w:rsidRPr="00393F3F">
        <w:rPr>
          <w:sz w:val="22"/>
          <w:szCs w:val="22"/>
          <w:lang w:val="en-GB"/>
        </w:rPr>
        <w:t>SD = standard deviation.</w:t>
      </w:r>
    </w:p>
    <w:p w14:paraId="01EB1C5C" w14:textId="77777777" w:rsidR="007B38A8" w:rsidRPr="00393F3F" w:rsidRDefault="007B38A8" w:rsidP="007B38A8">
      <w:pPr>
        <w:rPr>
          <w:sz w:val="22"/>
          <w:szCs w:val="22"/>
          <w:lang w:val="en-GB"/>
        </w:rPr>
      </w:pPr>
      <w:r w:rsidRPr="00393F3F">
        <w:rPr>
          <w:rStyle w:val="A12"/>
          <w:iCs/>
          <w:sz w:val="22"/>
          <w:szCs w:val="22"/>
          <w:vertAlign w:val="superscript"/>
          <w:lang w:val="en-GB"/>
        </w:rPr>
        <w:t>*</w:t>
      </w:r>
      <w:r w:rsidRPr="00393F3F">
        <w:rPr>
          <w:sz w:val="22"/>
          <w:szCs w:val="22"/>
          <w:lang w:val="en-GB"/>
        </w:rPr>
        <w:t xml:space="preserve"> Pulmonary comorbidity = history of chronic obstructive pulmonary disease, asthma or other lung disease. </w:t>
      </w:r>
    </w:p>
    <w:p w14:paraId="33ABB08B" w14:textId="77777777" w:rsidR="007B38A8" w:rsidRPr="00393F3F" w:rsidRDefault="007B38A8" w:rsidP="007B38A8">
      <w:pPr>
        <w:rPr>
          <w:sz w:val="22"/>
          <w:szCs w:val="22"/>
          <w:lang w:val="en-GB"/>
        </w:rPr>
      </w:pPr>
      <w:r w:rsidRPr="00393F3F">
        <w:rPr>
          <w:sz w:val="22"/>
          <w:szCs w:val="22"/>
          <w:lang w:val="en-GB"/>
        </w:rPr>
        <w:t>Cardiac comorbidity = history of heart failure, ischemic heart disease</w:t>
      </w:r>
      <w:r>
        <w:rPr>
          <w:sz w:val="22"/>
          <w:szCs w:val="22"/>
          <w:lang w:val="en-GB"/>
        </w:rPr>
        <w:t xml:space="preserve"> </w:t>
      </w:r>
      <w:r w:rsidRPr="00393F3F">
        <w:rPr>
          <w:sz w:val="22"/>
          <w:szCs w:val="22"/>
          <w:lang w:val="en-GB"/>
        </w:rPr>
        <w:t xml:space="preserve">or other heart disease. </w:t>
      </w:r>
    </w:p>
    <w:p w14:paraId="5CA08409" w14:textId="77777777" w:rsidR="007B38A8" w:rsidRPr="001C270D" w:rsidRDefault="007B38A8" w:rsidP="007B38A8">
      <w:pPr>
        <w:rPr>
          <w:rStyle w:val="A12"/>
          <w:i w:val="0"/>
          <w:iCs/>
          <w:sz w:val="22"/>
          <w:szCs w:val="22"/>
          <w:lang w:val="en-GB"/>
        </w:rPr>
      </w:pPr>
      <w:r w:rsidRPr="001C270D">
        <w:rPr>
          <w:rStyle w:val="A12"/>
          <w:i w:val="0"/>
          <w:iCs/>
          <w:sz w:val="22"/>
          <w:szCs w:val="22"/>
          <w:vertAlign w:val="superscript"/>
          <w:lang w:val="en-GB"/>
        </w:rPr>
        <w:t>†</w:t>
      </w:r>
      <w:r w:rsidRPr="001C270D">
        <w:rPr>
          <w:rStyle w:val="A12"/>
          <w:i w:val="0"/>
          <w:iCs/>
          <w:sz w:val="22"/>
          <w:szCs w:val="22"/>
          <w:lang w:val="en-GB"/>
        </w:rPr>
        <w:t xml:space="preserve"> Presented in days.</w:t>
      </w:r>
    </w:p>
    <w:p w14:paraId="14F63F50" w14:textId="77777777" w:rsidR="007B38A8" w:rsidRPr="00393F3F" w:rsidRDefault="007B38A8" w:rsidP="007B38A8">
      <w:pPr>
        <w:rPr>
          <w:rFonts w:eastAsia="Calibri"/>
          <w:sz w:val="22"/>
          <w:szCs w:val="22"/>
          <w:lang w:val="en-GB" w:eastAsia="en-US"/>
        </w:rPr>
      </w:pPr>
      <w:r w:rsidRPr="00393F3F">
        <w:rPr>
          <w:rFonts w:eastAsia="Calibri"/>
          <w:sz w:val="22"/>
          <w:szCs w:val="22"/>
          <w:vertAlign w:val="superscript"/>
          <w:lang w:val="en-GB" w:eastAsia="en-US"/>
        </w:rPr>
        <w:t>‡</w:t>
      </w:r>
      <w:r w:rsidRPr="00393F3F">
        <w:rPr>
          <w:rFonts w:eastAsia="Calibri"/>
          <w:sz w:val="22"/>
          <w:szCs w:val="22"/>
          <w:lang w:val="en-GB" w:eastAsia="en-US"/>
        </w:rPr>
        <w:t xml:space="preserve"> Score for 14 patients’ </w:t>
      </w:r>
      <w:r w:rsidRPr="00393F3F">
        <w:rPr>
          <w:rFonts w:eastAsia="Calibri"/>
          <w:sz w:val="22"/>
          <w:szCs w:val="22"/>
          <w:lang w:val="en-GB"/>
        </w:rPr>
        <w:t>physician</w:t>
      </w:r>
      <w:r w:rsidRPr="00393F3F">
        <w:rPr>
          <w:rFonts w:eastAsia="Calibri"/>
          <w:sz w:val="22"/>
          <w:szCs w:val="22"/>
          <w:lang w:val="en-GB" w:eastAsia="en-US"/>
        </w:rPr>
        <w:t>-recorded symptoms summed and scaled to range between 0 and 100 on</w:t>
      </w:r>
      <w:r>
        <w:rPr>
          <w:rFonts w:eastAsia="Calibri"/>
          <w:sz w:val="22"/>
          <w:szCs w:val="22"/>
          <w:lang w:val="en-GB" w:eastAsia="en-US"/>
        </w:rPr>
        <w:t xml:space="preserve"> </w:t>
      </w:r>
      <w:r w:rsidRPr="00393F3F">
        <w:rPr>
          <w:rFonts w:eastAsia="Calibri"/>
          <w:sz w:val="22"/>
          <w:szCs w:val="22"/>
          <w:lang w:val="en-GB" w:eastAsia="en-US"/>
        </w:rPr>
        <w:t>day 1.</w:t>
      </w:r>
    </w:p>
    <w:p w14:paraId="45E7A512" w14:textId="0B01FB00" w:rsidR="007B38A8" w:rsidRDefault="007B38A8" w:rsidP="007B38A8">
      <w:pPr>
        <w:rPr>
          <w:rFonts w:eastAsia="Calibri"/>
          <w:sz w:val="22"/>
          <w:szCs w:val="22"/>
          <w:lang w:val="en-GB" w:eastAsia="en-US"/>
        </w:rPr>
      </w:pPr>
      <w:r w:rsidRPr="00393F3F">
        <w:rPr>
          <w:rFonts w:eastAsia="Calibri"/>
          <w:sz w:val="22"/>
          <w:szCs w:val="22"/>
          <w:vertAlign w:val="superscript"/>
          <w:lang w:val="en-GB" w:eastAsia="en-US"/>
        </w:rPr>
        <w:t>§</w:t>
      </w:r>
      <w:r w:rsidRPr="00393F3F">
        <w:rPr>
          <w:rFonts w:eastAsia="Calibri"/>
          <w:sz w:val="22"/>
          <w:szCs w:val="22"/>
          <w:lang w:val="en-GB" w:eastAsia="en-US"/>
        </w:rPr>
        <w:t xml:space="preserve"> Resistant to antibiotic is defined as resistant to at least one tested antibiotic.</w:t>
      </w:r>
    </w:p>
    <w:p w14:paraId="6606F342" w14:textId="33AF1706" w:rsidR="007B38A8" w:rsidRDefault="007B38A8" w:rsidP="007B38A8">
      <w:pPr>
        <w:rPr>
          <w:rFonts w:eastAsia="Calibri"/>
          <w:sz w:val="22"/>
          <w:szCs w:val="22"/>
          <w:lang w:val="en-GB" w:eastAsia="en-US"/>
        </w:rPr>
      </w:pPr>
    </w:p>
    <w:p w14:paraId="5F13182B" w14:textId="7A932566" w:rsidR="007B38A8" w:rsidRDefault="007B38A8" w:rsidP="007B38A8">
      <w:pPr>
        <w:rPr>
          <w:rFonts w:eastAsia="Calibri"/>
          <w:sz w:val="22"/>
          <w:szCs w:val="22"/>
          <w:lang w:val="en-GB" w:eastAsia="en-US"/>
        </w:rPr>
      </w:pPr>
    </w:p>
    <w:p w14:paraId="7A0EBCF4" w14:textId="2273C312" w:rsidR="007B38A8" w:rsidRDefault="007B38A8" w:rsidP="007B38A8">
      <w:pPr>
        <w:rPr>
          <w:rFonts w:eastAsia="Calibri"/>
          <w:sz w:val="22"/>
          <w:szCs w:val="22"/>
          <w:lang w:val="en-GB" w:eastAsia="en-US"/>
        </w:rPr>
      </w:pPr>
    </w:p>
    <w:p w14:paraId="4E0F48B4" w14:textId="3B64FFF3" w:rsidR="007B38A8" w:rsidRDefault="007B38A8" w:rsidP="007B38A8">
      <w:pPr>
        <w:rPr>
          <w:rFonts w:eastAsia="Calibri"/>
          <w:sz w:val="22"/>
          <w:szCs w:val="22"/>
          <w:lang w:val="en-GB" w:eastAsia="en-US"/>
        </w:rPr>
      </w:pPr>
    </w:p>
    <w:p w14:paraId="2CBBEFF6" w14:textId="40F16C4F" w:rsidR="007B38A8" w:rsidRDefault="007B38A8" w:rsidP="007B38A8">
      <w:pPr>
        <w:rPr>
          <w:rFonts w:eastAsia="Calibri"/>
          <w:sz w:val="22"/>
          <w:szCs w:val="22"/>
          <w:lang w:val="en-GB" w:eastAsia="en-US"/>
        </w:rPr>
      </w:pPr>
    </w:p>
    <w:p w14:paraId="08D4F888" w14:textId="6D4F271C" w:rsidR="007B38A8" w:rsidRDefault="007B38A8" w:rsidP="007B38A8">
      <w:pPr>
        <w:rPr>
          <w:rFonts w:eastAsia="Calibri"/>
          <w:sz w:val="22"/>
          <w:szCs w:val="22"/>
          <w:lang w:val="en-GB" w:eastAsia="en-US"/>
        </w:rPr>
      </w:pPr>
    </w:p>
    <w:p w14:paraId="109C55BC" w14:textId="5891CAD0" w:rsidR="007B38A8" w:rsidRDefault="007B38A8" w:rsidP="007B38A8">
      <w:pPr>
        <w:rPr>
          <w:rFonts w:eastAsia="Calibri"/>
          <w:sz w:val="22"/>
          <w:szCs w:val="22"/>
          <w:lang w:val="en-GB" w:eastAsia="en-US"/>
        </w:rPr>
      </w:pPr>
    </w:p>
    <w:p w14:paraId="6C1E6C45" w14:textId="662C83AE" w:rsidR="007B38A8" w:rsidRDefault="007B38A8" w:rsidP="007B38A8">
      <w:pPr>
        <w:rPr>
          <w:rFonts w:eastAsia="Calibri"/>
          <w:sz w:val="22"/>
          <w:szCs w:val="22"/>
          <w:lang w:val="en-GB" w:eastAsia="en-US"/>
        </w:rPr>
      </w:pPr>
    </w:p>
    <w:p w14:paraId="54C4AAB6" w14:textId="17D5F5AA" w:rsidR="007B38A8" w:rsidRDefault="007B38A8" w:rsidP="007B38A8">
      <w:pPr>
        <w:rPr>
          <w:rFonts w:eastAsia="Calibri"/>
          <w:sz w:val="22"/>
          <w:szCs w:val="22"/>
          <w:lang w:val="en-GB" w:eastAsia="en-US"/>
        </w:rPr>
      </w:pPr>
    </w:p>
    <w:p w14:paraId="063E43AB" w14:textId="1DB6A07C" w:rsidR="007B38A8" w:rsidRDefault="007B38A8" w:rsidP="007B38A8">
      <w:pPr>
        <w:rPr>
          <w:rFonts w:eastAsia="Calibri"/>
          <w:sz w:val="22"/>
          <w:szCs w:val="22"/>
          <w:lang w:val="en-GB" w:eastAsia="en-US"/>
        </w:rPr>
      </w:pPr>
    </w:p>
    <w:p w14:paraId="023772B8" w14:textId="24389CC4" w:rsidR="007B38A8" w:rsidRDefault="007B38A8" w:rsidP="007B38A8">
      <w:pPr>
        <w:rPr>
          <w:rFonts w:eastAsia="Calibri"/>
          <w:sz w:val="22"/>
          <w:szCs w:val="22"/>
          <w:lang w:val="en-GB" w:eastAsia="en-US"/>
        </w:rPr>
      </w:pPr>
    </w:p>
    <w:p w14:paraId="2AE2CD38" w14:textId="59E7A8CC" w:rsidR="007B38A8" w:rsidRDefault="007B38A8" w:rsidP="007B38A8">
      <w:pPr>
        <w:rPr>
          <w:rFonts w:eastAsia="Calibri"/>
          <w:sz w:val="22"/>
          <w:szCs w:val="22"/>
          <w:lang w:val="en-GB" w:eastAsia="en-US"/>
        </w:rPr>
      </w:pPr>
    </w:p>
    <w:p w14:paraId="27437094" w14:textId="6142A8C4" w:rsidR="007B38A8" w:rsidRDefault="007B38A8" w:rsidP="007B38A8">
      <w:pPr>
        <w:rPr>
          <w:rFonts w:eastAsia="Calibri"/>
          <w:sz w:val="22"/>
          <w:szCs w:val="22"/>
          <w:lang w:val="en-GB" w:eastAsia="en-US"/>
        </w:rPr>
      </w:pPr>
    </w:p>
    <w:p w14:paraId="55516096" w14:textId="2DF33E39" w:rsidR="007B38A8" w:rsidRDefault="007B38A8" w:rsidP="007B38A8">
      <w:pPr>
        <w:rPr>
          <w:rFonts w:eastAsia="Calibri"/>
          <w:sz w:val="22"/>
          <w:szCs w:val="22"/>
          <w:lang w:val="en-GB" w:eastAsia="en-US"/>
        </w:rPr>
      </w:pPr>
    </w:p>
    <w:p w14:paraId="67A6E17A" w14:textId="0824FE2F" w:rsidR="007B38A8" w:rsidRDefault="007B38A8" w:rsidP="007B38A8">
      <w:pPr>
        <w:rPr>
          <w:rFonts w:eastAsia="Calibri"/>
          <w:sz w:val="22"/>
          <w:szCs w:val="22"/>
          <w:lang w:val="en-GB" w:eastAsia="en-US"/>
        </w:rPr>
      </w:pPr>
    </w:p>
    <w:p w14:paraId="0E380407" w14:textId="15FF47CD" w:rsidR="007B38A8" w:rsidRDefault="007B38A8" w:rsidP="007B38A8">
      <w:pPr>
        <w:rPr>
          <w:rFonts w:eastAsia="Calibri"/>
          <w:sz w:val="22"/>
          <w:szCs w:val="22"/>
          <w:lang w:val="en-GB" w:eastAsia="en-US"/>
        </w:rPr>
      </w:pPr>
    </w:p>
    <w:p w14:paraId="7D725358" w14:textId="25F448F0" w:rsidR="007B38A8" w:rsidRDefault="007B38A8" w:rsidP="007B38A8">
      <w:pPr>
        <w:rPr>
          <w:rFonts w:eastAsia="Calibri"/>
          <w:sz w:val="22"/>
          <w:szCs w:val="22"/>
          <w:lang w:val="en-GB" w:eastAsia="en-US"/>
        </w:rPr>
      </w:pPr>
    </w:p>
    <w:p w14:paraId="279EDD4E" w14:textId="149CC311" w:rsidR="007B38A8" w:rsidRDefault="007B38A8" w:rsidP="007B38A8">
      <w:pPr>
        <w:rPr>
          <w:rFonts w:eastAsia="Calibri"/>
          <w:sz w:val="22"/>
          <w:szCs w:val="22"/>
          <w:lang w:val="en-GB" w:eastAsia="en-US"/>
        </w:rPr>
      </w:pPr>
    </w:p>
    <w:p w14:paraId="382A6F70" w14:textId="4F01DEF9" w:rsidR="007B38A8" w:rsidRDefault="007B38A8" w:rsidP="007B38A8">
      <w:pPr>
        <w:rPr>
          <w:rFonts w:eastAsia="Calibri"/>
          <w:sz w:val="22"/>
          <w:szCs w:val="22"/>
          <w:lang w:val="en-GB" w:eastAsia="en-US"/>
        </w:rPr>
      </w:pPr>
    </w:p>
    <w:p w14:paraId="7A917DC7" w14:textId="77777777" w:rsidR="007B38A8" w:rsidRPr="00393F3F" w:rsidRDefault="007B38A8" w:rsidP="007B38A8">
      <w:pPr>
        <w:rPr>
          <w:lang w:val="en-GB"/>
        </w:rPr>
      </w:pPr>
      <w:r w:rsidRPr="00393F3F">
        <w:rPr>
          <w:lang w:val="en-GB"/>
        </w:rPr>
        <w:lastRenderedPageBreak/>
        <w:t xml:space="preserve">Table 2. Prognostic outcomes in patients with and without antibiotic-resistant lower respiratory tract infection </w:t>
      </w:r>
    </w:p>
    <w:tbl>
      <w:tblPr>
        <w:tblpPr w:leftFromText="141" w:rightFromText="141" w:vertAnchor="text" w:horzAnchor="margin" w:tblpY="88"/>
        <w:tblW w:w="14042" w:type="dxa"/>
        <w:tblLayout w:type="fixed"/>
        <w:tblLook w:val="0000" w:firstRow="0" w:lastRow="0" w:firstColumn="0" w:lastColumn="0" w:noHBand="0" w:noVBand="0"/>
      </w:tblPr>
      <w:tblGrid>
        <w:gridCol w:w="3689"/>
        <w:gridCol w:w="1928"/>
        <w:gridCol w:w="1694"/>
        <w:gridCol w:w="2324"/>
        <w:gridCol w:w="2251"/>
        <w:gridCol w:w="1087"/>
        <w:gridCol w:w="1069"/>
      </w:tblGrid>
      <w:tr w:rsidR="007B38A8" w:rsidRPr="00393F3F" w14:paraId="7B0EA619" w14:textId="77777777" w:rsidTr="00DB3383">
        <w:tc>
          <w:tcPr>
            <w:tcW w:w="3689" w:type="dxa"/>
            <w:tcBorders>
              <w:top w:val="single" w:sz="4" w:space="0" w:color="auto"/>
              <w:bottom w:val="single" w:sz="4" w:space="0" w:color="auto"/>
            </w:tcBorders>
            <w:shd w:val="clear" w:color="auto" w:fill="FFFFFF"/>
          </w:tcPr>
          <w:p w14:paraId="3A933234" w14:textId="77777777" w:rsidR="007B38A8" w:rsidRPr="00393F3F" w:rsidRDefault="007B38A8" w:rsidP="00DB3383">
            <w:pPr>
              <w:snapToGrid w:val="0"/>
              <w:rPr>
                <w:b/>
                <w:sz w:val="22"/>
                <w:szCs w:val="22"/>
                <w:lang w:val="en-GB"/>
              </w:rPr>
            </w:pPr>
          </w:p>
          <w:p w14:paraId="3BF9D8EC" w14:textId="77777777" w:rsidR="007B38A8" w:rsidRDefault="007B38A8" w:rsidP="00DB3383">
            <w:pPr>
              <w:snapToGrid w:val="0"/>
              <w:rPr>
                <w:b/>
                <w:sz w:val="22"/>
                <w:szCs w:val="22"/>
                <w:lang w:val="en-GB"/>
              </w:rPr>
            </w:pPr>
          </w:p>
          <w:p w14:paraId="7B039C04" w14:textId="77777777" w:rsidR="007B38A8" w:rsidRPr="00393F3F" w:rsidRDefault="007B38A8" w:rsidP="00DB3383">
            <w:pPr>
              <w:snapToGrid w:val="0"/>
              <w:rPr>
                <w:b/>
                <w:sz w:val="22"/>
                <w:szCs w:val="22"/>
                <w:lang w:val="en-GB"/>
              </w:rPr>
            </w:pPr>
            <w:r w:rsidRPr="00393F3F">
              <w:rPr>
                <w:b/>
                <w:sz w:val="22"/>
                <w:szCs w:val="22"/>
                <w:lang w:val="en-GB"/>
              </w:rPr>
              <w:t>Outcome</w:t>
            </w:r>
          </w:p>
        </w:tc>
        <w:tc>
          <w:tcPr>
            <w:tcW w:w="1928" w:type="dxa"/>
            <w:tcBorders>
              <w:top w:val="single" w:sz="4" w:space="0" w:color="auto"/>
              <w:bottom w:val="single" w:sz="4" w:space="0" w:color="auto"/>
            </w:tcBorders>
            <w:shd w:val="clear" w:color="auto" w:fill="FFFFFF"/>
          </w:tcPr>
          <w:p w14:paraId="54852DD4" w14:textId="77777777" w:rsidR="007B38A8" w:rsidRDefault="007B38A8" w:rsidP="00DB3383">
            <w:pPr>
              <w:snapToGrid w:val="0"/>
              <w:rPr>
                <w:b/>
                <w:sz w:val="22"/>
                <w:szCs w:val="22"/>
                <w:vertAlign w:val="superscript"/>
                <w:lang w:val="en-GB"/>
              </w:rPr>
            </w:pPr>
            <w:r w:rsidRPr="00393F3F">
              <w:rPr>
                <w:b/>
                <w:sz w:val="22"/>
                <w:szCs w:val="22"/>
                <w:lang w:val="en-GB"/>
              </w:rPr>
              <w:t>Resistant to antibiotic</w:t>
            </w:r>
            <w:r w:rsidRPr="00393F3F">
              <w:rPr>
                <w:b/>
                <w:sz w:val="22"/>
                <w:szCs w:val="22"/>
                <w:vertAlign w:val="superscript"/>
                <w:lang w:val="en-GB"/>
              </w:rPr>
              <w:t>*</w:t>
            </w:r>
          </w:p>
          <w:p w14:paraId="143BF8E8" w14:textId="77777777" w:rsidR="007B38A8" w:rsidRPr="00393F3F" w:rsidRDefault="007B38A8" w:rsidP="00DB3383">
            <w:pPr>
              <w:snapToGrid w:val="0"/>
              <w:rPr>
                <w:b/>
                <w:sz w:val="22"/>
                <w:szCs w:val="22"/>
                <w:lang w:val="en-GB"/>
              </w:rPr>
            </w:pPr>
            <w:r>
              <w:rPr>
                <w:b/>
                <w:sz w:val="22"/>
                <w:szCs w:val="22"/>
                <w:lang w:val="en-GB"/>
              </w:rPr>
              <w:t>N=54</w:t>
            </w:r>
          </w:p>
        </w:tc>
        <w:tc>
          <w:tcPr>
            <w:tcW w:w="1694" w:type="dxa"/>
            <w:tcBorders>
              <w:top w:val="single" w:sz="4" w:space="0" w:color="auto"/>
              <w:bottom w:val="single" w:sz="4" w:space="0" w:color="auto"/>
            </w:tcBorders>
            <w:shd w:val="clear" w:color="auto" w:fill="FFFFFF"/>
          </w:tcPr>
          <w:p w14:paraId="5BC89C6B" w14:textId="77777777" w:rsidR="007B38A8" w:rsidRDefault="007B38A8" w:rsidP="00DB3383">
            <w:pPr>
              <w:snapToGrid w:val="0"/>
              <w:rPr>
                <w:b/>
                <w:sz w:val="22"/>
                <w:szCs w:val="22"/>
                <w:lang w:val="en-GB"/>
              </w:rPr>
            </w:pPr>
            <w:r w:rsidRPr="00393F3F">
              <w:rPr>
                <w:b/>
                <w:sz w:val="22"/>
                <w:szCs w:val="22"/>
                <w:lang w:val="en-GB"/>
              </w:rPr>
              <w:t>Sensitive to antibiotic</w:t>
            </w:r>
          </w:p>
          <w:p w14:paraId="3A25A14B" w14:textId="77777777" w:rsidR="007B38A8" w:rsidRPr="00393F3F" w:rsidRDefault="007B38A8" w:rsidP="00DB3383">
            <w:pPr>
              <w:snapToGrid w:val="0"/>
              <w:rPr>
                <w:b/>
                <w:sz w:val="22"/>
                <w:szCs w:val="22"/>
                <w:lang w:val="en-GB"/>
              </w:rPr>
            </w:pPr>
            <w:r>
              <w:rPr>
                <w:b/>
                <w:sz w:val="22"/>
                <w:szCs w:val="22"/>
                <w:lang w:val="en-GB"/>
              </w:rPr>
              <w:t>N=50</w:t>
            </w:r>
          </w:p>
        </w:tc>
        <w:tc>
          <w:tcPr>
            <w:tcW w:w="2324" w:type="dxa"/>
            <w:tcBorders>
              <w:top w:val="single" w:sz="4" w:space="0" w:color="auto"/>
              <w:bottom w:val="single" w:sz="4" w:space="0" w:color="auto"/>
            </w:tcBorders>
            <w:shd w:val="clear" w:color="auto" w:fill="FFFFFF"/>
          </w:tcPr>
          <w:p w14:paraId="50A98DB7" w14:textId="77777777" w:rsidR="007B38A8" w:rsidRPr="00393F3F" w:rsidRDefault="007B38A8" w:rsidP="00DB3383">
            <w:pPr>
              <w:snapToGrid w:val="0"/>
              <w:rPr>
                <w:b/>
                <w:sz w:val="22"/>
                <w:szCs w:val="22"/>
                <w:lang w:val="en-GB"/>
              </w:rPr>
            </w:pPr>
          </w:p>
          <w:p w14:paraId="13AE8CA9" w14:textId="77777777" w:rsidR="007B38A8" w:rsidRDefault="007B38A8" w:rsidP="00DB3383">
            <w:pPr>
              <w:snapToGrid w:val="0"/>
              <w:rPr>
                <w:b/>
                <w:sz w:val="22"/>
                <w:szCs w:val="22"/>
                <w:lang w:val="en-GB"/>
              </w:rPr>
            </w:pPr>
          </w:p>
          <w:p w14:paraId="2A56E771" w14:textId="77777777" w:rsidR="007B38A8" w:rsidRPr="00393F3F" w:rsidRDefault="007B38A8" w:rsidP="00DB3383">
            <w:pPr>
              <w:snapToGrid w:val="0"/>
              <w:rPr>
                <w:b/>
                <w:sz w:val="22"/>
                <w:szCs w:val="22"/>
                <w:lang w:val="en-GB"/>
              </w:rPr>
            </w:pPr>
            <w:r w:rsidRPr="00393F3F">
              <w:rPr>
                <w:b/>
                <w:sz w:val="22"/>
                <w:szCs w:val="22"/>
                <w:lang w:val="en-GB"/>
              </w:rPr>
              <w:t>Crude analysis</w:t>
            </w:r>
          </w:p>
        </w:tc>
        <w:tc>
          <w:tcPr>
            <w:tcW w:w="2251" w:type="dxa"/>
            <w:tcBorders>
              <w:top w:val="single" w:sz="4" w:space="0" w:color="auto"/>
              <w:bottom w:val="single" w:sz="4" w:space="0" w:color="auto"/>
            </w:tcBorders>
            <w:shd w:val="clear" w:color="auto" w:fill="FFFFFF"/>
          </w:tcPr>
          <w:p w14:paraId="62F9AECB" w14:textId="77777777" w:rsidR="007B38A8" w:rsidRPr="00393F3F" w:rsidRDefault="007B38A8" w:rsidP="00DB3383">
            <w:pPr>
              <w:snapToGrid w:val="0"/>
              <w:rPr>
                <w:b/>
                <w:sz w:val="22"/>
                <w:szCs w:val="22"/>
                <w:lang w:val="en-GB"/>
              </w:rPr>
            </w:pPr>
          </w:p>
          <w:p w14:paraId="1FB38C4C" w14:textId="77777777" w:rsidR="007B38A8" w:rsidRDefault="007B38A8" w:rsidP="00DB3383">
            <w:pPr>
              <w:snapToGrid w:val="0"/>
              <w:rPr>
                <w:b/>
                <w:sz w:val="22"/>
                <w:szCs w:val="22"/>
                <w:lang w:val="en-GB"/>
              </w:rPr>
            </w:pPr>
          </w:p>
          <w:p w14:paraId="4619FE53" w14:textId="77777777" w:rsidR="007B38A8" w:rsidRPr="00393F3F" w:rsidRDefault="007B38A8" w:rsidP="00DB3383">
            <w:pPr>
              <w:snapToGrid w:val="0"/>
              <w:rPr>
                <w:b/>
                <w:sz w:val="22"/>
                <w:szCs w:val="22"/>
                <w:lang w:val="en-GB"/>
              </w:rPr>
            </w:pPr>
            <w:r w:rsidRPr="00393F3F">
              <w:rPr>
                <w:b/>
                <w:sz w:val="22"/>
                <w:szCs w:val="22"/>
                <w:lang w:val="en-GB"/>
              </w:rPr>
              <w:t>Adjusted analysis</w:t>
            </w:r>
            <w:r w:rsidRPr="007B38A8">
              <w:rPr>
                <w:rStyle w:val="A12"/>
                <w:b/>
                <w:i w:val="0"/>
                <w:iCs/>
                <w:sz w:val="22"/>
                <w:szCs w:val="22"/>
                <w:vertAlign w:val="superscript"/>
                <w:lang w:val="en-GB"/>
              </w:rPr>
              <w:t>†</w:t>
            </w:r>
          </w:p>
        </w:tc>
        <w:tc>
          <w:tcPr>
            <w:tcW w:w="1087" w:type="dxa"/>
            <w:tcBorders>
              <w:top w:val="single" w:sz="4" w:space="0" w:color="auto"/>
              <w:bottom w:val="single" w:sz="4" w:space="0" w:color="auto"/>
            </w:tcBorders>
            <w:shd w:val="clear" w:color="auto" w:fill="FFFFFF"/>
          </w:tcPr>
          <w:p w14:paraId="6E3E9143" w14:textId="77777777" w:rsidR="007B38A8" w:rsidRPr="00393F3F" w:rsidRDefault="007B38A8" w:rsidP="00DB3383">
            <w:pPr>
              <w:snapToGrid w:val="0"/>
              <w:rPr>
                <w:b/>
                <w:sz w:val="22"/>
                <w:szCs w:val="22"/>
                <w:lang w:val="en-GB"/>
              </w:rPr>
            </w:pPr>
          </w:p>
          <w:p w14:paraId="7157B2BE" w14:textId="77777777" w:rsidR="007B38A8" w:rsidRDefault="007B38A8" w:rsidP="00DB3383">
            <w:pPr>
              <w:snapToGrid w:val="0"/>
              <w:rPr>
                <w:b/>
                <w:sz w:val="22"/>
                <w:szCs w:val="22"/>
                <w:lang w:val="en-GB"/>
              </w:rPr>
            </w:pPr>
          </w:p>
          <w:p w14:paraId="4C712985" w14:textId="77777777" w:rsidR="007B38A8" w:rsidRPr="00393F3F" w:rsidRDefault="007B38A8" w:rsidP="00DB3383">
            <w:pPr>
              <w:snapToGrid w:val="0"/>
              <w:rPr>
                <w:rStyle w:val="A12"/>
                <w:b/>
                <w:iCs/>
                <w:sz w:val="22"/>
                <w:szCs w:val="22"/>
                <w:lang w:val="en-GB"/>
              </w:rPr>
            </w:pPr>
            <w:r w:rsidRPr="00393F3F">
              <w:rPr>
                <w:b/>
                <w:sz w:val="22"/>
                <w:szCs w:val="22"/>
                <w:lang w:val="en-GB"/>
              </w:rPr>
              <w:t>P value</w:t>
            </w:r>
            <w:r w:rsidRPr="007B38A8">
              <w:rPr>
                <w:rStyle w:val="A12"/>
                <w:b/>
                <w:i w:val="0"/>
                <w:iCs/>
                <w:sz w:val="22"/>
                <w:szCs w:val="22"/>
                <w:vertAlign w:val="superscript"/>
                <w:lang w:val="en-GB"/>
              </w:rPr>
              <w:t>‡</w:t>
            </w:r>
          </w:p>
        </w:tc>
        <w:tc>
          <w:tcPr>
            <w:tcW w:w="1069" w:type="dxa"/>
            <w:tcBorders>
              <w:top w:val="single" w:sz="4" w:space="0" w:color="auto"/>
              <w:bottom w:val="single" w:sz="4" w:space="0" w:color="auto"/>
            </w:tcBorders>
            <w:shd w:val="clear" w:color="auto" w:fill="FFFFFF"/>
          </w:tcPr>
          <w:p w14:paraId="2C52AEF5" w14:textId="77777777" w:rsidR="007B38A8" w:rsidRPr="00393F3F" w:rsidRDefault="007B38A8" w:rsidP="00DB3383">
            <w:pPr>
              <w:snapToGrid w:val="0"/>
              <w:rPr>
                <w:b/>
                <w:sz w:val="22"/>
                <w:szCs w:val="22"/>
                <w:lang w:val="en-GB"/>
              </w:rPr>
            </w:pPr>
          </w:p>
        </w:tc>
      </w:tr>
      <w:tr w:rsidR="007B38A8" w:rsidRPr="00393F3F" w14:paraId="3C2AE140" w14:textId="77777777" w:rsidTr="00DB3383">
        <w:tc>
          <w:tcPr>
            <w:tcW w:w="3689" w:type="dxa"/>
            <w:tcBorders>
              <w:top w:val="single" w:sz="4" w:space="0" w:color="auto"/>
            </w:tcBorders>
            <w:shd w:val="clear" w:color="auto" w:fill="FFFFFF"/>
          </w:tcPr>
          <w:p w14:paraId="7C06F6A7" w14:textId="77777777" w:rsidR="007B38A8" w:rsidRPr="00393F3F" w:rsidRDefault="007B38A8" w:rsidP="00DB3383">
            <w:pPr>
              <w:snapToGrid w:val="0"/>
              <w:rPr>
                <w:sz w:val="22"/>
                <w:szCs w:val="22"/>
                <w:lang w:val="en-GB"/>
              </w:rPr>
            </w:pPr>
            <w:r w:rsidRPr="00393F3F">
              <w:rPr>
                <w:sz w:val="22"/>
                <w:szCs w:val="22"/>
                <w:lang w:val="en-GB"/>
              </w:rPr>
              <w:t xml:space="preserve">Time to resolution of symptoms rated </w:t>
            </w:r>
          </w:p>
          <w:p w14:paraId="32316253" w14:textId="77777777" w:rsidR="007B38A8" w:rsidRPr="00393F3F" w:rsidRDefault="007B38A8" w:rsidP="00DB3383">
            <w:pPr>
              <w:snapToGrid w:val="0"/>
              <w:rPr>
                <w:sz w:val="22"/>
                <w:szCs w:val="22"/>
                <w:lang w:val="en-GB"/>
              </w:rPr>
            </w:pPr>
            <w:r w:rsidRPr="00393F3F">
              <w:rPr>
                <w:sz w:val="22"/>
                <w:szCs w:val="22"/>
                <w:lang w:val="en-GB"/>
              </w:rPr>
              <w:t xml:space="preserve">   </w:t>
            </w:r>
            <w:r>
              <w:rPr>
                <w:lang w:val="en-GB"/>
              </w:rPr>
              <w:t>“</w:t>
            </w:r>
            <w:r>
              <w:rPr>
                <w:rFonts w:eastAsia="Calibri"/>
                <w:lang w:val="en-GB"/>
              </w:rPr>
              <w:t>moderately bad or worse</w:t>
            </w:r>
            <w:r>
              <w:rPr>
                <w:lang w:val="en-GB"/>
              </w:rPr>
              <w:t>”, days</w:t>
            </w:r>
          </w:p>
        </w:tc>
        <w:tc>
          <w:tcPr>
            <w:tcW w:w="1928" w:type="dxa"/>
            <w:tcBorders>
              <w:top w:val="single" w:sz="4" w:space="0" w:color="auto"/>
            </w:tcBorders>
            <w:shd w:val="clear" w:color="auto" w:fill="FFFFFF"/>
          </w:tcPr>
          <w:p w14:paraId="2B95D528" w14:textId="77777777" w:rsidR="007B38A8" w:rsidRPr="00393F3F" w:rsidRDefault="007B38A8" w:rsidP="00DB3383">
            <w:pPr>
              <w:snapToGrid w:val="0"/>
              <w:rPr>
                <w:b/>
                <w:sz w:val="22"/>
                <w:szCs w:val="22"/>
                <w:lang w:val="en-GB"/>
              </w:rPr>
            </w:pPr>
            <w:r w:rsidRPr="00393F3F">
              <w:rPr>
                <w:sz w:val="22"/>
                <w:szCs w:val="22"/>
                <w:lang w:val="en-GB"/>
              </w:rPr>
              <w:t>7 (5-11)</w:t>
            </w:r>
          </w:p>
        </w:tc>
        <w:tc>
          <w:tcPr>
            <w:tcW w:w="1694" w:type="dxa"/>
            <w:tcBorders>
              <w:top w:val="single" w:sz="4" w:space="0" w:color="auto"/>
            </w:tcBorders>
            <w:shd w:val="clear" w:color="auto" w:fill="FFFFFF"/>
          </w:tcPr>
          <w:p w14:paraId="2E1F328E" w14:textId="77777777" w:rsidR="007B38A8" w:rsidRPr="00393F3F" w:rsidRDefault="007B38A8" w:rsidP="00DB3383">
            <w:pPr>
              <w:snapToGrid w:val="0"/>
              <w:rPr>
                <w:b/>
                <w:sz w:val="22"/>
                <w:szCs w:val="22"/>
                <w:lang w:val="en-GB"/>
              </w:rPr>
            </w:pPr>
            <w:r w:rsidRPr="00393F3F">
              <w:rPr>
                <w:sz w:val="22"/>
                <w:szCs w:val="22"/>
                <w:lang w:val="en-GB"/>
              </w:rPr>
              <w:t>9 (5-19)</w:t>
            </w:r>
          </w:p>
        </w:tc>
        <w:tc>
          <w:tcPr>
            <w:tcW w:w="2324" w:type="dxa"/>
            <w:tcBorders>
              <w:top w:val="single" w:sz="4" w:space="0" w:color="auto"/>
            </w:tcBorders>
            <w:shd w:val="clear" w:color="auto" w:fill="FFFFFF"/>
          </w:tcPr>
          <w:p w14:paraId="7DE32EF3" w14:textId="77777777" w:rsidR="007B38A8" w:rsidRPr="00393F3F" w:rsidRDefault="007B38A8" w:rsidP="00DB3383">
            <w:pPr>
              <w:snapToGrid w:val="0"/>
              <w:rPr>
                <w:b/>
                <w:sz w:val="22"/>
                <w:szCs w:val="22"/>
                <w:lang w:val="en-GB"/>
              </w:rPr>
            </w:pPr>
            <w:r w:rsidRPr="00393F3F">
              <w:rPr>
                <w:sz w:val="22"/>
                <w:szCs w:val="22"/>
                <w:lang w:val="en-GB"/>
              </w:rPr>
              <w:t>1.24 (0.82 to 1.88)</w:t>
            </w:r>
            <w:r w:rsidRPr="00393F3F">
              <w:rPr>
                <w:rFonts w:eastAsia="Calibri"/>
                <w:sz w:val="22"/>
                <w:szCs w:val="22"/>
                <w:vertAlign w:val="superscript"/>
                <w:lang w:val="en-GB" w:eastAsia="en-US"/>
              </w:rPr>
              <w:t>§</w:t>
            </w:r>
          </w:p>
        </w:tc>
        <w:tc>
          <w:tcPr>
            <w:tcW w:w="2251" w:type="dxa"/>
            <w:tcBorders>
              <w:top w:val="single" w:sz="4" w:space="0" w:color="auto"/>
            </w:tcBorders>
            <w:shd w:val="clear" w:color="auto" w:fill="FFFFFF"/>
          </w:tcPr>
          <w:p w14:paraId="0F8D176B" w14:textId="77777777" w:rsidR="007B38A8" w:rsidRPr="00393F3F" w:rsidRDefault="007B38A8" w:rsidP="00DB3383">
            <w:pPr>
              <w:snapToGrid w:val="0"/>
              <w:rPr>
                <w:b/>
                <w:sz w:val="22"/>
                <w:szCs w:val="22"/>
                <w:lang w:val="en-GB"/>
              </w:rPr>
            </w:pPr>
            <w:r w:rsidRPr="00393F3F">
              <w:rPr>
                <w:sz w:val="22"/>
                <w:szCs w:val="22"/>
                <w:lang w:val="en-GB"/>
              </w:rPr>
              <w:t>1.27 (0.67 to 2.44)</w:t>
            </w:r>
            <w:r w:rsidRPr="00393F3F">
              <w:rPr>
                <w:rFonts w:eastAsia="Calibri"/>
                <w:sz w:val="22"/>
                <w:szCs w:val="22"/>
                <w:vertAlign w:val="superscript"/>
                <w:lang w:val="en-GB" w:eastAsia="en-US"/>
              </w:rPr>
              <w:t>§</w:t>
            </w:r>
          </w:p>
        </w:tc>
        <w:tc>
          <w:tcPr>
            <w:tcW w:w="1087" w:type="dxa"/>
            <w:tcBorders>
              <w:top w:val="single" w:sz="4" w:space="0" w:color="auto"/>
            </w:tcBorders>
            <w:shd w:val="clear" w:color="auto" w:fill="FFFFFF"/>
          </w:tcPr>
          <w:p w14:paraId="32C81028" w14:textId="77777777" w:rsidR="007B38A8" w:rsidRPr="00393F3F" w:rsidRDefault="007B38A8" w:rsidP="00DB3383">
            <w:pPr>
              <w:snapToGrid w:val="0"/>
              <w:rPr>
                <w:b/>
                <w:sz w:val="22"/>
                <w:szCs w:val="22"/>
                <w:lang w:val="en-GB"/>
              </w:rPr>
            </w:pPr>
            <w:r w:rsidRPr="00393F3F">
              <w:rPr>
                <w:sz w:val="22"/>
                <w:szCs w:val="22"/>
                <w:lang w:val="en-GB"/>
              </w:rPr>
              <w:t>0.464</w:t>
            </w:r>
          </w:p>
        </w:tc>
        <w:tc>
          <w:tcPr>
            <w:tcW w:w="1069" w:type="dxa"/>
            <w:tcBorders>
              <w:top w:val="single" w:sz="4" w:space="0" w:color="auto"/>
            </w:tcBorders>
            <w:shd w:val="clear" w:color="auto" w:fill="FFFFFF"/>
          </w:tcPr>
          <w:p w14:paraId="40208F6B" w14:textId="77777777" w:rsidR="007B38A8" w:rsidRPr="00393F3F" w:rsidRDefault="007B38A8" w:rsidP="00DB3383">
            <w:pPr>
              <w:snapToGrid w:val="0"/>
              <w:rPr>
                <w:b/>
                <w:sz w:val="22"/>
                <w:szCs w:val="22"/>
                <w:lang w:val="en-GB"/>
              </w:rPr>
            </w:pPr>
          </w:p>
        </w:tc>
      </w:tr>
      <w:tr w:rsidR="007B38A8" w:rsidRPr="00393F3F" w14:paraId="6774F8E6" w14:textId="77777777" w:rsidTr="00DB3383">
        <w:tc>
          <w:tcPr>
            <w:tcW w:w="3689" w:type="dxa"/>
            <w:shd w:val="clear" w:color="auto" w:fill="FFFFFF"/>
          </w:tcPr>
          <w:p w14:paraId="541024DF" w14:textId="77777777" w:rsidR="007B38A8" w:rsidRPr="00393F3F" w:rsidRDefault="007B38A8" w:rsidP="00DB3383">
            <w:pPr>
              <w:snapToGrid w:val="0"/>
              <w:rPr>
                <w:sz w:val="22"/>
                <w:szCs w:val="22"/>
                <w:lang w:val="en-GB"/>
              </w:rPr>
            </w:pPr>
            <w:r w:rsidRPr="00393F3F">
              <w:rPr>
                <w:sz w:val="22"/>
                <w:szCs w:val="22"/>
                <w:lang w:val="en-GB"/>
              </w:rPr>
              <w:t>Symptom severity score on day</w:t>
            </w:r>
            <w:r>
              <w:rPr>
                <w:sz w:val="22"/>
                <w:szCs w:val="22"/>
                <w:lang w:val="en-GB"/>
              </w:rPr>
              <w:t xml:space="preserve"> </w:t>
            </w:r>
            <w:r w:rsidRPr="00393F3F">
              <w:rPr>
                <w:sz w:val="22"/>
                <w:szCs w:val="22"/>
                <w:lang w:val="en-GB"/>
              </w:rPr>
              <w:t>2-4</w:t>
            </w:r>
            <w:r>
              <w:rPr>
                <w:sz w:val="22"/>
                <w:szCs w:val="22"/>
                <w:lang w:val="en-GB"/>
              </w:rPr>
              <w:t xml:space="preserve"> </w:t>
            </w:r>
            <w:r w:rsidRPr="00393F3F">
              <w:rPr>
                <w:sz w:val="22"/>
                <w:szCs w:val="22"/>
                <w:lang w:val="en-GB"/>
              </w:rPr>
              <w:t>after consultation</w:t>
            </w:r>
            <w:r w:rsidRPr="00393F3F">
              <w:rPr>
                <w:iCs/>
                <w:sz w:val="22"/>
                <w:szCs w:val="22"/>
                <w:vertAlign w:val="superscript"/>
                <w:lang w:val="en-GB"/>
              </w:rPr>
              <w:t>||</w:t>
            </w:r>
          </w:p>
        </w:tc>
        <w:tc>
          <w:tcPr>
            <w:tcW w:w="1928" w:type="dxa"/>
            <w:shd w:val="clear" w:color="auto" w:fill="FFFFFF"/>
          </w:tcPr>
          <w:p w14:paraId="0A6369F0" w14:textId="77777777" w:rsidR="007B38A8" w:rsidRPr="00393F3F" w:rsidRDefault="007B38A8" w:rsidP="00DB3383">
            <w:pPr>
              <w:snapToGrid w:val="0"/>
              <w:rPr>
                <w:sz w:val="22"/>
                <w:szCs w:val="22"/>
                <w:lang w:val="en-GB"/>
              </w:rPr>
            </w:pPr>
            <w:r w:rsidRPr="00393F3F">
              <w:rPr>
                <w:sz w:val="22"/>
                <w:szCs w:val="22"/>
                <w:lang w:val="en-GB"/>
              </w:rPr>
              <w:t xml:space="preserve">1.75 </w:t>
            </w:r>
            <w:r w:rsidRPr="00393F3F">
              <w:rPr>
                <w:color w:val="292526"/>
                <w:sz w:val="22"/>
                <w:szCs w:val="22"/>
                <w:lang w:val="en-GB"/>
              </w:rPr>
              <w:t xml:space="preserve">± </w:t>
            </w:r>
            <w:r w:rsidRPr="00393F3F">
              <w:rPr>
                <w:sz w:val="22"/>
                <w:szCs w:val="22"/>
                <w:lang w:val="en-GB"/>
              </w:rPr>
              <w:t>0.94</w:t>
            </w:r>
          </w:p>
        </w:tc>
        <w:tc>
          <w:tcPr>
            <w:tcW w:w="1694" w:type="dxa"/>
            <w:shd w:val="clear" w:color="auto" w:fill="FFFFFF"/>
          </w:tcPr>
          <w:p w14:paraId="22E3D762" w14:textId="77777777" w:rsidR="007B38A8" w:rsidRPr="00393F3F" w:rsidRDefault="007B38A8" w:rsidP="00DB3383">
            <w:pPr>
              <w:snapToGrid w:val="0"/>
              <w:rPr>
                <w:sz w:val="22"/>
                <w:szCs w:val="22"/>
                <w:lang w:val="en-GB"/>
              </w:rPr>
            </w:pPr>
            <w:r w:rsidRPr="00393F3F">
              <w:rPr>
                <w:sz w:val="22"/>
                <w:szCs w:val="22"/>
                <w:lang w:val="en-GB"/>
              </w:rPr>
              <w:t xml:space="preserve">2.18 </w:t>
            </w:r>
            <w:r w:rsidRPr="00393F3F">
              <w:rPr>
                <w:color w:val="292526"/>
                <w:sz w:val="22"/>
                <w:szCs w:val="22"/>
                <w:lang w:val="en-GB"/>
              </w:rPr>
              <w:t xml:space="preserve">± </w:t>
            </w:r>
            <w:r w:rsidRPr="00393F3F">
              <w:rPr>
                <w:sz w:val="22"/>
                <w:szCs w:val="22"/>
                <w:lang w:val="en-GB"/>
              </w:rPr>
              <w:t>1.21</w:t>
            </w:r>
          </w:p>
        </w:tc>
        <w:tc>
          <w:tcPr>
            <w:tcW w:w="2324" w:type="dxa"/>
            <w:shd w:val="clear" w:color="auto" w:fill="FFFFFF"/>
          </w:tcPr>
          <w:p w14:paraId="19CA911D" w14:textId="77777777" w:rsidR="007B38A8" w:rsidRPr="00393F3F" w:rsidRDefault="007B38A8" w:rsidP="00DB3383">
            <w:pPr>
              <w:snapToGrid w:val="0"/>
              <w:rPr>
                <w:sz w:val="22"/>
                <w:szCs w:val="22"/>
                <w:lang w:val="en-GB"/>
              </w:rPr>
            </w:pPr>
            <w:r w:rsidRPr="00393F3F">
              <w:rPr>
                <w:sz w:val="22"/>
                <w:szCs w:val="22"/>
                <w:lang w:val="en-GB"/>
              </w:rPr>
              <w:t>-0.43 (-0.85 to -0.01)</w:t>
            </w:r>
            <w:r w:rsidRPr="00393F3F">
              <w:rPr>
                <w:rFonts w:eastAsia="Calibri"/>
                <w:sz w:val="22"/>
                <w:szCs w:val="22"/>
                <w:vertAlign w:val="superscript"/>
                <w:lang w:val="en-GB" w:eastAsia="en-US"/>
              </w:rPr>
              <w:t>**</w:t>
            </w:r>
          </w:p>
        </w:tc>
        <w:tc>
          <w:tcPr>
            <w:tcW w:w="2251" w:type="dxa"/>
            <w:shd w:val="clear" w:color="auto" w:fill="FFFFFF"/>
          </w:tcPr>
          <w:p w14:paraId="0B2DB618" w14:textId="77777777" w:rsidR="007B38A8" w:rsidRPr="00393F3F" w:rsidRDefault="007B38A8" w:rsidP="00DB3383">
            <w:pPr>
              <w:snapToGrid w:val="0"/>
              <w:rPr>
                <w:sz w:val="22"/>
                <w:szCs w:val="22"/>
                <w:lang w:val="en-GB"/>
              </w:rPr>
            </w:pPr>
            <w:r w:rsidRPr="00393F3F">
              <w:rPr>
                <w:sz w:val="22"/>
                <w:szCs w:val="22"/>
                <w:lang w:val="en-GB"/>
              </w:rPr>
              <w:t>-0.48 (-1.17 to 0.21)</w:t>
            </w:r>
            <w:r w:rsidRPr="00393F3F">
              <w:rPr>
                <w:rFonts w:eastAsia="Calibri"/>
                <w:sz w:val="22"/>
                <w:szCs w:val="22"/>
                <w:vertAlign w:val="superscript"/>
                <w:lang w:val="en-GB" w:eastAsia="en-US"/>
              </w:rPr>
              <w:t>**</w:t>
            </w:r>
          </w:p>
        </w:tc>
        <w:tc>
          <w:tcPr>
            <w:tcW w:w="1087" w:type="dxa"/>
            <w:shd w:val="clear" w:color="auto" w:fill="FFFFFF"/>
          </w:tcPr>
          <w:p w14:paraId="73AF5ECD" w14:textId="77777777" w:rsidR="007B38A8" w:rsidRPr="00393F3F" w:rsidRDefault="007B38A8" w:rsidP="00DB3383">
            <w:pPr>
              <w:snapToGrid w:val="0"/>
              <w:rPr>
                <w:sz w:val="22"/>
                <w:szCs w:val="22"/>
                <w:lang w:val="en-GB"/>
              </w:rPr>
            </w:pPr>
            <w:r w:rsidRPr="00393F3F">
              <w:rPr>
                <w:sz w:val="22"/>
                <w:szCs w:val="22"/>
                <w:lang w:val="en-GB"/>
              </w:rPr>
              <w:t>0.172</w:t>
            </w:r>
          </w:p>
        </w:tc>
        <w:tc>
          <w:tcPr>
            <w:tcW w:w="1069" w:type="dxa"/>
            <w:shd w:val="clear" w:color="auto" w:fill="FFFFFF"/>
          </w:tcPr>
          <w:p w14:paraId="29D4E57F" w14:textId="77777777" w:rsidR="007B38A8" w:rsidRPr="00393F3F" w:rsidRDefault="007B38A8" w:rsidP="00DB3383">
            <w:pPr>
              <w:snapToGrid w:val="0"/>
              <w:rPr>
                <w:sz w:val="22"/>
                <w:szCs w:val="22"/>
                <w:lang w:val="en-GB"/>
              </w:rPr>
            </w:pPr>
          </w:p>
        </w:tc>
      </w:tr>
      <w:tr w:rsidR="007B38A8" w:rsidRPr="00393F3F" w14:paraId="3399B3C9" w14:textId="77777777" w:rsidTr="00DB3383">
        <w:tc>
          <w:tcPr>
            <w:tcW w:w="3689" w:type="dxa"/>
            <w:shd w:val="clear" w:color="auto" w:fill="FFFFFF"/>
          </w:tcPr>
          <w:p w14:paraId="0D7D7F80" w14:textId="77777777" w:rsidR="007B38A8" w:rsidRPr="00393F3F" w:rsidRDefault="007B38A8" w:rsidP="00DB3383">
            <w:pPr>
              <w:snapToGrid w:val="0"/>
              <w:rPr>
                <w:sz w:val="22"/>
                <w:szCs w:val="22"/>
                <w:lang w:val="en-GB"/>
              </w:rPr>
            </w:pPr>
            <w:r w:rsidRPr="00393F3F">
              <w:rPr>
                <w:sz w:val="22"/>
                <w:szCs w:val="22"/>
                <w:lang w:val="en-GB"/>
              </w:rPr>
              <w:t xml:space="preserve">Duration of symptoms until </w:t>
            </w:r>
          </w:p>
          <w:p w14:paraId="22911337" w14:textId="77777777" w:rsidR="007B38A8" w:rsidRPr="00393F3F" w:rsidRDefault="007B38A8" w:rsidP="00DB3383">
            <w:pPr>
              <w:snapToGrid w:val="0"/>
              <w:rPr>
                <w:sz w:val="22"/>
                <w:szCs w:val="22"/>
                <w:lang w:val="en-GB"/>
              </w:rPr>
            </w:pPr>
            <w:r w:rsidRPr="00393F3F">
              <w:rPr>
                <w:sz w:val="22"/>
                <w:szCs w:val="22"/>
                <w:lang w:val="en-GB"/>
              </w:rPr>
              <w:t xml:space="preserve">   complete resolution</w:t>
            </w:r>
            <w:r>
              <w:rPr>
                <w:sz w:val="22"/>
                <w:szCs w:val="22"/>
                <w:lang w:val="en-GB"/>
              </w:rPr>
              <w:t>, days</w:t>
            </w:r>
          </w:p>
        </w:tc>
        <w:tc>
          <w:tcPr>
            <w:tcW w:w="1928" w:type="dxa"/>
            <w:shd w:val="clear" w:color="auto" w:fill="FFFFFF"/>
          </w:tcPr>
          <w:p w14:paraId="329AE3EC" w14:textId="77777777" w:rsidR="007B38A8" w:rsidRPr="00393F3F" w:rsidRDefault="007B38A8" w:rsidP="00DB3383">
            <w:pPr>
              <w:snapToGrid w:val="0"/>
              <w:rPr>
                <w:sz w:val="22"/>
                <w:szCs w:val="22"/>
                <w:lang w:val="en-GB"/>
              </w:rPr>
            </w:pPr>
            <w:r w:rsidRPr="00393F3F">
              <w:rPr>
                <w:sz w:val="22"/>
                <w:szCs w:val="22"/>
                <w:lang w:val="en-GB"/>
              </w:rPr>
              <w:t>14 (10-24)</w:t>
            </w:r>
          </w:p>
        </w:tc>
        <w:tc>
          <w:tcPr>
            <w:tcW w:w="1694" w:type="dxa"/>
            <w:shd w:val="clear" w:color="auto" w:fill="FFFFFF"/>
          </w:tcPr>
          <w:p w14:paraId="7B269E63" w14:textId="77777777" w:rsidR="007B38A8" w:rsidRPr="00393F3F" w:rsidRDefault="007B38A8" w:rsidP="00DB3383">
            <w:pPr>
              <w:snapToGrid w:val="0"/>
              <w:rPr>
                <w:sz w:val="22"/>
                <w:szCs w:val="22"/>
                <w:lang w:val="en-GB"/>
              </w:rPr>
            </w:pPr>
            <w:r w:rsidRPr="00393F3F">
              <w:rPr>
                <w:sz w:val="22"/>
                <w:szCs w:val="22"/>
                <w:lang w:val="en-GB"/>
              </w:rPr>
              <w:t>15 (9-28)</w:t>
            </w:r>
          </w:p>
        </w:tc>
        <w:tc>
          <w:tcPr>
            <w:tcW w:w="2324" w:type="dxa"/>
            <w:shd w:val="clear" w:color="auto" w:fill="FFFFFF"/>
          </w:tcPr>
          <w:p w14:paraId="13972B03" w14:textId="77777777" w:rsidR="007B38A8" w:rsidRPr="00393F3F" w:rsidRDefault="007B38A8" w:rsidP="00DB3383">
            <w:pPr>
              <w:snapToGrid w:val="0"/>
              <w:rPr>
                <w:sz w:val="22"/>
                <w:szCs w:val="22"/>
                <w:lang w:val="en-GB"/>
              </w:rPr>
            </w:pPr>
            <w:r w:rsidRPr="00393F3F">
              <w:rPr>
                <w:sz w:val="22"/>
                <w:szCs w:val="22"/>
                <w:lang w:val="en-GB"/>
              </w:rPr>
              <w:t>1.15 (0.70 to 1.88)</w:t>
            </w:r>
            <w:r w:rsidRPr="00393F3F">
              <w:rPr>
                <w:rFonts w:eastAsia="Calibri"/>
                <w:sz w:val="22"/>
                <w:szCs w:val="22"/>
                <w:vertAlign w:val="superscript"/>
                <w:lang w:val="en-GB" w:eastAsia="en-US"/>
              </w:rPr>
              <w:t>§</w:t>
            </w:r>
          </w:p>
        </w:tc>
        <w:tc>
          <w:tcPr>
            <w:tcW w:w="2251" w:type="dxa"/>
            <w:shd w:val="clear" w:color="auto" w:fill="FFFFFF"/>
          </w:tcPr>
          <w:p w14:paraId="2959CD0F" w14:textId="77777777" w:rsidR="007B38A8" w:rsidRPr="00393F3F" w:rsidRDefault="007B38A8" w:rsidP="00DB3383">
            <w:pPr>
              <w:snapToGrid w:val="0"/>
              <w:rPr>
                <w:sz w:val="22"/>
                <w:szCs w:val="22"/>
                <w:lang w:val="en-GB"/>
              </w:rPr>
            </w:pPr>
            <w:r w:rsidRPr="00393F3F">
              <w:rPr>
                <w:sz w:val="22"/>
                <w:szCs w:val="22"/>
                <w:lang w:val="en-GB"/>
              </w:rPr>
              <w:t>1.32 (0.61 to 2.90)</w:t>
            </w:r>
            <w:r w:rsidRPr="00393F3F">
              <w:rPr>
                <w:rFonts w:eastAsia="Calibri"/>
                <w:sz w:val="22"/>
                <w:szCs w:val="22"/>
                <w:vertAlign w:val="superscript"/>
                <w:lang w:val="en-GB" w:eastAsia="en-US"/>
              </w:rPr>
              <w:t>§</w:t>
            </w:r>
          </w:p>
        </w:tc>
        <w:tc>
          <w:tcPr>
            <w:tcW w:w="1087" w:type="dxa"/>
            <w:shd w:val="clear" w:color="auto" w:fill="FFFFFF"/>
          </w:tcPr>
          <w:p w14:paraId="751C906A" w14:textId="77777777" w:rsidR="007B38A8" w:rsidRPr="00393F3F" w:rsidRDefault="007B38A8" w:rsidP="00DB3383">
            <w:pPr>
              <w:snapToGrid w:val="0"/>
              <w:rPr>
                <w:sz w:val="22"/>
                <w:szCs w:val="22"/>
                <w:lang w:val="en-GB"/>
              </w:rPr>
            </w:pPr>
            <w:r w:rsidRPr="00393F3F">
              <w:rPr>
                <w:sz w:val="22"/>
                <w:szCs w:val="22"/>
                <w:lang w:val="en-GB"/>
              </w:rPr>
              <w:t>0.483</w:t>
            </w:r>
          </w:p>
        </w:tc>
        <w:tc>
          <w:tcPr>
            <w:tcW w:w="1069" w:type="dxa"/>
            <w:shd w:val="clear" w:color="auto" w:fill="FFFFFF"/>
          </w:tcPr>
          <w:p w14:paraId="63DD15C9" w14:textId="77777777" w:rsidR="007B38A8" w:rsidRPr="00393F3F" w:rsidRDefault="007B38A8" w:rsidP="00DB3383">
            <w:pPr>
              <w:snapToGrid w:val="0"/>
              <w:rPr>
                <w:sz w:val="22"/>
                <w:szCs w:val="22"/>
                <w:lang w:val="en-GB"/>
              </w:rPr>
            </w:pPr>
          </w:p>
        </w:tc>
      </w:tr>
      <w:tr w:rsidR="007B38A8" w:rsidRPr="00393F3F" w14:paraId="0DCD0E0A" w14:textId="77777777" w:rsidTr="00DB3383">
        <w:tc>
          <w:tcPr>
            <w:tcW w:w="3689" w:type="dxa"/>
            <w:shd w:val="clear" w:color="auto" w:fill="FFFFFF"/>
          </w:tcPr>
          <w:p w14:paraId="2A92F1D9" w14:textId="77777777" w:rsidR="007B38A8" w:rsidRPr="00393F3F" w:rsidRDefault="007B38A8" w:rsidP="00DB3383">
            <w:pPr>
              <w:snapToGrid w:val="0"/>
              <w:rPr>
                <w:sz w:val="22"/>
                <w:szCs w:val="22"/>
                <w:lang w:val="en-GB"/>
              </w:rPr>
            </w:pPr>
            <w:r w:rsidRPr="00393F3F">
              <w:rPr>
                <w:sz w:val="22"/>
                <w:szCs w:val="22"/>
                <w:lang w:val="en-GB"/>
              </w:rPr>
              <w:t>Worsening of illness</w:t>
            </w:r>
            <w:r w:rsidRPr="007B38A8">
              <w:rPr>
                <w:rStyle w:val="A12"/>
                <w:i w:val="0"/>
                <w:iCs/>
                <w:sz w:val="22"/>
                <w:szCs w:val="22"/>
                <w:vertAlign w:val="superscript"/>
                <w:lang w:val="en-GB"/>
              </w:rPr>
              <w:t>††</w:t>
            </w:r>
          </w:p>
        </w:tc>
        <w:tc>
          <w:tcPr>
            <w:tcW w:w="1928" w:type="dxa"/>
            <w:shd w:val="clear" w:color="auto" w:fill="FFFFFF"/>
          </w:tcPr>
          <w:p w14:paraId="6254E4C7" w14:textId="77777777" w:rsidR="007B38A8" w:rsidRPr="00393F3F" w:rsidRDefault="007B38A8" w:rsidP="00DB3383">
            <w:pPr>
              <w:snapToGrid w:val="0"/>
              <w:rPr>
                <w:sz w:val="22"/>
                <w:szCs w:val="22"/>
                <w:lang w:val="en-GB"/>
              </w:rPr>
            </w:pPr>
            <w:r w:rsidRPr="00393F3F">
              <w:rPr>
                <w:sz w:val="22"/>
                <w:szCs w:val="22"/>
                <w:lang w:val="en-GB"/>
              </w:rPr>
              <w:t>9/54 (17)</w:t>
            </w:r>
          </w:p>
        </w:tc>
        <w:tc>
          <w:tcPr>
            <w:tcW w:w="1694" w:type="dxa"/>
            <w:shd w:val="clear" w:color="auto" w:fill="FFFFFF"/>
          </w:tcPr>
          <w:p w14:paraId="6DD9830D" w14:textId="77777777" w:rsidR="007B38A8" w:rsidRPr="00393F3F" w:rsidRDefault="007B38A8" w:rsidP="00DB3383">
            <w:pPr>
              <w:snapToGrid w:val="0"/>
              <w:rPr>
                <w:sz w:val="22"/>
                <w:szCs w:val="22"/>
                <w:lang w:val="en-GB"/>
              </w:rPr>
            </w:pPr>
            <w:r w:rsidRPr="00393F3F">
              <w:rPr>
                <w:sz w:val="22"/>
                <w:szCs w:val="22"/>
                <w:lang w:val="en-GB"/>
              </w:rPr>
              <w:t>18/50 (36)</w:t>
            </w:r>
          </w:p>
        </w:tc>
        <w:tc>
          <w:tcPr>
            <w:tcW w:w="2324" w:type="dxa"/>
            <w:shd w:val="clear" w:color="auto" w:fill="FFFFFF"/>
          </w:tcPr>
          <w:p w14:paraId="4C8584FB" w14:textId="77777777" w:rsidR="007B38A8" w:rsidRPr="00393F3F" w:rsidRDefault="007B38A8" w:rsidP="00DB3383">
            <w:pPr>
              <w:snapToGrid w:val="0"/>
              <w:rPr>
                <w:sz w:val="22"/>
                <w:szCs w:val="22"/>
                <w:lang w:val="en-GB"/>
              </w:rPr>
            </w:pPr>
            <w:r w:rsidRPr="00393F3F">
              <w:rPr>
                <w:sz w:val="22"/>
                <w:szCs w:val="22"/>
                <w:lang w:val="en-GB"/>
              </w:rPr>
              <w:t>0.36 (0.14 to 0.89)</w:t>
            </w:r>
            <w:r w:rsidRPr="007B38A8">
              <w:rPr>
                <w:rStyle w:val="A12"/>
                <w:i w:val="0"/>
                <w:iCs/>
                <w:sz w:val="22"/>
                <w:szCs w:val="22"/>
                <w:vertAlign w:val="superscript"/>
                <w:lang w:val="en-GB"/>
              </w:rPr>
              <w:t>‡‡</w:t>
            </w:r>
          </w:p>
        </w:tc>
        <w:tc>
          <w:tcPr>
            <w:tcW w:w="2251" w:type="dxa"/>
            <w:shd w:val="clear" w:color="auto" w:fill="FFFFFF"/>
          </w:tcPr>
          <w:p w14:paraId="394B6361" w14:textId="77777777" w:rsidR="007B38A8" w:rsidRPr="00393F3F" w:rsidRDefault="007B38A8" w:rsidP="00DB3383">
            <w:pPr>
              <w:snapToGrid w:val="0"/>
              <w:rPr>
                <w:sz w:val="22"/>
                <w:szCs w:val="22"/>
                <w:lang w:val="en-GB"/>
              </w:rPr>
            </w:pPr>
            <w:r w:rsidRPr="00393F3F">
              <w:rPr>
                <w:sz w:val="22"/>
                <w:szCs w:val="22"/>
                <w:lang w:val="en-GB"/>
              </w:rPr>
              <w:t>0.31 (0.07 to 1.41)</w:t>
            </w:r>
            <w:r w:rsidRPr="007B38A8">
              <w:rPr>
                <w:rStyle w:val="A12"/>
                <w:i w:val="0"/>
                <w:iCs/>
                <w:sz w:val="22"/>
                <w:szCs w:val="22"/>
                <w:vertAlign w:val="superscript"/>
                <w:lang w:val="en-GB"/>
              </w:rPr>
              <w:t>‡‡</w:t>
            </w:r>
          </w:p>
        </w:tc>
        <w:tc>
          <w:tcPr>
            <w:tcW w:w="1087" w:type="dxa"/>
            <w:shd w:val="clear" w:color="auto" w:fill="FFFFFF"/>
          </w:tcPr>
          <w:p w14:paraId="1C30640C" w14:textId="77777777" w:rsidR="007B38A8" w:rsidRPr="00393F3F" w:rsidRDefault="007B38A8" w:rsidP="00DB3383">
            <w:pPr>
              <w:snapToGrid w:val="0"/>
              <w:rPr>
                <w:sz w:val="22"/>
                <w:szCs w:val="22"/>
                <w:lang w:val="en-GB"/>
              </w:rPr>
            </w:pPr>
            <w:r w:rsidRPr="00393F3F">
              <w:rPr>
                <w:sz w:val="22"/>
                <w:szCs w:val="22"/>
                <w:lang w:val="en-GB"/>
              </w:rPr>
              <w:t>0.129</w:t>
            </w:r>
          </w:p>
        </w:tc>
        <w:tc>
          <w:tcPr>
            <w:tcW w:w="1069" w:type="dxa"/>
            <w:shd w:val="clear" w:color="auto" w:fill="FFFFFF"/>
          </w:tcPr>
          <w:p w14:paraId="077AD1BE" w14:textId="77777777" w:rsidR="007B38A8" w:rsidRPr="00393F3F" w:rsidRDefault="007B38A8" w:rsidP="00DB3383">
            <w:pPr>
              <w:snapToGrid w:val="0"/>
              <w:rPr>
                <w:sz w:val="22"/>
                <w:szCs w:val="22"/>
                <w:lang w:val="en-GB"/>
              </w:rPr>
            </w:pPr>
          </w:p>
        </w:tc>
      </w:tr>
      <w:tr w:rsidR="007B38A8" w:rsidRPr="00393F3F" w14:paraId="7C8A936F" w14:textId="77777777" w:rsidTr="00DB3383">
        <w:tc>
          <w:tcPr>
            <w:tcW w:w="3689" w:type="dxa"/>
            <w:tcBorders>
              <w:bottom w:val="single" w:sz="4" w:space="0" w:color="auto"/>
            </w:tcBorders>
            <w:shd w:val="clear" w:color="auto" w:fill="FFFFFF"/>
          </w:tcPr>
          <w:p w14:paraId="0EA048F6" w14:textId="77777777" w:rsidR="007B38A8" w:rsidRPr="00393F3F" w:rsidRDefault="007B38A8" w:rsidP="00DB3383">
            <w:pPr>
              <w:snapToGrid w:val="0"/>
              <w:rPr>
                <w:sz w:val="22"/>
                <w:szCs w:val="22"/>
                <w:lang w:val="en-GB"/>
              </w:rPr>
            </w:pPr>
            <w:r w:rsidRPr="00393F3F">
              <w:rPr>
                <w:sz w:val="22"/>
                <w:szCs w:val="22"/>
                <w:lang w:val="en-GB"/>
              </w:rPr>
              <w:t xml:space="preserve">Duration of interference with normal </w:t>
            </w:r>
          </w:p>
          <w:p w14:paraId="361BC91A" w14:textId="77777777" w:rsidR="007B38A8" w:rsidRPr="00393F3F" w:rsidRDefault="007B38A8" w:rsidP="00DB3383">
            <w:pPr>
              <w:snapToGrid w:val="0"/>
              <w:rPr>
                <w:sz w:val="22"/>
                <w:szCs w:val="22"/>
                <w:lang w:val="en-GB"/>
              </w:rPr>
            </w:pPr>
            <w:r w:rsidRPr="00393F3F">
              <w:rPr>
                <w:sz w:val="22"/>
                <w:szCs w:val="22"/>
                <w:lang w:val="en-GB"/>
              </w:rPr>
              <w:t xml:space="preserve">   activities or work</w:t>
            </w:r>
            <w:r>
              <w:rPr>
                <w:sz w:val="22"/>
                <w:szCs w:val="22"/>
                <w:lang w:val="en-GB"/>
              </w:rPr>
              <w:t>, days</w:t>
            </w:r>
          </w:p>
        </w:tc>
        <w:tc>
          <w:tcPr>
            <w:tcW w:w="1928" w:type="dxa"/>
            <w:tcBorders>
              <w:bottom w:val="single" w:sz="4" w:space="0" w:color="auto"/>
            </w:tcBorders>
            <w:shd w:val="clear" w:color="auto" w:fill="FFFFFF"/>
          </w:tcPr>
          <w:p w14:paraId="62FECC13" w14:textId="77777777" w:rsidR="007B38A8" w:rsidRPr="00393F3F" w:rsidRDefault="007B38A8" w:rsidP="00DB3383">
            <w:pPr>
              <w:snapToGrid w:val="0"/>
              <w:rPr>
                <w:sz w:val="22"/>
                <w:szCs w:val="22"/>
                <w:lang w:val="en-GB"/>
              </w:rPr>
            </w:pPr>
            <w:r w:rsidRPr="00393F3F">
              <w:rPr>
                <w:sz w:val="22"/>
                <w:szCs w:val="22"/>
                <w:lang w:val="en-GB"/>
              </w:rPr>
              <w:t>6 (2-8)</w:t>
            </w:r>
          </w:p>
        </w:tc>
        <w:tc>
          <w:tcPr>
            <w:tcW w:w="1694" w:type="dxa"/>
            <w:tcBorders>
              <w:bottom w:val="single" w:sz="4" w:space="0" w:color="auto"/>
            </w:tcBorders>
            <w:shd w:val="clear" w:color="auto" w:fill="FFFFFF"/>
          </w:tcPr>
          <w:p w14:paraId="63E7E8BD" w14:textId="77777777" w:rsidR="007B38A8" w:rsidRPr="00393F3F" w:rsidRDefault="007B38A8" w:rsidP="00DB3383">
            <w:pPr>
              <w:snapToGrid w:val="0"/>
              <w:rPr>
                <w:sz w:val="22"/>
                <w:szCs w:val="22"/>
                <w:lang w:val="en-GB"/>
              </w:rPr>
            </w:pPr>
            <w:r w:rsidRPr="00393F3F">
              <w:rPr>
                <w:sz w:val="22"/>
                <w:szCs w:val="22"/>
                <w:lang w:val="en-GB"/>
              </w:rPr>
              <w:t>7 (3-12)</w:t>
            </w:r>
          </w:p>
        </w:tc>
        <w:tc>
          <w:tcPr>
            <w:tcW w:w="2324" w:type="dxa"/>
            <w:tcBorders>
              <w:bottom w:val="single" w:sz="4" w:space="0" w:color="auto"/>
            </w:tcBorders>
            <w:shd w:val="clear" w:color="auto" w:fill="FFFFFF"/>
          </w:tcPr>
          <w:p w14:paraId="52D893D2" w14:textId="77777777" w:rsidR="007B38A8" w:rsidRPr="00393F3F" w:rsidRDefault="007B38A8" w:rsidP="00DB3383">
            <w:pPr>
              <w:snapToGrid w:val="0"/>
              <w:rPr>
                <w:sz w:val="22"/>
                <w:szCs w:val="22"/>
                <w:lang w:val="en-GB"/>
              </w:rPr>
            </w:pPr>
            <w:r w:rsidRPr="00393F3F">
              <w:rPr>
                <w:sz w:val="22"/>
                <w:szCs w:val="22"/>
                <w:lang w:val="en-GB"/>
              </w:rPr>
              <w:t>1.46 (0.97 to 2.21)</w:t>
            </w:r>
            <w:r w:rsidRPr="00393F3F">
              <w:rPr>
                <w:rFonts w:eastAsia="Calibri"/>
                <w:sz w:val="22"/>
                <w:szCs w:val="22"/>
                <w:vertAlign w:val="superscript"/>
                <w:lang w:val="en-GB" w:eastAsia="en-US"/>
              </w:rPr>
              <w:t>§</w:t>
            </w:r>
          </w:p>
        </w:tc>
        <w:tc>
          <w:tcPr>
            <w:tcW w:w="2251" w:type="dxa"/>
            <w:tcBorders>
              <w:bottom w:val="single" w:sz="4" w:space="0" w:color="auto"/>
            </w:tcBorders>
            <w:shd w:val="clear" w:color="auto" w:fill="FFFFFF"/>
          </w:tcPr>
          <w:p w14:paraId="59ABAE1D" w14:textId="77777777" w:rsidR="007B38A8" w:rsidRPr="00393F3F" w:rsidRDefault="007B38A8" w:rsidP="00DB3383">
            <w:pPr>
              <w:snapToGrid w:val="0"/>
              <w:rPr>
                <w:sz w:val="22"/>
                <w:szCs w:val="22"/>
                <w:lang w:val="en-GB"/>
              </w:rPr>
            </w:pPr>
            <w:r w:rsidRPr="00393F3F">
              <w:rPr>
                <w:sz w:val="22"/>
                <w:szCs w:val="22"/>
                <w:lang w:val="en-GB"/>
              </w:rPr>
              <w:t>1.67 (0.85 to 3.28)</w:t>
            </w:r>
            <w:r w:rsidRPr="00393F3F">
              <w:rPr>
                <w:rFonts w:eastAsia="Calibri"/>
                <w:sz w:val="22"/>
                <w:szCs w:val="22"/>
                <w:vertAlign w:val="superscript"/>
                <w:lang w:val="en-GB" w:eastAsia="en-US"/>
              </w:rPr>
              <w:t>§</w:t>
            </w:r>
          </w:p>
        </w:tc>
        <w:tc>
          <w:tcPr>
            <w:tcW w:w="1087" w:type="dxa"/>
            <w:tcBorders>
              <w:bottom w:val="single" w:sz="4" w:space="0" w:color="auto"/>
            </w:tcBorders>
            <w:shd w:val="clear" w:color="auto" w:fill="FFFFFF"/>
          </w:tcPr>
          <w:p w14:paraId="2A436BAC" w14:textId="77777777" w:rsidR="007B38A8" w:rsidRPr="00393F3F" w:rsidRDefault="007B38A8" w:rsidP="00DB3383">
            <w:pPr>
              <w:snapToGrid w:val="0"/>
              <w:rPr>
                <w:sz w:val="22"/>
                <w:szCs w:val="22"/>
                <w:lang w:val="en-GB"/>
              </w:rPr>
            </w:pPr>
            <w:r w:rsidRPr="00393F3F">
              <w:rPr>
                <w:sz w:val="22"/>
                <w:szCs w:val="22"/>
                <w:lang w:val="en-GB"/>
              </w:rPr>
              <w:t>0.136</w:t>
            </w:r>
          </w:p>
        </w:tc>
        <w:tc>
          <w:tcPr>
            <w:tcW w:w="1069" w:type="dxa"/>
            <w:tcBorders>
              <w:bottom w:val="single" w:sz="4" w:space="0" w:color="auto"/>
            </w:tcBorders>
            <w:shd w:val="clear" w:color="auto" w:fill="FFFFFF"/>
          </w:tcPr>
          <w:p w14:paraId="778676DA" w14:textId="77777777" w:rsidR="007B38A8" w:rsidRPr="00393F3F" w:rsidRDefault="007B38A8" w:rsidP="00DB3383">
            <w:pPr>
              <w:snapToGrid w:val="0"/>
              <w:rPr>
                <w:sz w:val="22"/>
                <w:szCs w:val="22"/>
                <w:lang w:val="en-GB"/>
              </w:rPr>
            </w:pPr>
          </w:p>
        </w:tc>
      </w:tr>
    </w:tbl>
    <w:p w14:paraId="6B470E78" w14:textId="77777777" w:rsidR="007B38A8" w:rsidRPr="00393F3F" w:rsidRDefault="007B38A8" w:rsidP="007B38A8">
      <w:pPr>
        <w:autoSpaceDE w:val="0"/>
        <w:rPr>
          <w:sz w:val="22"/>
          <w:szCs w:val="22"/>
          <w:lang w:val="en-GB"/>
        </w:rPr>
      </w:pPr>
      <w:r>
        <w:rPr>
          <w:sz w:val="22"/>
          <w:szCs w:val="22"/>
          <w:lang w:val="en-GB"/>
        </w:rPr>
        <w:t>Numbers re</w:t>
      </w:r>
      <w:r w:rsidRPr="00393F3F">
        <w:rPr>
          <w:sz w:val="22"/>
          <w:szCs w:val="22"/>
          <w:lang w:val="en-GB"/>
        </w:rPr>
        <w:t>present median (interquartile range</w:t>
      </w:r>
      <w:r>
        <w:rPr>
          <w:sz w:val="22"/>
          <w:szCs w:val="22"/>
          <w:lang w:val="en-GB"/>
        </w:rPr>
        <w:t>)</w:t>
      </w:r>
      <w:r w:rsidRPr="00393F3F">
        <w:rPr>
          <w:sz w:val="22"/>
          <w:szCs w:val="22"/>
          <w:lang w:val="en-GB"/>
        </w:rPr>
        <w:t>, mean ± SD, or n/N (%)</w:t>
      </w:r>
      <w:r>
        <w:rPr>
          <w:sz w:val="22"/>
          <w:szCs w:val="22"/>
          <w:lang w:val="en-GB"/>
        </w:rPr>
        <w:t xml:space="preserve">, unless stated </w:t>
      </w:r>
      <w:r w:rsidRPr="00393F3F">
        <w:rPr>
          <w:sz w:val="22"/>
          <w:szCs w:val="22"/>
          <w:lang w:val="en-GB"/>
        </w:rPr>
        <w:t xml:space="preserve">otherwise. </w:t>
      </w:r>
    </w:p>
    <w:p w14:paraId="20030942" w14:textId="77777777" w:rsidR="007B38A8" w:rsidRPr="00393F3F" w:rsidRDefault="007B38A8" w:rsidP="007B38A8">
      <w:pPr>
        <w:autoSpaceDE w:val="0"/>
        <w:rPr>
          <w:sz w:val="22"/>
          <w:szCs w:val="22"/>
          <w:lang w:val="en-GB"/>
        </w:rPr>
      </w:pPr>
      <w:r w:rsidRPr="00393F3F">
        <w:rPr>
          <w:sz w:val="22"/>
          <w:szCs w:val="22"/>
          <w:vertAlign w:val="superscript"/>
          <w:lang w:val="en-GB"/>
        </w:rPr>
        <w:t>*</w:t>
      </w:r>
      <w:r w:rsidRPr="00393F3F">
        <w:rPr>
          <w:sz w:val="22"/>
          <w:szCs w:val="22"/>
          <w:lang w:val="en-GB"/>
        </w:rPr>
        <w:t xml:space="preserve"> </w:t>
      </w:r>
      <w:r w:rsidRPr="00393F3F">
        <w:rPr>
          <w:rFonts w:eastAsia="Calibri"/>
          <w:sz w:val="22"/>
          <w:szCs w:val="22"/>
          <w:lang w:val="en-GB" w:eastAsia="en-US"/>
        </w:rPr>
        <w:t xml:space="preserve">Resistant to antibiotic is defined as resistant to at least one tested antibiotic. </w:t>
      </w:r>
    </w:p>
    <w:p w14:paraId="2F86DF9A" w14:textId="77777777" w:rsidR="007B38A8" w:rsidRPr="00393F3F" w:rsidRDefault="007B38A8" w:rsidP="007B38A8">
      <w:pPr>
        <w:rPr>
          <w:rFonts w:eastAsia="Calibri"/>
          <w:sz w:val="22"/>
          <w:szCs w:val="22"/>
          <w:lang w:val="en-GB" w:eastAsia="en-US"/>
        </w:rPr>
      </w:pPr>
      <w:r w:rsidRPr="007B38A8">
        <w:rPr>
          <w:rStyle w:val="A12"/>
          <w:i w:val="0"/>
          <w:iCs/>
          <w:sz w:val="22"/>
          <w:szCs w:val="22"/>
          <w:vertAlign w:val="superscript"/>
          <w:lang w:val="en-GB"/>
        </w:rPr>
        <w:t>†</w:t>
      </w:r>
      <w:r w:rsidRPr="00393F3F">
        <w:rPr>
          <w:rFonts w:eastAsia="Calibri"/>
          <w:i/>
          <w:sz w:val="22"/>
          <w:szCs w:val="22"/>
          <w:lang w:val="en-GB" w:eastAsia="en-US"/>
        </w:rPr>
        <w:t xml:space="preserve"> </w:t>
      </w:r>
      <w:r w:rsidRPr="00393F3F">
        <w:rPr>
          <w:rFonts w:eastAsia="Calibri"/>
          <w:sz w:val="22"/>
          <w:szCs w:val="22"/>
          <w:lang w:val="en-GB" w:eastAsia="en-US"/>
        </w:rPr>
        <w:t>Adjusted for age (for each year increase), current</w:t>
      </w:r>
      <w:r>
        <w:rPr>
          <w:rFonts w:eastAsia="Calibri"/>
          <w:sz w:val="22"/>
          <w:szCs w:val="22"/>
          <w:lang w:val="en-GB" w:eastAsia="en-US"/>
        </w:rPr>
        <w:t xml:space="preserve"> </w:t>
      </w:r>
      <w:r w:rsidRPr="00393F3F">
        <w:rPr>
          <w:rFonts w:eastAsia="Calibri"/>
          <w:sz w:val="22"/>
          <w:szCs w:val="22"/>
          <w:lang w:val="en-GB" w:eastAsia="en-US"/>
        </w:rPr>
        <w:t>smoking, comorbidity, cough duration before index consultation and bacteria (</w:t>
      </w:r>
      <w:r w:rsidRPr="00393F3F">
        <w:rPr>
          <w:i/>
          <w:sz w:val="22"/>
          <w:szCs w:val="22"/>
          <w:lang w:val="en-GB"/>
        </w:rPr>
        <w:t>S. pneumoniae</w:t>
      </w:r>
      <w:r w:rsidRPr="00393F3F">
        <w:rPr>
          <w:sz w:val="22"/>
          <w:szCs w:val="22"/>
          <w:lang w:val="en-GB"/>
        </w:rPr>
        <w:t xml:space="preserve"> or </w:t>
      </w:r>
      <w:r w:rsidRPr="00393F3F">
        <w:rPr>
          <w:i/>
          <w:sz w:val="22"/>
          <w:szCs w:val="22"/>
          <w:lang w:val="en-GB"/>
        </w:rPr>
        <w:t>H. influenzae)</w:t>
      </w:r>
      <w:r w:rsidRPr="00393F3F">
        <w:rPr>
          <w:rFonts w:eastAsia="Calibri"/>
          <w:sz w:val="22"/>
          <w:szCs w:val="22"/>
          <w:lang w:val="en-GB" w:eastAsia="en-US"/>
        </w:rPr>
        <w:t>.</w:t>
      </w:r>
    </w:p>
    <w:p w14:paraId="643CDA61" w14:textId="77777777" w:rsidR="007B38A8" w:rsidRPr="00393F3F" w:rsidRDefault="007B38A8" w:rsidP="007B38A8">
      <w:pPr>
        <w:rPr>
          <w:rFonts w:eastAsia="Calibri"/>
          <w:sz w:val="22"/>
          <w:szCs w:val="22"/>
          <w:lang w:val="en-GB" w:eastAsia="en-US"/>
        </w:rPr>
      </w:pPr>
      <w:r w:rsidRPr="007B38A8">
        <w:rPr>
          <w:rStyle w:val="A12"/>
          <w:i w:val="0"/>
          <w:iCs/>
          <w:sz w:val="22"/>
          <w:szCs w:val="22"/>
          <w:vertAlign w:val="superscript"/>
          <w:lang w:val="en-GB"/>
        </w:rPr>
        <w:t>‡</w:t>
      </w:r>
      <w:r w:rsidRPr="00393F3F">
        <w:rPr>
          <w:rStyle w:val="A12"/>
          <w:iCs/>
          <w:sz w:val="22"/>
          <w:szCs w:val="22"/>
          <w:lang w:val="en-GB"/>
        </w:rPr>
        <w:t xml:space="preserve"> </w:t>
      </w:r>
      <w:r w:rsidRPr="00393F3F">
        <w:rPr>
          <w:rFonts w:eastAsia="Calibri"/>
          <w:sz w:val="22"/>
          <w:szCs w:val="22"/>
          <w:lang w:val="en-GB" w:eastAsia="en-US"/>
        </w:rPr>
        <w:t>For adjusted analysis.</w:t>
      </w:r>
    </w:p>
    <w:p w14:paraId="0D92A75D" w14:textId="77777777" w:rsidR="007B38A8" w:rsidRPr="00393F3F" w:rsidRDefault="007B38A8" w:rsidP="007B38A8">
      <w:pPr>
        <w:rPr>
          <w:rFonts w:eastAsia="Calibri"/>
          <w:sz w:val="22"/>
          <w:szCs w:val="22"/>
          <w:lang w:val="en-GB" w:eastAsia="en-US"/>
        </w:rPr>
      </w:pPr>
      <w:r w:rsidRPr="00393F3F">
        <w:rPr>
          <w:rFonts w:eastAsia="Calibri"/>
          <w:sz w:val="22"/>
          <w:szCs w:val="22"/>
          <w:vertAlign w:val="superscript"/>
          <w:lang w:val="en-GB" w:eastAsia="en-US"/>
        </w:rPr>
        <w:t>§</w:t>
      </w:r>
      <w:r w:rsidRPr="00393F3F">
        <w:rPr>
          <w:rFonts w:eastAsia="Calibri"/>
          <w:sz w:val="22"/>
          <w:szCs w:val="22"/>
          <w:lang w:val="en-GB" w:eastAsia="en-US"/>
        </w:rPr>
        <w:t xml:space="preserve"> </w:t>
      </w:r>
      <w:r w:rsidRPr="00393F3F">
        <w:rPr>
          <w:sz w:val="22"/>
          <w:szCs w:val="22"/>
          <w:lang w:val="en-GB"/>
        </w:rPr>
        <w:t>Data presented as hazard ratio (95% CI).</w:t>
      </w:r>
    </w:p>
    <w:p w14:paraId="4E2B5262" w14:textId="77777777" w:rsidR="007B38A8" w:rsidRPr="00393F3F" w:rsidRDefault="007B38A8" w:rsidP="007B38A8">
      <w:pPr>
        <w:rPr>
          <w:i/>
          <w:iCs/>
          <w:sz w:val="22"/>
          <w:szCs w:val="22"/>
          <w:lang w:val="en-GB"/>
        </w:rPr>
      </w:pPr>
      <w:r w:rsidRPr="00393F3F">
        <w:rPr>
          <w:iCs/>
          <w:sz w:val="22"/>
          <w:szCs w:val="22"/>
          <w:vertAlign w:val="superscript"/>
          <w:lang w:val="en-GB"/>
        </w:rPr>
        <w:t>||</w:t>
      </w:r>
      <w:r w:rsidRPr="00393F3F">
        <w:rPr>
          <w:rFonts w:eastAsia="Calibri"/>
          <w:sz w:val="22"/>
          <w:szCs w:val="22"/>
          <w:lang w:val="en-GB" w:eastAsia="en-US"/>
        </w:rPr>
        <w:t xml:space="preserve"> Each symptom was scored by the patient on a scale from 0 to 6 (0=no problem, 1=very little problem, 2=slight problem, 3=moderately bad, 4=bad, 5=very bad, 6=as bad as it could be).</w:t>
      </w:r>
    </w:p>
    <w:p w14:paraId="6F044AE5" w14:textId="77777777" w:rsidR="007B38A8" w:rsidRPr="00393F3F" w:rsidRDefault="007B38A8" w:rsidP="007B38A8">
      <w:pPr>
        <w:autoSpaceDE w:val="0"/>
        <w:autoSpaceDN w:val="0"/>
        <w:adjustRightInd w:val="0"/>
        <w:rPr>
          <w:rFonts w:eastAsia="Calibri"/>
          <w:sz w:val="22"/>
          <w:szCs w:val="22"/>
          <w:lang w:val="en-GB" w:eastAsia="en-US"/>
        </w:rPr>
      </w:pPr>
      <w:r w:rsidRPr="00393F3F">
        <w:rPr>
          <w:rFonts w:eastAsia="Calibri"/>
          <w:sz w:val="22"/>
          <w:szCs w:val="22"/>
          <w:vertAlign w:val="superscript"/>
          <w:lang w:val="en-GB" w:eastAsia="en-US"/>
        </w:rPr>
        <w:t>**</w:t>
      </w:r>
      <w:r w:rsidRPr="00393F3F">
        <w:rPr>
          <w:rFonts w:eastAsia="Calibri"/>
          <w:sz w:val="22"/>
          <w:szCs w:val="22"/>
          <w:lang w:val="en-GB" w:eastAsia="en-US"/>
        </w:rPr>
        <w:t xml:space="preserve"> </w:t>
      </w:r>
      <w:r w:rsidRPr="00393F3F">
        <w:rPr>
          <w:sz w:val="22"/>
          <w:szCs w:val="22"/>
          <w:lang w:val="en-GB"/>
        </w:rPr>
        <w:t>Data presented as difference (95% CI).</w:t>
      </w:r>
    </w:p>
    <w:p w14:paraId="12BA3678" w14:textId="77777777" w:rsidR="007B38A8" w:rsidRPr="00393F3F" w:rsidRDefault="007B38A8" w:rsidP="007B38A8">
      <w:pPr>
        <w:autoSpaceDE w:val="0"/>
        <w:autoSpaceDN w:val="0"/>
        <w:adjustRightInd w:val="0"/>
        <w:rPr>
          <w:sz w:val="22"/>
          <w:szCs w:val="22"/>
          <w:lang w:val="en-GB"/>
        </w:rPr>
      </w:pPr>
      <w:r w:rsidRPr="007B38A8">
        <w:rPr>
          <w:rStyle w:val="A12"/>
          <w:i w:val="0"/>
          <w:iCs/>
          <w:sz w:val="22"/>
          <w:szCs w:val="22"/>
          <w:vertAlign w:val="superscript"/>
          <w:lang w:val="en-GB"/>
        </w:rPr>
        <w:t>††</w:t>
      </w:r>
      <w:r w:rsidRPr="00393F3F">
        <w:rPr>
          <w:rStyle w:val="A12"/>
          <w:iCs/>
          <w:sz w:val="22"/>
          <w:szCs w:val="22"/>
          <w:vertAlign w:val="superscript"/>
          <w:lang w:val="en-GB"/>
        </w:rPr>
        <w:t xml:space="preserve"> </w:t>
      </w:r>
      <w:r w:rsidRPr="00393F3F">
        <w:rPr>
          <w:sz w:val="22"/>
          <w:szCs w:val="22"/>
          <w:lang w:val="en-GB"/>
        </w:rPr>
        <w:t xml:space="preserve">The vast majority of these represent return visits with new or worsening symptoms and only one patient required hospital admission (with an </w:t>
      </w:r>
      <w:r w:rsidRPr="00393F3F">
        <w:rPr>
          <w:i/>
          <w:sz w:val="22"/>
          <w:szCs w:val="22"/>
          <w:lang w:val="en-GB"/>
        </w:rPr>
        <w:t>H. influenzae</w:t>
      </w:r>
      <w:r w:rsidRPr="00393F3F">
        <w:rPr>
          <w:sz w:val="22"/>
          <w:szCs w:val="22"/>
          <w:lang w:val="en-GB"/>
        </w:rPr>
        <w:t xml:space="preserve"> infection sensitive to antibiotics) </w:t>
      </w:r>
      <w:r w:rsidRPr="00393F3F">
        <w:rPr>
          <w:rFonts w:eastAsia="Calibri"/>
          <w:sz w:val="22"/>
          <w:szCs w:val="22"/>
          <w:lang w:val="en-GB"/>
        </w:rPr>
        <w:t>within four weeks after their first consultation</w:t>
      </w:r>
      <w:r w:rsidRPr="00393F3F">
        <w:rPr>
          <w:sz w:val="22"/>
          <w:szCs w:val="22"/>
          <w:lang w:val="en-GB"/>
        </w:rPr>
        <w:t>. No study-related deaths were noted.</w:t>
      </w:r>
    </w:p>
    <w:p w14:paraId="0CC85610" w14:textId="77777777" w:rsidR="007B38A8" w:rsidRDefault="007B38A8" w:rsidP="007B38A8">
      <w:pPr>
        <w:autoSpaceDE w:val="0"/>
        <w:autoSpaceDN w:val="0"/>
        <w:adjustRightInd w:val="0"/>
        <w:rPr>
          <w:sz w:val="22"/>
          <w:szCs w:val="22"/>
          <w:lang w:val="en-GB"/>
        </w:rPr>
      </w:pPr>
      <w:r w:rsidRPr="007B38A8">
        <w:rPr>
          <w:rStyle w:val="A12"/>
          <w:i w:val="0"/>
          <w:iCs/>
          <w:sz w:val="22"/>
          <w:szCs w:val="22"/>
          <w:vertAlign w:val="superscript"/>
          <w:lang w:val="en-GB"/>
        </w:rPr>
        <w:t>‡‡</w:t>
      </w:r>
      <w:r w:rsidRPr="00393F3F">
        <w:rPr>
          <w:rStyle w:val="A12"/>
          <w:iCs/>
          <w:sz w:val="22"/>
          <w:szCs w:val="22"/>
          <w:vertAlign w:val="superscript"/>
          <w:lang w:val="en-GB"/>
        </w:rPr>
        <w:t xml:space="preserve"> </w:t>
      </w:r>
      <w:r w:rsidRPr="00393F3F">
        <w:rPr>
          <w:sz w:val="22"/>
          <w:szCs w:val="22"/>
          <w:lang w:val="en-GB"/>
        </w:rPr>
        <w:t>Data presented as odds ratio (95% CI).</w:t>
      </w:r>
    </w:p>
    <w:p w14:paraId="7C9A6DB0" w14:textId="77777777" w:rsidR="007B38A8" w:rsidRPr="00393F3F" w:rsidRDefault="007B38A8" w:rsidP="007B38A8">
      <w:pPr>
        <w:autoSpaceDE w:val="0"/>
        <w:autoSpaceDN w:val="0"/>
        <w:adjustRightInd w:val="0"/>
        <w:rPr>
          <w:sz w:val="22"/>
          <w:szCs w:val="22"/>
          <w:lang w:val="en-GB"/>
        </w:rPr>
      </w:pPr>
      <w:r>
        <w:rPr>
          <w:sz w:val="22"/>
          <w:szCs w:val="22"/>
          <w:lang w:val="en-GB"/>
        </w:rPr>
        <w:t>No missing data.</w:t>
      </w:r>
    </w:p>
    <w:p w14:paraId="4B6EFCE3" w14:textId="77777777" w:rsidR="007B38A8" w:rsidRPr="0025433F" w:rsidRDefault="007B38A8" w:rsidP="007B38A8">
      <w:pPr>
        <w:rPr>
          <w:lang w:val="en-GB"/>
        </w:rPr>
      </w:pPr>
    </w:p>
    <w:p w14:paraId="15D3D4A5" w14:textId="77777777" w:rsidR="007B38A8" w:rsidRPr="00393F3F" w:rsidRDefault="007B38A8" w:rsidP="007B38A8">
      <w:pPr>
        <w:rPr>
          <w:rFonts w:eastAsia="Calibri"/>
          <w:sz w:val="22"/>
          <w:szCs w:val="22"/>
          <w:lang w:val="en-GB" w:eastAsia="en-US"/>
        </w:rPr>
      </w:pPr>
    </w:p>
    <w:p w14:paraId="62B4888A" w14:textId="77777777" w:rsidR="007B38A8" w:rsidRPr="004556BF" w:rsidRDefault="007B38A8" w:rsidP="007B38A8">
      <w:pPr>
        <w:rPr>
          <w:lang w:val="en-GB"/>
        </w:rPr>
      </w:pPr>
    </w:p>
    <w:p w14:paraId="59F423E8" w14:textId="77777777" w:rsidR="007B38A8" w:rsidRPr="00D86603" w:rsidRDefault="007B38A8" w:rsidP="002D2BAA">
      <w:pPr>
        <w:tabs>
          <w:tab w:val="right" w:pos="540"/>
          <w:tab w:val="left" w:pos="720"/>
        </w:tabs>
        <w:spacing w:line="480" w:lineRule="auto"/>
        <w:ind w:hanging="720"/>
        <w:rPr>
          <w:lang w:val="en-GB"/>
        </w:rPr>
      </w:pPr>
    </w:p>
    <w:sectPr w:rsidR="007B38A8" w:rsidRPr="00D86603" w:rsidSect="007B38A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51D1F" w14:textId="77777777" w:rsidR="00D5554E" w:rsidRDefault="00D5554E" w:rsidP="00091EBD">
      <w:r>
        <w:separator/>
      </w:r>
    </w:p>
  </w:endnote>
  <w:endnote w:type="continuationSeparator" w:id="0">
    <w:p w14:paraId="178B3EBB" w14:textId="77777777" w:rsidR="00D5554E" w:rsidRDefault="00D5554E" w:rsidP="0009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TimesNewRoman">
    <w:altName w:val="Yu Gothic"/>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3" w:usb1="08070000" w:usb2="00000010" w:usb3="00000000" w:csb0="00020001" w:csb1="00000000"/>
  </w:font>
  <w:font w:name="ScalaLancetPro">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857562"/>
      <w:docPartObj>
        <w:docPartGallery w:val="Page Numbers (Bottom of Page)"/>
        <w:docPartUnique/>
      </w:docPartObj>
    </w:sdtPr>
    <w:sdtEndPr/>
    <w:sdtContent>
      <w:p w14:paraId="32DBE432" w14:textId="0A474F67" w:rsidR="00091EBD" w:rsidRDefault="00091EBD">
        <w:pPr>
          <w:pStyle w:val="Voettekst"/>
          <w:jc w:val="right"/>
        </w:pPr>
        <w:r>
          <w:fldChar w:fldCharType="begin"/>
        </w:r>
        <w:r>
          <w:instrText>PAGE   \* MERGEFORMAT</w:instrText>
        </w:r>
        <w:r>
          <w:fldChar w:fldCharType="separate"/>
        </w:r>
        <w:r w:rsidR="00576398">
          <w:rPr>
            <w:noProof/>
          </w:rPr>
          <w:t>15</w:t>
        </w:r>
        <w:r>
          <w:fldChar w:fldCharType="end"/>
        </w:r>
      </w:p>
    </w:sdtContent>
  </w:sdt>
  <w:p w14:paraId="38CE0E55" w14:textId="77777777" w:rsidR="00091EBD" w:rsidRDefault="00091E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AE67C" w14:textId="77777777" w:rsidR="00D5554E" w:rsidRDefault="00D5554E" w:rsidP="00091EBD">
      <w:r>
        <w:separator/>
      </w:r>
    </w:p>
  </w:footnote>
  <w:footnote w:type="continuationSeparator" w:id="0">
    <w:p w14:paraId="7A9590BF" w14:textId="77777777" w:rsidR="00D5554E" w:rsidRDefault="00D5554E" w:rsidP="0009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BD"/>
    <w:rsid w:val="0000259B"/>
    <w:rsid w:val="00081341"/>
    <w:rsid w:val="00091EBD"/>
    <w:rsid w:val="000A5E2A"/>
    <w:rsid w:val="00134EAB"/>
    <w:rsid w:val="00155925"/>
    <w:rsid w:val="00167868"/>
    <w:rsid w:val="00190220"/>
    <w:rsid w:val="001C22C3"/>
    <w:rsid w:val="001C270D"/>
    <w:rsid w:val="001C3CB7"/>
    <w:rsid w:val="001D1BF6"/>
    <w:rsid w:val="00281615"/>
    <w:rsid w:val="002A1C37"/>
    <w:rsid w:val="002D2BAA"/>
    <w:rsid w:val="00303AB1"/>
    <w:rsid w:val="00305F3E"/>
    <w:rsid w:val="0032352A"/>
    <w:rsid w:val="00360014"/>
    <w:rsid w:val="003C1289"/>
    <w:rsid w:val="00424C2F"/>
    <w:rsid w:val="004C438F"/>
    <w:rsid w:val="004C63A2"/>
    <w:rsid w:val="004E3576"/>
    <w:rsid w:val="004F2FF0"/>
    <w:rsid w:val="00524F7E"/>
    <w:rsid w:val="0053788A"/>
    <w:rsid w:val="00540288"/>
    <w:rsid w:val="00550DED"/>
    <w:rsid w:val="00576398"/>
    <w:rsid w:val="005A3C40"/>
    <w:rsid w:val="005C2AC2"/>
    <w:rsid w:val="005F3246"/>
    <w:rsid w:val="00625744"/>
    <w:rsid w:val="006747C7"/>
    <w:rsid w:val="006954DC"/>
    <w:rsid w:val="006D3183"/>
    <w:rsid w:val="00756DE1"/>
    <w:rsid w:val="007763D6"/>
    <w:rsid w:val="007903FB"/>
    <w:rsid w:val="007B2E4C"/>
    <w:rsid w:val="007B38A8"/>
    <w:rsid w:val="007B46E2"/>
    <w:rsid w:val="007B79F7"/>
    <w:rsid w:val="007E313D"/>
    <w:rsid w:val="00837F9C"/>
    <w:rsid w:val="00850419"/>
    <w:rsid w:val="00886E6C"/>
    <w:rsid w:val="008D76A4"/>
    <w:rsid w:val="008F76A0"/>
    <w:rsid w:val="00940DAF"/>
    <w:rsid w:val="00965682"/>
    <w:rsid w:val="00974764"/>
    <w:rsid w:val="009B0DC3"/>
    <w:rsid w:val="009E5BD9"/>
    <w:rsid w:val="00A37745"/>
    <w:rsid w:val="00A6044C"/>
    <w:rsid w:val="00AF631B"/>
    <w:rsid w:val="00B4134A"/>
    <w:rsid w:val="00B529D1"/>
    <w:rsid w:val="00BA38F1"/>
    <w:rsid w:val="00BA3C78"/>
    <w:rsid w:val="00BC2091"/>
    <w:rsid w:val="00BD7784"/>
    <w:rsid w:val="00C3218E"/>
    <w:rsid w:val="00CA6F9A"/>
    <w:rsid w:val="00CC7FAC"/>
    <w:rsid w:val="00D109D0"/>
    <w:rsid w:val="00D177AE"/>
    <w:rsid w:val="00D5554E"/>
    <w:rsid w:val="00D75631"/>
    <w:rsid w:val="00D76AAE"/>
    <w:rsid w:val="00D86603"/>
    <w:rsid w:val="00DB2013"/>
    <w:rsid w:val="00DB7266"/>
    <w:rsid w:val="00DF789F"/>
    <w:rsid w:val="00E2790A"/>
    <w:rsid w:val="00E95A38"/>
    <w:rsid w:val="00EA15F8"/>
    <w:rsid w:val="00EF6A2D"/>
    <w:rsid w:val="00FD4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7C64"/>
  <w15:docId w15:val="{530D1D43-D2A0-44D6-868B-81EA5BBB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1EB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091EBD"/>
    <w:pPr>
      <w:widowControl w:val="0"/>
      <w:suppressAutoHyphens/>
      <w:spacing w:after="120"/>
    </w:pPr>
    <w:rPr>
      <w:rFonts w:eastAsia="SimSun" w:cs="Mangal"/>
      <w:kern w:val="1"/>
      <w:lang w:val="en-GB" w:eastAsia="hi-IN" w:bidi="hi-IN"/>
    </w:rPr>
  </w:style>
  <w:style w:type="character" w:customStyle="1" w:styleId="PlattetekstChar">
    <w:name w:val="Platte tekst Char"/>
    <w:basedOn w:val="Standaardalinea-lettertype"/>
    <w:link w:val="Plattetekst"/>
    <w:rsid w:val="00091EBD"/>
    <w:rPr>
      <w:rFonts w:ascii="Times New Roman" w:eastAsia="SimSun" w:hAnsi="Times New Roman" w:cs="Mangal"/>
      <w:kern w:val="1"/>
      <w:sz w:val="24"/>
      <w:szCs w:val="24"/>
      <w:lang w:val="en-GB" w:eastAsia="hi-IN" w:bidi="hi-IN"/>
    </w:rPr>
  </w:style>
  <w:style w:type="paragraph" w:styleId="Koptekst">
    <w:name w:val="header"/>
    <w:basedOn w:val="Standaard"/>
    <w:link w:val="KoptekstChar"/>
    <w:uiPriority w:val="99"/>
    <w:unhideWhenUsed/>
    <w:rsid w:val="00091EBD"/>
    <w:pPr>
      <w:tabs>
        <w:tab w:val="center" w:pos="4536"/>
        <w:tab w:val="right" w:pos="9072"/>
      </w:tabs>
    </w:pPr>
  </w:style>
  <w:style w:type="character" w:customStyle="1" w:styleId="KoptekstChar">
    <w:name w:val="Koptekst Char"/>
    <w:basedOn w:val="Standaardalinea-lettertype"/>
    <w:link w:val="Koptekst"/>
    <w:uiPriority w:val="99"/>
    <w:rsid w:val="00091EB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091EBD"/>
    <w:pPr>
      <w:tabs>
        <w:tab w:val="center" w:pos="4536"/>
        <w:tab w:val="right" w:pos="9072"/>
      </w:tabs>
    </w:pPr>
  </w:style>
  <w:style w:type="character" w:customStyle="1" w:styleId="VoettekstChar">
    <w:name w:val="Voettekst Char"/>
    <w:basedOn w:val="Standaardalinea-lettertype"/>
    <w:link w:val="Voettekst"/>
    <w:uiPriority w:val="99"/>
    <w:rsid w:val="00091EBD"/>
    <w:rPr>
      <w:rFonts w:ascii="Times New Roman" w:eastAsia="Times New Roman" w:hAnsi="Times New Roman" w:cs="Times New Roman"/>
      <w:sz w:val="24"/>
      <w:szCs w:val="24"/>
      <w:lang w:eastAsia="nl-NL"/>
    </w:rPr>
  </w:style>
  <w:style w:type="character" w:customStyle="1" w:styleId="jrnl">
    <w:name w:val="jrnl"/>
    <w:rsid w:val="00E95A38"/>
  </w:style>
  <w:style w:type="paragraph" w:customStyle="1" w:styleId="Lijstalinea1">
    <w:name w:val="Lijstalinea1"/>
    <w:basedOn w:val="Standaard"/>
    <w:rsid w:val="00E95A38"/>
    <w:pPr>
      <w:suppressAutoHyphens/>
      <w:spacing w:line="100" w:lineRule="atLeast"/>
    </w:pPr>
    <w:rPr>
      <w:sz w:val="20"/>
      <w:szCs w:val="20"/>
    </w:rPr>
  </w:style>
  <w:style w:type="character" w:customStyle="1" w:styleId="highlight">
    <w:name w:val="highlight"/>
    <w:rsid w:val="00E95A38"/>
  </w:style>
  <w:style w:type="paragraph" w:styleId="Lijstalinea">
    <w:name w:val="List Paragraph"/>
    <w:basedOn w:val="Standaard"/>
    <w:link w:val="LijstalineaChar"/>
    <w:uiPriority w:val="34"/>
    <w:qFormat/>
    <w:rsid w:val="00E95A38"/>
    <w:pPr>
      <w:widowControl w:val="0"/>
      <w:suppressAutoHyphens/>
      <w:ind w:left="720"/>
      <w:contextualSpacing/>
    </w:pPr>
    <w:rPr>
      <w:rFonts w:eastAsia="SimSun" w:cs="Mangal"/>
      <w:kern w:val="1"/>
      <w:szCs w:val="21"/>
      <w:lang w:val="en-GB" w:eastAsia="hi-IN" w:bidi="hi-IN"/>
    </w:rPr>
  </w:style>
  <w:style w:type="character" w:customStyle="1" w:styleId="LijstalineaChar">
    <w:name w:val="Lijstalinea Char"/>
    <w:link w:val="Lijstalinea"/>
    <w:uiPriority w:val="34"/>
    <w:rsid w:val="00E95A38"/>
    <w:rPr>
      <w:rFonts w:ascii="Times New Roman" w:eastAsia="SimSun" w:hAnsi="Times New Roman" w:cs="Mangal"/>
      <w:kern w:val="1"/>
      <w:sz w:val="24"/>
      <w:szCs w:val="21"/>
      <w:lang w:val="en-GB" w:eastAsia="hi-IN" w:bidi="hi-IN"/>
    </w:rPr>
  </w:style>
  <w:style w:type="character" w:styleId="Hyperlink">
    <w:name w:val="Hyperlink"/>
    <w:basedOn w:val="Standaardalinea-lettertype"/>
    <w:uiPriority w:val="99"/>
    <w:unhideWhenUsed/>
    <w:rsid w:val="00E95A38"/>
    <w:rPr>
      <w:color w:val="0563C1" w:themeColor="hyperlink"/>
      <w:u w:val="single"/>
    </w:rPr>
  </w:style>
  <w:style w:type="character" w:customStyle="1" w:styleId="Onopgelostemelding1">
    <w:name w:val="Onopgeloste melding1"/>
    <w:basedOn w:val="Standaardalinea-lettertype"/>
    <w:uiPriority w:val="99"/>
    <w:semiHidden/>
    <w:unhideWhenUsed/>
    <w:rsid w:val="00E95A38"/>
    <w:rPr>
      <w:color w:val="808080"/>
      <w:shd w:val="clear" w:color="auto" w:fill="E6E6E6"/>
    </w:rPr>
  </w:style>
  <w:style w:type="paragraph" w:styleId="Ballontekst">
    <w:name w:val="Balloon Text"/>
    <w:basedOn w:val="Standaard"/>
    <w:link w:val="BallontekstChar"/>
    <w:uiPriority w:val="99"/>
    <w:semiHidden/>
    <w:unhideWhenUsed/>
    <w:rsid w:val="006747C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47C7"/>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B529D1"/>
    <w:rPr>
      <w:sz w:val="16"/>
      <w:szCs w:val="16"/>
    </w:rPr>
  </w:style>
  <w:style w:type="paragraph" w:styleId="Tekstopmerking">
    <w:name w:val="annotation text"/>
    <w:basedOn w:val="Standaard"/>
    <w:link w:val="TekstopmerkingChar"/>
    <w:uiPriority w:val="99"/>
    <w:semiHidden/>
    <w:unhideWhenUsed/>
    <w:rsid w:val="00B529D1"/>
    <w:rPr>
      <w:sz w:val="20"/>
      <w:szCs w:val="20"/>
    </w:rPr>
  </w:style>
  <w:style w:type="character" w:customStyle="1" w:styleId="TekstopmerkingChar">
    <w:name w:val="Tekst opmerking Char"/>
    <w:basedOn w:val="Standaardalinea-lettertype"/>
    <w:link w:val="Tekstopmerking"/>
    <w:uiPriority w:val="99"/>
    <w:semiHidden/>
    <w:rsid w:val="00B529D1"/>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529D1"/>
    <w:rPr>
      <w:b/>
      <w:bCs/>
    </w:rPr>
  </w:style>
  <w:style w:type="character" w:customStyle="1" w:styleId="OnderwerpvanopmerkingChar">
    <w:name w:val="Onderwerp van opmerking Char"/>
    <w:basedOn w:val="TekstopmerkingChar"/>
    <w:link w:val="Onderwerpvanopmerking"/>
    <w:uiPriority w:val="99"/>
    <w:semiHidden/>
    <w:rsid w:val="00B529D1"/>
    <w:rPr>
      <w:rFonts w:ascii="Times New Roman" w:eastAsia="Times New Roman" w:hAnsi="Times New Roman" w:cs="Times New Roman"/>
      <w:b/>
      <w:bCs/>
      <w:sz w:val="20"/>
      <w:szCs w:val="20"/>
      <w:lang w:eastAsia="nl-NL"/>
    </w:rPr>
  </w:style>
  <w:style w:type="character" w:customStyle="1" w:styleId="A12">
    <w:name w:val="A12"/>
    <w:uiPriority w:val="99"/>
    <w:rsid w:val="007B38A8"/>
    <w:rPr>
      <w: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284386">
      <w:bodyDiv w:val="1"/>
      <w:marLeft w:val="0"/>
      <w:marRight w:val="0"/>
      <w:marTop w:val="0"/>
      <w:marBottom w:val="0"/>
      <w:divBdr>
        <w:top w:val="none" w:sz="0" w:space="0" w:color="auto"/>
        <w:left w:val="none" w:sz="0" w:space="0" w:color="auto"/>
        <w:bottom w:val="none" w:sz="0" w:space="0" w:color="auto"/>
        <w:right w:val="none" w:sz="0" w:space="0" w:color="auto"/>
      </w:divBdr>
      <w:divsChild>
        <w:div w:id="1007172777">
          <w:marLeft w:val="0"/>
          <w:marRight w:val="0"/>
          <w:marTop w:val="0"/>
          <w:marBottom w:val="0"/>
          <w:divBdr>
            <w:top w:val="none" w:sz="0" w:space="0" w:color="auto"/>
            <w:left w:val="none" w:sz="0" w:space="0" w:color="auto"/>
            <w:bottom w:val="none" w:sz="0" w:space="0" w:color="auto"/>
            <w:right w:val="none" w:sz="0" w:space="0" w:color="auto"/>
          </w:divBdr>
        </w:div>
        <w:div w:id="788620081">
          <w:marLeft w:val="0"/>
          <w:marRight w:val="0"/>
          <w:marTop w:val="0"/>
          <w:marBottom w:val="0"/>
          <w:divBdr>
            <w:top w:val="none" w:sz="0" w:space="0" w:color="auto"/>
            <w:left w:val="none" w:sz="0" w:space="0" w:color="auto"/>
            <w:bottom w:val="none" w:sz="0" w:space="0" w:color="auto"/>
            <w:right w:val="none" w:sz="0" w:space="0" w:color="auto"/>
          </w:divBdr>
        </w:div>
        <w:div w:id="1784416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4596</Words>
  <Characters>25283</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jolienteepe@outlook.com</dc:creator>
  <cp:lastModifiedBy>jolienteepe@outlook.com</cp:lastModifiedBy>
  <cp:revision>3</cp:revision>
  <dcterms:created xsi:type="dcterms:W3CDTF">2018-05-01T18:18:00Z</dcterms:created>
  <dcterms:modified xsi:type="dcterms:W3CDTF">2018-05-01T18:23:00Z</dcterms:modified>
</cp:coreProperties>
</file>