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1F4DC" w14:textId="77777777" w:rsidR="005F28A1" w:rsidRDefault="002E0B50" w:rsidP="002933CF">
      <w:pPr>
        <w:pStyle w:val="Title"/>
        <w:rPr>
          <w:rFonts w:cstheme="minorHAnsi"/>
          <w:color w:val="171717"/>
          <w:lang w:val="en-US"/>
        </w:rPr>
      </w:pPr>
      <w:bookmarkStart w:id="0" w:name="_GoBack"/>
      <w:bookmarkEnd w:id="0"/>
      <w:r>
        <w:rPr>
          <w:rFonts w:cstheme="minorHAnsi"/>
          <w:color w:val="171717"/>
          <w:lang w:val="en-US"/>
        </w:rPr>
        <w:t xml:space="preserve"> </w:t>
      </w:r>
    </w:p>
    <w:p w14:paraId="56470112" w14:textId="0C67DCCF" w:rsidR="00D47E35" w:rsidRDefault="00D47E35" w:rsidP="0096572E">
      <w:pPr>
        <w:pStyle w:val="Title"/>
      </w:pPr>
      <w:r>
        <w:rPr>
          <w:rFonts w:cstheme="minorHAnsi"/>
          <w:color w:val="171717"/>
          <w:lang w:val="en-US"/>
        </w:rPr>
        <w:t>R</w:t>
      </w:r>
      <w:r w:rsidR="00CF4E73">
        <w:rPr>
          <w:rFonts w:cstheme="minorHAnsi"/>
          <w:color w:val="171717"/>
          <w:lang w:val="en-US"/>
        </w:rPr>
        <w:t>isk thresholds for a</w:t>
      </w:r>
      <w:r w:rsidR="00A27017" w:rsidRPr="008A0E81">
        <w:rPr>
          <w:rFonts w:cstheme="minorHAnsi"/>
          <w:color w:val="171717"/>
          <w:lang w:val="en-US"/>
        </w:rPr>
        <w:t>lcohol consumption</w:t>
      </w:r>
      <w:r>
        <w:rPr>
          <w:rFonts w:cstheme="minorHAnsi"/>
          <w:color w:val="171717"/>
          <w:lang w:val="en-US"/>
        </w:rPr>
        <w:t xml:space="preserve">: </w:t>
      </w:r>
      <w:r w:rsidR="001C342F">
        <w:rPr>
          <w:rFonts w:cstheme="minorHAnsi"/>
          <w:color w:val="171717"/>
          <w:lang w:val="en-US"/>
        </w:rPr>
        <w:t xml:space="preserve">combined </w:t>
      </w:r>
      <w:r>
        <w:rPr>
          <w:rFonts w:cstheme="minorHAnsi"/>
          <w:color w:val="171717"/>
          <w:lang w:val="en-US"/>
        </w:rPr>
        <w:t xml:space="preserve">analysis of </w:t>
      </w:r>
      <w:r w:rsidR="0096572E">
        <w:rPr>
          <w:rFonts w:cstheme="minorHAnsi"/>
          <w:color w:val="171717"/>
          <w:lang w:val="en-US"/>
        </w:rPr>
        <w:t xml:space="preserve">individual-participant data on </w:t>
      </w:r>
      <w:r>
        <w:rPr>
          <w:rFonts w:eastAsiaTheme="minorHAnsi" w:cstheme="minorHAnsi"/>
          <w:color w:val="000000"/>
        </w:rPr>
        <w:t>599,912 current drinkers</w:t>
      </w:r>
      <w:r w:rsidR="0096572E">
        <w:rPr>
          <w:rFonts w:eastAsiaTheme="minorHAnsi" w:cstheme="minorHAnsi"/>
          <w:color w:val="000000"/>
        </w:rPr>
        <w:t xml:space="preserve"> in </w:t>
      </w:r>
      <w:r w:rsidR="0096572E">
        <w:rPr>
          <w:rFonts w:cstheme="minorHAnsi"/>
          <w:color w:val="171717"/>
          <w:lang w:val="en-US"/>
        </w:rPr>
        <w:t>83 prospective studies</w:t>
      </w:r>
    </w:p>
    <w:p w14:paraId="01248534" w14:textId="77777777" w:rsidR="00367A9B" w:rsidRDefault="00367A9B" w:rsidP="002933CF">
      <w:pPr>
        <w:jc w:val="center"/>
        <w:rPr>
          <w:szCs w:val="20"/>
        </w:rPr>
      </w:pPr>
    </w:p>
    <w:p w14:paraId="7116C6AC" w14:textId="078EB95C" w:rsidR="00F619FB" w:rsidRDefault="00F619FB" w:rsidP="002933CF">
      <w:pPr>
        <w:jc w:val="center"/>
        <w:rPr>
          <w:szCs w:val="20"/>
        </w:rPr>
      </w:pPr>
      <w:r w:rsidRPr="000E0EEC">
        <w:rPr>
          <w:szCs w:val="20"/>
        </w:rPr>
        <w:t>Emerging Risk Factors Collaboration</w:t>
      </w:r>
      <w:r w:rsidR="006B23BE">
        <w:rPr>
          <w:szCs w:val="20"/>
        </w:rPr>
        <w:t xml:space="preserve"> </w:t>
      </w:r>
      <w:r w:rsidR="001A290D">
        <w:rPr>
          <w:szCs w:val="20"/>
        </w:rPr>
        <w:t>/ EPIC-CVD / UK Biobank Alcohol Study Group</w:t>
      </w:r>
    </w:p>
    <w:p w14:paraId="39491780" w14:textId="77777777" w:rsidR="007626A0" w:rsidRDefault="007626A0" w:rsidP="002933CF">
      <w:pPr>
        <w:jc w:val="center"/>
        <w:rPr>
          <w:szCs w:val="20"/>
        </w:rPr>
      </w:pPr>
    </w:p>
    <w:p w14:paraId="0E819529" w14:textId="4170334D" w:rsidR="00C4055B" w:rsidRPr="003B0807" w:rsidRDefault="00C4055B" w:rsidP="003B0807">
      <w:pPr>
        <w:widowControl w:val="0"/>
        <w:autoSpaceDE w:val="0"/>
        <w:autoSpaceDN w:val="0"/>
        <w:adjustRightInd w:val="0"/>
        <w:spacing w:line="360" w:lineRule="auto"/>
        <w:rPr>
          <w:szCs w:val="20"/>
        </w:rPr>
      </w:pPr>
      <w:r w:rsidRPr="003B0807">
        <w:rPr>
          <w:szCs w:val="20"/>
        </w:rPr>
        <w:t>Members of the writing committee</w:t>
      </w:r>
      <w:r w:rsidR="002A5C8D" w:rsidRPr="003B0807">
        <w:rPr>
          <w:szCs w:val="20"/>
        </w:rPr>
        <w:t xml:space="preserve"> (manuscript authors)</w:t>
      </w:r>
      <w:r w:rsidRPr="003B0807">
        <w:rPr>
          <w:szCs w:val="20"/>
        </w:rPr>
        <w:t>: Angela M Wood</w:t>
      </w:r>
      <w:r w:rsidRPr="003B0807">
        <w:rPr>
          <w:szCs w:val="20"/>
          <w:vertAlign w:val="superscript"/>
        </w:rPr>
        <w:t>1</w:t>
      </w:r>
      <w:r w:rsidR="00EE169D">
        <w:rPr>
          <w:szCs w:val="20"/>
          <w:vertAlign w:val="superscript"/>
        </w:rPr>
        <w:t xml:space="preserve"> </w:t>
      </w:r>
      <w:r w:rsidR="00EE169D">
        <w:rPr>
          <w:szCs w:val="20"/>
          <w:vertAlign w:val="superscript"/>
        </w:rPr>
        <w:softHyphen/>
      </w:r>
      <w:r w:rsidR="00EE169D">
        <w:rPr>
          <w:szCs w:val="20"/>
        </w:rPr>
        <w:t>PhD</w:t>
      </w:r>
      <w:r w:rsidRPr="003B0807">
        <w:rPr>
          <w:szCs w:val="20"/>
        </w:rPr>
        <w:t>, Stephen Kaptoge</w:t>
      </w:r>
      <w:r w:rsidRPr="003B0807">
        <w:rPr>
          <w:szCs w:val="20"/>
          <w:vertAlign w:val="superscript"/>
        </w:rPr>
        <w:t>1</w:t>
      </w:r>
      <w:r w:rsidR="00EE169D" w:rsidRPr="00EE169D">
        <w:rPr>
          <w:szCs w:val="20"/>
        </w:rPr>
        <w:t xml:space="preserve"> </w:t>
      </w:r>
      <w:r w:rsidR="00EE169D">
        <w:rPr>
          <w:szCs w:val="20"/>
        </w:rPr>
        <w:t>PhD</w:t>
      </w:r>
      <w:r w:rsidRPr="003B0807">
        <w:rPr>
          <w:szCs w:val="20"/>
        </w:rPr>
        <w:t>, Adam Butterworth</w:t>
      </w:r>
      <w:r w:rsidRPr="003B0807">
        <w:rPr>
          <w:szCs w:val="20"/>
          <w:vertAlign w:val="superscript"/>
        </w:rPr>
        <w:t>1</w:t>
      </w:r>
      <w:r w:rsidR="00EE169D" w:rsidRPr="00EE169D">
        <w:rPr>
          <w:szCs w:val="20"/>
        </w:rPr>
        <w:t xml:space="preserve"> </w:t>
      </w:r>
      <w:r w:rsidR="00EE169D">
        <w:rPr>
          <w:szCs w:val="20"/>
        </w:rPr>
        <w:t>PhD</w:t>
      </w:r>
      <w:r w:rsidRPr="003B0807">
        <w:rPr>
          <w:szCs w:val="20"/>
        </w:rPr>
        <w:t>, Peter Willeit</w:t>
      </w:r>
      <w:r w:rsidRPr="003B0807">
        <w:rPr>
          <w:szCs w:val="20"/>
          <w:vertAlign w:val="superscript"/>
        </w:rPr>
        <w:t>1,2</w:t>
      </w:r>
      <w:r w:rsidR="00EE169D">
        <w:rPr>
          <w:szCs w:val="20"/>
          <w:vertAlign w:val="superscript"/>
        </w:rPr>
        <w:t xml:space="preserve"> </w:t>
      </w:r>
      <w:r w:rsidR="00EE169D">
        <w:rPr>
          <w:szCs w:val="20"/>
        </w:rPr>
        <w:t>MD</w:t>
      </w:r>
      <w:r w:rsidRPr="003B0807">
        <w:rPr>
          <w:szCs w:val="20"/>
        </w:rPr>
        <w:t>, Samantha Warnakula</w:t>
      </w:r>
      <w:r w:rsidRPr="003B0807">
        <w:rPr>
          <w:szCs w:val="20"/>
          <w:vertAlign w:val="superscript"/>
        </w:rPr>
        <w:t>1</w:t>
      </w:r>
      <w:r w:rsidR="00EE169D" w:rsidRPr="00EE169D">
        <w:rPr>
          <w:szCs w:val="20"/>
        </w:rPr>
        <w:t xml:space="preserve"> </w:t>
      </w:r>
      <w:r w:rsidR="00EE169D">
        <w:rPr>
          <w:szCs w:val="20"/>
        </w:rPr>
        <w:t>PhD</w:t>
      </w:r>
      <w:r w:rsidRPr="003B0807">
        <w:rPr>
          <w:szCs w:val="20"/>
        </w:rPr>
        <w:t>, Thomas Bolton</w:t>
      </w:r>
      <w:r w:rsidRPr="003B0807">
        <w:rPr>
          <w:szCs w:val="20"/>
          <w:vertAlign w:val="superscript"/>
        </w:rPr>
        <w:t>1</w:t>
      </w:r>
      <w:r w:rsidR="00EE169D">
        <w:rPr>
          <w:szCs w:val="20"/>
          <w:vertAlign w:val="superscript"/>
        </w:rPr>
        <w:t xml:space="preserve"> </w:t>
      </w:r>
      <w:r w:rsidR="00EE169D">
        <w:rPr>
          <w:szCs w:val="20"/>
          <w:vertAlign w:val="superscript"/>
        </w:rPr>
        <w:softHyphen/>
      </w:r>
      <w:r w:rsidR="00EE169D">
        <w:rPr>
          <w:szCs w:val="20"/>
        </w:rPr>
        <w:t>MMath</w:t>
      </w:r>
      <w:r w:rsidRPr="003B0807">
        <w:rPr>
          <w:szCs w:val="20"/>
        </w:rPr>
        <w:t>, Ellie Paige</w:t>
      </w:r>
      <w:r w:rsidRPr="003B0807">
        <w:rPr>
          <w:szCs w:val="20"/>
          <w:vertAlign w:val="superscript"/>
        </w:rPr>
        <w:t>3</w:t>
      </w:r>
      <w:r w:rsidR="00EE169D" w:rsidRPr="00EE169D">
        <w:rPr>
          <w:szCs w:val="20"/>
        </w:rPr>
        <w:t xml:space="preserve"> </w:t>
      </w:r>
      <w:r w:rsidR="00EE169D">
        <w:rPr>
          <w:szCs w:val="20"/>
        </w:rPr>
        <w:t>PhD</w:t>
      </w:r>
      <w:r w:rsidRPr="003B0807">
        <w:rPr>
          <w:szCs w:val="20"/>
        </w:rPr>
        <w:t>, Dirk S Paul</w:t>
      </w:r>
      <w:r w:rsidRPr="003B0807">
        <w:rPr>
          <w:szCs w:val="20"/>
          <w:vertAlign w:val="superscript"/>
        </w:rPr>
        <w:t>1</w:t>
      </w:r>
      <w:r w:rsidR="00EE169D" w:rsidRPr="00EE169D">
        <w:rPr>
          <w:szCs w:val="20"/>
        </w:rPr>
        <w:t xml:space="preserve"> </w:t>
      </w:r>
      <w:r w:rsidR="00EE169D">
        <w:rPr>
          <w:szCs w:val="20"/>
        </w:rPr>
        <w:t>PhD</w:t>
      </w:r>
      <w:r w:rsidRPr="003B0807">
        <w:rPr>
          <w:szCs w:val="20"/>
        </w:rPr>
        <w:t>, Michael Sweeting</w:t>
      </w:r>
      <w:r w:rsidRPr="003B0807">
        <w:rPr>
          <w:szCs w:val="20"/>
          <w:vertAlign w:val="superscript"/>
        </w:rPr>
        <w:t>1</w:t>
      </w:r>
      <w:r w:rsidR="00EE169D" w:rsidRPr="00EE169D">
        <w:rPr>
          <w:szCs w:val="20"/>
        </w:rPr>
        <w:t xml:space="preserve"> </w:t>
      </w:r>
      <w:r w:rsidR="00EE169D">
        <w:rPr>
          <w:szCs w:val="20"/>
        </w:rPr>
        <w:t>PhD</w:t>
      </w:r>
      <w:r w:rsidRPr="003B0807">
        <w:rPr>
          <w:szCs w:val="20"/>
        </w:rPr>
        <w:t>, Stephen Burgess</w:t>
      </w:r>
      <w:r w:rsidRPr="003B0807">
        <w:rPr>
          <w:szCs w:val="20"/>
          <w:vertAlign w:val="superscript"/>
        </w:rPr>
        <w:t>1,4</w:t>
      </w:r>
      <w:r w:rsidR="00EE169D" w:rsidRPr="00EE169D">
        <w:rPr>
          <w:szCs w:val="20"/>
        </w:rPr>
        <w:t xml:space="preserve"> </w:t>
      </w:r>
      <w:r w:rsidR="00EE169D">
        <w:rPr>
          <w:szCs w:val="20"/>
        </w:rPr>
        <w:t>PhD</w:t>
      </w:r>
      <w:r w:rsidRPr="003B0807">
        <w:rPr>
          <w:szCs w:val="20"/>
        </w:rPr>
        <w:t>, Steven Bell</w:t>
      </w:r>
      <w:r w:rsidRPr="003B0807">
        <w:rPr>
          <w:szCs w:val="20"/>
          <w:vertAlign w:val="superscript"/>
        </w:rPr>
        <w:t>1</w:t>
      </w:r>
      <w:r w:rsidR="00EE169D" w:rsidRPr="00EE169D">
        <w:rPr>
          <w:szCs w:val="20"/>
        </w:rPr>
        <w:t xml:space="preserve"> </w:t>
      </w:r>
      <w:r w:rsidR="00EE169D">
        <w:rPr>
          <w:szCs w:val="20"/>
        </w:rPr>
        <w:t>PhD</w:t>
      </w:r>
      <w:r w:rsidRPr="003B0807">
        <w:rPr>
          <w:szCs w:val="20"/>
        </w:rPr>
        <w:t>, William Astle</w:t>
      </w:r>
      <w:r w:rsidRPr="003B0807">
        <w:rPr>
          <w:szCs w:val="20"/>
          <w:vertAlign w:val="superscript"/>
        </w:rPr>
        <w:t>1</w:t>
      </w:r>
      <w:r w:rsidR="00EE169D" w:rsidRPr="00EE169D">
        <w:rPr>
          <w:szCs w:val="20"/>
        </w:rPr>
        <w:t xml:space="preserve"> </w:t>
      </w:r>
      <w:r w:rsidR="00EE169D">
        <w:rPr>
          <w:szCs w:val="20"/>
        </w:rPr>
        <w:t>PhD</w:t>
      </w:r>
      <w:r w:rsidRPr="003B0807">
        <w:rPr>
          <w:szCs w:val="20"/>
        </w:rPr>
        <w:t>, David Stevens</w:t>
      </w:r>
      <w:r w:rsidRPr="003B0807">
        <w:rPr>
          <w:szCs w:val="20"/>
          <w:vertAlign w:val="superscript"/>
        </w:rPr>
        <w:t>1</w:t>
      </w:r>
      <w:r w:rsidR="00EE169D">
        <w:rPr>
          <w:szCs w:val="20"/>
          <w:vertAlign w:val="superscript"/>
        </w:rPr>
        <w:t xml:space="preserve"> </w:t>
      </w:r>
      <w:r w:rsidR="00EE169D">
        <w:rPr>
          <w:szCs w:val="20"/>
        </w:rPr>
        <w:t>MSc</w:t>
      </w:r>
      <w:r w:rsidRPr="003B0807">
        <w:rPr>
          <w:szCs w:val="20"/>
        </w:rPr>
        <w:t>, Albert Koulman</w:t>
      </w:r>
      <w:r w:rsidRPr="003B0807">
        <w:rPr>
          <w:szCs w:val="20"/>
          <w:vertAlign w:val="superscript"/>
        </w:rPr>
        <w:t>5</w:t>
      </w:r>
      <w:r w:rsidR="00EE169D" w:rsidRPr="00EE169D">
        <w:rPr>
          <w:szCs w:val="20"/>
        </w:rPr>
        <w:t xml:space="preserve"> </w:t>
      </w:r>
      <w:r w:rsidR="00EE169D">
        <w:rPr>
          <w:szCs w:val="20"/>
        </w:rPr>
        <w:t>PhD</w:t>
      </w:r>
      <w:r w:rsidR="00EB6F9F">
        <w:rPr>
          <w:szCs w:val="20"/>
        </w:rPr>
        <w:t>, Randi M</w:t>
      </w:r>
      <w:r w:rsidRPr="003B0807">
        <w:rPr>
          <w:szCs w:val="20"/>
        </w:rPr>
        <w:t xml:space="preserve"> Selmer</w:t>
      </w:r>
      <w:r w:rsidRPr="003B0807">
        <w:rPr>
          <w:szCs w:val="20"/>
          <w:vertAlign w:val="superscript"/>
        </w:rPr>
        <w:t>6</w:t>
      </w:r>
      <w:r w:rsidR="00EE169D" w:rsidRPr="00EE169D">
        <w:rPr>
          <w:szCs w:val="20"/>
        </w:rPr>
        <w:t xml:space="preserve"> </w:t>
      </w:r>
      <w:r w:rsidR="00EE169D">
        <w:rPr>
          <w:szCs w:val="20"/>
        </w:rPr>
        <w:t>PhD</w:t>
      </w:r>
      <w:r w:rsidRPr="003B0807">
        <w:rPr>
          <w:szCs w:val="20"/>
        </w:rPr>
        <w:t xml:space="preserve">, </w:t>
      </w:r>
      <w:r w:rsidR="00466EBD">
        <w:rPr>
          <w:szCs w:val="20"/>
        </w:rPr>
        <w:t>Prof</w:t>
      </w:r>
      <w:r w:rsidRPr="003B0807">
        <w:rPr>
          <w:szCs w:val="20"/>
        </w:rPr>
        <w:t xml:space="preserve"> Monique Verschuren</w:t>
      </w:r>
      <w:r w:rsidRPr="003B0807">
        <w:rPr>
          <w:szCs w:val="20"/>
          <w:vertAlign w:val="superscript"/>
        </w:rPr>
        <w:t>7,8</w:t>
      </w:r>
      <w:r w:rsidR="00EE169D" w:rsidRPr="00EE169D">
        <w:rPr>
          <w:szCs w:val="20"/>
        </w:rPr>
        <w:t xml:space="preserve"> </w:t>
      </w:r>
      <w:r w:rsidR="00EE169D">
        <w:rPr>
          <w:szCs w:val="20"/>
        </w:rPr>
        <w:t>PhD</w:t>
      </w:r>
      <w:r w:rsidRPr="003B0807">
        <w:rPr>
          <w:szCs w:val="20"/>
        </w:rPr>
        <w:t xml:space="preserve">, </w:t>
      </w:r>
      <w:r w:rsidR="00466EBD">
        <w:rPr>
          <w:szCs w:val="20"/>
        </w:rPr>
        <w:t>Prof</w:t>
      </w:r>
      <w:r w:rsidRPr="003B0807">
        <w:rPr>
          <w:szCs w:val="20"/>
        </w:rPr>
        <w:t xml:space="preserve"> Shinichi Sato</w:t>
      </w:r>
      <w:r w:rsidRPr="003B0807">
        <w:rPr>
          <w:szCs w:val="20"/>
          <w:vertAlign w:val="superscript"/>
        </w:rPr>
        <w:t>9</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Inger Njølstad</w:t>
      </w:r>
      <w:r w:rsidRPr="003B0807">
        <w:rPr>
          <w:szCs w:val="20"/>
          <w:vertAlign w:val="superscript"/>
        </w:rPr>
        <w:t>10</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Mark Woodward</w:t>
      </w:r>
      <w:r w:rsidRPr="003B0807">
        <w:rPr>
          <w:szCs w:val="20"/>
          <w:vertAlign w:val="superscript"/>
        </w:rPr>
        <w:t>11,12,13</w:t>
      </w:r>
      <w:r w:rsidR="00EE169D" w:rsidRPr="00EE169D">
        <w:rPr>
          <w:szCs w:val="20"/>
        </w:rPr>
        <w:t xml:space="preserve"> </w:t>
      </w:r>
      <w:r w:rsidR="00EE169D">
        <w:rPr>
          <w:szCs w:val="20"/>
        </w:rPr>
        <w:t>PhD</w:t>
      </w:r>
      <w:r w:rsidRPr="003B0807">
        <w:rPr>
          <w:szCs w:val="20"/>
        </w:rPr>
        <w:t xml:space="preserve">, </w:t>
      </w:r>
      <w:r w:rsidR="00466EBD">
        <w:rPr>
          <w:szCs w:val="20"/>
        </w:rPr>
        <w:t xml:space="preserve">Prof </w:t>
      </w:r>
      <w:r w:rsidRPr="003B0807">
        <w:rPr>
          <w:szCs w:val="20"/>
        </w:rPr>
        <w:t>Veikko</w:t>
      </w:r>
      <w:r w:rsidR="001632CD" w:rsidRPr="001632CD">
        <w:rPr>
          <w:szCs w:val="20"/>
        </w:rPr>
        <w:t xml:space="preserve"> </w:t>
      </w:r>
      <w:r w:rsidR="001632CD" w:rsidRPr="003B0807">
        <w:rPr>
          <w:szCs w:val="20"/>
        </w:rPr>
        <w:t>Salomaa</w:t>
      </w:r>
      <w:r w:rsidRPr="003B0807">
        <w:rPr>
          <w:szCs w:val="20"/>
          <w:vertAlign w:val="superscript"/>
        </w:rPr>
        <w:t>14</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Børge G Nordestgaard</w:t>
      </w:r>
      <w:r w:rsidRPr="003B0807">
        <w:rPr>
          <w:szCs w:val="20"/>
          <w:vertAlign w:val="superscript"/>
        </w:rPr>
        <w:t>15,16</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00EB6F9F">
        <w:rPr>
          <w:szCs w:val="20"/>
        </w:rPr>
        <w:t xml:space="preserve"> Bu B</w:t>
      </w:r>
      <w:r w:rsidRPr="003B0807">
        <w:rPr>
          <w:szCs w:val="20"/>
        </w:rPr>
        <w:t xml:space="preserve"> Yeap</w:t>
      </w:r>
      <w:r w:rsidRPr="003B0807">
        <w:rPr>
          <w:szCs w:val="20"/>
          <w:vertAlign w:val="superscript"/>
        </w:rPr>
        <w:t>17,18,19</w:t>
      </w:r>
      <w:r w:rsidR="00EE169D">
        <w:rPr>
          <w:szCs w:val="20"/>
          <w:vertAlign w:val="superscript"/>
        </w:rPr>
        <w:t xml:space="preserve"> </w:t>
      </w:r>
      <w:r w:rsidR="00EE169D">
        <w:rPr>
          <w:szCs w:val="20"/>
        </w:rPr>
        <w:t>MBBS</w:t>
      </w:r>
      <w:r w:rsidRPr="003B0807">
        <w:rPr>
          <w:szCs w:val="20"/>
        </w:rPr>
        <w:t xml:space="preserve">, </w:t>
      </w:r>
      <w:r w:rsidR="00466EBD">
        <w:rPr>
          <w:szCs w:val="20"/>
        </w:rPr>
        <w:t>Prof</w:t>
      </w:r>
      <w:r w:rsidRPr="003B0807">
        <w:rPr>
          <w:szCs w:val="20"/>
        </w:rPr>
        <w:t xml:space="preserve"> Astrid Fletcher</w:t>
      </w:r>
      <w:r w:rsidRPr="003B0807">
        <w:rPr>
          <w:szCs w:val="20"/>
          <w:vertAlign w:val="superscript"/>
        </w:rPr>
        <w:t>20</w:t>
      </w:r>
      <w:r w:rsidR="00EE169D" w:rsidRPr="00EE169D">
        <w:rPr>
          <w:szCs w:val="20"/>
        </w:rPr>
        <w:t xml:space="preserve"> </w:t>
      </w:r>
      <w:r w:rsidR="00EE169D">
        <w:rPr>
          <w:szCs w:val="20"/>
        </w:rPr>
        <w:t>PhD</w:t>
      </w:r>
      <w:r w:rsidRPr="003B0807">
        <w:rPr>
          <w:szCs w:val="20"/>
        </w:rPr>
        <w:t xml:space="preserve">, </w:t>
      </w:r>
      <w:r w:rsidR="00466EBD">
        <w:rPr>
          <w:szCs w:val="20"/>
        </w:rPr>
        <w:t>Prof</w:t>
      </w:r>
      <w:r w:rsidRPr="003B0807">
        <w:rPr>
          <w:szCs w:val="20"/>
        </w:rPr>
        <w:t xml:space="preserve"> Olle Melander</w:t>
      </w:r>
      <w:r w:rsidRPr="003B0807">
        <w:rPr>
          <w:szCs w:val="20"/>
          <w:vertAlign w:val="superscript"/>
        </w:rPr>
        <w:t>21</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Lewis H Kuller</w:t>
      </w:r>
      <w:r w:rsidRPr="003B0807">
        <w:rPr>
          <w:szCs w:val="20"/>
          <w:vertAlign w:val="superscript"/>
        </w:rPr>
        <w:t>22</w:t>
      </w:r>
      <w:r w:rsidR="00EE169D">
        <w:rPr>
          <w:szCs w:val="20"/>
          <w:vertAlign w:val="superscript"/>
        </w:rPr>
        <w:t xml:space="preserve"> </w:t>
      </w:r>
      <w:r w:rsidR="00EE169D">
        <w:rPr>
          <w:szCs w:val="20"/>
        </w:rPr>
        <w:t>MD</w:t>
      </w:r>
      <w:r w:rsidRPr="003B0807">
        <w:rPr>
          <w:szCs w:val="20"/>
        </w:rPr>
        <w:t>, Beverley Balkau</w:t>
      </w:r>
      <w:r w:rsidRPr="003B0807">
        <w:rPr>
          <w:szCs w:val="20"/>
          <w:vertAlign w:val="superscript"/>
        </w:rPr>
        <w:t>23</w:t>
      </w:r>
      <w:r w:rsidR="00EE169D" w:rsidRPr="00EE169D">
        <w:rPr>
          <w:szCs w:val="20"/>
        </w:rPr>
        <w:t xml:space="preserve"> </w:t>
      </w:r>
      <w:r w:rsidR="00EE169D">
        <w:rPr>
          <w:szCs w:val="20"/>
        </w:rPr>
        <w:t>PhD</w:t>
      </w:r>
      <w:r w:rsidRPr="003B0807">
        <w:rPr>
          <w:szCs w:val="20"/>
        </w:rPr>
        <w:t xml:space="preserve">, </w:t>
      </w:r>
      <w:r w:rsidR="00466EBD">
        <w:rPr>
          <w:szCs w:val="20"/>
        </w:rPr>
        <w:t xml:space="preserve">Prof </w:t>
      </w:r>
      <w:r w:rsidR="00B8798A">
        <w:rPr>
          <w:szCs w:val="20"/>
        </w:rPr>
        <w:t>Sir</w:t>
      </w:r>
      <w:r w:rsidRPr="003B0807">
        <w:rPr>
          <w:szCs w:val="20"/>
        </w:rPr>
        <w:t xml:space="preserve"> Michael Marmot</w:t>
      </w:r>
      <w:r w:rsidRPr="003B0807">
        <w:rPr>
          <w:szCs w:val="20"/>
          <w:vertAlign w:val="superscript"/>
        </w:rPr>
        <w:t>24</w:t>
      </w:r>
      <w:r w:rsidR="00EE169D">
        <w:rPr>
          <w:szCs w:val="20"/>
          <w:vertAlign w:val="superscript"/>
        </w:rPr>
        <w:t xml:space="preserve"> </w:t>
      </w:r>
      <w:r w:rsidR="00EE169D" w:rsidRPr="0046322F">
        <w:rPr>
          <w:szCs w:val="20"/>
        </w:rPr>
        <w:t>FMedSci</w:t>
      </w:r>
      <w:r w:rsidRPr="003B0807">
        <w:rPr>
          <w:szCs w:val="20"/>
        </w:rPr>
        <w:t xml:space="preserve">, </w:t>
      </w:r>
      <w:r w:rsidR="00466EBD">
        <w:rPr>
          <w:szCs w:val="20"/>
        </w:rPr>
        <w:t>Prof</w:t>
      </w:r>
      <w:r w:rsidRPr="003B0807">
        <w:rPr>
          <w:szCs w:val="20"/>
        </w:rPr>
        <w:t xml:space="preserve"> Wolfgang Koenig</w:t>
      </w:r>
      <w:r w:rsidRPr="003B0807">
        <w:rPr>
          <w:szCs w:val="20"/>
          <w:vertAlign w:val="superscript"/>
        </w:rPr>
        <w:t>25,26</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Edoardo Casiglia</w:t>
      </w:r>
      <w:r w:rsidR="00F833F4">
        <w:rPr>
          <w:szCs w:val="20"/>
          <w:vertAlign w:val="superscript"/>
        </w:rPr>
        <w:t>27</w:t>
      </w:r>
      <w:r w:rsidR="00EE169D">
        <w:rPr>
          <w:szCs w:val="20"/>
          <w:vertAlign w:val="superscript"/>
        </w:rPr>
        <w:t xml:space="preserve"> </w:t>
      </w:r>
      <w:r w:rsidR="00EE169D">
        <w:rPr>
          <w:szCs w:val="20"/>
        </w:rPr>
        <w:t>MD</w:t>
      </w:r>
      <w:r w:rsidRPr="003B0807">
        <w:rPr>
          <w:szCs w:val="20"/>
        </w:rPr>
        <w:t xml:space="preserve">, </w:t>
      </w:r>
      <w:r w:rsidR="00466EBD">
        <w:rPr>
          <w:szCs w:val="20"/>
        </w:rPr>
        <w:t>Prof</w:t>
      </w:r>
      <w:r w:rsidRPr="003B0807">
        <w:rPr>
          <w:szCs w:val="20"/>
        </w:rPr>
        <w:t xml:space="preserve"> Cyrus Cooper</w:t>
      </w:r>
      <w:r w:rsidR="00F833F4">
        <w:rPr>
          <w:szCs w:val="20"/>
          <w:vertAlign w:val="superscript"/>
        </w:rPr>
        <w:t>28</w:t>
      </w:r>
      <w:r w:rsidR="00EE169D">
        <w:rPr>
          <w:szCs w:val="20"/>
        </w:rPr>
        <w:t xml:space="preserve"> FMedSci</w:t>
      </w:r>
      <w:r w:rsidRPr="003B0807">
        <w:rPr>
          <w:szCs w:val="20"/>
        </w:rPr>
        <w:t>, Volker Arndt</w:t>
      </w:r>
      <w:r w:rsidR="00F833F4">
        <w:rPr>
          <w:szCs w:val="20"/>
          <w:vertAlign w:val="superscript"/>
        </w:rPr>
        <w:t>29</w:t>
      </w:r>
      <w:r w:rsidR="00EE169D">
        <w:rPr>
          <w:szCs w:val="20"/>
          <w:vertAlign w:val="superscript"/>
        </w:rPr>
        <w:t xml:space="preserve"> </w:t>
      </w:r>
      <w:r w:rsidR="00EE169D">
        <w:rPr>
          <w:szCs w:val="20"/>
        </w:rPr>
        <w:t>MD</w:t>
      </w:r>
      <w:r w:rsidRPr="003B0807">
        <w:rPr>
          <w:szCs w:val="20"/>
        </w:rPr>
        <w:t xml:space="preserve">, </w:t>
      </w:r>
      <w:r w:rsidR="00930D71">
        <w:rPr>
          <w:szCs w:val="20"/>
        </w:rPr>
        <w:t>Prof</w:t>
      </w:r>
      <w:r w:rsidR="00930D71" w:rsidRPr="003B0807">
        <w:rPr>
          <w:szCs w:val="20"/>
        </w:rPr>
        <w:t xml:space="preserve"> Oscar H Franco</w:t>
      </w:r>
      <w:r w:rsidR="00930D71">
        <w:rPr>
          <w:szCs w:val="20"/>
          <w:vertAlign w:val="superscript"/>
        </w:rPr>
        <w:t xml:space="preserve">30 </w:t>
      </w:r>
      <w:r w:rsidR="00930D71">
        <w:rPr>
          <w:szCs w:val="20"/>
        </w:rPr>
        <w:t>MD</w:t>
      </w:r>
      <w:r w:rsidR="00930D71" w:rsidRPr="003B0807">
        <w:rPr>
          <w:szCs w:val="20"/>
        </w:rPr>
        <w:t>, Patrik Wennberg</w:t>
      </w:r>
      <w:r w:rsidR="00930D71">
        <w:rPr>
          <w:szCs w:val="20"/>
          <w:vertAlign w:val="superscript"/>
        </w:rPr>
        <w:t xml:space="preserve">31 </w:t>
      </w:r>
      <w:r w:rsidR="00930D71">
        <w:rPr>
          <w:szCs w:val="20"/>
        </w:rPr>
        <w:t>MD</w:t>
      </w:r>
      <w:r w:rsidR="00930D71" w:rsidRPr="003B0807">
        <w:rPr>
          <w:szCs w:val="20"/>
        </w:rPr>
        <w:t xml:space="preserve">, </w:t>
      </w:r>
      <w:r w:rsidR="00930D71">
        <w:rPr>
          <w:szCs w:val="20"/>
        </w:rPr>
        <w:t>Prof</w:t>
      </w:r>
      <w:r w:rsidR="00930D71" w:rsidRPr="003B0807">
        <w:rPr>
          <w:szCs w:val="20"/>
        </w:rPr>
        <w:t xml:space="preserve"> John Gallacher</w:t>
      </w:r>
      <w:r w:rsidR="00930D71">
        <w:rPr>
          <w:szCs w:val="20"/>
          <w:vertAlign w:val="superscript"/>
        </w:rPr>
        <w:t xml:space="preserve">32 </w:t>
      </w:r>
      <w:r w:rsidR="00930D71">
        <w:rPr>
          <w:szCs w:val="20"/>
        </w:rPr>
        <w:t>PhD</w:t>
      </w:r>
      <w:r w:rsidR="00930D71" w:rsidRPr="003B0807">
        <w:rPr>
          <w:szCs w:val="20"/>
        </w:rPr>
        <w:t>, Agustín Gómez de la Cámara</w:t>
      </w:r>
      <w:r w:rsidR="00930D71">
        <w:rPr>
          <w:szCs w:val="20"/>
          <w:vertAlign w:val="superscript"/>
        </w:rPr>
        <w:t xml:space="preserve">33 </w:t>
      </w:r>
      <w:r w:rsidR="00930D71">
        <w:rPr>
          <w:szCs w:val="20"/>
        </w:rPr>
        <w:t>MD</w:t>
      </w:r>
      <w:r w:rsidR="00930D71" w:rsidRPr="003B0807">
        <w:rPr>
          <w:szCs w:val="20"/>
        </w:rPr>
        <w:t xml:space="preserve">, </w:t>
      </w:r>
      <w:r w:rsidR="00930D71">
        <w:rPr>
          <w:szCs w:val="20"/>
        </w:rPr>
        <w:t>Prof</w:t>
      </w:r>
      <w:r w:rsidR="00930D71" w:rsidRPr="003B0807">
        <w:rPr>
          <w:szCs w:val="20"/>
        </w:rPr>
        <w:t xml:space="preserve"> Henry Völzke</w:t>
      </w:r>
      <w:r w:rsidR="00930D71">
        <w:rPr>
          <w:szCs w:val="20"/>
          <w:vertAlign w:val="superscript"/>
        </w:rPr>
        <w:t xml:space="preserve">34 </w:t>
      </w:r>
      <w:r w:rsidR="00930D71">
        <w:rPr>
          <w:szCs w:val="20"/>
        </w:rPr>
        <w:t>MD</w:t>
      </w:r>
      <w:r w:rsidR="00930D71" w:rsidRPr="003B0807">
        <w:rPr>
          <w:szCs w:val="20"/>
        </w:rPr>
        <w:t>, Christina C Dahm</w:t>
      </w:r>
      <w:r w:rsidR="00930D71">
        <w:rPr>
          <w:szCs w:val="20"/>
          <w:vertAlign w:val="superscript"/>
        </w:rPr>
        <w:t xml:space="preserve">35 </w:t>
      </w:r>
      <w:r w:rsidR="00930D71">
        <w:rPr>
          <w:szCs w:val="20"/>
        </w:rPr>
        <w:t>PhD</w:t>
      </w:r>
      <w:r w:rsidR="00930D71" w:rsidRPr="003B0807">
        <w:rPr>
          <w:szCs w:val="20"/>
        </w:rPr>
        <w:t>, Caroline E Dale</w:t>
      </w:r>
      <w:r w:rsidR="00930D71">
        <w:rPr>
          <w:szCs w:val="20"/>
          <w:vertAlign w:val="superscript"/>
        </w:rPr>
        <w:t xml:space="preserve">36 </w:t>
      </w:r>
      <w:r w:rsidR="00930D71">
        <w:rPr>
          <w:szCs w:val="20"/>
        </w:rPr>
        <w:t>PhD</w:t>
      </w:r>
      <w:r w:rsidR="00930D71" w:rsidRPr="003B0807">
        <w:rPr>
          <w:szCs w:val="20"/>
        </w:rPr>
        <w:t xml:space="preserve">, Manuela </w:t>
      </w:r>
      <w:r w:rsidR="00930D71">
        <w:rPr>
          <w:szCs w:val="20"/>
        </w:rPr>
        <w:t>Bergmann</w:t>
      </w:r>
      <w:r w:rsidR="00930D71">
        <w:rPr>
          <w:szCs w:val="20"/>
          <w:vertAlign w:val="superscript"/>
        </w:rPr>
        <w:t>37</w:t>
      </w:r>
      <w:r w:rsidR="00930D71" w:rsidRPr="00EE169D">
        <w:rPr>
          <w:szCs w:val="20"/>
        </w:rPr>
        <w:t xml:space="preserve"> </w:t>
      </w:r>
      <w:r w:rsidR="00930D71">
        <w:rPr>
          <w:szCs w:val="20"/>
        </w:rPr>
        <w:t>PhD</w:t>
      </w:r>
      <w:r w:rsidR="00930D71" w:rsidRPr="003B0807">
        <w:rPr>
          <w:szCs w:val="20"/>
        </w:rPr>
        <w:t>, Carlos Crespo</w:t>
      </w:r>
      <w:r w:rsidR="00930D71">
        <w:rPr>
          <w:szCs w:val="20"/>
          <w:vertAlign w:val="superscript"/>
        </w:rPr>
        <w:t xml:space="preserve">38 </w:t>
      </w:r>
      <w:r w:rsidR="00930D71" w:rsidRPr="0046322F">
        <w:rPr>
          <w:szCs w:val="20"/>
        </w:rPr>
        <w:t>DrPHD</w:t>
      </w:r>
      <w:r w:rsidR="00930D71" w:rsidRPr="003B0807">
        <w:rPr>
          <w:szCs w:val="20"/>
        </w:rPr>
        <w:t xml:space="preserve">, </w:t>
      </w:r>
      <w:r w:rsidR="00930D71">
        <w:rPr>
          <w:szCs w:val="20"/>
        </w:rPr>
        <w:t>Prof</w:t>
      </w:r>
      <w:r w:rsidR="00930D71" w:rsidRPr="003B0807">
        <w:rPr>
          <w:szCs w:val="20"/>
        </w:rPr>
        <w:t xml:space="preserve"> Yvonne T van der Schouw</w:t>
      </w:r>
      <w:r w:rsidR="00930D71" w:rsidRPr="003B0807">
        <w:rPr>
          <w:szCs w:val="20"/>
          <w:vertAlign w:val="superscript"/>
        </w:rPr>
        <w:t>8</w:t>
      </w:r>
      <w:r w:rsidR="00930D71">
        <w:rPr>
          <w:szCs w:val="20"/>
          <w:vertAlign w:val="superscript"/>
        </w:rPr>
        <w:t xml:space="preserve"> </w:t>
      </w:r>
      <w:r w:rsidR="00930D71">
        <w:rPr>
          <w:szCs w:val="20"/>
        </w:rPr>
        <w:t>PhD</w:t>
      </w:r>
      <w:r w:rsidR="00930D71" w:rsidRPr="003B0807">
        <w:rPr>
          <w:szCs w:val="20"/>
        </w:rPr>
        <w:t xml:space="preserve">, </w:t>
      </w:r>
      <w:r w:rsidR="00930D71">
        <w:rPr>
          <w:szCs w:val="20"/>
        </w:rPr>
        <w:t>Prof</w:t>
      </w:r>
      <w:r w:rsidR="00930D71" w:rsidRPr="003B0807">
        <w:rPr>
          <w:szCs w:val="20"/>
        </w:rPr>
        <w:t xml:space="preserve"> Rudolf Kaaks</w:t>
      </w:r>
      <w:r w:rsidR="00930D71">
        <w:rPr>
          <w:szCs w:val="20"/>
          <w:vertAlign w:val="superscript"/>
        </w:rPr>
        <w:t xml:space="preserve">39 </w:t>
      </w:r>
      <w:r w:rsidR="00930D71">
        <w:rPr>
          <w:szCs w:val="20"/>
        </w:rPr>
        <w:t>MD</w:t>
      </w:r>
      <w:r w:rsidR="00930D71" w:rsidRPr="003B0807">
        <w:rPr>
          <w:szCs w:val="20"/>
        </w:rPr>
        <w:t>, Leon A Simons</w:t>
      </w:r>
      <w:r w:rsidR="00930D71">
        <w:rPr>
          <w:szCs w:val="20"/>
          <w:vertAlign w:val="superscript"/>
        </w:rPr>
        <w:t xml:space="preserve">40 </w:t>
      </w:r>
      <w:r w:rsidR="00930D71">
        <w:rPr>
          <w:szCs w:val="20"/>
        </w:rPr>
        <w:t>MD</w:t>
      </w:r>
      <w:r w:rsidR="00930D71" w:rsidRPr="003B0807">
        <w:rPr>
          <w:szCs w:val="20"/>
        </w:rPr>
        <w:t>, Pagona Lagiou</w:t>
      </w:r>
      <w:r w:rsidR="00930D71">
        <w:rPr>
          <w:szCs w:val="20"/>
          <w:vertAlign w:val="superscript"/>
        </w:rPr>
        <w:t>41,42</w:t>
      </w:r>
      <w:r w:rsidR="00930D71" w:rsidRPr="003B0807">
        <w:rPr>
          <w:szCs w:val="20"/>
          <w:vertAlign w:val="superscript"/>
        </w:rPr>
        <w:t>,43</w:t>
      </w:r>
      <w:r w:rsidR="00930D71">
        <w:rPr>
          <w:szCs w:val="20"/>
          <w:vertAlign w:val="superscript"/>
        </w:rPr>
        <w:t xml:space="preserve"> </w:t>
      </w:r>
      <w:r w:rsidR="00930D71">
        <w:rPr>
          <w:szCs w:val="20"/>
        </w:rPr>
        <w:t>MD</w:t>
      </w:r>
      <w:r w:rsidR="00930D71" w:rsidRPr="003B0807">
        <w:rPr>
          <w:szCs w:val="20"/>
        </w:rPr>
        <w:t>, Josje D Schoufour</w:t>
      </w:r>
      <w:r w:rsidR="00930D71">
        <w:rPr>
          <w:szCs w:val="20"/>
          <w:vertAlign w:val="superscript"/>
        </w:rPr>
        <w:t xml:space="preserve">30 </w:t>
      </w:r>
      <w:r w:rsidR="00930D71">
        <w:rPr>
          <w:szCs w:val="20"/>
        </w:rPr>
        <w:t>PhD</w:t>
      </w:r>
      <w:r w:rsidR="00930D71" w:rsidRPr="003B0807">
        <w:rPr>
          <w:szCs w:val="20"/>
        </w:rPr>
        <w:t>, Jolanda M</w:t>
      </w:r>
      <w:r w:rsidR="00930D71">
        <w:rPr>
          <w:szCs w:val="20"/>
        </w:rPr>
        <w:t xml:space="preserve"> </w:t>
      </w:r>
      <w:r w:rsidR="00930D71" w:rsidRPr="003B0807">
        <w:rPr>
          <w:szCs w:val="20"/>
        </w:rPr>
        <w:t>A Boer</w:t>
      </w:r>
      <w:r w:rsidR="00930D71" w:rsidRPr="003B0807">
        <w:rPr>
          <w:szCs w:val="20"/>
          <w:vertAlign w:val="superscript"/>
        </w:rPr>
        <w:t>8</w:t>
      </w:r>
      <w:r w:rsidR="00930D71" w:rsidRPr="00EE169D">
        <w:rPr>
          <w:szCs w:val="20"/>
        </w:rPr>
        <w:t xml:space="preserve"> </w:t>
      </w:r>
      <w:r w:rsidR="00930D71">
        <w:rPr>
          <w:szCs w:val="20"/>
        </w:rPr>
        <w:t>PhD</w:t>
      </w:r>
      <w:r w:rsidR="00930D71" w:rsidRPr="003B0807">
        <w:rPr>
          <w:szCs w:val="20"/>
        </w:rPr>
        <w:t xml:space="preserve">, </w:t>
      </w:r>
      <w:r w:rsidR="00930D71">
        <w:rPr>
          <w:szCs w:val="20"/>
        </w:rPr>
        <w:t>Prof</w:t>
      </w:r>
      <w:r w:rsidR="00930D71" w:rsidRPr="003B0807">
        <w:rPr>
          <w:szCs w:val="20"/>
        </w:rPr>
        <w:t xml:space="preserve"> Timothy J Key</w:t>
      </w:r>
      <w:r w:rsidR="00930D71">
        <w:rPr>
          <w:szCs w:val="20"/>
          <w:vertAlign w:val="superscript"/>
        </w:rPr>
        <w:t xml:space="preserve">44 </w:t>
      </w:r>
      <w:r w:rsidR="00930D71">
        <w:rPr>
          <w:szCs w:val="20"/>
        </w:rPr>
        <w:t>DPhil</w:t>
      </w:r>
      <w:r w:rsidR="00930D71" w:rsidRPr="003B0807">
        <w:rPr>
          <w:szCs w:val="20"/>
        </w:rPr>
        <w:t xml:space="preserve">, </w:t>
      </w:r>
      <w:r w:rsidR="00930D71">
        <w:rPr>
          <w:szCs w:val="20"/>
        </w:rPr>
        <w:t>Prof</w:t>
      </w:r>
      <w:r w:rsidR="00930D71" w:rsidRPr="003B0807">
        <w:rPr>
          <w:szCs w:val="20"/>
        </w:rPr>
        <w:t xml:space="preserve"> Beatriz Rodriguez</w:t>
      </w:r>
      <w:r w:rsidR="00930D71">
        <w:rPr>
          <w:szCs w:val="20"/>
          <w:vertAlign w:val="superscript"/>
        </w:rPr>
        <w:t xml:space="preserve">45 </w:t>
      </w:r>
      <w:r w:rsidR="00930D71">
        <w:rPr>
          <w:szCs w:val="20"/>
        </w:rPr>
        <w:t>MD</w:t>
      </w:r>
      <w:r w:rsidR="00930D71" w:rsidRPr="003B0807">
        <w:rPr>
          <w:szCs w:val="20"/>
        </w:rPr>
        <w:t>, Conchi Moreno-Iribas</w:t>
      </w:r>
      <w:r w:rsidR="00930D71">
        <w:rPr>
          <w:szCs w:val="20"/>
          <w:vertAlign w:val="superscript"/>
        </w:rPr>
        <w:t xml:space="preserve">46,47 </w:t>
      </w:r>
      <w:r w:rsidR="00930D71">
        <w:rPr>
          <w:szCs w:val="20"/>
        </w:rPr>
        <w:t>PhD</w:t>
      </w:r>
      <w:r w:rsidR="00930D71" w:rsidRPr="003B0807">
        <w:rPr>
          <w:szCs w:val="20"/>
        </w:rPr>
        <w:t>, Karina W Davidson</w:t>
      </w:r>
      <w:r w:rsidR="00930D71">
        <w:rPr>
          <w:szCs w:val="20"/>
          <w:vertAlign w:val="superscript"/>
        </w:rPr>
        <w:t xml:space="preserve">48 </w:t>
      </w:r>
      <w:r w:rsidR="00930D71">
        <w:rPr>
          <w:szCs w:val="20"/>
        </w:rPr>
        <w:t>PhD</w:t>
      </w:r>
      <w:r w:rsidR="00930D71" w:rsidRPr="003B0807">
        <w:rPr>
          <w:szCs w:val="20"/>
        </w:rPr>
        <w:t>, James O Taylor</w:t>
      </w:r>
      <w:r w:rsidR="00930D71">
        <w:rPr>
          <w:szCs w:val="20"/>
          <w:vertAlign w:val="superscript"/>
        </w:rPr>
        <w:t xml:space="preserve">49 </w:t>
      </w:r>
      <w:r w:rsidR="00930D71">
        <w:rPr>
          <w:szCs w:val="20"/>
        </w:rPr>
        <w:t>MD</w:t>
      </w:r>
      <w:r w:rsidR="00930D71" w:rsidRPr="003B0807">
        <w:rPr>
          <w:szCs w:val="20"/>
        </w:rPr>
        <w:t>, Carlotta Sacerdote</w:t>
      </w:r>
      <w:r w:rsidR="00930D71">
        <w:rPr>
          <w:szCs w:val="20"/>
          <w:vertAlign w:val="superscript"/>
        </w:rPr>
        <w:t xml:space="preserve">50 </w:t>
      </w:r>
      <w:r w:rsidR="00930D71">
        <w:rPr>
          <w:szCs w:val="20"/>
        </w:rPr>
        <w:t>PhD</w:t>
      </w:r>
      <w:r w:rsidR="00930D71" w:rsidRPr="003B0807">
        <w:rPr>
          <w:szCs w:val="20"/>
        </w:rPr>
        <w:t xml:space="preserve">, </w:t>
      </w:r>
      <w:r w:rsidR="00930D71">
        <w:rPr>
          <w:szCs w:val="20"/>
        </w:rPr>
        <w:t>Prof</w:t>
      </w:r>
      <w:r w:rsidR="00930D71" w:rsidRPr="003B0807">
        <w:rPr>
          <w:szCs w:val="20"/>
        </w:rPr>
        <w:t xml:space="preserve"> Robert B Wallace</w:t>
      </w:r>
      <w:r w:rsidR="00930D71">
        <w:rPr>
          <w:szCs w:val="20"/>
          <w:vertAlign w:val="superscript"/>
        </w:rPr>
        <w:t xml:space="preserve">51 </w:t>
      </w:r>
      <w:r w:rsidR="00930D71" w:rsidRPr="0046322F">
        <w:rPr>
          <w:szCs w:val="20"/>
        </w:rPr>
        <w:t>MD</w:t>
      </w:r>
      <w:r w:rsidR="00930D71" w:rsidRPr="003B0807">
        <w:rPr>
          <w:szCs w:val="20"/>
        </w:rPr>
        <w:t>, J Ramon Quiros</w:t>
      </w:r>
      <w:r w:rsidR="00930D71">
        <w:rPr>
          <w:szCs w:val="20"/>
          <w:vertAlign w:val="superscript"/>
        </w:rPr>
        <w:t xml:space="preserve">52 </w:t>
      </w:r>
      <w:r w:rsidR="00930D71">
        <w:rPr>
          <w:szCs w:val="20"/>
        </w:rPr>
        <w:t>MD</w:t>
      </w:r>
      <w:r w:rsidR="00930D71" w:rsidRPr="003B0807">
        <w:rPr>
          <w:szCs w:val="20"/>
        </w:rPr>
        <w:t xml:space="preserve">, </w:t>
      </w:r>
      <w:r w:rsidR="00930D71">
        <w:rPr>
          <w:szCs w:val="20"/>
        </w:rPr>
        <w:t>Prof</w:t>
      </w:r>
      <w:r w:rsidR="00930D71" w:rsidRPr="003B0807">
        <w:rPr>
          <w:szCs w:val="20"/>
        </w:rPr>
        <w:t xml:space="preserve"> Rosario Tumino</w:t>
      </w:r>
      <w:r w:rsidR="00930D71">
        <w:rPr>
          <w:szCs w:val="20"/>
          <w:vertAlign w:val="superscript"/>
        </w:rPr>
        <w:t xml:space="preserve">53 </w:t>
      </w:r>
      <w:r w:rsidR="00930D71">
        <w:rPr>
          <w:szCs w:val="20"/>
        </w:rPr>
        <w:t>MD</w:t>
      </w:r>
      <w:r w:rsidR="00930D71" w:rsidRPr="003B0807">
        <w:rPr>
          <w:szCs w:val="20"/>
        </w:rPr>
        <w:t>, Dan G Blazer III</w:t>
      </w:r>
      <w:r w:rsidR="00930D71">
        <w:rPr>
          <w:szCs w:val="20"/>
          <w:vertAlign w:val="superscript"/>
        </w:rPr>
        <w:t xml:space="preserve">54 </w:t>
      </w:r>
      <w:r w:rsidR="00930D71">
        <w:rPr>
          <w:szCs w:val="20"/>
        </w:rPr>
        <w:t>MD</w:t>
      </w:r>
      <w:r w:rsidR="00930D71" w:rsidRPr="003B0807">
        <w:rPr>
          <w:szCs w:val="20"/>
        </w:rPr>
        <w:t xml:space="preserve">, </w:t>
      </w:r>
      <w:r w:rsidR="00930D71">
        <w:rPr>
          <w:szCs w:val="20"/>
        </w:rPr>
        <w:t>Prof</w:t>
      </w:r>
      <w:r w:rsidR="00930D71" w:rsidRPr="003B0807">
        <w:rPr>
          <w:szCs w:val="20"/>
        </w:rPr>
        <w:t xml:space="preserve"> Allan Linneberg</w:t>
      </w:r>
      <w:r w:rsidR="00930D71" w:rsidRPr="003B0807">
        <w:rPr>
          <w:szCs w:val="20"/>
          <w:vertAlign w:val="superscript"/>
        </w:rPr>
        <w:t>16</w:t>
      </w:r>
      <w:r w:rsidR="00930D71">
        <w:rPr>
          <w:szCs w:val="20"/>
          <w:vertAlign w:val="superscript"/>
        </w:rPr>
        <w:t xml:space="preserve"> </w:t>
      </w:r>
      <w:r w:rsidR="00930D71">
        <w:rPr>
          <w:szCs w:val="20"/>
        </w:rPr>
        <w:t>MD</w:t>
      </w:r>
      <w:r w:rsidR="00930D71" w:rsidRPr="003B0807">
        <w:rPr>
          <w:szCs w:val="20"/>
        </w:rPr>
        <w:t>, Makoto Daimon</w:t>
      </w:r>
      <w:r w:rsidR="00930D71">
        <w:rPr>
          <w:szCs w:val="20"/>
          <w:vertAlign w:val="superscript"/>
        </w:rPr>
        <w:t xml:space="preserve">55 </w:t>
      </w:r>
      <w:r w:rsidR="00930D71">
        <w:rPr>
          <w:szCs w:val="20"/>
        </w:rPr>
        <w:t>MD</w:t>
      </w:r>
      <w:r w:rsidR="00930D71" w:rsidRPr="003B0807">
        <w:rPr>
          <w:szCs w:val="20"/>
        </w:rPr>
        <w:t>, Salvatore Panico</w:t>
      </w:r>
      <w:r w:rsidR="00930D71">
        <w:rPr>
          <w:szCs w:val="20"/>
          <w:vertAlign w:val="superscript"/>
        </w:rPr>
        <w:t xml:space="preserve">56 </w:t>
      </w:r>
      <w:r w:rsidR="00930D71">
        <w:rPr>
          <w:szCs w:val="20"/>
        </w:rPr>
        <w:t>MD</w:t>
      </w:r>
      <w:r w:rsidR="00930D71" w:rsidRPr="003B0807">
        <w:rPr>
          <w:szCs w:val="20"/>
        </w:rPr>
        <w:t>, Barbara Howard</w:t>
      </w:r>
      <w:r w:rsidR="00930D71">
        <w:rPr>
          <w:szCs w:val="20"/>
          <w:vertAlign w:val="superscript"/>
        </w:rPr>
        <w:t xml:space="preserve">57 </w:t>
      </w:r>
      <w:r w:rsidR="00930D71">
        <w:rPr>
          <w:szCs w:val="20"/>
        </w:rPr>
        <w:t>PhD</w:t>
      </w:r>
      <w:r w:rsidR="00930D71" w:rsidRPr="003B0807">
        <w:rPr>
          <w:szCs w:val="20"/>
        </w:rPr>
        <w:t>, Guri Skeie</w:t>
      </w:r>
      <w:r w:rsidR="00930D71">
        <w:rPr>
          <w:szCs w:val="20"/>
          <w:vertAlign w:val="superscript"/>
        </w:rPr>
        <w:t xml:space="preserve">58 </w:t>
      </w:r>
      <w:r w:rsidR="00930D71">
        <w:rPr>
          <w:szCs w:val="20"/>
        </w:rPr>
        <w:t>PhD</w:t>
      </w:r>
      <w:r w:rsidR="00930D71" w:rsidRPr="003B0807">
        <w:rPr>
          <w:szCs w:val="20"/>
        </w:rPr>
        <w:t xml:space="preserve">, </w:t>
      </w:r>
      <w:r w:rsidR="00930D71">
        <w:rPr>
          <w:szCs w:val="20"/>
        </w:rPr>
        <w:t>Prof</w:t>
      </w:r>
      <w:r w:rsidR="00930D71" w:rsidRPr="003B0807">
        <w:rPr>
          <w:szCs w:val="20"/>
        </w:rPr>
        <w:t xml:space="preserve"> Timo Strandberg</w:t>
      </w:r>
      <w:r w:rsidR="00930D71">
        <w:rPr>
          <w:szCs w:val="20"/>
          <w:vertAlign w:val="superscript"/>
        </w:rPr>
        <w:t xml:space="preserve">59,60 </w:t>
      </w:r>
      <w:r w:rsidR="00930D71">
        <w:rPr>
          <w:szCs w:val="20"/>
        </w:rPr>
        <w:t>MD</w:t>
      </w:r>
      <w:r w:rsidR="00930D71" w:rsidRPr="003B0807">
        <w:rPr>
          <w:szCs w:val="20"/>
        </w:rPr>
        <w:t xml:space="preserve">, </w:t>
      </w:r>
      <w:r w:rsidR="00930D71">
        <w:rPr>
          <w:szCs w:val="20"/>
        </w:rPr>
        <w:t>Prof</w:t>
      </w:r>
      <w:r w:rsidR="00930D71" w:rsidRPr="003B0807">
        <w:rPr>
          <w:szCs w:val="20"/>
        </w:rPr>
        <w:t xml:space="preserve"> Elisabete Weiderpass</w:t>
      </w:r>
      <w:r w:rsidR="00930D71">
        <w:rPr>
          <w:szCs w:val="20"/>
          <w:vertAlign w:val="superscript"/>
        </w:rPr>
        <w:t>61,62,63</w:t>
      </w:r>
      <w:r w:rsidR="00930D71" w:rsidRPr="003B0807">
        <w:rPr>
          <w:szCs w:val="20"/>
          <w:vertAlign w:val="superscript"/>
        </w:rPr>
        <w:t>,64</w:t>
      </w:r>
      <w:r w:rsidR="00930D71">
        <w:rPr>
          <w:szCs w:val="20"/>
          <w:vertAlign w:val="superscript"/>
        </w:rPr>
        <w:t xml:space="preserve"> </w:t>
      </w:r>
      <w:r w:rsidR="00930D71">
        <w:rPr>
          <w:szCs w:val="20"/>
        </w:rPr>
        <w:t>PhD</w:t>
      </w:r>
      <w:r w:rsidR="00930D71" w:rsidRPr="0046322F">
        <w:t>,</w:t>
      </w:r>
      <w:r w:rsidR="00930D71" w:rsidRPr="003B0807">
        <w:rPr>
          <w:szCs w:val="20"/>
        </w:rPr>
        <w:t xml:space="preserve"> </w:t>
      </w:r>
      <w:r w:rsidR="00930D71">
        <w:rPr>
          <w:szCs w:val="20"/>
        </w:rPr>
        <w:t>Prof</w:t>
      </w:r>
      <w:r w:rsidR="00930D71" w:rsidRPr="003B0807">
        <w:rPr>
          <w:szCs w:val="20"/>
        </w:rPr>
        <w:t xml:space="preserve"> Paul J Nietert</w:t>
      </w:r>
      <w:r w:rsidR="00930D71">
        <w:rPr>
          <w:szCs w:val="20"/>
          <w:vertAlign w:val="superscript"/>
        </w:rPr>
        <w:t xml:space="preserve">65 </w:t>
      </w:r>
      <w:r w:rsidR="00930D71">
        <w:rPr>
          <w:szCs w:val="20"/>
        </w:rPr>
        <w:t>PhD</w:t>
      </w:r>
      <w:r w:rsidR="00930D71" w:rsidRPr="003B0807">
        <w:rPr>
          <w:szCs w:val="20"/>
        </w:rPr>
        <w:t xml:space="preserve">, </w:t>
      </w:r>
      <w:r w:rsidR="00930D71">
        <w:rPr>
          <w:szCs w:val="20"/>
        </w:rPr>
        <w:t>Prof</w:t>
      </w:r>
      <w:r w:rsidR="00930D71" w:rsidRPr="003B0807">
        <w:rPr>
          <w:szCs w:val="20"/>
        </w:rPr>
        <w:t xml:space="preserve"> Bruce M Psaty</w:t>
      </w:r>
      <w:r w:rsidR="00930D71">
        <w:rPr>
          <w:szCs w:val="20"/>
          <w:vertAlign w:val="superscript"/>
        </w:rPr>
        <w:t xml:space="preserve">66,67 </w:t>
      </w:r>
      <w:r w:rsidR="00930D71">
        <w:rPr>
          <w:szCs w:val="20"/>
        </w:rPr>
        <w:t>MD</w:t>
      </w:r>
      <w:r w:rsidR="00930D71" w:rsidRPr="003B0807">
        <w:rPr>
          <w:szCs w:val="20"/>
        </w:rPr>
        <w:t xml:space="preserve">, </w:t>
      </w:r>
      <w:r w:rsidR="00930D71">
        <w:rPr>
          <w:szCs w:val="20"/>
        </w:rPr>
        <w:t>Prof</w:t>
      </w:r>
      <w:r w:rsidR="00930D71" w:rsidRPr="003B0807">
        <w:rPr>
          <w:szCs w:val="20"/>
        </w:rPr>
        <w:t xml:space="preserve"> Daan Kromhout</w:t>
      </w:r>
      <w:r w:rsidR="00930D71">
        <w:rPr>
          <w:szCs w:val="20"/>
          <w:vertAlign w:val="superscript"/>
        </w:rPr>
        <w:t xml:space="preserve">68,69 </w:t>
      </w:r>
      <w:r w:rsidR="00930D71">
        <w:rPr>
          <w:szCs w:val="20"/>
        </w:rPr>
        <w:t>PhD</w:t>
      </w:r>
      <w:r w:rsidR="00930D71" w:rsidRPr="003B0807">
        <w:rPr>
          <w:szCs w:val="20"/>
        </w:rPr>
        <w:t>, Elena Salamanca-Fernandez</w:t>
      </w:r>
      <w:r w:rsidR="00930D71">
        <w:rPr>
          <w:szCs w:val="20"/>
          <w:vertAlign w:val="superscript"/>
        </w:rPr>
        <w:t xml:space="preserve">70,71 </w:t>
      </w:r>
      <w:r w:rsidR="00930D71">
        <w:rPr>
          <w:szCs w:val="20"/>
        </w:rPr>
        <w:t>MSc</w:t>
      </w:r>
      <w:r w:rsidR="00930D71" w:rsidRPr="003B0807">
        <w:rPr>
          <w:szCs w:val="20"/>
        </w:rPr>
        <w:t>, Stefan Kiechl</w:t>
      </w:r>
      <w:r w:rsidR="00930D71" w:rsidRPr="003B0807">
        <w:rPr>
          <w:szCs w:val="20"/>
          <w:vertAlign w:val="superscript"/>
        </w:rPr>
        <w:t>2</w:t>
      </w:r>
      <w:r w:rsidR="00930D71">
        <w:rPr>
          <w:szCs w:val="20"/>
          <w:vertAlign w:val="superscript"/>
        </w:rPr>
        <w:t xml:space="preserve"> </w:t>
      </w:r>
      <w:r w:rsidR="00930D71">
        <w:rPr>
          <w:szCs w:val="20"/>
        </w:rPr>
        <w:t>MD</w:t>
      </w:r>
      <w:r w:rsidR="00930D71" w:rsidRPr="003B0807">
        <w:rPr>
          <w:szCs w:val="20"/>
        </w:rPr>
        <w:t xml:space="preserve">, </w:t>
      </w:r>
      <w:r w:rsidR="00930D71">
        <w:rPr>
          <w:szCs w:val="20"/>
        </w:rPr>
        <w:t>Prof</w:t>
      </w:r>
      <w:r w:rsidR="00930D71" w:rsidRPr="003B0807">
        <w:rPr>
          <w:szCs w:val="20"/>
        </w:rPr>
        <w:t xml:space="preserve"> Harlan M Krumholz</w:t>
      </w:r>
      <w:r w:rsidR="00930D71">
        <w:rPr>
          <w:szCs w:val="20"/>
          <w:vertAlign w:val="superscript"/>
        </w:rPr>
        <w:t xml:space="preserve">72 </w:t>
      </w:r>
      <w:r w:rsidR="00930D71">
        <w:rPr>
          <w:szCs w:val="20"/>
        </w:rPr>
        <w:t>MD</w:t>
      </w:r>
      <w:r w:rsidR="00930D71" w:rsidRPr="003B0807">
        <w:rPr>
          <w:szCs w:val="20"/>
        </w:rPr>
        <w:t>, Sara Grioni</w:t>
      </w:r>
      <w:r w:rsidR="00930D71">
        <w:rPr>
          <w:szCs w:val="20"/>
          <w:vertAlign w:val="superscript"/>
        </w:rPr>
        <w:t xml:space="preserve">73 </w:t>
      </w:r>
      <w:r w:rsidR="00930D71">
        <w:rPr>
          <w:szCs w:val="20"/>
        </w:rPr>
        <w:t>MSc</w:t>
      </w:r>
      <w:r w:rsidR="00930D71" w:rsidRPr="003B0807">
        <w:rPr>
          <w:szCs w:val="20"/>
        </w:rPr>
        <w:t>, Domenico Palli</w:t>
      </w:r>
      <w:r w:rsidR="00930D71">
        <w:rPr>
          <w:szCs w:val="20"/>
          <w:vertAlign w:val="superscript"/>
        </w:rPr>
        <w:t xml:space="preserve">74 </w:t>
      </w:r>
      <w:r w:rsidR="00930D71">
        <w:rPr>
          <w:szCs w:val="20"/>
        </w:rPr>
        <w:t>MD</w:t>
      </w:r>
      <w:r w:rsidR="00930D71" w:rsidRPr="003B0807">
        <w:rPr>
          <w:szCs w:val="20"/>
        </w:rPr>
        <w:t>, José M Huerta</w:t>
      </w:r>
      <w:r w:rsidR="00930D71">
        <w:rPr>
          <w:szCs w:val="20"/>
          <w:vertAlign w:val="superscript"/>
        </w:rPr>
        <w:t xml:space="preserve">75,76 </w:t>
      </w:r>
      <w:r w:rsidR="00930D71">
        <w:rPr>
          <w:szCs w:val="20"/>
        </w:rPr>
        <w:t>PhD</w:t>
      </w:r>
      <w:r w:rsidR="00930D71" w:rsidRPr="003B0807">
        <w:rPr>
          <w:szCs w:val="20"/>
        </w:rPr>
        <w:t xml:space="preserve">, </w:t>
      </w:r>
      <w:r w:rsidR="00930D71">
        <w:rPr>
          <w:szCs w:val="20"/>
        </w:rPr>
        <w:t>Prof</w:t>
      </w:r>
      <w:r w:rsidR="00930D71" w:rsidRPr="003B0807">
        <w:rPr>
          <w:szCs w:val="20"/>
        </w:rPr>
        <w:t xml:space="preserve"> Jackie Price</w:t>
      </w:r>
      <w:r w:rsidR="00930D71">
        <w:rPr>
          <w:szCs w:val="20"/>
          <w:vertAlign w:val="superscript"/>
        </w:rPr>
        <w:t xml:space="preserve">77 </w:t>
      </w:r>
      <w:r w:rsidR="00930D71">
        <w:rPr>
          <w:szCs w:val="20"/>
        </w:rPr>
        <w:t>MD</w:t>
      </w:r>
      <w:r w:rsidR="00930D71" w:rsidRPr="003B0807">
        <w:rPr>
          <w:szCs w:val="20"/>
        </w:rPr>
        <w:t xml:space="preserve">, </w:t>
      </w:r>
      <w:r w:rsidR="00930D71">
        <w:rPr>
          <w:szCs w:val="20"/>
        </w:rPr>
        <w:t>Prof</w:t>
      </w:r>
      <w:r w:rsidR="00930D71" w:rsidRPr="003B0807">
        <w:rPr>
          <w:szCs w:val="20"/>
        </w:rPr>
        <w:t xml:space="preserve"> Johan Sundström</w:t>
      </w:r>
      <w:r w:rsidR="00930D71">
        <w:rPr>
          <w:szCs w:val="20"/>
          <w:vertAlign w:val="superscript"/>
        </w:rPr>
        <w:t xml:space="preserve">78 </w:t>
      </w:r>
      <w:r w:rsidR="00930D71">
        <w:rPr>
          <w:szCs w:val="20"/>
        </w:rPr>
        <w:t>MD</w:t>
      </w:r>
      <w:r w:rsidR="00930D71" w:rsidRPr="003B0807">
        <w:rPr>
          <w:szCs w:val="20"/>
        </w:rPr>
        <w:t>, Larraitz Arriola</w:t>
      </w:r>
      <w:r w:rsidR="00930D71">
        <w:rPr>
          <w:szCs w:val="20"/>
          <w:vertAlign w:val="superscript"/>
        </w:rPr>
        <w:t xml:space="preserve">71,79 </w:t>
      </w:r>
      <w:r w:rsidR="00930D71">
        <w:rPr>
          <w:szCs w:val="20"/>
        </w:rPr>
        <w:t>MD</w:t>
      </w:r>
      <w:r w:rsidR="00930D71" w:rsidRPr="003B0807">
        <w:rPr>
          <w:szCs w:val="20"/>
        </w:rPr>
        <w:t xml:space="preserve">, </w:t>
      </w:r>
      <w:r w:rsidR="00930D71">
        <w:rPr>
          <w:szCs w:val="20"/>
        </w:rPr>
        <w:t>Prof</w:t>
      </w:r>
      <w:r w:rsidR="00930D71" w:rsidRPr="003B0807">
        <w:rPr>
          <w:szCs w:val="20"/>
        </w:rPr>
        <w:t xml:space="preserve"> Hisatomi Arima</w:t>
      </w:r>
      <w:r w:rsidR="00930D71">
        <w:rPr>
          <w:szCs w:val="20"/>
          <w:vertAlign w:val="superscript"/>
        </w:rPr>
        <w:t xml:space="preserve">80,80 </w:t>
      </w:r>
      <w:r w:rsidR="00930D71">
        <w:rPr>
          <w:szCs w:val="20"/>
        </w:rPr>
        <w:t>MD</w:t>
      </w:r>
      <w:r w:rsidR="00930D71" w:rsidRPr="003B0807">
        <w:rPr>
          <w:szCs w:val="20"/>
        </w:rPr>
        <w:t>, Ruth C Travis</w:t>
      </w:r>
      <w:r w:rsidR="00930D71">
        <w:rPr>
          <w:szCs w:val="20"/>
          <w:vertAlign w:val="superscript"/>
        </w:rPr>
        <w:t xml:space="preserve">44 </w:t>
      </w:r>
      <w:r w:rsidR="00930D71">
        <w:rPr>
          <w:szCs w:val="20"/>
        </w:rPr>
        <w:t>DPhil</w:t>
      </w:r>
      <w:r w:rsidR="00930D71" w:rsidRPr="003B0807">
        <w:rPr>
          <w:szCs w:val="20"/>
        </w:rPr>
        <w:t xml:space="preserve">, </w:t>
      </w:r>
      <w:r w:rsidR="00930D71">
        <w:rPr>
          <w:szCs w:val="20"/>
        </w:rPr>
        <w:t>Prof</w:t>
      </w:r>
      <w:r w:rsidR="00930D71" w:rsidRPr="003B0807">
        <w:rPr>
          <w:szCs w:val="20"/>
        </w:rPr>
        <w:t xml:space="preserve"> Demosthenes B Panagiotakos</w:t>
      </w:r>
      <w:r w:rsidR="00930D71">
        <w:rPr>
          <w:szCs w:val="20"/>
          <w:vertAlign w:val="superscript"/>
        </w:rPr>
        <w:t xml:space="preserve">82 </w:t>
      </w:r>
      <w:r w:rsidR="00930D71">
        <w:rPr>
          <w:szCs w:val="20"/>
        </w:rPr>
        <w:t>PhD</w:t>
      </w:r>
      <w:r w:rsidR="00930D71" w:rsidRPr="003B0807">
        <w:rPr>
          <w:szCs w:val="20"/>
        </w:rPr>
        <w:t>, Anna Karakatsani</w:t>
      </w:r>
      <w:r w:rsidR="00930D71">
        <w:rPr>
          <w:szCs w:val="20"/>
          <w:vertAlign w:val="superscript"/>
        </w:rPr>
        <w:t xml:space="preserve">41,42 </w:t>
      </w:r>
      <w:r w:rsidR="00930D71">
        <w:rPr>
          <w:szCs w:val="20"/>
        </w:rPr>
        <w:t>MD</w:t>
      </w:r>
      <w:r w:rsidR="00930D71" w:rsidRPr="003B0807">
        <w:rPr>
          <w:szCs w:val="20"/>
        </w:rPr>
        <w:t xml:space="preserve">, </w:t>
      </w:r>
      <w:r w:rsidR="00930D71">
        <w:rPr>
          <w:szCs w:val="20"/>
        </w:rPr>
        <w:t>Prof</w:t>
      </w:r>
      <w:r w:rsidR="00930D71" w:rsidRPr="003B0807">
        <w:rPr>
          <w:szCs w:val="20"/>
        </w:rPr>
        <w:t xml:space="preserve"> Antonia Trichopoulou</w:t>
      </w:r>
      <w:r w:rsidR="00930D71">
        <w:rPr>
          <w:szCs w:val="20"/>
          <w:vertAlign w:val="superscript"/>
        </w:rPr>
        <w:t xml:space="preserve">41,42 </w:t>
      </w:r>
      <w:r w:rsidR="00930D71">
        <w:rPr>
          <w:szCs w:val="20"/>
        </w:rPr>
        <w:t>MD</w:t>
      </w:r>
      <w:r w:rsidR="00930D71" w:rsidRPr="003B0807">
        <w:rPr>
          <w:szCs w:val="20"/>
        </w:rPr>
        <w:t xml:space="preserve">, Tilman </w:t>
      </w:r>
      <w:r w:rsidR="00930D71">
        <w:rPr>
          <w:szCs w:val="20"/>
        </w:rPr>
        <w:t>Kühn</w:t>
      </w:r>
      <w:r w:rsidR="00930D71">
        <w:rPr>
          <w:szCs w:val="20"/>
          <w:vertAlign w:val="superscript"/>
        </w:rPr>
        <w:t xml:space="preserve">29 </w:t>
      </w:r>
      <w:r w:rsidR="00930D71">
        <w:rPr>
          <w:szCs w:val="20"/>
        </w:rPr>
        <w:t>PhD, Prof</w:t>
      </w:r>
      <w:r w:rsidR="00930D71" w:rsidRPr="003B0807">
        <w:rPr>
          <w:szCs w:val="20"/>
        </w:rPr>
        <w:t xml:space="preserve"> Diederick E </w:t>
      </w:r>
      <w:r w:rsidR="00930D71">
        <w:rPr>
          <w:szCs w:val="20"/>
        </w:rPr>
        <w:t>Grobbee</w:t>
      </w:r>
      <w:r w:rsidR="00930D71">
        <w:rPr>
          <w:szCs w:val="20"/>
          <w:vertAlign w:val="superscript"/>
        </w:rPr>
        <w:t xml:space="preserve">83 </w:t>
      </w:r>
      <w:r w:rsidR="00930D71">
        <w:rPr>
          <w:szCs w:val="20"/>
        </w:rPr>
        <w:t>MD</w:t>
      </w:r>
      <w:r w:rsidR="00930D71" w:rsidRPr="003B0807">
        <w:rPr>
          <w:szCs w:val="20"/>
        </w:rPr>
        <w:t>, Elizabeth Barrett-Connor</w:t>
      </w:r>
      <w:r w:rsidR="00930D71">
        <w:rPr>
          <w:szCs w:val="20"/>
          <w:vertAlign w:val="superscript"/>
        </w:rPr>
        <w:t xml:space="preserve">84 </w:t>
      </w:r>
      <w:r w:rsidR="00930D71">
        <w:rPr>
          <w:szCs w:val="20"/>
        </w:rPr>
        <w:t>MD</w:t>
      </w:r>
      <w:r w:rsidR="00930D71" w:rsidRPr="003B0807">
        <w:rPr>
          <w:szCs w:val="20"/>
        </w:rPr>
        <w:t xml:space="preserve">, Natasja van </w:t>
      </w:r>
      <w:r w:rsidR="00930D71">
        <w:rPr>
          <w:szCs w:val="20"/>
        </w:rPr>
        <w:t>Schoor</w:t>
      </w:r>
      <w:r w:rsidR="00930D71">
        <w:rPr>
          <w:szCs w:val="20"/>
          <w:vertAlign w:val="superscript"/>
        </w:rPr>
        <w:t xml:space="preserve">85 </w:t>
      </w:r>
      <w:r w:rsidR="00930D71">
        <w:rPr>
          <w:szCs w:val="20"/>
        </w:rPr>
        <w:t>MD</w:t>
      </w:r>
      <w:r w:rsidR="00930D71" w:rsidRPr="003B0807">
        <w:rPr>
          <w:szCs w:val="20"/>
        </w:rPr>
        <w:t xml:space="preserve">, </w:t>
      </w:r>
      <w:r w:rsidR="00930D71">
        <w:rPr>
          <w:szCs w:val="20"/>
        </w:rPr>
        <w:t>Prof</w:t>
      </w:r>
      <w:r w:rsidR="00930D71" w:rsidRPr="003B0807">
        <w:rPr>
          <w:szCs w:val="20"/>
        </w:rPr>
        <w:t xml:space="preserve"> Heiner Boeing</w:t>
      </w:r>
      <w:r w:rsidR="00930D71">
        <w:rPr>
          <w:szCs w:val="20"/>
          <w:vertAlign w:val="superscript"/>
        </w:rPr>
        <w:t xml:space="preserve">37 </w:t>
      </w:r>
      <w:r w:rsidR="00930D71">
        <w:rPr>
          <w:szCs w:val="20"/>
        </w:rPr>
        <w:t>PhD</w:t>
      </w:r>
      <w:r w:rsidR="00930D71" w:rsidRPr="003B0807">
        <w:rPr>
          <w:szCs w:val="20"/>
        </w:rPr>
        <w:t xml:space="preserve">, </w:t>
      </w:r>
      <w:r w:rsidR="00930D71">
        <w:rPr>
          <w:szCs w:val="20"/>
        </w:rPr>
        <w:t>Prof</w:t>
      </w:r>
      <w:r w:rsidR="00930D71" w:rsidRPr="003B0807">
        <w:rPr>
          <w:szCs w:val="20"/>
        </w:rPr>
        <w:t xml:space="preserve"> Kim Overvad</w:t>
      </w:r>
      <w:r w:rsidR="00930D71">
        <w:rPr>
          <w:szCs w:val="20"/>
          <w:vertAlign w:val="superscript"/>
        </w:rPr>
        <w:t xml:space="preserve">86,87 </w:t>
      </w:r>
      <w:r w:rsidR="00930D71">
        <w:rPr>
          <w:szCs w:val="20"/>
        </w:rPr>
        <w:t>MD</w:t>
      </w:r>
      <w:r w:rsidR="00930D71" w:rsidRPr="003B0807">
        <w:rPr>
          <w:szCs w:val="20"/>
        </w:rPr>
        <w:t xml:space="preserve">, </w:t>
      </w:r>
      <w:r w:rsidR="00930D71">
        <w:rPr>
          <w:szCs w:val="20"/>
        </w:rPr>
        <w:t>Prof</w:t>
      </w:r>
      <w:r w:rsidR="00930D71" w:rsidRPr="003B0807">
        <w:rPr>
          <w:szCs w:val="20"/>
        </w:rPr>
        <w:t xml:space="preserve"> Jussi Kauhanen</w:t>
      </w:r>
      <w:r w:rsidR="00930D71">
        <w:rPr>
          <w:szCs w:val="20"/>
          <w:vertAlign w:val="superscript"/>
        </w:rPr>
        <w:t xml:space="preserve">88 </w:t>
      </w:r>
      <w:r w:rsidR="00930D71">
        <w:rPr>
          <w:szCs w:val="20"/>
        </w:rPr>
        <w:t>MD</w:t>
      </w:r>
      <w:r w:rsidR="00930D71" w:rsidRPr="003B0807">
        <w:rPr>
          <w:szCs w:val="20"/>
        </w:rPr>
        <w:t xml:space="preserve">, </w:t>
      </w:r>
      <w:r w:rsidR="00930D71">
        <w:rPr>
          <w:szCs w:val="20"/>
        </w:rPr>
        <w:t>Prof</w:t>
      </w:r>
      <w:r w:rsidR="00930D71" w:rsidRPr="003B0807">
        <w:rPr>
          <w:szCs w:val="20"/>
        </w:rPr>
        <w:t xml:space="preserve"> Nick Wareham</w:t>
      </w:r>
      <w:r w:rsidR="00930D71">
        <w:rPr>
          <w:szCs w:val="20"/>
          <w:vertAlign w:val="superscript"/>
        </w:rPr>
        <w:t xml:space="preserve">89 </w:t>
      </w:r>
      <w:r w:rsidR="00930D71">
        <w:rPr>
          <w:szCs w:val="20"/>
        </w:rPr>
        <w:t>MD</w:t>
      </w:r>
      <w:r w:rsidR="00930D71" w:rsidRPr="003B0807">
        <w:rPr>
          <w:szCs w:val="20"/>
        </w:rPr>
        <w:t>, Claudia Langenberg</w:t>
      </w:r>
      <w:r w:rsidR="00930D71">
        <w:rPr>
          <w:szCs w:val="20"/>
          <w:vertAlign w:val="superscript"/>
        </w:rPr>
        <w:t xml:space="preserve">89 </w:t>
      </w:r>
      <w:r w:rsidR="00930D71">
        <w:rPr>
          <w:szCs w:val="20"/>
        </w:rPr>
        <w:t>MD</w:t>
      </w:r>
      <w:r w:rsidR="00930D71" w:rsidRPr="003B0807">
        <w:rPr>
          <w:szCs w:val="20"/>
        </w:rPr>
        <w:t xml:space="preserve">, </w:t>
      </w:r>
      <w:r w:rsidR="00930D71">
        <w:rPr>
          <w:szCs w:val="20"/>
        </w:rPr>
        <w:t>Prof</w:t>
      </w:r>
      <w:r w:rsidR="00930D71" w:rsidRPr="003B0807">
        <w:rPr>
          <w:szCs w:val="20"/>
        </w:rPr>
        <w:t xml:space="preserve"> Nita Forouhi</w:t>
      </w:r>
      <w:r w:rsidR="00930D71">
        <w:rPr>
          <w:szCs w:val="20"/>
          <w:vertAlign w:val="superscript"/>
        </w:rPr>
        <w:t xml:space="preserve">89 </w:t>
      </w:r>
      <w:r w:rsidR="00930D71">
        <w:rPr>
          <w:szCs w:val="20"/>
        </w:rPr>
        <w:t>PhD</w:t>
      </w:r>
      <w:r w:rsidR="00930D71" w:rsidRPr="003B0807">
        <w:rPr>
          <w:szCs w:val="20"/>
        </w:rPr>
        <w:t>, Maria Wennberg</w:t>
      </w:r>
      <w:r w:rsidR="00930D71">
        <w:rPr>
          <w:szCs w:val="20"/>
          <w:vertAlign w:val="superscript"/>
        </w:rPr>
        <w:t xml:space="preserve">31 </w:t>
      </w:r>
      <w:r w:rsidR="00930D71">
        <w:rPr>
          <w:szCs w:val="20"/>
        </w:rPr>
        <w:t>PhD, Prof</w:t>
      </w:r>
      <w:r w:rsidR="00930D71" w:rsidRPr="003B0807">
        <w:rPr>
          <w:szCs w:val="20"/>
        </w:rPr>
        <w:t xml:space="preserve"> Jean-Pierre </w:t>
      </w:r>
      <w:r w:rsidR="00930D71">
        <w:rPr>
          <w:szCs w:val="20"/>
        </w:rPr>
        <w:t>Després</w:t>
      </w:r>
      <w:r w:rsidR="00930D71">
        <w:rPr>
          <w:szCs w:val="20"/>
          <w:vertAlign w:val="superscript"/>
        </w:rPr>
        <w:t>90</w:t>
      </w:r>
      <w:r w:rsidR="00930D71">
        <w:rPr>
          <w:szCs w:val="20"/>
        </w:rPr>
        <w:t xml:space="preserve"> DPhil</w:t>
      </w:r>
      <w:r w:rsidR="00930D71" w:rsidRPr="003B0807">
        <w:rPr>
          <w:szCs w:val="20"/>
        </w:rPr>
        <w:t xml:space="preserve">, </w:t>
      </w:r>
      <w:r w:rsidR="00930D71">
        <w:rPr>
          <w:szCs w:val="20"/>
        </w:rPr>
        <w:t>Prof</w:t>
      </w:r>
      <w:r w:rsidR="00930D71" w:rsidRPr="003B0807">
        <w:rPr>
          <w:szCs w:val="20"/>
        </w:rPr>
        <w:t xml:space="preserve"> Mary Cushman</w:t>
      </w:r>
      <w:r w:rsidR="00930D71">
        <w:rPr>
          <w:szCs w:val="20"/>
          <w:vertAlign w:val="superscript"/>
        </w:rPr>
        <w:t xml:space="preserve">91 </w:t>
      </w:r>
      <w:r w:rsidR="00930D71">
        <w:rPr>
          <w:szCs w:val="20"/>
        </w:rPr>
        <w:t>MD</w:t>
      </w:r>
      <w:r w:rsidR="00930D71" w:rsidRPr="003B0807">
        <w:rPr>
          <w:szCs w:val="20"/>
        </w:rPr>
        <w:t>, Jackie A Cooper</w:t>
      </w:r>
      <w:r w:rsidR="00930D71">
        <w:rPr>
          <w:szCs w:val="20"/>
          <w:vertAlign w:val="superscript"/>
        </w:rPr>
        <w:t xml:space="preserve">92 </w:t>
      </w:r>
      <w:r w:rsidR="00930D71">
        <w:rPr>
          <w:szCs w:val="20"/>
        </w:rPr>
        <w:t>MSc</w:t>
      </w:r>
      <w:r w:rsidR="00930D71" w:rsidRPr="003B0807">
        <w:rPr>
          <w:szCs w:val="20"/>
        </w:rPr>
        <w:t xml:space="preserve">, </w:t>
      </w:r>
      <w:r w:rsidR="00930D71">
        <w:rPr>
          <w:szCs w:val="20"/>
        </w:rPr>
        <w:t>Prof</w:t>
      </w:r>
      <w:r w:rsidR="00930D71" w:rsidRPr="003B0807">
        <w:rPr>
          <w:szCs w:val="20"/>
        </w:rPr>
        <w:t xml:space="preserve"> Carlos J Rodriguez</w:t>
      </w:r>
      <w:r w:rsidR="00930D71">
        <w:rPr>
          <w:szCs w:val="20"/>
          <w:vertAlign w:val="superscript"/>
        </w:rPr>
        <w:t xml:space="preserve">93,94 </w:t>
      </w:r>
      <w:r w:rsidR="00930D71">
        <w:rPr>
          <w:szCs w:val="20"/>
        </w:rPr>
        <w:t>MD</w:t>
      </w:r>
      <w:r w:rsidR="00930D71" w:rsidRPr="003B0807">
        <w:rPr>
          <w:szCs w:val="20"/>
        </w:rPr>
        <w:t xml:space="preserve">, </w:t>
      </w:r>
      <w:r w:rsidR="003B0807" w:rsidRPr="003B0807">
        <w:rPr>
          <w:szCs w:val="20"/>
        </w:rPr>
        <w:t xml:space="preserve">Masaru </w:t>
      </w:r>
      <w:r w:rsidR="003B0807" w:rsidRPr="003B0807">
        <w:rPr>
          <w:szCs w:val="20"/>
        </w:rPr>
        <w:lastRenderedPageBreak/>
        <w:t>Sakurai</w:t>
      </w:r>
      <w:r w:rsidR="001632CD">
        <w:rPr>
          <w:szCs w:val="20"/>
          <w:vertAlign w:val="superscript"/>
        </w:rPr>
        <w:t>95</w:t>
      </w:r>
      <w:r w:rsidR="00C82104">
        <w:rPr>
          <w:szCs w:val="20"/>
          <w:vertAlign w:val="superscript"/>
        </w:rPr>
        <w:t xml:space="preserve"> </w:t>
      </w:r>
      <w:r w:rsidR="00C82104">
        <w:rPr>
          <w:szCs w:val="20"/>
        </w:rPr>
        <w:t>MD</w:t>
      </w:r>
      <w:r w:rsidR="003B0807" w:rsidRPr="003B0807">
        <w:rPr>
          <w:szCs w:val="20"/>
        </w:rPr>
        <w:t>, Jonathan E Shaw</w:t>
      </w:r>
      <w:r w:rsidR="001632CD">
        <w:rPr>
          <w:szCs w:val="20"/>
          <w:vertAlign w:val="superscript"/>
        </w:rPr>
        <w:t>96</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Matthew Knuiman</w:t>
      </w:r>
      <w:r w:rsidR="001632CD">
        <w:rPr>
          <w:szCs w:val="20"/>
          <w:vertAlign w:val="superscript"/>
        </w:rPr>
        <w:t>97,98</w:t>
      </w:r>
      <w:r w:rsidR="00C82104">
        <w:rPr>
          <w:szCs w:val="20"/>
          <w:vertAlign w:val="superscript"/>
        </w:rPr>
        <w:t xml:space="preserve"> </w:t>
      </w:r>
      <w:r w:rsidR="00C82104">
        <w:rPr>
          <w:szCs w:val="20"/>
        </w:rPr>
        <w:t>PhD</w:t>
      </w:r>
      <w:r w:rsidR="003B0807" w:rsidRPr="003B0807">
        <w:rPr>
          <w:szCs w:val="20"/>
        </w:rPr>
        <w:t>, Trudy Voortman</w:t>
      </w:r>
      <w:r w:rsidR="00F833F4">
        <w:rPr>
          <w:szCs w:val="20"/>
          <w:vertAlign w:val="superscript"/>
        </w:rPr>
        <w:t>30</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Christa Meisinger</w:t>
      </w:r>
      <w:r w:rsidR="001632CD">
        <w:rPr>
          <w:szCs w:val="20"/>
          <w:vertAlign w:val="superscript"/>
        </w:rPr>
        <w:t>99</w:t>
      </w:r>
      <w:r w:rsidR="00C82104">
        <w:rPr>
          <w:szCs w:val="20"/>
          <w:vertAlign w:val="superscript"/>
        </w:rPr>
        <w:t xml:space="preserve"> </w:t>
      </w:r>
      <w:r w:rsidR="00C82104">
        <w:rPr>
          <w:szCs w:val="20"/>
        </w:rPr>
        <w:t>MD</w:t>
      </w:r>
      <w:r w:rsidR="003B0807" w:rsidRPr="003B0807">
        <w:rPr>
          <w:szCs w:val="20"/>
        </w:rPr>
        <w:t>, Anne Tjønneland</w:t>
      </w:r>
      <w:r w:rsidR="001632CD">
        <w:rPr>
          <w:szCs w:val="20"/>
          <w:vertAlign w:val="superscript"/>
        </w:rPr>
        <w:t>100</w:t>
      </w:r>
      <w:r w:rsidR="00C82104">
        <w:rPr>
          <w:szCs w:val="20"/>
          <w:vertAlign w:val="superscript"/>
        </w:rPr>
        <w:t xml:space="preserve"> </w:t>
      </w:r>
      <w:r w:rsidR="00C82104">
        <w:rPr>
          <w:szCs w:val="20"/>
        </w:rPr>
        <w:t>MD</w:t>
      </w:r>
      <w:r w:rsidR="003B0807" w:rsidRPr="003B0807">
        <w:rPr>
          <w:szCs w:val="20"/>
        </w:rPr>
        <w:t xml:space="preserve">, </w:t>
      </w:r>
      <w:r w:rsidR="00466EBD">
        <w:rPr>
          <w:szCs w:val="20"/>
        </w:rPr>
        <w:t>Prof</w:t>
      </w:r>
      <w:r w:rsidR="003B0807" w:rsidRPr="003B0807">
        <w:rPr>
          <w:szCs w:val="20"/>
        </w:rPr>
        <w:t xml:space="preserve"> Hermann Brenner</w:t>
      </w:r>
      <w:r w:rsidR="001632CD">
        <w:rPr>
          <w:szCs w:val="20"/>
          <w:vertAlign w:val="superscript"/>
        </w:rPr>
        <w:t>29,101</w:t>
      </w:r>
      <w:r w:rsidR="00C82104">
        <w:rPr>
          <w:szCs w:val="20"/>
          <w:vertAlign w:val="superscript"/>
        </w:rPr>
        <w:t xml:space="preserve"> </w:t>
      </w:r>
      <w:r w:rsidR="00C82104">
        <w:rPr>
          <w:szCs w:val="20"/>
        </w:rPr>
        <w:t>MD</w:t>
      </w:r>
      <w:r w:rsidR="003B0807" w:rsidRPr="003B0807">
        <w:rPr>
          <w:szCs w:val="20"/>
        </w:rPr>
        <w:t>, Luigi Palmieri</w:t>
      </w:r>
      <w:r w:rsidR="001632CD">
        <w:rPr>
          <w:szCs w:val="20"/>
          <w:vertAlign w:val="superscript"/>
        </w:rPr>
        <w:t>102</w:t>
      </w:r>
      <w:r w:rsidR="00C82104">
        <w:rPr>
          <w:szCs w:val="20"/>
          <w:vertAlign w:val="superscript"/>
        </w:rPr>
        <w:t xml:space="preserve"> </w:t>
      </w:r>
      <w:r w:rsidR="00C82104">
        <w:rPr>
          <w:szCs w:val="20"/>
        </w:rPr>
        <w:t>DrStat</w:t>
      </w:r>
      <w:r w:rsidR="003B0807" w:rsidRPr="003B0807">
        <w:rPr>
          <w:szCs w:val="20"/>
        </w:rPr>
        <w:t>, Jean-Pierre Dallongeville</w:t>
      </w:r>
      <w:r w:rsidR="001632CD">
        <w:rPr>
          <w:szCs w:val="20"/>
          <w:vertAlign w:val="superscript"/>
        </w:rPr>
        <w:t>103</w:t>
      </w:r>
      <w:r w:rsidR="00C82104">
        <w:rPr>
          <w:szCs w:val="20"/>
          <w:vertAlign w:val="superscript"/>
        </w:rPr>
        <w:t xml:space="preserve"> </w:t>
      </w:r>
      <w:r w:rsidR="00C82104">
        <w:rPr>
          <w:szCs w:val="20"/>
        </w:rPr>
        <w:t>MD</w:t>
      </w:r>
      <w:r w:rsidR="003B0807" w:rsidRPr="003B0807">
        <w:rPr>
          <w:szCs w:val="20"/>
        </w:rPr>
        <w:t xml:space="preserve">, </w:t>
      </w:r>
      <w:r w:rsidR="00466EBD">
        <w:rPr>
          <w:szCs w:val="20"/>
        </w:rPr>
        <w:t>Prof</w:t>
      </w:r>
      <w:r w:rsidR="003B0807" w:rsidRPr="003B0807">
        <w:rPr>
          <w:szCs w:val="20"/>
        </w:rPr>
        <w:t xml:space="preserve"> Eric J Brunner</w:t>
      </w:r>
      <w:r w:rsidR="003B0807" w:rsidRPr="003B0807">
        <w:rPr>
          <w:szCs w:val="20"/>
          <w:vertAlign w:val="superscript"/>
        </w:rPr>
        <w:t>24</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Gerd Assmann</w:t>
      </w:r>
      <w:r w:rsidR="001632CD">
        <w:rPr>
          <w:szCs w:val="20"/>
          <w:vertAlign w:val="superscript"/>
        </w:rPr>
        <w:t>104</w:t>
      </w:r>
      <w:r w:rsidR="00C82104" w:rsidRPr="00C82104">
        <w:rPr>
          <w:szCs w:val="20"/>
        </w:rPr>
        <w:t xml:space="preserve"> </w:t>
      </w:r>
      <w:r w:rsidR="00C82104">
        <w:rPr>
          <w:szCs w:val="20"/>
        </w:rPr>
        <w:t>MD</w:t>
      </w:r>
      <w:r w:rsidR="003B0807" w:rsidRPr="003B0807">
        <w:rPr>
          <w:szCs w:val="20"/>
        </w:rPr>
        <w:t>, Maurizio Trevisan</w:t>
      </w:r>
      <w:r w:rsidR="001632CD">
        <w:rPr>
          <w:szCs w:val="20"/>
          <w:vertAlign w:val="superscript"/>
        </w:rPr>
        <w:t>105</w:t>
      </w:r>
      <w:r w:rsidR="00C82104" w:rsidRPr="00C82104">
        <w:rPr>
          <w:szCs w:val="20"/>
        </w:rPr>
        <w:t xml:space="preserve"> </w:t>
      </w:r>
      <w:r w:rsidR="00C82104">
        <w:rPr>
          <w:szCs w:val="20"/>
        </w:rPr>
        <w:t>MD</w:t>
      </w:r>
      <w:r w:rsidR="003B0807" w:rsidRPr="003B0807">
        <w:rPr>
          <w:szCs w:val="20"/>
        </w:rPr>
        <w:t>, Richard F. Gillum</w:t>
      </w:r>
      <w:r w:rsidR="00F833F4">
        <w:rPr>
          <w:szCs w:val="20"/>
          <w:vertAlign w:val="superscript"/>
        </w:rPr>
        <w:t>10</w:t>
      </w:r>
      <w:r w:rsidR="001632CD">
        <w:rPr>
          <w:szCs w:val="20"/>
          <w:vertAlign w:val="superscript"/>
        </w:rPr>
        <w:t>6</w:t>
      </w:r>
      <w:r w:rsidR="00C82104" w:rsidRPr="00C82104">
        <w:rPr>
          <w:szCs w:val="20"/>
        </w:rPr>
        <w:t xml:space="preserve"> </w:t>
      </w:r>
      <w:r w:rsidR="00C82104">
        <w:rPr>
          <w:szCs w:val="20"/>
        </w:rPr>
        <w:t>MD</w:t>
      </w:r>
      <w:r w:rsidR="003B0807" w:rsidRPr="003B0807">
        <w:rPr>
          <w:szCs w:val="20"/>
        </w:rPr>
        <w:t xml:space="preserve">, </w:t>
      </w:r>
      <w:r w:rsidR="00466EBD">
        <w:rPr>
          <w:szCs w:val="20"/>
        </w:rPr>
        <w:t>Prof</w:t>
      </w:r>
      <w:r w:rsidR="003B0807" w:rsidRPr="003B0807">
        <w:rPr>
          <w:szCs w:val="20"/>
        </w:rPr>
        <w:t xml:space="preserve"> Ian Ford</w:t>
      </w:r>
      <w:r w:rsidR="001632CD">
        <w:rPr>
          <w:szCs w:val="20"/>
          <w:vertAlign w:val="superscript"/>
        </w:rPr>
        <w:t>107</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Naveed Sattar</w:t>
      </w:r>
      <w:r w:rsidR="001632CD">
        <w:rPr>
          <w:szCs w:val="20"/>
          <w:vertAlign w:val="superscript"/>
        </w:rPr>
        <w:t>107</w:t>
      </w:r>
      <w:r w:rsidR="00C82104">
        <w:rPr>
          <w:szCs w:val="20"/>
          <w:vertAlign w:val="superscript"/>
        </w:rPr>
        <w:t xml:space="preserve"> </w:t>
      </w:r>
      <w:r w:rsidR="00C82104">
        <w:rPr>
          <w:szCs w:val="20"/>
        </w:rPr>
        <w:t>FRCP</w:t>
      </w:r>
      <w:r w:rsidR="003B0807" w:rsidRPr="003B0807">
        <w:rPr>
          <w:szCs w:val="20"/>
        </w:rPr>
        <w:t>, Mariana Lazo</w:t>
      </w:r>
      <w:r w:rsidR="003B0807" w:rsidRPr="003B0807">
        <w:rPr>
          <w:szCs w:val="20"/>
          <w:vertAlign w:val="superscript"/>
        </w:rPr>
        <w:t>13</w:t>
      </w:r>
      <w:r w:rsidR="00C82104" w:rsidRPr="00C82104">
        <w:rPr>
          <w:szCs w:val="20"/>
        </w:rPr>
        <w:t xml:space="preserve"> </w:t>
      </w:r>
      <w:r w:rsidR="00C82104">
        <w:rPr>
          <w:szCs w:val="20"/>
        </w:rPr>
        <w:t>MD</w:t>
      </w:r>
      <w:r w:rsidR="003B0807" w:rsidRPr="003B0807">
        <w:rPr>
          <w:szCs w:val="20"/>
        </w:rPr>
        <w:t xml:space="preserve">, </w:t>
      </w:r>
      <w:r w:rsidR="00466EBD">
        <w:rPr>
          <w:szCs w:val="20"/>
        </w:rPr>
        <w:t>Prof</w:t>
      </w:r>
      <w:r w:rsidR="003B0807" w:rsidRPr="003B0807">
        <w:rPr>
          <w:szCs w:val="20"/>
        </w:rPr>
        <w:t xml:space="preserve"> Simon Thompson</w:t>
      </w:r>
      <w:r w:rsidR="003B0807" w:rsidRPr="003B0807">
        <w:rPr>
          <w:szCs w:val="20"/>
          <w:vertAlign w:val="superscript"/>
        </w:rPr>
        <w:t>1</w:t>
      </w:r>
      <w:r w:rsidR="00C82104">
        <w:rPr>
          <w:szCs w:val="20"/>
          <w:vertAlign w:val="superscript"/>
        </w:rPr>
        <w:t xml:space="preserve"> </w:t>
      </w:r>
      <w:r w:rsidR="00C82104">
        <w:rPr>
          <w:szCs w:val="20"/>
        </w:rPr>
        <w:t>FMedSci</w:t>
      </w:r>
      <w:r w:rsidR="003B0807" w:rsidRPr="003B0807">
        <w:rPr>
          <w:szCs w:val="20"/>
        </w:rPr>
        <w:t>, Piet</w:t>
      </w:r>
      <w:r w:rsidR="00981F56">
        <w:rPr>
          <w:szCs w:val="20"/>
        </w:rPr>
        <w:t>ro</w:t>
      </w:r>
      <w:r w:rsidR="003B0807" w:rsidRPr="003B0807">
        <w:rPr>
          <w:szCs w:val="20"/>
        </w:rPr>
        <w:t xml:space="preserve"> Ferrari</w:t>
      </w:r>
      <w:r w:rsidR="001632CD">
        <w:rPr>
          <w:szCs w:val="20"/>
          <w:vertAlign w:val="superscript"/>
        </w:rPr>
        <w:t>108</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David A Leon</w:t>
      </w:r>
      <w:r w:rsidR="003B0807" w:rsidRPr="003B0807">
        <w:rPr>
          <w:szCs w:val="20"/>
          <w:vertAlign w:val="superscript"/>
        </w:rPr>
        <w:t>20</w:t>
      </w:r>
      <w:r w:rsidR="00C82104">
        <w:rPr>
          <w:szCs w:val="20"/>
          <w:vertAlign w:val="superscript"/>
        </w:rPr>
        <w:t xml:space="preserve"> </w:t>
      </w:r>
      <w:r w:rsidR="00C82104">
        <w:rPr>
          <w:szCs w:val="20"/>
        </w:rPr>
        <w:t>PhD</w:t>
      </w:r>
      <w:r w:rsidR="003B0807" w:rsidRPr="003B0807">
        <w:rPr>
          <w:szCs w:val="20"/>
        </w:rPr>
        <w:t xml:space="preserve">, </w:t>
      </w:r>
      <w:r w:rsidR="00466EBD">
        <w:rPr>
          <w:szCs w:val="20"/>
        </w:rPr>
        <w:t>Prof</w:t>
      </w:r>
      <w:r w:rsidR="003B0807" w:rsidRPr="003B0807">
        <w:rPr>
          <w:szCs w:val="20"/>
        </w:rPr>
        <w:t xml:space="preserve"> George Davey Smith</w:t>
      </w:r>
      <w:r w:rsidR="001632CD">
        <w:rPr>
          <w:szCs w:val="20"/>
          <w:vertAlign w:val="superscript"/>
        </w:rPr>
        <w:t>1</w:t>
      </w:r>
      <w:r w:rsidR="00A743A2">
        <w:rPr>
          <w:szCs w:val="20"/>
          <w:vertAlign w:val="superscript"/>
        </w:rPr>
        <w:t>09</w:t>
      </w:r>
      <w:r w:rsidR="00C82104">
        <w:rPr>
          <w:szCs w:val="20"/>
          <w:vertAlign w:val="superscript"/>
        </w:rPr>
        <w:t xml:space="preserve"> </w:t>
      </w:r>
      <w:r w:rsidR="00C82104">
        <w:rPr>
          <w:szCs w:val="20"/>
        </w:rPr>
        <w:t>MD</w:t>
      </w:r>
      <w:r w:rsidR="003B0807" w:rsidRPr="003B0807">
        <w:rPr>
          <w:szCs w:val="20"/>
        </w:rPr>
        <w:t xml:space="preserve">, </w:t>
      </w:r>
      <w:r w:rsidR="00466EBD">
        <w:rPr>
          <w:szCs w:val="20"/>
        </w:rPr>
        <w:t xml:space="preserve">Prof </w:t>
      </w:r>
      <w:r w:rsidR="00B8798A">
        <w:rPr>
          <w:szCs w:val="20"/>
        </w:rPr>
        <w:t>Sir</w:t>
      </w:r>
      <w:r w:rsidR="003B0807" w:rsidRPr="003B0807">
        <w:rPr>
          <w:szCs w:val="20"/>
        </w:rPr>
        <w:t xml:space="preserve"> Richard Peto</w:t>
      </w:r>
      <w:r w:rsidR="003B0807" w:rsidRPr="003B0807">
        <w:rPr>
          <w:szCs w:val="20"/>
          <w:vertAlign w:val="superscript"/>
        </w:rPr>
        <w:t>11</w:t>
      </w:r>
      <w:r w:rsidR="00C82104">
        <w:rPr>
          <w:szCs w:val="20"/>
          <w:vertAlign w:val="superscript"/>
        </w:rPr>
        <w:t xml:space="preserve"> </w:t>
      </w:r>
      <w:r w:rsidR="00C82104">
        <w:rPr>
          <w:szCs w:val="20"/>
        </w:rPr>
        <w:t>FRS</w:t>
      </w:r>
      <w:r w:rsidR="003B0807" w:rsidRPr="003B0807">
        <w:rPr>
          <w:szCs w:val="20"/>
        </w:rPr>
        <w:t xml:space="preserve">, </w:t>
      </w:r>
      <w:r w:rsidR="00466EBD">
        <w:rPr>
          <w:szCs w:val="20"/>
        </w:rPr>
        <w:t>Prof</w:t>
      </w:r>
      <w:r w:rsidR="003B0807" w:rsidRPr="003B0807">
        <w:rPr>
          <w:szCs w:val="20"/>
        </w:rPr>
        <w:t xml:space="preserve"> Rod Jackson</w:t>
      </w:r>
      <w:r w:rsidR="001632CD">
        <w:rPr>
          <w:szCs w:val="20"/>
          <w:vertAlign w:val="superscript"/>
        </w:rPr>
        <w:t>11</w:t>
      </w:r>
      <w:r w:rsidR="00A743A2">
        <w:rPr>
          <w:szCs w:val="20"/>
          <w:vertAlign w:val="superscript"/>
        </w:rPr>
        <w:t>0</w:t>
      </w:r>
      <w:r w:rsidR="00C82104">
        <w:rPr>
          <w:szCs w:val="20"/>
          <w:vertAlign w:val="superscript"/>
        </w:rPr>
        <w:t xml:space="preserve"> </w:t>
      </w:r>
      <w:r w:rsidR="00C82104">
        <w:rPr>
          <w:szCs w:val="20"/>
        </w:rPr>
        <w:t>MBChB</w:t>
      </w:r>
      <w:r w:rsidR="003B0807" w:rsidRPr="003B0807">
        <w:rPr>
          <w:szCs w:val="20"/>
        </w:rPr>
        <w:t xml:space="preserve">, </w:t>
      </w:r>
      <w:r w:rsidR="00466EBD">
        <w:rPr>
          <w:szCs w:val="20"/>
        </w:rPr>
        <w:t>Prof</w:t>
      </w:r>
      <w:r w:rsidR="003B0807" w:rsidRPr="003B0807">
        <w:rPr>
          <w:szCs w:val="20"/>
        </w:rPr>
        <w:t xml:space="preserve"> Emily Banks</w:t>
      </w:r>
      <w:r w:rsidR="003B0807" w:rsidRPr="003B0807">
        <w:rPr>
          <w:szCs w:val="20"/>
          <w:vertAlign w:val="superscript"/>
        </w:rPr>
        <w:t>3</w:t>
      </w:r>
      <w:r w:rsidR="00C82104" w:rsidRPr="00C82104">
        <w:rPr>
          <w:szCs w:val="20"/>
        </w:rPr>
        <w:t xml:space="preserve"> </w:t>
      </w:r>
      <w:r w:rsidR="00C82104">
        <w:rPr>
          <w:szCs w:val="20"/>
        </w:rPr>
        <w:t>PhD</w:t>
      </w:r>
      <w:r w:rsidR="003B0807" w:rsidRPr="003B0807">
        <w:rPr>
          <w:szCs w:val="20"/>
        </w:rPr>
        <w:t>, Emanuele Di Angelantonio</w:t>
      </w:r>
      <w:r w:rsidR="003B0807" w:rsidRPr="003B0807">
        <w:rPr>
          <w:szCs w:val="20"/>
          <w:vertAlign w:val="superscript"/>
        </w:rPr>
        <w:t>1</w:t>
      </w:r>
      <w:r w:rsidR="00C82104">
        <w:rPr>
          <w:szCs w:val="20"/>
          <w:vertAlign w:val="superscript"/>
        </w:rPr>
        <w:t xml:space="preserve"> </w:t>
      </w:r>
      <w:r w:rsidR="00C82104">
        <w:rPr>
          <w:szCs w:val="20"/>
        </w:rPr>
        <w:t>MD</w:t>
      </w:r>
      <w:r w:rsidR="003B0807" w:rsidRPr="003B0807">
        <w:rPr>
          <w:szCs w:val="20"/>
        </w:rPr>
        <w:t xml:space="preserve">, </w:t>
      </w:r>
      <w:r w:rsidR="00466EBD">
        <w:rPr>
          <w:szCs w:val="20"/>
        </w:rPr>
        <w:t>Prof</w:t>
      </w:r>
      <w:r w:rsidR="003B0807" w:rsidRPr="003B0807">
        <w:rPr>
          <w:szCs w:val="20"/>
        </w:rPr>
        <w:t xml:space="preserve"> John Danesh</w:t>
      </w:r>
      <w:r w:rsidR="003B0807" w:rsidRPr="003B0807">
        <w:rPr>
          <w:szCs w:val="20"/>
          <w:vertAlign w:val="superscript"/>
        </w:rPr>
        <w:t>1</w:t>
      </w:r>
      <w:r w:rsidR="00C82104">
        <w:rPr>
          <w:szCs w:val="20"/>
          <w:vertAlign w:val="superscript"/>
        </w:rPr>
        <w:t xml:space="preserve"> </w:t>
      </w:r>
      <w:r w:rsidR="00C82104">
        <w:rPr>
          <w:szCs w:val="20"/>
        </w:rPr>
        <w:t>FMedSci</w:t>
      </w:r>
      <w:r w:rsidRPr="003B0807">
        <w:rPr>
          <w:szCs w:val="20"/>
        </w:rPr>
        <w:t>.</w:t>
      </w:r>
    </w:p>
    <w:p w14:paraId="31D3D57D" w14:textId="038640A5" w:rsidR="00C4055B" w:rsidRPr="007626A0" w:rsidRDefault="00C4055B" w:rsidP="00D34DB8">
      <w:pPr>
        <w:spacing w:line="240" w:lineRule="auto"/>
        <w:jc w:val="left"/>
        <w:rPr>
          <w:szCs w:val="20"/>
        </w:rPr>
      </w:pPr>
      <w:r w:rsidRPr="00FC5530">
        <w:rPr>
          <w:szCs w:val="20"/>
        </w:rPr>
        <w:br/>
        <w:t xml:space="preserve">1. University of Cambridge, Cambridge, UK </w:t>
      </w:r>
      <w:r w:rsidRPr="00FC5530">
        <w:rPr>
          <w:szCs w:val="20"/>
        </w:rPr>
        <w:br/>
        <w:t xml:space="preserve">2. Medical University Innsbruck, Innsbruck, Austria </w:t>
      </w:r>
      <w:r w:rsidRPr="00FC5530">
        <w:rPr>
          <w:szCs w:val="20"/>
        </w:rPr>
        <w:br/>
        <w:t xml:space="preserve">3. Australian National University, Australia </w:t>
      </w:r>
      <w:r w:rsidRPr="00FC5530">
        <w:rPr>
          <w:szCs w:val="20"/>
        </w:rPr>
        <w:br/>
        <w:t xml:space="preserve">4. MRC Biostatistics Unit, UK </w:t>
      </w:r>
      <w:r w:rsidRPr="00FC5530">
        <w:rPr>
          <w:szCs w:val="20"/>
        </w:rPr>
        <w:br/>
        <w:t xml:space="preserve">5. NIHR BRC Nutritional Biomarker Laboratory, University of Cambridge, Cambridge, UK </w:t>
      </w:r>
      <w:r w:rsidRPr="00FC5530">
        <w:rPr>
          <w:szCs w:val="20"/>
        </w:rPr>
        <w:br/>
        <w:t xml:space="preserve">6. Norwegian Institute of Public Health </w:t>
      </w:r>
      <w:r w:rsidRPr="00FC5530">
        <w:rPr>
          <w:szCs w:val="20"/>
        </w:rPr>
        <w:br/>
        <w:t xml:space="preserve">7. National Institute for Public Health and the Environment, Bilthoven, The Netherlands </w:t>
      </w:r>
      <w:r w:rsidRPr="00FC5530">
        <w:rPr>
          <w:szCs w:val="20"/>
        </w:rPr>
        <w:br/>
        <w:t xml:space="preserve">8. University Medical Center Utrecht, Utrecht, The Netherlands </w:t>
      </w:r>
      <w:r w:rsidRPr="00FC5530">
        <w:rPr>
          <w:szCs w:val="20"/>
        </w:rPr>
        <w:br/>
        <w:t xml:space="preserve">9. Chiba Prefectural Institute of Public Health, JAPAN </w:t>
      </w:r>
      <w:r w:rsidRPr="00FC5530">
        <w:rPr>
          <w:szCs w:val="20"/>
        </w:rPr>
        <w:br/>
        <w:t xml:space="preserve">10. University of Tromsø, Norway </w:t>
      </w:r>
      <w:r w:rsidRPr="00FC5530">
        <w:rPr>
          <w:szCs w:val="20"/>
        </w:rPr>
        <w:br/>
        <w:t xml:space="preserve">11. University of Oxford, Oxford, UK </w:t>
      </w:r>
      <w:r w:rsidRPr="00FC5530">
        <w:rPr>
          <w:szCs w:val="20"/>
        </w:rPr>
        <w:br/>
        <w:t xml:space="preserve">12. University of Sydney, NSW, Australia </w:t>
      </w:r>
      <w:r w:rsidRPr="00FC5530">
        <w:rPr>
          <w:szCs w:val="20"/>
        </w:rPr>
        <w:br/>
        <w:t xml:space="preserve">13. Johns Hopkins University, Baltimore, MD, USA </w:t>
      </w:r>
      <w:r w:rsidRPr="00FC5530">
        <w:rPr>
          <w:szCs w:val="20"/>
        </w:rPr>
        <w:br/>
        <w:t xml:space="preserve">14. THL-National Institute for Health and Welfare, Finland </w:t>
      </w:r>
      <w:r w:rsidRPr="00FC5530">
        <w:rPr>
          <w:szCs w:val="20"/>
        </w:rPr>
        <w:br/>
        <w:t xml:space="preserve">15. Copenhagen University Hospital, Denmark </w:t>
      </w:r>
      <w:r w:rsidRPr="00FC5530">
        <w:rPr>
          <w:szCs w:val="20"/>
        </w:rPr>
        <w:br/>
        <w:t xml:space="preserve">16. University of Copenhagen, Denmark </w:t>
      </w:r>
      <w:r w:rsidRPr="00FC5530">
        <w:rPr>
          <w:szCs w:val="20"/>
        </w:rPr>
        <w:br/>
        <w:t xml:space="preserve">17. School of Medicine, University of Western Australia </w:t>
      </w:r>
      <w:r w:rsidRPr="00FC5530">
        <w:rPr>
          <w:szCs w:val="20"/>
        </w:rPr>
        <w:br/>
        <w:t xml:space="preserve">18. Fiona Stanley Hospital, Perth, Western Australia </w:t>
      </w:r>
      <w:r w:rsidRPr="00FC5530">
        <w:rPr>
          <w:szCs w:val="20"/>
        </w:rPr>
        <w:br/>
        <w:t xml:space="preserve">19. Harry Perkins Institute of Medical Research, Australia </w:t>
      </w:r>
      <w:r w:rsidRPr="00FC5530">
        <w:rPr>
          <w:szCs w:val="20"/>
        </w:rPr>
        <w:br/>
        <w:t xml:space="preserve">20. London School of Hygiene and Tropical Medicine, London, UK </w:t>
      </w:r>
      <w:r w:rsidRPr="00FC5530">
        <w:rPr>
          <w:szCs w:val="20"/>
        </w:rPr>
        <w:br/>
        <w:t xml:space="preserve">21. Dept of Clinical Sciences, Malmö, Lund University, Malmö, Sweden </w:t>
      </w:r>
      <w:r w:rsidRPr="00FC5530">
        <w:rPr>
          <w:szCs w:val="20"/>
        </w:rPr>
        <w:br/>
        <w:t xml:space="preserve">22. University of Pittsburgh, Pittsburgh, Pennsylvania </w:t>
      </w:r>
      <w:r w:rsidRPr="00FC5530">
        <w:rPr>
          <w:szCs w:val="20"/>
        </w:rPr>
        <w:br/>
        <w:t xml:space="preserve">23. INSERM UMRS 1018, France </w:t>
      </w:r>
      <w:r w:rsidRPr="00FC5530">
        <w:rPr>
          <w:szCs w:val="20"/>
        </w:rPr>
        <w:br/>
        <w:t xml:space="preserve">24. University College London, UK </w:t>
      </w:r>
      <w:r w:rsidRPr="00FC5530">
        <w:rPr>
          <w:szCs w:val="20"/>
        </w:rPr>
        <w:br/>
        <w:t xml:space="preserve">25. 92 Deutsches Herzzentrum München, Technische Universität München, Munich, Germany, DZHK (German Centre for Cardiovascular Research), partner site Munich Heart Alliance, Munich, Germany </w:t>
      </w:r>
      <w:r w:rsidRPr="00FC5530">
        <w:rPr>
          <w:szCs w:val="20"/>
        </w:rPr>
        <w:br/>
        <w:t xml:space="preserve">26. University of Ulm Medical Center, Ulm, Germany </w:t>
      </w:r>
      <w:r w:rsidRPr="00FC5530">
        <w:rPr>
          <w:szCs w:val="20"/>
        </w:rPr>
        <w:br/>
        <w:t xml:space="preserve">27. Department of Medicine, University of Padua </w:t>
      </w:r>
      <w:r w:rsidRPr="00FC5530">
        <w:rPr>
          <w:szCs w:val="20"/>
        </w:rPr>
        <w:br/>
      </w:r>
      <w:r w:rsidR="00F833F4">
        <w:rPr>
          <w:szCs w:val="20"/>
        </w:rPr>
        <w:t>28</w:t>
      </w:r>
      <w:r w:rsidRPr="00FC5530">
        <w:rPr>
          <w:szCs w:val="20"/>
        </w:rPr>
        <w:t xml:space="preserve">. MRC Lifecourse Epidemiology Unit, University of Southampton, UK </w:t>
      </w:r>
      <w:r w:rsidRPr="00FC5530">
        <w:rPr>
          <w:szCs w:val="20"/>
        </w:rPr>
        <w:br/>
      </w:r>
      <w:r w:rsidR="00F833F4">
        <w:rPr>
          <w:szCs w:val="20"/>
        </w:rPr>
        <w:t>29</w:t>
      </w:r>
      <w:r w:rsidRPr="00FC5530">
        <w:rPr>
          <w:szCs w:val="20"/>
        </w:rPr>
        <w:t xml:space="preserve">. German Cancer Research Center, Heidelberg, Germany </w:t>
      </w:r>
      <w:r w:rsidRPr="00FC5530">
        <w:rPr>
          <w:szCs w:val="20"/>
        </w:rPr>
        <w:br/>
      </w:r>
      <w:r w:rsidR="00F833F4">
        <w:rPr>
          <w:szCs w:val="20"/>
        </w:rPr>
        <w:t>30</w:t>
      </w:r>
      <w:r w:rsidRPr="00FC5530">
        <w:rPr>
          <w:szCs w:val="20"/>
        </w:rPr>
        <w:t xml:space="preserve">. University Medical Center Rotterdam, The Netherlands </w:t>
      </w:r>
      <w:r w:rsidRPr="00FC5530">
        <w:rPr>
          <w:szCs w:val="20"/>
        </w:rPr>
        <w:br/>
      </w:r>
      <w:r w:rsidR="00F833F4">
        <w:rPr>
          <w:szCs w:val="20"/>
        </w:rPr>
        <w:lastRenderedPageBreak/>
        <w:t>31</w:t>
      </w:r>
      <w:r w:rsidRPr="00FC5530">
        <w:rPr>
          <w:szCs w:val="20"/>
        </w:rPr>
        <w:t xml:space="preserve">. Umeå University, Umeå, Sweden </w:t>
      </w:r>
      <w:r w:rsidRPr="00FC5530">
        <w:rPr>
          <w:szCs w:val="20"/>
        </w:rPr>
        <w:br/>
      </w:r>
      <w:r w:rsidR="00F833F4">
        <w:rPr>
          <w:szCs w:val="20"/>
        </w:rPr>
        <w:t>32</w:t>
      </w:r>
      <w:r w:rsidRPr="00FC5530">
        <w:rPr>
          <w:szCs w:val="20"/>
        </w:rPr>
        <w:t xml:space="preserve">. Cardiff University, UK </w:t>
      </w:r>
      <w:r w:rsidRPr="00FC5530">
        <w:rPr>
          <w:szCs w:val="20"/>
        </w:rPr>
        <w:br/>
      </w:r>
      <w:r w:rsidR="00F833F4">
        <w:rPr>
          <w:szCs w:val="20"/>
        </w:rPr>
        <w:t>33</w:t>
      </w:r>
      <w:r w:rsidRPr="00FC5530">
        <w:rPr>
          <w:szCs w:val="20"/>
        </w:rPr>
        <w:t xml:space="preserve">. 12 de Octubre Research Institute. CIBERESP. Spain </w:t>
      </w:r>
      <w:r w:rsidRPr="00FC5530">
        <w:rPr>
          <w:szCs w:val="20"/>
        </w:rPr>
        <w:br/>
      </w:r>
      <w:r w:rsidR="00F833F4">
        <w:rPr>
          <w:szCs w:val="20"/>
        </w:rPr>
        <w:t>34</w:t>
      </w:r>
      <w:r w:rsidRPr="00FC5530">
        <w:rPr>
          <w:szCs w:val="20"/>
        </w:rPr>
        <w:t xml:space="preserve">. Institute for Community Medicine, University Medicine Greifswald, Greifswald, Germany </w:t>
      </w:r>
      <w:r w:rsidRPr="00FC5530">
        <w:rPr>
          <w:szCs w:val="20"/>
        </w:rPr>
        <w:br/>
      </w:r>
      <w:r w:rsidR="00F833F4">
        <w:rPr>
          <w:szCs w:val="20"/>
        </w:rPr>
        <w:t>35</w:t>
      </w:r>
      <w:r w:rsidRPr="00FC5530">
        <w:rPr>
          <w:szCs w:val="20"/>
        </w:rPr>
        <w:t xml:space="preserve">. Aarhus University </w:t>
      </w:r>
      <w:r w:rsidRPr="00FC5530">
        <w:rPr>
          <w:szCs w:val="20"/>
        </w:rPr>
        <w:br/>
      </w:r>
      <w:r w:rsidR="00F833F4">
        <w:rPr>
          <w:szCs w:val="20"/>
        </w:rPr>
        <w:t>36</w:t>
      </w:r>
      <w:r w:rsidRPr="00FC5530">
        <w:rPr>
          <w:szCs w:val="20"/>
        </w:rPr>
        <w:t xml:space="preserve">. Farr Institute of Health Informatics Research, UCL Institute of Health Informatics, University College London, London, UK </w:t>
      </w:r>
      <w:r w:rsidRPr="00FC5530">
        <w:rPr>
          <w:szCs w:val="20"/>
        </w:rPr>
        <w:br/>
      </w:r>
      <w:r w:rsidR="00F833F4">
        <w:rPr>
          <w:szCs w:val="20"/>
        </w:rPr>
        <w:t>37</w:t>
      </w:r>
      <w:r w:rsidRPr="00FC5530">
        <w:rPr>
          <w:szCs w:val="20"/>
        </w:rPr>
        <w:t xml:space="preserve">. German Institute of Human Nutrition, Potsdam–Nuthetal, Germany </w:t>
      </w:r>
      <w:r w:rsidRPr="00FC5530">
        <w:rPr>
          <w:szCs w:val="20"/>
        </w:rPr>
        <w:br/>
      </w:r>
      <w:r w:rsidR="00F833F4">
        <w:rPr>
          <w:szCs w:val="20"/>
        </w:rPr>
        <w:t>38</w:t>
      </w:r>
      <w:r w:rsidRPr="00FC5530">
        <w:rPr>
          <w:szCs w:val="20"/>
        </w:rPr>
        <w:t xml:space="preserve">. Portland State University, OR, USA </w:t>
      </w:r>
      <w:r w:rsidRPr="00FC5530">
        <w:rPr>
          <w:szCs w:val="20"/>
        </w:rPr>
        <w:br/>
      </w:r>
      <w:r w:rsidR="00F833F4">
        <w:rPr>
          <w:szCs w:val="20"/>
        </w:rPr>
        <w:t>39</w:t>
      </w:r>
      <w:r w:rsidRPr="00FC5530">
        <w:rPr>
          <w:szCs w:val="20"/>
        </w:rPr>
        <w:t xml:space="preserve">. German Cancer Research Center (DKFZ), Heidelberg, Germany </w:t>
      </w:r>
      <w:r w:rsidRPr="00FC5530">
        <w:rPr>
          <w:szCs w:val="20"/>
        </w:rPr>
        <w:br/>
      </w:r>
      <w:r w:rsidR="00F833F4">
        <w:rPr>
          <w:szCs w:val="20"/>
        </w:rPr>
        <w:t>40</w:t>
      </w:r>
      <w:r w:rsidRPr="00FC5530">
        <w:rPr>
          <w:szCs w:val="20"/>
        </w:rPr>
        <w:t xml:space="preserve">. St Vincent's Clinical School, University of New South Wales, Australia </w:t>
      </w:r>
      <w:r w:rsidRPr="00FC5530">
        <w:rPr>
          <w:szCs w:val="20"/>
        </w:rPr>
        <w:br/>
      </w:r>
      <w:r w:rsidR="00F833F4">
        <w:rPr>
          <w:szCs w:val="20"/>
        </w:rPr>
        <w:t>41</w:t>
      </w:r>
      <w:r w:rsidRPr="00FC5530">
        <w:rPr>
          <w:szCs w:val="20"/>
        </w:rPr>
        <w:t xml:space="preserve">. Hellenic Health Foundation, Athens, Greece </w:t>
      </w:r>
      <w:r w:rsidRPr="00FC5530">
        <w:rPr>
          <w:szCs w:val="20"/>
        </w:rPr>
        <w:br/>
      </w:r>
      <w:r w:rsidR="00F833F4">
        <w:rPr>
          <w:szCs w:val="20"/>
        </w:rPr>
        <w:t>42</w:t>
      </w:r>
      <w:r w:rsidRPr="00FC5530">
        <w:rPr>
          <w:szCs w:val="20"/>
        </w:rPr>
        <w:t xml:space="preserve">. National and Kapodistrian University of Athens, Greece </w:t>
      </w:r>
      <w:r w:rsidRPr="00FC5530">
        <w:rPr>
          <w:szCs w:val="20"/>
        </w:rPr>
        <w:br/>
      </w:r>
      <w:r w:rsidR="00F833F4">
        <w:rPr>
          <w:szCs w:val="20"/>
        </w:rPr>
        <w:t>43</w:t>
      </w:r>
      <w:r w:rsidRPr="00FC5530">
        <w:rPr>
          <w:szCs w:val="20"/>
        </w:rPr>
        <w:t xml:space="preserve">. Harvard T.H. Chan School of Public Health, Boston, USA </w:t>
      </w:r>
      <w:r w:rsidRPr="00FC5530">
        <w:rPr>
          <w:szCs w:val="20"/>
        </w:rPr>
        <w:br/>
      </w:r>
      <w:r w:rsidR="00F833F4">
        <w:rPr>
          <w:szCs w:val="20"/>
        </w:rPr>
        <w:t>44</w:t>
      </w:r>
      <w:r w:rsidRPr="00FC5530">
        <w:rPr>
          <w:szCs w:val="20"/>
        </w:rPr>
        <w:t xml:space="preserve">. University of Oxford, UK </w:t>
      </w:r>
      <w:r w:rsidRPr="00FC5530">
        <w:rPr>
          <w:szCs w:val="20"/>
        </w:rPr>
        <w:br/>
      </w:r>
      <w:r w:rsidR="00F833F4">
        <w:rPr>
          <w:szCs w:val="20"/>
        </w:rPr>
        <w:t>45</w:t>
      </w:r>
      <w:r w:rsidRPr="00FC5530">
        <w:rPr>
          <w:szCs w:val="20"/>
        </w:rPr>
        <w:t xml:space="preserve">. University of Hawaii, USA </w:t>
      </w:r>
      <w:r w:rsidRPr="00FC5530">
        <w:rPr>
          <w:szCs w:val="20"/>
        </w:rPr>
        <w:br/>
      </w:r>
      <w:r w:rsidR="00F833F4">
        <w:rPr>
          <w:szCs w:val="20"/>
        </w:rPr>
        <w:t>46</w:t>
      </w:r>
      <w:r w:rsidRPr="00FC5530">
        <w:rPr>
          <w:szCs w:val="20"/>
        </w:rPr>
        <w:t xml:space="preserve">. Instituto de Salud Pública de Navarra, IdiSNA - Navarre Institute for Health Research, Pamplona, Spain </w:t>
      </w:r>
      <w:r w:rsidRPr="00FC5530">
        <w:rPr>
          <w:szCs w:val="20"/>
        </w:rPr>
        <w:br/>
      </w:r>
      <w:r w:rsidR="00F833F4">
        <w:rPr>
          <w:szCs w:val="20"/>
        </w:rPr>
        <w:t>47</w:t>
      </w:r>
      <w:r w:rsidRPr="00FC5530">
        <w:rPr>
          <w:szCs w:val="20"/>
        </w:rPr>
        <w:t xml:space="preserve">. </w:t>
      </w:r>
      <w:r w:rsidRPr="005D687B">
        <w:rPr>
          <w:lang w:val="fr-FR"/>
        </w:rPr>
        <w:t xml:space="preserve">Red de Investigación en Servicios de Salud en Enfermedades Crónicas (REDISSEC), Pamplona, Spain </w:t>
      </w:r>
      <w:r w:rsidRPr="005D687B">
        <w:rPr>
          <w:lang w:val="fr-FR"/>
        </w:rPr>
        <w:br/>
      </w:r>
      <w:r w:rsidR="00F833F4" w:rsidRPr="00E51CBB">
        <w:rPr>
          <w:szCs w:val="20"/>
          <w:lang w:val="fr-FR"/>
        </w:rPr>
        <w:t>48</w:t>
      </w:r>
      <w:r w:rsidRPr="005D687B">
        <w:rPr>
          <w:lang w:val="fr-FR"/>
        </w:rPr>
        <w:t xml:space="preserve">. </w:t>
      </w:r>
      <w:r w:rsidRPr="00FC5530">
        <w:rPr>
          <w:szCs w:val="20"/>
        </w:rPr>
        <w:t xml:space="preserve">Columbia College of Physicians and Surgeons, USA </w:t>
      </w:r>
      <w:r w:rsidRPr="00FC5530">
        <w:rPr>
          <w:szCs w:val="20"/>
        </w:rPr>
        <w:br/>
      </w:r>
      <w:r w:rsidR="00F833F4">
        <w:rPr>
          <w:szCs w:val="20"/>
        </w:rPr>
        <w:t>49</w:t>
      </w:r>
      <w:r w:rsidRPr="00FC5530">
        <w:rPr>
          <w:szCs w:val="20"/>
        </w:rPr>
        <w:t xml:space="preserve">. East Boston Neighborhood Health Center, MA, USA </w:t>
      </w:r>
      <w:r w:rsidRPr="00FC5530">
        <w:rPr>
          <w:szCs w:val="20"/>
        </w:rPr>
        <w:br/>
      </w:r>
      <w:r w:rsidR="00F833F4">
        <w:rPr>
          <w:szCs w:val="20"/>
        </w:rPr>
        <w:t>50</w:t>
      </w:r>
      <w:r w:rsidRPr="00FC5530">
        <w:rPr>
          <w:szCs w:val="20"/>
        </w:rPr>
        <w:t xml:space="preserve">. </w:t>
      </w:r>
      <w:r w:rsidRPr="005D687B">
        <w:rPr>
          <w:lang w:val="fr-FR"/>
        </w:rPr>
        <w:t xml:space="preserve">Città della Salute e della Scienza di Torino Hospital, Turin, Italy </w:t>
      </w:r>
      <w:r w:rsidRPr="005D687B">
        <w:rPr>
          <w:lang w:val="fr-FR"/>
        </w:rPr>
        <w:br/>
      </w:r>
      <w:r w:rsidR="00F833F4" w:rsidRPr="00E51CBB">
        <w:rPr>
          <w:szCs w:val="20"/>
          <w:lang w:val="fr-FR"/>
        </w:rPr>
        <w:t>51</w:t>
      </w:r>
      <w:r w:rsidRPr="005D687B">
        <w:rPr>
          <w:lang w:val="fr-FR"/>
        </w:rPr>
        <w:t xml:space="preserve">. </w:t>
      </w:r>
      <w:r w:rsidRPr="00FC5530">
        <w:rPr>
          <w:szCs w:val="20"/>
        </w:rPr>
        <w:t xml:space="preserve">The University of Iowa, USA </w:t>
      </w:r>
      <w:r w:rsidRPr="00FC5530">
        <w:rPr>
          <w:szCs w:val="20"/>
        </w:rPr>
        <w:br/>
      </w:r>
      <w:r w:rsidR="00F833F4">
        <w:rPr>
          <w:szCs w:val="20"/>
        </w:rPr>
        <w:t>52</w:t>
      </w:r>
      <w:r w:rsidRPr="00FC5530">
        <w:rPr>
          <w:szCs w:val="20"/>
        </w:rPr>
        <w:t xml:space="preserve">. Consejería de Sanidad del Principado de Asturias, Spain </w:t>
      </w:r>
      <w:r w:rsidRPr="00FC5530">
        <w:rPr>
          <w:szCs w:val="20"/>
        </w:rPr>
        <w:br/>
      </w:r>
      <w:r w:rsidR="00F833F4">
        <w:rPr>
          <w:szCs w:val="20"/>
        </w:rPr>
        <w:t>5</w:t>
      </w:r>
      <w:r w:rsidR="001632CD">
        <w:rPr>
          <w:szCs w:val="20"/>
        </w:rPr>
        <w:t>3</w:t>
      </w:r>
      <w:r w:rsidRPr="00FC5530">
        <w:rPr>
          <w:szCs w:val="20"/>
        </w:rPr>
        <w:t xml:space="preserve">. Civic - M. Arezzo Hospital, ASP Ragusa, Italy </w:t>
      </w:r>
      <w:r w:rsidRPr="00FC5530">
        <w:rPr>
          <w:szCs w:val="20"/>
        </w:rPr>
        <w:br/>
      </w:r>
      <w:r w:rsidR="00F833F4">
        <w:rPr>
          <w:szCs w:val="20"/>
        </w:rPr>
        <w:t>5</w:t>
      </w:r>
      <w:r w:rsidR="001632CD">
        <w:rPr>
          <w:szCs w:val="20"/>
        </w:rPr>
        <w:t>4</w:t>
      </w:r>
      <w:r w:rsidRPr="00FC5530">
        <w:rPr>
          <w:szCs w:val="20"/>
        </w:rPr>
        <w:t xml:space="preserve">. Duke Divinity School, North Carolina, USA </w:t>
      </w:r>
      <w:r w:rsidRPr="00FC5530">
        <w:rPr>
          <w:szCs w:val="20"/>
        </w:rPr>
        <w:br/>
      </w:r>
      <w:r w:rsidR="00F833F4">
        <w:rPr>
          <w:szCs w:val="20"/>
        </w:rPr>
        <w:t>5</w:t>
      </w:r>
      <w:r w:rsidR="001632CD">
        <w:rPr>
          <w:szCs w:val="20"/>
        </w:rPr>
        <w:t>5</w:t>
      </w:r>
      <w:r w:rsidRPr="00FC5530">
        <w:rPr>
          <w:szCs w:val="20"/>
        </w:rPr>
        <w:t xml:space="preserve">. Yamagata University, Yamagata 990-9585, Japan </w:t>
      </w:r>
      <w:r w:rsidRPr="00FC5530">
        <w:rPr>
          <w:szCs w:val="20"/>
        </w:rPr>
        <w:br/>
      </w:r>
      <w:r w:rsidR="00F833F4">
        <w:rPr>
          <w:szCs w:val="20"/>
        </w:rPr>
        <w:t>5</w:t>
      </w:r>
      <w:r w:rsidR="001632CD">
        <w:rPr>
          <w:szCs w:val="20"/>
        </w:rPr>
        <w:t>6</w:t>
      </w:r>
      <w:r w:rsidRPr="00FC5530">
        <w:rPr>
          <w:szCs w:val="20"/>
        </w:rPr>
        <w:t xml:space="preserve">. Federico II University, Naples, Italy </w:t>
      </w:r>
      <w:r w:rsidRPr="00FC5530">
        <w:rPr>
          <w:szCs w:val="20"/>
        </w:rPr>
        <w:br/>
      </w:r>
      <w:r w:rsidR="00F833F4">
        <w:rPr>
          <w:szCs w:val="20"/>
        </w:rPr>
        <w:t>5</w:t>
      </w:r>
      <w:r w:rsidR="001632CD">
        <w:rPr>
          <w:szCs w:val="20"/>
        </w:rPr>
        <w:t>7</w:t>
      </w:r>
      <w:r w:rsidRPr="00FC5530">
        <w:rPr>
          <w:szCs w:val="20"/>
        </w:rPr>
        <w:t xml:space="preserve">. Department of Biology, Tuskegee University, AL, USA </w:t>
      </w:r>
      <w:r w:rsidRPr="00FC5530">
        <w:rPr>
          <w:szCs w:val="20"/>
        </w:rPr>
        <w:br/>
      </w:r>
      <w:r w:rsidR="00F833F4">
        <w:rPr>
          <w:szCs w:val="20"/>
        </w:rPr>
        <w:t>5</w:t>
      </w:r>
      <w:r w:rsidR="001632CD">
        <w:rPr>
          <w:szCs w:val="20"/>
        </w:rPr>
        <w:t>8</w:t>
      </w:r>
      <w:r w:rsidRPr="007626A0">
        <w:rPr>
          <w:szCs w:val="20"/>
        </w:rPr>
        <w:t xml:space="preserve">. The Arctic University of Norway, Tromsø, Norway </w:t>
      </w:r>
      <w:r w:rsidRPr="007626A0">
        <w:rPr>
          <w:szCs w:val="20"/>
        </w:rPr>
        <w:br/>
      </w:r>
      <w:r w:rsidR="001632CD">
        <w:rPr>
          <w:szCs w:val="20"/>
        </w:rPr>
        <w:t>59</w:t>
      </w:r>
      <w:r w:rsidR="003B0807" w:rsidRPr="007626A0">
        <w:rPr>
          <w:szCs w:val="20"/>
        </w:rPr>
        <w:t xml:space="preserve">. University of Helsinki and Helsinki University Hospital, Helsinki, Finland </w:t>
      </w:r>
      <w:r w:rsidR="003B0807" w:rsidRPr="007626A0">
        <w:rPr>
          <w:szCs w:val="20"/>
        </w:rPr>
        <w:br/>
      </w:r>
      <w:r w:rsidR="00F833F4">
        <w:rPr>
          <w:szCs w:val="20"/>
        </w:rPr>
        <w:t>6</w:t>
      </w:r>
      <w:r w:rsidR="001632CD">
        <w:rPr>
          <w:szCs w:val="20"/>
        </w:rPr>
        <w:t>0</w:t>
      </w:r>
      <w:r w:rsidR="003B0807" w:rsidRPr="007626A0">
        <w:rPr>
          <w:szCs w:val="20"/>
        </w:rPr>
        <w:t xml:space="preserve">. University of Oulu, Center for Life Course Health Research, Oulu, Finland </w:t>
      </w:r>
      <w:r w:rsidR="003B0807" w:rsidRPr="007626A0">
        <w:rPr>
          <w:szCs w:val="20"/>
        </w:rPr>
        <w:br/>
      </w:r>
      <w:r w:rsidR="00F833F4">
        <w:rPr>
          <w:szCs w:val="20"/>
        </w:rPr>
        <w:t>6</w:t>
      </w:r>
      <w:r w:rsidR="001632CD">
        <w:rPr>
          <w:szCs w:val="20"/>
        </w:rPr>
        <w:t>1</w:t>
      </w:r>
      <w:r w:rsidR="003B0807" w:rsidRPr="007626A0">
        <w:rPr>
          <w:szCs w:val="20"/>
        </w:rPr>
        <w:t xml:space="preserve">. UiT The Arctic University of Norway, Tromsø, Norway </w:t>
      </w:r>
      <w:r w:rsidR="003B0807" w:rsidRPr="007626A0">
        <w:rPr>
          <w:szCs w:val="20"/>
        </w:rPr>
        <w:br/>
      </w:r>
      <w:r w:rsidR="00F833F4">
        <w:rPr>
          <w:szCs w:val="20"/>
        </w:rPr>
        <w:t>6</w:t>
      </w:r>
      <w:r w:rsidR="001632CD">
        <w:rPr>
          <w:szCs w:val="20"/>
        </w:rPr>
        <w:t>2</w:t>
      </w:r>
      <w:r w:rsidR="003B0807" w:rsidRPr="007626A0">
        <w:rPr>
          <w:szCs w:val="20"/>
        </w:rPr>
        <w:t xml:space="preserve">. Cancer Registry og Norway, Institute of Population-Based Cancer Research, Oslo, Norway </w:t>
      </w:r>
      <w:r w:rsidR="003B0807" w:rsidRPr="007626A0">
        <w:rPr>
          <w:szCs w:val="20"/>
        </w:rPr>
        <w:br/>
      </w:r>
      <w:r w:rsidR="00F833F4">
        <w:rPr>
          <w:szCs w:val="20"/>
        </w:rPr>
        <w:t>6</w:t>
      </w:r>
      <w:r w:rsidR="001632CD">
        <w:rPr>
          <w:szCs w:val="20"/>
        </w:rPr>
        <w:t>3</w:t>
      </w:r>
      <w:r w:rsidR="003B0807" w:rsidRPr="007626A0">
        <w:rPr>
          <w:szCs w:val="20"/>
        </w:rPr>
        <w:t xml:space="preserve">. Karolinska Institutet, Stockholm, Sweden </w:t>
      </w:r>
      <w:r w:rsidR="003B0807" w:rsidRPr="007626A0">
        <w:rPr>
          <w:szCs w:val="20"/>
        </w:rPr>
        <w:br/>
      </w:r>
      <w:r w:rsidR="00F833F4">
        <w:rPr>
          <w:szCs w:val="20"/>
        </w:rPr>
        <w:t>6</w:t>
      </w:r>
      <w:r w:rsidR="001632CD">
        <w:rPr>
          <w:szCs w:val="20"/>
        </w:rPr>
        <w:t>4</w:t>
      </w:r>
      <w:r w:rsidR="003B0807" w:rsidRPr="007626A0">
        <w:rPr>
          <w:szCs w:val="20"/>
        </w:rPr>
        <w:t xml:space="preserve">. Folkhälsan Research Center, Helsinki, Finland </w:t>
      </w:r>
      <w:r w:rsidR="003B0807" w:rsidRPr="007626A0">
        <w:rPr>
          <w:szCs w:val="20"/>
        </w:rPr>
        <w:br/>
      </w:r>
      <w:r w:rsidR="00F833F4">
        <w:rPr>
          <w:szCs w:val="20"/>
        </w:rPr>
        <w:t>6</w:t>
      </w:r>
      <w:r w:rsidR="001632CD">
        <w:rPr>
          <w:szCs w:val="20"/>
        </w:rPr>
        <w:t>5</w:t>
      </w:r>
      <w:r w:rsidR="003B0807" w:rsidRPr="007626A0">
        <w:rPr>
          <w:szCs w:val="20"/>
        </w:rPr>
        <w:t xml:space="preserve">. Medical University of South Carolina, USA </w:t>
      </w:r>
      <w:r w:rsidR="003B0807" w:rsidRPr="007626A0">
        <w:rPr>
          <w:szCs w:val="20"/>
        </w:rPr>
        <w:br/>
      </w:r>
      <w:r w:rsidR="00F833F4">
        <w:rPr>
          <w:szCs w:val="20"/>
        </w:rPr>
        <w:t>6</w:t>
      </w:r>
      <w:r w:rsidR="001632CD">
        <w:rPr>
          <w:szCs w:val="20"/>
        </w:rPr>
        <w:t>6</w:t>
      </w:r>
      <w:r w:rsidR="003B0807" w:rsidRPr="007626A0">
        <w:rPr>
          <w:szCs w:val="20"/>
        </w:rPr>
        <w:t xml:space="preserve">. Cardiovascular Health Research Unit, Departments of Medicine, Epidemiology, and Health Services, University of Washington, Seattle, WA </w:t>
      </w:r>
      <w:r w:rsidR="003B0807" w:rsidRPr="007626A0">
        <w:rPr>
          <w:szCs w:val="20"/>
        </w:rPr>
        <w:br/>
      </w:r>
      <w:r w:rsidR="00F833F4">
        <w:rPr>
          <w:szCs w:val="20"/>
        </w:rPr>
        <w:t>6</w:t>
      </w:r>
      <w:r w:rsidR="001632CD">
        <w:rPr>
          <w:szCs w:val="20"/>
        </w:rPr>
        <w:t>7</w:t>
      </w:r>
      <w:r w:rsidR="003B0807" w:rsidRPr="007626A0">
        <w:rPr>
          <w:szCs w:val="20"/>
        </w:rPr>
        <w:t xml:space="preserve">. Kaiser Permanente Washington Health Research Institute, Seattle, WA </w:t>
      </w:r>
      <w:r w:rsidR="003B0807" w:rsidRPr="007626A0">
        <w:rPr>
          <w:szCs w:val="20"/>
        </w:rPr>
        <w:br/>
      </w:r>
      <w:r w:rsidR="00F833F4">
        <w:rPr>
          <w:szCs w:val="20"/>
        </w:rPr>
        <w:t>6</w:t>
      </w:r>
      <w:r w:rsidR="001632CD">
        <w:rPr>
          <w:szCs w:val="20"/>
        </w:rPr>
        <w:t>8</w:t>
      </w:r>
      <w:r w:rsidR="003B0807" w:rsidRPr="007626A0">
        <w:rPr>
          <w:szCs w:val="20"/>
        </w:rPr>
        <w:t xml:space="preserve">. University of Wageningen , Netherlands </w:t>
      </w:r>
      <w:r w:rsidR="003B0807" w:rsidRPr="007626A0">
        <w:rPr>
          <w:szCs w:val="20"/>
        </w:rPr>
        <w:br/>
      </w:r>
      <w:r w:rsidR="001632CD">
        <w:rPr>
          <w:szCs w:val="20"/>
        </w:rPr>
        <w:t>69</w:t>
      </w:r>
      <w:r w:rsidR="003B0807" w:rsidRPr="007626A0">
        <w:rPr>
          <w:szCs w:val="20"/>
        </w:rPr>
        <w:t xml:space="preserve">. University of Groningen, Netherlands </w:t>
      </w:r>
      <w:r w:rsidR="003B0807" w:rsidRPr="007626A0">
        <w:rPr>
          <w:szCs w:val="20"/>
        </w:rPr>
        <w:br/>
      </w:r>
      <w:r w:rsidR="00F833F4">
        <w:rPr>
          <w:szCs w:val="20"/>
        </w:rPr>
        <w:lastRenderedPageBreak/>
        <w:t>7</w:t>
      </w:r>
      <w:r w:rsidR="001632CD">
        <w:rPr>
          <w:szCs w:val="20"/>
        </w:rPr>
        <w:t>0</w:t>
      </w:r>
      <w:r w:rsidR="003B0807" w:rsidRPr="007626A0">
        <w:rPr>
          <w:szCs w:val="20"/>
        </w:rPr>
        <w:t xml:space="preserve">. Escuela Andaluza de Salud Pública. Instituto de Investigación Biosanitaria ibs.GRANADA. Hospitales Universitarios de Granada/Universidad de Granada, Granada, Spain </w:t>
      </w:r>
      <w:r w:rsidR="003B0807" w:rsidRPr="007626A0">
        <w:rPr>
          <w:szCs w:val="20"/>
        </w:rPr>
        <w:br/>
      </w:r>
      <w:r w:rsidR="00F833F4">
        <w:rPr>
          <w:szCs w:val="20"/>
        </w:rPr>
        <w:t>7</w:t>
      </w:r>
      <w:r w:rsidR="001632CD">
        <w:rPr>
          <w:szCs w:val="20"/>
        </w:rPr>
        <w:t>1</w:t>
      </w:r>
      <w:r w:rsidR="003B0807" w:rsidRPr="007626A0">
        <w:rPr>
          <w:szCs w:val="20"/>
        </w:rPr>
        <w:t xml:space="preserve">. CIBER de Epidemiología y Salud Pública (CIBERESP), Spain </w:t>
      </w:r>
      <w:r w:rsidR="003B0807" w:rsidRPr="007626A0">
        <w:rPr>
          <w:szCs w:val="20"/>
        </w:rPr>
        <w:br/>
      </w:r>
      <w:r w:rsidR="00F833F4">
        <w:rPr>
          <w:szCs w:val="20"/>
        </w:rPr>
        <w:t>7</w:t>
      </w:r>
      <w:r w:rsidR="001632CD">
        <w:rPr>
          <w:szCs w:val="20"/>
        </w:rPr>
        <w:t>2</w:t>
      </w:r>
      <w:r w:rsidR="003B0807" w:rsidRPr="007626A0">
        <w:rPr>
          <w:szCs w:val="20"/>
        </w:rPr>
        <w:t xml:space="preserve">. Yale University, Connecticut, USA </w:t>
      </w:r>
      <w:r w:rsidR="003B0807" w:rsidRPr="007626A0">
        <w:rPr>
          <w:szCs w:val="20"/>
        </w:rPr>
        <w:br/>
      </w:r>
      <w:r w:rsidR="00F833F4">
        <w:rPr>
          <w:szCs w:val="20"/>
        </w:rPr>
        <w:t>7</w:t>
      </w:r>
      <w:r w:rsidR="001632CD">
        <w:rPr>
          <w:szCs w:val="20"/>
        </w:rPr>
        <w:t>3</w:t>
      </w:r>
      <w:r w:rsidR="003B0807" w:rsidRPr="007626A0">
        <w:rPr>
          <w:szCs w:val="20"/>
        </w:rPr>
        <w:t xml:space="preserve">. Epidemiology and Prevention Unit, Fondazione IRCCS Istituto Nazionale dei Tumori – Milan </w:t>
      </w:r>
      <w:r w:rsidR="003B0807" w:rsidRPr="007626A0">
        <w:rPr>
          <w:szCs w:val="20"/>
        </w:rPr>
        <w:br/>
      </w:r>
      <w:r w:rsidR="00F833F4">
        <w:rPr>
          <w:szCs w:val="20"/>
        </w:rPr>
        <w:t>7</w:t>
      </w:r>
      <w:r w:rsidR="001632CD">
        <w:rPr>
          <w:szCs w:val="20"/>
        </w:rPr>
        <w:t>4</w:t>
      </w:r>
      <w:r w:rsidR="003B0807" w:rsidRPr="007626A0">
        <w:rPr>
          <w:szCs w:val="20"/>
        </w:rPr>
        <w:t xml:space="preserve">. Cancer Research and Prevention Institute (ISPO), Florence, Italy </w:t>
      </w:r>
      <w:r w:rsidR="003B0807" w:rsidRPr="007626A0">
        <w:rPr>
          <w:szCs w:val="20"/>
        </w:rPr>
        <w:br/>
      </w:r>
      <w:r w:rsidR="00F833F4">
        <w:rPr>
          <w:szCs w:val="20"/>
        </w:rPr>
        <w:t>7</w:t>
      </w:r>
      <w:r w:rsidR="001632CD">
        <w:rPr>
          <w:szCs w:val="20"/>
        </w:rPr>
        <w:t>5</w:t>
      </w:r>
      <w:r w:rsidR="003B0807" w:rsidRPr="007626A0">
        <w:rPr>
          <w:szCs w:val="20"/>
        </w:rPr>
        <w:t xml:space="preserve">. Murcia Regional Health Council, IMIB-Arrixaca, Murcia, Spain </w:t>
      </w:r>
      <w:r w:rsidR="003B0807" w:rsidRPr="007626A0">
        <w:rPr>
          <w:szCs w:val="20"/>
        </w:rPr>
        <w:br/>
      </w:r>
      <w:r w:rsidR="00F833F4">
        <w:rPr>
          <w:szCs w:val="20"/>
        </w:rPr>
        <w:t>7</w:t>
      </w:r>
      <w:r w:rsidR="001632CD">
        <w:rPr>
          <w:szCs w:val="20"/>
        </w:rPr>
        <w:t>6</w:t>
      </w:r>
      <w:r w:rsidR="003B0807" w:rsidRPr="007626A0">
        <w:rPr>
          <w:szCs w:val="20"/>
        </w:rPr>
        <w:t xml:space="preserve">. CIBER Epidemiología y Salud Pública (CIBERESP), Spain </w:t>
      </w:r>
      <w:r w:rsidR="003B0807" w:rsidRPr="007626A0">
        <w:rPr>
          <w:szCs w:val="20"/>
        </w:rPr>
        <w:br/>
      </w:r>
      <w:r w:rsidR="00F833F4">
        <w:rPr>
          <w:szCs w:val="20"/>
        </w:rPr>
        <w:t>7</w:t>
      </w:r>
      <w:r w:rsidR="001632CD">
        <w:rPr>
          <w:szCs w:val="20"/>
        </w:rPr>
        <w:t>7</w:t>
      </w:r>
      <w:r w:rsidR="003B0807" w:rsidRPr="007626A0">
        <w:rPr>
          <w:szCs w:val="20"/>
        </w:rPr>
        <w:t xml:space="preserve">. Usher Institute, University of Edinburgh, UK </w:t>
      </w:r>
      <w:r w:rsidR="003B0807" w:rsidRPr="007626A0">
        <w:rPr>
          <w:szCs w:val="20"/>
        </w:rPr>
        <w:br/>
      </w:r>
      <w:r w:rsidR="00F833F4">
        <w:rPr>
          <w:szCs w:val="20"/>
        </w:rPr>
        <w:t>7</w:t>
      </w:r>
      <w:r w:rsidR="001632CD">
        <w:rPr>
          <w:szCs w:val="20"/>
        </w:rPr>
        <w:t>8</w:t>
      </w:r>
      <w:r w:rsidR="003B0807" w:rsidRPr="007626A0">
        <w:rPr>
          <w:szCs w:val="20"/>
        </w:rPr>
        <w:t xml:space="preserve">. Department of Medical Sciences, Uppsala University, Sweden </w:t>
      </w:r>
      <w:r w:rsidR="003B0807" w:rsidRPr="007626A0">
        <w:rPr>
          <w:szCs w:val="20"/>
        </w:rPr>
        <w:br/>
      </w:r>
      <w:r w:rsidR="001632CD">
        <w:rPr>
          <w:szCs w:val="20"/>
        </w:rPr>
        <w:t>79</w:t>
      </w:r>
      <w:r w:rsidR="003B0807" w:rsidRPr="007626A0">
        <w:rPr>
          <w:szCs w:val="20"/>
        </w:rPr>
        <w:t xml:space="preserve">. Instituto BIO-Donostia, Basque Government, San Sebastian, Spain </w:t>
      </w:r>
      <w:r w:rsidR="003B0807" w:rsidRPr="007626A0">
        <w:rPr>
          <w:szCs w:val="20"/>
        </w:rPr>
        <w:br/>
      </w:r>
      <w:r w:rsidR="00F833F4">
        <w:rPr>
          <w:szCs w:val="20"/>
        </w:rPr>
        <w:t>8</w:t>
      </w:r>
      <w:r w:rsidR="001632CD">
        <w:rPr>
          <w:szCs w:val="20"/>
        </w:rPr>
        <w:t>0</w:t>
      </w:r>
      <w:r w:rsidR="003B0807" w:rsidRPr="007626A0">
        <w:rPr>
          <w:szCs w:val="20"/>
        </w:rPr>
        <w:t xml:space="preserve">. The University of Sydney and Royal Prince Alfred Hospital, Sydney, Australia </w:t>
      </w:r>
      <w:r w:rsidR="003B0807" w:rsidRPr="007626A0">
        <w:rPr>
          <w:szCs w:val="20"/>
        </w:rPr>
        <w:br/>
      </w:r>
      <w:r w:rsidR="00F833F4">
        <w:rPr>
          <w:szCs w:val="20"/>
        </w:rPr>
        <w:t>8</w:t>
      </w:r>
      <w:r w:rsidR="001632CD">
        <w:rPr>
          <w:szCs w:val="20"/>
        </w:rPr>
        <w:t>1</w:t>
      </w:r>
      <w:r w:rsidR="003B0807" w:rsidRPr="007626A0">
        <w:rPr>
          <w:szCs w:val="20"/>
        </w:rPr>
        <w:t xml:space="preserve">. Kyushu University, Fukuoka, Japan </w:t>
      </w:r>
      <w:r w:rsidR="003B0807" w:rsidRPr="007626A0">
        <w:rPr>
          <w:szCs w:val="20"/>
        </w:rPr>
        <w:br/>
      </w:r>
      <w:r w:rsidR="00F833F4">
        <w:rPr>
          <w:szCs w:val="20"/>
        </w:rPr>
        <w:t>8</w:t>
      </w:r>
      <w:r w:rsidR="001632CD">
        <w:rPr>
          <w:szCs w:val="20"/>
        </w:rPr>
        <w:t>2</w:t>
      </w:r>
      <w:r w:rsidR="003B0807" w:rsidRPr="007626A0">
        <w:rPr>
          <w:szCs w:val="20"/>
        </w:rPr>
        <w:t xml:space="preserve">. Harokopio University, Athens, Greece </w:t>
      </w:r>
      <w:r w:rsidR="003B0807" w:rsidRPr="007626A0">
        <w:rPr>
          <w:szCs w:val="20"/>
        </w:rPr>
        <w:br/>
      </w:r>
      <w:r w:rsidR="00F833F4">
        <w:rPr>
          <w:szCs w:val="20"/>
        </w:rPr>
        <w:t>8</w:t>
      </w:r>
      <w:r w:rsidR="001632CD">
        <w:rPr>
          <w:szCs w:val="20"/>
        </w:rPr>
        <w:t>3</w:t>
      </w:r>
      <w:r w:rsidR="003B0807" w:rsidRPr="007626A0">
        <w:rPr>
          <w:szCs w:val="20"/>
        </w:rPr>
        <w:t xml:space="preserve">. Erasmus University, Rotterdam, The Netherlands </w:t>
      </w:r>
      <w:r w:rsidR="003B0807" w:rsidRPr="007626A0">
        <w:rPr>
          <w:szCs w:val="20"/>
        </w:rPr>
        <w:br/>
      </w:r>
      <w:r w:rsidR="00F833F4">
        <w:rPr>
          <w:szCs w:val="20"/>
        </w:rPr>
        <w:t>8</w:t>
      </w:r>
      <w:r w:rsidR="001632CD">
        <w:rPr>
          <w:szCs w:val="20"/>
        </w:rPr>
        <w:t>4</w:t>
      </w:r>
      <w:r w:rsidR="003B0807" w:rsidRPr="007626A0">
        <w:rPr>
          <w:szCs w:val="20"/>
        </w:rPr>
        <w:t xml:space="preserve">. University of California, San Diego, USA </w:t>
      </w:r>
      <w:r w:rsidR="003B0807" w:rsidRPr="007626A0">
        <w:rPr>
          <w:szCs w:val="20"/>
        </w:rPr>
        <w:br/>
      </w:r>
      <w:r w:rsidR="00F833F4">
        <w:rPr>
          <w:szCs w:val="20"/>
        </w:rPr>
        <w:t>8</w:t>
      </w:r>
      <w:r w:rsidR="001632CD">
        <w:rPr>
          <w:szCs w:val="20"/>
        </w:rPr>
        <w:t>5</w:t>
      </w:r>
      <w:r w:rsidR="003B0807" w:rsidRPr="007626A0">
        <w:rPr>
          <w:szCs w:val="20"/>
        </w:rPr>
        <w:t xml:space="preserve">. EMGO Institute for Health and Care Research, VU University Medical Center, the Netherlands </w:t>
      </w:r>
      <w:r w:rsidR="003B0807" w:rsidRPr="007626A0">
        <w:rPr>
          <w:szCs w:val="20"/>
        </w:rPr>
        <w:br/>
      </w:r>
      <w:r w:rsidR="00F833F4">
        <w:rPr>
          <w:szCs w:val="20"/>
        </w:rPr>
        <w:t>8</w:t>
      </w:r>
      <w:r w:rsidR="001632CD">
        <w:rPr>
          <w:szCs w:val="20"/>
        </w:rPr>
        <w:t>6</w:t>
      </w:r>
      <w:r w:rsidR="003B0807" w:rsidRPr="007626A0">
        <w:rPr>
          <w:szCs w:val="20"/>
        </w:rPr>
        <w:t>. Aalborg University Hospital,</w:t>
      </w:r>
      <w:r w:rsidR="007626A0" w:rsidRPr="007626A0">
        <w:rPr>
          <w:szCs w:val="20"/>
        </w:rPr>
        <w:t xml:space="preserve"> Denmark </w:t>
      </w:r>
      <w:r w:rsidR="007626A0" w:rsidRPr="007626A0">
        <w:rPr>
          <w:szCs w:val="20"/>
        </w:rPr>
        <w:br/>
      </w:r>
      <w:r w:rsidR="00F833F4">
        <w:rPr>
          <w:szCs w:val="20"/>
        </w:rPr>
        <w:t>8</w:t>
      </w:r>
      <w:r w:rsidR="001632CD">
        <w:rPr>
          <w:szCs w:val="20"/>
        </w:rPr>
        <w:t>7</w:t>
      </w:r>
      <w:r w:rsidR="007626A0" w:rsidRPr="007626A0">
        <w:rPr>
          <w:szCs w:val="20"/>
        </w:rPr>
        <w:t>. Aarhus University</w:t>
      </w:r>
      <w:r w:rsidR="003B0807" w:rsidRPr="007626A0">
        <w:rPr>
          <w:szCs w:val="20"/>
        </w:rPr>
        <w:t xml:space="preserve">, Denmark </w:t>
      </w:r>
      <w:r w:rsidR="003B0807" w:rsidRPr="007626A0">
        <w:rPr>
          <w:szCs w:val="20"/>
        </w:rPr>
        <w:br/>
      </w:r>
      <w:r w:rsidR="00F833F4">
        <w:rPr>
          <w:szCs w:val="20"/>
        </w:rPr>
        <w:t>8</w:t>
      </w:r>
      <w:r w:rsidR="001632CD">
        <w:rPr>
          <w:szCs w:val="20"/>
        </w:rPr>
        <w:t>8</w:t>
      </w:r>
      <w:r w:rsidR="003B0807" w:rsidRPr="007626A0">
        <w:rPr>
          <w:szCs w:val="20"/>
        </w:rPr>
        <w:t xml:space="preserve">. University of Eastern Finland </w:t>
      </w:r>
      <w:r w:rsidR="003B0807" w:rsidRPr="007626A0">
        <w:rPr>
          <w:szCs w:val="20"/>
        </w:rPr>
        <w:br/>
      </w:r>
      <w:r w:rsidR="001632CD">
        <w:rPr>
          <w:szCs w:val="20"/>
        </w:rPr>
        <w:t>89</w:t>
      </w:r>
      <w:r w:rsidR="003B0807" w:rsidRPr="007626A0">
        <w:rPr>
          <w:szCs w:val="20"/>
        </w:rPr>
        <w:t xml:space="preserve">. Medical Research Council Epidemiology Unit, University of Cambridge, Cambridge, UK </w:t>
      </w:r>
      <w:r w:rsidR="003B0807" w:rsidRPr="007626A0">
        <w:rPr>
          <w:szCs w:val="20"/>
        </w:rPr>
        <w:br/>
      </w:r>
      <w:r w:rsidR="00F833F4">
        <w:rPr>
          <w:szCs w:val="20"/>
        </w:rPr>
        <w:t>9</w:t>
      </w:r>
      <w:r w:rsidR="001632CD">
        <w:rPr>
          <w:szCs w:val="20"/>
        </w:rPr>
        <w:t>0</w:t>
      </w:r>
      <w:r w:rsidR="003B0807" w:rsidRPr="007626A0">
        <w:rPr>
          <w:szCs w:val="20"/>
        </w:rPr>
        <w:t xml:space="preserve">. Laval University, Quebec, Canada </w:t>
      </w:r>
      <w:r w:rsidR="003B0807" w:rsidRPr="007626A0">
        <w:rPr>
          <w:szCs w:val="20"/>
        </w:rPr>
        <w:br/>
      </w:r>
      <w:r w:rsidR="00F833F4">
        <w:rPr>
          <w:szCs w:val="20"/>
        </w:rPr>
        <w:t>9</w:t>
      </w:r>
      <w:r w:rsidR="001632CD">
        <w:rPr>
          <w:szCs w:val="20"/>
        </w:rPr>
        <w:t>1</w:t>
      </w:r>
      <w:r w:rsidR="003B0807" w:rsidRPr="007626A0">
        <w:rPr>
          <w:szCs w:val="20"/>
        </w:rPr>
        <w:t xml:space="preserve">. University of Vermont, USA </w:t>
      </w:r>
      <w:r w:rsidR="003B0807" w:rsidRPr="007626A0">
        <w:rPr>
          <w:szCs w:val="20"/>
        </w:rPr>
        <w:br/>
      </w:r>
      <w:r w:rsidR="00F833F4">
        <w:rPr>
          <w:szCs w:val="20"/>
        </w:rPr>
        <w:t>9</w:t>
      </w:r>
      <w:r w:rsidR="001632CD">
        <w:rPr>
          <w:szCs w:val="20"/>
        </w:rPr>
        <w:t>2</w:t>
      </w:r>
      <w:r w:rsidR="003B0807" w:rsidRPr="007626A0">
        <w:rPr>
          <w:szCs w:val="20"/>
        </w:rPr>
        <w:t xml:space="preserve">. University College London, London, UK </w:t>
      </w:r>
      <w:r w:rsidR="003B0807" w:rsidRPr="007626A0">
        <w:rPr>
          <w:szCs w:val="20"/>
        </w:rPr>
        <w:br/>
      </w:r>
      <w:r w:rsidR="00F833F4">
        <w:rPr>
          <w:szCs w:val="20"/>
        </w:rPr>
        <w:t>9</w:t>
      </w:r>
      <w:r w:rsidR="001632CD">
        <w:rPr>
          <w:szCs w:val="20"/>
        </w:rPr>
        <w:t>3</w:t>
      </w:r>
      <w:r w:rsidR="003B0807" w:rsidRPr="007626A0">
        <w:rPr>
          <w:szCs w:val="20"/>
        </w:rPr>
        <w:t xml:space="preserve">. Wake Forest University School of Medicine, NC, USA </w:t>
      </w:r>
      <w:r w:rsidR="003B0807" w:rsidRPr="007626A0">
        <w:rPr>
          <w:szCs w:val="20"/>
        </w:rPr>
        <w:br/>
      </w:r>
      <w:r w:rsidR="00F833F4">
        <w:rPr>
          <w:szCs w:val="20"/>
        </w:rPr>
        <w:t>9</w:t>
      </w:r>
      <w:r w:rsidR="001632CD">
        <w:rPr>
          <w:szCs w:val="20"/>
        </w:rPr>
        <w:t>4</w:t>
      </w:r>
      <w:r w:rsidR="003B0807" w:rsidRPr="007626A0">
        <w:rPr>
          <w:szCs w:val="20"/>
        </w:rPr>
        <w:t xml:space="preserve">. Wake Forest Baptist Medical Center, NC, USA </w:t>
      </w:r>
      <w:r w:rsidR="003B0807" w:rsidRPr="007626A0">
        <w:rPr>
          <w:szCs w:val="20"/>
        </w:rPr>
        <w:br/>
      </w:r>
      <w:r w:rsidR="00F833F4">
        <w:rPr>
          <w:szCs w:val="20"/>
        </w:rPr>
        <w:t>9</w:t>
      </w:r>
      <w:r w:rsidR="001632CD">
        <w:rPr>
          <w:szCs w:val="20"/>
        </w:rPr>
        <w:t>5</w:t>
      </w:r>
      <w:r w:rsidR="003B0807" w:rsidRPr="007626A0">
        <w:rPr>
          <w:szCs w:val="20"/>
        </w:rPr>
        <w:t xml:space="preserve">. Kanazawa Medical University, Ishikawa, Japan </w:t>
      </w:r>
      <w:r w:rsidR="003B0807" w:rsidRPr="007626A0">
        <w:rPr>
          <w:szCs w:val="20"/>
        </w:rPr>
        <w:br/>
      </w:r>
      <w:r w:rsidR="00F833F4">
        <w:rPr>
          <w:szCs w:val="20"/>
        </w:rPr>
        <w:t>9</w:t>
      </w:r>
      <w:r w:rsidR="001632CD">
        <w:rPr>
          <w:szCs w:val="20"/>
        </w:rPr>
        <w:t>6</w:t>
      </w:r>
      <w:r w:rsidR="003B0807" w:rsidRPr="007626A0">
        <w:rPr>
          <w:szCs w:val="20"/>
        </w:rPr>
        <w:t xml:space="preserve">. Baker IDI Heart and Diabetes Institute, Melbourne, Australia </w:t>
      </w:r>
      <w:r w:rsidR="003B0807" w:rsidRPr="007626A0">
        <w:rPr>
          <w:szCs w:val="20"/>
        </w:rPr>
        <w:br/>
      </w:r>
      <w:r w:rsidR="00F833F4">
        <w:rPr>
          <w:szCs w:val="20"/>
        </w:rPr>
        <w:t>9</w:t>
      </w:r>
      <w:r w:rsidR="001632CD">
        <w:rPr>
          <w:szCs w:val="20"/>
        </w:rPr>
        <w:t>7</w:t>
      </w:r>
      <w:r w:rsidR="003B0807" w:rsidRPr="007626A0">
        <w:rPr>
          <w:szCs w:val="20"/>
        </w:rPr>
        <w:t xml:space="preserve">. Busselton Population Medical Research Institute, Australia </w:t>
      </w:r>
      <w:r w:rsidR="003B0807" w:rsidRPr="007626A0">
        <w:rPr>
          <w:szCs w:val="20"/>
        </w:rPr>
        <w:br/>
      </w:r>
      <w:r w:rsidR="00F833F4">
        <w:rPr>
          <w:szCs w:val="20"/>
        </w:rPr>
        <w:t>9</w:t>
      </w:r>
      <w:r w:rsidR="001632CD">
        <w:rPr>
          <w:szCs w:val="20"/>
        </w:rPr>
        <w:t>8</w:t>
      </w:r>
      <w:r w:rsidR="003B0807" w:rsidRPr="007626A0">
        <w:rPr>
          <w:szCs w:val="20"/>
        </w:rPr>
        <w:t xml:space="preserve">. The University of Western Australia </w:t>
      </w:r>
      <w:r w:rsidR="003B0807" w:rsidRPr="007626A0">
        <w:rPr>
          <w:szCs w:val="20"/>
        </w:rPr>
        <w:br/>
      </w:r>
      <w:r w:rsidR="001632CD">
        <w:rPr>
          <w:szCs w:val="20"/>
        </w:rPr>
        <w:t>99</w:t>
      </w:r>
      <w:r w:rsidR="003B0807" w:rsidRPr="007626A0">
        <w:rPr>
          <w:szCs w:val="20"/>
        </w:rPr>
        <w:t xml:space="preserve">. Helmholtz Zentrum München German Research Center for Environmental Health, Germany </w:t>
      </w:r>
      <w:r w:rsidR="003B0807" w:rsidRPr="007626A0">
        <w:rPr>
          <w:szCs w:val="20"/>
        </w:rPr>
        <w:br/>
      </w:r>
      <w:r w:rsidR="00F833F4">
        <w:rPr>
          <w:szCs w:val="20"/>
        </w:rPr>
        <w:t>10</w:t>
      </w:r>
      <w:r w:rsidR="001632CD">
        <w:rPr>
          <w:szCs w:val="20"/>
        </w:rPr>
        <w:t>0</w:t>
      </w:r>
      <w:r w:rsidR="003B0807" w:rsidRPr="007626A0">
        <w:rPr>
          <w:szCs w:val="20"/>
        </w:rPr>
        <w:t xml:space="preserve">. Danish Cancer Society Research Center, Denmark </w:t>
      </w:r>
      <w:r w:rsidR="003B0807" w:rsidRPr="007626A0">
        <w:rPr>
          <w:szCs w:val="20"/>
        </w:rPr>
        <w:br/>
      </w:r>
      <w:r w:rsidR="00F833F4">
        <w:rPr>
          <w:szCs w:val="20"/>
        </w:rPr>
        <w:t>10</w:t>
      </w:r>
      <w:r w:rsidR="001632CD">
        <w:rPr>
          <w:szCs w:val="20"/>
        </w:rPr>
        <w:t>1</w:t>
      </w:r>
      <w:r w:rsidR="003B0807" w:rsidRPr="007626A0">
        <w:rPr>
          <w:szCs w:val="20"/>
        </w:rPr>
        <w:t xml:space="preserve">. University of Heidelberg, Germany </w:t>
      </w:r>
      <w:r w:rsidR="003B0807" w:rsidRPr="007626A0">
        <w:rPr>
          <w:szCs w:val="20"/>
        </w:rPr>
        <w:br/>
      </w:r>
      <w:r w:rsidR="00F833F4">
        <w:rPr>
          <w:szCs w:val="20"/>
        </w:rPr>
        <w:t>10</w:t>
      </w:r>
      <w:r w:rsidR="001632CD">
        <w:rPr>
          <w:szCs w:val="20"/>
        </w:rPr>
        <w:t>2</w:t>
      </w:r>
      <w:r w:rsidR="003B0807" w:rsidRPr="007626A0">
        <w:rPr>
          <w:szCs w:val="20"/>
        </w:rPr>
        <w:t>.</w:t>
      </w:r>
      <w:r w:rsidR="007626A0" w:rsidRPr="007626A0">
        <w:rPr>
          <w:szCs w:val="20"/>
        </w:rPr>
        <w:t xml:space="preserve"> </w:t>
      </w:r>
      <w:r w:rsidR="007626A0" w:rsidRPr="005D687B">
        <w:rPr>
          <w:lang w:val="fr-FR"/>
        </w:rPr>
        <w:t xml:space="preserve">Istituto Superiore di Sanità, </w:t>
      </w:r>
      <w:r w:rsidR="003B0807" w:rsidRPr="005D687B">
        <w:rPr>
          <w:lang w:val="fr-FR"/>
        </w:rPr>
        <w:t xml:space="preserve">Rome, Italy </w:t>
      </w:r>
      <w:r w:rsidR="003B0807" w:rsidRPr="005D687B">
        <w:rPr>
          <w:lang w:val="fr-FR"/>
        </w:rPr>
        <w:br/>
      </w:r>
      <w:r w:rsidR="00F833F4" w:rsidRPr="00E51CBB">
        <w:rPr>
          <w:szCs w:val="20"/>
          <w:lang w:val="fr-FR"/>
        </w:rPr>
        <w:t>10</w:t>
      </w:r>
      <w:r w:rsidR="001632CD" w:rsidRPr="00E51CBB">
        <w:rPr>
          <w:szCs w:val="20"/>
          <w:lang w:val="fr-FR"/>
        </w:rPr>
        <w:t>3</w:t>
      </w:r>
      <w:r w:rsidR="003B0807" w:rsidRPr="005D687B">
        <w:rPr>
          <w:lang w:val="fr-FR"/>
        </w:rPr>
        <w:t xml:space="preserve">. Institut Pasteur de Lille, France </w:t>
      </w:r>
      <w:r w:rsidR="003B0807" w:rsidRPr="005D687B">
        <w:rPr>
          <w:lang w:val="fr-FR"/>
        </w:rPr>
        <w:br/>
      </w:r>
      <w:r w:rsidR="00F833F4" w:rsidRPr="00E51CBB">
        <w:rPr>
          <w:szCs w:val="20"/>
          <w:lang w:val="fr-FR"/>
        </w:rPr>
        <w:t>10</w:t>
      </w:r>
      <w:r w:rsidR="001632CD" w:rsidRPr="00E51CBB">
        <w:rPr>
          <w:szCs w:val="20"/>
          <w:lang w:val="fr-FR"/>
        </w:rPr>
        <w:t>4</w:t>
      </w:r>
      <w:r w:rsidR="003B0807" w:rsidRPr="005D687B">
        <w:rPr>
          <w:lang w:val="fr-FR"/>
        </w:rPr>
        <w:t xml:space="preserve">. </w:t>
      </w:r>
      <w:r w:rsidR="003B0807" w:rsidRPr="007626A0">
        <w:rPr>
          <w:szCs w:val="20"/>
        </w:rPr>
        <w:t xml:space="preserve">Assmann-Stiftung für Prävention, Germany </w:t>
      </w:r>
      <w:r w:rsidR="003B0807" w:rsidRPr="007626A0">
        <w:rPr>
          <w:szCs w:val="20"/>
        </w:rPr>
        <w:br/>
      </w:r>
      <w:r w:rsidR="00F833F4">
        <w:rPr>
          <w:szCs w:val="20"/>
        </w:rPr>
        <w:t>10</w:t>
      </w:r>
      <w:r w:rsidR="001632CD">
        <w:rPr>
          <w:szCs w:val="20"/>
        </w:rPr>
        <w:t>5</w:t>
      </w:r>
      <w:r w:rsidR="003B0807" w:rsidRPr="007626A0">
        <w:rPr>
          <w:szCs w:val="20"/>
        </w:rPr>
        <w:t xml:space="preserve">. The City College of New York, USA </w:t>
      </w:r>
      <w:r w:rsidR="003B0807" w:rsidRPr="007626A0">
        <w:rPr>
          <w:szCs w:val="20"/>
        </w:rPr>
        <w:br/>
      </w:r>
      <w:r w:rsidR="00F833F4">
        <w:rPr>
          <w:szCs w:val="20"/>
        </w:rPr>
        <w:t>10</w:t>
      </w:r>
      <w:r w:rsidR="001632CD">
        <w:rPr>
          <w:szCs w:val="20"/>
        </w:rPr>
        <w:t>6</w:t>
      </w:r>
      <w:r w:rsidR="003B0807" w:rsidRPr="007626A0">
        <w:rPr>
          <w:szCs w:val="20"/>
        </w:rPr>
        <w:t xml:space="preserve">. Howard University Hospital, Washington DC, USA </w:t>
      </w:r>
      <w:r w:rsidR="003B0807" w:rsidRPr="007626A0">
        <w:rPr>
          <w:szCs w:val="20"/>
        </w:rPr>
        <w:br/>
      </w:r>
      <w:r w:rsidR="00F833F4">
        <w:rPr>
          <w:szCs w:val="20"/>
        </w:rPr>
        <w:t>10</w:t>
      </w:r>
      <w:r w:rsidR="001632CD">
        <w:rPr>
          <w:szCs w:val="20"/>
        </w:rPr>
        <w:t>7</w:t>
      </w:r>
      <w:r w:rsidR="003B0807" w:rsidRPr="007626A0">
        <w:rPr>
          <w:szCs w:val="20"/>
        </w:rPr>
        <w:t xml:space="preserve">. University of Glasgow, UK </w:t>
      </w:r>
      <w:r w:rsidR="003B0807" w:rsidRPr="007626A0">
        <w:rPr>
          <w:szCs w:val="20"/>
        </w:rPr>
        <w:br/>
      </w:r>
      <w:r w:rsidR="00F833F4">
        <w:rPr>
          <w:szCs w:val="20"/>
        </w:rPr>
        <w:t>10</w:t>
      </w:r>
      <w:r w:rsidR="001632CD">
        <w:rPr>
          <w:szCs w:val="20"/>
        </w:rPr>
        <w:t>8</w:t>
      </w:r>
      <w:r w:rsidR="003B0807" w:rsidRPr="007626A0">
        <w:rPr>
          <w:szCs w:val="20"/>
        </w:rPr>
        <w:t xml:space="preserve">. International Agency for Research on Cancer, France </w:t>
      </w:r>
      <w:r w:rsidR="003B0807" w:rsidRPr="007626A0">
        <w:rPr>
          <w:szCs w:val="20"/>
        </w:rPr>
        <w:br/>
      </w:r>
      <w:r w:rsidR="00F833F4">
        <w:rPr>
          <w:szCs w:val="20"/>
        </w:rPr>
        <w:t>1</w:t>
      </w:r>
      <w:r w:rsidR="00A743A2">
        <w:rPr>
          <w:szCs w:val="20"/>
        </w:rPr>
        <w:t>09</w:t>
      </w:r>
      <w:r w:rsidR="003B0807" w:rsidRPr="007626A0">
        <w:rPr>
          <w:szCs w:val="20"/>
        </w:rPr>
        <w:t xml:space="preserve">. MRC Integrative Epidemiology Unit (IEU), University of Bristol </w:t>
      </w:r>
      <w:r w:rsidR="003B0807" w:rsidRPr="007626A0">
        <w:rPr>
          <w:szCs w:val="20"/>
        </w:rPr>
        <w:br/>
      </w:r>
      <w:r w:rsidR="00F833F4">
        <w:rPr>
          <w:szCs w:val="20"/>
        </w:rPr>
        <w:lastRenderedPageBreak/>
        <w:t>11</w:t>
      </w:r>
      <w:r w:rsidR="00A743A2">
        <w:rPr>
          <w:szCs w:val="20"/>
        </w:rPr>
        <w:t>0</w:t>
      </w:r>
      <w:r w:rsidR="003B0807" w:rsidRPr="007626A0">
        <w:rPr>
          <w:szCs w:val="20"/>
        </w:rPr>
        <w:t xml:space="preserve">. The </w:t>
      </w:r>
      <w:r w:rsidR="00466EBD" w:rsidRPr="007626A0">
        <w:rPr>
          <w:szCs w:val="20"/>
        </w:rPr>
        <w:t>University</w:t>
      </w:r>
      <w:r w:rsidR="003B0807" w:rsidRPr="007626A0">
        <w:rPr>
          <w:szCs w:val="20"/>
        </w:rPr>
        <w:t xml:space="preserve"> of Auckland, New Zealand </w:t>
      </w:r>
      <w:r w:rsidR="003B0807" w:rsidRPr="007626A0">
        <w:rPr>
          <w:szCs w:val="20"/>
        </w:rPr>
        <w:br/>
      </w:r>
    </w:p>
    <w:p w14:paraId="5FC66D2A" w14:textId="7D86975D" w:rsidR="008672BB" w:rsidRDefault="008672BB" w:rsidP="002933CF">
      <w:pPr>
        <w:jc w:val="center"/>
        <w:rPr>
          <w:szCs w:val="20"/>
        </w:rPr>
      </w:pPr>
    </w:p>
    <w:p w14:paraId="3E8D4A3B" w14:textId="7A22B6B1" w:rsidR="008672BB" w:rsidRPr="00F03D93" w:rsidRDefault="00C4055B" w:rsidP="008672BB">
      <w:pPr>
        <w:rPr>
          <w:rFonts w:eastAsia="SimSun"/>
          <w:szCs w:val="20"/>
        </w:rPr>
      </w:pPr>
      <w:r>
        <w:rPr>
          <w:rFonts w:eastAsia="SimSun"/>
          <w:szCs w:val="20"/>
        </w:rPr>
        <w:t>Other</w:t>
      </w:r>
      <w:r w:rsidR="008672BB" w:rsidRPr="00C93B62">
        <w:rPr>
          <w:rFonts w:eastAsia="SimSun"/>
          <w:szCs w:val="20"/>
        </w:rPr>
        <w:t xml:space="preserve"> investigators of the </w:t>
      </w:r>
      <w:r w:rsidR="008672BB" w:rsidRPr="00F03D93">
        <w:rPr>
          <w:rFonts w:eastAsia="SimSun"/>
          <w:szCs w:val="20"/>
        </w:rPr>
        <w:t>Emerging Risk Factors Collaboration</w:t>
      </w:r>
      <w:r w:rsidR="008672BB" w:rsidRPr="00C93B62">
        <w:rPr>
          <w:rFonts w:eastAsia="SimSun"/>
          <w:szCs w:val="20"/>
        </w:rPr>
        <w:t xml:space="preserve"> </w:t>
      </w:r>
      <w:r w:rsidR="008672BB">
        <w:rPr>
          <w:rFonts w:eastAsia="SimSun"/>
          <w:szCs w:val="20"/>
        </w:rPr>
        <w:t xml:space="preserve">and EPIC-CVD </w:t>
      </w:r>
      <w:r w:rsidR="008672BB" w:rsidRPr="00C93B62">
        <w:rPr>
          <w:rFonts w:eastAsia="SimSun"/>
          <w:szCs w:val="20"/>
        </w:rPr>
        <w:t>are listed at the end of this manuscript.</w:t>
      </w:r>
    </w:p>
    <w:p w14:paraId="33410D00" w14:textId="77777777" w:rsidR="00F619FB" w:rsidRPr="000E0EEC" w:rsidRDefault="00F619FB" w:rsidP="00D34DB8">
      <w:pPr>
        <w:rPr>
          <w:szCs w:val="20"/>
        </w:rPr>
      </w:pPr>
    </w:p>
    <w:p w14:paraId="0F024536" w14:textId="77777777" w:rsidR="00B67428" w:rsidRDefault="00F619FB" w:rsidP="00C4055B">
      <w:pPr>
        <w:ind w:left="2410" w:hanging="2410"/>
        <w:rPr>
          <w:szCs w:val="20"/>
        </w:rPr>
      </w:pPr>
      <w:r w:rsidRPr="000E0EEC">
        <w:rPr>
          <w:szCs w:val="20"/>
        </w:rPr>
        <w:t>Correspondence:</w:t>
      </w:r>
      <w:r w:rsidRPr="000E0EEC">
        <w:rPr>
          <w:szCs w:val="20"/>
        </w:rPr>
        <w:tab/>
      </w:r>
      <w:r w:rsidR="00B67428">
        <w:rPr>
          <w:szCs w:val="20"/>
        </w:rPr>
        <w:t>Dr Angela Wood or Professor John Danesh</w:t>
      </w:r>
    </w:p>
    <w:p w14:paraId="619C88CC" w14:textId="77777777" w:rsidR="00F619FB" w:rsidRPr="000E0EEC" w:rsidRDefault="00F619FB" w:rsidP="00256484">
      <w:pPr>
        <w:ind w:left="2410"/>
        <w:rPr>
          <w:szCs w:val="20"/>
        </w:rPr>
      </w:pPr>
      <w:r w:rsidRPr="000E0EEC">
        <w:rPr>
          <w:szCs w:val="20"/>
        </w:rPr>
        <w:t xml:space="preserve">Emerging Risk Factors Collaboration </w:t>
      </w:r>
      <w:r w:rsidR="00042104">
        <w:rPr>
          <w:szCs w:val="20"/>
        </w:rPr>
        <w:t xml:space="preserve">and EPIC-CVD </w:t>
      </w:r>
      <w:r w:rsidRPr="000E0EEC">
        <w:rPr>
          <w:szCs w:val="20"/>
        </w:rPr>
        <w:t>Coordinating Centre</w:t>
      </w:r>
      <w:r w:rsidR="00042104">
        <w:rPr>
          <w:szCs w:val="20"/>
        </w:rPr>
        <w:t>s</w:t>
      </w:r>
    </w:p>
    <w:p w14:paraId="4D38E51B" w14:textId="0D5ACED8" w:rsidR="00F619FB" w:rsidRPr="000E0EEC" w:rsidRDefault="00F619FB" w:rsidP="00C4055B">
      <w:pPr>
        <w:ind w:left="2410" w:hanging="2410"/>
        <w:rPr>
          <w:szCs w:val="20"/>
        </w:rPr>
      </w:pPr>
      <w:r w:rsidRPr="000E0EEC">
        <w:rPr>
          <w:szCs w:val="20"/>
        </w:rPr>
        <w:tab/>
        <w:t>Department of Public Health and Primary Care</w:t>
      </w:r>
    </w:p>
    <w:p w14:paraId="1ABA2556" w14:textId="6FBDF369" w:rsidR="00F619FB" w:rsidRPr="000E0EEC" w:rsidRDefault="00F619FB" w:rsidP="00C4055B">
      <w:pPr>
        <w:ind w:left="2410" w:hanging="2410"/>
        <w:rPr>
          <w:szCs w:val="20"/>
        </w:rPr>
      </w:pPr>
      <w:r w:rsidRPr="000E0EEC">
        <w:rPr>
          <w:szCs w:val="20"/>
        </w:rPr>
        <w:tab/>
        <w:t>University of Cambridge</w:t>
      </w:r>
    </w:p>
    <w:p w14:paraId="723716A0" w14:textId="652FE3CD" w:rsidR="00F619FB" w:rsidRPr="000E0EEC" w:rsidRDefault="00F619FB" w:rsidP="00C4055B">
      <w:pPr>
        <w:ind w:left="2410" w:hanging="2410"/>
        <w:rPr>
          <w:szCs w:val="20"/>
        </w:rPr>
      </w:pPr>
      <w:r w:rsidRPr="000E0EEC">
        <w:rPr>
          <w:szCs w:val="20"/>
        </w:rPr>
        <w:tab/>
        <w:t>Strangeways Research Laboratory</w:t>
      </w:r>
    </w:p>
    <w:p w14:paraId="466BF5C8" w14:textId="79431599" w:rsidR="00F619FB" w:rsidRPr="000E0EEC" w:rsidRDefault="00F619FB" w:rsidP="00C4055B">
      <w:pPr>
        <w:ind w:left="2410" w:hanging="2410"/>
        <w:rPr>
          <w:szCs w:val="20"/>
        </w:rPr>
      </w:pPr>
      <w:r w:rsidRPr="000E0EEC">
        <w:rPr>
          <w:szCs w:val="20"/>
        </w:rPr>
        <w:tab/>
        <w:t>Cambridge CB1 8RN</w:t>
      </w:r>
    </w:p>
    <w:p w14:paraId="52750349" w14:textId="3122C2E8" w:rsidR="00C4055B" w:rsidRPr="000E0EEC" w:rsidRDefault="00C4055B" w:rsidP="00C4055B">
      <w:pPr>
        <w:ind w:left="2410" w:hanging="2410"/>
        <w:rPr>
          <w:szCs w:val="20"/>
        </w:rPr>
      </w:pPr>
      <w:r>
        <w:rPr>
          <w:szCs w:val="20"/>
        </w:rPr>
        <w:tab/>
      </w:r>
      <w:r w:rsidR="00F619FB" w:rsidRPr="000E0EEC">
        <w:rPr>
          <w:szCs w:val="20"/>
        </w:rPr>
        <w:t>UK</w:t>
      </w:r>
      <w:r>
        <w:rPr>
          <w:szCs w:val="20"/>
        </w:rPr>
        <w:tab/>
      </w:r>
    </w:p>
    <w:p w14:paraId="5CF99957" w14:textId="67BDD120" w:rsidR="00C4055B" w:rsidRPr="000E0EEC" w:rsidRDefault="00C4055B" w:rsidP="00D34DB8">
      <w:pPr>
        <w:ind w:left="2410" w:hanging="2410"/>
        <w:rPr>
          <w:szCs w:val="20"/>
        </w:rPr>
      </w:pPr>
      <w:r>
        <w:rPr>
          <w:szCs w:val="20"/>
        </w:rPr>
        <w:tab/>
      </w:r>
      <w:hyperlink r:id="rId8" w:history="1">
        <w:r w:rsidRPr="0089736A">
          <w:rPr>
            <w:rStyle w:val="Hyperlink"/>
            <w:szCs w:val="20"/>
          </w:rPr>
          <w:t>erfc@phpc.cam.ac.uk</w:t>
        </w:r>
      </w:hyperlink>
      <w:r>
        <w:rPr>
          <w:szCs w:val="20"/>
        </w:rPr>
        <w:tab/>
      </w:r>
    </w:p>
    <w:p w14:paraId="45D38CEF" w14:textId="3188BE76" w:rsidR="00F619FB" w:rsidRPr="000E0EEC" w:rsidRDefault="00C4055B" w:rsidP="00D34DB8">
      <w:pPr>
        <w:ind w:left="2410" w:hanging="2410"/>
        <w:rPr>
          <w:szCs w:val="20"/>
        </w:rPr>
      </w:pPr>
      <w:r>
        <w:rPr>
          <w:szCs w:val="20"/>
        </w:rPr>
        <w:tab/>
      </w:r>
    </w:p>
    <w:p w14:paraId="5FD27F52" w14:textId="77777777" w:rsidR="00F619FB" w:rsidRPr="000E0EEC" w:rsidRDefault="00F619FB" w:rsidP="002933CF">
      <w:pPr>
        <w:rPr>
          <w:szCs w:val="20"/>
        </w:rPr>
      </w:pPr>
    </w:p>
    <w:p w14:paraId="37C8BA2D" w14:textId="517B12F1" w:rsidR="00E773D6" w:rsidRDefault="00E773D6" w:rsidP="002933CF">
      <w:pPr>
        <w:rPr>
          <w:szCs w:val="20"/>
        </w:rPr>
      </w:pPr>
      <w:r>
        <w:rPr>
          <w:szCs w:val="20"/>
        </w:rPr>
        <w:t>Abstract 28</w:t>
      </w:r>
      <w:r w:rsidR="008D1977">
        <w:rPr>
          <w:szCs w:val="20"/>
        </w:rPr>
        <w:t>3</w:t>
      </w:r>
      <w:r>
        <w:rPr>
          <w:szCs w:val="20"/>
        </w:rPr>
        <w:t xml:space="preserve"> words</w:t>
      </w:r>
    </w:p>
    <w:p w14:paraId="0F63EDC4" w14:textId="66C59A5E" w:rsidR="00E773D6" w:rsidRDefault="00E773D6" w:rsidP="002933CF">
      <w:pPr>
        <w:rPr>
          <w:szCs w:val="20"/>
        </w:rPr>
      </w:pPr>
      <w:r>
        <w:rPr>
          <w:szCs w:val="20"/>
        </w:rPr>
        <w:t xml:space="preserve">Main text: </w:t>
      </w:r>
      <w:r w:rsidR="00751802">
        <w:rPr>
          <w:szCs w:val="20"/>
        </w:rPr>
        <w:t>3</w:t>
      </w:r>
      <w:r w:rsidR="001B2043">
        <w:rPr>
          <w:szCs w:val="20"/>
        </w:rPr>
        <w:t>3</w:t>
      </w:r>
      <w:r w:rsidR="007E39CE">
        <w:rPr>
          <w:szCs w:val="20"/>
        </w:rPr>
        <w:t>08</w:t>
      </w:r>
      <w:r w:rsidR="00E63D33" w:rsidRPr="000E0EEC">
        <w:rPr>
          <w:szCs w:val="20"/>
        </w:rPr>
        <w:t xml:space="preserve"> </w:t>
      </w:r>
      <w:r w:rsidR="00F619FB" w:rsidRPr="000E0EEC">
        <w:rPr>
          <w:szCs w:val="20"/>
        </w:rPr>
        <w:t>words</w:t>
      </w:r>
    </w:p>
    <w:p w14:paraId="296B461B" w14:textId="20F453E6" w:rsidR="00F619FB" w:rsidRPr="000E0EEC" w:rsidRDefault="00E773D6" w:rsidP="002933CF">
      <w:pPr>
        <w:rPr>
          <w:szCs w:val="20"/>
        </w:rPr>
      </w:pPr>
      <w:r>
        <w:rPr>
          <w:szCs w:val="20"/>
        </w:rPr>
        <w:t>Main display items:</w:t>
      </w:r>
      <w:r w:rsidR="00F619FB" w:rsidRPr="000E0EEC">
        <w:rPr>
          <w:szCs w:val="20"/>
        </w:rPr>
        <w:t xml:space="preserve"> </w:t>
      </w:r>
      <w:r w:rsidR="00F94A08">
        <w:rPr>
          <w:szCs w:val="20"/>
        </w:rPr>
        <w:t>2</w:t>
      </w:r>
      <w:r w:rsidR="00F619FB" w:rsidRPr="000E0EEC">
        <w:rPr>
          <w:szCs w:val="20"/>
        </w:rPr>
        <w:t xml:space="preserve"> table</w:t>
      </w:r>
      <w:r w:rsidR="00F94A08">
        <w:rPr>
          <w:szCs w:val="20"/>
        </w:rPr>
        <w:t>s</w:t>
      </w:r>
      <w:r w:rsidR="00F619FB" w:rsidRPr="000E0EEC">
        <w:rPr>
          <w:szCs w:val="20"/>
        </w:rPr>
        <w:t xml:space="preserve">, and </w:t>
      </w:r>
      <w:r w:rsidR="00042AD3">
        <w:rPr>
          <w:szCs w:val="20"/>
        </w:rPr>
        <w:t>4</w:t>
      </w:r>
      <w:r w:rsidR="00F619FB" w:rsidRPr="000E0EEC">
        <w:rPr>
          <w:szCs w:val="20"/>
        </w:rPr>
        <w:t xml:space="preserve"> figures</w:t>
      </w:r>
    </w:p>
    <w:p w14:paraId="136D4112" w14:textId="79928CC7" w:rsidR="00F619FB" w:rsidRPr="000E0EEC" w:rsidRDefault="00E773D6" w:rsidP="002933CF">
      <w:pPr>
        <w:rPr>
          <w:szCs w:val="20"/>
        </w:rPr>
      </w:pPr>
      <w:r>
        <w:rPr>
          <w:szCs w:val="20"/>
        </w:rPr>
        <w:t>31</w:t>
      </w:r>
      <w:r w:rsidR="00F619FB" w:rsidRPr="000E0EEC">
        <w:rPr>
          <w:szCs w:val="20"/>
        </w:rPr>
        <w:t xml:space="preserve"> supplementary tables and figures</w:t>
      </w:r>
    </w:p>
    <w:p w14:paraId="20103354" w14:textId="062F9759" w:rsidR="00091DCB" w:rsidRPr="00677A35" w:rsidRDefault="00F43CC8" w:rsidP="00F43CC8">
      <w:pPr>
        <w:spacing w:after="200" w:line="276" w:lineRule="auto"/>
        <w:jc w:val="left"/>
      </w:pPr>
      <w:r>
        <w:rPr>
          <w:b/>
        </w:rPr>
        <w:br w:type="page"/>
      </w:r>
      <w:r w:rsidR="00804772">
        <w:rPr>
          <w:b/>
        </w:rPr>
        <w:lastRenderedPageBreak/>
        <w:t xml:space="preserve"> </w:t>
      </w:r>
      <w:r w:rsidR="000E0EEC" w:rsidRPr="004C2F34">
        <w:rPr>
          <w:b/>
        </w:rPr>
        <w:t>ABSTRACT</w:t>
      </w:r>
      <w:r w:rsidR="009267C5">
        <w:t xml:space="preserve"> </w:t>
      </w:r>
    </w:p>
    <w:p w14:paraId="288DDB8F" w14:textId="5DD7E1AA" w:rsidR="006E7F02" w:rsidRDefault="00AD162C" w:rsidP="00AD162C">
      <w:pPr>
        <w:shd w:val="clear" w:color="auto" w:fill="FFFFFF"/>
        <w:spacing w:before="332" w:after="166"/>
        <w:outlineLvl w:val="3"/>
        <w:rPr>
          <w:rFonts w:cstheme="minorHAnsi"/>
          <w:color w:val="000000" w:themeColor="text1"/>
          <w:szCs w:val="20"/>
        </w:rPr>
      </w:pPr>
      <w:r>
        <w:rPr>
          <w:rFonts w:cstheme="minorHAnsi"/>
          <w:b/>
          <w:bCs/>
          <w:color w:val="000000" w:themeColor="text1"/>
          <w:szCs w:val="20"/>
        </w:rPr>
        <w:t>Background</w:t>
      </w:r>
      <w:r w:rsidR="00E400C1" w:rsidRPr="00256484">
        <w:rPr>
          <w:lang w:val="en-US"/>
        </w:rPr>
        <w:t xml:space="preserve"> </w:t>
      </w:r>
      <w:r w:rsidR="0033035E">
        <w:rPr>
          <w:szCs w:val="20"/>
          <w:lang w:val="en-US"/>
        </w:rPr>
        <w:t>L</w:t>
      </w:r>
      <w:r w:rsidR="006818F9">
        <w:rPr>
          <w:szCs w:val="20"/>
          <w:lang w:val="en-US"/>
        </w:rPr>
        <w:t>ow-risk</w:t>
      </w:r>
      <w:r w:rsidR="00E96582">
        <w:rPr>
          <w:szCs w:val="20"/>
          <w:lang w:val="en-US"/>
        </w:rPr>
        <w:t xml:space="preserve"> limits </w:t>
      </w:r>
      <w:r w:rsidR="00E400C1">
        <w:rPr>
          <w:szCs w:val="20"/>
          <w:lang w:val="en-US"/>
        </w:rPr>
        <w:t>recommend</w:t>
      </w:r>
      <w:r w:rsidR="002A5C8D">
        <w:rPr>
          <w:szCs w:val="20"/>
          <w:lang w:val="en-US"/>
        </w:rPr>
        <w:t>ed</w:t>
      </w:r>
      <w:r w:rsidR="00E400C1">
        <w:rPr>
          <w:szCs w:val="20"/>
          <w:lang w:val="en-US"/>
        </w:rPr>
        <w:t xml:space="preserve"> for</w:t>
      </w:r>
      <w:r w:rsidR="00E96582">
        <w:rPr>
          <w:szCs w:val="20"/>
          <w:lang w:val="en-US"/>
        </w:rPr>
        <w:t xml:space="preserve"> alcohol consumption</w:t>
      </w:r>
      <w:r w:rsidR="00D10423">
        <w:rPr>
          <w:szCs w:val="20"/>
          <w:lang w:val="en-US"/>
        </w:rPr>
        <w:t xml:space="preserve"> vary substantially across different </w:t>
      </w:r>
      <w:r w:rsidR="007E3317">
        <w:rPr>
          <w:szCs w:val="20"/>
          <w:lang w:val="en-US"/>
        </w:rPr>
        <w:t xml:space="preserve">national </w:t>
      </w:r>
      <w:r w:rsidR="00D10423">
        <w:rPr>
          <w:szCs w:val="20"/>
          <w:lang w:val="en-US"/>
        </w:rPr>
        <w:t>guidelines</w:t>
      </w:r>
      <w:r w:rsidR="00E96582">
        <w:rPr>
          <w:szCs w:val="20"/>
          <w:lang w:val="en-US"/>
        </w:rPr>
        <w:t>.</w:t>
      </w:r>
      <w:r w:rsidR="00E96582" w:rsidRPr="00E96582">
        <w:rPr>
          <w:lang w:val="en-US"/>
        </w:rPr>
        <w:t xml:space="preserve"> </w:t>
      </w:r>
      <w:r w:rsidR="00E96582">
        <w:rPr>
          <w:lang w:val="en-US"/>
        </w:rPr>
        <w:t>To define thresholds</w:t>
      </w:r>
      <w:r w:rsidR="00E96582" w:rsidRPr="00E96582">
        <w:t xml:space="preserve"> </w:t>
      </w:r>
      <w:r w:rsidR="00E96582">
        <w:t xml:space="preserve">associated with lowest risk </w:t>
      </w:r>
      <w:r w:rsidR="00E96582">
        <w:rPr>
          <w:lang w:val="en-US"/>
        </w:rPr>
        <w:t xml:space="preserve">for </w:t>
      </w:r>
      <w:r w:rsidR="004E4FFF">
        <w:t xml:space="preserve">all-cause mortality and </w:t>
      </w:r>
      <w:r w:rsidR="00E96582">
        <w:t>cardiovascular disease (CVD)</w:t>
      </w:r>
      <w:r w:rsidR="00E96582">
        <w:rPr>
          <w:lang w:val="en-US"/>
        </w:rPr>
        <w:t xml:space="preserve">, </w:t>
      </w:r>
      <w:r w:rsidR="00E96582">
        <w:t>w</w:t>
      </w:r>
      <w:r w:rsidR="00590A6B">
        <w:t xml:space="preserve">e studied </w:t>
      </w:r>
      <w:r w:rsidR="00554DD4" w:rsidRPr="000A4EC3">
        <w:rPr>
          <w:szCs w:val="20"/>
          <w:lang w:val="en-US"/>
        </w:rPr>
        <w:t>individual-participant</w:t>
      </w:r>
      <w:r w:rsidR="00E400C1">
        <w:rPr>
          <w:szCs w:val="20"/>
          <w:lang w:val="en-US"/>
        </w:rPr>
        <w:t xml:space="preserve"> </w:t>
      </w:r>
      <w:r w:rsidR="00554DD4" w:rsidRPr="000A4EC3">
        <w:rPr>
          <w:szCs w:val="20"/>
          <w:lang w:val="en-US"/>
        </w:rPr>
        <w:t>data</w:t>
      </w:r>
      <w:r w:rsidR="00554DD4" w:rsidRPr="00A95CC8">
        <w:rPr>
          <w:rFonts w:eastAsiaTheme="minorHAnsi" w:cstheme="minorHAnsi"/>
          <w:color w:val="000000"/>
          <w:lang w:eastAsia="en-US"/>
        </w:rPr>
        <w:t xml:space="preserve"> </w:t>
      </w:r>
      <w:r w:rsidR="00554DD4">
        <w:rPr>
          <w:rFonts w:eastAsiaTheme="minorHAnsi" w:cstheme="minorHAnsi"/>
          <w:color w:val="000000"/>
          <w:lang w:eastAsia="en-US"/>
        </w:rPr>
        <w:t>on</w:t>
      </w:r>
      <w:r w:rsidR="00554DD4">
        <w:rPr>
          <w:szCs w:val="20"/>
          <w:lang w:val="en-US"/>
        </w:rPr>
        <w:t xml:space="preserve"> </w:t>
      </w:r>
      <w:r w:rsidR="00554DD4">
        <w:rPr>
          <w:rFonts w:eastAsiaTheme="minorHAnsi" w:cstheme="minorHAnsi"/>
          <w:color w:val="000000"/>
          <w:lang w:eastAsia="en-US"/>
        </w:rPr>
        <w:t xml:space="preserve">599,912 </w:t>
      </w:r>
      <w:r w:rsidR="00554DD4">
        <w:rPr>
          <w:lang w:val="en-US"/>
        </w:rPr>
        <w:t>current drinkers</w:t>
      </w:r>
      <w:r w:rsidR="00554DD4" w:rsidRPr="005A4A22">
        <w:rPr>
          <w:szCs w:val="20"/>
          <w:lang w:val="en-US"/>
        </w:rPr>
        <w:t xml:space="preserve"> </w:t>
      </w:r>
      <w:r w:rsidR="00554DD4">
        <w:rPr>
          <w:rFonts w:eastAsiaTheme="minorHAnsi" w:cstheme="minorHAnsi"/>
          <w:color w:val="000000"/>
          <w:lang w:eastAsia="en-US"/>
        </w:rPr>
        <w:t xml:space="preserve">without </w:t>
      </w:r>
      <w:r w:rsidR="00BA3092">
        <w:rPr>
          <w:rFonts w:eastAsiaTheme="minorHAnsi" w:cstheme="minorHAnsi"/>
          <w:color w:val="000000"/>
          <w:lang w:eastAsia="en-US"/>
        </w:rPr>
        <w:t xml:space="preserve">prior </w:t>
      </w:r>
      <w:r w:rsidR="00554DD4">
        <w:rPr>
          <w:rFonts w:eastAsiaTheme="minorHAnsi" w:cstheme="minorHAnsi"/>
          <w:color w:val="000000"/>
          <w:lang w:eastAsia="en-US"/>
        </w:rPr>
        <w:t>CVD</w:t>
      </w:r>
      <w:r w:rsidR="00DF059C">
        <w:t>.</w:t>
      </w:r>
    </w:p>
    <w:p w14:paraId="652CBFB5" w14:textId="1AD92E4D" w:rsidR="00E24FF1" w:rsidRDefault="00AD162C" w:rsidP="00E24FF1">
      <w:pPr>
        <w:rPr>
          <w:rFonts w:cstheme="minorHAnsi"/>
          <w:bCs/>
          <w:color w:val="000000" w:themeColor="text1"/>
          <w:szCs w:val="20"/>
        </w:rPr>
      </w:pPr>
      <w:r>
        <w:rPr>
          <w:rFonts w:cstheme="minorHAnsi"/>
          <w:b/>
          <w:bCs/>
          <w:color w:val="000000" w:themeColor="text1"/>
          <w:szCs w:val="20"/>
        </w:rPr>
        <w:t>Methods</w:t>
      </w:r>
      <w:r w:rsidRPr="00533968">
        <w:rPr>
          <w:rFonts w:cstheme="minorHAnsi"/>
          <w:bCs/>
          <w:color w:val="000000" w:themeColor="text1"/>
          <w:szCs w:val="20"/>
        </w:rPr>
        <w:t xml:space="preserve"> </w:t>
      </w:r>
      <w:r w:rsidR="00554DD4">
        <w:rPr>
          <w:rFonts w:eastAsiaTheme="minorHAnsi" w:cstheme="minorHAnsi"/>
          <w:color w:val="000000"/>
          <w:lang w:eastAsia="en-US"/>
        </w:rPr>
        <w:t>W</w:t>
      </w:r>
      <w:r w:rsidR="00A95CC8" w:rsidRPr="001355A2">
        <w:rPr>
          <w:rFonts w:cstheme="minorHAnsi"/>
          <w:bCs/>
          <w:color w:val="000000" w:themeColor="text1"/>
          <w:szCs w:val="20"/>
        </w:rPr>
        <w:t xml:space="preserve">e </w:t>
      </w:r>
      <w:r w:rsidR="00E400C1">
        <w:rPr>
          <w:rFonts w:cstheme="minorHAnsi"/>
          <w:bCs/>
          <w:color w:val="000000" w:themeColor="text1"/>
          <w:szCs w:val="20"/>
        </w:rPr>
        <w:t>characterised</w:t>
      </w:r>
      <w:r w:rsidR="009621F2">
        <w:rPr>
          <w:rFonts w:cstheme="minorHAnsi"/>
          <w:bCs/>
          <w:color w:val="000000" w:themeColor="text1"/>
          <w:szCs w:val="20"/>
        </w:rPr>
        <w:t xml:space="preserve"> dose-response associations and </w:t>
      </w:r>
      <w:r w:rsidR="00A95CC8" w:rsidRPr="001355A2">
        <w:rPr>
          <w:rFonts w:cstheme="minorHAnsi"/>
          <w:bCs/>
          <w:color w:val="000000" w:themeColor="text1"/>
          <w:szCs w:val="20"/>
        </w:rPr>
        <w:t>calculated</w:t>
      </w:r>
      <w:r w:rsidR="00A95CC8" w:rsidRPr="001355A2">
        <w:rPr>
          <w:rFonts w:cstheme="minorHAnsi"/>
          <w:b/>
          <w:bCs/>
          <w:color w:val="000000" w:themeColor="text1"/>
          <w:szCs w:val="20"/>
        </w:rPr>
        <w:t xml:space="preserve"> </w:t>
      </w:r>
      <w:r w:rsidR="00A95CC8" w:rsidRPr="001355A2">
        <w:rPr>
          <w:rFonts w:cstheme="minorHAnsi"/>
          <w:bCs/>
          <w:color w:val="000000" w:themeColor="text1"/>
          <w:szCs w:val="20"/>
        </w:rPr>
        <w:t>hazard ratios (HRs)</w:t>
      </w:r>
      <w:r w:rsidR="00730FAC">
        <w:rPr>
          <w:rFonts w:cstheme="minorHAnsi"/>
          <w:bCs/>
          <w:color w:val="000000" w:themeColor="text1"/>
          <w:szCs w:val="20"/>
        </w:rPr>
        <w:t xml:space="preserve"> per 100 grams/week </w:t>
      </w:r>
      <w:r w:rsidR="00ED177A">
        <w:rPr>
          <w:rFonts w:cstheme="minorHAnsi"/>
          <w:bCs/>
          <w:color w:val="000000" w:themeColor="text1"/>
          <w:szCs w:val="20"/>
        </w:rPr>
        <w:t>of alcohol (12.5</w:t>
      </w:r>
      <w:r w:rsidR="009621F2">
        <w:rPr>
          <w:rFonts w:cstheme="minorHAnsi"/>
          <w:bCs/>
          <w:color w:val="000000" w:themeColor="text1"/>
          <w:szCs w:val="20"/>
        </w:rPr>
        <w:t xml:space="preserve"> </w:t>
      </w:r>
      <w:r w:rsidR="00730FAC">
        <w:rPr>
          <w:rFonts w:cstheme="minorHAnsi"/>
          <w:bCs/>
          <w:color w:val="000000" w:themeColor="text1"/>
          <w:szCs w:val="20"/>
        </w:rPr>
        <w:t>units/week)</w:t>
      </w:r>
      <w:r w:rsidR="00E61D68" w:rsidRPr="00E61D68">
        <w:rPr>
          <w:rFonts w:eastAsiaTheme="minorHAnsi" w:cstheme="minorHAnsi"/>
          <w:color w:val="000000"/>
          <w:lang w:eastAsia="en-US"/>
        </w:rPr>
        <w:t xml:space="preserve"> </w:t>
      </w:r>
      <w:r w:rsidR="00E61D68" w:rsidRPr="00821857">
        <w:rPr>
          <w:rFonts w:eastAsiaTheme="minorHAnsi" w:cstheme="minorHAnsi"/>
          <w:color w:val="000000"/>
          <w:lang w:eastAsia="en-US"/>
        </w:rPr>
        <w:t>across 8</w:t>
      </w:r>
      <w:r w:rsidR="00E61D68" w:rsidRPr="00586F91">
        <w:rPr>
          <w:rFonts w:eastAsiaTheme="minorHAnsi" w:cstheme="minorHAnsi"/>
          <w:color w:val="000000"/>
          <w:lang w:eastAsia="en-US"/>
        </w:rPr>
        <w:t>3</w:t>
      </w:r>
      <w:r w:rsidR="00E61D68" w:rsidRPr="00821857">
        <w:rPr>
          <w:rFonts w:eastAsiaTheme="minorHAnsi" w:cstheme="minorHAnsi"/>
          <w:color w:val="000000"/>
          <w:lang w:eastAsia="en-US"/>
        </w:rPr>
        <w:t xml:space="preserve"> prospective studies</w:t>
      </w:r>
      <w:r w:rsidR="00A30A6B" w:rsidRPr="00821857">
        <w:rPr>
          <w:rFonts w:eastAsiaTheme="minorHAnsi" w:cstheme="minorHAnsi"/>
          <w:color w:val="000000"/>
          <w:lang w:eastAsia="en-US"/>
        </w:rPr>
        <w:t xml:space="preserve"> in </w:t>
      </w:r>
      <w:r w:rsidR="00C07BBD" w:rsidRPr="00821857">
        <w:rPr>
          <w:rFonts w:eastAsiaTheme="minorHAnsi" w:cstheme="minorHAnsi"/>
          <w:color w:val="000000"/>
          <w:lang w:eastAsia="en-US"/>
        </w:rPr>
        <w:t>19</w:t>
      </w:r>
      <w:r w:rsidR="00A30A6B" w:rsidRPr="00821857">
        <w:rPr>
          <w:rFonts w:eastAsiaTheme="minorHAnsi" w:cstheme="minorHAnsi"/>
          <w:color w:val="000000"/>
          <w:lang w:eastAsia="en-US"/>
        </w:rPr>
        <w:t xml:space="preserve"> countries</w:t>
      </w:r>
      <w:r w:rsidR="00AC364A" w:rsidRPr="00821857">
        <w:rPr>
          <w:rFonts w:cstheme="minorHAnsi"/>
          <w:bCs/>
          <w:color w:val="000000" w:themeColor="text1"/>
          <w:szCs w:val="20"/>
        </w:rPr>
        <w:t>,</w:t>
      </w:r>
      <w:r w:rsidR="00AC364A" w:rsidRPr="00821857">
        <w:rPr>
          <w:rFonts w:cstheme="minorHAnsi"/>
          <w:color w:val="000000" w:themeColor="text1"/>
          <w:szCs w:val="20"/>
        </w:rPr>
        <w:t xml:space="preserve"> </w:t>
      </w:r>
      <w:r w:rsidR="00AC364A" w:rsidRPr="00F1722D">
        <w:rPr>
          <w:rFonts w:cstheme="minorHAnsi"/>
          <w:bCs/>
          <w:color w:val="000000" w:themeColor="text1"/>
          <w:szCs w:val="20"/>
        </w:rPr>
        <w:t>adjust</w:t>
      </w:r>
      <w:r w:rsidR="00E61D68" w:rsidRPr="00F1722D">
        <w:rPr>
          <w:rFonts w:cstheme="minorHAnsi"/>
          <w:bCs/>
          <w:color w:val="000000" w:themeColor="text1"/>
          <w:szCs w:val="20"/>
        </w:rPr>
        <w:t>ing at least</w:t>
      </w:r>
      <w:r w:rsidR="00AC364A" w:rsidRPr="00F1722D">
        <w:rPr>
          <w:rFonts w:cstheme="minorHAnsi"/>
          <w:bCs/>
          <w:color w:val="000000" w:themeColor="text1"/>
          <w:szCs w:val="20"/>
        </w:rPr>
        <w:t xml:space="preserve"> for study</w:t>
      </w:r>
      <w:r w:rsidR="001D4DEF" w:rsidRPr="00F1722D">
        <w:rPr>
          <w:rFonts w:cstheme="minorHAnsi"/>
          <w:bCs/>
          <w:color w:val="000000" w:themeColor="text1"/>
          <w:szCs w:val="20"/>
        </w:rPr>
        <w:t>/centre</w:t>
      </w:r>
      <w:r w:rsidR="00AC364A" w:rsidRPr="00F1722D">
        <w:rPr>
          <w:rFonts w:cstheme="minorHAnsi"/>
          <w:bCs/>
          <w:color w:val="000000" w:themeColor="text1"/>
          <w:szCs w:val="20"/>
        </w:rPr>
        <w:t>, age, sex, smoking, and diabetes</w:t>
      </w:r>
      <w:r w:rsidR="00B8798A">
        <w:rPr>
          <w:rFonts w:cstheme="minorHAnsi"/>
          <w:bCs/>
          <w:color w:val="000000" w:themeColor="text1"/>
          <w:szCs w:val="20"/>
        </w:rPr>
        <w:t>. We recorded</w:t>
      </w:r>
      <w:r w:rsidR="00B8798A">
        <w:t xml:space="preserve"> </w:t>
      </w:r>
      <w:r w:rsidR="00554DD4" w:rsidRPr="00F1722D">
        <w:rPr>
          <w:rFonts w:cstheme="minorHAnsi"/>
        </w:rPr>
        <w:t>40,317 deaths</w:t>
      </w:r>
      <w:r w:rsidR="00B8798A">
        <w:rPr>
          <w:rFonts w:cstheme="minorHAnsi"/>
        </w:rPr>
        <w:t xml:space="preserve"> and</w:t>
      </w:r>
      <w:r w:rsidR="00554DD4" w:rsidRPr="00F1722D">
        <w:rPr>
          <w:rFonts w:eastAsiaTheme="minorHAnsi" w:cstheme="minorHAnsi"/>
          <w:color w:val="000000"/>
          <w:lang w:eastAsia="en-US"/>
        </w:rPr>
        <w:t xml:space="preserve"> </w:t>
      </w:r>
      <w:r w:rsidR="004E4FFF" w:rsidRPr="00DA6DD5">
        <w:rPr>
          <w:rFonts w:cstheme="minorHAnsi"/>
        </w:rPr>
        <w:t>39,</w:t>
      </w:r>
      <w:r w:rsidR="004E4FFF" w:rsidRPr="00830294">
        <w:rPr>
          <w:rFonts w:cstheme="minorHAnsi"/>
        </w:rPr>
        <w:t>018</w:t>
      </w:r>
      <w:r w:rsidR="004E4FFF" w:rsidRPr="00830294">
        <w:rPr>
          <w:lang w:val="en-US"/>
        </w:rPr>
        <w:t xml:space="preserve"> </w:t>
      </w:r>
      <w:r w:rsidR="00E400C1">
        <w:rPr>
          <w:lang w:val="en-US"/>
        </w:rPr>
        <w:t xml:space="preserve">incident </w:t>
      </w:r>
      <w:r w:rsidR="004E4FFF" w:rsidRPr="00830294">
        <w:rPr>
          <w:lang w:val="en-US"/>
        </w:rPr>
        <w:t>CVD</w:t>
      </w:r>
      <w:r w:rsidR="004E4FFF" w:rsidRPr="00865F1C">
        <w:rPr>
          <w:lang w:val="en-US"/>
        </w:rPr>
        <w:t xml:space="preserve"> </w:t>
      </w:r>
      <w:r w:rsidR="00C4385B" w:rsidRPr="00865F1C">
        <w:rPr>
          <w:lang w:val="en-US"/>
        </w:rPr>
        <w:t>events</w:t>
      </w:r>
      <w:r w:rsidR="00B8798A">
        <w:rPr>
          <w:lang w:val="en-US"/>
        </w:rPr>
        <w:t xml:space="preserve"> during</w:t>
      </w:r>
      <w:r w:rsidR="004E4FFF" w:rsidRPr="00865F1C">
        <w:rPr>
          <w:rFonts w:cstheme="minorHAnsi"/>
        </w:rPr>
        <w:t xml:space="preserve"> </w:t>
      </w:r>
      <w:r w:rsidR="00554DD4" w:rsidRPr="00865F1C">
        <w:t>5.4 million person-years of follow-up</w:t>
      </w:r>
      <w:r w:rsidR="00AC364A" w:rsidRPr="00865F1C">
        <w:rPr>
          <w:rFonts w:cstheme="minorHAnsi"/>
          <w:bCs/>
          <w:color w:val="000000" w:themeColor="text1"/>
          <w:szCs w:val="20"/>
        </w:rPr>
        <w:t>.</w:t>
      </w:r>
      <w:r w:rsidR="00E24FF1" w:rsidRPr="00865F1C">
        <w:rPr>
          <w:rFonts w:cstheme="minorHAnsi"/>
          <w:bCs/>
          <w:color w:val="000000" w:themeColor="text1"/>
          <w:szCs w:val="20"/>
        </w:rPr>
        <w:t xml:space="preserve"> We corrected HRs for long-term variability </w:t>
      </w:r>
      <w:r w:rsidR="00B8798A">
        <w:rPr>
          <w:rFonts w:cstheme="minorHAnsi"/>
          <w:bCs/>
          <w:color w:val="000000" w:themeColor="text1"/>
          <w:szCs w:val="20"/>
        </w:rPr>
        <w:t xml:space="preserve">in alcohol consumption </w:t>
      </w:r>
      <w:r w:rsidR="009A2866">
        <w:rPr>
          <w:rFonts w:cstheme="minorHAnsi"/>
          <w:bCs/>
          <w:color w:val="000000" w:themeColor="text1"/>
          <w:szCs w:val="20"/>
        </w:rPr>
        <w:t xml:space="preserve">using </w:t>
      </w:r>
      <w:r w:rsidR="00E24FF1" w:rsidRPr="00514858">
        <w:t>15</w:t>
      </w:r>
      <w:r w:rsidR="00877962" w:rsidRPr="00586F91">
        <w:t>2</w:t>
      </w:r>
      <w:r w:rsidR="00E24FF1" w:rsidRPr="00865F1C">
        <w:t>,</w:t>
      </w:r>
      <w:r w:rsidR="00877962" w:rsidRPr="00586F91">
        <w:t>640</w:t>
      </w:r>
      <w:r w:rsidR="00E24FF1" w:rsidRPr="00821857">
        <w:t xml:space="preserve"> serial </w:t>
      </w:r>
      <w:r w:rsidR="009A2866">
        <w:t xml:space="preserve">alcohol </w:t>
      </w:r>
      <w:r w:rsidR="00E24FF1" w:rsidRPr="00821857">
        <w:t>assess</w:t>
      </w:r>
      <w:r w:rsidR="00E24FF1" w:rsidRPr="001355A2">
        <w:t>ments</w:t>
      </w:r>
      <w:r w:rsidR="009A2866">
        <w:t xml:space="preserve"> </w:t>
      </w:r>
      <w:r w:rsidR="00B8798A">
        <w:t>obtained some years apart</w:t>
      </w:r>
      <w:r w:rsidR="009A2866">
        <w:t xml:space="preserve"> (</w:t>
      </w:r>
      <w:r w:rsidR="00554DD4">
        <w:t xml:space="preserve">median </w:t>
      </w:r>
      <w:r w:rsidR="009A2866">
        <w:t>interval</w:t>
      </w:r>
      <w:r w:rsidR="00554DD4">
        <w:t>:</w:t>
      </w:r>
      <w:r w:rsidR="009F3841">
        <w:t xml:space="preserve"> </w:t>
      </w:r>
      <w:r w:rsidR="00877962">
        <w:t>5.6</w:t>
      </w:r>
      <w:r w:rsidR="009F3841">
        <w:t xml:space="preserve"> years</w:t>
      </w:r>
      <w:r w:rsidR="00554DD4">
        <w:t>)</w:t>
      </w:r>
      <w:r w:rsidR="00E24FF1" w:rsidRPr="001355A2">
        <w:rPr>
          <w:rFonts w:cstheme="minorHAnsi"/>
          <w:bCs/>
          <w:color w:val="000000" w:themeColor="text1"/>
          <w:szCs w:val="20"/>
        </w:rPr>
        <w:t>.</w:t>
      </w:r>
    </w:p>
    <w:p w14:paraId="00C37CE4" w14:textId="77777777" w:rsidR="00F63207" w:rsidRPr="00586F91" w:rsidRDefault="00F63207" w:rsidP="00E24FF1">
      <w:pPr>
        <w:rPr>
          <w:rFonts w:cstheme="minorHAnsi"/>
          <w:bCs/>
          <w:color w:val="000000" w:themeColor="text1"/>
          <w:sz w:val="10"/>
          <w:szCs w:val="20"/>
        </w:rPr>
      </w:pPr>
    </w:p>
    <w:p w14:paraId="669AED26" w14:textId="78942945" w:rsidR="00AC364A" w:rsidRDefault="00E15620" w:rsidP="00E24FF1">
      <w:pPr>
        <w:rPr>
          <w:rFonts w:cs="Arial"/>
          <w:szCs w:val="20"/>
        </w:rPr>
      </w:pPr>
      <w:r>
        <w:rPr>
          <w:rFonts w:cstheme="minorHAnsi"/>
          <w:b/>
          <w:bCs/>
          <w:color w:val="000000" w:themeColor="text1"/>
          <w:szCs w:val="20"/>
        </w:rPr>
        <w:t>Findings</w:t>
      </w:r>
      <w:r w:rsidR="00AD162C" w:rsidRPr="001813B0">
        <w:rPr>
          <w:rFonts w:cstheme="minorHAnsi"/>
          <w:b/>
          <w:bCs/>
          <w:color w:val="000000" w:themeColor="text1"/>
          <w:szCs w:val="20"/>
        </w:rPr>
        <w:t xml:space="preserve"> </w:t>
      </w:r>
      <w:r w:rsidR="004E4FFF">
        <w:rPr>
          <w:rFonts w:cstheme="minorHAnsi"/>
          <w:bCs/>
          <w:color w:val="000000" w:themeColor="text1"/>
          <w:szCs w:val="20"/>
        </w:rPr>
        <w:t xml:space="preserve">For </w:t>
      </w:r>
      <w:r w:rsidR="004E4FFF" w:rsidRPr="001813B0">
        <w:rPr>
          <w:rFonts w:cstheme="minorHAnsi"/>
          <w:bCs/>
          <w:color w:val="000000" w:themeColor="text1"/>
          <w:szCs w:val="20"/>
        </w:rPr>
        <w:t>all-cause mortality</w:t>
      </w:r>
      <w:r w:rsidR="004E4FFF">
        <w:rPr>
          <w:rFonts w:cstheme="minorHAnsi"/>
          <w:bCs/>
          <w:color w:val="000000" w:themeColor="text1"/>
          <w:szCs w:val="20"/>
        </w:rPr>
        <w:t xml:space="preserve">, there was </w:t>
      </w:r>
      <w:r w:rsidR="004E4FFF">
        <w:t>a positive and curvilinear association</w:t>
      </w:r>
      <w:r w:rsidR="004E4FFF">
        <w:rPr>
          <w:rFonts w:cstheme="minorHAnsi"/>
          <w:bCs/>
          <w:color w:val="000000" w:themeColor="text1"/>
          <w:szCs w:val="20"/>
        </w:rPr>
        <w:t>, with minimum risk around or below 100</w:t>
      </w:r>
      <w:r w:rsidR="004E4FFF" w:rsidRPr="00A30A6B">
        <w:rPr>
          <w:rFonts w:cstheme="minorHAnsi"/>
          <w:bCs/>
          <w:color w:val="000000" w:themeColor="text1"/>
          <w:szCs w:val="20"/>
        </w:rPr>
        <w:t xml:space="preserve"> </w:t>
      </w:r>
      <w:r w:rsidR="004E4FFF" w:rsidRPr="00E61D68">
        <w:rPr>
          <w:rFonts w:cstheme="minorHAnsi"/>
          <w:bCs/>
          <w:color w:val="000000" w:themeColor="text1"/>
          <w:szCs w:val="20"/>
        </w:rPr>
        <w:t>grams/week</w:t>
      </w:r>
      <w:r w:rsidR="004E4FFF">
        <w:rPr>
          <w:rFonts w:cstheme="minorHAnsi"/>
          <w:bCs/>
          <w:color w:val="000000" w:themeColor="text1"/>
          <w:szCs w:val="20"/>
        </w:rPr>
        <w:t xml:space="preserve">. </w:t>
      </w:r>
      <w:r w:rsidR="009035B1">
        <w:t xml:space="preserve">Alcohol consumption was </w:t>
      </w:r>
      <w:r w:rsidR="00BA3092">
        <w:t xml:space="preserve">approximately </w:t>
      </w:r>
      <w:r w:rsidR="0016203A">
        <w:t xml:space="preserve">linearly </w:t>
      </w:r>
      <w:r w:rsidR="009035B1">
        <w:t xml:space="preserve">associated with </w:t>
      </w:r>
      <w:r w:rsidR="009035B1" w:rsidRPr="00586F91">
        <w:rPr>
          <w:i/>
        </w:rPr>
        <w:t>higher</w:t>
      </w:r>
      <w:r w:rsidR="009035B1">
        <w:t xml:space="preserve"> risk of</w:t>
      </w:r>
      <w:r w:rsidR="0016203A">
        <w:t>:</w:t>
      </w:r>
      <w:r w:rsidR="00082AFB">
        <w:t xml:space="preserve"> </w:t>
      </w:r>
      <w:r w:rsidR="00214CDC">
        <w:rPr>
          <w:rFonts w:cstheme="minorHAnsi"/>
          <w:bCs/>
          <w:color w:val="000000" w:themeColor="text1"/>
          <w:szCs w:val="22"/>
        </w:rPr>
        <w:t>stroke</w:t>
      </w:r>
      <w:r w:rsidR="002327C2">
        <w:rPr>
          <w:rFonts w:cstheme="minorHAnsi"/>
          <w:bCs/>
          <w:color w:val="000000" w:themeColor="text1"/>
          <w:szCs w:val="22"/>
        </w:rPr>
        <w:t xml:space="preserve"> </w:t>
      </w:r>
      <w:r w:rsidR="00AC364A">
        <w:t>(HR</w:t>
      </w:r>
      <w:r w:rsidR="00730FAC">
        <w:t xml:space="preserve">, </w:t>
      </w:r>
      <w:r w:rsidR="0093717B">
        <w:rPr>
          <w:rFonts w:cstheme="minorHAnsi"/>
          <w:bCs/>
          <w:color w:val="000000" w:themeColor="text1"/>
          <w:szCs w:val="22"/>
        </w:rPr>
        <w:t>95% CI</w:t>
      </w:r>
      <w:r w:rsidR="00AC364A">
        <w:rPr>
          <w:rFonts w:cstheme="minorHAnsi"/>
          <w:bCs/>
          <w:color w:val="000000" w:themeColor="text1"/>
          <w:szCs w:val="22"/>
        </w:rPr>
        <w:t>:</w:t>
      </w:r>
      <w:r w:rsidR="00214CDC" w:rsidRPr="00214CDC">
        <w:rPr>
          <w:rFonts w:cstheme="minorHAnsi"/>
          <w:bCs/>
          <w:color w:val="000000" w:themeColor="text1"/>
          <w:szCs w:val="22"/>
        </w:rPr>
        <w:t xml:space="preserve"> </w:t>
      </w:r>
      <w:r w:rsidR="00214CDC">
        <w:rPr>
          <w:rFonts w:cstheme="minorHAnsi"/>
          <w:bCs/>
          <w:color w:val="000000" w:themeColor="text1"/>
          <w:szCs w:val="22"/>
        </w:rPr>
        <w:t>1.</w:t>
      </w:r>
      <w:r w:rsidR="00CD3CF1">
        <w:rPr>
          <w:rFonts w:cstheme="minorHAnsi"/>
          <w:bCs/>
          <w:color w:val="000000" w:themeColor="text1"/>
          <w:szCs w:val="22"/>
        </w:rPr>
        <w:t>14</w:t>
      </w:r>
      <w:r w:rsidR="00214CDC">
        <w:rPr>
          <w:rFonts w:cstheme="minorHAnsi"/>
          <w:bCs/>
          <w:color w:val="000000" w:themeColor="text1"/>
          <w:szCs w:val="22"/>
        </w:rPr>
        <w:t>, 1.</w:t>
      </w:r>
      <w:r w:rsidR="00CD3CF1">
        <w:rPr>
          <w:rFonts w:cstheme="minorHAnsi"/>
          <w:bCs/>
          <w:color w:val="000000" w:themeColor="text1"/>
          <w:szCs w:val="22"/>
        </w:rPr>
        <w:t>10</w:t>
      </w:r>
      <w:r w:rsidR="00214CDC">
        <w:rPr>
          <w:rFonts w:cstheme="minorHAnsi"/>
          <w:bCs/>
          <w:color w:val="000000" w:themeColor="text1"/>
          <w:szCs w:val="22"/>
        </w:rPr>
        <w:t>-1.1</w:t>
      </w:r>
      <w:r w:rsidR="00B64C83">
        <w:rPr>
          <w:rFonts w:cstheme="minorHAnsi"/>
          <w:bCs/>
          <w:color w:val="000000" w:themeColor="text1"/>
          <w:szCs w:val="22"/>
        </w:rPr>
        <w:t>7</w:t>
      </w:r>
      <w:r w:rsidR="00AC364A" w:rsidRPr="001813B0">
        <w:rPr>
          <w:rFonts w:cstheme="minorHAnsi"/>
          <w:bCs/>
          <w:color w:val="000000" w:themeColor="text1"/>
          <w:szCs w:val="22"/>
        </w:rPr>
        <w:t xml:space="preserve">); </w:t>
      </w:r>
      <w:r w:rsidR="00B52D06">
        <w:rPr>
          <w:rFonts w:cstheme="minorHAnsi"/>
          <w:bCs/>
          <w:color w:val="000000" w:themeColor="text1"/>
          <w:szCs w:val="22"/>
        </w:rPr>
        <w:t>coronary disease excluding myocardial infarction (1.06, 1.00</w:t>
      </w:r>
      <w:r w:rsidR="008C2D4A">
        <w:rPr>
          <w:rFonts w:cstheme="minorHAnsi"/>
          <w:bCs/>
          <w:color w:val="000000" w:themeColor="text1"/>
          <w:szCs w:val="22"/>
        </w:rPr>
        <w:t>-</w:t>
      </w:r>
      <w:r w:rsidR="00B64C83">
        <w:rPr>
          <w:rFonts w:cstheme="minorHAnsi"/>
          <w:bCs/>
          <w:color w:val="000000" w:themeColor="text1"/>
          <w:szCs w:val="22"/>
        </w:rPr>
        <w:t>1.17</w:t>
      </w:r>
      <w:r w:rsidR="00B52D06">
        <w:rPr>
          <w:rFonts w:cstheme="minorHAnsi"/>
          <w:bCs/>
          <w:color w:val="000000" w:themeColor="text1"/>
          <w:szCs w:val="22"/>
        </w:rPr>
        <w:t xml:space="preserve">); </w:t>
      </w:r>
      <w:r w:rsidR="008D744D" w:rsidRPr="001813B0">
        <w:rPr>
          <w:rFonts w:cstheme="minorHAnsi"/>
          <w:bCs/>
          <w:color w:val="000000" w:themeColor="text1"/>
          <w:szCs w:val="20"/>
        </w:rPr>
        <w:t>heart failure</w:t>
      </w:r>
      <w:r w:rsidR="008D744D" w:rsidRPr="001813B0">
        <w:rPr>
          <w:rFonts w:cstheme="minorHAnsi"/>
          <w:bCs/>
          <w:color w:val="000000" w:themeColor="text1"/>
          <w:szCs w:val="22"/>
        </w:rPr>
        <w:t xml:space="preserve"> </w:t>
      </w:r>
      <w:r w:rsidR="008D744D">
        <w:rPr>
          <w:rFonts w:cstheme="minorHAnsi"/>
          <w:bCs/>
          <w:color w:val="000000" w:themeColor="text1"/>
          <w:szCs w:val="22"/>
        </w:rPr>
        <w:t>(</w:t>
      </w:r>
      <w:r w:rsidR="00AC364A" w:rsidRPr="001813B0">
        <w:rPr>
          <w:rFonts w:cstheme="minorHAnsi"/>
          <w:bCs/>
          <w:color w:val="000000" w:themeColor="text1"/>
          <w:szCs w:val="22"/>
        </w:rPr>
        <w:t>1.</w:t>
      </w:r>
      <w:r w:rsidR="00B64C83">
        <w:rPr>
          <w:rFonts w:cstheme="minorHAnsi"/>
          <w:bCs/>
          <w:color w:val="000000" w:themeColor="text1"/>
          <w:szCs w:val="22"/>
        </w:rPr>
        <w:t>09</w:t>
      </w:r>
      <w:r w:rsidR="008D744D">
        <w:rPr>
          <w:rFonts w:cstheme="minorHAnsi"/>
          <w:bCs/>
          <w:color w:val="000000" w:themeColor="text1"/>
          <w:szCs w:val="22"/>
        </w:rPr>
        <w:t xml:space="preserve">, </w:t>
      </w:r>
      <w:r w:rsidR="00B64C83">
        <w:rPr>
          <w:rFonts w:cstheme="minorHAnsi"/>
          <w:bCs/>
          <w:color w:val="000000" w:themeColor="text1"/>
          <w:szCs w:val="22"/>
        </w:rPr>
        <w:t>1.03</w:t>
      </w:r>
      <w:r w:rsidR="00AC364A" w:rsidRPr="001813B0">
        <w:rPr>
          <w:rFonts w:cstheme="minorHAnsi"/>
          <w:bCs/>
          <w:color w:val="000000" w:themeColor="text1"/>
          <w:szCs w:val="22"/>
        </w:rPr>
        <w:t>-1.</w:t>
      </w:r>
      <w:r w:rsidR="00B64C83">
        <w:rPr>
          <w:rFonts w:cstheme="minorHAnsi"/>
          <w:bCs/>
          <w:color w:val="000000" w:themeColor="text1"/>
          <w:szCs w:val="22"/>
        </w:rPr>
        <w:t>15</w:t>
      </w:r>
      <w:r w:rsidR="008D744D">
        <w:rPr>
          <w:rFonts w:cstheme="minorHAnsi"/>
          <w:bCs/>
          <w:color w:val="000000" w:themeColor="text1"/>
          <w:szCs w:val="22"/>
        </w:rPr>
        <w:t>)</w:t>
      </w:r>
      <w:r w:rsidR="00AC364A" w:rsidRPr="001813B0">
        <w:rPr>
          <w:rFonts w:cstheme="minorHAnsi"/>
          <w:bCs/>
          <w:color w:val="000000" w:themeColor="text1"/>
          <w:szCs w:val="20"/>
        </w:rPr>
        <w:t xml:space="preserve">; </w:t>
      </w:r>
      <w:r w:rsidR="00CD3CF1" w:rsidRPr="001813B0">
        <w:rPr>
          <w:rFonts w:cstheme="minorHAnsi"/>
          <w:bCs/>
          <w:color w:val="000000" w:themeColor="text1"/>
          <w:szCs w:val="22"/>
        </w:rPr>
        <w:t xml:space="preserve">fatal </w:t>
      </w:r>
      <w:r w:rsidR="00CD3CF1" w:rsidRPr="001813B0">
        <w:rPr>
          <w:rFonts w:cstheme="minorHAnsi"/>
          <w:bCs/>
          <w:color w:val="000000" w:themeColor="text1"/>
          <w:szCs w:val="20"/>
        </w:rPr>
        <w:t>hypertensive disease</w:t>
      </w:r>
      <w:r w:rsidR="00CD3CF1" w:rsidRPr="001813B0">
        <w:rPr>
          <w:rFonts w:cstheme="minorHAnsi"/>
          <w:bCs/>
          <w:color w:val="000000" w:themeColor="text1"/>
          <w:szCs w:val="22"/>
        </w:rPr>
        <w:t xml:space="preserve"> </w:t>
      </w:r>
      <w:r w:rsidR="00CD3CF1">
        <w:rPr>
          <w:rFonts w:cstheme="minorHAnsi"/>
          <w:bCs/>
          <w:color w:val="000000" w:themeColor="text1"/>
          <w:szCs w:val="22"/>
        </w:rPr>
        <w:t>(</w:t>
      </w:r>
      <w:r w:rsidR="00CD3CF1" w:rsidRPr="001813B0">
        <w:rPr>
          <w:rFonts w:cstheme="minorHAnsi"/>
          <w:bCs/>
          <w:color w:val="000000" w:themeColor="text1"/>
          <w:szCs w:val="22"/>
        </w:rPr>
        <w:t>1.</w:t>
      </w:r>
      <w:r w:rsidR="00B64C83">
        <w:rPr>
          <w:rFonts w:cstheme="minorHAnsi"/>
          <w:bCs/>
          <w:color w:val="000000" w:themeColor="text1"/>
          <w:szCs w:val="22"/>
        </w:rPr>
        <w:t>24</w:t>
      </w:r>
      <w:r w:rsidR="00CD3CF1">
        <w:rPr>
          <w:rFonts w:cstheme="minorHAnsi"/>
          <w:bCs/>
          <w:color w:val="000000" w:themeColor="text1"/>
          <w:szCs w:val="22"/>
        </w:rPr>
        <w:t xml:space="preserve">, </w:t>
      </w:r>
      <w:r w:rsidR="00CD3CF1" w:rsidRPr="001813B0">
        <w:rPr>
          <w:rFonts w:cstheme="minorHAnsi"/>
          <w:bCs/>
          <w:color w:val="000000" w:themeColor="text1"/>
          <w:szCs w:val="22"/>
        </w:rPr>
        <w:t>1.</w:t>
      </w:r>
      <w:r w:rsidR="00B64C83">
        <w:rPr>
          <w:rFonts w:cstheme="minorHAnsi"/>
          <w:bCs/>
          <w:color w:val="000000" w:themeColor="text1"/>
          <w:szCs w:val="22"/>
        </w:rPr>
        <w:t>15</w:t>
      </w:r>
      <w:r w:rsidR="00CD3CF1" w:rsidRPr="001813B0">
        <w:rPr>
          <w:rFonts w:cstheme="minorHAnsi"/>
          <w:bCs/>
          <w:color w:val="000000" w:themeColor="text1"/>
          <w:szCs w:val="22"/>
        </w:rPr>
        <w:t>-1.</w:t>
      </w:r>
      <w:r w:rsidR="00CD3CF1">
        <w:rPr>
          <w:rFonts w:cstheme="minorHAnsi"/>
          <w:bCs/>
          <w:color w:val="000000" w:themeColor="text1"/>
          <w:szCs w:val="22"/>
        </w:rPr>
        <w:t>33)</w:t>
      </w:r>
      <w:r w:rsidR="00E61D68">
        <w:rPr>
          <w:rFonts w:cstheme="minorHAnsi"/>
          <w:bCs/>
          <w:color w:val="000000" w:themeColor="text1"/>
          <w:szCs w:val="22"/>
        </w:rPr>
        <w:t>;</w:t>
      </w:r>
      <w:r w:rsidR="00CD3CF1">
        <w:rPr>
          <w:rFonts w:cstheme="minorHAnsi"/>
          <w:bCs/>
          <w:color w:val="000000" w:themeColor="text1"/>
          <w:szCs w:val="22"/>
        </w:rPr>
        <w:t xml:space="preserve"> and </w:t>
      </w:r>
      <w:r w:rsidR="008D744D" w:rsidRPr="001813B0">
        <w:rPr>
          <w:rFonts w:cstheme="minorHAnsi"/>
          <w:bCs/>
          <w:color w:val="000000" w:themeColor="text1"/>
          <w:szCs w:val="22"/>
        </w:rPr>
        <w:t xml:space="preserve">fatal </w:t>
      </w:r>
      <w:r w:rsidR="008D744D" w:rsidRPr="001813B0">
        <w:rPr>
          <w:rFonts w:cstheme="minorHAnsi"/>
          <w:bCs/>
          <w:color w:val="000000" w:themeColor="text1"/>
          <w:szCs w:val="20"/>
        </w:rPr>
        <w:t>aortic aneurysm</w:t>
      </w:r>
      <w:r w:rsidR="008D744D" w:rsidRPr="001813B0">
        <w:rPr>
          <w:rFonts w:cstheme="minorHAnsi"/>
          <w:bCs/>
          <w:color w:val="000000" w:themeColor="text1"/>
          <w:szCs w:val="22"/>
        </w:rPr>
        <w:t xml:space="preserve"> </w:t>
      </w:r>
      <w:r w:rsidR="008D744D">
        <w:rPr>
          <w:rFonts w:cstheme="minorHAnsi"/>
          <w:bCs/>
          <w:color w:val="000000" w:themeColor="text1"/>
          <w:szCs w:val="22"/>
        </w:rPr>
        <w:t>(</w:t>
      </w:r>
      <w:r w:rsidR="00AC364A" w:rsidRPr="001813B0">
        <w:rPr>
          <w:rFonts w:cstheme="minorHAnsi"/>
          <w:bCs/>
          <w:color w:val="000000" w:themeColor="text1"/>
          <w:szCs w:val="22"/>
        </w:rPr>
        <w:t>1.</w:t>
      </w:r>
      <w:r w:rsidR="00AC364A">
        <w:rPr>
          <w:rFonts w:cstheme="minorHAnsi"/>
          <w:bCs/>
          <w:color w:val="000000" w:themeColor="text1"/>
          <w:szCs w:val="22"/>
        </w:rPr>
        <w:t>1</w:t>
      </w:r>
      <w:r w:rsidR="00B64C83">
        <w:rPr>
          <w:rFonts w:cstheme="minorHAnsi"/>
          <w:bCs/>
          <w:color w:val="000000" w:themeColor="text1"/>
          <w:szCs w:val="22"/>
        </w:rPr>
        <w:t>5</w:t>
      </w:r>
      <w:r w:rsidR="008D744D">
        <w:rPr>
          <w:rFonts w:cstheme="minorHAnsi"/>
          <w:bCs/>
          <w:color w:val="000000" w:themeColor="text1"/>
          <w:szCs w:val="22"/>
        </w:rPr>
        <w:t xml:space="preserve">, </w:t>
      </w:r>
      <w:r w:rsidR="00B64C83">
        <w:rPr>
          <w:rFonts w:cstheme="minorHAnsi"/>
          <w:bCs/>
          <w:color w:val="000000" w:themeColor="text1"/>
          <w:szCs w:val="22"/>
        </w:rPr>
        <w:t>1.03</w:t>
      </w:r>
      <w:r w:rsidR="00AC364A" w:rsidRPr="001813B0">
        <w:rPr>
          <w:rFonts w:cstheme="minorHAnsi"/>
          <w:bCs/>
          <w:color w:val="000000" w:themeColor="text1"/>
          <w:szCs w:val="22"/>
        </w:rPr>
        <w:t>-1.</w:t>
      </w:r>
      <w:r w:rsidR="00AC364A">
        <w:rPr>
          <w:rFonts w:cstheme="minorHAnsi"/>
          <w:bCs/>
          <w:color w:val="000000" w:themeColor="text1"/>
          <w:szCs w:val="22"/>
        </w:rPr>
        <w:t>2</w:t>
      </w:r>
      <w:r w:rsidR="00B64C83">
        <w:rPr>
          <w:rFonts w:cstheme="minorHAnsi"/>
          <w:bCs/>
          <w:color w:val="000000" w:themeColor="text1"/>
          <w:szCs w:val="22"/>
        </w:rPr>
        <w:t>8</w:t>
      </w:r>
      <w:r w:rsidR="009035B1">
        <w:rPr>
          <w:rFonts w:cstheme="minorHAnsi"/>
          <w:bCs/>
          <w:color w:val="000000" w:themeColor="text1"/>
          <w:szCs w:val="22"/>
        </w:rPr>
        <w:t>)</w:t>
      </w:r>
      <w:r w:rsidR="0016203A">
        <w:rPr>
          <w:rFonts w:cstheme="minorHAnsi"/>
          <w:bCs/>
          <w:color w:val="000000" w:themeColor="text1"/>
          <w:szCs w:val="22"/>
        </w:rPr>
        <w:t>. By contrast, alcohol consumption was log-linearly associated with</w:t>
      </w:r>
      <w:r w:rsidR="009035B1">
        <w:rPr>
          <w:rFonts w:cstheme="minorHAnsi"/>
          <w:bCs/>
          <w:color w:val="000000" w:themeColor="text1"/>
          <w:szCs w:val="22"/>
        </w:rPr>
        <w:t xml:space="preserve"> </w:t>
      </w:r>
      <w:r w:rsidR="009035B1" w:rsidRPr="00586F91">
        <w:rPr>
          <w:rFonts w:cstheme="minorHAnsi"/>
          <w:bCs/>
          <w:i/>
          <w:color w:val="000000" w:themeColor="text1"/>
          <w:szCs w:val="22"/>
        </w:rPr>
        <w:t>lower</w:t>
      </w:r>
      <w:r w:rsidR="009035B1">
        <w:rPr>
          <w:rFonts w:cstheme="minorHAnsi"/>
          <w:bCs/>
          <w:color w:val="000000" w:themeColor="text1"/>
          <w:szCs w:val="22"/>
        </w:rPr>
        <w:t xml:space="preserve"> risk of</w:t>
      </w:r>
      <w:r w:rsidR="008D744D" w:rsidRPr="001813B0">
        <w:t xml:space="preserve"> myocardial infarction</w:t>
      </w:r>
      <w:r w:rsidR="008D744D">
        <w:t xml:space="preserve"> (</w:t>
      </w:r>
      <w:r w:rsidR="008D744D">
        <w:rPr>
          <w:rFonts w:cstheme="minorHAnsi"/>
          <w:bCs/>
          <w:color w:val="000000" w:themeColor="text1"/>
          <w:szCs w:val="22"/>
        </w:rPr>
        <w:t>0.9</w:t>
      </w:r>
      <w:r w:rsidR="00B64C83">
        <w:rPr>
          <w:rFonts w:cstheme="minorHAnsi"/>
          <w:bCs/>
          <w:color w:val="000000" w:themeColor="text1"/>
          <w:szCs w:val="22"/>
        </w:rPr>
        <w:t>4</w:t>
      </w:r>
      <w:r w:rsidR="008D744D">
        <w:rPr>
          <w:rFonts w:cstheme="minorHAnsi"/>
          <w:bCs/>
          <w:color w:val="000000" w:themeColor="text1"/>
          <w:szCs w:val="22"/>
        </w:rPr>
        <w:t>, 0.9</w:t>
      </w:r>
      <w:r w:rsidR="00B64C83">
        <w:rPr>
          <w:rFonts w:cstheme="minorHAnsi"/>
          <w:bCs/>
          <w:color w:val="000000" w:themeColor="text1"/>
          <w:szCs w:val="22"/>
        </w:rPr>
        <w:t>1</w:t>
      </w:r>
      <w:r w:rsidR="008D744D">
        <w:rPr>
          <w:rFonts w:cstheme="minorHAnsi"/>
          <w:bCs/>
          <w:color w:val="000000" w:themeColor="text1"/>
          <w:szCs w:val="22"/>
        </w:rPr>
        <w:t>-0.9</w:t>
      </w:r>
      <w:r w:rsidR="00B52D06">
        <w:rPr>
          <w:rFonts w:cstheme="minorHAnsi"/>
          <w:bCs/>
          <w:color w:val="000000" w:themeColor="text1"/>
          <w:szCs w:val="22"/>
        </w:rPr>
        <w:t>7</w:t>
      </w:r>
      <w:r w:rsidR="008D744D" w:rsidRPr="001813B0">
        <w:rPr>
          <w:rFonts w:cstheme="minorHAnsi"/>
          <w:bCs/>
          <w:color w:val="000000" w:themeColor="text1"/>
          <w:szCs w:val="22"/>
        </w:rPr>
        <w:t>)</w:t>
      </w:r>
      <w:r w:rsidR="008D744D">
        <w:t xml:space="preserve">. </w:t>
      </w:r>
      <w:r w:rsidR="0020600C">
        <w:rPr>
          <w:rFonts w:cstheme="minorHAnsi"/>
          <w:bCs/>
          <w:color w:val="000000" w:themeColor="text1"/>
          <w:szCs w:val="20"/>
        </w:rPr>
        <w:t>Compared with</w:t>
      </w:r>
      <w:r w:rsidR="00C946B5">
        <w:rPr>
          <w:rFonts w:cstheme="minorHAnsi"/>
          <w:bCs/>
          <w:color w:val="000000" w:themeColor="text1"/>
          <w:szCs w:val="20"/>
        </w:rPr>
        <w:t xml:space="preserve"> </w:t>
      </w:r>
      <w:r w:rsidR="002A5C8D">
        <w:rPr>
          <w:rFonts w:cstheme="minorHAnsi"/>
          <w:bCs/>
          <w:color w:val="000000" w:themeColor="text1"/>
          <w:szCs w:val="20"/>
        </w:rPr>
        <w:t xml:space="preserve">current </w:t>
      </w:r>
      <w:r w:rsidR="006818F9">
        <w:rPr>
          <w:rFonts w:cstheme="minorHAnsi"/>
          <w:bCs/>
          <w:color w:val="000000" w:themeColor="text1"/>
          <w:szCs w:val="20"/>
        </w:rPr>
        <w:t>low-risk</w:t>
      </w:r>
      <w:r w:rsidR="00C946B5">
        <w:rPr>
          <w:rFonts w:cstheme="minorHAnsi"/>
          <w:bCs/>
          <w:color w:val="000000" w:themeColor="text1"/>
          <w:szCs w:val="20"/>
        </w:rPr>
        <w:t xml:space="preserve"> limits in</w:t>
      </w:r>
      <w:r w:rsidR="00E54FD3">
        <w:rPr>
          <w:rFonts w:cstheme="minorHAnsi"/>
          <w:bCs/>
          <w:color w:val="000000" w:themeColor="text1"/>
          <w:szCs w:val="20"/>
        </w:rPr>
        <w:t xml:space="preserve"> </w:t>
      </w:r>
      <w:r w:rsidR="0020600C">
        <w:rPr>
          <w:rFonts w:cstheme="minorHAnsi"/>
          <w:bCs/>
          <w:color w:val="000000" w:themeColor="text1"/>
          <w:szCs w:val="20"/>
        </w:rPr>
        <w:t>US guidelines</w:t>
      </w:r>
      <w:r w:rsidR="00C4385B">
        <w:rPr>
          <w:rFonts w:cstheme="minorHAnsi"/>
          <w:bCs/>
          <w:color w:val="000000" w:themeColor="text1"/>
          <w:szCs w:val="20"/>
        </w:rPr>
        <w:t xml:space="preserve"> </w:t>
      </w:r>
      <w:r w:rsidR="009A2866">
        <w:rPr>
          <w:rFonts w:cstheme="minorHAnsi"/>
          <w:bCs/>
          <w:color w:val="000000" w:themeColor="text1"/>
          <w:szCs w:val="20"/>
        </w:rPr>
        <w:t>(</w:t>
      </w:r>
      <w:r w:rsidR="00C4385B">
        <w:rPr>
          <w:rFonts w:cstheme="minorHAnsi"/>
          <w:bCs/>
          <w:color w:val="000000" w:themeColor="text1"/>
          <w:szCs w:val="20"/>
        </w:rPr>
        <w:t>196 grams/week for men</w:t>
      </w:r>
      <w:r w:rsidR="009A2866">
        <w:rPr>
          <w:rFonts w:cstheme="minorHAnsi"/>
          <w:bCs/>
          <w:color w:val="000000" w:themeColor="text1"/>
          <w:szCs w:val="20"/>
        </w:rPr>
        <w:t>)</w:t>
      </w:r>
      <w:r w:rsidR="0020600C">
        <w:rPr>
          <w:rFonts w:cstheme="minorHAnsi"/>
          <w:bCs/>
          <w:color w:val="000000" w:themeColor="text1"/>
          <w:szCs w:val="20"/>
        </w:rPr>
        <w:t xml:space="preserve">, </w:t>
      </w:r>
      <w:r w:rsidR="00C4385B">
        <w:rPr>
          <w:rFonts w:cstheme="minorHAnsi"/>
          <w:bCs/>
          <w:color w:val="000000" w:themeColor="text1"/>
          <w:szCs w:val="20"/>
        </w:rPr>
        <w:t>consumption of</w:t>
      </w:r>
      <w:r w:rsidR="00702378">
        <w:rPr>
          <w:rFonts w:cstheme="minorHAnsi"/>
          <w:bCs/>
          <w:color w:val="000000" w:themeColor="text1"/>
          <w:szCs w:val="20"/>
        </w:rPr>
        <w:t xml:space="preserve"> </w:t>
      </w:r>
      <w:r w:rsidR="00E54FD3">
        <w:rPr>
          <w:rFonts w:cstheme="minorHAnsi"/>
          <w:bCs/>
          <w:color w:val="000000" w:themeColor="text1"/>
          <w:szCs w:val="20"/>
        </w:rPr>
        <w:t xml:space="preserve">less than </w:t>
      </w:r>
      <w:r w:rsidR="00702378">
        <w:rPr>
          <w:rFonts w:cstheme="minorHAnsi"/>
          <w:bCs/>
          <w:color w:val="000000" w:themeColor="text1"/>
          <w:szCs w:val="20"/>
        </w:rPr>
        <w:t>100</w:t>
      </w:r>
      <w:r w:rsidR="00702378" w:rsidRPr="00A30A6B">
        <w:rPr>
          <w:rFonts w:cstheme="minorHAnsi"/>
          <w:bCs/>
          <w:color w:val="000000" w:themeColor="text1"/>
          <w:szCs w:val="20"/>
        </w:rPr>
        <w:t xml:space="preserve"> </w:t>
      </w:r>
      <w:r w:rsidR="00702378" w:rsidRPr="00E61D68">
        <w:rPr>
          <w:rFonts w:cstheme="minorHAnsi"/>
          <w:bCs/>
          <w:color w:val="000000" w:themeColor="text1"/>
          <w:szCs w:val="20"/>
        </w:rPr>
        <w:t>grams/week</w:t>
      </w:r>
      <w:r w:rsidR="00702378">
        <w:rPr>
          <w:rFonts w:cstheme="minorHAnsi"/>
          <w:bCs/>
          <w:color w:val="000000" w:themeColor="text1"/>
          <w:szCs w:val="20"/>
        </w:rPr>
        <w:t xml:space="preserve"> </w:t>
      </w:r>
      <w:r w:rsidR="0071661A">
        <w:rPr>
          <w:rFonts w:cstheme="minorHAnsi"/>
          <w:bCs/>
          <w:color w:val="000000" w:themeColor="text1"/>
          <w:szCs w:val="20"/>
        </w:rPr>
        <w:t>c</w:t>
      </w:r>
      <w:r w:rsidR="00E35785">
        <w:rPr>
          <w:rFonts w:cstheme="minorHAnsi"/>
          <w:bCs/>
          <w:color w:val="000000" w:themeColor="text1"/>
          <w:szCs w:val="20"/>
        </w:rPr>
        <w:t>ould increase</w:t>
      </w:r>
      <w:r w:rsidR="00C4385B">
        <w:rPr>
          <w:rFonts w:cstheme="minorHAnsi"/>
          <w:bCs/>
          <w:color w:val="000000" w:themeColor="text1"/>
          <w:szCs w:val="20"/>
        </w:rPr>
        <w:t xml:space="preserve"> male</w:t>
      </w:r>
      <w:r w:rsidR="00E35785">
        <w:rPr>
          <w:rFonts w:cstheme="minorHAnsi"/>
          <w:bCs/>
          <w:color w:val="000000" w:themeColor="text1"/>
          <w:szCs w:val="20"/>
        </w:rPr>
        <w:t xml:space="preserve"> </w:t>
      </w:r>
      <w:r w:rsidR="00DF059C">
        <w:rPr>
          <w:rFonts w:cs="Arial"/>
          <w:szCs w:val="20"/>
        </w:rPr>
        <w:t>life expectancy</w:t>
      </w:r>
      <w:r w:rsidR="00E35785">
        <w:rPr>
          <w:rFonts w:cs="Arial"/>
          <w:szCs w:val="20"/>
        </w:rPr>
        <w:t xml:space="preserve"> </w:t>
      </w:r>
      <w:r w:rsidR="00BA3092">
        <w:rPr>
          <w:rFonts w:cs="Arial"/>
          <w:szCs w:val="20"/>
        </w:rPr>
        <w:t xml:space="preserve">by </w:t>
      </w:r>
      <w:r w:rsidR="004E4FFF">
        <w:rPr>
          <w:rFonts w:cs="Arial"/>
          <w:szCs w:val="20"/>
        </w:rPr>
        <w:t xml:space="preserve">about </w:t>
      </w:r>
      <w:r w:rsidR="00E61D68">
        <w:rPr>
          <w:rFonts w:cs="Arial"/>
          <w:szCs w:val="20"/>
        </w:rPr>
        <w:t>1-2</w:t>
      </w:r>
      <w:r w:rsidR="00DF059C">
        <w:rPr>
          <w:rFonts w:cs="Arial"/>
          <w:szCs w:val="20"/>
        </w:rPr>
        <w:t xml:space="preserve"> years</w:t>
      </w:r>
      <w:r w:rsidR="00223F95">
        <w:rPr>
          <w:rFonts w:cs="Arial"/>
          <w:szCs w:val="20"/>
        </w:rPr>
        <w:t>.</w:t>
      </w:r>
    </w:p>
    <w:p w14:paraId="6088BF18" w14:textId="77777777" w:rsidR="00F63207" w:rsidRPr="00586F91" w:rsidRDefault="00F63207" w:rsidP="00E24FF1">
      <w:pPr>
        <w:rPr>
          <w:sz w:val="12"/>
        </w:rPr>
      </w:pPr>
    </w:p>
    <w:p w14:paraId="7917DD6C" w14:textId="1ADC895D" w:rsidR="008D744D" w:rsidRDefault="00E15620" w:rsidP="008D744D">
      <w:pPr>
        <w:rPr>
          <w:rFonts w:eastAsia="Verdana"/>
          <w:szCs w:val="20"/>
        </w:rPr>
      </w:pPr>
      <w:r>
        <w:rPr>
          <w:rFonts w:cstheme="minorHAnsi"/>
          <w:b/>
          <w:color w:val="000000" w:themeColor="text1"/>
          <w:szCs w:val="20"/>
        </w:rPr>
        <w:t>Interpretation</w:t>
      </w:r>
      <w:r w:rsidR="008D744D">
        <w:rPr>
          <w:rFonts w:cstheme="minorHAnsi"/>
          <w:bCs/>
          <w:color w:val="000000" w:themeColor="text1"/>
          <w:szCs w:val="22"/>
        </w:rPr>
        <w:t xml:space="preserve"> </w:t>
      </w:r>
      <w:r w:rsidR="00C1451F">
        <w:rPr>
          <w:rFonts w:cstheme="minorHAnsi"/>
          <w:bCs/>
          <w:color w:val="000000" w:themeColor="text1"/>
          <w:szCs w:val="22"/>
        </w:rPr>
        <w:t>Among current drinkers</w:t>
      </w:r>
      <w:r w:rsidR="00E54FD3">
        <w:rPr>
          <w:rFonts w:eastAsia="Verdana"/>
          <w:szCs w:val="20"/>
        </w:rPr>
        <w:t>, the threshold for lowest risk</w:t>
      </w:r>
      <w:r w:rsidR="00C946B5">
        <w:rPr>
          <w:rFonts w:eastAsia="Verdana"/>
          <w:szCs w:val="20"/>
        </w:rPr>
        <w:t xml:space="preserve"> </w:t>
      </w:r>
      <w:r w:rsidR="00C1451F">
        <w:rPr>
          <w:rFonts w:eastAsia="Verdana"/>
          <w:szCs w:val="20"/>
        </w:rPr>
        <w:t xml:space="preserve">of all-cause mortality </w:t>
      </w:r>
      <w:r w:rsidR="00C946B5">
        <w:rPr>
          <w:rFonts w:eastAsia="Verdana"/>
          <w:szCs w:val="20"/>
        </w:rPr>
        <w:t>wa</w:t>
      </w:r>
      <w:r w:rsidR="00E54FD3">
        <w:rPr>
          <w:rFonts w:eastAsia="Verdana"/>
          <w:szCs w:val="20"/>
        </w:rPr>
        <w:t xml:space="preserve">s about 100 grams/week. </w:t>
      </w:r>
      <w:r w:rsidR="0020600C">
        <w:rPr>
          <w:rFonts w:eastAsia="Verdana"/>
          <w:szCs w:val="20"/>
        </w:rPr>
        <w:t>For</w:t>
      </w:r>
      <w:r w:rsidR="00BA19AD">
        <w:rPr>
          <w:rFonts w:eastAsia="Verdana"/>
          <w:szCs w:val="20"/>
        </w:rPr>
        <w:t xml:space="preserve"> </w:t>
      </w:r>
      <w:r w:rsidR="0020600C">
        <w:rPr>
          <w:rFonts w:eastAsia="Verdana"/>
          <w:szCs w:val="20"/>
        </w:rPr>
        <w:t>CVD</w:t>
      </w:r>
      <w:r w:rsidR="00BD2B16">
        <w:rPr>
          <w:rFonts w:eastAsia="Verdana"/>
          <w:szCs w:val="20"/>
        </w:rPr>
        <w:t xml:space="preserve"> subtypes oth</w:t>
      </w:r>
      <w:r w:rsidR="00E54FD3">
        <w:rPr>
          <w:rFonts w:eastAsia="Verdana"/>
          <w:szCs w:val="20"/>
        </w:rPr>
        <w:t xml:space="preserve">er than </w:t>
      </w:r>
      <w:r w:rsidR="00E400C1">
        <w:rPr>
          <w:rFonts w:eastAsia="Verdana"/>
          <w:szCs w:val="20"/>
        </w:rPr>
        <w:t>myocardial infarction</w:t>
      </w:r>
      <w:r w:rsidR="0020600C">
        <w:rPr>
          <w:rFonts w:eastAsia="Verdana"/>
          <w:szCs w:val="20"/>
        </w:rPr>
        <w:t>, t</w:t>
      </w:r>
      <w:r w:rsidR="00C946B5">
        <w:rPr>
          <w:rFonts w:eastAsia="Verdana"/>
          <w:szCs w:val="20"/>
        </w:rPr>
        <w:t>here w</w:t>
      </w:r>
      <w:r w:rsidR="00C1451F">
        <w:rPr>
          <w:rFonts w:eastAsia="Verdana"/>
          <w:szCs w:val="20"/>
        </w:rPr>
        <w:t>ere</w:t>
      </w:r>
      <w:r w:rsidR="00E35785">
        <w:rPr>
          <w:rFonts w:eastAsia="Verdana"/>
          <w:szCs w:val="20"/>
        </w:rPr>
        <w:t xml:space="preserve"> no </w:t>
      </w:r>
      <w:r w:rsidR="004B0EC1">
        <w:rPr>
          <w:rFonts w:eastAsia="Verdana"/>
          <w:szCs w:val="20"/>
        </w:rPr>
        <w:t xml:space="preserve">clear </w:t>
      </w:r>
      <w:r w:rsidR="00864DD4">
        <w:rPr>
          <w:rFonts w:eastAsia="Verdana"/>
          <w:szCs w:val="20"/>
        </w:rPr>
        <w:t xml:space="preserve">risk </w:t>
      </w:r>
      <w:r w:rsidR="00E35785">
        <w:rPr>
          <w:rFonts w:eastAsia="Verdana"/>
          <w:szCs w:val="20"/>
        </w:rPr>
        <w:t>threshold</w:t>
      </w:r>
      <w:r w:rsidR="00C1451F">
        <w:rPr>
          <w:rFonts w:eastAsia="Verdana"/>
          <w:szCs w:val="20"/>
        </w:rPr>
        <w:t>s</w:t>
      </w:r>
      <w:r w:rsidR="00E35785">
        <w:rPr>
          <w:rFonts w:eastAsia="Verdana"/>
          <w:szCs w:val="20"/>
        </w:rPr>
        <w:t xml:space="preserve"> </w:t>
      </w:r>
      <w:r w:rsidR="00E54FD3">
        <w:rPr>
          <w:rFonts w:eastAsia="Verdana"/>
          <w:szCs w:val="20"/>
        </w:rPr>
        <w:t>below</w:t>
      </w:r>
      <w:r w:rsidR="00E35785">
        <w:rPr>
          <w:rFonts w:eastAsia="Verdana"/>
          <w:szCs w:val="20"/>
        </w:rPr>
        <w:t xml:space="preserve"> which lower a</w:t>
      </w:r>
      <w:r w:rsidR="009035B1">
        <w:rPr>
          <w:rFonts w:eastAsia="Verdana"/>
          <w:szCs w:val="20"/>
        </w:rPr>
        <w:t xml:space="preserve">lcohol consumption </w:t>
      </w:r>
      <w:r w:rsidR="00E35785">
        <w:rPr>
          <w:rFonts w:eastAsia="Verdana"/>
          <w:szCs w:val="20"/>
        </w:rPr>
        <w:t>stop</w:t>
      </w:r>
      <w:r w:rsidR="00C946B5">
        <w:rPr>
          <w:rFonts w:eastAsia="Verdana"/>
          <w:szCs w:val="20"/>
        </w:rPr>
        <w:t>ped</w:t>
      </w:r>
      <w:r w:rsidR="00E35785">
        <w:rPr>
          <w:rFonts w:eastAsia="Verdana"/>
          <w:szCs w:val="20"/>
        </w:rPr>
        <w:t xml:space="preserve"> being associated with </w:t>
      </w:r>
      <w:r w:rsidR="00D303E3">
        <w:rPr>
          <w:rFonts w:eastAsia="Verdana"/>
          <w:szCs w:val="20"/>
        </w:rPr>
        <w:t>lower</w:t>
      </w:r>
      <w:r w:rsidR="00E400C1">
        <w:rPr>
          <w:rFonts w:eastAsia="Verdana"/>
          <w:szCs w:val="20"/>
        </w:rPr>
        <w:t xml:space="preserve"> disease</w:t>
      </w:r>
      <w:r w:rsidR="00D303E3">
        <w:rPr>
          <w:rFonts w:eastAsia="Verdana"/>
          <w:szCs w:val="20"/>
        </w:rPr>
        <w:t xml:space="preserve"> risk</w:t>
      </w:r>
      <w:r w:rsidR="00E96582">
        <w:rPr>
          <w:rFonts w:eastAsia="Verdana"/>
          <w:szCs w:val="20"/>
        </w:rPr>
        <w:t>.</w:t>
      </w:r>
      <w:r w:rsidR="00D303E3">
        <w:rPr>
          <w:rFonts w:eastAsia="Verdana"/>
          <w:szCs w:val="20"/>
        </w:rPr>
        <w:t xml:space="preserve"> </w:t>
      </w:r>
      <w:r w:rsidR="0020600C">
        <w:rPr>
          <w:rFonts w:eastAsia="Verdana"/>
          <w:szCs w:val="20"/>
        </w:rPr>
        <w:t>These data support</w:t>
      </w:r>
      <w:r w:rsidR="0071661A">
        <w:rPr>
          <w:rFonts w:eastAsia="Verdana"/>
          <w:szCs w:val="20"/>
        </w:rPr>
        <w:t xml:space="preserve"> </w:t>
      </w:r>
      <w:r w:rsidR="0020600C">
        <w:rPr>
          <w:rFonts w:eastAsia="Verdana"/>
          <w:szCs w:val="20"/>
        </w:rPr>
        <w:t>limits</w:t>
      </w:r>
      <w:r w:rsidR="00D303E3">
        <w:rPr>
          <w:rFonts w:eastAsia="Verdana"/>
          <w:szCs w:val="20"/>
        </w:rPr>
        <w:t xml:space="preserve"> </w:t>
      </w:r>
      <w:r w:rsidR="00410AB5">
        <w:rPr>
          <w:rFonts w:eastAsia="Verdana"/>
          <w:szCs w:val="20"/>
        </w:rPr>
        <w:t>for</w:t>
      </w:r>
      <w:r w:rsidR="00E54FD3">
        <w:rPr>
          <w:rFonts w:eastAsia="Verdana"/>
          <w:szCs w:val="20"/>
        </w:rPr>
        <w:t xml:space="preserve"> alcohol consumption </w:t>
      </w:r>
      <w:r w:rsidR="00410AB5">
        <w:rPr>
          <w:rFonts w:eastAsia="Verdana"/>
          <w:szCs w:val="20"/>
        </w:rPr>
        <w:t xml:space="preserve">that are lower </w:t>
      </w:r>
      <w:r w:rsidR="00E54FD3">
        <w:rPr>
          <w:rFonts w:eastAsia="Verdana"/>
          <w:szCs w:val="20"/>
        </w:rPr>
        <w:t xml:space="preserve">than </w:t>
      </w:r>
      <w:r w:rsidR="00C946B5">
        <w:rPr>
          <w:rFonts w:eastAsia="Verdana"/>
          <w:szCs w:val="20"/>
        </w:rPr>
        <w:t xml:space="preserve">in </w:t>
      </w:r>
      <w:r w:rsidR="00E54FD3">
        <w:rPr>
          <w:rFonts w:eastAsia="Verdana"/>
          <w:szCs w:val="20"/>
        </w:rPr>
        <w:t>current guidelines</w:t>
      </w:r>
      <w:r w:rsidR="0071661A">
        <w:rPr>
          <w:rFonts w:eastAsia="Verdana"/>
          <w:szCs w:val="20"/>
        </w:rPr>
        <w:t>.</w:t>
      </w:r>
    </w:p>
    <w:p w14:paraId="41E37E54" w14:textId="77777777" w:rsidR="00744867" w:rsidRDefault="00744867" w:rsidP="00732079">
      <w:pPr>
        <w:rPr>
          <w:rFonts w:eastAsia="Verdana"/>
          <w:szCs w:val="20"/>
        </w:rPr>
      </w:pPr>
    </w:p>
    <w:p w14:paraId="209F7F8E" w14:textId="4230B949" w:rsidR="00BD01E3" w:rsidRDefault="00744867" w:rsidP="00256484">
      <w:pPr>
        <w:jc w:val="left"/>
        <w:rPr>
          <w:b/>
        </w:rPr>
      </w:pPr>
      <w:r w:rsidRPr="00BD01E3">
        <w:rPr>
          <w:rFonts w:eastAsia="Verdana"/>
          <w:b/>
          <w:szCs w:val="20"/>
        </w:rPr>
        <w:t>Funding:</w:t>
      </w:r>
      <w:r>
        <w:rPr>
          <w:rFonts w:eastAsia="Verdana"/>
          <w:szCs w:val="20"/>
        </w:rPr>
        <w:t xml:space="preserve"> UK Medical Research Council, British Heart Foundation, National Institute for Health Research, European Union Framework 7, European Research Council</w:t>
      </w:r>
      <w:r w:rsidR="005E5C2C">
        <w:tab/>
      </w:r>
      <w:r w:rsidR="00BD01E3">
        <w:rPr>
          <w:b/>
        </w:rPr>
        <w:br w:type="page"/>
      </w:r>
    </w:p>
    <w:p w14:paraId="4619BACC" w14:textId="7A9AD30C" w:rsidR="00B76F68" w:rsidRPr="0075631B" w:rsidRDefault="00C93AEF" w:rsidP="00283DAF">
      <w:pPr>
        <w:spacing w:after="200" w:line="276" w:lineRule="auto"/>
        <w:jc w:val="left"/>
      </w:pPr>
      <w:r w:rsidRPr="00ED2B7D">
        <w:rPr>
          <w:b/>
        </w:rPr>
        <w:lastRenderedPageBreak/>
        <w:t>INTRODUCTION</w:t>
      </w:r>
    </w:p>
    <w:p w14:paraId="4D3CFC9B" w14:textId="78BE2FD7" w:rsidR="00D96511" w:rsidRDefault="008F751F" w:rsidP="00586CB6">
      <w:r>
        <w:t>Alcohol consumption guide</w:t>
      </w:r>
      <w:r w:rsidRPr="00BB045B">
        <w:t xml:space="preserve">lines </w:t>
      </w:r>
      <w:r w:rsidR="007A1974">
        <w:t xml:space="preserve">worldwide </w:t>
      </w:r>
      <w:r>
        <w:t>vary considerably</w:t>
      </w:r>
      <w:r w:rsidR="001538DE">
        <w:fldChar w:fldCharType="begin" w:fldLock="1"/>
      </w:r>
      <w:r w:rsidR="000B61F1">
        <w:instrText>ADDIN CSL_CITATION { "citationItems" : [ { "id" : "ITEM-1", "itemData" : { "author" : [ { "dropping-particle" : "", "family" : "Department of Health", "given" : "", "non-dropping-particle" : "", "parse-names" : false, "suffix" : "" } ], "container-title" : "2016", "id" : "ITEM-1", "issued" : { "date-parts" : [ [ "0" ] ] }, "title" : "Alcohol Guidelines Review: report from the guidelines development group to the UK Chief Medical Officers", "type" : "webpage" }, "uris" : [ "http://www.mendeley.com/documents/?uuid=7ab3f5bd-4170-454b-8471-92f7baa25487", "http://www.mendeley.com/documents/?uuid=96018546-18da-4102-afcf-dcefe8d7ca7c" ] }, { "id" : "ITEM-2", "itemData" : { "DOI" : "10.1111/add.13341", "ISSN" : "13600443", "PMID" : "27073140", "abstract" : "Background and Aims One of the challenges of international alcohol research and policy is the variability in and lack of knowledge of how governments in different nations define a standard drink and low-risk drinking. This study gathered such information from governmental agencies in 37 countries. Methods A pool of 75 countries that might have definitions was created using World Health Organization (WHO) information and the authors' own judgement. Structured internet searches of relevant terms for each country were supplemented by efforts to contact government agencies directly and to consult with alcohol experts in the country. Results Most of the 75 national governments examined were not identified as having adopted a standard drink definition. Among the 37 that were so identified, the modal standard drink size was 10 g pure ethanol, but variation was wide (8\u201320 g). Significant variability was also evident for low-risk drinking guidelines, ranging from 10\u201342 g per day for women and 10\u201356 g per day for men to 98\u2013140 g per week for women and 150\u2013280 g per week for men. Conclusions Researchers working and communicating across national boundaries should be sensitive to the substantial variability in \u2018standard\u2019 drink definitions and low-risk drinking guidelines. The potential impact of guidelines, both in general and in specific national cases, remains an important question for public health research.", "author" : [ { "dropping-particle" : "", "family" : "Kalinowski", "given" : "Agnieszka", "non-dropping-particle" : "", "parse-names" : false, "suffix" : "" }, { "dropping-particle" : "", "family" : "Humphreys", "given" : "Keith", "non-dropping-particle" : "", "parse-names" : false, "suffix" : "" } ], "container-title" : "Addiction", "id" : "ITEM-2", "issue" : "7", "issued" : { "date-parts" : [ [ "2016" ] ] }, "page" : "1293-1298", "title" : "Governmental standard drink definitions and low-risk alcohol consumption guidelines in 37 countries", "type" : "article-journal", "volume" : "111" }, "uris" : [ "http://www.mendeley.com/documents/?uuid=5463b5cd-9af7-4aca-b03d-7ced7bfec260", "http://www.mendeley.com/documents/?uuid=d8d74ed3-c793-4155-98f5-caa35d396d40" ] } ], "mendeley" : { "formattedCitation" : "&lt;sup&gt;1,2&lt;/sup&gt;", "plainTextFormattedCitation" : "1,2", "previouslyFormattedCitation" : "&lt;sup&gt;1,2&lt;/sup&gt;" }, "properties" : { "noteIndex" : 0 }, "schema" : "https://github.com/citation-style-language/schema/raw/master/csl-citation.json" }</w:instrText>
      </w:r>
      <w:r w:rsidR="001538DE">
        <w:fldChar w:fldCharType="separate"/>
      </w:r>
      <w:r w:rsidR="001538DE" w:rsidRPr="001538DE">
        <w:rPr>
          <w:noProof/>
          <w:vertAlign w:val="superscript"/>
        </w:rPr>
        <w:t>1,2</w:t>
      </w:r>
      <w:r w:rsidR="001538DE">
        <w:fldChar w:fldCharType="end"/>
      </w:r>
      <w:r w:rsidR="006F1A80">
        <w:t>.</w:t>
      </w:r>
      <w:r w:rsidR="00BB045B">
        <w:t xml:space="preserve"> </w:t>
      </w:r>
      <w:r w:rsidR="00A56A06">
        <w:t>I</w:t>
      </w:r>
      <w:r w:rsidR="000E7A3E">
        <w:t>n the US</w:t>
      </w:r>
      <w:r w:rsidR="0020600C">
        <w:t xml:space="preserve">, for example, </w:t>
      </w:r>
      <w:r>
        <w:t xml:space="preserve">an upper </w:t>
      </w:r>
      <w:r w:rsidRPr="009F2952">
        <w:t>limit of</w:t>
      </w:r>
      <w:r w:rsidR="001E4939" w:rsidRPr="009F2952">
        <w:t xml:space="preserve"> </w:t>
      </w:r>
      <w:r w:rsidR="000E7A3E" w:rsidRPr="009F2952">
        <w:t>196</w:t>
      </w:r>
      <w:r w:rsidR="00BB045B" w:rsidRPr="009F2952">
        <w:t xml:space="preserve"> grams</w:t>
      </w:r>
      <w:r w:rsidR="00BA19AD" w:rsidRPr="009F2952">
        <w:t xml:space="preserve"> per </w:t>
      </w:r>
      <w:r w:rsidR="009F2952" w:rsidRPr="009F2952">
        <w:t>week</w:t>
      </w:r>
      <w:r w:rsidR="00A56A06">
        <w:t xml:space="preserve"> is</w:t>
      </w:r>
      <w:r w:rsidR="00A56A06" w:rsidRPr="00A56A06">
        <w:t xml:space="preserve"> </w:t>
      </w:r>
      <w:r w:rsidR="00A56A06">
        <w:t>recommended</w:t>
      </w:r>
      <w:r w:rsidR="009F2952" w:rsidRPr="009F2952">
        <w:t xml:space="preserve"> </w:t>
      </w:r>
      <w:r w:rsidR="00BB045B" w:rsidRPr="009F2952">
        <w:t>for men</w:t>
      </w:r>
      <w:r w:rsidR="000E7A3E" w:rsidRPr="009F2952">
        <w:t xml:space="preserve"> </w:t>
      </w:r>
      <w:r w:rsidR="008F2CA3">
        <w:t>(approximately 11</w:t>
      </w:r>
      <w:r w:rsidR="009F2952">
        <w:t xml:space="preserve"> </w:t>
      </w:r>
      <w:r w:rsidR="00840D06">
        <w:t>standard UK g</w:t>
      </w:r>
      <w:r w:rsidR="008F2CA3">
        <w:t xml:space="preserve">lasses of wine or </w:t>
      </w:r>
      <w:r w:rsidR="00840D06">
        <w:t>pints of beer</w:t>
      </w:r>
      <w:r w:rsidR="009F2952">
        <w:t xml:space="preserve"> per week) </w:t>
      </w:r>
      <w:r w:rsidR="000E7A3E" w:rsidRPr="009F2952">
        <w:t xml:space="preserve">and </w:t>
      </w:r>
      <w:r w:rsidR="00240BB4" w:rsidRPr="009F2952">
        <w:t>98</w:t>
      </w:r>
      <w:r w:rsidR="000E7A3E" w:rsidRPr="009F2952">
        <w:t xml:space="preserve"> grams</w:t>
      </w:r>
      <w:r w:rsidR="000E7A3E">
        <w:t xml:space="preserve"> per week for women</w:t>
      </w:r>
      <w:r w:rsidR="00410AB5">
        <w:fldChar w:fldCharType="begin" w:fldLock="1"/>
      </w:r>
      <w:r w:rsidR="00410AB5">
        <w:instrText>ADDIN CSL_CITATION { "citationItems" : [ { "id" : "ITEM-1", "itemData" : { "author" : [ { "dropping-particle" : "", "family" : "Department of Health", "given" : "", "non-dropping-particle" : "", "parse-names" : false, "suffix" : "" } ], "container-title" : "2016", "id" : "ITEM-1", "issued" : { "date-parts" : [ [ "0" ] ] }, "title" : "Alcohol Guidelines Review: report from the guidelines development group to the UK Chief Medical Officers", "type" : "webpage" }, "uris" : [ "http://www.mendeley.com/documents/?uuid=96018546-18da-4102-afcf-dcefe8d7ca7c" ] } ], "mendeley" : { "formattedCitation" : "&lt;sup&gt;1&lt;/sup&gt;", "plainTextFormattedCitation" : "1", "previouslyFormattedCitation" : "&lt;sup&gt;1&lt;/sup&gt;" }, "properties" : { "noteIndex" : 0 }, "schema" : "https://github.com/citation-style-language/schema/raw/master/csl-citation.json" }</w:instrText>
      </w:r>
      <w:r w:rsidR="00410AB5">
        <w:fldChar w:fldCharType="separate"/>
      </w:r>
      <w:r w:rsidR="00410AB5" w:rsidRPr="00D9768D">
        <w:rPr>
          <w:noProof/>
          <w:vertAlign w:val="superscript"/>
        </w:rPr>
        <w:t>1</w:t>
      </w:r>
      <w:r w:rsidR="00410AB5">
        <w:fldChar w:fldCharType="end"/>
      </w:r>
      <w:r w:rsidR="00AC0C03">
        <w:t xml:space="preserve">. </w:t>
      </w:r>
      <w:r w:rsidR="001A5AFD">
        <w:t>S</w:t>
      </w:r>
      <w:r w:rsidR="000E7A3E">
        <w:t xml:space="preserve">imilar </w:t>
      </w:r>
      <w:r w:rsidR="007B2C08">
        <w:t>recommendations</w:t>
      </w:r>
      <w:r w:rsidR="000E7A3E">
        <w:t xml:space="preserve"> </w:t>
      </w:r>
      <w:r w:rsidR="001A5AFD">
        <w:t xml:space="preserve">apply </w:t>
      </w:r>
      <w:r w:rsidR="000E7A3E">
        <w:t xml:space="preserve">in Canada and </w:t>
      </w:r>
      <w:r w:rsidR="009F2952">
        <w:t>Sweden</w:t>
      </w:r>
      <w:r w:rsidR="000E7A3E">
        <w:t xml:space="preserve">. </w:t>
      </w:r>
      <w:r w:rsidR="00A30A6B">
        <w:t>By contrast,</w:t>
      </w:r>
      <w:r w:rsidR="00BD467E">
        <w:t xml:space="preserve"> </w:t>
      </w:r>
      <w:r w:rsidR="00EE7994">
        <w:t xml:space="preserve">guidelines </w:t>
      </w:r>
      <w:r w:rsidR="001A5AFD">
        <w:t>in</w:t>
      </w:r>
      <w:r w:rsidR="00BD467E">
        <w:t xml:space="preserve"> </w:t>
      </w:r>
      <w:r w:rsidR="00E95B64">
        <w:t xml:space="preserve">Italy, </w:t>
      </w:r>
      <w:r w:rsidR="009F2952">
        <w:t xml:space="preserve">Portugal </w:t>
      </w:r>
      <w:r w:rsidR="007B2C08">
        <w:t xml:space="preserve">and Spain recommend </w:t>
      </w:r>
      <w:r w:rsidR="006818F9">
        <w:t>low-risk</w:t>
      </w:r>
      <w:r w:rsidR="007B2C08">
        <w:t xml:space="preserve"> limits almost </w:t>
      </w:r>
      <w:r w:rsidR="00DE08A7">
        <w:t>fifty-percent</w:t>
      </w:r>
      <w:r w:rsidR="007B2C08">
        <w:t xml:space="preserve"> higher</w:t>
      </w:r>
      <w:r w:rsidR="00126CC0">
        <w:fldChar w:fldCharType="begin" w:fldLock="1"/>
      </w:r>
      <w:r w:rsidR="00126CC0">
        <w:instrText>ADDIN CSL_CITATION { "citationItems" : [ { "id" : "ITEM-1", "itemData" : { "author" : [ { "dropping-particle" : "", "family" : "Department of Health", "given" : "", "non-dropping-particle" : "", "parse-names" : false, "suffix" : "" } ], "container-title" : "2016", "id" : "ITEM-1", "issued" : { "date-parts" : [ [ "0" ] ] }, "title" : "Alcohol Guidelines Review: report from the guidelines development group to the UK Chief Medical Officers", "type" : "webpage" }, "uris" : [ "http://www.mendeley.com/documents/?uuid=96018546-18da-4102-afcf-dcefe8d7ca7c", "http://www.mendeley.com/documents/?uuid=7ab3f5bd-4170-454b-8471-92f7baa25487" ] }, { "id" : "ITEM-2", "itemData" : { "DOI" : "10.1111/add.13341", "ISSN" : "13600443", "PMID" : "27073140", "abstract" : "Background and Aims One of the challenges of international alcohol research and policy is the variability in and lack of knowledge of how governments in different nations define a standard drink and low-risk drinking. This study gathered such information from governmental agencies in 37 countries. Methods A pool of 75 countries that might have definitions was created using World Health Organization (WHO) information and the authors' own judgement. Structured internet searches of relevant terms for each country were supplemented by efforts to contact government agencies directly and to consult with alcohol experts in the country. Results Most of the 75 national governments examined were not identified as having adopted a standard drink definition. Among the 37 that were so identified, the modal standard drink size was 10 g pure ethanol, but variation was wide (8\u201320 g). Significant variability was also evident for low-risk drinking guidelines, ranging from 10\u201342 g per day for women and 10\u201356 g per day for men to 98\u2013140 g per week for women and 150\u2013280 g per week for men. Conclusions Researchers working and communicating across national boundaries should be sensitive to the substantial variability in \u2018standard\u2019 drink definitions and low-risk drinking guidelines. The potential impact of guidelines, both in general and in specific national cases, remains an important question for public health research.", "author" : [ { "dropping-particle" : "", "family" : "Kalinowski", "given" : "Agnieszka", "non-dropping-particle" : "", "parse-names" : false, "suffix" : "" }, { "dropping-particle" : "", "family" : "Humphreys", "given" : "Keith", "non-dropping-particle" : "", "parse-names" : false, "suffix" : "" } ], "container-title" : "Addiction", "id" : "ITEM-2", "issue" : "7", "issued" : { "date-parts" : [ [ "2016" ] ] }, "page" : "1293-1298", "title" : "Governmental standard drink definitions and low-risk alcohol consumption guidelines in 37 countries", "type" : "article-journal", "volume" : "111" }, "uris" : [ "http://www.mendeley.com/documents/?uuid=d8d74ed3-c793-4155-98f5-caa35d396d40", "http://www.mendeley.com/documents/?uuid=5463b5cd-9af7-4aca-b03d-7ced7bfec260", "http://www.mendeley.com/documents/?uuid=3c2f2b66-ec58-4912-af94-c26ef9d3a302" ] } ], "mendeley" : { "formattedCitation" : "&lt;sup&gt;1,2&lt;/sup&gt;", "plainTextFormattedCitation" : "1,2", "previouslyFormattedCitation" : "&lt;sup&gt;1,2&lt;/sup&gt;" }, "properties" : { "noteIndex" : 0 }, "schema" : "https://github.com/citation-style-language/schema/raw/master/csl-citation.json" }</w:instrText>
      </w:r>
      <w:r w:rsidR="00126CC0">
        <w:fldChar w:fldCharType="separate"/>
      </w:r>
      <w:r w:rsidR="00126CC0" w:rsidRPr="001538DE">
        <w:rPr>
          <w:noProof/>
          <w:vertAlign w:val="superscript"/>
        </w:rPr>
        <w:t>1,2</w:t>
      </w:r>
      <w:r w:rsidR="00126CC0">
        <w:fldChar w:fldCharType="end"/>
      </w:r>
      <w:r w:rsidR="00EE7994">
        <w:t xml:space="preserve">. At </w:t>
      </w:r>
      <w:r w:rsidR="007B2C08">
        <w:t xml:space="preserve">the </w:t>
      </w:r>
      <w:r w:rsidR="00EE7994">
        <w:t>other extreme</w:t>
      </w:r>
      <w:r w:rsidR="007B2C08">
        <w:t>, UK guidelines</w:t>
      </w:r>
      <w:r w:rsidR="009F2952">
        <w:t xml:space="preserve"> recommend </w:t>
      </w:r>
      <w:r w:rsidR="001A5AFD">
        <w:t>low-risk limits</w:t>
      </w:r>
      <w:r w:rsidR="009F2952">
        <w:t xml:space="preserve"> </w:t>
      </w:r>
      <w:r w:rsidR="001A5AFD">
        <w:t xml:space="preserve">for men </w:t>
      </w:r>
      <w:r w:rsidR="009F2952">
        <w:t>almost</w:t>
      </w:r>
      <w:r w:rsidR="007B2C08">
        <w:t xml:space="preserve"> half that recommended </w:t>
      </w:r>
      <w:r w:rsidR="00EE7994">
        <w:t>by</w:t>
      </w:r>
      <w:r w:rsidR="007B2C08">
        <w:t xml:space="preserve"> US</w:t>
      </w:r>
      <w:r w:rsidR="00EE7994">
        <w:t xml:space="preserve"> guidelines</w:t>
      </w:r>
      <w:r w:rsidR="001538DE">
        <w:fldChar w:fldCharType="begin" w:fldLock="1"/>
      </w:r>
      <w:r w:rsidR="000B61F1">
        <w:instrText>ADDIN CSL_CITATION { "citationItems" : [ { "id" : "ITEM-1", "itemData" : { "author" : [ { "dropping-particle" : "", "family" : "Department of Health", "given" : "", "non-dropping-particle" : "", "parse-names" : false, "suffix" : "" } ], "container-title" : "2016", "id" : "ITEM-1", "issued" : { "date-parts" : [ [ "0" ] ] }, "title" : "Alcohol Guidelines Review: report from the guidelines development group to the UK Chief Medical Officers", "type" : "webpage" }, "uris" : [ "http://www.mendeley.com/documents/?uuid=96018546-18da-4102-afcf-dcefe8d7ca7c", "http://www.mendeley.com/documents/?uuid=7ab3f5bd-4170-454b-8471-92f7baa25487" ] }, { "id" : "ITEM-2", "itemData" : { "DOI" : "10.1111/add.13341", "ISSN" : "13600443", "PMID" : "27073140", "abstract" : "Background and Aims One of the challenges of international alcohol research and policy is the variability in and lack of knowledge of how governments in different nations define a standard drink and low-risk drinking. This study gathered such information from governmental agencies in 37 countries. Methods A pool of 75 countries that might have definitions was created using World Health Organization (WHO) information and the authors' own judgement. Structured internet searches of relevant terms for each country were supplemented by efforts to contact government agencies directly and to consult with alcohol experts in the country. Results Most of the 75 national governments examined were not identified as having adopted a standard drink definition. Among the 37 that were so identified, the modal standard drink size was 10 g pure ethanol, but variation was wide (8\u201320 g). Significant variability was also evident for low-risk drinking guidelines, ranging from 10\u201342 g per day for women and 10\u201356 g per day for men to 98\u2013140 g per week for women and 150\u2013280 g per week for men. Conclusions Researchers working and communicating across national boundaries should be sensitive to the substantial variability in \u2018standard\u2019 drink definitions and low-risk drinking guidelines. The potential impact of guidelines, both in general and in specific national cases, remains an important question for public health research.", "author" : [ { "dropping-particle" : "", "family" : "Kalinowski", "given" : "Agnieszka", "non-dropping-particle" : "", "parse-names" : false, "suffix" : "" }, { "dropping-particle" : "", "family" : "Humphreys", "given" : "Keith", "non-dropping-particle" : "", "parse-names" : false, "suffix" : "" } ], "container-title" : "Addiction", "id" : "ITEM-2", "issue" : "7", "issued" : { "date-parts" : [ [ "2016" ] ] }, "page" : "1293-1298", "title" : "Governmental standard drink definitions and low-risk alcohol consumption guidelines in 37 countries", "type" : "article-journal", "volume" : "111" }, "uris" : [ "http://www.mendeley.com/documents/?uuid=d8d74ed3-c793-4155-98f5-caa35d396d40", "http://www.mendeley.com/documents/?uuid=5463b5cd-9af7-4aca-b03d-7ced7bfec260", "http://www.mendeley.com/documents/?uuid=3c2f2b66-ec58-4912-af94-c26ef9d3a302" ] } ], "mendeley" : { "formattedCitation" : "&lt;sup&gt;1,2&lt;/sup&gt;", "plainTextFormattedCitation" : "1,2", "previouslyFormattedCitation" : "&lt;sup&gt;1,2&lt;/sup&gt;" }, "properties" : { "noteIndex" : 0 }, "schema" : "https://github.com/citation-style-language/schema/raw/master/csl-citation.json" }</w:instrText>
      </w:r>
      <w:r w:rsidR="001538DE">
        <w:fldChar w:fldCharType="separate"/>
      </w:r>
      <w:r w:rsidR="001538DE" w:rsidRPr="001538DE">
        <w:rPr>
          <w:noProof/>
          <w:vertAlign w:val="superscript"/>
        </w:rPr>
        <w:t>1,2</w:t>
      </w:r>
      <w:r w:rsidR="001538DE">
        <w:fldChar w:fldCharType="end"/>
      </w:r>
      <w:r w:rsidR="006F1A80">
        <w:t>.</w:t>
      </w:r>
      <w:r w:rsidR="00BB045B">
        <w:t xml:space="preserve"> </w:t>
      </w:r>
    </w:p>
    <w:p w14:paraId="51AB563B" w14:textId="77777777" w:rsidR="00D96511" w:rsidRDefault="00D96511" w:rsidP="00586CB6"/>
    <w:p w14:paraId="525F2884" w14:textId="128BA984" w:rsidR="007E39CE" w:rsidRDefault="00770D8A" w:rsidP="007E39CE">
      <w:pPr>
        <w:spacing w:after="200"/>
      </w:pPr>
      <w:r>
        <w:t>Such</w:t>
      </w:r>
      <w:r w:rsidR="00410AB5">
        <w:t xml:space="preserve"> variation in policy </w:t>
      </w:r>
      <w:r w:rsidR="00FB191A">
        <w:t>may</w:t>
      </w:r>
      <w:r w:rsidR="00410AB5">
        <w:t xml:space="preserve"> reflect</w:t>
      </w:r>
      <w:r w:rsidR="00A02CA6">
        <w:t xml:space="preserve"> uncertainty </w:t>
      </w:r>
      <w:r w:rsidR="001A5AFD">
        <w:t>about drinking</w:t>
      </w:r>
      <w:r w:rsidR="00A30A6B">
        <w:t xml:space="preserve"> </w:t>
      </w:r>
      <w:r w:rsidR="00E66F9A">
        <w:t>risk thresholds associated with the lowest risk of</w:t>
      </w:r>
      <w:r w:rsidR="00D96511">
        <w:t xml:space="preserve"> mortality</w:t>
      </w:r>
      <w:r w:rsidR="00FC0FC0">
        <w:rPr>
          <w:szCs w:val="20"/>
          <w:lang w:val="en-US"/>
        </w:rPr>
        <w:fldChar w:fldCharType="begin" w:fldLock="1"/>
      </w:r>
      <w:r w:rsidR="00E50B13">
        <w:rPr>
          <w:szCs w:val="20"/>
          <w:lang w:val="en-US"/>
        </w:rPr>
        <w:instrText>ADDIN CSL_CITATION { "citationItems" : [ { "id" : "ITEM-1", "itemData" : { "DOI" : "10.1056/NEJM198808043190503", "ISSN" : "0028-4793", "PMID" : "3393181", "abstract" : "In 1980, 87,526 female nurses 34 to 59 years of age completed a dietary questionnaire that assessed their consumption of beer, wine, and liquor. By 1984, during 334,382 person-years of follow-up, we had documented 200 incident cases of severe coronary heart disease (164 nonfatal myocardial infarctions and 36 deaths due to coronary disease), 66 ischemic strokes, and 28 subarachnoid hemorrhages. Follow-up was 98 percent complete. As compared with nondrinkers, women who consumed 5 to 14 g of alcohol per day (three to nine drinks per week) had a relative risk of coronary disease of 0.6 (95 percent confidence interval, 0.4 to 0.9); for 15 to 24 g per day the relative risk was 0.6 (0.3 to 1.1), and for 25 g or more per day it was 0.4 (0.2 to 0.8), after adjustment for risk factors for coronary disease. Alcohol intake was also associated with a decreased risk of ischemic stroke. For 5 to 14 g of alcohol per day the relative risk was 0.3 (0.1 to 0.7), and for 15 g per day or more it was 0.5 (0.2 to 1.1). In contrast, although the number of cases of subarachnoid hemorrhage was small, alcohol intake tended to be associated with an increased risk of this disorder; for 5 to 14 g per day the relative risk was 3.7 (1.0 to 13.8). These prospective data suggest that among middle-aged women, moderate alcohol consumption decreases the risks of coronary heart disease and ischemic stroke but may increase the risk of subarachnoid hemorrhage.", "author" : [ { "dropping-particle" : "", "family" : "Stampfer", "given" : "M J", "non-dropping-particle" : "", "parse-names" : false, "suffix" : "" }, { "dropping-particle" : "", "family" : "Colditz", "given" : "G A", "non-dropping-particle" : "", "parse-names" : false, "suffix" : "" }, { "dropping-particle" : "", "family" : "Willett", "given" : "W C", "non-dropping-particle" : "", "parse-names" : false, "suffix" : "" }, { "dropping-particle" : "", "family" : "Speizer", "given" : "F E", "non-dropping-particle" : "", "parse-names" : false, "suffix" : "" }, { "dropping-particle" : "", "family" : "Hennekens", "given" : "C H", "non-dropping-particle" : "", "parse-names" : false, "suffix" : "" } ], "container-title" : "The New England journal of medicine", "id" : "ITEM-1", "issue" : "5", "issued" : { "date-parts" : [ [ "1988" ] ] }, "page" : "267-273", "title" : "A prospective study of moderate alcohol consumption and the risk of coronary disease and stroke in women.", "type" : "article-journal", "volume" : "319" }, "uris" : [ "http://www.mendeley.com/documents/?uuid=bfeebf29-4109-41a2-be27-a93620b755cb", "http://www.mendeley.com/documents/?uuid=931e4e94-5e94-48e1-a7c9-73478934fa0d" ] }, { "id" : "ITEM-2", "itemData" : { "ISSN" : "1044-3983", "PMID" : "2078609", "abstract" : "We studied whether moderate alcohol drinkers have a lower total and coronary heart disease (CHD) mortality than nondrinkers. Among 276,802 U.S. men aged 40-59 enrolled in 1959 in an American Cancer Society prospective study, 42,756 deaths, 18,771 from CHD, occurred during the following 12 years (3% of the cohort was lost to follow-up). Using nondrinkers (55.3% of the cohort) as a reference category, age- and smoking-stratified relative risks (RR) of total mortality were 0.88 for occasional drinkers, 0.84 for those drinking 1 drink per day, 0.93, 1.02, 1.08, 1.22, and 1.38 for those drinking 2, 3, 4, 5, and 6 or more drinks per day, respectively. RRs of CHD mortality were 0.86, 0.79, 0.80, 0.83, 0.74, 0.85, and 0.92, respectively. Multivariate analysis failed to identify other confounders. No changes in RRs were introduced by excluding subjects with poor health or history of chronic disease at enrollment (32.8% of the cohort) or excluding subjects who died during the first 6 years of follow-up. These data indicate an apparent protective effect of moderate alcohol intake on CHD mortality that cannot be attributed to the inclusion of subjects with CHD or related diseases into the nondrinker category.", "author" : [ { "dropping-particle" : "", "family" : "Boffetta", "given" : "P", "non-dropping-particle" : "", "parse-names" : false, "suffix" : "" }, { "dropping-particle" : "", "family" : "Garfinkel", "given" : "L", "non-dropping-particle" : "", "parse-names" : false, "suffix" : "" } ], "container-title" : "Epidemiology (Cambridge, Mass.)", "id" : "ITEM-2", "issue" : "5", "issued" : { "date-parts" : [ [ "1990" ] ] }, "page" : "342-348", "title" : "Alcohol drinking and mortality among men enrolled in an American Cancer Society prospective study.", "type" : "article-journal", "volume" : "1" }, "uris" : [ "http://www.mendeley.com/documents/?uuid=c8b0c6ce-d91e-4a49-8d6d-0fc9f35dfe0a" ] }, { "id" : "ITEM-3", "itemData" : { "DOI" : "10.1056/NEJM199712113372401", "ISSN" : "0028-4793", "PMID" : "9392695", "abstract" : "Alcohol consumption has both adverse and beneficial effects on survival. We examined the balance of these in a large prospective study of mortality among U.S. adults.", "author" : [ { "dropping-particle" : "", "family" : "Thun", "given" : "Michael J", "non-dropping-particle" : "", "parse-names" : false, "suffix" : "" }, { "dropping-particle" : "", "family" : "Peto", "given" : "Richard", "non-dropping-particle" : "", "parse-names" : false, "suffix" : "" }, { "dropping-particle" : "", "family" : "Lopez", "given" : "Alan D", "non-dropping-particle" : "", "parse-names" : false, "suffix" : "" }, { "dropping-particle" : "", "family" : "Monaco", "given" : "Jane H", "non-dropping-particle" : "", "parse-names" : false, "suffix" : "" }, { "dropping-particle" : "", "family" : "Henley", "given" : "S J", "non-dropping-particle" : "", "parse-names" : false, "suffix" : "" }, { "dropping-particle" : "", "family" : "Heath", "given" : "Clark W", "non-dropping-particle" : "", "parse-names" : false, "suffix" : "" }, { "dropping-particle" : "", "family" : "Doll", "given" : "Richard", "non-dropping-particle" : "", "parse-names" : false, "suffix" : "" } ], "container-title" : "The New England journal of medicine", "id" : "ITEM-3", "issue" : "24", "issued" : { "date-parts" : [ [ "1997" ] ] }, "page" : "1705-14", "title" : "Alcohol consumption and mortality among middle-aged and elderly U.S. adults.", "type" : "article-journal", "volume" : "337" }, "uris" : [ "http://www.mendeley.com/documents/?uuid=b4e119dc-d683-4cbd-b8bd-485ce0ec22ff" ] }, { "id" : "ITEM-4", "itemData" : { "author" : [ { "dropping-particle" : "", "family" : "Mukamal", "given" : "KJ", "non-dropping-particle" : "", "parse-names" : false, "suffix" : "" }, { "dropping-particle" : "", "family" : "Conigrave", "given" : "KM", "non-dropping-particle" : "", "parse-names" : false, "suffix" : "" }, { "dropping-particle" : "", "family" : "Mittleman", "given" : "MA", "non-dropping-particle" : "", "parse-names" : false, "suffix" : "" }, { "dropping-particle" : "", "family" : "Camargo", "given" : "CAJ", "non-dropping-particle" : "", "parse-names" : false, "suffix" : "" }, { "dropping-particle" : "", "family" : "Stampfer", "given" : "MJ", "non-dropping-particle" : "", "parse-names" : false, "suffix" : "" }, { "dropping-particle" : "", "family" : "Willett", "given" : "WC", "non-dropping-particle" : "", "parse-names" : false, "suffix" : "" }, { "dropping-particle" : "", "family" : "Rimm", "given" : "EB", "non-dropping-particle" : "", "parse-names" : false, "suffix" : "" } ], "container-title" : "New England Journal of Medicine", "id" : "ITEM-4", "issue" : "2", "issued" : { "date-parts" : [ [ "2003" ] ] }, "page" : "109-118", "title" : "Roles of drinking pattern and type of alcohol consumed in coronary heart disease in men", "type" : "article-journal", "volume" : "348" }, "uris" : [ "http://www.mendeley.com/documents/?uuid=15ec374c-25ed-4bf2-901d-25b201ae3849" ] }, { "id" : "ITEM-5", "itemData" : { "DOI" : "10.1016/j.ypmed.2003.11.027", "ISSN" : "0091-7435", "PMID" : "15066364", "abstract" : "BACKGROUND: To compare the strength of evidence provided by the epidemiological literature on the association between alcohol consumption and the risk of 14 major alcohol-related neoplasms and non-neoplastic diseases, plus injuries.\n\nMETHODS: A search of the epidemiological literature from 1966 to 1998 was performed by several bibliographic databases. Meta-regression models were fitted considering fixed and random effect models and linear and nonlinear effects of alcohol intake. The effects of some characteristics of the studies, including an index of their quality, were considered.\n\nRESULTS: Of the 561 initially reviewed studies, 156 were selected for meta-analysis because of their a priori defined higher quality, including a total of 116,702 subjects. Strong trends in risk were observed for cancers of the oral cavity, esophagus and larynx, hypertension, liver cirrhosis, chronic pancreatitis, and injuries and violence. Less strong direct relations were observed for cancers of the colon, rectum, liver, and breast. For all these conditions, significant increased risks were also found for ethanol intake of 25 g per day. Threshold values were observed for ischemic and hemorrhagic strokes. For coronary heart disease, a J-shaped relation was observed with a minimum relative risk of 0.80 at 20 g/day, a significant protective effect up to 72 g/day, and a significant increased risk at 89 g/day. No clear relation was observed for gastroduodenal ulcer.\n\nCONCLUSIONS: This meta-analysis shows no evidence of a threshold effect for both neoplasms and several non-neoplastic diseases. J-shaped relations were observed only for coronary heart disease.", "author" : [ { "dropping-particle" : "", "family" : "Corrao", "given" : "Giovanni", "non-dropping-particle" : "", "parse-names" : false, "suffix" : "" }, { "dropping-particle" : "", "family" : "Bagnardi", "given" : "Vincenzo", "non-dropping-particle" : "", "parse-names" : false, "suffix" : "" }, { "dropping-particle" : "", "family" : "Zambon", "given" : "Antonella", "non-dropping-particle" : "", "parse-names" : false, "suffix" : "" }, { "dropping-particle" : "", "family" : "Vecchia", "given" : "Carlo", "non-dropping-particle" : "La", "parse-names" : false, "suffix" : "" } ], "container-title" : "Preventive medicine", "id" : "ITEM-5", "issue" : "5", "issued" : { "date-parts" : [ [ "2004", "5" ] ] }, "page" : "613-9", "title" : "A meta-analysis of alcohol consumption and the risk of 15 diseases.", "type" : "article-journal", "volume" : "38" }, "uris" : [ "http://www.mendeley.com/documents/?uuid=4f9185b7-aedd-4b51-a08a-605147021c1f" ] }, { "id" : "ITEM-6", "itemData" : { "DOI" : "10.1161/CIRCULATIONAHA.109.887513", "ISBN" : "6176321972", "ISSN" : "00097322", "PMID" : "20351238", "abstract" : "BACKGROUND: Light to moderate alcohol consumption is associated with a reduced risk of coronary heart disease. This protective effect of alcohol, however, may be confined to middle-aged or older individuals. Coronary heart disease incidence is low in men &lt;40 years of age and in women &lt;50 years of age; for this reason, study cohorts rarely have the power to investigate the effects of alcohol on coronary heart disease risk in younger adults. This study examined whether the beneficial effect of alcohol on coronary heart disease depends on age.\\n\\nMETHODS AND RESULTS: In this pooled analysis of 8 prospective studies from North America and Europe including 192,067 women and 74,919 men free of cardiovascular diseases, diabetes, and cancers at baseline, average daily alcohol intake was assessed at baseline with a food frequency or diet history questionnaire. An inverse association between alcohol and risk of coronary heart disease was observed in all age groups; hazard ratios among moderately drinking men (5.0 to 29.9 g/d) 39 to 50, 50 to 59, and &gt;or=60 years of age were 0.58 (95% confidence interval [CI], 0.36 to 0.93), 0.72 (95% CI, 0.60 to 0.86), and 0.85 (95% CI, 0.75 to 0.97) compared with abstainers. However, the analyses indicated a smaller incidence rate difference between abstainers and moderate consumers in younger adults (incidence rate difference, 45 per 100,000; 90% CI, 8 to 84) than in middle-aged (incidence rate difference, 64 per 100,000; 90% CI, 24 to 102) and older (incidence rate difference, 89 per 100,000; 90% CI, 44 to 140) adults. Similar results were observed in women.\\n\\nCONCLUSIONS: Alcohol is also associated with a decreased risk of coronary heart disease in younger adults; however, the absolute risk was small compared with middle-aged and older adults.", "author" : [ { "dropping-particle" : "", "family" : "Hvidtfeldt", "given" : "Ulla A.", "non-dropping-particle" : "", "parse-names" : false, "suffix" : "" }, { "dropping-particle" : "", "family" : "Tolstrup", "given" : "Janne S.", "non-dropping-particle" : "", "parse-names" : false, "suffix" : "" }, { "dropping-particle" : "", "family" : "Jakobsen", "given" : "Marianne U.", "non-dropping-particle" : "", "parse-names" : false, "suffix" : "" }, { "dropping-particle" : "", "family" : "Heitmann", "given" : "Berit L.", "non-dropping-particle" : "", "parse-names" : false, "suffix" : "" }, { "dropping-particle" : "", "family" : "Gr\u00f8nb\u00e6k", "given" : "Morten", "non-dropping-particle" : "", "parse-names" : false, "suffix" : "" }, { "dropping-particle" : "", "family" : "O'Reilly", "given" : "Eilis", "non-dropping-particle" : "", "parse-names" : false, "suffix" : "" }, { "dropping-particle" : "", "family" : "B\u00e4lter", "given" : "Katarina", "non-dropping-particle" : "", "parse-names" : false, "suffix" : "" }, { "dropping-particle" : "", "family" : "Goldbourt", "given" : "Uri", "non-dropping-particle" : "", "parse-names" : false, "suffix" : "" }, { "dropping-particle" : "", "family" : "Hallmans", "given" : "G\u00f6ran", "non-dropping-particle" : "", "parse-names" : false, "suffix" : "" }, { "dropping-particle" : "", "family" : "Knekt", "given" : "Paul", "non-dropping-particle" : "", "parse-names" : false, "suffix" : "" }, { "dropping-particle" : "", "family" : "Liu", "given" : "Simin", "non-dropping-particle" : "", "parse-names" : false, "suffix" : "" }, { "dropping-particle" : "", "family" : "Pereira", "given" : "Mark", "non-dropping-particle" : "", "parse-names" : false, "suffix" : "" }, { "dropping-particle" : "", "family" : "Pietinen", "given" : "Pirjo", "non-dropping-particle" : "", "parse-names" : false, "suffix" : "" }, { "dropping-particle" : "", "family" : "Spiegelman", "given" : "Donna", "non-dropping-particle" : "", "parse-names" : false, "suffix" : "" }, { "dropping-particle" : "", "family" : "Stevens", "given" : "June", "non-dropping-particle" : "", "parse-names" : false, "suffix" : "" }, { "dropping-particle" : "", "family" : "Virtamo", "given" : "Jarmo", "non-dropping-particle" : "", "parse-names" : false, "suffix" : "" }, { "dropping-particle" : "", "family" : "Willett", "given" : "Walter C.", "non-dropping-particle" : "", "parse-names" : false, "suffix" : "" }, { "dropping-particle" : "", "family" : "Rimm", "given" : "Eric B.", "non-dropping-particle" : "", "parse-names" : false, "suffix" : "" }, { "dropping-particle" : "", "family" : "Ascherio", "given" : "Alberto", "non-dropping-particle" : "", "parse-names" : false, "suffix" : "" } ], "container-title" : "Circulation", "id" : "ITEM-6", "issue" : "14", "issued" : { "date-parts" : [ [ "2010" ] ] }, "page" : "1589-1597", "title" : "Alcohol intake and risk of coronary heart disease in younger, middle-aged, and older adults", "type" : "article-journal", "volume" : "121" }, "uris" : [ "http://www.mendeley.com/documents/?uuid=1801dc10-0b24-4ef8-a7c7-2aa149bb478a" ] }, { "id" : "ITEM-7", "itemData" : { "DOI" : "10.1186/1471-2458-10-258", "ISSN" : "1471-2458", "PMID" : "20482788", "abstract" : "Observational studies have suggested a complex relationship between alcohol consumption and stroke, dependent on sex, type of stroke and outcome (morbidity vs. mortality). We undertook a systematic review and a meta-analysis of studies assessing the association between levels of average alcohol consumption and relative risks of ischemic and hemorrhagic strokes separately by sex and outcome. This meta-analysis is the first to explicitly separate morbidity and mortality of alcohol-attributable stroke and thus has implications for public health and prevention.", "author" : [ { "dropping-particle" : "", "family" : "Patra", "given" : "Jayadeep", "non-dropping-particle" : "", "parse-names" : false, "suffix" : "" }, { "dropping-particle" : "", "family" : "Taylor", "given" : "Benjamin", "non-dropping-particle" : "", "parse-names" : false, "suffix" : "" }, { "dropping-particle" : "", "family" : "Irving", "given" : "Hyacinth", "non-dropping-particle" : "", "parse-names" : false, "suffix" : "" }, { "dropping-particle" : "", "family" : "Roerecke", "given" : "Michael", "non-dropping-particle" : "", "parse-names" : false, "suffix" : "" }, { "dropping-particle" : "", "family" : "Baliunas", "given" : "Dolly", "non-dropping-particle" : "", "parse-names" : false, "suffix" : "" }, { "dropping-particle" : "", "family" : "Mohapatra", "given" : "Satya", "non-dropping-particle" : "", "parse-names" : false, "suffix" : "" }, { "dropping-particle" : "", "family" : "Rehm", "given" : "J\u00fcrgen", "non-dropping-particle" : "", "parse-names" : false, "suffix" : "" } ], "container-title" : "BMC public health", "id" : "ITEM-7", "issued" : { "date-parts" : [ [ "2010" ] ] }, "page" : "258", "title" : "Alcohol consumption and the risk of morbidity and mortality for different stroke types--a systematic review and meta-analysis.", "type" : "article-journal", "volume" : "10" }, "uris" : [ "http://www.mendeley.com/documents/?uuid=86bf1dae-a5fd-4806-822f-aa38a3cd9e8f" ] }, { "id" : "ITEM-8", "itemData" : { "DOI" : "10.1136/bmj.d671", "ISSN" : "1756-1833", "PMID" : "21343207", "abstract" : "OBJECTIVE: To conduct a comprehensive systematic review and meta-analysis of studies assessing the effect of alcohol consumption on multiple cardiovascular outcomes.\n\nDESIGN: Systematic review and meta-analysis.\n\nDATA SOURCES: A search of Medline (1950 through September 2009) and Embase (1980 through September 2009) supplemented by manual searches of bibliographies and conference proceedings. Inclusion criteria Prospective cohort studies on the association between alcohol consumption and overall mortality from cardiovascular disease, incidence of and mortality from coronary heart disease, and incidence of and mortality from stroke. Studies reviewed Of 4235 studies reviewed for eligibility, quality, and data extraction, 84 were included in the final analysis.\n\nRESULTS: The pooled adjusted relative risks for alcohol drinkers relative to non-drinkers in random effects models for the outcomes of interest were 0.75 (95% confidence interval 0.70 to 0.80) for cardiovascular disease mortality (21 studies), 0.71 (0.66 to 0.77) for incident coronary heart disease (29 studies), 0.75 (0.68 to 0.81) for coronary heart disease mortality (31 studies), 0.98 (0.91 to 1.06) for incident stroke (17 studies), and 1.06 (0.91 to 1.23) for stroke mortality (10 studies). Dose-response analysis revealed that the lowest risk of coronary heart disease mortality occurred with 1-2 drinks a day, but for stroke mortality it occurred with \u22641 drink per day. Secondary analysis of mortality from all causes showed lower risk for drinkers compared with non-drinkers (relative risk 0.87 (0.83 to 0.92)).\n\nCONCLUSIONS: Light to moderate alcohol consumption is associated with a reduced risk of multiple cardiovascular outcomes.", "author" : [ { "dropping-particle" : "", "family" : "Ronksley", "given" : "Paul E", "non-dropping-particle" : "", "parse-names" : false, "suffix" : "" }, { "dropping-particle" : "", "family" : "Brien", "given" : "Susan E", "non-dropping-particle" : "", "parse-names" : false, "suffix" : "" }, { "dropping-particle" : "", "family" : "Turner", "given" : "Barbara J", "non-dropping-particle" : "", "parse-names" : false, "suffix" : "" }, { "dropping-particle" : "", "family" : "Mukamal", "given" : "Kenneth J", "non-dropping-particle" : "", "parse-names" : false, "suffix" : "" }, { "dropping-particle" : "", "family" : "Ghali", "given" : "William a", "non-dropping-particle" : "", "parse-names" : false, "suffix" : "" } ], "container-title" : "BMJ (Clinical research ed.)", "id" : "ITEM-8", "issued" : { "date-parts" : [ [ "2011", "1" ] ] }, "page" : "d671", "title" : "Association of alcohol consumption with selected cardiovascular disease outcomes: a systematic review and meta-analysis.", "type" : "article-journal", "volume" : "342" }, "uris" : [ "http://www.mendeley.com/documents/?uuid=0729d646-7441-4c4f-b380-49b4da0237dd" ] }, { "id" : "ITEM-9", "itemData" : { "DOI" : "10.1111/j.1360-0443.2012.03780.x", "ISBN" : "1360-0443", "ISSN" : "1360-0443", "PMID" : "22229788", "abstract" : "AIMS: \u2003 Most, but not all, epidemiological studies suggest a cardioprotective association for low to moderate average alcohol consumption. The objective was to quantify the dose-response relationship between average alcohol consumption and ischaemic heart disease (IHD) stratified by sex and IHD end-point (mortality versus morbidity).\\n\\nMETHODS: \u2003 A systematic search of published studies using electronic databases (1980-2010) identified 44 observational studies (case-control or cohort) reporting a relative risk measure for average alcohol intake in relation to IHD risk. Generalized least-squares trend models were used to derive the best-fitting dose-response curves in stratified continuous meta-analyses. Categorical meta-analyses were used to verify uncertainty for low to moderate levels of consumption in comparison to long-term abstainers.\\n\\nRESULTS: \u2003 The analyses used 38,627 IHD events (mortality or morbidity) among 957,684 participants. Differential risk curves were found by sex and end-point. Although some form of a cardioprotective association was confirmed in all strata, substantial heterogeneity across studies remained unexplained and confidence intervals were relatively wide, in particular for average consumption of one to two drinks/day.\\n\\nCONCLUSIONS: \u2003 A cardioprotective association between alcohol use and ischaemic heart disease cannot be assumed for all drinkers, even at low levels of intake. More evidence on the overall benefit-risk ratio of average alcohol consumption in relation to ischaemic heart disease and other diseases is needed in order to inform the general public or physicians about safe or low-risk drinking levels.", "author" : [ { "dropping-particle" : "", "family" : "Roerecke", "given" : "Michael", "non-dropping-particle" : "", "parse-names" : false, "suffix" : "" }, { "dropping-particle" : "", "family" : "Rehm", "given" : "J\u00fcrgen", "non-dropping-particle" : "", "parse-names" : false, "suffix" : "" } ], "container-title" : "Addiction (Abingdon, England)", "id" : "ITEM-9", "issued" : { "date-parts" : [ [ "2012" ] ] }, "page" : "1246-60", "title" : "The cardioprotective association of average alcohol consumption and ischaemic heart disease: a systematic review and meta-analysis.", "type" : "article-journal", "volume" : "107" }, "uris" : [ "http://www.mendeley.com/documents/?uuid=7ad36987-8cf6-49c3-8b3e-6b13cdd8a3e1" ] }, { "id" : "ITEM-10", "itemData" : { "DOI" : "10.1093/ije/dyt154", "ISSN" : "03005771", "PMID" : "24415611", "abstract" : "BACKGROUND: There is limited evidence for an association between the pattern of lifetime alcohol use and cause-specific risk of death.\\n\\nMETHODS: Multivariable hazard ratios were estimated for different causes of death according to patterns of lifetime alcohol consumption using a competing risks approach: 111 953 men and 268 442 women from eight countries participating in the European Prospective Investigation into Cancer and Nutrition (EPIC) study were included. Self-reported alcohol consumption at ages 20, 30, 40 or 50 years and at enrollment were used for the analysis; 26 411 deaths were observed during an average of 12.6 years of follow-up.\\n\\nRESULTS: The association between lifetime alcohol use and death from cardiovascular diseases was different from the association seen for alcohol-related cancers, digestive, respiratory, external and other causes. Heavy users (&gt;5 drinks/day for men and &gt;2.5 drinks/day for women), regardless of time of cessation, had a 2- to 5-times higher risk of dying due to alcohol-related cancers, compared with subjects with lifetime light use (\u22641 and \u22640.5 drink/week for men and women, respectively). Compared with lifetime light users, men who used &lt;5 drinks/day throughout their lifetime had a 24% lower cardiovascular disease mortality (95% confidence interval 2-41). The risk of death from coronary heart disease was also found to be 34-46% lower among women who were moderate to occasionally heavy alcohol users compared with light users. However, this relationship was only evident among men and women who had no chronic disease at enrollment.\\n\\nCONCLUSIONS: Limiting alcohol use throughout life is associated with a lower risk of death, largely due to cardiovascular disease but also other causes. However, the potential health benefits of alcohol use are difficult to establish due to the possibility of selection bias and competing risks related to diseases occurring later in life.", "author" : [ { "dropping-particle" : "", "family" : "Bergmann", "given" : "Manuela M.", "non-dropping-particle" : "", "parse-names" : false, "suffix" : "" }, { "dropping-particle" : "", "family" : "Rehm", "given" : "J\u00fcrgen", "non-dropping-particle" : "", "parse-names" : false, "suffix" : "" }, { "dropping-particle" : "", "family" : "Klipstein-Grobusch", "given" : "Kerstin", "non-dropping-particle" : "", "parse-names" : false, "suffix" : "" }, { "dropping-particle" : "", "family" : "Boeing", "given" : "Heiner", "non-dropping-particle" : "", "parse-names" : false, "suffix" : "" }, { "dropping-particle" : "", "family" : "Sch\u00fctze", "given" : "Madlen", "non-dropping-particle" : "", "parse-names" : false, "suffix" : "" }, { "dropping-particle" : "", "family" : "Drogan", "given" : "Dagmar", "non-dropping-particle" : "", "parse-names" : false, "suffix" : "" }, { "dropping-particle" : "", "family" : "Overvad", "given" : "Kim", "non-dropping-particle" : "", "parse-names" : false, "suffix" : "" }, { "dropping-particle" : "", "family" : "Tj\u00f8nneland", "given" : "Anne", "non-dropping-particle" : "", "parse-names" : false, "suffix" : "" }, { "dropping-particle" : "", "family" : "Halkj\u00e6r", "given" : "Jytte", "non-dropping-particle" : "", "parse-names" : false, "suffix" : "" }, { "dropping-particle" : "", "family" : "Fagherazzi", "given" : "Guy", "non-dropping-particle" : "", "parse-names" : false, "suffix" : "" }, { "dropping-particle" : "", "family" : "Boutron-Ruault", "given" : "Marie Christine", "non-dropping-particle" : "", "parse-names" : false, "suffix" : "" }, { "dropping-particle" : "", "family" : "Clavel-Chapelon", "given" : "Fran\u00e7oise", "non-dropping-particle" : "", "parse-names" : false, "suffix" : "" }, { "dropping-particle" : "", "family" : "Teucher", "given" : "Birgit", "non-dropping-particle" : "", "parse-names" : false, "suffix" : "" }, { "dropping-particle" : "", "family" : "Kaaks", "given" : "Rudolph", "non-dropping-particle" : "", "parse-names" : false, "suffix" : "" }, { "dropping-particle" : "", "family" : "Trichopoulou", "given" : "Antonia", "non-dropping-particle" : "", "parse-names" : false, "suffix" : "" }, { "dropping-particle" : "", "family" : "Benetou", "given" : "Vassiliki", "non-dropping-particle" : "", "parse-names" : false, "suffix" : "" }, { "dropping-particle" : "", "family" : "Trichopoulos", "given" : "Dimitrios", "non-dropping-particle" : "", "parse-names" : false, "suffix" : "" }, { "dropping-particle" : "", "family" : "Palli", "given" : "Domenico", "non-dropping-particle" : "", "parse-names" : false, "suffix" : "" }, { "dropping-particle" : "", "family" : "Pala", "given" : "Valeria", "non-dropping-particle" : "", "parse-names" : false, "suffix" : "" }, { "dropping-particle" : "", "family" : "Tumino", "given" : "Rosario", "non-dropping-particle" : "", "parse-names" : false, "suffix" : "" }, { "dropping-particle" : "", "family" : "Vineis", "given" : "Paolo", "non-dropping-particle" : "", "parse-names" : false, "suffix" : "" }, { "dropping-particle" : "", "family" : "Beulens", "given" : "Joline W J", "non-dropping-particle" : "", "parse-names" : false, "suffix" : "" }, { "dropping-particle" : "", "family" : "Redondo", "given" : "Maria Luisa", "non-dropping-particle" : "", "parse-names" : false, "suffix" : "" }, { "dropping-particle" : "", "family" : "Duell", "given" : "Eric J.", "non-dropping-particle" : "", "parse-names" : false, "suffix" : "" }, { "dropping-particle" : "", "family" : "Molina-Montes", "given" : "Esther", "non-dropping-particle" : "", "parse-names" : false, "suffix" : "" }, { "dropping-particle" : "", "family" : "Navarro", "given" : "Carmen", "non-dropping-particle" : "", "parse-names" : false, "suffix" : "" }, { "dropping-particle" : "", "family" : "Barricarte", "given" : "Aurelio", "non-dropping-particle" : "", "parse-names" : false, "suffix" : "" }, { "dropping-particle" : "", "family" : "Arriola", "given" : "Larraitz", "non-dropping-particle" : "", "parse-names" : false, "suffix" : "" }, { "dropping-particle" : "", "family" : "Allen", "given" : "Naomi E.", "non-dropping-particle" : "", "parse-names" : false, "suffix" : "" }, { "dropping-particle" : "", "family" : "Crowe", "given" : "Francesca L.", "non-dropping-particle" : "", "parse-names" : false, "suffix" : "" }, { "dropping-particle" : "", "family" : "Khaw", "given" : "Kay Tee", "non-dropping-particle" : "", "parse-names" : false, "suffix" : "" }, { "dropping-particle" : "", "family" : "Wareham", "given" : "Nick", "non-dropping-particle" : "", "parse-names" : false, "suffix" : "" }, { "dropping-particle" : "", "family" : "Romaguera", "given" : "Dora", "non-dropping-particle" : "", "parse-names" : false, "suffix" : "" }, { "dropping-particle" : "", "family" : "Wark", "given" : "Petra A.", "non-dropping-particle" : "", "parse-names" : false, "suffix" : "" }, { "dropping-particle" : "", "family" : "Romieu", "given" : "Isabelle", "non-dropping-particle" : "", "parse-names" : false, "suffix" : "" }, { "dropping-particle" : "", "family" : "Nunes", "given" : "Luciana", "non-dropping-particle" : "", "parse-names" : false, "suffix" : "" }, { "dropping-particle" : "", "family" : "Riboli", "given" : "Elio", "non-dropping-particle" : "", "parse-names" : false, "suffix" : "" }, { "dropping-particle" : "", "family" : "Ferrari", "given" : "Pietro", "non-dropping-particle" : "", "parse-names" : false, "suffix" : "" } ], "container-title" : "International Journal of Epidemiology", "id" : "ITEM-10", "issue" : "6", "issued" : { "date-parts" : [ [ "2013" ] ] }, "page" : "1772-1790", "title" : "The association of pattern of lifetime alcohol use and cause of death in the European Prospective Investigation into Cancer and Nutrition (EPIC) study", "type" : "article-journal", "volume" : "42" }, "uris" : [ "http://www.mendeley.com/documents/?uuid=e6eff822-4330-4023-81bf-d02295cbe2d6" ] }, { "id" : "ITEM-11", "itemData" : { "DOI" : "10.1161/CIRCULATIONAHA.113.007627", "ISSN" : "1524-4539", "PMID" : "24928682", "abstract" : "BACKGROUND: Although moderate alcohol use is associated with protection against myocardial infarction (MI), it is not known whether this effect is generalizable to populations worldwide. It is also uncertain whether differences in the pattern of alcohol use (and in particular heavy episodic consumption) between different regions negate any beneficial effect. METHODS AND RESULTS: We included 12 195 cases of first MI and 15 583 age- and sex-matched controls from 52 countries. Current alcohol use was associated with a reduced risk of MI (compared with nonusers: adjusted odds ratio, 0.87; 95% confidence interval, 0.80-0.94; P=0.001); however, the strength of this association was not uniform across different regions (region-alcohol interaction P&lt;0.001). Heavy episodic drinking (\u22656 drinks) within the preceding 24 hours was associated with an increased risk of MI (odds ratio, 1.4; 95% confidence interval, 1.1-1.9; P=0.01). This risk was particularly elevated in older individuals (for age &gt;65 years: odds ratio, 5.3; 95% confidence interval, 1.6-18; P=0.008). CONCLUSIONS: In most participants, low levels of alcohol use are associated with a moderate reduction in the risk of MI; however, the strength of this association may not be uniform across different countries. An episode of heavy drinking is associated with an increased risk of acute MI in the subsequent 24 hours, particularly in older individuals.", "author" : [ { "dropping-particle" : "", "family" : "Leong", "given" : "Darryl P", "non-dropping-particle" : "", "parse-names" : false, "suffix" : "" }, { "dropping-particle" : "", "family" : "Smyth", "given" : "Andrew", "non-dropping-particle" : "", "parse-names" : false, "suffix" : "" }, { "dropping-particle" : "", "family" : "Teo", "given" : "Koon K", "non-dropping-particle" : "", "parse-names" : false, "suffix" : "" }, { "dropping-particle" : "", "family" : "McKee", "given" : "Martin", "non-dropping-particle" : "", "parse-names" : false, "suffix" : "" }, { "dropping-particle" : "", "family" : "Rangarajan", "given" : "Sumathy", "non-dropping-particle" : "", "parse-names" : false, "suffix" : "" }, { "dropping-particle" : "", "family" : "Pais", "given" : "Prem", "non-dropping-particle" : "", "parse-names" : false, "suffix" : "" }, { "dropping-particle" : "", "family" : "Liu", "given" : "Lisheng", "non-dropping-particle" : "", "parse-names" : false, "suffix" : "" }, { "dropping-particle" : "", "family" : "Anand", "given" : "Sonia S", "non-dropping-particle" : "", "parse-names" : false, "suffix" : "" }, { "dropping-particle" : "", "family" : "Yusuf", "given" : "Salim", "non-dropping-particle" : "", "parse-names" : false, "suffix" : "" } ], "container-title" : "Circulation", "id" : "ITEM-11", "issue" : "5", "issued" : { "date-parts" : [ [ "2014", "7", "29" ] ] }, "page" : "390-8", "title" : "Patterns of alcohol consumption and myocardial infarction risk: observations from 52 countries in the INTERHEART case-control study.", "type" : "article-journal", "volume" : "130" }, "uris" : [ "http://www.mendeley.com/documents/?uuid=27a6a382-1e73-4f98-9862-d08fb07294f8" ] }, { "id" : "ITEM-12", "itemData" : { "DOI" : "10.1136/bmjopen-2014-005245", "ISSN" : "2044-6055", "PMID" : "24993766", "abstract" : "OBJECTIVES: To investigate the role of factors that modulate the association between alcohol and mortality, and to provide estimates of absolute risk of death.\n\nDESIGN: The European Prospective Investigation into Cancer and nutrition (EPIC).\n\nSETTING: 23 centres in 10 countries.\n\nPARTICIPANTS: 380\u2005395 men and women, free of cancer, diabetes, heart attack or stroke at enrolment, followed up for 12.6\u2005years on average.\n\nMAIN OUTCOME MEASURES: 20\u2005453 fatal events, of which 2053 alcohol-related cancers (ARC, including cancers of upper aerodigestive tract, liver, colorectal and female breast), 4187 cardiovascular diseases/coronary heart disease (CVD/CHD), 856 violent deaths and injuries. Lifetime alcohol use was assessed at recruitment.\n\nRESULTS: HRs comparing extreme drinkers (\u226530\u2005g/day in women and \u226560\u2005g/day in men) to moderate drinkers (0.1-4.9\u2005g/day) were 1.27 (95% CI 1.13 to 1.43) in women and 1.53 (1.39 to 1.68) in men. Strong associations were observed for ARC mortality, in men particularly, and for violent deaths and injuries, in men only. No associations were observed for CVD/CHD mortality among drinkers, whereby HRs were higher in never compared to moderate drinkers. Overall mortality seemed to be more strongly related to beer than wine use, particularly in men. The 10-year risks of overall death for women aged 60\u2005years, drinking more than 30\u2005g/day was 5% and 7%, for never and current smokers, respectively. Corresponding figures\u00a0in men consuming more than 60\u2005g/day were 11% and 18%, in never and current smokers, respectively. In competing risks analyses, mortality due to CVD/CHD was more pronounced than ARC in men, while CVD/CHD and ARC mortality were of similar magnitude in women.\n\nCONCLUSIONS: In this large European cohort, alcohol use was positively associated with overall mortality, ARC and violent death and injuries, but marginally to CVD/CHD. Absolute risks of death observed in EPIC suggest that alcohol is an important determinant of total mortality.", "author" : [ { "dropping-particle" : "", "family" : "Ferrari", "given" : "Pietro", "non-dropping-particle" : "", "parse-names" : false, "suffix" : "" }, { "dropping-particle" : "", "family" : "Licaj", "given" : "Idlir", "non-dropping-particle" : "", "parse-names" : false, "suffix" : "" }, { "dropping-particle" : "", "family" : "Muller", "given" : "David C", "non-dropping-particle" : "", "parse-names" : false, "suffix" : "" }, { "dropping-particle" : "", "family" : "Kragh Andersen", "given" : "Per", "non-dropping-particle" : "", "parse-names" : false, "suffix" : "" }, { "dropping-particle" : "", "family" : "Johansson", "given" : "Mattias", "non-dropping-particle" : "", "parse-names" : false, "suffix" : "" }, { "dropping-particle" : "", "family" : "Boeing", "given" : "Heiner", "non-dropping-particle" : "", "parse-names" : false, "suffix" : "" }, { "dropping-particle" : "", "family" : "Weiderpass", "given" : "Elisabete", "non-dropping-particle" : "", "parse-names" : false, "suffix" : "" }, { "dropping-particle" : "", "family" : "Dossus", "given" : "Laure", "non-dropping-particle" : "", "parse-names" : false, "suffix" : "" }, { "dropping-particle" : "", "family" : "Dartois", "given" : "Laureen", "non-dropping-particle" : "", "parse-names" : false, "suffix" : "" }, { "dropping-particle" : "", "family" : "Fagherazzi", "given" : "Guy", "non-dropping-particle" : "", "parse-names" : false, "suffix" : "" }, { "dropping-particle" : "", "family" : "Bradbury", "given" : "Kathryn E", "non-dropping-particle" : "", "parse-names" : false, "suffix" : "" }, { "dropping-particle" : "", "family" : "Khaw", "given" : "Kay-Tee", "non-dropping-particle" : "", "parse-names" : false, "suffix" : "" }, { "dropping-particle" : "", "family" : "Wareham", "given" : "Nick", "non-dropping-particle" : "", "parse-names" : false, "suffix" : "" }, { "dropping-particle" : "", "family" : "Duell", "given" : "Eric J", "non-dropping-particle" : "", "parse-names" : false, "suffix" : "" }, { "dropping-particle" : "", "family" : "Barricarte", "given" : "Aurelio", "non-dropping-particle" : "", "parse-names" : false, "suffix" : "" }, { "dropping-particle" : "", "family" : "Molina-Montes", "given" : "Esther", "non-dropping-particle" : "", "parse-names" : false, "suffix" : "" }, { "dropping-particle" : "", "family" : "Sanchez", "given" : "Carmen Navarro", "non-dropping-particle" : "", "parse-names" : false, "suffix" : "" }, { "dropping-particle" : "", "family" : "Arriola", "given" : "Larraitz", "non-dropping-particle" : "", "parse-names" : false, "suffix" : "" }, { "dropping-particle" : "", "family" : "Wallstr\u00f6m", "given" : "Peter", "non-dropping-particle" : "", "parse-names" : false, "suffix" : "" }, { "dropping-particle" : "", "family" : "Tj\u00f8nneland", "given" : "Anne", "non-dropping-particle" : "", "parse-names" : false, "suffix" : "" }, { "dropping-particle" : "", "family" : "Olsen", "given" : "Anja", "non-dropping-particle" : "", "parse-names" : false, "suffix" : "" }, { "dropping-particle" : "", "family" : "Trichopoulou", "given" : "Antonia", "non-dropping-particle" : "", "parse-names" : false, "suffix" : "" }, { "dropping-particle" : "", "family" : "Benetou", "given" : "Vasiliki", "non-dropping-particle" : "", "parse-names" : false, "suffix" : "" }, { "dropping-particle" : "", "family" : "Trichopoulos", "given" : "Dimitrios", "non-dropping-particle" : "", "parse-names" : false, "suffix" : "" }, { "dropping-particle" : "", "family" : "Tumino", "given" : "Rosario", "non-dropping-particle" : "", "parse-names" : false, "suffix" : "" }, { "dropping-particle" : "", "family" : "Agnoli", "given" : "Claudia", "non-dropping-particle" : "", "parse-names" : false, "suffix" : "" }, { "dropping-particle" : "", "family" : "Sacerdote", "given" : "Carlotta", "non-dropping-particle" : "", "parse-names" : false, "suffix" : "" }, { "dropping-particle" : "", "family" : "Palli", "given" : "Domenico", "non-dropping-particle" : "", "parse-names" : false, "suffix" : "" }, { "dropping-particle" : "", "family" : "Li", "given" : "Kuanrong", "non-dropping-particle" : "", "parse-names" : false, "suffix" : "" }, { "dropping-particle" : "", "family" : "Kaaks", "given" : "Rudolf", "non-dropping-particle" : "", "parse-names" : false, "suffix" : "" }, { "dropping-particle" : "", "family" : "Peeters", "given" : "Petra", "non-dropping-particle" : "", "parse-names" : false, "suffix" : "" }, { "dropping-particle" : "", "family" : "Beulens", "given" : "Joline Wj", "non-dropping-particle" : "", "parse-names" : false, "suffix" : "" }, { "dropping-particle" : "", "family" : "Nunes", "given" : "Luciana", "non-dropping-particle" : "", "parse-names" : false, "suffix" : "" }, { "dropping-particle" : "", "family" : "Gunter", "given" : "Marc", "non-dropping-particle" : "", "parse-names" : false, "suffix" : "" }, { "dropping-particle" : "", "family" : "Norat", "given" : "Teresa", "non-dropping-particle" : "", "parse-names" : false, "suffix" : "" }, { "dropping-particle" : "", "family" : "Overvad", "given" : "Kim", "non-dropping-particle" : "", "parse-names" : false, "suffix" : "" }, { "dropping-particle" : "", "family" : "Brennan", "given" : "Paul", "non-dropping-particle" : "", "parse-names" : false, "suffix" : "" }, { "dropping-particle" : "", "family" : "Riboli", "given" : "Elio", "non-dropping-particle" : "", "parse-names" : false, "suffix" : "" }, { "dropping-particle" : "", "family" : "Romieu", "given" : "Isabelle", "non-dropping-particle" : "", "parse-names" : false, "suffix" : "" } ], "container-title" : "BMJ open", "id" : "ITEM-12", "issue" : "7", "issued" : { "date-parts" : [ [ "2014", "1" ] ] }, "page" : "e005245", "title" : "Lifetime alcohol use and overall and cause-specific mortality in the European Prospective Investigation into Cancer and nutrition (EPIC) study.", "type" : "article-journal", "volume" : "4" }, "uris" : [ "http://www.mendeley.com/documents/?uuid=ed6f1947-e7fd-41aa-b2d1-0a008a6b85b2" ] }, { "id" : "ITEM-13", "itemData" : { "DOI" : "10.1016/j.jacc.2017.06.054", "ISSN" : "15583597", "abstract" : "Background Previous studies have revealed inconsistent findings regarding the association of light to moderate alcohol consumption with cardiovascular disease (CVD) and cancer mortality. Objectives The aim of this study was to examine the association between alcohol consumption and risk of mortality from all causes, cancer, and CVD in U.S. adults. Methods Data were obtained by linking 13 waves of the National Health Interview Surveys (1997 to 2009) to the National Death Index records through December 31, 2011. A total of 333,247 participants \u226518 years of age were included. Self-reported alcohol consumption patterns were categorized into 6 groups: lifetime abstainers; lifetime infrequent drinkers; former drinkers; and current light, moderate, or heavy drinkers. Secondary exposure included participants\u2019 binge-drinking status. The main outcome was all-cause, cancer, or CVD mortality. Results After a median follow-up of 8.2 years (2.7 million person-years), 34,754 participants died of all causes (including 8,947 CVD deaths and 8,427 cancer deaths). Compared with lifetime abstainers, those who were light or moderate alcohol consumers were at a reduced risk of mortality for all causes (light\u2014hazard ratio [HR]: 0.79; 95% confidence interval [CI]: 0.76 to 0.82; moderate\u2014HR: 0.78; 95% CI: 0.74 to 0.82) and CVD (light\u2014HR: 0.74; 95% CI: 0.69 to 0.80; moderate\u2014HR: 0.71; 95% CI: 0.64 to 0.78), respectively. In contrast, there was a significantly increased risk of mortality for all causes (HR: 1.11; 95% CI: 1.04 to 1.19) and cancer (HR: 1.27; 95% CI: 1.13 to 1.42) in adults with heavy alcohol consumption. Binge drinking \u22651 d/week was also associated with an increased risk of mortality for all causes (HR: 1.13; 95% CI: 1.04 to 1.23) and cancer (HR: 1.22; 95% CI: 1.05 to 1.41). Conclusions Light and moderate alcohol intake might have a protective effect on all-cause and CVD-specific mortality in U.S. adults. Heavy or binge drinking was associated with increased risk of all-cause and cancer-specific mortality.", "author" : [ { "dropping-particle" : "", "family" : "Xi", "given" : "Bo", "non-dropping-particle" : "", "parse-names" : false, "suffix" : "" }, { "dropping-particle" : "", "family" : "Veeranki", "given" : "Sreenivas P.", "non-dropping-particle" : "", "parse-names" : false, "suffix" : "" }, { "dropping-particle" : "", "family" : "Zhao", "given" : "Min", "non-dropping-particle" : "", "parse-names" : false, "suffix" : "" }, { "dropping-particle" : "", "family" : "Ma", "given" : "Chuanwei", "non-dropping-particle" : "", "parse-names" : false, "suffix" : "" }, { "dropping-particle" : "", "family" : "Yan", "given" : "Yinkun", "non-dropping-particle" : "", "parse-names" : false, "suffix" : "" }, { "dropping-particle" : "", "family" : "Mi", "given" : "Jie", "non-dropping-particle" : "", "parse-names" : false, "suffix" : "" } ], "container-title" : "Journal of the American College of Cardiology", "id" : "ITEM-13", "issue" : "8", "issued" : { "date-parts" : [ [ "2017" ] ] }, "page" : "913-922", "title" : "Relationship of Alcohol Consumption to All-Cause, Cardiovascular, and Cancer-Related Mortality in U.S. Adults", "type" : "article-journal", "volume" : "70" }, "uris" : [ "http://www.mendeley.com/documents/?uuid=46fc999d-db64-4f00-88dd-ea35a3e1c9b7", "http://www.mendeley.com/documents/?uuid=26e7932f-f087-4d88-8ef3-7bfb572baf20" ] } ], "mendeley" : { "formattedCitation" : "&lt;sup&gt;3\u201315&lt;/sup&gt;", "plainTextFormattedCitation" : "3\u201315", "previouslyFormattedCitation" : "&lt;sup&gt;3\u201315&lt;/sup&gt;" }, "properties" : { "noteIndex" : 0 }, "schema" : "https://github.com/citation-style-language/schema/raw/master/csl-citation.json" }</w:instrText>
      </w:r>
      <w:r w:rsidR="00FC0FC0">
        <w:rPr>
          <w:szCs w:val="20"/>
          <w:lang w:val="en-US"/>
        </w:rPr>
        <w:fldChar w:fldCharType="separate"/>
      </w:r>
      <w:r w:rsidR="00A43025" w:rsidRPr="00A43025">
        <w:rPr>
          <w:noProof/>
          <w:szCs w:val="20"/>
          <w:vertAlign w:val="superscript"/>
          <w:lang w:val="en-US"/>
        </w:rPr>
        <w:t>3–15</w:t>
      </w:r>
      <w:r w:rsidR="00FC0FC0">
        <w:rPr>
          <w:szCs w:val="20"/>
          <w:lang w:val="en-US"/>
        </w:rPr>
        <w:fldChar w:fldCharType="end"/>
      </w:r>
      <w:r w:rsidR="00570BDA">
        <w:rPr>
          <w:szCs w:val="20"/>
          <w:lang w:val="en-US"/>
        </w:rPr>
        <w:t>, as well as</w:t>
      </w:r>
      <w:r w:rsidR="00D96511">
        <w:t xml:space="preserve"> uncertainty about </w:t>
      </w:r>
      <w:r w:rsidR="00FB191A">
        <w:t>specific</w:t>
      </w:r>
      <w:r w:rsidR="00D96511">
        <w:t xml:space="preserve"> consequences of alcohol consumption, including those related to cardiovascular disease (CVD) subtypes. </w:t>
      </w:r>
      <w:r w:rsidR="00126CC0">
        <w:rPr>
          <w:szCs w:val="20"/>
          <w:lang w:val="en-US"/>
        </w:rPr>
        <w:t xml:space="preserve">For example, </w:t>
      </w:r>
      <w:r w:rsidR="00D96511">
        <w:rPr>
          <w:szCs w:val="20"/>
          <w:lang w:val="en-US"/>
        </w:rPr>
        <w:t>r</w:t>
      </w:r>
      <w:r w:rsidR="00C07BBD">
        <w:rPr>
          <w:szCs w:val="20"/>
          <w:lang w:val="en-US"/>
        </w:rPr>
        <w:t xml:space="preserve">ecent studies </w:t>
      </w:r>
      <w:r w:rsidR="00FC0FC0">
        <w:rPr>
          <w:szCs w:val="20"/>
          <w:lang w:val="en-US"/>
        </w:rPr>
        <w:t xml:space="preserve">have </w:t>
      </w:r>
      <w:r w:rsidR="00C07BBD">
        <w:rPr>
          <w:szCs w:val="20"/>
          <w:lang w:val="en-US"/>
        </w:rPr>
        <w:t>challeng</w:t>
      </w:r>
      <w:r w:rsidR="00FC0FC0">
        <w:rPr>
          <w:szCs w:val="20"/>
          <w:lang w:val="en-US"/>
        </w:rPr>
        <w:t>ed</w:t>
      </w:r>
      <w:r w:rsidR="00C07BBD">
        <w:rPr>
          <w:szCs w:val="20"/>
          <w:lang w:val="en-US"/>
        </w:rPr>
        <w:t xml:space="preserve"> the concept that </w:t>
      </w:r>
      <w:r w:rsidR="00C02768">
        <w:rPr>
          <w:szCs w:val="20"/>
          <w:lang w:val="en-US"/>
        </w:rPr>
        <w:t xml:space="preserve">moderate </w:t>
      </w:r>
      <w:r w:rsidR="00C07BBD">
        <w:rPr>
          <w:szCs w:val="20"/>
          <w:lang w:val="en-US" w:eastAsia="en-US"/>
        </w:rPr>
        <w:t xml:space="preserve">alcohol consumption is </w:t>
      </w:r>
      <w:r w:rsidR="00184555">
        <w:rPr>
          <w:szCs w:val="20"/>
          <w:lang w:val="en-US" w:eastAsia="en-US"/>
        </w:rPr>
        <w:t xml:space="preserve">universally </w:t>
      </w:r>
      <w:r w:rsidR="00C07BBD">
        <w:rPr>
          <w:szCs w:val="20"/>
          <w:lang w:val="en-US" w:eastAsia="en-US"/>
        </w:rPr>
        <w:t xml:space="preserve">associated with lower </w:t>
      </w:r>
      <w:r w:rsidR="004459C7">
        <w:rPr>
          <w:szCs w:val="20"/>
          <w:lang w:val="en-US" w:eastAsia="en-US"/>
        </w:rPr>
        <w:t>CVD</w:t>
      </w:r>
      <w:r w:rsidR="00C07BBD">
        <w:t xml:space="preserve"> risk</w:t>
      </w:r>
      <w:r w:rsidR="00DA6DD5">
        <w:fldChar w:fldCharType="begin" w:fldLock="1"/>
      </w:r>
      <w:r w:rsidR="00A43025">
        <w:instrText>ADDIN CSL_CITATION { "citationItems" : [ { "id" : "ITEM-1", "itemData" : { "DOI" : "10.1016/S0140-6736(15)00235-4", "ISSN" : "1474-547X", "PMID" : "26386538", "abstract" : "BACKGROUND Alcohol consumption is proposed to be the third most important modifiable risk factor for death and disability. However, alcohol consumption has been associated with both benefits and harms, and previous studies were mostly done in high-income countries. We investigated associations between alcohol consumption and outcomes in a prospective cohort of countries at different economic levels in five continents. METHODS We included information from 12 countries participating in the Prospective Urban Rural Epidemiological (PURE) study, a prospective cohort study of individuals aged 35-70 years. We used Cox proportional hazards regression to study associations with mortality (n=2723), cardiovascular disease (n=2742), myocardial infarction (n=979), stroke (n=817), alcohol-related cancer (n=764), injury (n=824), admission to hospital (n=8786), and for a composite of these outcomes (n=11,963). FINDINGS We included 114,970 adults, of whom 12,904 (11%) were from high-income countries (HICs), 24,408 (21%) were from upper-middle-income countries (UMICs), 48,845 (43%) were from lower-middle-income countries (LMICs), and 28,813 (25%) were from low-income countries (LICs). Median follow-up was 4.3 years (IQR 3.0-6.0). Current drinking was reported by 36,030 (31%) individuals, and was associated with reduced myocardial infarction (hazard ratio [HR] 0.76 [95% CI 0.63-0.93]), but increased alcohol-related cancers (HR 1.51 [1.22-1.89]) and injury (HR 1.29 [1.04-1.61]). High intake was associated with increased mortality (HR 1.31 [1.04-1.66]). Compared with never drinkers, we identified significantly reduced hazards for the composite outcome for current drinkers in HICs and UMICs (HR 0.84 [0.77-0.92]), but not in LMICs and LICs, for which we identified no reductions in this outcome (HR 1.07 [0.95-1.21]; pinteraction&lt;0.0001). INTERPRETATION Current alcohol consumption had differing associations by clinical outcome, and differing associations by income region. However, we identified sufficient commonalities to support global health strategies and national initiatives to reduce harmful alcohol use. FUNDING Population Health Research Institute, the Canadian Institutes of Health Research, Heart and Stroke Foundation of Ontario, AstraZeneca (Canada), Sanofi-Aventis (France and Canada), Boehringer Ingelheim (Germany and Canada), Servier, GlaxoSmithKline, Novartis, King Pharma, and national or local organisations in participating countries.", "author" : [ { "dropping-particle" : "", "family" : "Smyth", "given" : "Andrew", "non-dropping-particle" : "", "parse-names" : false, "suffix" : "" }, { "dropping-particle" : "", "family" : "Teo", "given" : "Koon K", "non-dropping-particle" : "", "parse-names" : false, "suffix" : "" }, { "dropping-particle" : "", "family" : "Rangarajan", "given" : "Sumathy", "non-dropping-particle" : "", "parse-names" : false, "suffix" : "" }, { "dropping-particle" : "", "family" : "O'Donnell", "given" : "Martin", "non-dropping-particle" : "", "parse-names" : false, "suffix" : "" }, { "dropping-particle" : "", "family" : "Zhang", "given" : "Xiaohe", "non-dropping-particle" : "", "parse-names" : false, "suffix" : "" }, { "dropping-particle" : "", "family" : "Rana", "given" : "Punam", "non-dropping-particle" : "", "parse-names" : false, "suffix" : "" }, { "dropping-particle" : "", "family" : "Leong", "given" : "Darryl P", "non-dropping-particle" : "", "parse-names" : false, "suffix" : "" }, { "dropping-particle" : "", "family" : "Dagenais", "given" : "Gilles", "non-dropping-particle" : "", "parse-names" : false, "suffix" : "" }, { "dropping-particle" : "", "family" : "Seron", "given" : "Pamela", "non-dropping-particle" : "", "parse-names" : false, "suffix" : "" }, { "dropping-particle" : "", "family" : "Rosengren", "given" : "Annika", "non-dropping-particle" : "", "parse-names" : false, "suffix" : "" }, { "dropping-particle" : "", "family" : "Schutte", "given" : "Aletta E", "non-dropping-particle" : "", "parse-names" : false, "suffix" : "" }, { "dropping-particle" : "", "family" : "Lopez-Jaramillo", "given" : "Patricio", "non-dropping-particle" : "", "parse-names" : false, "suffix" : "" }, { "dropping-particle" : "", "family" : "Oguz", "given" : "Ayetkin", "non-dropping-particle" : "", "parse-names" : false, "suffix" : "" }, { "dropping-particle" : "", "family" : "Chifamba", "given" : "Jephat", "non-dropping-particle" : "", "parse-names" : false, "suffix" : "" }, { "dropping-particle" : "", "family" : "Diaz", "given" : "Rafael", "non-dropping-particle" : "", "parse-names" : false, "suffix" : "" }, { "dropping-particle" : "", "family" : "Lear", "given" : "Scott", "non-dropping-particle" : "", "parse-names" : false, "suffix" : "" }, { "dropping-particle" : "", "family" : "Avezum", "given" : "Alvaro", "non-dropping-particle" : "", "parse-names" : false, "suffix" : "" }, { "dropping-particle" : "", "family" : "Kumar", "given" : "Rajesh", "non-dropping-particle" : "", "parse-names" : false, "suffix" : "" }, { "dropping-particle" : "", "family" : "Mohan", "given" : "Viswanathan", "non-dropping-particle" : "", "parse-names" : false, "suffix" : "" }, { "dropping-particle" : "", "family" : "Szuba", "given" : "Andrzej", "non-dropping-particle" : "", "parse-names" : false, "suffix" : "" }, { "dropping-particle" : "", "family" : "Wei", "given" : "Li", "non-dropping-particle" : "", "parse-names" : false, "suffix" : "" }, { "dropping-particle" : "", "family" : "Yang", "given" : "Wang", "non-dropping-particle" : "", "parse-names" : false, "suffix" : "" }, { "dropping-particle" : "", "family" : "Jian", "given" : "Bo", "non-dropping-particle" : "", "parse-names" : false, "suffix" : "" }, { "dropping-particle" : "", "family" : "McKee", "given" : "Martin", "non-dropping-particle" : "", "parse-names" : false, "suffix" : "" }, { "dropping-particle" : "", "family" : "Yusuf", "given" : "Salim", "non-dropping-particle" : "", "parse-names" : false, "suffix" : "" }, { "dropping-particle" : "", "family" : "PURE Investigators", "given" : "", "non-dropping-particle" : "", "parse-names" : false, "suffix" : "" } ], "container-title" : "Lancet (London, England)", "id" : "ITEM-1", "issue" : "10007", "issued" : { "date-parts" : [ [ "2015", "11" ] ] }, "page" : "1945-54", "title" : "Alcohol consumption and cardiovascular disease, cancer, injury, admission to hospital, and mortality: a prospective cohort study.", "type" : "article-journal", "volume" : "386" }, "uris" : [ "http://www.mendeley.com/documents/?uuid=9a18f05a-fcb7-4426-9178-5211eb7966ac" ] }, { "id" : "ITEM-2", "itemData" : { "DOI" : "10.1136/bmj.j909", "ISBN" : "0950-0804", "ISSN" : "0959-8138", "PMID" : "28331015", "abstract" : "Objectives To investigate the association between alcohol consumption and cardiovascular disease at higher resolution by examining the initial lifetime presentation of 12 cardiac, cerebrovascular, abdominal, or peripheral vascular diseases among five categories of consumption. Design Population based cohort study of linked electronic health records covering primary care, hospital admissions, and mortality in 1997-2010 (median follow-up six years). Setting CALIBER (ClinicAl research using LInked Bespoke studies and Electronic health Records). Participants 1 937 360 adults (51% women), aged \u226530 who were free from cardiovascular disease at baseline. Main outcome measures 12 common symptomatic manifestations of cardiovascular disease, including chronic stable angina, unstable angina, acute myocardial infarction, unheralded coronary heart disease death, heart failure, sudden coronary death/cardiac arrest, transient ischaemic attack, ischaemic stroke, intracerebral and subarachnoid haemorrhage, peripheral arterial disease, and abdominal aortic aneurysm. Results 114 859 individuals received an incident cardiovascular diagnosis during follow-up. Non-drinking was associated with an increased risk of unstable angina (hazard ratio 1.33, 95% confidence interval 1.21 to 1.45), myocardial infarction (1.32, 1.24 to1.41), unheralded coronary death (1.56, 1.38 to 1.76), heart failure (1.24, 1.11 to 1.38), ischaemic stroke (1.12, 1.01 to 1.24), peripheral arterial disease (1.22, 1.13 to 1.32), and abdominal aortic aneurysm (1.32, 1.17 to 1.49) compared with moderate drinking (consumption within contemporaneous UK weekly/daily guidelines of 21/3 and 14/2 units for men and women, respectively). Heavy drinking (exceeding guidelines) conferred an increased risk of presenting with unheralded coronary death (1.21, 1.08 to 1.35), heart failure (1.22, 1.08 to 1.37), cardiac arrest (1.50, 1.26 to 1.77), transient ischaemic attack (1.11, 1.02 to 1.37), ischaemic stroke (1.33, 1.09 to 1.63), intracerebral haemorrhage (1.37, 1.16 to 1.62), and peripheral arterial disease (1.35; 1.23 to 1.48), but a lower risk of myocardial infarction (0.88, 0.79 to 1.00) or stable angina (0.93, 0.86 to 1.00). Conclusions Heterogeneous associations exist between level of alcohol consumption and the initial presentation of cardiovascular diseases. This has implications for counselling patients, public health communication, and clinical research, suggesting a more nuanced approach to the role of alcoho\u2026", "author" : [ { "dropping-particle" : "", "family" : "Bell", "given" : "Steven", "non-dropping-particle" : "", "parse-names" : false, "suffix" : "" }, { "dropping-particle" : "", "family" : "Daskalopoulou", "given" : "Marina", "non-dropping-particle" : "", "parse-names" : false, "suffix" : "" }, { "dropping-particle" : "", "family" : "Rapsomaniki", "given" : "Eleni", "non-dropping-particle" : "", "parse-names" : false, "suffix" : "" }, { "dropping-particle" : "", "family" : "George", "given" : "Julie", "non-dropping-particle" : "", "parse-names" : false, "suffix" : "" }, { "dropping-particle" : "", "family" : "Britton", "given" : "Annie", "non-dropping-particle" : "", "parse-names" : false, "suffix" : "" }, { "dropping-particle" : "", "family" : "Bobak", "given" : "Martin", "non-dropping-particle" : "", "parse-names" : false, "suffix" : "" }, { "dropping-particle" : "", "family" : "Casas", "given" : "Juan P", "non-dropping-particle" : "", "parse-names" : false, "suffix" : "" }, { "dropping-particle" : "", "family" : "Dale", "given" : "Caroline E", "non-dropping-particle" : "", "parse-names" : false, "suffix" : "" }, { "dropping-particle" : "", "family" : "Denaxas", "given" : "Spiros", "non-dropping-particle" : "", "parse-names" : false, "suffix" : "" }, { "dropping-particle" : "", "family" : "Shah", "given" : "Anoop D", "non-dropping-particle" : "", "parse-names" : false, "suffix" : "" }, { "dropping-particle" : "", "family" : "Hemingway", "given" : "Harry", "non-dropping-particle" : "", "parse-names" : false, "suffix" : "" } ], "container-title" : "BMJ", "id" : "ITEM-2", "issued" : { "date-parts" : [ [ "2017" ] ] }, "page" : "j909", "title" : "Association between clinically recorded alcohol consumption and initial presentation of 12 cardiovascular diseases: population based cohort study using linked health records", "type" : "article-journal" }, "uris" : [ "http://www.mendeley.com/documents/?uuid=e044f167-2391-4aac-886a-2c2785e1fc6e" ] } ], "mendeley" : { "formattedCitation" : "&lt;sup&gt;16,17&lt;/sup&gt;", "plainTextFormattedCitation" : "16,17", "previouslyFormattedCitation" : "&lt;sup&gt;16,17&lt;/sup&gt;" }, "properties" : { "noteIndex" : 0 }, "schema" : "https://github.com/citation-style-language/schema/raw/master/csl-citation.json" }</w:instrText>
      </w:r>
      <w:r w:rsidR="00DA6DD5">
        <w:fldChar w:fldCharType="separate"/>
      </w:r>
      <w:r w:rsidR="00A43025" w:rsidRPr="00A43025">
        <w:rPr>
          <w:noProof/>
          <w:vertAlign w:val="superscript"/>
        </w:rPr>
        <w:t>16,17</w:t>
      </w:r>
      <w:r w:rsidR="00DA6DD5">
        <w:fldChar w:fldCharType="end"/>
      </w:r>
      <w:r w:rsidR="00126CC0">
        <w:t>, but the dose-response associations of alcohol consumption with CVD subtypes remain poorly understood.</w:t>
      </w:r>
      <w:r w:rsidR="00C07BBD">
        <w:t xml:space="preserve"> </w:t>
      </w:r>
      <w:r w:rsidR="00126CC0">
        <w:t>Hence, to aid formulation of evidence-based alcohol policy</w:t>
      </w:r>
      <w:r w:rsidR="00126CC0" w:rsidRPr="00256484">
        <w:t xml:space="preserve">, </w:t>
      </w:r>
      <w:r w:rsidR="00C07BBD">
        <w:rPr>
          <w:lang w:val="en-US"/>
        </w:rPr>
        <w:t>w</w:t>
      </w:r>
      <w:r w:rsidR="00C07BBD">
        <w:rPr>
          <w:rFonts w:cstheme="minorHAnsi"/>
          <w:color w:val="000000" w:themeColor="text1"/>
          <w:szCs w:val="20"/>
        </w:rPr>
        <w:t>e analysed</w:t>
      </w:r>
      <w:r w:rsidR="00C07BBD" w:rsidRPr="006B23BE">
        <w:rPr>
          <w:szCs w:val="20"/>
          <w:lang w:val="en-US"/>
        </w:rPr>
        <w:t xml:space="preserve"> </w:t>
      </w:r>
      <w:r w:rsidR="00C07BBD" w:rsidRPr="000A4EC3">
        <w:rPr>
          <w:szCs w:val="20"/>
          <w:lang w:val="en-US"/>
        </w:rPr>
        <w:t>individual-participant</w:t>
      </w:r>
      <w:r w:rsidR="00C07BBD">
        <w:rPr>
          <w:szCs w:val="20"/>
          <w:lang w:val="en-US"/>
        </w:rPr>
        <w:t xml:space="preserve"> </w:t>
      </w:r>
      <w:r w:rsidR="00C07BBD" w:rsidRPr="000A4EC3">
        <w:rPr>
          <w:szCs w:val="20"/>
          <w:lang w:val="en-US"/>
        </w:rPr>
        <w:t>data</w:t>
      </w:r>
      <w:r w:rsidR="00C07BBD">
        <w:rPr>
          <w:szCs w:val="20"/>
          <w:lang w:val="en-US"/>
        </w:rPr>
        <w:t xml:space="preserve"> </w:t>
      </w:r>
      <w:r w:rsidR="00C07BBD" w:rsidRPr="00CD27BE">
        <w:rPr>
          <w:rFonts w:eastAsiaTheme="minorHAnsi" w:cstheme="minorHAnsi"/>
          <w:color w:val="000000"/>
          <w:lang w:eastAsia="en-US"/>
        </w:rPr>
        <w:t xml:space="preserve">from </w:t>
      </w:r>
      <w:r w:rsidR="00C07BBD">
        <w:rPr>
          <w:rFonts w:eastAsiaTheme="minorHAnsi" w:cstheme="minorHAnsi"/>
          <w:color w:val="000000"/>
          <w:lang w:eastAsia="en-US"/>
        </w:rPr>
        <w:t>83</w:t>
      </w:r>
      <w:r w:rsidR="00C07BBD" w:rsidRPr="00CD27BE">
        <w:rPr>
          <w:rFonts w:eastAsiaTheme="minorHAnsi" w:cstheme="minorHAnsi"/>
          <w:color w:val="000000"/>
          <w:lang w:eastAsia="en-US"/>
        </w:rPr>
        <w:t xml:space="preserve"> </w:t>
      </w:r>
      <w:r w:rsidR="00570BDA">
        <w:rPr>
          <w:rFonts w:eastAsiaTheme="minorHAnsi" w:cstheme="minorHAnsi"/>
          <w:color w:val="000000"/>
          <w:lang w:eastAsia="en-US"/>
        </w:rPr>
        <w:t xml:space="preserve">long-term </w:t>
      </w:r>
      <w:r w:rsidR="00C07BBD" w:rsidRPr="00CD27BE">
        <w:rPr>
          <w:rFonts w:eastAsiaTheme="minorHAnsi" w:cstheme="minorHAnsi"/>
          <w:color w:val="000000"/>
          <w:lang w:eastAsia="en-US"/>
        </w:rPr>
        <w:t>prospective</w:t>
      </w:r>
      <w:r w:rsidR="00C07BBD">
        <w:rPr>
          <w:rFonts w:eastAsiaTheme="minorHAnsi" w:cstheme="minorHAnsi"/>
          <w:color w:val="000000"/>
          <w:lang w:eastAsia="en-US"/>
        </w:rPr>
        <w:t xml:space="preserve"> studies</w:t>
      </w:r>
      <w:r w:rsidR="00E70E8E">
        <w:rPr>
          <w:rFonts w:eastAsiaTheme="minorHAnsi" w:cstheme="minorHAnsi"/>
          <w:color w:val="000000"/>
          <w:lang w:eastAsia="en-US"/>
        </w:rPr>
        <w:t xml:space="preserve"> </w:t>
      </w:r>
      <w:r w:rsidR="00C07BBD">
        <w:rPr>
          <w:rFonts w:eastAsiaTheme="minorHAnsi" w:cstheme="minorHAnsi"/>
          <w:color w:val="000000"/>
          <w:lang w:eastAsia="en-US"/>
        </w:rPr>
        <w:t>in 19 countries</w:t>
      </w:r>
      <w:r w:rsidR="0033035E">
        <w:rPr>
          <w:rFonts w:eastAsiaTheme="minorHAnsi" w:cstheme="minorHAnsi"/>
          <w:color w:val="000000"/>
          <w:lang w:eastAsia="en-US"/>
        </w:rPr>
        <w:t>. Our goal was t</w:t>
      </w:r>
      <w:r w:rsidR="00126CC0">
        <w:rPr>
          <w:lang w:val="en-US"/>
        </w:rPr>
        <w:t xml:space="preserve">o characterise risk thresholds </w:t>
      </w:r>
      <w:r w:rsidR="00126CC0">
        <w:t>for all-cause mortality and</w:t>
      </w:r>
      <w:r w:rsidR="00126CC0" w:rsidRPr="00BA19AD">
        <w:rPr>
          <w:lang w:val="en-US"/>
        </w:rPr>
        <w:t xml:space="preserve"> </w:t>
      </w:r>
      <w:r w:rsidR="00126CC0">
        <w:t>CVD subtypes</w:t>
      </w:r>
      <w:r w:rsidR="008D1977">
        <w:t xml:space="preserve"> among current drinkers</w:t>
      </w:r>
      <w:r w:rsidR="00410AB5">
        <w:rPr>
          <w:rFonts w:eastAsiaTheme="minorHAnsi" w:cstheme="minorHAnsi"/>
          <w:color w:val="000000"/>
          <w:lang w:eastAsia="en-US"/>
        </w:rPr>
        <w:t>.</w:t>
      </w:r>
      <w:r w:rsidR="00126CC0" w:rsidRPr="00126CC0">
        <w:t xml:space="preserve"> </w:t>
      </w:r>
    </w:p>
    <w:p w14:paraId="24D451F5" w14:textId="77777777" w:rsidR="007E39CE" w:rsidRDefault="007E39CE" w:rsidP="006E7B80">
      <w:pPr>
        <w:spacing w:after="200" w:line="240" w:lineRule="auto"/>
      </w:pPr>
    </w:p>
    <w:p w14:paraId="41B415AD" w14:textId="7301BD9E" w:rsidR="009361E5" w:rsidRPr="004C3C3E" w:rsidRDefault="00CD2C51" w:rsidP="00256484">
      <w:pPr>
        <w:spacing w:after="200" w:line="240" w:lineRule="auto"/>
      </w:pPr>
      <w:r>
        <w:rPr>
          <w:b/>
        </w:rPr>
        <w:br w:type="page"/>
      </w:r>
      <w:r w:rsidR="000E0EEC" w:rsidRPr="004C2F34">
        <w:rPr>
          <w:b/>
        </w:rPr>
        <w:lastRenderedPageBreak/>
        <w:t xml:space="preserve">METHODS </w:t>
      </w:r>
    </w:p>
    <w:p w14:paraId="34D4B000" w14:textId="5C14EFC8" w:rsidR="00CD2C51" w:rsidRPr="00D34DB8" w:rsidRDefault="001A5AFD" w:rsidP="002933CF">
      <w:pPr>
        <w:pStyle w:val="Heading2"/>
        <w:rPr>
          <w:i w:val="0"/>
        </w:rPr>
      </w:pPr>
      <w:r>
        <w:rPr>
          <w:i w:val="0"/>
          <w:szCs w:val="20"/>
          <w:lang w:val="en-US"/>
        </w:rPr>
        <w:t>W</w:t>
      </w:r>
      <w:r w:rsidR="00CD2C51" w:rsidRPr="00D34DB8">
        <w:rPr>
          <w:i w:val="0"/>
          <w:szCs w:val="20"/>
          <w:lang w:val="en-US"/>
        </w:rPr>
        <w:t xml:space="preserve">e focused analyses on </w:t>
      </w:r>
      <w:r w:rsidR="00CD2C51" w:rsidRPr="00D34DB8">
        <w:rPr>
          <w:i w:val="0"/>
          <w:lang w:val="en-US"/>
        </w:rPr>
        <w:t>current drinkers</w:t>
      </w:r>
      <w:r w:rsidR="00CD2C51">
        <w:rPr>
          <w:i w:val="0"/>
          <w:lang w:val="en-US"/>
        </w:rPr>
        <w:t xml:space="preserve"> </w:t>
      </w:r>
      <w:r>
        <w:rPr>
          <w:i w:val="0"/>
          <w:lang w:val="en-US"/>
        </w:rPr>
        <w:t>f</w:t>
      </w:r>
      <w:r w:rsidRPr="0000233C">
        <w:rPr>
          <w:i w:val="0"/>
          <w:lang w:val="en-US"/>
        </w:rPr>
        <w:t xml:space="preserve">or </w:t>
      </w:r>
      <w:r>
        <w:rPr>
          <w:i w:val="0"/>
          <w:lang w:val="en-US"/>
        </w:rPr>
        <w:t>three</w:t>
      </w:r>
      <w:r w:rsidRPr="0000233C">
        <w:rPr>
          <w:i w:val="0"/>
          <w:lang w:val="en-US"/>
        </w:rPr>
        <w:t xml:space="preserve"> main reasons</w:t>
      </w:r>
      <w:r w:rsidR="00CD2C51" w:rsidRPr="00D34DB8">
        <w:rPr>
          <w:i w:val="0"/>
          <w:lang w:val="en-US"/>
        </w:rPr>
        <w:t xml:space="preserve">. First, alcohol guidelines provide recommendations on </w:t>
      </w:r>
      <w:r w:rsidR="006818F9">
        <w:rPr>
          <w:i w:val="0"/>
          <w:lang w:val="en-US"/>
        </w:rPr>
        <w:t>low-risk</w:t>
      </w:r>
      <w:r w:rsidR="00CD2C51" w:rsidRPr="00D34DB8">
        <w:rPr>
          <w:i w:val="0"/>
          <w:lang w:val="en-US"/>
        </w:rPr>
        <w:t xml:space="preserve"> limits </w:t>
      </w:r>
      <w:r w:rsidR="00570BDA">
        <w:rPr>
          <w:i w:val="0"/>
          <w:lang w:val="en-US"/>
        </w:rPr>
        <w:t>only for</w:t>
      </w:r>
      <w:r w:rsidR="00CD2C51" w:rsidRPr="00D34DB8">
        <w:rPr>
          <w:i w:val="0"/>
          <w:lang w:val="en-US"/>
        </w:rPr>
        <w:t xml:space="preserve"> drinkers</w:t>
      </w:r>
      <w:r w:rsidR="009D7AA2">
        <w:rPr>
          <w:i w:val="0"/>
          <w:lang w:val="en-US"/>
        </w:rPr>
        <w:t xml:space="preserve"> </w:t>
      </w:r>
      <w:r>
        <w:rPr>
          <w:i w:val="0"/>
          <w:lang w:val="en-US"/>
        </w:rPr>
        <w:t xml:space="preserve">(we </w:t>
      </w:r>
      <w:r w:rsidR="00CD2C51" w:rsidRPr="00D34DB8">
        <w:rPr>
          <w:i w:val="0"/>
          <w:lang w:val="en-US"/>
        </w:rPr>
        <w:t xml:space="preserve">are </w:t>
      </w:r>
      <w:r>
        <w:rPr>
          <w:i w:val="0"/>
          <w:lang w:val="en-US"/>
        </w:rPr>
        <w:t>unware of</w:t>
      </w:r>
      <w:r w:rsidR="00CD2C51" w:rsidRPr="00D34DB8">
        <w:rPr>
          <w:i w:val="0"/>
          <w:lang w:val="en-US"/>
        </w:rPr>
        <w:t xml:space="preserve"> guidelines that encourage non-drinkers to consume alcohol</w:t>
      </w:r>
      <w:r>
        <w:rPr>
          <w:i w:val="0"/>
          <w:lang w:val="en-US"/>
        </w:rPr>
        <w:t>)</w:t>
      </w:r>
      <w:r w:rsidR="00CD2C51" w:rsidRPr="00D34DB8">
        <w:rPr>
          <w:i w:val="0"/>
          <w:lang w:val="en-US"/>
        </w:rPr>
        <w:t xml:space="preserve">. Second, </w:t>
      </w:r>
      <w:r w:rsidR="00410AB5">
        <w:rPr>
          <w:i w:val="0"/>
          <w:lang w:val="en-US"/>
        </w:rPr>
        <w:t xml:space="preserve">a </w:t>
      </w:r>
      <w:r w:rsidR="00CD2C51" w:rsidRPr="00D34DB8">
        <w:rPr>
          <w:i w:val="0"/>
          <w:lang w:val="en-US"/>
        </w:rPr>
        <w:t>focus on current drinkers should limit potential biases</w:t>
      </w:r>
      <w:r w:rsidR="00B86254">
        <w:rPr>
          <w:i w:val="0"/>
          <w:lang w:val="en-US"/>
        </w:rPr>
        <w:t xml:space="preserve"> difficult to control in observational studies</w:t>
      </w:r>
      <w:r>
        <w:rPr>
          <w:i w:val="0"/>
          <w:lang w:val="en-US"/>
        </w:rPr>
        <w:t xml:space="preserve"> (eg,</w:t>
      </w:r>
      <w:r w:rsidR="00CD2C51" w:rsidRPr="00D34DB8">
        <w:rPr>
          <w:i w:val="0"/>
          <w:lang w:val="en-US"/>
        </w:rPr>
        <w:t xml:space="preserve"> </w:t>
      </w:r>
      <w:r w:rsidR="00CD2C51" w:rsidRPr="00D34DB8">
        <w:rPr>
          <w:i w:val="0"/>
          <w:szCs w:val="20"/>
          <w:lang w:val="en-US"/>
        </w:rPr>
        <w:t>reverse causality, residual confounding</w:t>
      </w:r>
      <w:r>
        <w:rPr>
          <w:i w:val="0"/>
          <w:szCs w:val="20"/>
          <w:lang w:val="en-US"/>
        </w:rPr>
        <w:t>,</w:t>
      </w:r>
      <w:r w:rsidR="00CD2C51" w:rsidRPr="00D34DB8">
        <w:rPr>
          <w:i w:val="0"/>
          <w:szCs w:val="20"/>
          <w:lang w:val="en-US"/>
        </w:rPr>
        <w:t xml:space="preserve"> unmeasured effect modification</w:t>
      </w:r>
      <w:r>
        <w:rPr>
          <w:i w:val="0"/>
          <w:szCs w:val="20"/>
          <w:lang w:val="en-US"/>
        </w:rPr>
        <w:t>) because</w:t>
      </w:r>
      <w:r w:rsidR="00CD2C51" w:rsidRPr="00D34DB8">
        <w:rPr>
          <w:i w:val="0"/>
          <w:szCs w:val="20"/>
          <w:lang w:val="en-US"/>
        </w:rPr>
        <w:t xml:space="preserve"> ex-drinkers include </w:t>
      </w:r>
      <w:r w:rsidR="00CD2C51" w:rsidRPr="00D34DB8">
        <w:rPr>
          <w:i w:val="0"/>
          <w:szCs w:val="20"/>
          <w:lang w:val="en-US" w:eastAsia="en-US"/>
        </w:rPr>
        <w:t xml:space="preserve">people </w:t>
      </w:r>
      <w:r w:rsidR="00CD2C51" w:rsidRPr="00D34DB8">
        <w:rPr>
          <w:i w:val="0"/>
        </w:rPr>
        <w:t xml:space="preserve">who </w:t>
      </w:r>
      <w:r w:rsidR="00CD2C51" w:rsidRPr="00D34DB8">
        <w:rPr>
          <w:i w:val="0"/>
          <w:szCs w:val="20"/>
          <w:lang w:val="en-US" w:eastAsia="en-US"/>
        </w:rPr>
        <w:t>may have abstained from alcohol due to poor health itself</w:t>
      </w:r>
      <w:r w:rsidR="00B86254">
        <w:rPr>
          <w:i w:val="0"/>
          <w:szCs w:val="20"/>
          <w:lang w:val="en-US" w:eastAsia="en-US"/>
        </w:rPr>
        <w:t>,</w:t>
      </w:r>
      <w:r w:rsidR="00CD2C51" w:rsidRPr="00D34DB8">
        <w:rPr>
          <w:i w:val="0"/>
        </w:rPr>
        <w:fldChar w:fldCharType="begin" w:fldLock="1"/>
      </w:r>
      <w:r w:rsidR="00E50B13">
        <w:rPr>
          <w:i w:val="0"/>
        </w:rPr>
        <w:instrText>ADDIN CSL_CITATION { "citationItems" : [ { "id" : "ITEM-1", "itemData" : { "DOI" : "10.1016/S0140-6736(05)67770-7", "ISSN" : "01406736", "PMID" : "16325685", "author" : [ { "dropping-particle" : "", "family" : "Jackson", "given" : "Rod", "non-dropping-particle" : "", "parse-names" : false, "suffix" : "" }, { "dropping-particle" : "", "family" : "Broad", "given" : "Joanna", "non-dropping-particle" : "", "parse-names" : false, "suffix" : "" }, { "dropping-particle" : "", "family" : "Connor", "given" : "Jennie", "non-dropping-particle" : "", "parse-names" : false, "suffix" : "" }, { "dropping-particle" : "", "family" : "Wells", "given" : "Susan", "non-dropping-particle" : "", "parse-names" : false, "suffix" : "" } ], "container-title" : "Lancet", "id" : "ITEM-1", "issue" : "9501", "issued" : { "date-parts" : [ [ "2005" ] ] }, "page" : "1911-1912", "title" : "Alcohol and ischaemic heart disease: Probably no free lunch", "type" : "article-journal", "volume" : "366" }, "uris" : [ "http://www.mendeley.com/documents/?uuid=6555e41c-993f-4074-ade6-124c8486a488" ] }, { "id" : "ITEM-2", "itemData" : { "DOI" : "10.1136/bmj.h384", "ISSN" : "1756-1833", "author" : [ { "dropping-particle" : "", "family" : "Knott", "given" : "C. S.", "non-dropping-particle" : "", "parse-names" : false, "suffix" : "" }, { "dropping-particle" : "", "family" : "Coombs", "given" : "N.", "non-dropping-particle" : "", "parse-names" : false, "suffix" : "" }, { "dropping-particle" : "", "family" : "Stamatakis", "given" : "E.", "non-dropping-particle" : "", "parse-names" : false, "suffix" : "" }, { "dropping-particle" : "", "family" : "Biddulph", "given" : "J. P.", "non-dropping-particle" : "", "parse-names" : false, "suffix" : "" } ], "container-title" : "BMJ", "id" : "ITEM-2", "issue" : "feb10 2", "issued" : { "date-parts" : [ [ "2015", "2" ] ] }, "page" : "h384-h384", "title" : "All cause mortality and the case for age specific alcohol consumption guidelines: pooled analyses of up to 10 population based cohorts", "type" : "article-journal", "volume" : "350" }, "uris" : [ "http://www.mendeley.com/documents/?uuid=b266e1a8-c37f-3632-bf84-96c7be0ca14b", "http://www.mendeley.com/documents/?uuid=b77098bb-845b-4572-8105-ec786ac38f07" ] }, { "id" : "ITEM-3", "itemData" : { "DOI" : "10.2147/vhrm.2006.2.3.239", "ISBN" : "1176-6344", "ISSN" : "1176-6344", "PMID" : "17326330", "abstract" : "Epidemiological studies of middle-aged populations generally find the relationship between alcohol intake and the risk of coronary heart disease (CHD) and stroke to be either U- or J-shaped. This review describes the extent that these relationships are likely to be causal, and the extent that they may be due to specific methodological weaknesses in epidemiological studies. The consistency in the vascular benefit associated with moderate drinking (compared with non-drinking) observed across different studies, together with the existence of credible biological pathways, strongly suggests that at least some of this benefit is real. However, because of biases introduced by: choice of reference categories; reverse causality bias; variations in alcohol intake over time; and confounding, some of it is likely to be an artefact. For heavy drinking, different study biases have the potential to act in opposing directions, and as such, the true effects of heavy drinking on vascular risk are uncertain. However, because of the known harmful effects of heavy drinking on non-vascular mortality, the problem is an academic one. Studies of the effects of alcohol consumption on health outcomes should recognise the methodological biases they are likely to face, and design, analyse and interpret their studies accordingly. While regular moderate alcohol consumption during middle-age probably does reduce vascular risk, care should be taken when making general recommendations about safe levels of alcohol intake. In particular, it is likely that any promotion of alcohol for health reasons would do substantially more harm than good. \u00a9 2006 Dove Medical Press Limited. All rights reserved.", "author" : [ { "dropping-particle" : "", "family" : "J.R.", "given" : "Emberson", "non-dropping-particle" : "", "parse-names" : false, "suffix" : "" }, { "dropping-particle" : "", "family" : "D.A.", "given" : "Bennett", "non-dropping-particle" : "", "parse-names" : false, "suffix" : "" }, { "dropping-particle" : "", "family" : "Emberson", "given" : "Jonathan R", "non-dropping-particle" : "", "parse-names" : false, "suffix" : "" }, { "dropping-particle" : "", "family" : "Bennett", "given" : "Derrick A", "non-dropping-particle" : "", "parse-names" : false, "suffix" : "" } ], "container-title" : "Vascular health and risk management", "id" : "ITEM-3", "issue" : "3", "issued" : { "date-parts" : [ [ "2006" ] ] }, "page" : "239-249", "title" : "Effect of alcohol on risk of coronary heart disease and stroke: Causality, bias, or a bit of both?", "type" : "article-journal", "volume" : "2" }, "uris" : [ "http://www.mendeley.com/documents/?uuid=6adc61e8-62d5-4405-97ed-d401127c2931" ] } ], "mendeley" : { "formattedCitation" : "&lt;sup&gt;18\u201320&lt;/sup&gt;", "plainTextFormattedCitation" : "18\u201320", "previouslyFormattedCitation" : "&lt;sup&gt;18\u201320&lt;/sup&gt;" }, "properties" : { "noteIndex" : 0 }, "schema" : "https://github.com/citation-style-language/schema/raw/master/csl-citation.json" }</w:instrText>
      </w:r>
      <w:r w:rsidR="00CD2C51" w:rsidRPr="00D34DB8">
        <w:rPr>
          <w:i w:val="0"/>
        </w:rPr>
        <w:fldChar w:fldCharType="separate"/>
      </w:r>
      <w:r w:rsidR="00A43025" w:rsidRPr="00A43025">
        <w:rPr>
          <w:i w:val="0"/>
          <w:noProof/>
          <w:vertAlign w:val="superscript"/>
        </w:rPr>
        <w:t>18–20</w:t>
      </w:r>
      <w:r w:rsidR="00CD2C51" w:rsidRPr="00D34DB8">
        <w:rPr>
          <w:i w:val="0"/>
        </w:rPr>
        <w:fldChar w:fldCharType="end"/>
      </w:r>
      <w:r w:rsidR="00544A5B">
        <w:rPr>
          <w:i w:val="0"/>
        </w:rPr>
        <w:t xml:space="preserve"> a</w:t>
      </w:r>
      <w:r w:rsidR="00B86254">
        <w:rPr>
          <w:i w:val="0"/>
        </w:rPr>
        <w:t>s well as</w:t>
      </w:r>
      <w:r w:rsidR="00544A5B">
        <w:rPr>
          <w:i w:val="0"/>
        </w:rPr>
        <w:t xml:space="preserve"> those who have changed habits </w:t>
      </w:r>
      <w:r>
        <w:rPr>
          <w:i w:val="0"/>
        </w:rPr>
        <w:t>to achieve</w:t>
      </w:r>
      <w:r w:rsidR="00544A5B">
        <w:rPr>
          <w:i w:val="0"/>
        </w:rPr>
        <w:t xml:space="preserve"> a healthier lifestyle</w:t>
      </w:r>
      <w:r w:rsidR="005A5E09">
        <w:rPr>
          <w:i w:val="0"/>
        </w:rPr>
        <w:t xml:space="preserve">. </w:t>
      </w:r>
      <w:r>
        <w:rPr>
          <w:i w:val="0"/>
          <w:szCs w:val="20"/>
        </w:rPr>
        <w:t>Third</w:t>
      </w:r>
      <w:r w:rsidR="00CD2C51" w:rsidRPr="00D34DB8">
        <w:rPr>
          <w:i w:val="0"/>
        </w:rPr>
        <w:t>,</w:t>
      </w:r>
      <w:r w:rsidR="00CD2C51" w:rsidRPr="00D34DB8">
        <w:rPr>
          <w:i w:val="0"/>
          <w:szCs w:val="20"/>
        </w:rPr>
        <w:t xml:space="preserve"> </w:t>
      </w:r>
      <w:r w:rsidR="00E44535">
        <w:rPr>
          <w:i w:val="0"/>
          <w:szCs w:val="20"/>
        </w:rPr>
        <w:t xml:space="preserve">never </w:t>
      </w:r>
      <w:r w:rsidR="00E4121B">
        <w:rPr>
          <w:i w:val="0"/>
          <w:szCs w:val="20"/>
        </w:rPr>
        <w:t>drinkers</w:t>
      </w:r>
      <w:r w:rsidR="00CD2C51" w:rsidRPr="00D34DB8">
        <w:rPr>
          <w:i w:val="0"/>
          <w:szCs w:val="20"/>
        </w:rPr>
        <w:t xml:space="preserve"> </w:t>
      </w:r>
      <w:r>
        <w:rPr>
          <w:i w:val="0"/>
          <w:szCs w:val="20"/>
        </w:rPr>
        <w:t>may</w:t>
      </w:r>
      <w:r w:rsidR="00CD2C51" w:rsidRPr="00D34DB8">
        <w:rPr>
          <w:i w:val="0"/>
          <w:szCs w:val="20"/>
        </w:rPr>
        <w:t xml:space="preserve"> differ </w:t>
      </w:r>
      <w:r w:rsidR="005A5E09" w:rsidRPr="0000233C">
        <w:rPr>
          <w:i w:val="0"/>
          <w:szCs w:val="20"/>
        </w:rPr>
        <w:t xml:space="preserve">systematically </w:t>
      </w:r>
      <w:r w:rsidR="00CD2C51" w:rsidRPr="00D34DB8">
        <w:rPr>
          <w:i w:val="0"/>
          <w:szCs w:val="20"/>
        </w:rPr>
        <w:t>from drinkers in ways that are difficult to measure</w:t>
      </w:r>
      <w:r w:rsidR="005A5E09">
        <w:rPr>
          <w:i w:val="0"/>
          <w:szCs w:val="20"/>
        </w:rPr>
        <w:t xml:space="preserve">, but which </w:t>
      </w:r>
      <w:r w:rsidR="00B86254">
        <w:rPr>
          <w:i w:val="0"/>
          <w:szCs w:val="20"/>
        </w:rPr>
        <w:t>may be</w:t>
      </w:r>
      <w:r w:rsidR="005A5E09">
        <w:rPr>
          <w:i w:val="0"/>
          <w:szCs w:val="20"/>
        </w:rPr>
        <w:t xml:space="preserve"> relevant to disease causation</w:t>
      </w:r>
      <w:r w:rsidR="00CD2C51" w:rsidRPr="00D34DB8">
        <w:rPr>
          <w:i w:val="0"/>
          <w:szCs w:val="20"/>
        </w:rPr>
        <w:fldChar w:fldCharType="begin" w:fldLock="1"/>
      </w:r>
      <w:r w:rsidR="00E50B13">
        <w:rPr>
          <w:i w:val="0"/>
          <w:szCs w:val="20"/>
        </w:rPr>
        <w:instrText>ADDIN CSL_CITATION { "citationItems" : [ { "id" : "ITEM-1", "itemData" : { "DOI" : "10.1136/jech-2013-202576", "ISBN" : "1470-2738 (Electronic)\\r0143-005X (Linking)", "ISSN" : "1470-2738", "PMID" : "24166583", "abstract" : "BACKGROUND: Non-drinkers are shown to have worse health than moderate drinkers in later life. We examine the preceding health status of non-drinkers in early adulthood, and secondly whether persistent poor health is associated with persistent non-drinking. METHODS: Using two prospective British birth cohort studies established in 1958 (National Child Development Study (NCDS)) and in 1970 (British Cohort Study (BCS)), participants who reported 'never' or 'never had an alcoholic drink' to drinking status questions in successive waves from 23 to 26 years in the NCDS/BCS were derived as 'lifetime abstainers'. Logistic regression on the odds of being a lifetime abstainer was carried out on changes in limiting long-standing illness (LLSI) in the NCDS and long-standing illness (LSI) in the BCS, adjusting for sex, education, poor psychosocial health, marital and parental status. RESULTS: Participants with an LLSI in consecutive waves since 23 years had 4.50 times the odds of someone who did not have an LLSI of being a lifetime abstainer at 33 years (95% CI 1.99 to 10.18) and 7.02 times the odds at 42 years (2.39 to 20.66) after adjusting for all factors. Similarly, in the BCS, having an LSI in consecutive waves resulted in higher odds of being a lifetime abstainer at 30 years (OR 2.80, 1.88 to 4.18) and 34 years (OR 3.33, 2.01 to 5.53). CONCLUSIONS: Persistent LSI was associated with remaining a non-drinker across adulthood. Studies comparing the health outcomes of moderate drinkers to lifetime abstainers that do not account for pre-existing poor health may overestimate the better health outcomes from moderate alcohol consumption.", "author" : [ { "dropping-particle" : "", "family" : "Ng Fat", "given" : "Linda", "non-dropping-particle" : "", "parse-names" : false, "suffix" : "" }, { "dropping-particle" : "", "family" : "Cable", "given" : "Noriko", "non-dropping-particle" : "", "parse-names" : false, "suffix" : "" }, { "dropping-particle" : "", "family" : "Marmot", "given" : "M G", "non-dropping-particle" : "", "parse-names" : false, "suffix" : "" }, { "dropping-particle" : "", "family" : "Shelton", "given" : "Nicola", "non-dropping-particle" : "", "parse-names" : false, "suffix" : "" } ], "container-title" : "Journal of Epidemiology and Community Health", "id" : "ITEM-1", "issue" : "1", "issued" : { "date-parts" : [ [ "2014" ] ] }, "page" : "71-7", "title" : "Persistent long-standing illness and non-drinking over time, implications for the use of lifetime abstainers as a control group", "type" : "article-journal", "volume" : "68" }, "uris" : [ "http://www.mendeley.com/documents/?uuid=073b2f09-cfa5-4e12-ab5a-0271866ed6c7", "http://www.mendeley.com/documents/?uuid=3df764a2-818f-4847-aac1-89eceb222513" ] } ], "mendeley" : { "formattedCitation" : "&lt;sup&gt;21&lt;/sup&gt;", "plainTextFormattedCitation" : "21", "previouslyFormattedCitation" : "&lt;sup&gt;21&lt;/sup&gt;" }, "properties" : { "noteIndex" : 0 }, "schema" : "https://github.com/citation-style-language/schema/raw/master/csl-citation.json" }</w:instrText>
      </w:r>
      <w:r w:rsidR="00CD2C51" w:rsidRPr="00D34DB8">
        <w:rPr>
          <w:i w:val="0"/>
          <w:szCs w:val="20"/>
        </w:rPr>
        <w:fldChar w:fldCharType="separate"/>
      </w:r>
      <w:r w:rsidR="00A43025" w:rsidRPr="00A43025">
        <w:rPr>
          <w:i w:val="0"/>
          <w:noProof/>
          <w:szCs w:val="20"/>
          <w:vertAlign w:val="superscript"/>
        </w:rPr>
        <w:t>21</w:t>
      </w:r>
      <w:r w:rsidR="00CD2C51" w:rsidRPr="00D34DB8">
        <w:rPr>
          <w:i w:val="0"/>
          <w:szCs w:val="20"/>
        </w:rPr>
        <w:fldChar w:fldCharType="end"/>
      </w:r>
      <w:r w:rsidR="00CD2C51" w:rsidRPr="00D34DB8">
        <w:rPr>
          <w:i w:val="0"/>
          <w:szCs w:val="20"/>
          <w:lang w:val="en-US"/>
        </w:rPr>
        <w:t>.</w:t>
      </w:r>
    </w:p>
    <w:p w14:paraId="34B06703" w14:textId="5E70BD1A" w:rsidR="00771A22" w:rsidRDefault="00E65975" w:rsidP="002933CF">
      <w:pPr>
        <w:pStyle w:val="Heading2"/>
        <w:rPr>
          <w:rFonts w:eastAsiaTheme="minorHAnsi"/>
          <w:lang w:eastAsia="en-US"/>
        </w:rPr>
      </w:pPr>
      <w:r>
        <w:rPr>
          <w:rFonts w:eastAsiaTheme="minorHAnsi"/>
          <w:lang w:eastAsia="en-US"/>
        </w:rPr>
        <w:t>Data sources</w:t>
      </w:r>
      <w:r w:rsidR="004934F6">
        <w:rPr>
          <w:rFonts w:eastAsiaTheme="minorHAnsi"/>
          <w:lang w:eastAsia="en-US"/>
        </w:rPr>
        <w:t xml:space="preserve"> </w:t>
      </w:r>
      <w:r w:rsidR="003A6FF0">
        <w:rPr>
          <w:rFonts w:eastAsiaTheme="minorHAnsi"/>
          <w:lang w:eastAsia="en-US"/>
        </w:rPr>
        <w:t>and participant inclusion</w:t>
      </w:r>
    </w:p>
    <w:p w14:paraId="297575C2" w14:textId="2BAE6154" w:rsidR="00F234DA" w:rsidRDefault="004D3B7F" w:rsidP="006E7B80">
      <w:pPr>
        <w:rPr>
          <w:szCs w:val="20"/>
        </w:rPr>
      </w:pPr>
      <w:r>
        <w:rPr>
          <w:lang w:eastAsia="en-US"/>
        </w:rPr>
        <w:t>W</w:t>
      </w:r>
      <w:r w:rsidR="003B6241">
        <w:rPr>
          <w:lang w:eastAsia="en-US"/>
        </w:rPr>
        <w:t>e conduct</w:t>
      </w:r>
      <w:r w:rsidR="006E7B80">
        <w:rPr>
          <w:lang w:eastAsia="en-US"/>
        </w:rPr>
        <w:t>ed</w:t>
      </w:r>
      <w:r w:rsidR="009F6DF8">
        <w:rPr>
          <w:lang w:eastAsia="en-US"/>
        </w:rPr>
        <w:t xml:space="preserve"> </w:t>
      </w:r>
      <w:r w:rsidR="00E773D6">
        <w:rPr>
          <w:lang w:eastAsia="en-US"/>
        </w:rPr>
        <w:t xml:space="preserve">a </w:t>
      </w:r>
      <w:r w:rsidR="0033035E">
        <w:rPr>
          <w:lang w:eastAsia="en-US"/>
        </w:rPr>
        <w:t xml:space="preserve">combined </w:t>
      </w:r>
      <w:r w:rsidR="00EC77F5">
        <w:rPr>
          <w:lang w:eastAsia="en-US"/>
        </w:rPr>
        <w:t xml:space="preserve">analysis </w:t>
      </w:r>
      <w:r w:rsidR="00E773D6">
        <w:rPr>
          <w:lang w:eastAsia="en-US"/>
        </w:rPr>
        <w:t>of</w:t>
      </w:r>
      <w:r w:rsidR="006E7B80">
        <w:rPr>
          <w:lang w:eastAsia="en-US"/>
        </w:rPr>
        <w:t xml:space="preserve"> </w:t>
      </w:r>
      <w:r w:rsidR="00234B3C">
        <w:rPr>
          <w:lang w:eastAsia="en-US"/>
        </w:rPr>
        <w:t xml:space="preserve">individual-participant data from </w:t>
      </w:r>
      <w:r w:rsidR="006E7B80">
        <w:rPr>
          <w:lang w:eastAsia="en-US"/>
        </w:rPr>
        <w:t xml:space="preserve">three </w:t>
      </w:r>
      <w:r w:rsidR="00B86254">
        <w:rPr>
          <w:lang w:eastAsia="en-US"/>
        </w:rPr>
        <w:t>large-scale data sources</w:t>
      </w:r>
      <w:r w:rsidR="00CF358B">
        <w:rPr>
          <w:lang w:eastAsia="en-US"/>
        </w:rPr>
        <w:t xml:space="preserve"> available to our consortium</w:t>
      </w:r>
      <w:r w:rsidR="00A615D2">
        <w:rPr>
          <w:lang w:eastAsia="en-US"/>
        </w:rPr>
        <w:t xml:space="preserve">, </w:t>
      </w:r>
      <w:r w:rsidR="00BD4859">
        <w:rPr>
          <w:lang w:eastAsia="en-US"/>
        </w:rPr>
        <w:t xml:space="preserve">each </w:t>
      </w:r>
      <w:r w:rsidR="00A615D2">
        <w:rPr>
          <w:lang w:eastAsia="en-US"/>
        </w:rPr>
        <w:t>constituting</w:t>
      </w:r>
      <w:r w:rsidR="00234B3C">
        <w:rPr>
          <w:lang w:eastAsia="en-US"/>
        </w:rPr>
        <w:t xml:space="preserve"> purpose-designed prospective cohort studies</w:t>
      </w:r>
      <w:r w:rsidR="00B86254">
        <w:rPr>
          <w:lang w:eastAsia="en-US"/>
        </w:rPr>
        <w:t xml:space="preserve"> </w:t>
      </w:r>
      <w:r w:rsidR="00234B3C">
        <w:rPr>
          <w:lang w:eastAsia="en-US"/>
        </w:rPr>
        <w:t>with quantitative information on alcohol consumption</w:t>
      </w:r>
      <w:r w:rsidR="00503835">
        <w:rPr>
          <w:lang w:eastAsia="en-US"/>
        </w:rPr>
        <w:t xml:space="preserve"> (</w:t>
      </w:r>
      <w:r w:rsidR="00503835" w:rsidRPr="00503835">
        <w:rPr>
          <w:b/>
          <w:lang w:eastAsia="en-US"/>
        </w:rPr>
        <w:t>eFigure 1</w:t>
      </w:r>
      <w:r w:rsidR="00503835">
        <w:rPr>
          <w:lang w:eastAsia="en-US"/>
        </w:rPr>
        <w:t>)</w:t>
      </w:r>
      <w:r w:rsidR="006E7B80">
        <w:rPr>
          <w:lang w:eastAsia="en-US"/>
        </w:rPr>
        <w:t>.</w:t>
      </w:r>
      <w:r w:rsidR="00234B3C">
        <w:rPr>
          <w:lang w:eastAsia="en-US"/>
        </w:rPr>
        <w:t xml:space="preserve"> First, t</w:t>
      </w:r>
      <w:r w:rsidR="006E7B80">
        <w:rPr>
          <w:lang w:eastAsia="en-US"/>
        </w:rPr>
        <w:t xml:space="preserve">he </w:t>
      </w:r>
      <w:r w:rsidR="006E7B80">
        <w:rPr>
          <w:rFonts w:cstheme="minorHAnsi"/>
          <w:color w:val="000000" w:themeColor="text1"/>
          <w:szCs w:val="20"/>
        </w:rPr>
        <w:t>Emerging Risk Factors Collaboration (ERFC)</w:t>
      </w:r>
      <w:r w:rsidR="00234B3C">
        <w:rPr>
          <w:rFonts w:cstheme="minorHAnsi"/>
          <w:color w:val="000000" w:themeColor="text1"/>
          <w:szCs w:val="20"/>
        </w:rPr>
        <w:t xml:space="preserve"> is a co</w:t>
      </w:r>
      <w:r w:rsidR="00CF358B">
        <w:rPr>
          <w:rFonts w:cstheme="minorHAnsi"/>
          <w:color w:val="000000" w:themeColor="text1"/>
          <w:szCs w:val="20"/>
        </w:rPr>
        <w:t xml:space="preserve">llaboration </w:t>
      </w:r>
      <w:r w:rsidR="00234B3C">
        <w:rPr>
          <w:rFonts w:cstheme="minorHAnsi"/>
          <w:color w:val="000000" w:themeColor="text1"/>
          <w:szCs w:val="20"/>
        </w:rPr>
        <w:t>of prospective cohort studies with information on a variety of risk factors, CVD outcomes, and mortality</w:t>
      </w:r>
      <w:r w:rsidR="00234B3C">
        <w:rPr>
          <w:lang w:eastAsia="en-US"/>
        </w:rPr>
        <w:fldChar w:fldCharType="begin" w:fldLock="1"/>
      </w:r>
      <w:r w:rsidR="00E50B13">
        <w:rPr>
          <w:lang w:eastAsia="en-US"/>
        </w:rPr>
        <w:instrText>ADDIN CSL_CITATION { "citationItems" : [ { "id" : "ITEM-1", "itemData" : { "DOI" : "10.1007/s10654-007-9165-7", "ISBN" : "0393-2990 (Print) 0393-2990", "ISSN" : "15737284", "PMID" : "17876711", "abstract" : "Many long-term prospective studies have reported on associations of cardiovascular diseases with circulating lipid markers and/or inflammatory markers. Studies have not, however, generally been designed to provide reliable estimates under different circumstances and to correct for within-person variability. The Emerging Risk Factors Collaboration has established a central database on over 1.1 million participants from 104 prospective population-based studies, in which subsets have information on lipid and inflammatory markers, other characteristics, as well as major cardiovascular morbidity and cause-specific mortality. Information on repeat measurements on relevant characteristics has been collected in approximately 340,000 participants to enable estimation of and correction for within-person variability. Re-analysis of individual data will yield up to approximately 69,000 incident fatal or nonfatal first ever major cardiovascular outcomes recorded during about 11.7 million person years at risk. The primary analyses will involve age-specific regression models in people without known baseline cardiovascular disease in relation to fatal or nonfatal first ever coronary heart disease outcomes. This initiative will characterize more precisely and in greater detail than has previously been possible the shape and strength of the age- and sex-specific associations of several lipid and inflammatory markers with incident coronary heart disease outcomes (and, secondarily, with other incident cardiovascular outcomes) under a wide range of circumstances. It will, therefore, help to determine to what extent such associations are independent from possible confounding factors and to what extent such markers (separately and in combination) provide incremental predictive value.", "author" : [ { "dropping-particle" : "", "family" : "Danesh", "given" : "J.", "non-dropping-particle" : "", "parse-names" : false, "suffix" : "" }, { "dropping-particle" : "", "family" : "Erqou", "given" : "S.", "non-dropping-particle" : "", "parse-names" : false, "suffix" : "" }, { "dropping-particle" : "", "family" : "Walker", "given" : "M.", "non-dropping-particle" : "", "parse-names" : false, "suffix" : "" }, { "dropping-particle" : "", "family" : "Thompson", "given" : "S. G.", "non-dropping-particle" : "", "parse-names" : false, "suffix" : "" }, { "dropping-particle" : "", "family" : "Tipping", "given" : "R.", "non-dropping-particle" : "", "parse-names" : false, "suffix" : "" }, { "dropping-particle" : "", "family" : "Ford", "given" : "C.", "non-dropping-particle" : "", "parse-names" : false, "suffix" : "" }, { "dropping-particle" : "", "family" : "Pressel", "given" : "S.", "non-dropping-particle" : "", "parse-names" : false, "suffix" : "" }, { "dropping-particle" : "", "family" : "Walldius", "given" : "G.", "non-dropping-particle" : "", "parse-names" : false, "suffix" : "" }, { "dropping-particle" : "", "family" : "Jungner", "given" : "I.", "non-dropping-particle" : "", "parse-names" : false, "suffix" : "" }, { "dropping-particle" : "", "family" : "Folsom", "given" : "A. R.", "non-dropping-particle" : "", "parse-names" : false, "suffix" : "" }, { "dropping-particle" : "", "family" : "Chambless", "given" : "L. E.", "non-dropping-particle" : "", "parse-names" : false, "suffix" : "" }, { "dropping-particle" : "", "family" : "Knuiman", "given" : "M.", "non-dropping-particle" : "", "parse-names" : false, "suffix" : "" }, { "dropping-particle" : "", "family" : "Whincup", "given" : "P. H.", "non-dropping-particle" : "", "parse-names" : false, "suffix" : "" }, { "dropping-particle" : "", "family" : "Wannamethee", "given" : "S. G.", "non-dropping-particle" : "", "parse-names" : false, "suffix" : "" }, { "dropping-particle" : "", "family" : "Morris", "given" : "R. W.", "non-dropping-particle" : "", "parse-names" : false, "suffix" : "" }, { "dropping-particle" : "", "family" : "Willeit", "given" : "J.", "non-dropping-particle" : "", "parse-names" : false, "suffix" : "" }, { "dropping-particle" : "", "family" : "Kiechl", "given" : "S.", "non-dropping-particle" : "", "parse-names" : false, "suffix" : "" }, { "dropping-particle" : "", "family" : "Santer", "given" : "P.", "non-dropping-particle" : "", "parse-names" : false, "suffix" : "" }, { "dropping-particle" : "", "family" : "Mayr", "given" : "A.", "non-dropping-particle" : "", "parse-names" : false, "suffix" : "" }, { "dropping-particle" : "", "family" : "Wald", "given" : "N.", "non-dropping-particle" : "", "parse-names" : false, "suffix" : "" }, { "dropping-particle" : "", "family" : "Ebrahim", "given" : "S.", "non-dropping-particle" : "", "parse-names" : false, "suffix" : "" }, { "dropping-particle" : "", "family" : "Lawlor", "given" : "D. A.", "non-dropping-particle" : "", "parse-names" : false, "suffix" : "" }, { "dropping-particle" : "", "family" : "Yarnell", "given" : "J. W.G.", "non-dropping-particle" : "", "parse-names" : false, "suffix" : "" }, { "dropping-particle" : "", "family" : "Gallacher", "given" : "J.", "non-dropping-particle" : "", "parse-names" : false, "suffix" : "" }, { "dropping-particle" : "", "family" : "Casiglia", "given" : "E.", "non-dropping-particle" : "", "parse-names" : false, "suffix" : "" }, { "dropping-particle" : "", "family" : "Tikhonoff", "given" : "V.", "non-dropping-particle" : "", "parse-names" : false, "suffix" : "" }, { "dropping-particle" : "", "family" : "Nietert", "given" : "P. J.", "non-dropping-particle" : "", "parse-names" : false, "suffix" : "" }, { "dropping-particle" : "", "family" : "Sutherland", "given" : "S. E.", "non-dropping-particle" : "", "parse-names" : false, "suffix" : "" }, { "dropping-particle" : "", "family" : "Bachman", "given" : "D. L.", "non-dropping-particle" : "", "parse-names" : false, "suffix" : "" }, { "dropping-particle" : "", "family" : "Keil", "given" : "J. E.", "non-dropping-particle" : "", "parse-names" : false, "suffix" : "" }, { "dropping-particle" : "", "family" : "Cushman", "given" : "M.", "non-dropping-particle" : "", "parse-names" : false, "suffix" : "" }, { "dropping-particle" : "", "family" : "Psaty", "given" : "B. M.", "non-dropping-particle" : "", "parse-names" : false, "suffix" : "" }, { "dropping-particle" : "", "family" : "Tracy", "given" : "R. P.", "non-dropping-particle" : "", "parse-names" : false, "suffix" : "" }, { "dropping-particle" : "", "family" : "Tybj\u00e6rg-Hansen", "given" : "A.", "non-dropping-particle" : "", "parse-names" : false, "suffix" : "" }, { "dropping-particle" : "", "family" : "Nordestgaard", "given" : "B. G.", "non-dropping-particle" : "", "parse-names" : false, "suffix" : "" }, { "dropping-particle" : "", "family" : "Frikke-Schmidt", "given" : "R.", "non-dropping-particle" : "", "parse-names" : false, "suffix" : "" }, { "dropping-particle" : "", "family" : "Giampaoli", "given" : "S.", "non-dropping-particle" : "", "parse-names" : false, "suffix" : "" }, { "dropping-particle" : "", "family" : "Palmieri", "given" : "L.", "non-dropping-particle" : "", "parse-names" : false, "suffix" : "" }, { "dropping-particle" : "", "family" : "Panico", "given" : "S.", "non-dropping-particle" : "", "parse-names" : false, "suffix" : "" }, { "dropping-particle" : "", "family" : "Vanuzzo", "given" : "D.", "non-dropping-particle" : "", "parse-names" : false, "suffix" : "" }, { "dropping-particle" : "", "family" : "Pilotto", "given" : "L.", "non-dropping-particle" : "", "parse-names" : false, "suffix" : "" }, { "dropping-particle" : "", "family" : "Simons", "given" : "L.", "non-dropping-particle" : "", "parse-names" : false, "suffix" : "" }, { "dropping-particle" : "", "family" : "McCallum", "given" : "J.", "non-dropping-particle" : "", "parse-names" : false, "suffix" : "" }, { "dropping-particle" : "", "family" : "Friedlander", "given" : "Y.", "non-dropping-particle" : "", "parse-names" : false, "suffix" : "" }, { "dropping-particle" : "", "family" : "Fowkes", "given" : "F. G.R.", "non-dropping-particle" : "", "parse-names" : false, "suffix" : "" }, { "dropping-particle" : "", "family" : "Lee", "given" : "A. J.", "non-dropping-particle" : "", "parse-names" : false, "suffix" : "" }, { "dropping-particle" : "", "family" : "Smith", "given" : "F. B.", "non-dropping-particle" : "", "parse-names" : false, "suffix" : "" }, { "dropping-particle" : "", "family" : "Taylor", "given" : "J.", "non-dropping-particle" : "", "parse-names" : false, "suffix" : "" }, { "dropping-particle" : "", "family" : "Guralnik", "given" : "J.", "non-dropping-particle" : "", "parse-names" : false, "suffix" : "" }, { "dropping-particle" : "", "family" : "Phillips", "given" : "C.", "non-dropping-particle" : "", "parse-names" : false, "suffix" : "" }, { "dropping-particle" : "", "family" : "Wallace", "given" : "R.", "non-dropping-particle" : "", "parse-names" : false, "suffix" : "" }, { "dropping-particle" : "", "family" : "Blazer", "given" : "D.", "non-dropping-particle" : "", "parse-names" : false, "suffix" : "" }, { "dropping-particle" : "", "family" : "Khaw", "given" : "K. T.", "non-dropping-particle" : "", "parse-names" : false, "suffix" : "" }, { "dropping-particle" : "", "family" : "Jansson", "given" : "J. H.", "non-dropping-particle" : "", "parse-names" : false, "suffix" : "" }, { "dropping-particle" : "", "family" : "Donfrancesco", "given" : "C.", "non-dropping-particle" : "", "parse-names" : false, "suffix" : "" }, { "dropping-particle" : "", "family" : "Salomaa", "given" : "V.", "non-dropping-particle" : "", "parse-names" : false, "suffix" : "" }, { "dropping-particle" : "", "family" : "Harald", "given" : "K.", "non-dropping-particle" : "", "parse-names" : false, "suffix" : "" }, { "dropping-particle" : "", "family" : "Jousilahti", "given" : "P.", "non-dropping-particle" : "", "parse-names" : false, "suffix" : "" }, { "dropping-particle" : "", "family" : "Vartiainen", "given" : "E.", "non-dropping-particle" : "", "parse-names" : false, "suffix" : "" }, { "dropping-particle" : "", "family" : "Woodward", "given" : "M.", "non-dropping-particle" : "", "parse-names" : false, "suffix" : "" }, { "dropping-particle" : "", "family" : "D'Agostino", "given" : "R. B.", "non-dropping-particle" : "", "parse-names" : false, "suffix" : "" }, { "dropping-particle" : "", "family" : "Wolf", "given" : "P. A.", "non-dropping-particle" : "", "parse-names" : false, "suffix" : "" }, { "dropping-particle" : "", "family" : "Vasan", "given" : "R. S.", "non-dropping-particle" : "", "parse-names" : false, "suffix" : "" }, { "dropping-particle" : "", "family" : "Pencina", "given" : "M. J.", "non-dropping-particle" : "", "parse-names" : false, "suffix" : "" }, { "dropping-particle" : "", "family" : "Bladbjerg", "given" : "E. M.", "non-dropping-particle" : "", "parse-names" : false, "suffix" : "" }, { "dropping-particle" : "", "family" : "Jorgensen", "given" : "T.", "non-dropping-particle" : "", "parse-names" : false, "suffix" : "" }, { "dropping-particle" : "", "family" : "Moller", "given" : "L.", "non-dropping-particle" : "", "parse-names" : false, "suffix" : "" }, { "dropping-particle" : "", "family" : "Jespersen", "given" : "J.", "non-dropping-particle" : "", "parse-names" : false, "suffix" : "" }, { "dropping-particle" : "", "family" : "Dankner", "given" : "R.", "non-dropping-particle" : "", "parse-names" : false, "suffix" : "" }, { "dropping-particle" : "", "family" : "Chetrit", "given" : "A.", "non-dropping-particle" : "", "parse-names" : false, "suffix" : "" }, { "dropping-particle" : "", "family" : "Lubin", "given" : "F.", "non-dropping-particle" : "", "parse-names" : false, "suffix" : "" }, { "dropping-particle" : "", "family" : "Rosengren", "given" : "A.", "non-dropping-particle" : "", "parse-names" : false, "suffix" : "" }, { "dropping-particle" : "", "family" : "Wilhelmsen", "given" : "L.", "non-dropping-particle" : "", "parse-names" : false, "suffix" : "" }, { "dropping-particle" : "", "family" : "Lappas", "given" : "G.", "non-dropping-particle" : "", "parse-names" : false, "suffix" : "" }, { "dropping-particle" : "", "family" : "Eriksson", "given" : "H.", "non-dropping-particle" : "", "parse-names" : false, "suffix" : "" }, { "dropping-particle" : "", "family" : "Bjorkelund", "given" : "C.", "non-dropping-particle" : "", "parse-names" : false, "suffix" : "" }, { "dropping-particle" : "", "family" : "Cremer", "given" : "P.", "non-dropping-particle" : "", "parse-names" : false, "suffix" : "" }, { "dropping-particle" : "", "family" : "Nagel", "given" : "D.", "non-dropping-particle" : "", "parse-names" : false, "suffix" : "" }, { "dropping-particle" : "", "family" : "Tilvis", "given" : "R.", "non-dropping-particle" : "", "parse-names" : false, "suffix" : "" }, { "dropping-particle" : "", "family" : "Strandberg", "given" : "T.", "non-dropping-particle" : "", "parse-names" : false, "suffix" : "" }, { "dropping-particle" : "", "family" : "Rodriguez", "given" : "B.", "non-dropping-particle" : "", "parse-names" : false, "suffix" : "" }, { "dropping-particle" : "", "family" : "Bouter", "given" : "L. M.", "non-dropping-particle" : "", "parse-names" : false, "suffix" : "" }, { "dropping-particle" : "", "family" : "Heine", "given" : "R. J.", "non-dropping-particle" : "", "parse-names" : false, "suffix" : "" }, { "dropping-particle" : "", "family" : "Dekker", "given" : "J. M.", "non-dropping-particle" : "", "parse-names" : false, "suffix" : "" }, { "dropping-particle" : "", "family" : "Nijpels", "given" : "G.", "non-dropping-particle" : "", "parse-names" : false, "suffix" : "" }, { "dropping-particle" : "", "family" : "Stehouwer", "given" : "C. D.A.", "non-dropping-particle" : "", "parse-names" : false, "suffix" : "" }, { "dropping-particle" : "", "family" : "Rimm", "given" : "E.", "non-dropping-particle" : "", "parse-names" : false, "suffix" : "" }, { "dropping-particle" : "", "family" : "Pai", "given" : "J.", "non-dropping-particle" : "", "parse-names" : false, "suffix" : "" }, { "dropping-particle" : "", "family" : "Sato", "given" : "S.", "non-dropping-particle" : "", "parse-names" : false, "suffix" : "" }, { "dropping-particle" : "", "family" : "Iso", "given" : "H.", "non-dropping-particle" : "", "parse-names" : false, "suffix" : "" }, { "dropping-particle" : "", "family" : "Kitamura", "given" : "A.", "non-dropping-particle" : "", "parse-names" : false, "suffix" : "" }, { "dropping-particle" : "", "family" : "Noda", "given" : "H.", "non-dropping-particle" : "", "parse-names" : false, "suffix" : "" }, { "dropping-particle" : "", "family" : "Goldbourt", "given" : "U.", "non-dropping-particle" : "", "parse-names" : false, "suffix" : "" }, { "dropping-particle" : "", "family" : "Salonen", "given" : "J. T.", "non-dropping-particle" : "", "parse-names" : false, "suffix" : "" }, { "dropping-particle" : "", "family" : "Nyyss\u00d6nen", "given" : "K.", "non-dropping-particle" : "", "parse-names" : false, "suffix" : "" }, { "dropping-particle" : "", "family" : "Tuomainen", "given" : "T. P.", "non-dropping-particle" : "", "parse-names" : false, "suffix" : "" }, { "dropping-particle" : "", "family" : "Deeg", "given" : "D.", "non-dropping-particle" : "", "parse-names" : false, "suffix" : "" }, { "dropping-particle" : "", "family" : "Poppelaars", "given" : "J. L.", "non-dropping-particle" : "", "parse-names" : false, "suffix" : "" }, { "dropping-particle" : "", "family" : "Meade", "given" : "T.", "non-dropping-particle" : "", "parse-names" : false, "suffix" : "" }, { "dropping-particle" : "", "family" : "Cooper", "given" : "J.", "non-dropping-particle" : "", "parse-names" : false, "suffix" : "" }, { "dropping-particle" : "", "family" : "Hedblad", "given" : "B.", "non-dropping-particle" : "", "parse-names" : false, "suffix" : "" }, { "dropping-particle" : "", "family" : "Berglund", "given" : "G.", "non-dropping-particle" : "", "parse-names" : false, "suffix" : "" }, { "dropping-particle" : "", "family" : "Engstrom", "given" : "G.", "non-dropping-particle" : "", "parse-names" : false, "suffix" : "" }, { "dropping-particle" : "", "family" : "D\u00d6ring", "given" : "A.", "non-dropping-particle" : "", "parse-names" : false, "suffix" : "" }, { "dropping-particle" : "", "family" : "Koenig", "given" : "W.", "non-dropping-particle" : "", "parse-names" : false, "suffix" : "" }, { "dropping-particle" : "", "family" : "Meisinger", "given" : "C.", "non-dropping-particle" : "", "parse-names" : false, "suffix" : "" }, { "dropping-particle" : "", "family" : "Mraz", "given" : "W.", "non-dropping-particle" : "", "parse-names" : false, "suffix" : "" }, { "dropping-particle" : "", "family" : "Kuller", "given" : "L.", "non-dropping-particle" : "", "parse-names" : false, "suffix" : "" }, { "dropping-particle" : "", "family" : "Selmer", "given" : "R.", "non-dropping-particle" : "", "parse-names" : false, "suffix" : "" }, { "dropping-particle" : "", "family" : "Tverdal", "given" : "A.", "non-dropping-particle" : "", "parse-names" : false, "suffix" : "" }, { "dropping-particle" : "", "family" : "Nystad", "given" : "W.", "non-dropping-particle" : "", "parse-names" : false, "suffix" : "" }, { "dropping-particle" : "", "family" : "Gillum", "given" : "R.", "non-dropping-particle" : "", "parse-names" : false, "suffix" : "" }, { "dropping-particle" : "", "family" : "Mussolino", "given" : "M.", "non-dropping-particle" : "", "parse-names" : false, "suffix" : "" }, { "dropping-particle" : "", "family" : "Hankinson", "given" : "S.", "non-dropping-particle" : "", "parse-names" : false, "suffix" : "" }, { "dropping-particle" : "", "family" : "Manson", "given" : "J.", "non-dropping-particle" : "", "parse-names" : false, "suffix" : "" }, { "dropping-particle" : "", "family" : "Meade", "given" : "T. W.", "non-dropping-particle" : "", "parse-names" : false, "suffix" : "" }, { "dropping-particle" : "", "family" : "Cooper", "given" : "J. A.", "non-dropping-particle" : "", "parse-names" : false, "suffix" : "" }, { "dropping-particle" : "", "family" : "Stavola", "given" : "B.", "non-dropping-particle" : "De", "parse-names" : false, "suffix" : "" }, { "dropping-particle" : "", "family" : "Knottenbelt", "given" : "C.", "non-dropping-particle" : "", "parse-names" : false, "suffix" : "" }, { "dropping-particle" : "", "family" : "Bauer", "given" : "K. A.", "non-dropping-particle" : "", "parse-names" : false, "suffix" : "" }, { "dropping-particle" : "", "family" : "Rosenberg", "given" : "R. D.", "non-dropping-particle" : "", "parse-names" : false, "suffix" : "" }, { "dropping-particle" : "", "family" : "Naito", "given" : "Y.", "non-dropping-particle" : "", "parse-names" : false, "suffix" : "" }, { "dropping-particle" : "", "family" : "Holme", "given" : "I.", "non-dropping-particle" : "", "parse-names" : false, "suffix" : "" }, { "dropping-particle" : "", "family" : "Nakagawa", "given" : "H.", "non-dropping-particle" : "", "parse-names" : false, "suffix" : "" }, { "dropping-particle" : "", "family" : "Miura", "given" : "K.", "non-dropping-particle" : "", "parse-names" : false, "suffix" : "" }, { "dropping-particle" : "", "family" : "Ducimetiere", "given" : "P.", "non-dropping-particle" : "", "parse-names" : false, "suffix" : "" }, { "dropping-particle" : "", "family" : "Jouven", "given" : "X.", "non-dropping-particle" : "", "parse-names" : false, "suffix" : "" }, { "dropping-particle" : "", "family" : "Crespo", "given" : "C.", "non-dropping-particle" : "", "parse-names" : false, "suffix" : "" }, { "dropping-particle" : "", "family" : "Garcia-Palmieri", "given" : "M.", "non-dropping-particle" : "", "parse-names" : false, "suffix" : "" }, { "dropping-particle" : "", "family" : "Amouyel", "given" : "P.", "non-dropping-particle" : "", "parse-names" : false, "suffix" : "" }, { "dropping-particle" : "", "family" : "Arveiler", "given" : "D.", "non-dropping-particle" : "", "parse-names" : false, "suffix" : "" }, { "dropping-particle" : "", "family" : "Evans", "given" : "A.", "non-dropping-particle" : "", "parse-names" : false, "suffix" : "" }, { "dropping-particle" : "", "family" : "Ferrieres", "given" : "J.", "non-dropping-particle" : "", "parse-names" : false, "suffix" : "" }, { "dropping-particle" : "", "family" : "Schulte", "given" : "H.", "non-dropping-particle" : "", "parse-names" : false, "suffix" : "" }, { "dropping-particle" : "", "family" : "Assmann", "given" : "G.", "non-dropping-particle" : "", "parse-names" : false, "suffix" : "" }, { "dropping-particle" : "", "family" : "Shepherd", "given" : "J.", "non-dropping-particle" : "", "parse-names" : false, "suffix" : "" }, { "dropping-particle" : "", "family" : "Packard", "given" : "C.", "non-dropping-particle" : "", "parse-names" : false, "suffix" : "" }, { "dropping-particle" : "", "family" : "Sattar", "given" : "N.", "non-dropping-particle" : "", "parse-names" : false, "suffix" : "" }, { "dropping-particle" : "", "family" : "Ford", "given" : "I.", "non-dropping-particle" : "", "parse-names" : false, "suffix" : "" }, { "dropping-particle" : "", "family" : "Cantin", "given" : "B.", "non-dropping-particle" : "", "parse-names" : false, "suffix" : "" }, { "dropping-particle" : "", "family" : "Lamarche", "given" : "B.", "non-dropping-particle" : "", "parse-names" : false, "suffix" : "" }, { "dropping-particle" : "", "family" : "Despr\u00e9s", "given" : "J. P.", "non-dropping-particle" : "", "parse-names" : false, "suffix" : "" }, { "dropping-particle" : "", "family" : "Dagenais", "given" : "G. R.", "non-dropping-particle" : "", "parse-names" : false, "suffix" : "" }, { "dropping-particle" : "", "family" : "Barrett-Connor", "given" : "E.", "non-dropping-particle" : "", "parse-names" : false, "suffix" : "" }, { "dropping-particle" : "", "family" : "Wingard", "given" : "D.", "non-dropping-particle" : "", "parse-names" : false, "suffix" : "" }, { "dropping-particle" : "", "family" : "Bettencourt", "given" : "R.", "non-dropping-particle" : "", "parse-names" : false, "suffix" : "" }, { "dropping-particle" : "", "family" : "Gudnason", "given" : "V.", "non-dropping-particle" : "", "parse-names" : false, "suffix" : "" }, { "dropping-particle" : "", "family" : "Aspelund", "given" : "T.", "non-dropping-particle" : "", "parse-names" : false, "suffix" : "" }, { "dropping-particle" : "", "family" : "Sigurdsson", "given" : "G.", "non-dropping-particle" : "", "parse-names" : false, "suffix" : "" }, { "dropping-particle" : "", "family" : "Thorsson", "given" : "B.", "non-dropping-particle" : "", "parse-names" : false, "suffix" : "" }, { "dropping-particle" : "", "family" : "Trevisan", "given" : "M.", "non-dropping-particle" : "", "parse-names" : false, "suffix" : "" }, { "dropping-particle" : "", "family" : "Witteman", "given" : "J.", "non-dropping-particle" : "", "parse-names" : false, "suffix" : "" }, { "dropping-particle" : "", "family" : "Kardys", "given" : "I.", "non-dropping-particle" : "", "parse-names" : false, "suffix" : "" }, { "dropping-particle" : "", "family" : "Breteler", "given" : "M.", "non-dropping-particle" : "", "parse-names" : false, "suffix" : "" }, { "dropping-particle" : "", "family" : "Hofman", "given" : "A.", "non-dropping-particle" : "", "parse-names" : false, "suffix" : "" }, { "dropping-particle" : "", "family" : "Tunstall-Pedoe", "given" : "H.", "non-dropping-particle" : "", "parse-names" : false, "suffix" : "" }, { "dropping-particle" : "", "family" : "Tavendale", "given" : "R.", "non-dropping-particle" : "", "parse-names" : false, "suffix" : "" }, { "dropping-particle" : "", "family" : "Lowe", "given" : "G. D.O.", "non-dropping-particle" : "", "parse-names" : false, "suffix" : "" }, { "dropping-particle" : "", "family" : "Ben-Shlomo", "given" : "Y.", "non-dropping-particle" : "", "parse-names" : false, "suffix" : "" }, { "dropping-particle" : "V.", "family" : "Howard", "given" : "B.", "non-dropping-particle" : "", "parse-names" : false, "suffix" : "" }, { "dropping-particle" : "", "family" : "Zhang", "given" : "Y.", "non-dropping-particle" : "", "parse-names" : false, "suffix" : "" }, { "dropping-particle" : "", "family" : "Best", "given" : "L.", "non-dropping-particle" : "", "parse-names" : false, "suffix" : "" }, { "dropping-particle" : "", "family" : "Umans", "given" : "J.", "non-dropping-particle" : "", "parse-names" : false, "suffix" : "" }, { "dropping-particle" : "", "family" : "Onat", "given" : "A.", "non-dropping-particle" : "", "parse-names" : false, "suffix" : "" }, { "dropping-particle" : "", "family" : "Njolstad", "given" : "I.", "non-dropping-particle" : "", "parse-names" : false, "suffix" : "" }, { "dropping-particle" : "", "family" : "Mathiesen", "given" : "E.", "non-dropping-particle" : "", "parse-names" : false, "suffix" : "" }, { "dropping-particle" : "", "family" : "Lochen", "given" : "M. L.", "non-dropping-particle" : "", "parse-names" : false, "suffix" : "" }, { "dropping-particle" : "", "family" : "Wilsgaard", "given" : "T.", "non-dropping-particle" : "", "parse-names" : false, "suffix" : "" }, { "dropping-particle" : "", "family" : "Gaziano", "given" : "J. M.", "non-dropping-particle" : "", "parse-names" : false, "suffix" : "" }, { "dropping-particle" : "", "family" : "Stampfer", "given" : "M.", "non-dropping-particle" : "", "parse-names" : false, "suffix" : "" }, { "dropping-particle" : "", "family" : "Ridker", "given" : "P.", "non-dropping-particle" : "", "parse-names" : false, "suffix" : "" }, { "dropping-particle" : "", "family" : "Ulmer", "given" : "H.", "non-dropping-particle" : "", "parse-names" : false, "suffix" : "" }, { "dropping-particle" : "", "family" : "Diem", "given" : "G.", "non-dropping-particle" : "", "parse-names" : false, "suffix" : "" }, { "dropping-particle" : "", "family" : "Concin", "given" : "H.", "non-dropping-particle" : "", "parse-names" : false, "suffix" : "" }, { "dropping-particle" : "", "family" : "Rodeghiero", "given" : "F.", "non-dropping-particle" : "", "parse-names" : false, "suffix" : "" }, { "dropping-particle" : "", "family" : "Tosetto", "given" : "A.", "non-dropping-particle" : "", "parse-names" : false, "suffix" : "" }, { "dropping-particle" : "", "family" : "Brunner", "given" : "E.", "non-dropping-particle" : "", "parse-names" : false, "suffix" : "" }, { "dropping-particle" : "", "family" : "Shipley", "given" : "M.", "non-dropping-particle" : "", "parse-names" : false, "suffix" : "" }, { "dropping-particle" : "", "family" : "Buring", "given" : "J.", "non-dropping-particle" : "", "parse-names" : false, "suffix" : "" }, { "dropping-particle" : "", "family" : "Cobbe", "given" : "S. M.", "non-dropping-particle" : "", "parse-names" : false, "suffix" : "" }, { "dropping-particle" : "", "family" : "Robertson", "given" : "M.", "non-dropping-particle" : "", "parse-names" : false, "suffix" : "" }, { "dropping-particle" : "", "family" : "He", "given" : "Y.", "non-dropping-particle" : "", "parse-names" : false, "suffix" : "" }, { "dropping-particle" : "", "family" : "Ibanez", "given" : "A. M.", "non-dropping-particle" : "", "parse-names" : false, "suffix" : "" }, { "dropping-particle" : "", "family" : "Feskens", "given" : "E. J.M.", "non-dropping-particle" : "", "parse-names" : false, "suffix" : "" }, { "dropping-particle" : "", "family" : "Kromhout", "given" : "D.", "non-dropping-particle" : "", "parse-names" : false, "suffix" : "" }, { "dropping-particle" : "", "family" : "Collins", "given" : "R.", "non-dropping-particle" : "", "parse-names" : false, "suffix" : "" }, { "dropping-particle" : "", "family" : "Angelantonio", "given" : "E.", "non-dropping-particle" : "Di", "parse-names" : false, "suffix" : "" }, { "dropping-particle" : "", "family" : "Kaptoge", "given" : "S.", "non-dropping-particle" : "", "parse-names" : false, "suffix" : "" }, { "dropping-particle" : "", "family" : "Lewington", "given" : "S.", "non-dropping-particle" : "", "parse-names" : false, "suffix" : "" }, { "dropping-particle" : "", "family" : "Orfei", "given" : "L.", "non-dropping-particle" : "", "parse-names" : false, "suffix" : "" }, { "dropping-particle" : "", "family" : "Pennells", "given" : "L.", "non-dropping-particle" : "", "parse-names" : false, "suffix" : "" }, { "dropping-particle" : "", "family" : "Perry", "given" : "P.", "non-dropping-particle" : "", "parse-names" : false, "suffix" : "" }, { "dropping-particle" : "", "family" : "Ray", "given" : "K.", "non-dropping-particle" : "", "parse-names" : false, "suffix" : "" }, { "dropping-particle" : "", "family" : "Sarwar", "given" : "N.", "non-dropping-particle" : "", "parse-names" : false, "suffix" : "" }, { "dropping-particle" : "", "family" : "Scherman", "given" : "M.", "non-dropping-particle" : "", "parse-names" : false, "suffix" : "" }, { "dropping-particle" : "", "family" : "Thompson", "given" : "A.", "non-dropping-particle" : "", "parse-names" : false, "suffix" : "" }, { "dropping-particle" : "", "family" : "Watson", "given" : "S.", "non-dropping-particle" : "", "parse-names" : false, "suffix" : "" }, { "dropping-particle" : "", "family" : "Wensley", "given" : "F.", "non-dropping-particle" : "", "parse-names" : false, "suffix" : "" }, { "dropping-particle" : "", "family" : "White", "given" : "I. R.", "non-dropping-particle" : "", "parse-names" : false, "suffix" : "" }, { "dropping-particle" : "", "family" : "Wood", "given" : "A. M.", "non-dropping-particle" : "", "parse-names" : false, "suffix" : "" } ], "container-title" : "European Journal of Epidemiology", "id" : "ITEM-1", "issue" : "12", "issued" : { "date-parts" : [ [ "2007" ] ] }, "page" : "839-869", "title" : "The emerging risk factors collaboration: Analysis of individual data on lipid, inflammatory and other markers in over 1.1 million participants in 104 prospective studies of cardiovascular diseases", "type" : "article-journal", "volume" : "22" }, "uris" : [ "http://www.mendeley.com/documents/?uuid=8080ac44-238b-44aa-9d38-06ca973eb4f6", "http://www.mendeley.com/documents/?uuid=4efd8c1c-786b-46fa-87ca-900fdb17a62f" ] } ], "mendeley" : { "formattedCitation" : "&lt;sup&gt;22&lt;/sup&gt;", "plainTextFormattedCitation" : "22", "previouslyFormattedCitation" : "&lt;sup&gt;22&lt;/sup&gt;" }, "properties" : { "noteIndex" : 0 }, "schema" : "https://github.com/citation-style-language/schema/raw/master/csl-citation.json" }</w:instrText>
      </w:r>
      <w:r w:rsidR="00234B3C">
        <w:rPr>
          <w:lang w:eastAsia="en-US"/>
        </w:rPr>
        <w:fldChar w:fldCharType="separate"/>
      </w:r>
      <w:r w:rsidR="00234B3C" w:rsidRPr="006A1483">
        <w:rPr>
          <w:noProof/>
          <w:vertAlign w:val="superscript"/>
          <w:lang w:eastAsia="en-US"/>
        </w:rPr>
        <w:t>22</w:t>
      </w:r>
      <w:r w:rsidR="00234B3C">
        <w:rPr>
          <w:lang w:eastAsia="en-US"/>
        </w:rPr>
        <w:fldChar w:fldCharType="end"/>
      </w:r>
      <w:r w:rsidR="00234B3C">
        <w:rPr>
          <w:rFonts w:cstheme="minorHAnsi"/>
          <w:color w:val="000000" w:themeColor="text1"/>
          <w:szCs w:val="20"/>
        </w:rPr>
        <w:t>. Of the 102 studies in the ERFC with information on alcohol status</w:t>
      </w:r>
      <w:r w:rsidR="006E7B80">
        <w:rPr>
          <w:rFonts w:cstheme="minorHAnsi"/>
          <w:color w:val="000000" w:themeColor="text1"/>
          <w:szCs w:val="20"/>
        </w:rPr>
        <w:t xml:space="preserve">, </w:t>
      </w:r>
      <w:r w:rsidR="00234B3C">
        <w:rPr>
          <w:rFonts w:cstheme="minorHAnsi"/>
          <w:color w:val="000000" w:themeColor="text1"/>
          <w:szCs w:val="20"/>
        </w:rPr>
        <w:t>81 had information on quantity of consumption.</w:t>
      </w:r>
      <w:r w:rsidR="00695815">
        <w:rPr>
          <w:rFonts w:cstheme="minorHAnsi"/>
          <w:color w:val="000000" w:themeColor="text1"/>
          <w:szCs w:val="20"/>
        </w:rPr>
        <w:t xml:space="preserve"> Second, </w:t>
      </w:r>
      <w:r w:rsidR="00695815">
        <w:rPr>
          <w:lang w:eastAsia="en-US"/>
        </w:rPr>
        <w:t xml:space="preserve">EPIC-CVD, a 10-country case-cohort study nested in the EPIC a prospective cohort study, had quantitative alcohol information from </w:t>
      </w:r>
      <w:r w:rsidR="00A615D2">
        <w:rPr>
          <w:lang w:eastAsia="en-US"/>
        </w:rPr>
        <w:t>22 of its 23</w:t>
      </w:r>
      <w:r w:rsidR="00BD4859">
        <w:rPr>
          <w:lang w:eastAsia="en-US"/>
        </w:rPr>
        <w:t xml:space="preserve"> contributing</w:t>
      </w:r>
      <w:r w:rsidR="00695815">
        <w:rPr>
          <w:lang w:eastAsia="en-US"/>
        </w:rPr>
        <w:t xml:space="preserve"> centre</w:t>
      </w:r>
      <w:r w:rsidR="00A615D2">
        <w:rPr>
          <w:lang w:eastAsia="en-US"/>
        </w:rPr>
        <w:t>s</w:t>
      </w:r>
      <w:r w:rsidR="00A615D2">
        <w:rPr>
          <w:lang w:eastAsia="en-US"/>
        </w:rPr>
        <w:fldChar w:fldCharType="begin" w:fldLock="1"/>
      </w:r>
      <w:r w:rsidR="00E50B13">
        <w:rPr>
          <w:lang w:eastAsia="en-US"/>
        </w:rPr>
        <w:instrText>ADDIN CSL_CITATION { "citationItems" : [ { "id" : "ITEM-1", "itemData" : { "DOI" : "10.1007/s10654-006-9096-8", "ISBN" : "0393-2990 (Print)\\r0393-2990 (Linking)", "ISSN" : "03932990", "PMID" : "17295097", "abstract" : "EPIC-Heart is the cardiovascular component of the European Prospective Investigation into Cancer and Nutrition (EPIC), a multi-centre prospective cohort study investigating the relationship between nutrition and major chronic disease outcomes. Its objective is to advance understanding about the separate and combined influences of lifestyle (especially dietary), environmental, metabolic and genetic factors in the development of cardiovascular diseases by making best possible use of the unusually informative database and biological samples in EPIC. Between 1992 and 2000, 519,978 participants (366,521 women and 153,457 men, mostly aged 35-70 years) in 23 centres in 10 European countries commenced follow-up for cause- specific mortality, cancer incidence and major cardiovascular morbidity. Dietary information was collected with quantitative questionnaires or semi-quantitative food frequency questionnaires, including a 24-h dietary recall sub-study to help calibrate the dietary measurements. Information was collected on physical activity, tobacco smoking, alcohol consumption, occupational history, socio-economic status, and history of previous illnesses. Anthropometric measurements and blood pressure recordings were made in the majority of participants. Blood samples were taken from 385,747 individuals, from which plasma, serum, red cells, and buffy coat fractions were separated and aliquoted for long-term storage. By 2004, an estimated 10,000 incident fatal and non-fatal coronary and stroke events had been recorded. The first cycle of EPIC-Heart analyses will assess associations of coronary mortality with several prominent dietary hypotheses and with established cardiovascular risk factors. Subsequent analyses will extend this approach to non-fatal cardiovascular outcomes and to further dietary, biochemical and genetic factors.", "author" : [ { "dropping-particle" : "", "family" : "Danesh", "given" : "John", "non-dropping-particle" : "", "parse-names" : false, "suffix" : "" }, { "dropping-particle" : "", "family" : "Saracci", "given" : "Rodolfo", "non-dropping-particle" : "", "parse-names" : false, "suffix" : "" }, { "dropping-particle" : "", "family" : "Berglund", "given" : "G\u00f6ran", "non-dropping-particle" : "", "parse-names" : false, "suffix" : "" }, { "dropping-particle" : "", "family" : "Feskens", "given" : "Edith", "non-dropping-particle" : "", "parse-names" : false, "suffix" : "" }, { "dropping-particle" : "", "family" : "Overvad", "given" : "Kim", "non-dropping-particle" : "", "parse-names" : false, "suffix" : "" }, { "dropping-particle" : "", "family" : "Panico", "given" : "Salvatore", "non-dropping-particle" : "", "parse-names" : false, "suffix" : "" }, { "dropping-particle" : "", "family" : "Thompson", "given" : "Simon", "non-dropping-particle" : "", "parse-names" : false, "suffix" : "" }, { "dropping-particle" : "", "family" : "Fournier", "given" : "Agn\u00e8s", "non-dropping-particle" : "", "parse-names" : false, "suffix" : "" }, { "dropping-particle" : "", "family" : "Clavel-Chapelon", "given" : "Fran\u00e7oise", "non-dropping-particle" : "", "parse-names" : false, "suffix" : "" }, { "dropping-particle" : "", "family" : "Canonico", "given" : "Marianne", "non-dropping-particle" : "", "parse-names" : false, "suffix" : "" }, { "dropping-particle" : "", "family" : "Kaaks", "given" : "Rudolf", "non-dropping-particle" : "", "parse-names" : false, "suffix" : "" }, { "dropping-particle" : "", "family" : "Linseisen", "given" : "Jakob", "non-dropping-particle" : "", "parse-names" : false, "suffix" : "" }, { "dropping-particle" : "", "family" : "Boeing", "given" : "Heiner", "non-dropping-particle" : "", "parse-names" : false, "suffix" : "" }, { "dropping-particle" : "", "family" : "Pischon", "given" : "Tobias", "non-dropping-particle" : "", "parse-names" : false, "suffix" : "" }, { "dropping-particle" : "", "family" : "Weikert", "given" : "Cornelia", "non-dropping-particle" : "", "parse-names" : false, "suffix" : "" }, { "dropping-particle" : "", "family" : "Olsen", "given" : "Anja", "non-dropping-particle" : "", "parse-names" : false, "suffix" : "" }, { "dropping-particle" : "", "family" : "Tj\u00f8nneland", "given" : "Anne", "non-dropping-particle" : "", "parse-names" : false, "suffix" : "" }, { "dropping-particle" : "", "family" : "Johnsen", "given" : "S\u00f8ren Paaske", "non-dropping-particle" : "", "parse-names" : false, "suffix" : "" }, { "dropping-particle" : "", "family" : "Jensen", "given" : "Majken Karoline", "non-dropping-particle" : "", "parse-names" : false, "suffix" : "" }, { "dropping-particle" : "", "family" : "Quir\u00f3s", "given" : "Jose R.", "non-dropping-particle" : "", "parse-names" : false, "suffix" : "" }, { "dropping-particle" : "", "family" : "Svatetz", "given" : "Carlos Alberto Gonzalez", "non-dropping-particle" : "", "parse-names" : false, "suffix" : "" }, { "dropping-particle" : "", "family" : "P\u00e9rez", "given" : "Maria Jos\u00e9 S\u00e1nchez", "non-dropping-particle" : "", "parse-names" : false, "suffix" : "" }, { "dropping-particle" : "", "family" : "Larra\u00f1aga", "given" : "Nerea", "non-dropping-particle" : "", "parse-names" : false, "suffix" : "" }, { "dropping-particle" : "", "family" : "Sanchez", "given" : "Carmen Navarro", "non-dropping-particle" : "", "parse-names" : false, "suffix" : "" }, { "dropping-particle" : "", "family" : "Iribas", "given" : "Concepci\u00f3n Moreno", "non-dropping-particle" : "", "parse-names" : false, "suffix" : "" }, { "dropping-particle" : "", "family" : "Bingham", "given" : "Sheila", "non-dropping-particle" : "", "parse-names" : false, "suffix" : "" }, { "dropping-particle" : "", "family" : "Khaw", "given" : "Kay Tee", "non-dropping-particle" : "", "parse-names" : false, "suffix" : "" }, { "dropping-particle" : "", "family" : "Wareham", "given" : "Nick", "non-dropping-particle" : "", "parse-names" : false, "suffix" : "" }, { "dropping-particle" : "", "family" : "Key", "given" : "Timothy", "non-dropping-particle" : "", "parse-names" : false, "suffix" : "" }, { "dropping-particle" : "", "family" : "Roddam", "given" : "Andrew", "non-dropping-particle" : "", "parse-names" : false, "suffix" : "" }, { "dropping-particle" : "", "family" : "Trichopoulou", "given" : "Antonia", "non-dropping-particle" : "", "parse-names" : false, "suffix" : "" }, { "dropping-particle" : "", "family" : "Benetou", "given" : "Vassiliki", "non-dropping-particle" : "", "parse-names" : false, "suffix" : "" }, { "dropping-particle" : "", "family" : "Trichopoulos", "given" : "Dimitrios", "non-dropping-particle" : "", "parse-names" : false, "suffix" : "" }, { "dropping-particle" : "", "family" : "Masala", "given" : "Giovanna", "non-dropping-particle" : "", "parse-names" : false, "suffix" : "" }, { "dropping-particle" : "", "family" : "Sieri", "given" : "Sabina", "non-dropping-particle" : "", "parse-names" : false, "suffix" : "" }, { "dropping-particle" : "", "family" : "Tumino", "given" : "Rosario", "non-dropping-particle" : "", "parse-names" : false, "suffix" : "" }, { "dropping-particle" : "", "family" : "Sacerdote", "given" : "Carlotta", "non-dropping-particle" : "", "parse-names" : false, "suffix" : "" }, { "dropping-particle" : "", "family" : "Mattiello", "given" : "Amalia", "non-dropping-particle" : "", "parse-names" : false, "suffix" : "" }, { "dropping-particle" : "", "family" : "Verschuren", "given" : "W. M.Monique", "non-dropping-particle" : "", "parse-names" : false, "suffix" : "" }, { "dropping-particle" : "", "family" : "Bueno-De-Mesquita", "given" : "H. Bas", "non-dropping-particle" : "", "parse-names" : false, "suffix" : "" }, { "dropping-particle" : "", "family" : "Grobbee", "given" : "Diederick E.", "non-dropping-particle" : "", "parse-names" : false, "suffix" : "" }, { "dropping-particle" : "", "family" : "Schouw", "given" : "Yvonne T.", "non-dropping-particle" : "Van Der", "parse-names" : false, "suffix" : "" }, { "dropping-particle" : "", "family" : "Melander", "given" : "Olle", "non-dropping-particle" : "", "parse-names" : false, "suffix" : "" }, { "dropping-particle" : "", "family" : "Hallmans", "given" : "G\u00f6ran", "non-dropping-particle" : "", "parse-names" : false, "suffix" : "" }, { "dropping-particle" : "", "family" : "Wennberg", "given" : "Patrik", "non-dropping-particle" : "", "parse-names" : false, "suffix" : "" }, { "dropping-particle" : "", "family" : "Lund", "given" : "Eiliv", "non-dropping-particle" : "", "parse-names" : false, "suffix" : "" }, { "dropping-particle" : "", "family" : "Kumle", "given" : "Merethe", "non-dropping-particle" : "", "parse-names" : false, "suffix" : "" }, { "dropping-particle" : "", "family" : "Skeie", "given" : "Guri", "non-dropping-particle" : "", "parse-names" : false, "suffix" : "" }, { "dropping-particle" : "", "family" : "Ferrari", "given" : "Pietro", "non-dropping-particle" : "", "parse-names" : false, "suffix" : "" }, { "dropping-particle" : "", "family" : "Slimani", "given" : "Nadia", "non-dropping-particle" : "", "parse-names" : false, "suffix" : "" }, { "dropping-particle" : "", "family" : "Norat", "given" : "Teresa", "non-dropping-particle" : "", "parse-names" : false, "suffix" : "" }, { "dropping-particle" : "", "family" : "Riboli", "given" : "Elio", "non-dropping-particle" : "", "parse-names" : false, "suffix" : "" } ], "container-title" : "European Journal of Epidemiology", "id" : "ITEM-1", "issue" : "2", "issued" : { "date-parts" : [ [ "2007" ] ] }, "page" : "129-141", "title" : "EPIC-Heart: The cardiovascular component of a prospective study of nutritional, lifestyle and biological factors in 520,000 middle-aged participants from 10 European countries", "type" : "article-journal", "volume" : "22" }, "uris" : [ "http://www.mendeley.com/documents/?uuid=b37be876-b31c-40a7-94d6-271dbcabbe74", "http://www.mendeley.com/documents/?uuid=a09022ad-beb5-4866-98cf-036d8c5c3b46" ] } ], "mendeley" : { "formattedCitation" : "&lt;sup&gt;23&lt;/sup&gt;", "plainTextFormattedCitation" : "23", "previouslyFormattedCitation" : "&lt;sup&gt;23&lt;/sup&gt;" }, "properties" : { "noteIndex" : 0 }, "schema" : "https://github.com/citation-style-language/schema/raw/master/csl-citation.json" }</w:instrText>
      </w:r>
      <w:r w:rsidR="00A615D2">
        <w:rPr>
          <w:lang w:eastAsia="en-US"/>
        </w:rPr>
        <w:fldChar w:fldCharType="separate"/>
      </w:r>
      <w:r w:rsidR="00A615D2" w:rsidRPr="006A1483">
        <w:rPr>
          <w:noProof/>
          <w:vertAlign w:val="superscript"/>
          <w:lang w:eastAsia="en-US"/>
        </w:rPr>
        <w:t>23</w:t>
      </w:r>
      <w:r w:rsidR="00A615D2">
        <w:rPr>
          <w:lang w:eastAsia="en-US"/>
        </w:rPr>
        <w:fldChar w:fldCharType="end"/>
      </w:r>
      <w:r w:rsidR="00695815">
        <w:rPr>
          <w:lang w:eastAsia="en-US"/>
        </w:rPr>
        <w:t xml:space="preserve">. Third, </w:t>
      </w:r>
      <w:r w:rsidR="00695815">
        <w:rPr>
          <w:rFonts w:cstheme="minorHAnsi"/>
          <w:color w:val="000000" w:themeColor="text1"/>
          <w:szCs w:val="20"/>
        </w:rPr>
        <w:t>UK Biobank</w:t>
      </w:r>
      <w:r w:rsidR="00A615D2">
        <w:rPr>
          <w:rFonts w:cstheme="minorHAnsi"/>
          <w:color w:val="000000" w:themeColor="text1"/>
          <w:szCs w:val="20"/>
        </w:rPr>
        <w:t>,</w:t>
      </w:r>
      <w:r w:rsidR="00695815" w:rsidRPr="00B875DD">
        <w:rPr>
          <w:lang w:eastAsia="en-US"/>
        </w:rPr>
        <w:t xml:space="preserve"> </w:t>
      </w:r>
      <w:r w:rsidR="00695815">
        <w:rPr>
          <w:lang w:eastAsia="en-US"/>
        </w:rPr>
        <w:t>a single large prospective study</w:t>
      </w:r>
      <w:r w:rsidR="00695815">
        <w:rPr>
          <w:rFonts w:cstheme="minorHAnsi"/>
          <w:color w:val="000000" w:themeColor="text1"/>
          <w:szCs w:val="20"/>
        </w:rPr>
        <w:t>, had</w:t>
      </w:r>
      <w:r w:rsidR="00695815">
        <w:rPr>
          <w:lang w:eastAsia="en-US"/>
        </w:rPr>
        <w:t xml:space="preserve"> cohort-wide data on quantitative alcohol consumption</w:t>
      </w:r>
      <w:r w:rsidR="00A615D2">
        <w:rPr>
          <w:lang w:eastAsia="en-US"/>
        </w:rPr>
        <w:fldChar w:fldCharType="begin" w:fldLock="1"/>
      </w:r>
      <w:r w:rsidR="00E50B13">
        <w:rPr>
          <w:lang w:eastAsia="en-US"/>
        </w:rPr>
        <w:instrText>ADDIN CSL_CITATION { "citationItems" : [ { "id" : "ITEM-1", "itemData" : { "DOI" : "10.1371/journal.pmed.1001779", "ISBN" : "1549-1676 (Electronic)\\r1549-1277 (Linking)", "ISSN" : "15491676", "PMID" : "25826379", "abstract" : "Cathie Sudlow and colleagues describe the UK Biobank, a large population-based prospective study, established to allow investigation of the genetic and non-genetic determinants of the diseases of middle and old age.", "author" : [ { "dropping-particle" : "", "family" : "Sudlow", "given" : "Cathie", "non-dropping-particle" : "", "parse-names" : false, "suffix" : "" }, { "dropping-particle" : "", "family" : "Gallacher", "given" : "John", "non-dropping-particle" : "", "parse-names" : false, "suffix" : "" }, { "dropping-particle" : "", "family" : "Allen", "given" : "Naomi", "non-dropping-particle" : "", "parse-names" : false, "suffix" : "" }, { "dropping-particle" : "", "family" : "Beral", "given" : "Valerie", "non-dropping-particle" : "", "parse-names" : false, "suffix" : "" }, { "dropping-particle" : "", "family" : "Burton", "given" : "Paul", "non-dropping-particle" : "", "parse-names" : false, "suffix" : "" }, { "dropping-particle" : "", "family" : "Danesh", "given" : "John", "non-dropping-particle" : "", "parse-names" : false, "suffix" : "" }, { "dropping-particle" : "", "family" : "Downey", "given" : "Paul", "non-dropping-particle" : "", "parse-names" : false, "suffix" : "" }, { "dropping-particle" : "", "family" : "Elliott", "given" : "Paul", "non-dropping-particle" : "", "parse-names" : false, "suffix" : "" }, { "dropping-particle" : "", "family" : "Green", "given" : "Jane", "non-dropping-particle" : "", "parse-names" : false, "suffix" : "" }, { "dropping-particle" : "", "family" : "Landray", "given" : "Martin", "non-dropping-particle" : "", "parse-names" : false, "suffix" : "" }, { "dropping-particle" : "", "family" : "Liu", "given" : "Bette", "non-dropping-particle" : "", "parse-names" : false, "suffix" : "" }, { "dropping-particle" : "", "family" : "Matthews", "given" : "Paul", "non-dropping-particle" : "", "parse-names" : false, "suffix" : "" }, { "dropping-particle" : "", "family" : "Ong", "given" : "Giok", "non-dropping-particle" : "", "parse-names" : false, "suffix" : "" }, { "dropping-particle" : "", "family" : "Pell", "given" : "Jill", "non-dropping-particle" : "", "parse-names" : false, "suffix" : "" }, { "dropping-particle" : "", "family" : "Silman", "given" : "Alan", "non-dropping-particle" : "", "parse-names" : false, "suffix" : "" }, { "dropping-particle" : "", "family" : "Young", "given" : "Alan", "non-dropping-particle" : "", "parse-names" : false, "suffix" : "" }, { "dropping-particle" : "", "family" : "Sprosen", "given" : "Tim", "non-dropping-particle" : "", "parse-names" : false, "suffix" : "" }, { "dropping-particle" : "", "family" : "Peakman", "given" : "Tim", "non-dropping-particle" : "", "parse-names" : false, "suffix" : "" }, { "dropping-particle" : "", "family" : "Collins", "given" : "Rory", "non-dropping-particle" : "", "parse-names" : false, "suffix" : "" } ], "container-title" : "PLoS Medicine", "id" : "ITEM-1", "issue" : "3", "issued" : { "date-parts" : [ [ "2015" ] ] }, "title" : "UK Biobank: An Open Access Resource for Identifying the Causes of a Wide Range of Complex Diseases of Middle and Old Age", "type" : "article-journal", "volume" : "12" }, "uris" : [ "http://www.mendeley.com/documents/?uuid=80d98ef8-e8b3-4f94-99d1-5f7e325a4cd2", "http://www.mendeley.com/documents/?uuid=fe69b444-506a-4c9d-8eb9-661238b8aad7" ] } ], "mendeley" : { "formattedCitation" : "&lt;sup&gt;24&lt;/sup&gt;", "plainTextFormattedCitation" : "24", "previouslyFormattedCitation" : "&lt;sup&gt;24&lt;/sup&gt;" }, "properties" : { "noteIndex" : 0 }, "schema" : "https://github.com/citation-style-language/schema/raw/master/csl-citation.json" }</w:instrText>
      </w:r>
      <w:r w:rsidR="00A615D2">
        <w:rPr>
          <w:lang w:eastAsia="en-US"/>
        </w:rPr>
        <w:fldChar w:fldCharType="separate"/>
      </w:r>
      <w:r w:rsidR="00A615D2" w:rsidRPr="006A1483">
        <w:rPr>
          <w:noProof/>
          <w:vertAlign w:val="superscript"/>
          <w:lang w:eastAsia="en-US"/>
        </w:rPr>
        <w:t>24</w:t>
      </w:r>
      <w:r w:rsidR="00A615D2">
        <w:rPr>
          <w:lang w:eastAsia="en-US"/>
        </w:rPr>
        <w:fldChar w:fldCharType="end"/>
      </w:r>
      <w:r w:rsidR="00695815">
        <w:rPr>
          <w:lang w:eastAsia="en-US"/>
        </w:rPr>
        <w:t>.</w:t>
      </w:r>
      <w:r w:rsidR="00A615D2">
        <w:rPr>
          <w:lang w:eastAsia="en-US"/>
        </w:rPr>
        <w:t xml:space="preserve"> Hence, our combined analysis included information from a total of 83 prospective studies that</w:t>
      </w:r>
      <w:r w:rsidR="00B875DD">
        <w:rPr>
          <w:rFonts w:cstheme="minorHAnsi"/>
          <w:color w:val="000000" w:themeColor="text1"/>
          <w:szCs w:val="20"/>
        </w:rPr>
        <w:t xml:space="preserve"> </w:t>
      </w:r>
      <w:r w:rsidR="00B875DD">
        <w:rPr>
          <w:lang w:eastAsia="en-US"/>
        </w:rPr>
        <w:t xml:space="preserve">each </w:t>
      </w:r>
      <w:r w:rsidR="00B875DD">
        <w:rPr>
          <w:rFonts w:cstheme="minorHAnsi"/>
          <w:color w:val="000000" w:themeColor="text1"/>
          <w:szCs w:val="20"/>
        </w:rPr>
        <w:t xml:space="preserve">used </w:t>
      </w:r>
      <w:r w:rsidR="00B875DD">
        <w:rPr>
          <w:lang w:eastAsia="en-US"/>
        </w:rPr>
        <w:t xml:space="preserve">broadly similar methods to quantify alcohol consumption, record risk factors, and ascertain cause-specific death and CVD events. </w:t>
      </w:r>
      <w:r w:rsidR="00EC77F5">
        <w:rPr>
          <w:rFonts w:eastAsiaTheme="minorHAnsi" w:cstheme="minorHAnsi"/>
          <w:color w:val="000000"/>
          <w:lang w:eastAsia="en-US"/>
        </w:rPr>
        <w:t>We harmonised records</w:t>
      </w:r>
      <w:r w:rsidR="00F2742D">
        <w:rPr>
          <w:rFonts w:eastAsiaTheme="minorHAnsi" w:cstheme="minorHAnsi"/>
          <w:color w:val="000000"/>
          <w:lang w:eastAsia="en-US"/>
        </w:rPr>
        <w:t xml:space="preserve"> of alcohol consumption </w:t>
      </w:r>
      <w:r w:rsidR="00EC77F5" w:rsidRPr="00F5220F">
        <w:rPr>
          <w:rFonts w:eastAsiaTheme="minorHAnsi" w:cstheme="minorHAnsi"/>
          <w:color w:val="000000"/>
          <w:lang w:eastAsia="en-US"/>
        </w:rPr>
        <w:t xml:space="preserve">across </w:t>
      </w:r>
      <w:r w:rsidR="00EC77F5">
        <w:rPr>
          <w:rFonts w:eastAsiaTheme="minorHAnsi" w:cstheme="minorHAnsi"/>
          <w:color w:val="000000"/>
          <w:lang w:eastAsia="en-US"/>
        </w:rPr>
        <w:t xml:space="preserve">contributing </w:t>
      </w:r>
      <w:r w:rsidR="00EC77F5" w:rsidRPr="00F5220F">
        <w:rPr>
          <w:rFonts w:eastAsiaTheme="minorHAnsi" w:cstheme="minorHAnsi"/>
          <w:color w:val="000000"/>
          <w:lang w:eastAsia="en-US"/>
        </w:rPr>
        <w:t>studies by conversion</w:t>
      </w:r>
      <w:r w:rsidR="00EF191B">
        <w:rPr>
          <w:rFonts w:eastAsiaTheme="minorHAnsi" w:cstheme="minorHAnsi"/>
          <w:color w:val="000000"/>
          <w:lang w:eastAsia="en-US"/>
        </w:rPr>
        <w:t xml:space="preserve"> of 1 unit</w:t>
      </w:r>
      <w:r w:rsidR="00EC77F5">
        <w:rPr>
          <w:rFonts w:eastAsiaTheme="minorHAnsi" w:cstheme="minorHAnsi"/>
          <w:color w:val="000000"/>
          <w:lang w:eastAsia="en-US"/>
        </w:rPr>
        <w:t>=8 grams of pure alcohol (ethanol)</w:t>
      </w:r>
      <w:r w:rsidR="00EC77F5" w:rsidRPr="00F5220F">
        <w:rPr>
          <w:rFonts w:eastAsiaTheme="minorHAnsi" w:cstheme="minorHAnsi"/>
          <w:color w:val="000000"/>
          <w:lang w:eastAsia="en-US"/>
        </w:rPr>
        <w:t xml:space="preserve"> to a standard scale of grams/week</w:t>
      </w:r>
      <w:r w:rsidR="00EC77F5">
        <w:rPr>
          <w:rFonts w:eastAsiaTheme="minorHAnsi" w:cstheme="minorHAnsi"/>
          <w:color w:val="000000"/>
          <w:lang w:eastAsia="en-US"/>
        </w:rPr>
        <w:t xml:space="preserve"> (</w:t>
      </w:r>
      <w:r w:rsidR="00EC77F5" w:rsidRPr="00B20E71">
        <w:rPr>
          <w:rFonts w:eastAsiaTheme="minorHAnsi" w:cstheme="minorHAnsi"/>
          <w:b/>
          <w:color w:val="000000"/>
          <w:lang w:eastAsia="en-US"/>
        </w:rPr>
        <w:t>Annex</w:t>
      </w:r>
      <w:r w:rsidR="00EC77F5" w:rsidRPr="00B3471B">
        <w:rPr>
          <w:rFonts w:eastAsiaTheme="minorHAnsi" w:cstheme="minorHAnsi"/>
          <w:b/>
          <w:color w:val="000000"/>
          <w:lang w:eastAsia="en-US"/>
        </w:rPr>
        <w:t xml:space="preserve"> 1</w:t>
      </w:r>
      <w:r w:rsidR="00EC77F5" w:rsidRPr="00586F91">
        <w:rPr>
          <w:rFonts w:eastAsiaTheme="minorHAnsi" w:cstheme="minorHAnsi"/>
          <w:color w:val="000000"/>
          <w:lang w:eastAsia="en-US"/>
        </w:rPr>
        <w:t>)</w:t>
      </w:r>
      <w:r w:rsidR="00EC77F5">
        <w:rPr>
          <w:rFonts w:eastAsiaTheme="minorHAnsi" w:cstheme="minorHAnsi"/>
          <w:color w:val="000000"/>
          <w:lang w:eastAsia="en-US"/>
        </w:rPr>
        <w:t xml:space="preserve">, </w:t>
      </w:r>
      <w:r w:rsidR="00EF191B">
        <w:rPr>
          <w:rFonts w:eastAsiaTheme="minorHAnsi" w:cstheme="minorHAnsi"/>
          <w:color w:val="000000"/>
          <w:lang w:eastAsia="en-US"/>
        </w:rPr>
        <w:t>enabling</w:t>
      </w:r>
      <w:r w:rsidR="00EC77F5">
        <w:rPr>
          <w:rFonts w:eastAsiaTheme="minorHAnsi" w:cstheme="minorHAnsi"/>
          <w:color w:val="000000"/>
          <w:lang w:eastAsia="en-US"/>
        </w:rPr>
        <w:t xml:space="preserve"> a common analytical approach despite variation in</w:t>
      </w:r>
      <w:r w:rsidR="009F6DF8">
        <w:rPr>
          <w:rFonts w:eastAsiaTheme="minorHAnsi" w:cstheme="minorHAnsi"/>
          <w:color w:val="000000"/>
          <w:lang w:eastAsia="en-US"/>
        </w:rPr>
        <w:t xml:space="preserve"> </w:t>
      </w:r>
      <w:r w:rsidR="00446265">
        <w:rPr>
          <w:rFonts w:eastAsiaTheme="minorHAnsi" w:cstheme="minorHAnsi"/>
          <w:color w:val="000000"/>
          <w:lang w:eastAsia="en-US"/>
        </w:rPr>
        <w:t>methods</w:t>
      </w:r>
      <w:r w:rsidR="00EC77F5">
        <w:rPr>
          <w:rFonts w:eastAsiaTheme="minorHAnsi" w:cstheme="minorHAnsi"/>
          <w:color w:val="000000"/>
          <w:lang w:eastAsia="en-US"/>
        </w:rPr>
        <w:t xml:space="preserve"> used </w:t>
      </w:r>
      <w:r w:rsidR="009F6DF8">
        <w:rPr>
          <w:rFonts w:eastAsiaTheme="minorHAnsi" w:cstheme="minorHAnsi"/>
          <w:color w:val="000000"/>
          <w:lang w:eastAsia="en-US"/>
        </w:rPr>
        <w:t>(eg,</w:t>
      </w:r>
      <w:r w:rsidR="00F2742D">
        <w:rPr>
          <w:rFonts w:eastAsiaTheme="minorHAnsi" w:cstheme="minorHAnsi"/>
          <w:color w:val="000000"/>
          <w:lang w:eastAsia="en-US"/>
        </w:rPr>
        <w:t xml:space="preserve"> self-administered </w:t>
      </w:r>
      <w:r w:rsidR="009F6DF8" w:rsidRPr="0046322F">
        <w:rPr>
          <w:rFonts w:eastAsiaTheme="minorHAnsi" w:cstheme="minorHAnsi"/>
          <w:i/>
          <w:color w:val="000000"/>
          <w:lang w:eastAsia="en-US"/>
        </w:rPr>
        <w:t>vs</w:t>
      </w:r>
      <w:r w:rsidR="00F2742D">
        <w:rPr>
          <w:rFonts w:eastAsiaTheme="minorHAnsi" w:cstheme="minorHAnsi"/>
          <w:color w:val="000000"/>
          <w:lang w:eastAsia="en-US"/>
        </w:rPr>
        <w:t xml:space="preserve"> interview</w:t>
      </w:r>
      <w:r w:rsidR="00981D9C">
        <w:rPr>
          <w:rFonts w:eastAsiaTheme="minorHAnsi" w:cstheme="minorHAnsi"/>
          <w:color w:val="000000"/>
          <w:lang w:eastAsia="en-US"/>
        </w:rPr>
        <w:t>-</w:t>
      </w:r>
      <w:r w:rsidR="00F2742D">
        <w:rPr>
          <w:rFonts w:eastAsiaTheme="minorHAnsi" w:cstheme="minorHAnsi"/>
          <w:color w:val="000000"/>
          <w:lang w:eastAsia="en-US"/>
        </w:rPr>
        <w:t>led questionnaires</w:t>
      </w:r>
      <w:r w:rsidR="009F6DF8">
        <w:rPr>
          <w:rFonts w:eastAsiaTheme="minorHAnsi" w:cstheme="minorHAnsi"/>
          <w:color w:val="000000"/>
          <w:lang w:eastAsia="en-US"/>
        </w:rPr>
        <w:t>;</w:t>
      </w:r>
      <w:r w:rsidR="00F2742D">
        <w:rPr>
          <w:rFonts w:eastAsiaTheme="minorHAnsi" w:cstheme="minorHAnsi"/>
          <w:color w:val="000000"/>
          <w:lang w:eastAsia="en-US"/>
        </w:rPr>
        <w:t xml:space="preserve"> food </w:t>
      </w:r>
      <w:r w:rsidR="00F2742D">
        <w:rPr>
          <w:rFonts w:eastAsiaTheme="minorHAnsi" w:cstheme="minorHAnsi"/>
          <w:color w:val="000000"/>
          <w:lang w:eastAsia="en-US"/>
        </w:rPr>
        <w:lastRenderedPageBreak/>
        <w:t>frequency questionnaires</w:t>
      </w:r>
      <w:r w:rsidR="009F6DF8">
        <w:rPr>
          <w:rFonts w:eastAsiaTheme="minorHAnsi" w:cstheme="minorHAnsi"/>
          <w:color w:val="000000"/>
          <w:lang w:eastAsia="en-US"/>
        </w:rPr>
        <w:t xml:space="preserve"> </w:t>
      </w:r>
      <w:r w:rsidR="009F6DF8" w:rsidRPr="0046322F">
        <w:rPr>
          <w:rFonts w:eastAsiaTheme="minorHAnsi" w:cstheme="minorHAnsi"/>
          <w:i/>
          <w:color w:val="000000"/>
          <w:lang w:eastAsia="en-US"/>
        </w:rPr>
        <w:t>vs</w:t>
      </w:r>
      <w:r w:rsidR="00F2742D">
        <w:rPr>
          <w:rFonts w:eastAsiaTheme="minorHAnsi" w:cstheme="minorHAnsi"/>
          <w:color w:val="000000"/>
          <w:lang w:eastAsia="en-US"/>
        </w:rPr>
        <w:t xml:space="preserve"> dietary recall surveys</w:t>
      </w:r>
      <w:r w:rsidR="009F6DF8">
        <w:rPr>
          <w:rFonts w:eastAsiaTheme="minorHAnsi" w:cstheme="minorHAnsi"/>
          <w:color w:val="000000"/>
          <w:lang w:eastAsia="en-US"/>
        </w:rPr>
        <w:t xml:space="preserve">), and </w:t>
      </w:r>
      <w:r w:rsidR="002A313D">
        <w:rPr>
          <w:rFonts w:eastAsiaTheme="minorHAnsi" w:cstheme="minorHAnsi"/>
          <w:color w:val="000000"/>
          <w:lang w:eastAsia="en-US"/>
        </w:rPr>
        <w:t xml:space="preserve">in </w:t>
      </w:r>
      <w:r w:rsidR="00EC77F5">
        <w:rPr>
          <w:rFonts w:eastAsiaTheme="minorHAnsi" w:cstheme="minorHAnsi"/>
          <w:color w:val="000000"/>
          <w:lang w:eastAsia="en-US"/>
        </w:rPr>
        <w:t xml:space="preserve">consumption </w:t>
      </w:r>
      <w:r w:rsidR="009F6DF8">
        <w:rPr>
          <w:rFonts w:eastAsiaTheme="minorHAnsi" w:cstheme="minorHAnsi"/>
          <w:color w:val="000000"/>
          <w:lang w:eastAsia="en-US"/>
        </w:rPr>
        <w:t>s</w:t>
      </w:r>
      <w:r w:rsidR="0082681F">
        <w:rPr>
          <w:rFonts w:eastAsiaTheme="minorHAnsi" w:cstheme="minorHAnsi"/>
          <w:color w:val="000000"/>
          <w:lang w:eastAsia="en-US"/>
        </w:rPr>
        <w:t>cales</w:t>
      </w:r>
      <w:r w:rsidR="00446265">
        <w:rPr>
          <w:rFonts w:eastAsiaTheme="minorHAnsi" w:cstheme="minorHAnsi"/>
          <w:color w:val="000000"/>
          <w:lang w:eastAsia="en-US"/>
        </w:rPr>
        <w:t xml:space="preserve"> </w:t>
      </w:r>
      <w:r w:rsidR="0082681F">
        <w:rPr>
          <w:rFonts w:eastAsiaTheme="minorHAnsi" w:cstheme="minorHAnsi"/>
          <w:color w:val="000000"/>
          <w:lang w:eastAsia="en-US"/>
        </w:rPr>
        <w:t>over different</w:t>
      </w:r>
      <w:r w:rsidR="009F6DF8">
        <w:rPr>
          <w:rFonts w:eastAsiaTheme="minorHAnsi" w:cstheme="minorHAnsi"/>
          <w:color w:val="000000"/>
          <w:lang w:eastAsia="en-US"/>
        </w:rPr>
        <w:t xml:space="preserve"> </w:t>
      </w:r>
      <w:r w:rsidR="001C2304">
        <w:rPr>
          <w:rFonts w:eastAsiaTheme="minorHAnsi" w:cstheme="minorHAnsi"/>
          <w:color w:val="000000"/>
          <w:lang w:eastAsia="en-US"/>
        </w:rPr>
        <w:t>periods of ascertainment</w:t>
      </w:r>
      <w:r w:rsidR="00F2742D">
        <w:rPr>
          <w:rFonts w:eastAsiaTheme="minorHAnsi" w:cstheme="minorHAnsi"/>
          <w:color w:val="000000"/>
          <w:lang w:eastAsia="en-US"/>
        </w:rPr>
        <w:t>.</w:t>
      </w:r>
      <w:r w:rsidR="00F234DA">
        <w:rPr>
          <w:rFonts w:eastAsiaTheme="minorHAnsi" w:cstheme="minorHAnsi"/>
          <w:color w:val="000000"/>
          <w:lang w:eastAsia="en-US"/>
        </w:rPr>
        <w:t xml:space="preserve"> </w:t>
      </w:r>
      <w:r w:rsidR="00F234DA" w:rsidRPr="00B62984">
        <w:rPr>
          <w:rFonts w:cs="Arial"/>
          <w:szCs w:val="20"/>
        </w:rPr>
        <w:t xml:space="preserve">Details of contributing </w:t>
      </w:r>
      <w:r w:rsidR="00F234DA" w:rsidRPr="00093387">
        <w:rPr>
          <w:rFonts w:cs="Arial"/>
          <w:szCs w:val="20"/>
        </w:rPr>
        <w:t xml:space="preserve">studies are in </w:t>
      </w:r>
      <w:r w:rsidR="00F234DA" w:rsidRPr="00093387">
        <w:rPr>
          <w:rFonts w:cs="Arial"/>
          <w:b/>
          <w:szCs w:val="20"/>
        </w:rPr>
        <w:t xml:space="preserve">eTable </w:t>
      </w:r>
      <w:r w:rsidR="00F234DA" w:rsidRPr="00762AC3">
        <w:rPr>
          <w:rFonts w:cs="Arial"/>
          <w:b/>
          <w:szCs w:val="20"/>
        </w:rPr>
        <w:t>1</w:t>
      </w:r>
      <w:r w:rsidR="00F234DA" w:rsidRPr="00607EF2">
        <w:rPr>
          <w:rFonts w:cs="Arial"/>
          <w:b/>
          <w:szCs w:val="20"/>
        </w:rPr>
        <w:t xml:space="preserve"> </w:t>
      </w:r>
      <w:r w:rsidR="00F234DA" w:rsidRPr="00BF6251">
        <w:rPr>
          <w:rFonts w:cs="Arial"/>
          <w:szCs w:val="20"/>
        </w:rPr>
        <w:t>and</w:t>
      </w:r>
      <w:r w:rsidR="00F234DA">
        <w:rPr>
          <w:rFonts w:cs="Arial"/>
          <w:b/>
          <w:szCs w:val="20"/>
        </w:rPr>
        <w:t xml:space="preserve"> Annex 2</w:t>
      </w:r>
      <w:r w:rsidR="00F234DA" w:rsidRPr="00EA5878">
        <w:rPr>
          <w:szCs w:val="20"/>
        </w:rPr>
        <w:t>.</w:t>
      </w:r>
      <w:r w:rsidR="00F234DA">
        <w:rPr>
          <w:szCs w:val="20"/>
        </w:rPr>
        <w:t xml:space="preserve"> </w:t>
      </w:r>
    </w:p>
    <w:p w14:paraId="4F0458F1" w14:textId="77777777" w:rsidR="00A615D2" w:rsidRDefault="00A615D2" w:rsidP="006E7B80">
      <w:pPr>
        <w:rPr>
          <w:szCs w:val="20"/>
        </w:rPr>
      </w:pPr>
    </w:p>
    <w:p w14:paraId="27CAE05A" w14:textId="00193302" w:rsidR="009A6B28" w:rsidRPr="00821857" w:rsidRDefault="007E3317" w:rsidP="009A6B28">
      <w:pPr>
        <w:rPr>
          <w:szCs w:val="20"/>
        </w:rPr>
      </w:pPr>
      <w:r>
        <w:rPr>
          <w:bCs/>
          <w:iCs/>
        </w:rPr>
        <w:t>To be eligible</w:t>
      </w:r>
      <w:r w:rsidR="00503835">
        <w:rPr>
          <w:bCs/>
          <w:iCs/>
        </w:rPr>
        <w:t xml:space="preserve"> for </w:t>
      </w:r>
      <w:r w:rsidR="00986AE0">
        <w:rPr>
          <w:bCs/>
          <w:iCs/>
        </w:rPr>
        <w:t xml:space="preserve">the </w:t>
      </w:r>
      <w:r w:rsidR="00503835">
        <w:rPr>
          <w:bCs/>
          <w:iCs/>
        </w:rPr>
        <w:t>analysis</w:t>
      </w:r>
      <w:r w:rsidR="00535E8E">
        <w:rPr>
          <w:bCs/>
          <w:iCs/>
        </w:rPr>
        <w:t xml:space="preserve">, </w:t>
      </w:r>
      <w:r w:rsidR="00AE62CC">
        <w:rPr>
          <w:bCs/>
          <w:iCs/>
        </w:rPr>
        <w:t>participants</w:t>
      </w:r>
      <w:r w:rsidR="00887B4E">
        <w:rPr>
          <w:lang w:val="en-US"/>
        </w:rPr>
        <w:t xml:space="preserve"> had </w:t>
      </w:r>
      <w:r w:rsidR="00AE62CC">
        <w:rPr>
          <w:bCs/>
          <w:iCs/>
        </w:rPr>
        <w:t>to have</w:t>
      </w:r>
      <w:r w:rsidR="001D4DEF" w:rsidRPr="00BD104E">
        <w:rPr>
          <w:lang w:val="en-US"/>
        </w:rPr>
        <w:t xml:space="preserve"> </w:t>
      </w:r>
      <w:r w:rsidR="00887B4E" w:rsidRPr="00BD104E">
        <w:rPr>
          <w:lang w:val="en-US"/>
        </w:rPr>
        <w:t xml:space="preserve">information </w:t>
      </w:r>
      <w:r w:rsidR="00C77831">
        <w:rPr>
          <w:lang w:val="en-US"/>
        </w:rPr>
        <w:t xml:space="preserve">recorded </w:t>
      </w:r>
      <w:r w:rsidR="00887B4E" w:rsidRPr="00BD104E">
        <w:rPr>
          <w:lang w:val="en-US"/>
        </w:rPr>
        <w:t xml:space="preserve">on </w:t>
      </w:r>
      <w:r w:rsidR="00887B4E">
        <w:rPr>
          <w:lang w:val="en-US"/>
        </w:rPr>
        <w:t xml:space="preserve">alcohol </w:t>
      </w:r>
      <w:r w:rsidR="002F2C0C">
        <w:rPr>
          <w:lang w:val="en-US"/>
        </w:rPr>
        <w:t xml:space="preserve">consumption </w:t>
      </w:r>
      <w:r w:rsidR="00887B4E">
        <w:rPr>
          <w:lang w:val="en-US"/>
        </w:rPr>
        <w:t>amount and status</w:t>
      </w:r>
      <w:r w:rsidR="00E24FF1">
        <w:rPr>
          <w:lang w:val="en-US"/>
        </w:rPr>
        <w:t xml:space="preserve"> (ie</w:t>
      </w:r>
      <w:r w:rsidR="002F2C0C">
        <w:rPr>
          <w:lang w:val="en-US"/>
        </w:rPr>
        <w:t xml:space="preserve">, </w:t>
      </w:r>
      <w:r w:rsidR="00E24FF1">
        <w:rPr>
          <w:lang w:val="en-US"/>
        </w:rPr>
        <w:t xml:space="preserve">non-drinker, </w:t>
      </w:r>
      <w:r w:rsidR="002F2C0C">
        <w:rPr>
          <w:lang w:val="en-US"/>
        </w:rPr>
        <w:t>current drinker)</w:t>
      </w:r>
      <w:r w:rsidR="00887B4E">
        <w:rPr>
          <w:lang w:val="en-US"/>
        </w:rPr>
        <w:t xml:space="preserve">, plus age, sex, </w:t>
      </w:r>
      <w:r w:rsidR="00887B4E" w:rsidRPr="000E0EEC">
        <w:rPr>
          <w:rFonts w:cstheme="minorHAnsi"/>
        </w:rPr>
        <w:t>history of</w:t>
      </w:r>
      <w:r w:rsidR="00916CFF">
        <w:rPr>
          <w:rFonts w:cstheme="minorHAnsi"/>
        </w:rPr>
        <w:t xml:space="preserve"> </w:t>
      </w:r>
      <w:r w:rsidR="00887B4E" w:rsidRPr="000E0EEC">
        <w:rPr>
          <w:rFonts w:cstheme="minorHAnsi"/>
        </w:rPr>
        <w:t>diabetes and</w:t>
      </w:r>
      <w:r w:rsidR="00887B4E">
        <w:rPr>
          <w:rFonts w:cstheme="minorHAnsi"/>
        </w:rPr>
        <w:t xml:space="preserve"> smoking</w:t>
      </w:r>
      <w:r w:rsidR="001D4DEF">
        <w:rPr>
          <w:rFonts w:cstheme="minorHAnsi"/>
        </w:rPr>
        <w:t xml:space="preserve"> status</w:t>
      </w:r>
      <w:r w:rsidR="00ED4106">
        <w:rPr>
          <w:rFonts w:cstheme="minorHAnsi"/>
        </w:rPr>
        <w:t>,</w:t>
      </w:r>
      <w:r w:rsidR="00887B4E">
        <w:rPr>
          <w:rFonts w:cstheme="minorHAnsi"/>
        </w:rPr>
        <w:t xml:space="preserve"> </w:t>
      </w:r>
      <w:r w:rsidR="00AE62CC">
        <w:rPr>
          <w:lang w:val="en-US"/>
        </w:rPr>
        <w:t xml:space="preserve">≥1 year of follow-up after </w:t>
      </w:r>
      <w:r w:rsidR="00AE62CC" w:rsidRPr="007948D6">
        <w:rPr>
          <w:lang w:val="en-US"/>
        </w:rPr>
        <w:t>baseline</w:t>
      </w:r>
      <w:r w:rsidR="00E95E6D">
        <w:t>, and no</w:t>
      </w:r>
      <w:r w:rsidR="00804AFD" w:rsidRPr="00E42927">
        <w:rPr>
          <w:bCs/>
          <w:iCs/>
        </w:rPr>
        <w:t xml:space="preserve"> </w:t>
      </w:r>
      <w:r w:rsidR="00167D50">
        <w:rPr>
          <w:bCs/>
          <w:iCs/>
        </w:rPr>
        <w:t>baseline</w:t>
      </w:r>
      <w:r w:rsidR="00804AFD" w:rsidRPr="00E42927">
        <w:rPr>
          <w:bCs/>
          <w:iCs/>
        </w:rPr>
        <w:t xml:space="preserve"> </w:t>
      </w:r>
      <w:r w:rsidR="00804AFD">
        <w:rPr>
          <w:bCs/>
          <w:iCs/>
        </w:rPr>
        <w:t xml:space="preserve">history of </w:t>
      </w:r>
      <w:r w:rsidR="005236EE">
        <w:rPr>
          <w:bCs/>
          <w:iCs/>
        </w:rPr>
        <w:t>CVD</w:t>
      </w:r>
      <w:r w:rsidR="001904CF">
        <w:rPr>
          <w:rFonts w:cstheme="minorHAnsi"/>
        </w:rPr>
        <w:t xml:space="preserve"> (defined as coronary heart disease, other heart disease, stroke, transient ischemic attack, peripheral </w:t>
      </w:r>
      <w:r w:rsidR="005236EE">
        <w:rPr>
          <w:rFonts w:cstheme="minorHAnsi"/>
        </w:rPr>
        <w:t>arterial</w:t>
      </w:r>
      <w:r w:rsidR="001904CF">
        <w:rPr>
          <w:rFonts w:cstheme="minorHAnsi"/>
        </w:rPr>
        <w:t xml:space="preserve"> disease </w:t>
      </w:r>
      <w:r w:rsidR="001904CF" w:rsidRPr="001904CF">
        <w:rPr>
          <w:rFonts w:cstheme="minorHAnsi"/>
        </w:rPr>
        <w:t xml:space="preserve">or </w:t>
      </w:r>
      <w:r w:rsidR="001904CF">
        <w:rPr>
          <w:rFonts w:cstheme="minorHAnsi"/>
        </w:rPr>
        <w:t>c</w:t>
      </w:r>
      <w:r w:rsidR="001904CF" w:rsidRPr="001904CF">
        <w:rPr>
          <w:rFonts w:cstheme="minorHAnsi"/>
        </w:rPr>
        <w:t>ardiovascular surgery</w:t>
      </w:r>
      <w:r w:rsidR="00A63383">
        <w:rPr>
          <w:rFonts w:cstheme="minorHAnsi"/>
        </w:rPr>
        <w:t xml:space="preserve">; </w:t>
      </w:r>
      <w:r w:rsidR="00CC5CA7" w:rsidRPr="00533968">
        <w:rPr>
          <w:b/>
        </w:rPr>
        <w:t>eFigure 1</w:t>
      </w:r>
      <w:r w:rsidR="00CC5CA7" w:rsidRPr="007948D6">
        <w:t>)</w:t>
      </w:r>
      <w:r w:rsidR="00AE62CC">
        <w:rPr>
          <w:rFonts w:cstheme="minorHAnsi"/>
        </w:rPr>
        <w:t xml:space="preserve">. </w:t>
      </w:r>
      <w:r w:rsidR="00E95E6D">
        <w:rPr>
          <w:lang w:val="en-US"/>
        </w:rPr>
        <w:t>P</w:t>
      </w:r>
      <w:r w:rsidR="008A0337">
        <w:rPr>
          <w:lang w:val="en-US"/>
        </w:rPr>
        <w:t xml:space="preserve">rincipal analyses focused </w:t>
      </w:r>
      <w:r w:rsidR="00F5220F">
        <w:rPr>
          <w:lang w:val="en-US"/>
        </w:rPr>
        <w:t xml:space="preserve">on </w:t>
      </w:r>
      <w:r w:rsidR="00AE62CC">
        <w:rPr>
          <w:rFonts w:eastAsiaTheme="minorHAnsi" w:cstheme="minorHAnsi"/>
          <w:color w:val="000000"/>
          <w:lang w:eastAsia="en-US"/>
        </w:rPr>
        <w:t>current drinkers, whose b</w:t>
      </w:r>
      <w:r w:rsidR="0042521B">
        <w:rPr>
          <w:rFonts w:eastAsiaTheme="minorHAnsi" w:cstheme="minorHAnsi"/>
          <w:color w:val="000000"/>
          <w:lang w:eastAsia="en-US"/>
        </w:rPr>
        <w:t>aseline alcohol consumption was</w:t>
      </w:r>
      <w:r w:rsidR="00535E8E">
        <w:rPr>
          <w:rFonts w:eastAsiaTheme="minorHAnsi" w:cstheme="minorHAnsi"/>
          <w:color w:val="000000"/>
          <w:lang w:eastAsia="en-US"/>
        </w:rPr>
        <w:t xml:space="preserve"> </w:t>
      </w:r>
      <w:r w:rsidR="0042521B">
        <w:rPr>
          <w:rFonts w:eastAsiaTheme="minorHAnsi" w:cstheme="minorHAnsi"/>
          <w:color w:val="000000"/>
          <w:lang w:eastAsia="en-US"/>
        </w:rPr>
        <w:t xml:space="preserve">categorised into eight pre-defined groups: </w:t>
      </w:r>
      <w:r w:rsidR="0042521B">
        <w:t>&gt;0-≤25,</w:t>
      </w:r>
      <w:r w:rsidR="0042521B" w:rsidRPr="00F3673D">
        <w:t xml:space="preserve"> </w:t>
      </w:r>
      <w:r w:rsidR="0042521B">
        <w:t>&gt;25-≤50, &gt;50-≤75,</w:t>
      </w:r>
      <w:r w:rsidR="0042521B" w:rsidRPr="00F3673D">
        <w:t xml:space="preserve"> </w:t>
      </w:r>
      <w:r w:rsidR="0042521B">
        <w:t xml:space="preserve">&gt;75-≤100, &gt;100-≤150, &gt;150-≤250, &gt;250-≤350 and &gt;350 grams/week. </w:t>
      </w:r>
      <w:r w:rsidR="000B7697" w:rsidRPr="002403B2">
        <w:rPr>
          <w:szCs w:val="20"/>
        </w:rPr>
        <w:t xml:space="preserve">We assessed </w:t>
      </w:r>
      <w:r w:rsidR="000B7697" w:rsidRPr="00F2742D">
        <w:rPr>
          <w:szCs w:val="20"/>
        </w:rPr>
        <w:t>alcohol consumption in relation to</w:t>
      </w:r>
      <w:r w:rsidR="00206830" w:rsidRPr="00206830">
        <w:rPr>
          <w:szCs w:val="20"/>
        </w:rPr>
        <w:t xml:space="preserve"> </w:t>
      </w:r>
      <w:r w:rsidR="00206830" w:rsidRPr="00A1529D">
        <w:rPr>
          <w:szCs w:val="20"/>
        </w:rPr>
        <w:t>all-cause mortality</w:t>
      </w:r>
      <w:r w:rsidR="00206830">
        <w:rPr>
          <w:szCs w:val="20"/>
        </w:rPr>
        <w:t>,</w:t>
      </w:r>
      <w:r w:rsidR="00723947" w:rsidRPr="00821857">
        <w:rPr>
          <w:szCs w:val="20"/>
        </w:rPr>
        <w:t xml:space="preserve"> </w:t>
      </w:r>
      <w:r w:rsidR="00CD07B7">
        <w:rPr>
          <w:szCs w:val="20"/>
        </w:rPr>
        <w:t>total</w:t>
      </w:r>
      <w:r w:rsidR="00723947" w:rsidRPr="00F1722D">
        <w:rPr>
          <w:szCs w:val="20"/>
        </w:rPr>
        <w:t xml:space="preserve"> CVD,</w:t>
      </w:r>
      <w:r w:rsidR="000B7697" w:rsidRPr="00F1722D">
        <w:rPr>
          <w:szCs w:val="20"/>
        </w:rPr>
        <w:t xml:space="preserve"> and </w:t>
      </w:r>
      <w:r w:rsidR="00C946B5" w:rsidRPr="00F1722D">
        <w:rPr>
          <w:szCs w:val="20"/>
        </w:rPr>
        <w:t xml:space="preserve">the following </w:t>
      </w:r>
      <w:r w:rsidR="000B7697" w:rsidRPr="00F1722D">
        <w:rPr>
          <w:szCs w:val="20"/>
        </w:rPr>
        <w:t xml:space="preserve">CVD </w:t>
      </w:r>
      <w:r w:rsidR="00D1367B">
        <w:rPr>
          <w:szCs w:val="20"/>
        </w:rPr>
        <w:t>subtypes</w:t>
      </w:r>
      <w:r w:rsidR="00D302FA">
        <w:rPr>
          <w:szCs w:val="20"/>
        </w:rPr>
        <w:t xml:space="preserve"> (defined in</w:t>
      </w:r>
      <w:r w:rsidR="00D302FA" w:rsidRPr="00D302FA">
        <w:rPr>
          <w:b/>
          <w:szCs w:val="20"/>
        </w:rPr>
        <w:t xml:space="preserve"> </w:t>
      </w:r>
      <w:r w:rsidR="00D302FA" w:rsidRPr="00586F91">
        <w:rPr>
          <w:b/>
          <w:szCs w:val="20"/>
        </w:rPr>
        <w:t xml:space="preserve">Annex </w:t>
      </w:r>
      <w:r w:rsidR="00D302FA">
        <w:rPr>
          <w:b/>
          <w:szCs w:val="20"/>
        </w:rPr>
        <w:t>3</w:t>
      </w:r>
      <w:r w:rsidR="00D302FA">
        <w:rPr>
          <w:szCs w:val="20"/>
        </w:rPr>
        <w:t>)</w:t>
      </w:r>
      <w:r w:rsidR="00C946B5" w:rsidRPr="00EB589A">
        <w:rPr>
          <w:szCs w:val="20"/>
        </w:rPr>
        <w:t>:</w:t>
      </w:r>
      <w:r w:rsidR="000B7697" w:rsidRPr="00EB589A">
        <w:rPr>
          <w:szCs w:val="20"/>
        </w:rPr>
        <w:t xml:space="preserve"> </w:t>
      </w:r>
      <w:r w:rsidR="00FC31F4" w:rsidRPr="008E1127">
        <w:rPr>
          <w:szCs w:val="20"/>
        </w:rPr>
        <w:t>fatal</w:t>
      </w:r>
      <w:r w:rsidR="00F2536B" w:rsidRPr="008E1127">
        <w:rPr>
          <w:szCs w:val="20"/>
        </w:rPr>
        <w:t xml:space="preserve"> and </w:t>
      </w:r>
      <w:r w:rsidR="000B7697" w:rsidRPr="008E1127">
        <w:rPr>
          <w:szCs w:val="20"/>
        </w:rPr>
        <w:t>non-</w:t>
      </w:r>
      <w:r w:rsidR="006F1A80" w:rsidRPr="008E1127">
        <w:rPr>
          <w:szCs w:val="20"/>
        </w:rPr>
        <w:t xml:space="preserve">fatal </w:t>
      </w:r>
      <w:r w:rsidR="002A5C8D">
        <w:rPr>
          <w:szCs w:val="20"/>
          <w:lang w:val="en-US"/>
        </w:rPr>
        <w:t>myocardial infarction (</w:t>
      </w:r>
      <w:r w:rsidR="002A5C8D" w:rsidRPr="0000233C">
        <w:rPr>
          <w:szCs w:val="20"/>
          <w:lang w:val="en-US"/>
        </w:rPr>
        <w:t>MI</w:t>
      </w:r>
      <w:r w:rsidR="002A5C8D">
        <w:rPr>
          <w:szCs w:val="20"/>
          <w:lang w:val="en-US"/>
        </w:rPr>
        <w:t>)</w:t>
      </w:r>
      <w:r w:rsidR="00C946B5" w:rsidRPr="008E1127">
        <w:rPr>
          <w:szCs w:val="20"/>
        </w:rPr>
        <w:t>;</w:t>
      </w:r>
      <w:r w:rsidR="000B7697" w:rsidRPr="008E1127">
        <w:rPr>
          <w:szCs w:val="20"/>
        </w:rPr>
        <w:t xml:space="preserve"> </w:t>
      </w:r>
      <w:r w:rsidR="00FC31F4" w:rsidRPr="008E1127">
        <w:rPr>
          <w:szCs w:val="20"/>
        </w:rPr>
        <w:t>fatal</w:t>
      </w:r>
      <w:r w:rsidR="00F2536B" w:rsidRPr="008E1127">
        <w:rPr>
          <w:szCs w:val="20"/>
        </w:rPr>
        <w:t xml:space="preserve"> and </w:t>
      </w:r>
      <w:r w:rsidR="00FC31F4" w:rsidRPr="008E1127">
        <w:rPr>
          <w:szCs w:val="20"/>
        </w:rPr>
        <w:t>non-fatal coronary disease</w:t>
      </w:r>
      <w:r w:rsidR="00887954" w:rsidRPr="008E1127">
        <w:rPr>
          <w:szCs w:val="20"/>
        </w:rPr>
        <w:t xml:space="preserve"> excluding MI</w:t>
      </w:r>
      <w:r w:rsidR="00C946B5" w:rsidRPr="008E1127">
        <w:rPr>
          <w:szCs w:val="20"/>
        </w:rPr>
        <w:t>;</w:t>
      </w:r>
      <w:r w:rsidR="000B7697" w:rsidRPr="00E31F68">
        <w:rPr>
          <w:szCs w:val="20"/>
        </w:rPr>
        <w:t xml:space="preserve"> </w:t>
      </w:r>
      <w:r w:rsidR="00FC31F4" w:rsidRPr="00E31F68">
        <w:rPr>
          <w:szCs w:val="20"/>
        </w:rPr>
        <w:t>fatal</w:t>
      </w:r>
      <w:r w:rsidR="00F2536B" w:rsidRPr="00E31F68">
        <w:rPr>
          <w:szCs w:val="20"/>
        </w:rPr>
        <w:t xml:space="preserve"> and</w:t>
      </w:r>
      <w:r w:rsidR="00F2536B" w:rsidRPr="00514858">
        <w:rPr>
          <w:szCs w:val="20"/>
        </w:rPr>
        <w:t xml:space="preserve"> </w:t>
      </w:r>
      <w:r w:rsidR="00FC31F4" w:rsidRPr="00514858">
        <w:rPr>
          <w:szCs w:val="20"/>
        </w:rPr>
        <w:t xml:space="preserve">non-fatal </w:t>
      </w:r>
      <w:r w:rsidR="000B7697" w:rsidRPr="00514858">
        <w:rPr>
          <w:szCs w:val="20"/>
        </w:rPr>
        <w:t xml:space="preserve">stroke (including </w:t>
      </w:r>
      <w:r w:rsidR="000B7697" w:rsidRPr="00586F91">
        <w:rPr>
          <w:rFonts w:eastAsiaTheme="minorHAnsi" w:cs="Palatino Linotype"/>
          <w:szCs w:val="20"/>
        </w:rPr>
        <w:t xml:space="preserve">ischaemic, haemorrhagic, subarachnoid and unclassified </w:t>
      </w:r>
      <w:r w:rsidR="00723947" w:rsidRPr="00586F91">
        <w:rPr>
          <w:rFonts w:eastAsiaTheme="minorHAnsi" w:cs="Palatino Linotype"/>
          <w:szCs w:val="20"/>
        </w:rPr>
        <w:t>subtypes</w:t>
      </w:r>
      <w:r w:rsidR="000B7697" w:rsidRPr="00586F91">
        <w:rPr>
          <w:rFonts w:eastAsiaTheme="minorHAnsi" w:cs="Palatino Linotype"/>
          <w:szCs w:val="20"/>
        </w:rPr>
        <w:t>)</w:t>
      </w:r>
      <w:r w:rsidR="00C946B5" w:rsidRPr="002403B2">
        <w:rPr>
          <w:rFonts w:eastAsiaTheme="minorHAnsi" w:cs="Palatino Linotype"/>
          <w:szCs w:val="20"/>
        </w:rPr>
        <w:t>;</w:t>
      </w:r>
      <w:r w:rsidR="00FC31F4" w:rsidRPr="00586F91">
        <w:rPr>
          <w:rFonts w:eastAsiaTheme="minorHAnsi" w:cs="Palatino Linotype"/>
          <w:szCs w:val="20"/>
        </w:rPr>
        <w:t xml:space="preserve"> </w:t>
      </w:r>
      <w:r w:rsidR="00F2536B" w:rsidRPr="002403B2">
        <w:rPr>
          <w:szCs w:val="20"/>
        </w:rPr>
        <w:t xml:space="preserve">fatal and non-fatal </w:t>
      </w:r>
      <w:r w:rsidR="00FC31F4" w:rsidRPr="00586F91">
        <w:rPr>
          <w:rFonts w:eastAsiaTheme="minorHAnsi" w:cs="Palatino Linotype"/>
          <w:szCs w:val="20"/>
        </w:rPr>
        <w:t>heart failure</w:t>
      </w:r>
      <w:r w:rsidR="00C946B5" w:rsidRPr="00586F91">
        <w:rPr>
          <w:rFonts w:eastAsiaTheme="minorHAnsi" w:cs="Palatino Linotype"/>
          <w:szCs w:val="20"/>
        </w:rPr>
        <w:t>;</w:t>
      </w:r>
      <w:r w:rsidR="00F2536B" w:rsidRPr="00586F91">
        <w:rPr>
          <w:rFonts w:eastAsiaTheme="minorHAnsi" w:cs="Palatino Linotype"/>
          <w:szCs w:val="20"/>
        </w:rPr>
        <w:t xml:space="preserve"> and mortality due to other </w:t>
      </w:r>
      <w:r w:rsidR="00C77831">
        <w:rPr>
          <w:rFonts w:eastAsiaTheme="minorHAnsi" w:cs="Palatino Linotype"/>
          <w:szCs w:val="20"/>
        </w:rPr>
        <w:t>cardiovascular</w:t>
      </w:r>
      <w:r w:rsidR="00F2536B" w:rsidRPr="00586F91">
        <w:rPr>
          <w:rFonts w:eastAsiaTheme="minorHAnsi" w:cs="Palatino Linotype"/>
          <w:szCs w:val="20"/>
        </w:rPr>
        <w:t xml:space="preserve"> causes</w:t>
      </w:r>
      <w:r w:rsidR="00D1367B">
        <w:rPr>
          <w:rFonts w:eastAsiaTheme="minorHAnsi" w:cs="Palatino Linotype"/>
          <w:szCs w:val="20"/>
        </w:rPr>
        <w:t xml:space="preserve">, </w:t>
      </w:r>
      <w:r w:rsidR="00B607DA">
        <w:rPr>
          <w:rFonts w:eastAsiaTheme="minorHAnsi" w:cs="Palatino Linotype"/>
          <w:szCs w:val="20"/>
        </w:rPr>
        <w:t>including</w:t>
      </w:r>
      <w:r w:rsidR="00B607DA">
        <w:rPr>
          <w:szCs w:val="20"/>
        </w:rPr>
        <w:t xml:space="preserve"> </w:t>
      </w:r>
      <w:r w:rsidR="000B7697" w:rsidRPr="00586F91">
        <w:rPr>
          <w:rFonts w:eastAsiaTheme="minorHAnsi" w:cs="Palatino Linotype"/>
          <w:szCs w:val="20"/>
        </w:rPr>
        <w:t>cardiac dysrhythmia</w:t>
      </w:r>
      <w:r w:rsidR="000B7697" w:rsidRPr="002403B2">
        <w:rPr>
          <w:szCs w:val="20"/>
        </w:rPr>
        <w:t xml:space="preserve">, </w:t>
      </w:r>
      <w:r w:rsidR="000B7697" w:rsidRPr="00586F91">
        <w:rPr>
          <w:rFonts w:eastAsiaTheme="minorHAnsi" w:cs="Palatino Linotype"/>
          <w:szCs w:val="20"/>
        </w:rPr>
        <w:t>hypertensive disease</w:t>
      </w:r>
      <w:r w:rsidR="000B7697" w:rsidRPr="00586F91">
        <w:rPr>
          <w:szCs w:val="20"/>
        </w:rPr>
        <w:t xml:space="preserve">, </w:t>
      </w:r>
      <w:r w:rsidR="000B7697" w:rsidRPr="00586F91">
        <w:rPr>
          <w:rFonts w:eastAsiaTheme="minorHAnsi" w:cs="Palatino Linotype"/>
          <w:szCs w:val="20"/>
        </w:rPr>
        <w:t xml:space="preserve">sudden death, </w:t>
      </w:r>
      <w:r w:rsidR="00D1367B">
        <w:rPr>
          <w:rFonts w:eastAsiaTheme="minorHAnsi" w:cs="Palatino Linotype"/>
          <w:szCs w:val="20"/>
        </w:rPr>
        <w:t xml:space="preserve">and </w:t>
      </w:r>
      <w:r w:rsidR="000B7697" w:rsidRPr="00586F91">
        <w:rPr>
          <w:rFonts w:eastAsiaTheme="minorHAnsi" w:cs="Palatino Linotype"/>
          <w:szCs w:val="20"/>
        </w:rPr>
        <w:t>aortic aneurysm</w:t>
      </w:r>
      <w:r w:rsidR="00DD4DC1" w:rsidRPr="00D34DB8">
        <w:rPr>
          <w:szCs w:val="20"/>
          <w:lang w:val="en-US" w:eastAsia="en-US"/>
        </w:rPr>
        <w:fldChar w:fldCharType="begin" w:fldLock="1"/>
      </w:r>
      <w:r w:rsidR="00E50B13">
        <w:rPr>
          <w:szCs w:val="20"/>
          <w:lang w:val="en-US" w:eastAsia="en-US"/>
        </w:rPr>
        <w:instrText>ADDIN CSL_CITATION { "citationItems" : [ { "id" : "ITEM-1", "itemData" : { "DOI" : "10.1093/eurheartj/ehv021", "ISSN" : "1522-9645", "PMID" : "25660054", "author" : [ { "dropping-particle" : "", "family" : "Conen", "given" : "David", "non-dropping-particle" : "", "parse-names" : false, "suffix" : "" } ], "container-title" : "European heart journal", "id" : "ITEM-1", "issue" : "15", "issued" : { "date-parts" : [ [ "2015", "4" ] ] }, "page" : "897-8", "title" : "Alcohol consumption and incident cardiovascular disease: not just one unifying hypothesis.", "type" : "article-journal", "volume" : "36" }, "uris" : [ "http://www.mendeley.com/documents/?uuid=dc368a28-9884-3fe5-a204-f4b1a88cc1b2", "http://www.mendeley.com/documents/?uuid=38ebefdd-85e6-4a96-84a3-53da5724bf19" ] }, { "id" : "ITEM-2", "itemData" : { "DOI" : "10.1016/j.ypmed.2003.11.027", "ISSN" : "0091-7435", "PMID" : "15066364", "abstract" : "BACKGROUND: To compare the strength of evidence provided by the epidemiological literature on the association between alcohol consumption and the risk of 14 major alcohol-related neoplasms and non-neoplastic diseases, plus injuries.\n\nMETHODS: A search of the epidemiological literature from 1966 to 1998 was performed by several bibliographic databases. Meta-regression models were fitted considering fixed and random effect models and linear and nonlinear effects of alcohol intake. The effects of some characteristics of the studies, including an index of their quality, were considered.\n\nRESULTS: Of the 561 initially reviewed studies, 156 were selected for meta-analysis because of their a priori defined higher quality, including a total of 116,702 subjects. Strong trends in risk were observed for cancers of the oral cavity, esophagus and larynx, hypertension, liver cirrhosis, chronic pancreatitis, and injuries and violence. Less strong direct relations were observed for cancers of the colon, rectum, liver, and breast. For all these conditions, significant increased risks were also found for ethanol intake of 25 g per day. Threshold values were observed for ischemic and hemorrhagic strokes. For coronary heart disease, a J-shaped relation was observed with a minimum relative risk of 0.80 at 20 g/day, a significant protective effect up to 72 g/day, and a significant increased risk at 89 g/day. No clear relation was observed for gastroduodenal ulcer.\n\nCONCLUSIONS: This meta-analysis shows no evidence of a threshold effect for both neoplasms and several non-neoplastic diseases. J-shaped relations were observed only for coronary heart disease.", "author" : [ { "dropping-particle" : "", "family" : "Corrao", "given" : "Giovanni", "non-dropping-particle" : "", "parse-names" : false, "suffix" : "" }, { "dropping-particle" : "", "family" : "Bagnardi", "given" : "Vincenzo", "non-dropping-particle" : "", "parse-names" : false, "suffix" : "" }, { "dropping-particle" : "", "family" : "Zambon", "given" : "Antonella", "non-dropping-particle" : "", "parse-names" : false, "suffix" : "" }, { "dropping-particle" : "", "family" : "Vecchia", "given" : "Carlo", "non-dropping-particle" : "La", "parse-names" : false, "suffix" : "" } ], "container-title" : "Preventive medicine", "id" : "ITEM-2", "issue" : "5", "issued" : { "date-parts" : [ [ "2004", "5" ] ] }, "page" : "613-9", "title" : "A meta-analysis of alcohol consumption and the risk of 15 diseases.", "type" : "article-journal", "volume" : "38" }, "uris" : [ "http://www.mendeley.com/documents/?uuid=4f9185b7-aedd-4b51-a08a-605147021c1f" ] }, { "id" : "ITEM-3", "itemData" : { "DOI" : "10.1136/bmj.j909", "ISBN" : "0950-0804", "ISSN" : "0959-8138", "PMID" : "28331015", "abstract" : "Objectives To investigate the association between alcohol consumption and cardiovascular disease at higher resolution by examining the initial lifetime presentation of 12 cardiac, cerebrovascular, abdominal, or peripheral vascular diseases among five categories of consumption. Design Population based cohort study of linked electronic health records covering primary care, hospital admissions, and mortality in 1997-2010 (median follow-up six years). Setting CALIBER (ClinicAl research using LInked Bespoke studies and Electronic health Records). Participants 1 937 360 adults (51% women), aged \u226530 who were free from cardiovascular disease at baseline. Main outcome measures 12 common symptomatic manifestations of cardiovascular disease, including chronic stable angina, unstable angina, acute myocardial infarction, unheralded coronary heart disease death, heart failure, sudden coronary death/cardiac arrest, transient ischaemic attack, ischaemic stroke, intracerebral and subarachnoid haemorrhage, peripheral arterial disease, and abdominal aortic aneurysm. Results 114 859 individuals received an incident cardiovascular diagnosis during follow-up. Non-drinking was associated with an increased risk of unstable angina (hazard ratio 1.33, 95% confidence interval 1.21 to 1.45), myocardial infarction (1.32, 1.24 to1.41), unheralded coronary death (1.56, 1.38 to 1.76), heart failure (1.24, 1.11 to 1.38), ischaemic stroke (1.12, 1.01 to 1.24), peripheral arterial disease (1.22, 1.13 to 1.32), and abdominal aortic aneurysm (1.32, 1.17 to 1.49) compared with moderate drinking (consumption within contemporaneous UK weekly/daily guidelines of 21/3 and 14/2 units for men and women, respectively). Heavy drinking (exceeding guidelines) conferred an increased risk of presenting with unheralded coronary death (1.21, 1.08 to 1.35), heart failure (1.22, 1.08 to 1.37), cardiac arrest (1.50, 1.26 to 1.77), transient ischaemic attack (1.11, 1.02 to 1.37), ischaemic stroke (1.33, 1.09 to 1.63), intracerebral haemorrhage (1.37, 1.16 to 1.62), and peripheral arterial disease (1.35; 1.23 to 1.48), but a lower risk of myocardial infarction (0.88, 0.79 to 1.00) or stable angina (0.93, 0.86 to 1.00). Conclusions Heterogeneous associations exist between level of alcohol consumption and the initial presentation of cardiovascular diseases. This has implications for counselling patients, public health communication, and clinical research, suggesting a more nuanced approach to the role of alcoho\u2026", "author" : [ { "dropping-particle" : "", "family" : "Bell", "given" : "Steven", "non-dropping-particle" : "", "parse-names" : false, "suffix" : "" }, { "dropping-particle" : "", "family" : "Daskalopoulou", "given" : "Marina", "non-dropping-particle" : "", "parse-names" : false, "suffix" : "" }, { "dropping-particle" : "", "family" : "Rapsomaniki", "given" : "Eleni", "non-dropping-particle" : "", "parse-names" : false, "suffix" : "" }, { "dropping-particle" : "", "family" : "George", "given" : "Julie", "non-dropping-particle" : "", "parse-names" : false, "suffix" : "" }, { "dropping-particle" : "", "family" : "Britton", "given" : "Annie", "non-dropping-particle" : "", "parse-names" : false, "suffix" : "" }, { "dropping-particle" : "", "family" : "Bobak", "given" : "Martin", "non-dropping-particle" : "", "parse-names" : false, "suffix" : "" }, { "dropping-particle" : "", "family" : "Casas", "given" : "Juan P", "non-dropping-particle" : "", "parse-names" : false, "suffix" : "" }, { "dropping-particle" : "", "family" : "Dale", "given" : "Caroline E", "non-dropping-particle" : "", "parse-names" : false, "suffix" : "" }, { "dropping-particle" : "", "family" : "Denaxas", "given" : "Spiros", "non-dropping-particle" : "", "parse-names" : false, "suffix" : "" }, { "dropping-particle" : "", "family" : "Shah", "given" : "Anoop D", "non-dropping-particle" : "", "parse-names" : false, "suffix" : "" }, { "dropping-particle" : "", "family" : "Hemingway", "given" : "Harry", "non-dropping-particle" : "", "parse-names" : false, "suffix" : "" } ], "container-title" : "BMJ", "id" : "ITEM-3", "issued" : { "date-parts" : [ [ "2017" ] ] }, "page" : "j909", "title" : "Association between clinically recorded alcohol consumption and initial presentation of 12 cardiovascular diseases: population based cohort study using linked health records", "type" : "article-journal" }, "uris" : [ "http://www.mendeley.com/documents/?uuid=e044f167-2391-4aac-886a-2c2785e1fc6e" ] } ], "mendeley" : { "formattedCitation" : "&lt;sup&gt;7,17,25&lt;/sup&gt;", "plainTextFormattedCitation" : "7,17,25", "previouslyFormattedCitation" : "&lt;sup&gt;7,17,29&lt;/sup&gt;" }, "properties" : { "noteIndex" : 0 }, "schema" : "https://github.com/citation-style-language/schema/raw/master/csl-citation.json" }</w:instrText>
      </w:r>
      <w:r w:rsidR="00DD4DC1" w:rsidRPr="00D34DB8">
        <w:rPr>
          <w:szCs w:val="20"/>
          <w:lang w:val="en-US" w:eastAsia="en-US"/>
        </w:rPr>
        <w:fldChar w:fldCharType="separate"/>
      </w:r>
      <w:r w:rsidR="00E50B13" w:rsidRPr="00E50B13">
        <w:rPr>
          <w:noProof/>
          <w:szCs w:val="20"/>
          <w:vertAlign w:val="superscript"/>
          <w:lang w:val="en-US" w:eastAsia="en-US"/>
        </w:rPr>
        <w:t>7,17,25</w:t>
      </w:r>
      <w:r w:rsidR="00DD4DC1" w:rsidRPr="00D34DB8">
        <w:rPr>
          <w:szCs w:val="20"/>
          <w:lang w:val="en-US" w:eastAsia="en-US"/>
        </w:rPr>
        <w:fldChar w:fldCharType="end"/>
      </w:r>
      <w:r w:rsidR="000B7697" w:rsidRPr="00586F91">
        <w:rPr>
          <w:rFonts w:eastAsiaTheme="minorHAnsi" w:cs="Palatino Linotype"/>
          <w:szCs w:val="20"/>
        </w:rPr>
        <w:t>.</w:t>
      </w:r>
      <w:r w:rsidR="000B7697" w:rsidRPr="002403B2">
        <w:rPr>
          <w:szCs w:val="20"/>
        </w:rPr>
        <w:t xml:space="preserve"> </w:t>
      </w:r>
      <w:r w:rsidR="009A6B28" w:rsidRPr="00F1722D">
        <w:rPr>
          <w:szCs w:val="20"/>
        </w:rPr>
        <w:t xml:space="preserve">In analyses of CVD </w:t>
      </w:r>
      <w:r w:rsidR="00D1367B">
        <w:rPr>
          <w:szCs w:val="20"/>
        </w:rPr>
        <w:t>subtypes</w:t>
      </w:r>
      <w:r w:rsidR="009A6B28" w:rsidRPr="00F1722D">
        <w:rPr>
          <w:szCs w:val="20"/>
        </w:rPr>
        <w:t>, participants contributed follow-up time</w:t>
      </w:r>
      <w:r w:rsidR="00011EA3">
        <w:rPr>
          <w:szCs w:val="20"/>
        </w:rPr>
        <w:t xml:space="preserve"> to the first outcome recorded </w:t>
      </w:r>
      <w:r w:rsidR="009A6B28" w:rsidRPr="00F1722D">
        <w:rPr>
          <w:szCs w:val="20"/>
        </w:rPr>
        <w:t xml:space="preserve">(ie, </w:t>
      </w:r>
      <w:r w:rsidR="00F2742D">
        <w:rPr>
          <w:szCs w:val="20"/>
        </w:rPr>
        <w:t xml:space="preserve">CVD </w:t>
      </w:r>
      <w:r w:rsidR="009A6B28" w:rsidRPr="00821857">
        <w:rPr>
          <w:szCs w:val="20"/>
        </w:rPr>
        <w:t xml:space="preserve">deaths preceded by non-fatal </w:t>
      </w:r>
      <w:r w:rsidR="00C565FE" w:rsidRPr="0046322F">
        <w:rPr>
          <w:szCs w:val="20"/>
        </w:rPr>
        <w:t>outcomes</w:t>
      </w:r>
      <w:r w:rsidR="009A6B28" w:rsidRPr="00206830">
        <w:rPr>
          <w:rFonts w:cstheme="minorHAnsi"/>
          <w:bCs/>
          <w:color w:val="000000" w:themeColor="text1"/>
          <w:szCs w:val="20"/>
        </w:rPr>
        <w:t xml:space="preserve"> </w:t>
      </w:r>
      <w:r w:rsidR="009A6B28" w:rsidRPr="00F2742D">
        <w:rPr>
          <w:szCs w:val="20"/>
        </w:rPr>
        <w:t>were not included</w:t>
      </w:r>
      <w:r w:rsidR="009A6B28" w:rsidRPr="00C565FE">
        <w:rPr>
          <w:szCs w:val="20"/>
        </w:rPr>
        <w:t>)</w:t>
      </w:r>
      <w:r w:rsidR="00C77831">
        <w:rPr>
          <w:szCs w:val="20"/>
        </w:rPr>
        <w:t>. Event</w:t>
      </w:r>
      <w:r w:rsidR="00C565FE" w:rsidRPr="0046322F">
        <w:rPr>
          <w:szCs w:val="20"/>
        </w:rPr>
        <w:t xml:space="preserve"> times were censored at</w:t>
      </w:r>
      <w:r w:rsidR="009A6B28" w:rsidRPr="00C565FE">
        <w:rPr>
          <w:szCs w:val="20"/>
        </w:rPr>
        <w:t xml:space="preserve"> </w:t>
      </w:r>
      <w:r w:rsidR="009A6B28" w:rsidRPr="00F2742D">
        <w:rPr>
          <w:szCs w:val="20"/>
        </w:rPr>
        <w:t>end of follow-up</w:t>
      </w:r>
      <w:r w:rsidR="00C565FE" w:rsidRPr="00C565FE">
        <w:rPr>
          <w:szCs w:val="20"/>
        </w:rPr>
        <w:t xml:space="preserve"> or death</w:t>
      </w:r>
      <w:r w:rsidR="009A6B28" w:rsidRPr="00F2742D">
        <w:rPr>
          <w:szCs w:val="20"/>
        </w:rPr>
        <w:t xml:space="preserve"> from non-CVD causes</w:t>
      </w:r>
      <w:r w:rsidR="00C92C0D">
        <w:rPr>
          <w:szCs w:val="20"/>
        </w:rPr>
        <w:t xml:space="preserve">. </w:t>
      </w:r>
    </w:p>
    <w:p w14:paraId="70543EE0" w14:textId="77777777" w:rsidR="00F2536B" w:rsidRDefault="00F2536B" w:rsidP="00586F91"/>
    <w:p w14:paraId="407926E9" w14:textId="3F47C9BE" w:rsidR="00C24E94" w:rsidRPr="00D34DB8" w:rsidRDefault="00C24E94" w:rsidP="00586F91">
      <w:pPr>
        <w:rPr>
          <w:i/>
        </w:rPr>
      </w:pPr>
      <w:r w:rsidRPr="00D34DB8">
        <w:rPr>
          <w:i/>
        </w:rPr>
        <w:t>Statistical methods</w:t>
      </w:r>
    </w:p>
    <w:p w14:paraId="4F8FA00B" w14:textId="5F83745B" w:rsidR="007469FC" w:rsidRDefault="000B7697" w:rsidP="00586F91">
      <w:r w:rsidRPr="003A46DB">
        <w:t xml:space="preserve">Hazard ratios </w:t>
      </w:r>
      <w:r>
        <w:t xml:space="preserve">(HRs) </w:t>
      </w:r>
      <w:r w:rsidR="004872FA">
        <w:t xml:space="preserve">for alcohol consumption </w:t>
      </w:r>
      <w:r w:rsidRPr="003A46DB">
        <w:t xml:space="preserve">were calculated separately within each </w:t>
      </w:r>
      <w:r>
        <w:t xml:space="preserve">study </w:t>
      </w:r>
      <w:r w:rsidRPr="003A46DB">
        <w:t xml:space="preserve">using Cox regression models, </w:t>
      </w:r>
      <w:r w:rsidR="00F2742D">
        <w:t xml:space="preserve">stratified by sex and </w:t>
      </w:r>
      <w:r w:rsidR="00592867">
        <w:t xml:space="preserve">with </w:t>
      </w:r>
      <w:r>
        <w:t>adjust</w:t>
      </w:r>
      <w:r w:rsidR="00592867">
        <w:t>ment</w:t>
      </w:r>
      <w:r>
        <w:t xml:space="preserve"> for </w:t>
      </w:r>
      <w:r w:rsidR="005E1704">
        <w:t>known</w:t>
      </w:r>
      <w:r w:rsidR="00592867">
        <w:t xml:space="preserve"> confounders</w:t>
      </w:r>
      <w:r w:rsidR="00DC1201">
        <w:t>:</w:t>
      </w:r>
      <w:r>
        <w:t xml:space="preserve"> age, smoking status (current vs not-current) and history of diabetes. </w:t>
      </w:r>
      <w:r w:rsidR="00E70E8E">
        <w:t xml:space="preserve">To account for </w:t>
      </w:r>
      <w:r w:rsidR="00D1367B">
        <w:t>EPIC-CVD’s</w:t>
      </w:r>
      <w:r w:rsidR="00E70E8E">
        <w:t xml:space="preserve"> case-cohort design</w:t>
      </w:r>
      <w:r w:rsidR="00C946B5">
        <w:t xml:space="preserve"> </w:t>
      </w:r>
      <w:r w:rsidR="00E70E8E">
        <w:t>(</w:t>
      </w:r>
      <w:r w:rsidR="00C946B5">
        <w:t>used because</w:t>
      </w:r>
      <w:r w:rsidR="00E70E8E">
        <w:t xml:space="preserve"> lipids and other </w:t>
      </w:r>
      <w:r w:rsidR="00C946B5">
        <w:t xml:space="preserve">CVD </w:t>
      </w:r>
      <w:r w:rsidR="00E70E8E">
        <w:t xml:space="preserve">biomarkers </w:t>
      </w:r>
      <w:r w:rsidR="00C946B5">
        <w:t xml:space="preserve">were measured only </w:t>
      </w:r>
      <w:r w:rsidR="009621F2">
        <w:t xml:space="preserve">in </w:t>
      </w:r>
      <w:r w:rsidR="00C946B5">
        <w:t>this subset</w:t>
      </w:r>
      <w:r w:rsidR="00E70E8E">
        <w:t>),</w:t>
      </w:r>
      <w:r w:rsidR="00C946B5">
        <w:t xml:space="preserve"> </w:t>
      </w:r>
      <w:r w:rsidR="00E70E8E">
        <w:t xml:space="preserve">the </w:t>
      </w:r>
      <w:r w:rsidR="00AC2664">
        <w:t>Cox</w:t>
      </w:r>
      <w:r w:rsidR="007469FC">
        <w:t xml:space="preserve"> model</w:t>
      </w:r>
      <w:r w:rsidR="007D2812">
        <w:t>s</w:t>
      </w:r>
      <w:r w:rsidR="007469FC">
        <w:t xml:space="preserve"> for </w:t>
      </w:r>
      <w:r w:rsidR="007D2812">
        <w:t xml:space="preserve">CVD </w:t>
      </w:r>
      <w:r w:rsidR="00A7163A">
        <w:t xml:space="preserve">events </w:t>
      </w:r>
      <w:r w:rsidR="00B95EC4">
        <w:t>w</w:t>
      </w:r>
      <w:r w:rsidR="007D2812">
        <w:t>ere</w:t>
      </w:r>
      <w:r w:rsidR="00B95EC4">
        <w:t xml:space="preserve"> adapted using Prentice weights</w:t>
      </w:r>
      <w:r w:rsidR="00B5142F">
        <w:t xml:space="preserve"> and </w:t>
      </w:r>
      <w:r w:rsidR="00E70E8E">
        <w:t xml:space="preserve">stratified </w:t>
      </w:r>
      <w:r w:rsidR="0084645F">
        <w:t>by</w:t>
      </w:r>
      <w:r w:rsidR="00E70E8E">
        <w:t xml:space="preserve"> centre</w:t>
      </w:r>
      <w:r w:rsidR="00514858">
        <w:fldChar w:fldCharType="begin" w:fldLock="1"/>
      </w:r>
      <w:r w:rsidR="00E50B13">
        <w:instrText>ADDIN CSL_CITATION { "citationItems" : [ { "id" : "ITEM-1", "itemData" : { "DOI" : "10.1093/biomet/73.1.1", "ISBN" : "00063444", "ISSN" : "00063444", "abstract" : "SUMMARY Suppose that a cohort of individuals is to be followed in order to relate failure rates to preceding covariate histories. A design is proposed which involves covariate data only for cases experiencing failure and for members of a randomly selected subcohort. Odds ratio and relative risk estimation procedures are presented for such a 'case-cohort' design. A small simulation study compares case-cohort relative risk estimation pro-cedures to full-cohort and synthetic case-control analyses. Relevance to epidemiologic cohort studies and disease prevention trials is discussed.", "author" : [ { "dropping-particle" : "", "family" : "Prentice", "given" : "R. L.", "non-dropping-particle" : "", "parse-names" : false, "suffix" : "" } ], "container-title" : "Biometrika", "id" : "ITEM-1", "issue" : "1", "issued" : { "date-parts" : [ [ "1986" ] ] }, "page" : "1-11", "title" : "A case-cohort design for epidemiologic cohort studies and disease prevention trials", "type" : "article-journal", "volume" : "73" }, "uris" : [ "http://www.mendeley.com/documents/?uuid=26595cf6-7348-4adf-a574-813f16ffacbe" ] } ], "mendeley" : { "formattedCitation" : "&lt;sup&gt;26&lt;/sup&gt;", "plainTextFormattedCitation" : "26", "previouslyFormattedCitation" : "&lt;sup&gt;30&lt;/sup&gt;" }, "properties" : { "noteIndex" : 0 }, "schema" : "https://github.com/citation-style-language/schema/raw/master/csl-citation.json" }</w:instrText>
      </w:r>
      <w:r w:rsidR="00514858">
        <w:fldChar w:fldCharType="separate"/>
      </w:r>
      <w:r w:rsidR="00E50B13" w:rsidRPr="00E50B13">
        <w:rPr>
          <w:noProof/>
          <w:vertAlign w:val="superscript"/>
        </w:rPr>
        <w:t>26</w:t>
      </w:r>
      <w:r w:rsidR="00514858">
        <w:fldChar w:fldCharType="end"/>
      </w:r>
      <w:r w:rsidR="00C205EA">
        <w:t>.</w:t>
      </w:r>
      <w:r w:rsidR="00B95EC4">
        <w:t xml:space="preserve"> </w:t>
      </w:r>
      <w:r w:rsidR="00AC2664" w:rsidRPr="0046322F">
        <w:rPr>
          <w:rFonts w:eastAsiaTheme="minorHAnsi" w:cs="Merriweather-Regular"/>
          <w:color w:val="1F1F1F"/>
          <w:szCs w:val="20"/>
          <w:lang w:eastAsia="en-US"/>
        </w:rPr>
        <w:t xml:space="preserve">For the four case–control studies </w:t>
      </w:r>
      <w:r w:rsidR="00DD4DC1" w:rsidRPr="0046322F">
        <w:rPr>
          <w:rFonts w:eastAsiaTheme="minorHAnsi" w:cs="Merriweather-Regular"/>
          <w:color w:val="1F1F1F"/>
          <w:szCs w:val="20"/>
          <w:lang w:eastAsia="en-US"/>
        </w:rPr>
        <w:lastRenderedPageBreak/>
        <w:t xml:space="preserve">nested </w:t>
      </w:r>
      <w:r w:rsidR="00AC2664" w:rsidRPr="0046322F">
        <w:rPr>
          <w:rFonts w:eastAsiaTheme="minorHAnsi" w:cs="Merriweather-Regular"/>
          <w:color w:val="1F1F1F"/>
          <w:szCs w:val="20"/>
          <w:lang w:eastAsia="en-US"/>
        </w:rPr>
        <w:t>within prospective cohorts, odds ratios were calculated using, whe</w:t>
      </w:r>
      <w:r w:rsidR="00EF191B">
        <w:rPr>
          <w:rFonts w:eastAsiaTheme="minorHAnsi" w:cs="Merriweather-Regular"/>
          <w:color w:val="1F1F1F"/>
          <w:szCs w:val="20"/>
          <w:lang w:eastAsia="en-US"/>
        </w:rPr>
        <w:t>n</w:t>
      </w:r>
      <w:r w:rsidR="00AC2664" w:rsidRPr="0046322F">
        <w:rPr>
          <w:rFonts w:eastAsiaTheme="minorHAnsi" w:cs="Merriweather-Regular"/>
          <w:color w:val="1F1F1F"/>
          <w:szCs w:val="20"/>
          <w:lang w:eastAsia="en-US"/>
        </w:rPr>
        <w:t xml:space="preserve"> appropriate, conditional or unconditional logistic regression models, taking into account relevant matching factors. </w:t>
      </w:r>
      <w:r w:rsidR="00E95E6D">
        <w:t>S</w:t>
      </w:r>
      <w:r>
        <w:t xml:space="preserve">tudy-specific estimates </w:t>
      </w:r>
      <w:r w:rsidRPr="003A46DB">
        <w:t xml:space="preserve">were </w:t>
      </w:r>
      <w:r>
        <w:t xml:space="preserve">then </w:t>
      </w:r>
      <w:r w:rsidRPr="003A46DB">
        <w:t>pooled across studies</w:t>
      </w:r>
      <w:r>
        <w:t xml:space="preserve"> by random-effects</w:t>
      </w:r>
      <w:r w:rsidR="00C205EA">
        <w:t xml:space="preserve"> meta-analysis</w:t>
      </w:r>
      <w:r>
        <w:fldChar w:fldCharType="begin" w:fldLock="1"/>
      </w:r>
      <w:r w:rsidR="00E50B13">
        <w:instrText>ADDIN CSL_CITATION { "citationItems" : [ { "id" : "ITEM-1", "itemData" : { "DOI" : "10.1093/ije/dyq063", "ISSN" : "1464-3685", "PMID" : "20439481", "abstract" : "BACKGROUND Meta-analysis of individual participant time-to-event data from multiple prospective epidemiological studies enables detailed investigation of exposure-risk relationships, but involves a number of analytical challenges. METHODS This article describes statistical approaches adopted in the Emerging Risk Factors Collaboration, in which primary data from more than 1 million participants in more than 100 prospective studies have been collated to enable detailed analyses of various risk markers in relation to incident cardiovascular disease outcomes. RESULTS Analyses have been principally based on Cox proportional hazards regression models stratified by sex, undertaken in each study separately. Estimates of exposure-risk relationships, initially unadjusted and then adjusted for several confounders, have been combined over studies using meta-analysis. Methods for assessing the shape of exposure-risk associations and the proportional hazards assumption have been developed. Estimates of interactions have also been combined using meta-analysis, keeping separate within- and between-study information. Regression dilution bias caused by measurement error and within-person variation in exposures and confounders has been addressed through the analysis of repeat measurements to estimate corrected regression coefficients. These methods are exemplified by analysis of plasma fibrinogen and risk of coronary heart disease, and Stata code is made available. CONCLUSION Increasing numbers of meta-analyses of individual participant data from observational data are being conducted to enhance the statistical power and detail of epidemiological studies. The statistical methods developed here can be used to address the needs of such analyses.", "author" : [ { "dropping-particle" : "", "family" : "Thompson", "given" : "Simon", "non-dropping-particle" : "", "parse-names" : false, "suffix" : "" }, { "dropping-particle" : "", "family" : "Kaptoge", "given" : "Stephen", "non-dropping-particle" : "", "parse-names" : false, "suffix" : "" }, { "dropping-particle" : "", "family" : "White", "given" : "Ian", "non-dropping-particle" : "", "parse-names" : false, "suffix" : "" }, { "dropping-particle" : "", "family" : "Wood", "given" : "Angela", "non-dropping-particle" : "", "parse-names" : false, "suffix" : "" }, { "dropping-particle" : "", "family" : "Perry", "given" : "Philip", "non-dropping-particle" : "", "parse-names" : false, "suffix" : "" }, { "dropping-particle" : "", "family" : "Danesh", "given" : "John", "non-dropping-particle" : "", "parse-names" : false, "suffix" : "" }, { "dropping-particle" : "", "family" : "Emerging Risk Factors Collaboration", "given" : "", "non-dropping-particle" : "", "parse-names" : false, "suffix" : "" } ], "container-title" : "International journal of epidemiology", "id" : "ITEM-1", "issue" : "5", "issued" : { "date-parts" : [ [ "2010", "10" ] ] }, "page" : "1345-59", "title" : "Statistical methods for the time-to-event analysis of individual participant data from multiple epidemiological studies.", "type" : "article-journal", "volume" : "39" }, "uris" : [ "http://www.mendeley.com/documents/?uuid=d1f937d9-e057-3252-a05c-22f1ad9c3ab0", "http://www.mendeley.com/documents/?uuid=73ffe3f7-ec77-4681-84ea-19f009e5c563" ] } ], "mendeley" : { "formattedCitation" : "&lt;sup&gt;27&lt;/sup&gt;", "plainTextFormattedCitation" : "27", "previouslyFormattedCitation" : "&lt;sup&gt;31&lt;/sup&gt;" }, "properties" : { "noteIndex" : 0 }, "schema" : "https://github.com/citation-style-language/schema/raw/master/csl-citation.json" }</w:instrText>
      </w:r>
      <w:r>
        <w:fldChar w:fldCharType="separate"/>
      </w:r>
      <w:r w:rsidR="00E50B13" w:rsidRPr="00E50B13">
        <w:rPr>
          <w:noProof/>
          <w:vertAlign w:val="superscript"/>
        </w:rPr>
        <w:t>27</w:t>
      </w:r>
      <w:r>
        <w:fldChar w:fldCharType="end"/>
      </w:r>
      <w:r w:rsidR="00C205EA">
        <w:t>.</w:t>
      </w:r>
      <w:r w:rsidR="00EE1733">
        <w:t xml:space="preserve"> </w:t>
      </w:r>
      <w:r w:rsidR="00B5142F">
        <w:t>There was no evidence of violation of t</w:t>
      </w:r>
      <w:r>
        <w:t>he proportional hazards assumption</w:t>
      </w:r>
      <w:r w:rsidR="00B5142F">
        <w:t>, which</w:t>
      </w:r>
      <w:r>
        <w:t xml:space="preserve"> was </w:t>
      </w:r>
      <w:r w:rsidR="00C0666F">
        <w:t>tested by including time interactions with alcohol consumption</w:t>
      </w:r>
      <w:r>
        <w:t xml:space="preserve">. To avoid </w:t>
      </w:r>
      <w:r w:rsidR="00B5142F">
        <w:t xml:space="preserve">model </w:t>
      </w:r>
      <w:r>
        <w:t>overfitting, studies with fewer than five incident cases of a</w:t>
      </w:r>
      <w:r w:rsidR="00E70E8E">
        <w:t xml:space="preserve"> particular</w:t>
      </w:r>
      <w:r>
        <w:t xml:space="preserve"> outcome were excluded from analys</w:t>
      </w:r>
      <w:r w:rsidR="0009028A">
        <w:t>e</w:t>
      </w:r>
      <w:r>
        <w:t xml:space="preserve">s of that </w:t>
      </w:r>
      <w:r w:rsidR="00EF191B">
        <w:t xml:space="preserve">particular </w:t>
      </w:r>
      <w:r>
        <w:t>outcome.</w:t>
      </w:r>
      <w:r w:rsidR="00C92C0D">
        <w:t xml:space="preserve"> </w:t>
      </w:r>
    </w:p>
    <w:p w14:paraId="6B80A0AA" w14:textId="68E2ED54" w:rsidR="00B43ADA" w:rsidRDefault="00CC71C6" w:rsidP="00887FCB">
      <w:r w:rsidRPr="00D34DB8">
        <w:t xml:space="preserve">To </w:t>
      </w:r>
      <w:r w:rsidR="00FA5844">
        <w:t xml:space="preserve">correct for measurement error and within-person variability in alcohol consumption over time </w:t>
      </w:r>
      <w:r w:rsidR="0042521B">
        <w:t>we estimated</w:t>
      </w:r>
      <w:r w:rsidRPr="00D34DB8">
        <w:t xml:space="preserve"> long-term average alcohol consumption</w:t>
      </w:r>
      <w:r w:rsidR="0057408D">
        <w:rPr>
          <w:vertAlign w:val="superscript"/>
        </w:rPr>
        <w:t>19</w:t>
      </w:r>
      <w:r w:rsidR="00A518D6">
        <w:t xml:space="preserve"> using</w:t>
      </w:r>
      <w:r w:rsidRPr="00D34DB8">
        <w:t xml:space="preserve"> </w:t>
      </w:r>
      <w:r>
        <w:rPr>
          <w:szCs w:val="20"/>
        </w:rPr>
        <w:t xml:space="preserve">multi-level regression calibration and </w:t>
      </w:r>
      <w:r w:rsidRPr="00D34DB8">
        <w:t xml:space="preserve">information from </w:t>
      </w:r>
      <w:r w:rsidR="00905598">
        <w:t>152,640 serial assessments in 71,011</w:t>
      </w:r>
      <w:r w:rsidRPr="00D34DB8">
        <w:t xml:space="preserve"> individuals</w:t>
      </w:r>
      <w:r w:rsidR="00CC5CA7">
        <w:t xml:space="preserve"> </w:t>
      </w:r>
      <w:r w:rsidR="00CC5CA7" w:rsidRPr="00D452AE">
        <w:t xml:space="preserve">from </w:t>
      </w:r>
      <w:r w:rsidR="00905598">
        <w:t>37</w:t>
      </w:r>
      <w:r w:rsidR="00D452AE" w:rsidRPr="00D452AE">
        <w:t xml:space="preserve"> s</w:t>
      </w:r>
      <w:r w:rsidR="00CC5CA7" w:rsidRPr="00D452AE">
        <w:t>tudies</w:t>
      </w:r>
      <w:r w:rsidRPr="00D34DB8">
        <w:t xml:space="preserve">. </w:t>
      </w:r>
      <w:r w:rsidR="002D4280">
        <w:rPr>
          <w:szCs w:val="20"/>
        </w:rPr>
        <w:t xml:space="preserve">This was achieved either by </w:t>
      </w:r>
      <w:r w:rsidR="00C0666F">
        <w:rPr>
          <w:szCs w:val="20"/>
        </w:rPr>
        <w:t>regress</w:t>
      </w:r>
      <w:r w:rsidR="002D4280">
        <w:rPr>
          <w:szCs w:val="20"/>
        </w:rPr>
        <w:t>ing</w:t>
      </w:r>
      <w:r w:rsidR="00C0666F" w:rsidRPr="00F5220F">
        <w:rPr>
          <w:szCs w:val="20"/>
        </w:rPr>
        <w:t xml:space="preserve"> </w:t>
      </w:r>
      <w:r w:rsidR="00B43ADA">
        <w:rPr>
          <w:szCs w:val="20"/>
        </w:rPr>
        <w:t>re</w:t>
      </w:r>
      <w:r w:rsidR="006F1A80">
        <w:rPr>
          <w:szCs w:val="20"/>
        </w:rPr>
        <w:t>-</w:t>
      </w:r>
      <w:r w:rsidR="00B43ADA">
        <w:rPr>
          <w:szCs w:val="20"/>
        </w:rPr>
        <w:t>survey</w:t>
      </w:r>
      <w:r w:rsidR="00C0666F" w:rsidRPr="00F5220F">
        <w:rPr>
          <w:szCs w:val="20"/>
        </w:rPr>
        <w:t xml:space="preserve"> measurements </w:t>
      </w:r>
      <w:r w:rsidR="009565CE">
        <w:rPr>
          <w:szCs w:val="20"/>
        </w:rPr>
        <w:t>(</w:t>
      </w:r>
      <w:r w:rsidR="002D4280">
        <w:rPr>
          <w:szCs w:val="20"/>
        </w:rPr>
        <w:t>for</w:t>
      </w:r>
      <w:r w:rsidR="009565CE">
        <w:rPr>
          <w:szCs w:val="20"/>
        </w:rPr>
        <w:t xml:space="preserve"> </w:t>
      </w:r>
      <w:r w:rsidR="0017110C">
        <w:rPr>
          <w:szCs w:val="20"/>
        </w:rPr>
        <w:t xml:space="preserve">the repeat alcohol assessments available in the </w:t>
      </w:r>
      <w:r w:rsidR="009565CE">
        <w:rPr>
          <w:szCs w:val="20"/>
        </w:rPr>
        <w:t>ERFC studies and</w:t>
      </w:r>
      <w:r w:rsidR="00EF191B">
        <w:rPr>
          <w:szCs w:val="20"/>
        </w:rPr>
        <w:t xml:space="preserve"> </w:t>
      </w:r>
      <w:r w:rsidR="009565CE">
        <w:rPr>
          <w:szCs w:val="20"/>
        </w:rPr>
        <w:t>UK</w:t>
      </w:r>
      <w:r w:rsidR="002D4280">
        <w:rPr>
          <w:szCs w:val="20"/>
        </w:rPr>
        <w:t xml:space="preserve"> </w:t>
      </w:r>
      <w:r w:rsidR="009565CE">
        <w:rPr>
          <w:szCs w:val="20"/>
        </w:rPr>
        <w:t xml:space="preserve">Biobank) </w:t>
      </w:r>
      <w:r w:rsidR="00C0666F" w:rsidRPr="00F5220F">
        <w:rPr>
          <w:rFonts w:cs="Arial"/>
          <w:szCs w:val="20"/>
        </w:rPr>
        <w:t xml:space="preserve">or lifetime alcohol consumption measurements </w:t>
      </w:r>
      <w:r w:rsidR="00C0666F">
        <w:rPr>
          <w:rFonts w:cs="Arial"/>
          <w:szCs w:val="20"/>
        </w:rPr>
        <w:t>(</w:t>
      </w:r>
      <w:r w:rsidR="002D4280">
        <w:rPr>
          <w:rFonts w:cs="Arial"/>
          <w:szCs w:val="20"/>
        </w:rPr>
        <w:t>for</w:t>
      </w:r>
      <w:r w:rsidR="00C0666F">
        <w:rPr>
          <w:rFonts w:cs="Arial"/>
          <w:szCs w:val="20"/>
        </w:rPr>
        <w:t xml:space="preserve"> </w:t>
      </w:r>
      <w:r w:rsidR="00BD01E3">
        <w:rPr>
          <w:rFonts w:cs="Arial"/>
          <w:szCs w:val="20"/>
        </w:rPr>
        <w:t>calculated lifetime alcohol consumption measurements available</w:t>
      </w:r>
      <w:r w:rsidR="0017110C">
        <w:rPr>
          <w:szCs w:val="20"/>
        </w:rPr>
        <w:t xml:space="preserve"> in </w:t>
      </w:r>
      <w:r w:rsidR="00C0666F">
        <w:rPr>
          <w:rFonts w:cs="Arial"/>
          <w:szCs w:val="20"/>
        </w:rPr>
        <w:t xml:space="preserve">EPIC-CVD) </w:t>
      </w:r>
      <w:r w:rsidR="00C0666F" w:rsidRPr="00F5220F">
        <w:rPr>
          <w:szCs w:val="20"/>
        </w:rPr>
        <w:t xml:space="preserve">on baseline </w:t>
      </w:r>
      <w:r w:rsidR="00B43ADA">
        <w:rPr>
          <w:szCs w:val="20"/>
        </w:rPr>
        <w:t>alcohol consumption</w:t>
      </w:r>
      <w:r w:rsidR="00C0666F" w:rsidRPr="00F5220F">
        <w:rPr>
          <w:szCs w:val="20"/>
        </w:rPr>
        <w:t xml:space="preserve">, adjusted for duration of follow-up and baseline </w:t>
      </w:r>
      <w:r w:rsidR="00C0666F" w:rsidRPr="003A46DB">
        <w:t>age</w:t>
      </w:r>
      <w:r w:rsidR="00C0666F">
        <w:t>, sex, smoking status,</w:t>
      </w:r>
      <w:r w:rsidR="00C0666F" w:rsidRPr="003A46DB">
        <w:t xml:space="preserve"> history of diabetes</w:t>
      </w:r>
      <w:r w:rsidR="00C0666F">
        <w:t xml:space="preserve"> </w:t>
      </w:r>
      <w:r w:rsidR="00B43ADA">
        <w:t>and</w:t>
      </w:r>
      <w:r w:rsidR="00C0666F">
        <w:t xml:space="preserve"> other </w:t>
      </w:r>
      <w:r w:rsidR="00DD4DC1">
        <w:t xml:space="preserve">relevant </w:t>
      </w:r>
      <w:r w:rsidR="00C0666F">
        <w:t xml:space="preserve">covariate(s) </w:t>
      </w:r>
      <w:r w:rsidR="00BA3092">
        <w:t>with</w:t>
      </w:r>
      <w:r w:rsidR="00B43ADA">
        <w:t xml:space="preserve"> random effects for study and re-survey</w:t>
      </w:r>
      <w:r w:rsidR="00B43ADA">
        <w:fldChar w:fldCharType="begin" w:fldLock="1"/>
      </w:r>
      <w:r w:rsidR="00E50B13">
        <w:instrText>ADDIN CSL_CITATION { "citationItems" : [ { "id" : "ITEM-1", "itemData" : { "DOI" : "10.1093/ije/dyl233", "ISSN" : "0300-5771", "PMID" : "17148467", "abstract" : "BACKGROUND Within-person variability in measured values of a risk factor can bias its association with disease. The extent of this regression dilution bias for plasma fibrinogen was investigated using repeat measurement data collected at varying time intervals on 27 247 adults in 15 prospective studies. METHODS Regression dilution ratios (RDRs) were estimated from a linear regression of repeat measurements on baseline values in each study and for each time interval, and pooled allowing for within- and between-study heterogeneity. RDRs were estimated both without and with adjustment for confounders, and factors were investigated that might influence the RDRs. RESULTS The unadjusted overall RDR was 0.51 (95% CI: 0.47, 0.55), which decreased to 0.46 (95% CI: 0.42, 0.49) after adjustment for age, sex and measured values of other established vascular risk factors. The RDR did not vary materially by assay method, age, sex or smoking status, but decreased at higher levels of baseline fibrinogen. CONCLUSION It is appropriate to use an RDR of 0.5 to correct approximately for regression dilution bias in plasma fibrinogen values; however, this correction factor may produce somewhat conservative hazard ratios in adjusted analyses, at higher fibrinogen concentrations and in follow-up beyond a decade. More generally, the methods described in this report have widespread applicability to quantifying regression dilution bias in repeatability data from multiple prospective studies.", "author" : [ { "dropping-particle" : "", "family" : "Fibrinogen Studies Collaboration", "given" : "", "non-dropping-particle" : "", "parse-names" : false, "suffix" : "" }, { "dropping-particle" : "", "family" : "Wood", "given" : "Angela M", "non-dropping-particle" : "", "parse-names" : false, "suffix" : "" }, { "dropping-particle" : "", "family" : "White", "given" : "Ian", "non-dropping-particle" : "", "parse-names" : false, "suffix" : "" }, { "dropping-particle" : "", "family" : "Thompson", "given" : "Simon G", "non-dropping-particle" : "", "parse-names" : false, "suffix" : "" }, { "dropping-particle" : "", "family" : "Lewington", "given" : "Sarah", "non-dropping-particle" : "", "parse-names" : false, "suffix" : "" }, { "dropping-particle" : "", "family" : "Danesh", "given" : "John", "non-dropping-particle" : "", "parse-names" : false, "suffix" : "" } ], "container-title" : "International journal of epidemiology", "id" : "ITEM-1", "issue" : "6", "issued" : { "date-parts" : [ [ "2006", "12" ] ] }, "page" : "1570-8", "title" : "Regression dilution methods for meta-analysis: assessing long-term variability in plasma fibrinogen among 27,247 adults in 15 prospective studies.", "type" : "article-journal", "volume" : "35" }, "uris" : [ "http://www.mendeley.com/documents/?uuid=7a681788-f99d-49b8-bbc2-f95e432b5f26" ] }, { "id" : "ITEM-2", "itemData" : { "DOI" : "10.1002/sim.3530", "ISBN" : "0277-6715", "ISSN" : "02776715", "PMID" : "19222086", "abstract" : "Within-person variability in measured values of multiple risk factors can bias their associations with disease. The multivariate regression calibration approach can correct for such measurement error and has been applied to studies in which true values or independent repeat measurements of the risk factors are observed on a subsample. We extend the multivariate regression calibration techniques to a meta-analysis framework where multiple studies provide independent repeat measurements and information on disease outcome. We consider the cases where some or all studies have repeat measurements, and compare study-specific, averaged and empirical Bayes estimates of regression calibration parameters. Additionally we allow for binary covariates (e.g. smoking status) and for uncertainty and time trends in the measurement error corrections. Our methods are illustrated using a subset of individual participant data from prospective long-term studies in the Fibrinogen Studies Collaboration to assess the relationship between usual levels of plasma fibrinogen and the risk of coronary heart disease, allowing for measurement error in plasma fibrinogen and several confounders.", "author" : [ { "dropping-particle" : "", "family" : "Wood", "given" : "Angela Mary", "non-dropping-particle" : "", "parse-names" : false, "suffix" : "" }, { "dropping-particle" : "", "family" : "Thompson", "given" : "S. G.", "non-dropping-particle" : "", "parse-names" : false, "suffix" : "" }, { "dropping-particle" : "", "family" : "Kostis", "given" : "J. B.", "non-dropping-particle" : "", "parse-names" : false, "suffix" : "" }, { "dropping-particle" : "", "family" : "Wilson", "given" : "A. C.", "non-dropping-particle" : "", "parse-names" : false, "suffix" : "" }, { "dropping-particle" : "", "family" : "Wu", "given" : "K.", "non-dropping-particle" : "", "parse-names" : false, "suffix" : "" }, { "dropping-particle" : "", "family" : "Benderly", "given" : "M.", "non-dropping-particle" : "", "parse-names" : false, "suffix" : "" }, { "dropping-particle" : "", "family" : "Goldbourt", "given" : "U.", "non-dropping-particle" : "", "parse-names" : false, "suffix" : "" }, { "dropping-particle" : "", "family" : "Willeit", "given" : "J.", "non-dropping-particle" : "", "parse-names" : false, "suffix" : "" }, { "dropping-particle" : "", "family" : "Kiechl", "given" : "S.", "non-dropping-particle" : "", "parse-names" : false, "suffix" : "" }, { "dropping-particle" : "", "family" : "Yarnell", "given" : "J. W G", "non-dropping-particle" : "", "parse-names" : false, "suffix" : "" }, { "dropping-particle" : "", "family" : "Sweetman", "given" : "P. M.", "non-dropping-particle" : "", "parse-names" : false, "suffix" : "" }, { "dropping-particle" : "", "family" : "Elwood", "given" : "P. C.", "non-dropping-particle" : "", "parse-names" : false, "suffix" : "" }, { "dropping-particle" : "", "family" : "Cushman", "given" : "M.", "non-dropping-particle" : "", "parse-names" : false, "suffix" : "" }, { "dropping-particle" : "", "family" : "Tracy", "given" : "R. P.", "non-dropping-particle" : "", "parse-names" : false, "suffix" : "" }, { "dropping-particle" : "", "family" : "Tybj??rg-Hansen", "given" : "A.", "non-dropping-particle" : "", "parse-names" : false, "suffix" : "" }, { "dropping-particle" : "", "family" : "Haverkate", "given" : "F.", "non-dropping-particle" : "", "parse-names" : false, "suffix" : "" }, { "dropping-particle" : "", "family" : "Lee", "given" : "A. J.", "non-dropping-particle" : "", "parse-names" : false, "suffix" : "" }, { "dropping-particle" : "", "family" : "Smith", "given" : "F. B.", "non-dropping-particle" : "", "parse-names" : false, "suffix" : "" }, { "dropping-particle" : "", "family" : "Salomaa", "given" : "V.", "non-dropping-particle" : "", "parse-names" : false, "suffix" : "" }, { "dropping-particle" : "", "family" : "Harald", "given" : "K.", "non-dropping-particle" : "", "parse-names" : false, "suffix" : "" }, { "dropping-particle" : "", "family" : "Rasi", "given" : "V.", "non-dropping-particle" : "", "parse-names" : false, "suffix" : "" }, { "dropping-particle" : "", "family" : "Jousilahti", "given" : "P.", "non-dropping-particle" : "", "parse-names" : false, "suffix" : "" }, { "dropping-particle" : "", "family" : "Pekkanen", "given" : "J.", "non-dropping-particle" : "", "parse-names" : false, "suffix" : "" }, { "dropping-particle" : "", "family" : "D'Agostino", "given" : "R.", "non-dropping-particle" : "", "parse-names" : false, "suffix" : "" }, { "dropping-particle" : "", "family" : "Wilson", "given" : "P. W F", "non-dropping-particle" : "", "parse-names" : false, "suffix" : "" }, { "dropping-particle" : "", "family" : "Tofler", "given" : "G.", "non-dropping-particle" : "", "parse-names" : false, "suffix" : "" }, { "dropping-particle" : "", "family" : "Levy", "given" : "D.", "non-dropping-particle" : "", "parse-names" : false, "suffix" : "" }, { "dropping-particle" : "", "family" : "Marchioli", "given" : "R.", "non-dropping-particle" : "", "parse-names" : false, "suffix" : "" }, { "dropping-particle" : "", "family" : "Valagussa", "given" : "F.", "non-dropping-particle" : "", "parse-names" : false, "suffix" : "" }, { "dropping-particle" : "", "family" : "Rosengren", "given" : "A.", "non-dropping-particle" : "", "parse-names" : false, "suffix" : "" }, { "dropping-particle" : "", "family" : "Lappas", "given" : "G.", "non-dropping-particle" : "", "parse-names" : false, "suffix" : "" }, { "dropping-particle" : "", "family" : "Eriksson", "given" : "H.", "non-dropping-particle" : "", "parse-names" : false, "suffix" : "" }, { "dropping-particle" : "", "family" : "Cremer", "given" : "P.", "non-dropping-particle" : "", "parse-names" : false, "suffix" : "" }, { "dropping-particle" : "", "family" : "Nagel", "given" : "D.", "non-dropping-particle" : "", "parse-names" : false, "suffix" : "" }, { "dropping-particle" : "", "family" : "Curb", "given" : "J. D.", "non-dropping-particle" : "", "parse-names" : false, "suffix" : "" }, { "dropping-particle" : "", "family" : "Rodriguez", "given" : "B.", "non-dropping-particle" : "", "parse-names" : false, "suffix" : "" }, { "dropping-particle" : "", "family" : "Yano", "given" : "K.", "non-dropping-particle" : "", "parse-names" : false, "suffix" : "" }, { "dropping-particle" : "", "family" : "Salonen", "given" : "J. T.", "non-dropping-particle" : "", "parse-names" : false, "suffix" : "" }, { "dropping-particle" : "", "family" : "Nyyss??nen", "given" : "K.", "non-dropping-particle" : "", "parse-names" : false, "suffix" : "" }, { "dropping-particle" : "", "family" : "Tuomainen", "given" : "T. P.", "non-dropping-particle" : "", "parse-names" : false, "suffix" : "" }, { "dropping-particle" : "", "family" : "Hedblad", "given" : "B.", "non-dropping-particle" : "", "parse-names" : false, "suffix" : "" }, { "dropping-particle" : "", "family" : "Engstr??m", "given" : "G.", "non-dropping-particle" : "", "parse-names" : false, "suffix" : "" }, { "dropping-particle" : "", "family" : "Berglund", "given" : "G.", "non-dropping-particle" : "", "parse-names" : false, "suffix" : "" }, { "dropping-particle" : "", "family" : "Loewel", "given" : "H.", "non-dropping-particle" : "", "parse-names" : false, "suffix" : "" }, { "dropping-particle" : "", "family" : "Hense", "given" : "H. W.", "non-dropping-particle" : "", "parse-names" : false, "suffix" : "" }, { "dropping-particle" : "", "family" : "Mead", "given" : "T. W.", "non-dropping-particle" : "", "parse-names" : false, "suffix" : "" }, { "dropping-particle" : "", "family" : "Cooper", "given" : "J. A.", "non-dropping-particle" : "", "parse-names" : false, "suffix" : "" }, { "dropping-particle" : "", "family" : "Stavola", "given" : "B.", "non-dropping-particle" : "De", "parse-names" : false, "suffix" : "" }, { "dropping-particle" : "", "family" : "Knottenbelt", "given" : "C.", "non-dropping-particle" : "", "parse-names" : false, "suffix" : "" }, { "dropping-particle" : "", "family" : "Miller", "given" : "G. J.", "non-dropping-particle" : "", "parse-names" : false, "suffix" : "" }, { "dropping-particle" : "", "family" : "Cooper", "given" : "J. A.", "non-dropping-particle" : "", "parse-names" : false, "suffix" : "" }, { "dropping-particle" : "", "family" : "Bauer", "given" : "K. A.", "non-dropping-particle" : "", "parse-names" : false, "suffix" : "" }, { "dropping-particle" : "", "family" : "Rosenberg", "given" : "R. D.", "non-dropping-particle" : "", "parse-names" : false, "suffix" : "" }, { "dropping-particle" : "", "family" : "Sato", "given" : "S.", "non-dropping-particle" : "", "parse-names" : false, "suffix" : "" }, { "dropping-particle" : "", "family" : "Kitamura", "given" : "A.", "non-dropping-particle" : "", "parse-names" : false, "suffix" : "" }, { "dropping-particle" : "", "family" : "Naito", "given" : "Y.", "non-dropping-particle" : "", "parse-names" : false, "suffix" : "" }, { "dropping-particle" : "", "family" : "Iso", "given" : "H.", "non-dropping-particle" : "", "parse-names" : false, "suffix" : "" }, { "dropping-particle" : "", "family" : "Salomaa", "given" : "V.", "non-dropping-particle" : "", "parse-names" : false, "suffix" : "" }, { "dropping-particle" : "", "family" : "Harald", "given" : "K.", "non-dropping-particle" : "", "parse-names" : false, "suffix" : "" }, { "dropping-particle" : "", "family" : "Rasi", "given" : "V.", "non-dropping-particle" : "", "parse-names" : false, "suffix" : "" }, { "dropping-particle" : "", "family" : "Vahtera", "given" : "E.", "non-dropping-particle" : "", "parse-names" : false, "suffix" : "" }, { "dropping-particle" : "", "family" : "Jousilahti", "given" : "P.", "non-dropping-particle" : "", "parse-names" : false, "suffix" : "" }, { "dropping-particle" : "", "family" : "Palosuo", "given" : "T.", "non-dropping-particle" : "", "parse-names" : false, "suffix" : "" }, { "dropping-particle" : "", "family" : "Ducimetriere", "given" : "P.", "non-dropping-particle" : "", "parse-names" : false, "suffix" : "" }, { "dropping-particle" : "", "family" : "Amouyel", "given" : "P.", "non-dropping-particle" : "", "parse-names" : false, "suffix" : "" }, { "dropping-particle" : "", "family" : "Arveiler", "given" : "D.", "non-dropping-particle" : "", "parse-names" : false, "suffix" : "" }, { "dropping-particle" : "", "family" : "Evans", "given" : "A. E.", "non-dropping-particle" : "", "parse-names" : false, "suffix" : "" }, { "dropping-particle" : "", "family" : "Ferrieres", "given" : "J.", "non-dropping-particle" : "", "parse-names" : false, "suffix" : "" }, { "dropping-particle" : "", "family" : "Juhan-Vague", "given" : "I.", "non-dropping-particle" : "", "parse-names" : false, "suffix" : "" }, { "dropping-particle" : "", "family" : "Bingham", "given" : "A.", "non-dropping-particle" : "", "parse-names" : false, "suffix" : "" }, { "dropping-particle" : "", "family" : "Schulte", "given" : "H.", "non-dropping-particle" : "", "parse-names" : false, "suffix" : "" }, { "dropping-particle" : "", "family" : "Assmann", "given" : "G.", "non-dropping-particle" : "", "parse-names" : false, "suffix" : "" }, { "dropping-particle" : "", "family" : "Cantin", "given" : "B.", "non-dropping-particle" : "", "parse-names" : false, "suffix" : "" }, { "dropping-particle" : "", "family" : "Lamarche", "given" : "B.", "non-dropping-particle" : "", "parse-names" : false, "suffix" : "" }, { "dropping-particle" : "", "family" : "Despr??s", "given" : "J. P.", "non-dropping-particle" : "", "parse-names" : false, "suffix" : "" }, { "dropping-particle" : "", "family" : "Tunstall-Pedoe", "given" : "H.", "non-dropping-particle" : "", "parse-names" : false, "suffix" : "" }, { "dropping-particle" : "", "family" : "Lowe", "given" : "G. D O", "non-dropping-particle" : "", "parse-names" : false, "suffix" : "" }, { "dropping-particle" : "", "family" : "Woodward", "given" : "M.", "non-dropping-particle" : "", "parse-names" : false, "suffix" : "" }, { "dropping-particle" : "", "family" : "Ben-Shlomo", "given" : "Y.", "non-dropping-particle" : "", "parse-names" : false, "suffix" : "" }, { "dropping-particle" : "", "family" : "Smith", "given" : "G. Davey", "non-dropping-particle" : "", "parse-names" : false, "suffix" : "" }, { "dropping-particle" : "", "family" : "Palmieri", "given" : "V.", "non-dropping-particle" : "", "parse-names" : false, "suffix" : "" }, { "dropping-particle" : "", "family" : "Yeh", "given" : "J. L.", "non-dropping-particle" : "", "parse-names" : false, "suffix" : "" }, { "dropping-particle" : "", "family" : "Meade", "given" : "T. W.", "non-dropping-particle" : "", "parse-names" : false, "suffix" : "" }, { "dropping-particle" : "", "family" : "Brennan", "given" : "P.", "non-dropping-particle" : "", "parse-names" : false, "suffix" : "" }, { "dropping-particle" : "", "family" : "Knottenbelt", "given" : "C.", "non-dropping-particle" : "", "parse-names" : false, "suffix" : "" }, { "dropping-particle" : "", "family" : "Ridker", "given" : "P.", "non-dropping-particle" : "", "parse-names" : false, "suffix" : "" }, { "dropping-particle" : "", "family" : "Rodeghiero", "given" : "F.", "non-dropping-particle" : "", "parse-names" : false, "suffix" : "" }, { "dropping-particle" : "", "family" : "Tosetto", "given" : "A.", "non-dropping-particle" : "", "parse-names" : false, "suffix" : "" }, { "dropping-particle" : "", "family" : "Shepherd", "given" : "J.", "non-dropping-particle" : "", "parse-names" : false, "suffix" : "" }, { "dropping-particle" : "", "family" : "Lowe", "given" : "G. D O", "non-dropping-particle" : "", "parse-names" : false, "suffix" : "" }, { "dropping-particle" : "", "family" : "Ford", "given" : "I.", "non-dropping-particle" : "", "parse-names" : false, "suffix" : "" }, { "dropping-particle" : "", "family" : "Robertson", "given" : "M.", "non-dropping-particle" : "", "parse-names" : false, "suffix" : "" }, { "dropping-particle" : "", "family" : "Brunner", "given" : "E.", "non-dropping-particle" : "", "parse-names" : false, "suffix" : "" }, { "dropping-particle" : "", "family" : "Shipley", "given" : "M.", "non-dropping-particle" : "", "parse-names" : false, "suffix" : "" }, { "dropping-particle" : "", "family" : "Feskens", "given" : "E. J M", "non-dropping-particle" : "", "parse-names" : false, "suffix" : "" }, { "dropping-particle" : "", "family" : "Kromhout", "given" : "D.", "non-dropping-particle" : "", "parse-names" : false, "suffix" : "" }, { "dropping-particle" : "", "family" : "Angelantonio", "given" : "E.", "non-dropping-particle" : "Di", "parse-names" : false, "suffix" : "" }, { "dropping-particle" : "", "family" : "Kaptoge", "given" : "S.", "non-dropping-particle" : "", "parse-names" : false, "suffix" : "" }, { "dropping-particle" : "", "family" : "Lewington", "given" : "S.", "non-dropping-particle" : "", "parse-names" : false, "suffix" : "" }, { "dropping-particle" : "", "family" : "Lowe", "given" : "G. D O", "non-dropping-particle" : "", "parse-names" : false, "suffix" : "" } ], "container-title" : "Statistics in Medicine", "id" : "ITEM-2", "issue" : "7", "issued" : { "date-parts" : [ [ "2009" ] ] }, "page" : "1067-1092", "title" : "Correcting for multivariate measurement error by regression calibration in meta-analyses of epidemiological studies", "type" : "article-journal", "volume" : "28" }, "uris" : [ "http://www.mendeley.com/documents/?uuid=0f301e63-4163-43d0-8ecf-f9b939dcc69f" ] } ], "mendeley" : { "formattedCitation" : "&lt;sup&gt;28,29&lt;/sup&gt;", "plainTextFormattedCitation" : "28,29", "previouslyFormattedCitation" : "&lt;sup&gt;32,33&lt;/sup&gt;" }, "properties" : { "noteIndex" : 0 }, "schema" : "https://github.com/citation-style-language/schema/raw/master/csl-citation.json" }</w:instrText>
      </w:r>
      <w:r w:rsidR="00B43ADA">
        <w:fldChar w:fldCharType="separate"/>
      </w:r>
      <w:r w:rsidR="00E50B13" w:rsidRPr="00E50B13">
        <w:rPr>
          <w:noProof/>
          <w:vertAlign w:val="superscript"/>
        </w:rPr>
        <w:t>28,29</w:t>
      </w:r>
      <w:r w:rsidR="00B43ADA">
        <w:fldChar w:fldCharType="end"/>
      </w:r>
      <w:r w:rsidR="00C205EA">
        <w:t>.</w:t>
      </w:r>
      <w:r w:rsidR="00C0666F">
        <w:t xml:space="preserve"> </w:t>
      </w:r>
      <w:r w:rsidR="00A518D6">
        <w:t>The r</w:t>
      </w:r>
      <w:r w:rsidR="00B43ADA">
        <w:t>egression dilution ratio</w:t>
      </w:r>
      <w:r w:rsidR="00EF191B">
        <w:t xml:space="preserve"> (</w:t>
      </w:r>
      <w:r w:rsidR="0042521B">
        <w:t>ie</w:t>
      </w:r>
      <w:r w:rsidR="00EF191B">
        <w:t>,</w:t>
      </w:r>
      <w:r w:rsidR="0042521B">
        <w:t xml:space="preserve"> the calibration slope</w:t>
      </w:r>
      <w:r w:rsidR="00EF191B">
        <w:t>)</w:t>
      </w:r>
      <w:r w:rsidR="00C24E94">
        <w:t>, which measure</w:t>
      </w:r>
      <w:r w:rsidR="00A518D6">
        <w:t>s</w:t>
      </w:r>
      <w:r w:rsidR="00C24E94">
        <w:t xml:space="preserve"> the extent of within-person variability</w:t>
      </w:r>
      <w:r w:rsidR="00721C8C">
        <w:fldChar w:fldCharType="begin" w:fldLock="1"/>
      </w:r>
      <w:r w:rsidR="00E50B13">
        <w:instrText>ADDIN CSL_CITATION { "citationItems" : [ { "id" : "ITEM-1", "itemData" : { "DOI" : "10.1093/ije/dyl233", "ISSN" : "0300-5771", "PMID" : "17148467", "abstract" : "BACKGROUND Within-person variability in measured values of a risk factor can bias its association with disease. The extent of this regression dilution bias for plasma fibrinogen was investigated using repeat measurement data collected at varying time intervals on 27 247 adults in 15 prospective studies. METHODS Regression dilution ratios (RDRs) were estimated from a linear regression of repeat measurements on baseline values in each study and for each time interval, and pooled allowing for within- and between-study heterogeneity. RDRs were estimated both without and with adjustment for confounders, and factors were investigated that might influence the RDRs. RESULTS The unadjusted overall RDR was 0.51 (95% CI: 0.47, 0.55), which decreased to 0.46 (95% CI: 0.42, 0.49) after adjustment for age, sex and measured values of other established vascular risk factors. The RDR did not vary materially by assay method, age, sex or smoking status, but decreased at higher levels of baseline fibrinogen. CONCLUSION It is appropriate to use an RDR of 0.5 to correct approximately for regression dilution bias in plasma fibrinogen values; however, this correction factor may produce somewhat conservative hazard ratios in adjusted analyses, at higher fibrinogen concentrations and in follow-up beyond a decade. More generally, the methods described in this report have widespread applicability to quantifying regression dilution bias in repeatability data from multiple prospective studies.", "author" : [ { "dropping-particle" : "", "family" : "Fibrinogen Studies Collaboration", "given" : "", "non-dropping-particle" : "", "parse-names" : false, "suffix" : "" }, { "dropping-particle" : "", "family" : "Wood", "given" : "Angela M", "non-dropping-particle" : "", "parse-names" : false, "suffix" : "" }, { "dropping-particle" : "", "family" : "White", "given" : "Ian", "non-dropping-particle" : "", "parse-names" : false, "suffix" : "" }, { "dropping-particle" : "", "family" : "Thompson", "given" : "Simon G", "non-dropping-particle" : "", "parse-names" : false, "suffix" : "" }, { "dropping-particle" : "", "family" : "Lewington", "given" : "Sarah", "non-dropping-particle" : "", "parse-names" : false, "suffix" : "" }, { "dropping-particle" : "", "family" : "Danesh", "given" : "John", "non-dropping-particle" : "", "parse-names" : false, "suffix" : "" } ], "container-title" : "International journal of epidemiology", "id" : "ITEM-1", "issue" : "6", "issued" : { "date-parts" : [ [ "2006", "12" ] ] }, "page" : "1570-8", "title" : "Regression dilution methods for meta-analysis: assessing long-term variability in plasma fibrinogen among 27,247 adults in 15 prospective studies.", "type" : "article-journal", "volume" : "35" }, "uris" : [ "http://www.mendeley.com/documents/?uuid=7a681788-f99d-49b8-bbc2-f95e432b5f26" ] } ], "mendeley" : { "formattedCitation" : "&lt;sup&gt;28&lt;/sup&gt;", "plainTextFormattedCitation" : "28", "previouslyFormattedCitation" : "&lt;sup&gt;32&lt;/sup&gt;" }, "properties" : { "noteIndex" : 0 }, "schema" : "https://github.com/citation-style-language/schema/raw/master/csl-citation.json" }</w:instrText>
      </w:r>
      <w:r w:rsidR="00721C8C">
        <w:fldChar w:fldCharType="separate"/>
      </w:r>
      <w:r w:rsidR="00E50B13" w:rsidRPr="00E50B13">
        <w:rPr>
          <w:noProof/>
          <w:vertAlign w:val="superscript"/>
        </w:rPr>
        <w:t>28</w:t>
      </w:r>
      <w:r w:rsidR="00721C8C">
        <w:fldChar w:fldCharType="end"/>
      </w:r>
      <w:r w:rsidR="00C24E94">
        <w:t>,</w:t>
      </w:r>
      <w:r w:rsidR="00721C8C">
        <w:t xml:space="preserve"> </w:t>
      </w:r>
      <w:r w:rsidR="00B43ADA">
        <w:t>w</w:t>
      </w:r>
      <w:r w:rsidR="00A518D6">
        <w:t>as</w:t>
      </w:r>
      <w:r w:rsidR="00B43ADA">
        <w:t xml:space="preserve"> extracted from the calibration model. </w:t>
      </w:r>
    </w:p>
    <w:p w14:paraId="40A08FD8" w14:textId="77777777" w:rsidR="000B7697" w:rsidRPr="000B7697" w:rsidRDefault="000B7697" w:rsidP="00586F91"/>
    <w:p w14:paraId="15769C6C" w14:textId="0C881F7E" w:rsidR="009565CE" w:rsidRPr="00632A53" w:rsidRDefault="000B7697" w:rsidP="009565CE">
      <w:pPr>
        <w:rPr>
          <w:rFonts w:eastAsia="GuardianTextEgypGR-Regular" w:cs="GuardianTextEgypGR-Regular"/>
          <w:color w:val="1A171C"/>
          <w:szCs w:val="20"/>
          <w:lang w:eastAsia="en-US"/>
        </w:rPr>
      </w:pPr>
      <w:r>
        <w:t xml:space="preserve">We </w:t>
      </w:r>
      <w:r w:rsidRPr="003A46DB">
        <w:t>assess</w:t>
      </w:r>
      <w:r>
        <w:t>ed</w:t>
      </w:r>
      <w:r w:rsidRPr="003A46DB">
        <w:t xml:space="preserve"> the shape</w:t>
      </w:r>
      <w:r>
        <w:t>s</w:t>
      </w:r>
      <w:r w:rsidRPr="003A46DB">
        <w:t xml:space="preserve"> of association</w:t>
      </w:r>
      <w:r>
        <w:t xml:space="preserve">s for </w:t>
      </w:r>
      <w:r w:rsidR="001C3AC2">
        <w:t xml:space="preserve">all-cause mortality and </w:t>
      </w:r>
      <w:r w:rsidR="002B4181">
        <w:t>CVD outcomes</w:t>
      </w:r>
      <w:r>
        <w:t xml:space="preserve"> by calculating</w:t>
      </w:r>
      <w:r w:rsidRPr="003A46DB">
        <w:t xml:space="preserve"> study-specific </w:t>
      </w:r>
      <w:r w:rsidR="00CC5CA7">
        <w:t>HR</w:t>
      </w:r>
      <w:r w:rsidRPr="003A46DB">
        <w:t xml:space="preserve">s within </w:t>
      </w:r>
      <w:r w:rsidR="0042521B">
        <w:t>the</w:t>
      </w:r>
      <w:r>
        <w:t xml:space="preserve"> pre-defined groups of baseline alcohol consumption,</w:t>
      </w:r>
      <w:r w:rsidRPr="003A46DB">
        <w:t xml:space="preserve"> pooled </w:t>
      </w:r>
      <w:r>
        <w:t xml:space="preserve">them </w:t>
      </w:r>
      <w:r w:rsidRPr="003A46DB">
        <w:t xml:space="preserve">by multivariate random-effects </w:t>
      </w:r>
      <w:r>
        <w:t>meta-analysis, and plotted</w:t>
      </w:r>
      <w:r w:rsidRPr="004729D9">
        <w:t xml:space="preserve"> them against mean </w:t>
      </w:r>
      <w:r w:rsidR="001C3AC2">
        <w:t xml:space="preserve">baseline (and </w:t>
      </w:r>
      <w:r w:rsidR="0084645F">
        <w:t>average</w:t>
      </w:r>
      <w:r w:rsidR="001C3AC2">
        <w:t>)</w:t>
      </w:r>
      <w:r>
        <w:t xml:space="preserve"> </w:t>
      </w:r>
      <w:r w:rsidRPr="004729D9">
        <w:t xml:space="preserve">alcohol consumption within each </w:t>
      </w:r>
      <w:r w:rsidRPr="004729D9">
        <w:rPr>
          <w:szCs w:val="20"/>
        </w:rPr>
        <w:t>group</w:t>
      </w:r>
      <w:r w:rsidR="001C3AC2">
        <w:rPr>
          <w:szCs w:val="20"/>
        </w:rPr>
        <w:t xml:space="preserve">. </w:t>
      </w:r>
      <w:r w:rsidRPr="003A46DB">
        <w:t xml:space="preserve">We estimated 95% confidence intervals (CIs) </w:t>
      </w:r>
      <w:r>
        <w:t xml:space="preserve">for each group (including the reference group) </w:t>
      </w:r>
      <w:r w:rsidRPr="003A46DB">
        <w:t>that corresponded to the amount of information underlying each group</w:t>
      </w:r>
      <w:r>
        <w:rPr>
          <w:szCs w:val="20"/>
        </w:rPr>
        <w:fldChar w:fldCharType="begin" w:fldLock="1"/>
      </w:r>
      <w:r w:rsidR="00E50B13">
        <w:rPr>
          <w:szCs w:val="20"/>
        </w:rPr>
        <w:instrText>ADDIN CSL_CITATION { "citationItems" : [ { "id" : "ITEM-1", "itemData" : { "ISSN" : "0277-6715", "PMID" : "1652152", "abstract" : "We discuss the problem of describing multiple group comparisons in survival analysis using the Cox model, and in matched case-control studies. The standard method of comparing the risk in each group with a baseline group is unsatisfactory because the standard errors and confidence limits relate to correlated parameters, all dependent on precision within the baseline group. We describe the construction of standard errors for the parameters of all groups, without the need to select a baseline group. These standard errors can be regarded as relating to roughly independent parameters, so that groups can be compared efficiently without knowledge of the covariances. The method should assist in graphical presentation of relative risks, and in the combination of results from published studies. Two examples are presented.", "author" : [ { "dropping-particle" : "", "family" : "Easton", "given" : "D F", "non-dropping-particle" : "", "parse-names" : false, "suffix" : "" }, { "dropping-particle" : "", "family" : "Peto", "given" : "J", "non-dropping-particle" : "", "parse-names" : false, "suffix" : "" }, { "dropping-particle" : "", "family" : "Babiker", "given" : "A G", "non-dropping-particle" : "", "parse-names" : false, "suffix" : "" } ], "container-title" : "Statistics in medicine", "id" : "ITEM-1", "issue" : "7", "issued" : { "date-parts" : [ [ "1991", "7" ] ] }, "page" : "1025-35", "title" : "Floating absolute risk: an alternative to relative risk in survival and case-control analysis avoiding an arbitrary reference group.", "type" : "article-journal", "volume" : "10" }, "uris" : [ "http://www.mendeley.com/documents/?uuid=d702c12f-e817-3945-bb07-19576c6a8431", "http://www.mendeley.com/documents/?uuid=45a13762-2a49-41a9-8a5b-bca1e26deb95" ] }, { "id" : "ITEM-2", "itemData" : { "DOI" : "10.1002/sim.1485", "ISSN" : "0277-6715", "PMID" : "14695642", "abstract" : "Floating absolute risks are an alternative way of presenting relative risk estimates for polychotomous risk factors. Instead of choosing one level of the risk factor as a reference category, each level is assigned a 'floated' variance which describes the uncertainty in risk without reference to another level. In this paper, a method for estimating the floated variances is presented that improves on the previously proposed 'heuristic' method. The estimates may be calculated iteratively with a simple algorithm. A benchmark for validating the floated variance estimates is also proposed and an interpretation of floating confidence intervals is given.", "author" : [ { "dropping-particle" : "", "family" : "Plummer", "given" : "Martyn", "non-dropping-particle" : "", "parse-names" : false, "suffix" : "" } ], "container-title" : "Statistics in medicine", "id" : "ITEM-2", "issue" : "1", "issued" : { "date-parts" : [ [ "2004", "1" ] ] }, "page" : "93-104", "title" : "Improved estimates of floating absolute risk.", "type" : "article-journal", "volume" : "23" }, "uris" : [ "http://www.mendeley.com/documents/?uuid=50b903bc-0e59-3863-8c92-4efce64bc20d", "http://www.mendeley.com/documents/?uuid=2e5c292e-901b-4020-89e7-c282efd6a7f5" ] } ], "mendeley" : { "formattedCitation" : "&lt;sup&gt;30,31&lt;/sup&gt;", "plainTextFormattedCitation" : "30,31", "previouslyFormattedCitation" : "&lt;sup&gt;34,35&lt;/sup&gt;" }, "properties" : { "noteIndex" : 0 }, "schema" : "https://github.com/citation-style-language/schema/raw/master/csl-citation.json" }</w:instrText>
      </w:r>
      <w:r>
        <w:rPr>
          <w:szCs w:val="20"/>
        </w:rPr>
        <w:fldChar w:fldCharType="separate"/>
      </w:r>
      <w:r w:rsidR="00E50B13" w:rsidRPr="00E50B13">
        <w:rPr>
          <w:noProof/>
          <w:szCs w:val="20"/>
          <w:vertAlign w:val="superscript"/>
        </w:rPr>
        <w:t>30,31</w:t>
      </w:r>
      <w:r>
        <w:rPr>
          <w:szCs w:val="20"/>
        </w:rPr>
        <w:fldChar w:fldCharType="end"/>
      </w:r>
      <w:r w:rsidR="00C205EA">
        <w:rPr>
          <w:szCs w:val="20"/>
        </w:rPr>
        <w:t>.</w:t>
      </w:r>
      <w:r>
        <w:rPr>
          <w:szCs w:val="20"/>
        </w:rPr>
        <w:t xml:space="preserve"> For each major outcome we determined the best fitting 1</w:t>
      </w:r>
      <w:r w:rsidRPr="007D4F2A">
        <w:rPr>
          <w:szCs w:val="20"/>
          <w:vertAlign w:val="superscript"/>
        </w:rPr>
        <w:t>st</w:t>
      </w:r>
      <w:r>
        <w:rPr>
          <w:szCs w:val="20"/>
        </w:rPr>
        <w:t xml:space="preserve"> or 2</w:t>
      </w:r>
      <w:r w:rsidRPr="00533968">
        <w:rPr>
          <w:szCs w:val="20"/>
          <w:vertAlign w:val="superscript"/>
        </w:rPr>
        <w:t>nd</w:t>
      </w:r>
      <w:r>
        <w:rPr>
          <w:szCs w:val="20"/>
        </w:rPr>
        <w:t xml:space="preserve"> order fractional polynomial (FP)</w:t>
      </w:r>
      <w:r>
        <w:rPr>
          <w:szCs w:val="20"/>
        </w:rPr>
        <w:fldChar w:fldCharType="begin" w:fldLock="1"/>
      </w:r>
      <w:r w:rsidR="00E50B13">
        <w:rPr>
          <w:szCs w:val="20"/>
        </w:rPr>
        <w:instrText>ADDIN CSL_CITATION { "citationItems" : [ { "id" : "ITEM-1", "itemData" : { "ISSN" : "0300-5771", "PMID" : "10597998", "abstract" : "BACKGROUND The traditional method of analysing continuous or ordinal risk factors by categorization or linear models may be improved. METHODS We propose an approach based on transformation and fractional polynomials which yields simple regression models with interpretable curves. We suggest a way of presenting the results from such models which involves tabulating the risks estimated from the model at convenient values of the risk factor. We discuss how to incorporate several continuous risk and confounding variables within a single model. The approach is exemplified with data from the Whitehall I study of British Civil Servants. We discuss the approach in relation to categorization and non-parametric regression models. RESULTS We show that non-linear risk models fit the data better than linear models. We discuss the difficulties introduced by categorization and the advantages of the new approach. CONCLUSIONS Our approach based on fractional polynomials should be considered as an important alternative to the traditional approaches for the analysis of continuous variables in epidemiological studies.", "author" : [ { "dropping-particle" : "", "family" : "Royston", "given" : "P", "non-dropping-particle" : "", "parse-names" : false, "suffix" : "" }, { "dropping-particle" : "", "family" : "Ambler", "given" : "G", "non-dropping-particle" : "", "parse-names" : false, "suffix" : "" }, { "dropping-particle" : "", "family" : "Sauerbrei", "given" : "W", "non-dropping-particle" : "", "parse-names" : false, "suffix" : "" } ], "container-title" : "International journal of epidemiology", "id" : "ITEM-1", "issue" : "5", "issued" : { "date-parts" : [ [ "1999", "10" ] ] }, "page" : "964-74", "title" : "The use of fractional polynomials to model continuous risk variables in epidemiology.", "type" : "article-journal", "volume" : "28" }, "uris" : [ "http://www.mendeley.com/documents/?uuid=6ec31f66-4304-3d08-b4ba-8987056795cb", "http://www.mendeley.com/documents/?uuid=f6523656-5a33-413e-87d1-855d1f4b3124" ] } ], "mendeley" : { "formattedCitation" : "&lt;sup&gt;32&lt;/sup&gt;", "plainTextFormattedCitation" : "32", "previouslyFormattedCitation" : "&lt;sup&gt;36&lt;/sup&gt;" }, "properties" : { "noteIndex" : 0 }, "schema" : "https://github.com/citation-style-language/schema/raw/master/csl-citation.json" }</w:instrText>
      </w:r>
      <w:r>
        <w:rPr>
          <w:szCs w:val="20"/>
        </w:rPr>
        <w:fldChar w:fldCharType="separate"/>
      </w:r>
      <w:r w:rsidR="00E50B13" w:rsidRPr="00E50B13">
        <w:rPr>
          <w:noProof/>
          <w:szCs w:val="20"/>
          <w:vertAlign w:val="superscript"/>
        </w:rPr>
        <w:t>32</w:t>
      </w:r>
      <w:r>
        <w:rPr>
          <w:szCs w:val="20"/>
        </w:rPr>
        <w:fldChar w:fldCharType="end"/>
      </w:r>
      <w:r>
        <w:rPr>
          <w:szCs w:val="20"/>
        </w:rPr>
        <w:t xml:space="preserve"> to describe the relationship with baseline alcohol consumption (using a 1% significance level as evidence for a 2</w:t>
      </w:r>
      <w:r w:rsidRPr="007D4F2A">
        <w:rPr>
          <w:szCs w:val="20"/>
          <w:vertAlign w:val="superscript"/>
        </w:rPr>
        <w:t>nd</w:t>
      </w:r>
      <w:r>
        <w:rPr>
          <w:szCs w:val="20"/>
        </w:rPr>
        <w:t xml:space="preserve"> order FP over a 1</w:t>
      </w:r>
      <w:r w:rsidRPr="007D4F2A">
        <w:rPr>
          <w:szCs w:val="20"/>
          <w:vertAlign w:val="superscript"/>
        </w:rPr>
        <w:t>st</w:t>
      </w:r>
      <w:r>
        <w:rPr>
          <w:szCs w:val="20"/>
        </w:rPr>
        <w:t xml:space="preserve"> order FP) using </w:t>
      </w:r>
      <w:r w:rsidRPr="003A46DB">
        <w:t>Cox proportional-hazards regression models</w:t>
      </w:r>
      <w:r>
        <w:t xml:space="preserve"> stratified by sex, study and centre. </w:t>
      </w:r>
      <w:r w:rsidR="00D80585">
        <w:t>Further a</w:t>
      </w:r>
      <w:r w:rsidR="00966014">
        <w:t xml:space="preserve">nalyses </w:t>
      </w:r>
      <w:r w:rsidR="008F2CA3">
        <w:t>assumed a linear relationship with</w:t>
      </w:r>
      <w:r w:rsidR="002933CF">
        <w:t xml:space="preserve"> alcohol </w:t>
      </w:r>
      <w:r w:rsidR="002933CF">
        <w:lastRenderedPageBreak/>
        <w:t xml:space="preserve">consumption, expressing results </w:t>
      </w:r>
      <w:r w:rsidR="002933CF" w:rsidRPr="003A46DB">
        <w:t xml:space="preserve">per </w:t>
      </w:r>
      <w:r w:rsidR="002933CF">
        <w:t>1</w:t>
      </w:r>
      <w:r w:rsidR="00C11E65">
        <w:t>0</w:t>
      </w:r>
      <w:r w:rsidR="002933CF">
        <w:t>0</w:t>
      </w:r>
      <w:r w:rsidR="005237FD">
        <w:t xml:space="preserve"> </w:t>
      </w:r>
      <w:r w:rsidR="002933CF">
        <w:t>g</w:t>
      </w:r>
      <w:r w:rsidR="005237FD">
        <w:t>ram</w:t>
      </w:r>
      <w:r w:rsidR="00E2332E">
        <w:t>s</w:t>
      </w:r>
      <w:r w:rsidR="002933CF">
        <w:t>/week (1</w:t>
      </w:r>
      <w:r w:rsidR="00C11E65">
        <w:t>2.5</w:t>
      </w:r>
      <w:r w:rsidR="005D377B">
        <w:t xml:space="preserve"> </w:t>
      </w:r>
      <w:r w:rsidR="002933CF">
        <w:t>units/week)</w:t>
      </w:r>
      <w:r w:rsidR="00D4491B">
        <w:t xml:space="preserve"> in alcohol consumption</w:t>
      </w:r>
      <w:r w:rsidR="00086F8E">
        <w:t xml:space="preserve">. </w:t>
      </w:r>
      <w:r w:rsidR="00FA26D7">
        <w:t>To assess the impact of excluding known current drinkers with missing alcohol consumption</w:t>
      </w:r>
      <w:r w:rsidR="00EF191B">
        <w:t>,</w:t>
      </w:r>
      <w:r w:rsidR="00FA26D7">
        <w:t xml:space="preserve"> we performed a sensitivity analysis using multiple imputation by study, before combining </w:t>
      </w:r>
      <w:r w:rsidR="00EF191B">
        <w:t>data in a</w:t>
      </w:r>
      <w:r w:rsidR="00FA26D7">
        <w:t xml:space="preserve"> meta-analysis. </w:t>
      </w:r>
      <w:r w:rsidR="00716074">
        <w:t xml:space="preserve">We investigated associations with </w:t>
      </w:r>
      <w:r w:rsidR="00CD07B7">
        <w:t>alcohol</w:t>
      </w:r>
      <w:r w:rsidR="0017520E">
        <w:t xml:space="preserve"> type</w:t>
      </w:r>
      <w:r w:rsidR="00716074">
        <w:t xml:space="preserve"> </w:t>
      </w:r>
      <w:r w:rsidR="00716074">
        <w:rPr>
          <w:rFonts w:eastAsia="GuardianTextEgypGR-Regular" w:cs="GuardianTextEgypGR-Regular"/>
          <w:color w:val="1A171C"/>
          <w:szCs w:val="20"/>
          <w:lang w:eastAsia="en-US"/>
        </w:rPr>
        <w:t>(wine, beer and spirits)</w:t>
      </w:r>
      <w:r w:rsidR="000411A0">
        <w:rPr>
          <w:rFonts w:eastAsia="GuardianTextEgypGR-Regular" w:cs="GuardianTextEgypGR-Regular"/>
          <w:color w:val="1A171C"/>
          <w:szCs w:val="20"/>
          <w:lang w:eastAsia="en-US"/>
        </w:rPr>
        <w:t xml:space="preserve">, </w:t>
      </w:r>
      <w:r w:rsidR="009565CE">
        <w:rPr>
          <w:rFonts w:eastAsia="GuardianTextEgypGR-Regular" w:cs="GuardianTextEgypGR-Regular"/>
          <w:color w:val="1A171C"/>
          <w:szCs w:val="20"/>
          <w:lang w:eastAsia="en-US"/>
        </w:rPr>
        <w:t>consumption</w:t>
      </w:r>
      <w:r w:rsidR="00716074">
        <w:rPr>
          <w:rFonts w:eastAsia="GuardianTextEgypGR-Regular" w:cs="GuardianTextEgypGR-Regular"/>
          <w:color w:val="1A171C"/>
          <w:szCs w:val="20"/>
          <w:lang w:eastAsia="en-US"/>
        </w:rPr>
        <w:t xml:space="preserve"> frequency (dichotomised as </w:t>
      </w:r>
      <w:r w:rsidR="000411A0">
        <w:rPr>
          <w:rFonts w:eastAsia="GuardianTextEgypGR-Regular" w:cs="GuardianTextEgypGR-Regular"/>
          <w:color w:val="1A171C"/>
          <w:szCs w:val="20"/>
          <w:lang w:eastAsia="en-US"/>
        </w:rPr>
        <w:t xml:space="preserve">infrequent </w:t>
      </w:r>
      <w:r w:rsidR="00716074">
        <w:rPr>
          <w:rFonts w:eastAsia="GuardianTextEgypGR-Regular" w:cs="GuardianTextEgypGR-Regular"/>
          <w:color w:val="1A171C"/>
          <w:szCs w:val="20"/>
          <w:lang w:eastAsia="en-US"/>
        </w:rPr>
        <w:t>drink</w:t>
      </w:r>
      <w:r w:rsidR="000411A0">
        <w:rPr>
          <w:rFonts w:eastAsia="GuardianTextEgypGR-Regular" w:cs="GuardianTextEgypGR-Regular"/>
          <w:color w:val="1A171C"/>
          <w:szCs w:val="20"/>
          <w:lang w:eastAsia="en-US"/>
        </w:rPr>
        <w:t>ers</w:t>
      </w:r>
      <w:r w:rsidR="00716074">
        <w:rPr>
          <w:rFonts w:eastAsia="GuardianTextEgypGR-Regular" w:cs="GuardianTextEgypGR-Regular"/>
          <w:color w:val="1A171C"/>
          <w:szCs w:val="20"/>
          <w:lang w:eastAsia="en-US"/>
        </w:rPr>
        <w:t xml:space="preserve"> ≤2 days per week or </w:t>
      </w:r>
      <w:r w:rsidR="0027500E">
        <w:rPr>
          <w:rFonts w:eastAsia="GuardianTextEgypGR-Regular" w:cs="GuardianTextEgypGR-Regular"/>
          <w:color w:val="1A171C"/>
          <w:szCs w:val="20"/>
          <w:lang w:eastAsia="en-US"/>
        </w:rPr>
        <w:t xml:space="preserve">frequent drinking </w:t>
      </w:r>
      <w:r w:rsidR="00716074">
        <w:rPr>
          <w:rFonts w:eastAsia="GuardianTextEgypGR-Regular" w:cs="GuardianTextEgypGR-Regular"/>
          <w:color w:val="1A171C"/>
          <w:szCs w:val="20"/>
          <w:lang w:eastAsia="en-US"/>
        </w:rPr>
        <w:t>&gt;2 days per week)</w:t>
      </w:r>
      <w:r w:rsidR="000411A0">
        <w:rPr>
          <w:rFonts w:eastAsia="GuardianTextEgypGR-Regular" w:cs="GuardianTextEgypGR-Regular"/>
          <w:color w:val="1A171C"/>
          <w:szCs w:val="20"/>
          <w:lang w:eastAsia="en-US"/>
        </w:rPr>
        <w:t xml:space="preserve"> </w:t>
      </w:r>
      <w:r w:rsidR="000411A0" w:rsidRPr="00E51CBB">
        <w:rPr>
          <w:rFonts w:eastAsia="GuardianTextEgypGR-Regular" w:cs="GuardianTextEgypGR-Regular"/>
          <w:color w:val="1A171C"/>
          <w:szCs w:val="20"/>
          <w:lang w:eastAsia="en-US"/>
        </w:rPr>
        <w:t xml:space="preserve">and </w:t>
      </w:r>
      <w:r w:rsidR="0017520E">
        <w:rPr>
          <w:rFonts w:eastAsia="GuardianTextEgypGR-Regular" w:cs="GuardianTextEgypGR-Regular"/>
          <w:color w:val="1A171C"/>
          <w:szCs w:val="20"/>
          <w:lang w:eastAsia="en-US"/>
        </w:rPr>
        <w:t xml:space="preserve">episodic heavy </w:t>
      </w:r>
      <w:r w:rsidR="000411A0" w:rsidRPr="00E51CBB">
        <w:rPr>
          <w:rFonts w:eastAsia="GuardianTextEgypGR-Regular" w:cs="GuardianTextEgypGR-Regular"/>
          <w:color w:val="1A171C"/>
          <w:szCs w:val="20"/>
          <w:lang w:eastAsia="en-US"/>
        </w:rPr>
        <w:t>drinking (dichotomised as binge drinkers ≥100 grams/day or non-binge drinkers &lt;100 grams/day)</w:t>
      </w:r>
      <w:r w:rsidR="00716074" w:rsidRPr="00E51CBB">
        <w:rPr>
          <w:rFonts w:eastAsia="GuardianTextEgypGR-Regular" w:cs="GuardianTextEgypGR-Regular"/>
          <w:color w:val="1A171C"/>
          <w:szCs w:val="20"/>
          <w:lang w:eastAsia="en-US"/>
        </w:rPr>
        <w:t>.</w:t>
      </w:r>
      <w:r w:rsidR="00716074">
        <w:rPr>
          <w:rFonts w:eastAsia="GuardianTextEgypGR-Regular" w:cs="GuardianTextEgypGR-Regular"/>
          <w:color w:val="1A171C"/>
          <w:szCs w:val="20"/>
          <w:lang w:eastAsia="en-US"/>
        </w:rPr>
        <w:t xml:space="preserve"> </w:t>
      </w:r>
    </w:p>
    <w:p w14:paraId="36A265C0" w14:textId="77777777" w:rsidR="0082584F" w:rsidRDefault="0082584F" w:rsidP="002933CF"/>
    <w:p w14:paraId="54257063" w14:textId="12A8A9CC" w:rsidR="002933CF" w:rsidRDefault="007A6FF9" w:rsidP="002933CF">
      <w:pPr>
        <w:rPr>
          <w:color w:val="2E2E2E"/>
          <w:szCs w:val="20"/>
        </w:rPr>
      </w:pPr>
      <w:r>
        <w:t xml:space="preserve">We used </w:t>
      </w:r>
      <w:r>
        <w:rPr>
          <w:szCs w:val="20"/>
        </w:rPr>
        <w:t xml:space="preserve">regression calibration </w:t>
      </w:r>
      <w:r>
        <w:t>methods</w:t>
      </w:r>
      <w:r w:rsidRPr="007A6FF9">
        <w:t xml:space="preserve"> </w:t>
      </w:r>
      <w:r>
        <w:t>similar to those described above to estimate and adjust for long-term levels of potential confounders and/or mediators in</w:t>
      </w:r>
      <w:r w:rsidR="000411A0">
        <w:t xml:space="preserve"> </w:t>
      </w:r>
      <w:r w:rsidR="008E1127">
        <w:t xml:space="preserve">individuals </w:t>
      </w:r>
      <w:r w:rsidR="00481DA5">
        <w:t>with available information</w:t>
      </w:r>
      <w:r>
        <w:t>.</w:t>
      </w:r>
      <w:r w:rsidR="00481DA5">
        <w:t xml:space="preserve"> </w:t>
      </w:r>
      <w:r w:rsidR="003D7704" w:rsidRPr="003D7704">
        <w:t xml:space="preserve">HRs were adjusted for usual levels of </w:t>
      </w:r>
      <w:r w:rsidR="00D452AE">
        <w:t xml:space="preserve">available </w:t>
      </w:r>
      <w:r w:rsidR="00016835">
        <w:t xml:space="preserve">potential confounders/mediators, including </w:t>
      </w:r>
      <w:r w:rsidR="000411A0">
        <w:t xml:space="preserve">body-mass index (BMI), </w:t>
      </w:r>
      <w:r w:rsidR="003D7704" w:rsidRPr="003D7704">
        <w:t>systolic blood pressure, high-density-lipoprotein cholesterol</w:t>
      </w:r>
      <w:r w:rsidR="0084645F">
        <w:t xml:space="preserve"> (HDL-C)</w:t>
      </w:r>
      <w:r w:rsidR="00585086">
        <w:t>,</w:t>
      </w:r>
      <w:r w:rsidR="003D7704" w:rsidRPr="003D7704">
        <w:t xml:space="preserve"> </w:t>
      </w:r>
      <w:r w:rsidR="009A6B28">
        <w:t>low</w:t>
      </w:r>
      <w:r w:rsidR="009A6B28" w:rsidRPr="003D7704">
        <w:t>-density-lipoprotein cholesterol</w:t>
      </w:r>
      <w:r w:rsidR="0084645F">
        <w:t xml:space="preserve"> (LDL-C)</w:t>
      </w:r>
      <w:r w:rsidR="009A6B28">
        <w:t>,</w:t>
      </w:r>
      <w:r w:rsidR="009A6B28" w:rsidRPr="003D7704">
        <w:t xml:space="preserve"> </w:t>
      </w:r>
      <w:r w:rsidR="000411A0">
        <w:t xml:space="preserve">total cholesterol, fibrinogen </w:t>
      </w:r>
      <w:r w:rsidR="00B3471B">
        <w:t xml:space="preserve">and </w:t>
      </w:r>
      <w:r w:rsidR="003D7704" w:rsidRPr="003D7704">
        <w:t xml:space="preserve">baseline </w:t>
      </w:r>
      <w:r w:rsidR="00B3471B">
        <w:t xml:space="preserve">measures for </w:t>
      </w:r>
      <w:r w:rsidR="003D7704" w:rsidRPr="003D7704">
        <w:t>smoking amount</w:t>
      </w:r>
      <w:r w:rsidR="00832563">
        <w:t xml:space="preserve"> </w:t>
      </w:r>
      <w:r w:rsidR="00481DA5">
        <w:t>in pack years</w:t>
      </w:r>
      <w:r w:rsidR="003D7704" w:rsidRPr="003D7704">
        <w:t xml:space="preserve">, </w:t>
      </w:r>
      <w:r w:rsidR="00832563">
        <w:t xml:space="preserve">level of </w:t>
      </w:r>
      <w:r w:rsidR="00585086">
        <w:t>education</w:t>
      </w:r>
      <w:r w:rsidR="00481DA5">
        <w:t xml:space="preserve"> </w:t>
      </w:r>
      <w:r w:rsidR="00832563">
        <w:t xml:space="preserve">reached </w:t>
      </w:r>
      <w:r w:rsidR="00481DA5">
        <w:t>(</w:t>
      </w:r>
      <w:r w:rsidR="00832563">
        <w:t>no schooling/primary, secondary, university</w:t>
      </w:r>
      <w:r w:rsidR="00481DA5">
        <w:t>)</w:t>
      </w:r>
      <w:r w:rsidR="00585086">
        <w:t>, occupation</w:t>
      </w:r>
      <w:r w:rsidR="00B3471B">
        <w:t xml:space="preserve"> </w:t>
      </w:r>
      <w:r w:rsidR="00481DA5">
        <w:t>(</w:t>
      </w:r>
      <w:r w:rsidR="00832563">
        <w:t>not working, manual, office, other</w:t>
      </w:r>
      <w:r w:rsidR="00481DA5">
        <w:t>)</w:t>
      </w:r>
      <w:r w:rsidR="00585086">
        <w:t xml:space="preserve">, </w:t>
      </w:r>
      <w:r>
        <w:t xml:space="preserve">self-reported </w:t>
      </w:r>
      <w:r w:rsidR="00585086">
        <w:t>physical activity</w:t>
      </w:r>
      <w:r w:rsidR="009565CE">
        <w:t xml:space="preserve"> </w:t>
      </w:r>
      <w:r w:rsidR="00CF0D09">
        <w:t>(inactive, moderately inactive, moderately active active)</w:t>
      </w:r>
      <w:r w:rsidR="000411A0">
        <w:t xml:space="preserve">, </w:t>
      </w:r>
      <w:r w:rsidR="009565CE">
        <w:t>self-reported general health</w:t>
      </w:r>
      <w:r w:rsidR="00CF0D09">
        <w:t xml:space="preserve"> (scaled 0-1 where low scores indicate </w:t>
      </w:r>
      <w:r w:rsidR="00EE1995">
        <w:t>poorer</w:t>
      </w:r>
      <w:r w:rsidR="00CF0D09">
        <w:t xml:space="preserve"> health)</w:t>
      </w:r>
      <w:r w:rsidR="000411A0">
        <w:t xml:space="preserve">, </w:t>
      </w:r>
      <w:r>
        <w:t xml:space="preserve">self-reported </w:t>
      </w:r>
      <w:r w:rsidR="000411A0" w:rsidRPr="008443EA">
        <w:t>red meat consumption</w:t>
      </w:r>
      <w:r>
        <w:t>,</w:t>
      </w:r>
      <w:r w:rsidR="000411A0" w:rsidRPr="008443EA">
        <w:t xml:space="preserve"> and </w:t>
      </w:r>
      <w:r>
        <w:t xml:space="preserve">self-reported </w:t>
      </w:r>
      <w:r w:rsidR="000411A0" w:rsidRPr="008443EA">
        <w:t>use of anti-hypertensive drugs</w:t>
      </w:r>
      <w:r w:rsidR="003D7704" w:rsidRPr="008443EA">
        <w:t>.</w:t>
      </w:r>
      <w:r w:rsidR="003D7704" w:rsidRPr="003D7704">
        <w:t xml:space="preserve"> </w:t>
      </w:r>
      <w:r w:rsidR="002933CF" w:rsidRPr="003A46DB">
        <w:t>We investigated effect modification with formal tests for interaction</w:t>
      </w:r>
      <w:r w:rsidR="00C868AC">
        <w:t xml:space="preserve">, </w:t>
      </w:r>
      <w:r w:rsidR="00246368">
        <w:t>us</w:t>
      </w:r>
      <w:r w:rsidR="00EF191B">
        <w:t>ing</w:t>
      </w:r>
      <w:r w:rsidR="00246368">
        <w:t xml:space="preserve"> </w:t>
      </w:r>
      <w:r w:rsidR="002B4181">
        <w:rPr>
          <w:szCs w:val="20"/>
        </w:rPr>
        <w:t xml:space="preserve">a 0.1% significance </w:t>
      </w:r>
      <w:r w:rsidR="00246368">
        <w:t xml:space="preserve">threshold </w:t>
      </w:r>
      <w:r w:rsidR="00C868AC">
        <w:t xml:space="preserve">to make </w:t>
      </w:r>
      <w:r w:rsidR="00EF191B">
        <w:t xml:space="preserve">some </w:t>
      </w:r>
      <w:r w:rsidR="00C868AC">
        <w:t>allowance for multipl</w:t>
      </w:r>
      <w:r w:rsidR="00246368">
        <w:t>e testing</w:t>
      </w:r>
      <w:r w:rsidR="002933CF" w:rsidRPr="003A46DB">
        <w:t xml:space="preserve">. </w:t>
      </w:r>
      <w:r w:rsidR="00EF191B">
        <w:t>H</w:t>
      </w:r>
      <w:r w:rsidR="002933CF" w:rsidRPr="003A46DB">
        <w:t xml:space="preserve">eterogeneity was investigated by grouping studies according to recorded characteristics and </w:t>
      </w:r>
      <w:r w:rsidR="006D65EB">
        <w:t xml:space="preserve">through </w:t>
      </w:r>
      <w:r w:rsidR="002933CF" w:rsidRPr="003A46DB">
        <w:t>meta-regression</w:t>
      </w:r>
      <w:r w:rsidR="00E95E6D">
        <w:t>,</w:t>
      </w:r>
      <w:r w:rsidR="002933CF" w:rsidRPr="003A46DB">
        <w:t xml:space="preserve"> assessed by the </w:t>
      </w:r>
      <w:r w:rsidR="002933CF" w:rsidRPr="003A46DB">
        <w:rPr>
          <w:i/>
        </w:rPr>
        <w:t>I</w:t>
      </w:r>
      <w:r w:rsidR="002933CF" w:rsidRPr="003A46DB">
        <w:rPr>
          <w:vertAlign w:val="superscript"/>
        </w:rPr>
        <w:t>2</w:t>
      </w:r>
      <w:r w:rsidR="00C205EA">
        <w:t xml:space="preserve"> </w:t>
      </w:r>
      <w:r w:rsidR="00C205EA" w:rsidRPr="0001219A">
        <w:t>statistic</w:t>
      </w:r>
      <w:r w:rsidR="00E051AC" w:rsidRPr="0001219A">
        <w:fldChar w:fldCharType="begin" w:fldLock="1"/>
      </w:r>
      <w:r w:rsidR="00E50B13">
        <w:instrText>ADDIN CSL_CITATION { "citationItems" : [ { "id" : "ITEM-1", "itemData" : { "DOI" : "10.1002/sim.1186", "ISSN" : "0277-6715", "PMID" : "12111919", "abstract" : "The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 "author" : [ { "dropping-particle" : "", "family" : "Higgins", "given" : "Julian P T", "non-dropping-particle" : "", "parse-names" : false, "suffix" : "" }, { "dropping-particle" : "", "family" : "Thompson", "given" : "Simon G", "non-dropping-particle" : "", "parse-names" : false, "suffix" : "" } ], "container-title" : "Statistics in medicine", "id" : "ITEM-1", "issue" : "11", "issued" : { "date-parts" : [ [ "2002", "6" ] ] }, "page" : "1539-58", "title" : "Quantifying heterogeneity in a meta-analysis.", "type" : "article-journal", "volume" : "21" }, "uris" : [ "http://www.mendeley.com/documents/?uuid=a3c5c1da-6d29-3fd8-8d93-186fedacc0dc", "http://www.mendeley.com/documents/?uuid=d7d4e5b1-ca25-4b07-b28b-d15afd5f7632" ] } ], "mendeley" : { "formattedCitation" : "&lt;sup&gt;33&lt;/sup&gt;", "plainTextFormattedCitation" : "33", "previouslyFormattedCitation" : "&lt;sup&gt;37&lt;/sup&gt;" }, "properties" : { "noteIndex" : 0 }, "schema" : "https://github.com/citation-style-language/schema/raw/master/csl-citation.json" }</w:instrText>
      </w:r>
      <w:r w:rsidR="00E051AC" w:rsidRPr="0001219A">
        <w:fldChar w:fldCharType="separate"/>
      </w:r>
      <w:r w:rsidR="00E50B13" w:rsidRPr="00E50B13">
        <w:rPr>
          <w:noProof/>
          <w:vertAlign w:val="superscript"/>
        </w:rPr>
        <w:t>33</w:t>
      </w:r>
      <w:r w:rsidR="00E051AC" w:rsidRPr="0001219A">
        <w:fldChar w:fldCharType="end"/>
      </w:r>
      <w:r w:rsidR="00C205EA" w:rsidRPr="0001219A">
        <w:t>.</w:t>
      </w:r>
      <w:r w:rsidR="002933CF" w:rsidRPr="0001219A">
        <w:t xml:space="preserve"> </w:t>
      </w:r>
      <w:r w:rsidR="00BD50E5" w:rsidRPr="0001219A">
        <w:t>Evidence of small study effects w</w:t>
      </w:r>
      <w:r w:rsidR="0009028A">
        <w:t>as</w:t>
      </w:r>
      <w:r w:rsidR="00BD50E5" w:rsidRPr="0001219A">
        <w:t xml:space="preserve"> assessed visually with funnel plots and by Begg</w:t>
      </w:r>
      <w:r w:rsidR="0001219A" w:rsidRPr="00E51CBB">
        <w:rPr>
          <w:spacing w:val="1"/>
        </w:rPr>
        <w:t xml:space="preserve"> and Mazumdar’s test</w:t>
      </w:r>
      <w:r w:rsidR="0001219A" w:rsidRPr="00E51CBB">
        <w:rPr>
          <w:spacing w:val="1"/>
        </w:rPr>
        <w:fldChar w:fldCharType="begin" w:fldLock="1"/>
      </w:r>
      <w:r w:rsidR="00E50B13">
        <w:rPr>
          <w:spacing w:val="1"/>
        </w:rPr>
        <w:instrText>ADDIN CSL_CITATION { "citationItems" : [ { "id" : "ITEM-1", "itemData" : { "DOI" : "10.2307/2533446", "ISBN" : "0006-341X (Print)\\r0006-341X (Linking)", "ISSN" : "0006341X", "PMID" : "7786990", "abstract" : "An adjusted rank correlation test is proposed as a technique for identifying publication bias in a meta-analysis, and its operating characteristics are evaluated via simulations. The test statistic is a direct statistical analogue of the popular \"funnel-graph.\" The number of component studies in the meta-analysis, the nature of the selection mechanism, the range of variances of the effect size estimates, and the true underlying effect size are all observed to be influential in determining the power of the test. The test is fairly powerful for large meta-analyses with 75 component studies, but has only moderate power for meta-analyses with 25 component studies. However, in many of the configurations in which there is low power, there is also relatively little bias in the summary effect size estimate. Nonetheless, the test must be interpreted with caution in small meta-analyses. In particular, bias cannot be ruled out if the test is not significant. The proposed technique has potential utility as an exploratory tool for meta-analysts, as a formal procedure to complement the funnel-graph.", "author" : [ { "dropping-particle" : "", "family" : "Begg", "given" : "Colin B.", "non-dropping-particle" : "", "parse-names" : false, "suffix" : "" }, { "dropping-particle" : "", "family" : "Mazumdar", "given" : "Madhuchhanda", "non-dropping-particle" : "", "parse-names" : false, "suffix" : "" } ], "container-title" : "Biometrics", "id" : "ITEM-1", "issue" : "4", "issued" : { "date-parts" : [ [ "1994" ] ] }, "page" : "1088", "title" : "Operating Characteristics of a Rank Correlation Test for Publication Bias", "type" : "article-journal", "volume" : "50" }, "uris" : [ "http://www.mendeley.com/documents/?uuid=3850b532-47aa-4ddd-b09c-25766f506ca1", "http://www.mendeley.com/documents/?uuid=57ee57ba-d16b-45e3-84f2-2745078acae5" ] } ], "mendeley" : { "formattedCitation" : "&lt;sup&gt;34&lt;/sup&gt;", "plainTextFormattedCitation" : "34", "previouslyFormattedCitation" : "&lt;sup&gt;38&lt;/sup&gt;" }, "properties" : { "noteIndex" : 12 }, "schema" : "https://github.com/citation-style-language/schema/raw/master/csl-citation.json" }</w:instrText>
      </w:r>
      <w:r w:rsidR="0001219A" w:rsidRPr="00E51CBB">
        <w:rPr>
          <w:spacing w:val="1"/>
        </w:rPr>
        <w:fldChar w:fldCharType="separate"/>
      </w:r>
      <w:r w:rsidR="00E50B13" w:rsidRPr="00E50B13">
        <w:rPr>
          <w:noProof/>
          <w:spacing w:val="1"/>
          <w:vertAlign w:val="superscript"/>
        </w:rPr>
        <w:t>34</w:t>
      </w:r>
      <w:r w:rsidR="0001219A" w:rsidRPr="00E51CBB">
        <w:rPr>
          <w:spacing w:val="1"/>
        </w:rPr>
        <w:fldChar w:fldCharType="end"/>
      </w:r>
      <w:r w:rsidR="00BD50E5" w:rsidRPr="0001219A">
        <w:t xml:space="preserve"> and Egger’</w:t>
      </w:r>
      <w:r w:rsidR="0001219A" w:rsidRPr="0001219A">
        <w:t>s test</w:t>
      </w:r>
      <w:r w:rsidR="0001219A" w:rsidRPr="0001219A">
        <w:fldChar w:fldCharType="begin" w:fldLock="1"/>
      </w:r>
      <w:r w:rsidR="00E50B13">
        <w:instrText>ADDIN CSL_CITATION { "citationItems" : [ { "id" : "ITEM-1", "itemData" : { "DOI" : "10.1136/bmj.315.7109.629", "ISBN" : "0959-8138 (Print)\\n0959-535X (Linking)", "ISSN" : "0959-8138", "PMID" : "9310563", "abstract" : "OBJECTIVE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 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 MAIN OUTCOME MEASURE Degree of funnel plot asymmetry as measured by the intercept from regression of standard normal deviates against precision. 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 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 "author" : [ { "dropping-particle" : "", "family" : "Egger", "given" : "M.", "non-dropping-particle" : "", "parse-names" : false, "suffix" : "" }, { "dropping-particle" : "", "family" : "Davey Smith", "given" : "G", "non-dropping-particle" : "", "parse-names" : false, "suffix" : "" }, { "dropping-particle" : "", "family" : "Schneider", "given" : "M.", "non-dropping-particle" : "", "parse-names" : false, "suffix" : "" }, { "dropping-particle" : "", "family" : "Minder", "given" : "C.", "non-dropping-particle" : "", "parse-names" : false, "suffix" : "" }, { "dropping-particle" : "", "family" : "Mulrow", "given" : "CD.", "non-dropping-particle" : "", "parse-names" : false, "suffix" : "" }, { "dropping-particle" : "", "family" : "Egger", "given" : "M.", "non-dropping-particle" : "", "parse-names" : false, "suffix" : "" }, { "dropping-particle" : "", "family" : "Smith", "given" : "G. Davey", "non-dropping-particle" : "", "parse-names" : false, "suffix" : "" }, { "dropping-particle" : "", "family" : "Eysenck", "given" : "HJ.", "non-dropping-particle" : "", "parse-names" : false, "suffix" : "" }, { "dropping-particle" : "", "family" : "Egger", "given" : "M.", "non-dropping-particle" : "", "parse-names" : false, "suffix" : "" }, { "dropping-particle" : "", "family" : "Zellweger-Z\u00e4hner", "given" : "T.", "non-dropping-particle" : "", "parse-names" : false, "suffix" : "" }, { "dropping-particle" : "", "family" : "Schneider", "given" : "M.", "non-dropping-particle" : "", "parse-names" : false, "suffix" : "" }, { "dropping-particle" : "", "family" : "Junker", "given" : "C.", "non-dropping-particle" : "", "parse-names" : false, "suffix" : "" }, { "dropping-particle" : "", "family" : "Lengeler", "given" : "C.", "non-dropping-particle" : "", "parse-names" : false, "suffix" : "" }, { "dropping-particle" : "", "family" : "Antes", "given" : "G.", "non-dropping-particle" : "", "parse-names" : false, "suffix" : "" }, { "dropping-particle" : "", "family" : "Egger", "given" : "M.", "non-dropping-particle" : "", "parse-names" : false, "suffix" : "" }, { "dropping-particle" : "", "family" : "Smith", "given" : "G. Davey", "non-dropping-particle" : "", "parse-names" : false, "suffix" : "" }, { "dropping-particle" : "", "family" : "Light", "given" : "RJ.", "non-dropping-particle" : "", "parse-names" : false, "suffix" : "" }, { "dropping-particle" : "", "family" : "Pillemer", "given" : "DB.", "non-dropping-particle" : "", "parse-names" : false, "suffix" : "" }, { "dropping-particle" : "", "family" : "Villar", "given" : "J.", "non-dropping-particle" : "", "parse-names" : false, "suffix" : "" }, { "dropping-particle" : "", "family" : "Piaggio", "given" : "G.", "non-dropping-particle" : "", "parse-names" : false, "suffix" : "" }, { "dropping-particle" : "", "family" : "Carroli", "given" : "G.", "non-dropping-particle" : "", "parse-names" : false, "suffix" : "" }, { "dropping-particle" : "", "family" : "Donner", "given" : "A.", "non-dropping-particle" : "", "parse-names" : false, "suffix" : "" }, { "dropping-particle" : "", "family" : "Stuck", "given" : "AE.", "non-dropping-particle" : "", "parse-names" : false, "suffix" : "" }, { "dropping-particle" : "", "family" : "Siu", "given" : "AL.", "non-dropping-particle" : "", "parse-names" : false, "suffix" : "" }, { "dropping-particle" : "", "family" : "Wieland", "given" : "GD.", "non-dropping-particle" : "", "parse-names" : false, "suffix" : "" }, { "dropping-particle" : "", "family" : "Adams", "given" : "J.", "non-dropping-particle" : "", "parse-names" : false, "suffix" : "" }, { "dropping-particle" : "", "family" : "Rubenstein", "given" : "LZ.", "non-dropping-particle" : "", "parse-names" : false, "suffix" : "" }, { "dropping-particle" : "", "family" : "Yusuf", "given" : "S.", "non-dropping-particle" : "", "parse-names" : false, "suffix" : "" }, { "dropping-particle" : "", "family" : "Peto", "given" : "R.", "non-dropping-particle" : "", "parse-names" : false, "suffix" : "" }, { "dropping-particle" : "", "family" : "Lewis", "given" : "J.", "non-dropping-particle" : "", "parse-names" : false, "suffix" : "" }, { "dropping-particle" : "", "family" : "Collins", "given" : "R.", "non-dropping-particle" : "", "parse-names" : false, "suffix" : "" }, { "dropping-particle" : "", "family" : "Sleight", "given" : "P.", "non-dropping-particle" : "", "parse-names" : false, "suffix" : "" }, { "dropping-particle" : "", "family" : "Wang", "given" : "PH.", "non-dropping-particle" : "", "parse-names" : false, "suffix" : "" }, { "dropping-particle" : "", "family" : "Lau", "given" : "J.", "non-dropping-particle" : "", "parse-names" : false, "suffix" : "" }, { "dropping-particle" : "", "family" : "Chalmers", "given" : "TC.", "non-dropping-particle" : "", "parse-names" : false, "suffix" : "" }, { "dropping-particle" : "", "family" : "Mulrow", "given" : "CD.", "non-dropping-particle" : "", "parse-names" : false, "suffix" : "" }, { "dropping-particle" : "", "family" : "Mulrow", "given" : "JP.", "non-dropping-particle" : "", "parse-names" : false, "suffix" : "" }, { "dropping-particle" : "", "family" : "Linn", "given" : "WD.", "non-dropping-particle" : "", "parse-names" : false, "suffix" : "" }, { "dropping-particle" : "", "family" : "Aguilar", "given" : "C.", "non-dropping-particle" : "", "parse-names" : false, "suffix" : "" }, { "dropping-particle" : "", "family" : "Ramirez", "given" : "G.", "non-dropping-particle" : "", "parse-names" : false, "suffix" : "" }, { "dropping-particle" : "", "family" : "Teo", "given" : "KK.", "non-dropping-particle" : "", "parse-names" : false, "suffix" : "" }, { "dropping-particle" : "", "family" : "Yusuf", "given" : "S.", "non-dropping-particle" : "", "parse-names" : false, "suffix" : "" }, { "dropping-particle" : "", "family" : "Collins", "given" : "R.", "non-dropping-particle" : "", "parse-names" : false, "suffix" : "" }, { "dropping-particle" : "", "family" : "Chalmers", "given" : "I.", "non-dropping-particle" : "", "parse-names" : false, "suffix" : "" }, { "dropping-particle" : "", "family" : "Savulescu", "given" : "J.", "non-dropping-particle" : "", "parse-names" : false, "suffix" : "" }, { "dropping-particle" : "", "family" : "Chalmers", "given" : "I.", "non-dropping-particle" : "", "parse-names" : false, "suffix" : "" }, { "dropping-particle" : "", "family" : "Blunt", "given" : "J.", "non-dropping-particle" : "", "parse-names" : false, "suffix" : "" }, { "dropping-particle" : "", "family" : "Altman", "given" : "DG.", "non-dropping-particle" : "", "parse-names" : false, "suffix" : "" }, { "dropping-particle" : "", "family" : "Egger", "given" : "M.", "non-dropping-particle" : "", "parse-names" : false, "suffix" : "" }, { "dropping-particle" : "", "family" : "Smith", "given" : "G. Davey", "non-dropping-particle" : "", "parse-names" : false, "suffix" : "" }, { "dropping-particle" : "", "family" : "Phillips", "given" : "AN.", "non-dropping-particle" : "", "parse-names" : false, "suffix" : "" }, { "dropping-particle" : "", "family" : "Smith", "given" : "G. Davey", "non-dropping-particle" : "", "parse-names" : false, "suffix" : "" }, { "dropping-particle" : "", "family" : "Egger", "given" : "M.", "non-dropping-particle" : "", "parse-names" : false, "suffix" : "" }, { "dropping-particle" : "", "family" : "Baxter", "given" : "GF.", "non-dropping-particle" : "", "parse-names" : false, "suffix" : "" }, { "dropping-particle" : "", "family" : "Sumeray", "given" : "MS.", "non-dropping-particle" : "", "parse-names" : false, "suffix" : "" }, { "dropping-particle" : "", "family" : "Walker", "given" : "JM.", "non-dropping-particle" : "", "parse-names" : false, "suffix" : "" }, { "dropping-particle" : "", "family" : "Collins", "given" : "R.", "non-dropping-particle" : "", "parse-names" : false, "suffix" : "" }, { "dropping-particle" : "", "family" : "Peto", "given" : "R.", "non-dropping-particle" : "", "parse-names" : false, "suffix" : "" }, { "dropping-particle" : "", "family" : "Flournoy", "given" : "N.", "non-dropping-particle" : "", "parse-names" : false, "suffix" : "" }, { "dropping-particle" : "", "family" : "Olkin", "given" : "I.", "non-dropping-particle" : "", "parse-names" : false, "suffix" : "" } ], "container-title" : "British Medical Journal (Clinical research ed.)", "id" : "ITEM-1", "issue" : "7109", "issued" : { "date-parts" : [ [ "1997" ] ] }, "page" : "629-34", "title" : "Bias in meta-analysis detected by a simple, graphical test.", "type" : "article-journal", "volume" : "315" }, "uris" : [ "http://www.mendeley.com/documents/?uuid=8ab078cb-9253-4cdc-82ab-92581abe6161", "http://www.mendeley.com/documents/?uuid=eafda8e0-e6d9-456f-ad67-c174b4f5fae3" ] } ], "mendeley" : { "formattedCitation" : "&lt;sup&gt;35&lt;/sup&gt;", "plainTextFormattedCitation" : "35", "previouslyFormattedCitation" : "&lt;sup&gt;39&lt;/sup&gt;" }, "properties" : { "noteIndex" : 12 }, "schema" : "https://github.com/citation-style-language/schema/raw/master/csl-citation.json" }</w:instrText>
      </w:r>
      <w:r w:rsidR="0001219A" w:rsidRPr="0001219A">
        <w:fldChar w:fldCharType="separate"/>
      </w:r>
      <w:r w:rsidR="00E50B13" w:rsidRPr="00E50B13">
        <w:rPr>
          <w:noProof/>
          <w:vertAlign w:val="superscript"/>
        </w:rPr>
        <w:t>35</w:t>
      </w:r>
      <w:r w:rsidR="0001219A" w:rsidRPr="0001219A">
        <w:fldChar w:fldCharType="end"/>
      </w:r>
      <w:r w:rsidR="00BD50E5" w:rsidRPr="0001219A">
        <w:t>.</w:t>
      </w:r>
      <w:r w:rsidR="00BD50E5">
        <w:t xml:space="preserve"> </w:t>
      </w:r>
    </w:p>
    <w:p w14:paraId="3B556520" w14:textId="77777777" w:rsidR="00795047" w:rsidRDefault="00795047" w:rsidP="00795047">
      <w:pPr>
        <w:ind w:right="5"/>
        <w:rPr>
          <w:rFonts w:cs="Arial"/>
          <w:bCs/>
        </w:rPr>
      </w:pPr>
    </w:p>
    <w:p w14:paraId="3AA54905" w14:textId="6D9C5752" w:rsidR="009A6B28" w:rsidRPr="009A6B28" w:rsidRDefault="00831034" w:rsidP="009F32D1">
      <w:pPr>
        <w:rPr>
          <w:rFonts w:eastAsia="GuardianTextEgypGR-Regular" w:cs="GuardianTextEgypGR-Regular"/>
          <w:color w:val="1A171C"/>
          <w:szCs w:val="20"/>
          <w:lang w:eastAsia="en-US"/>
        </w:rPr>
      </w:pPr>
      <w:r>
        <w:rPr>
          <w:szCs w:val="20"/>
        </w:rPr>
        <w:t>M</w:t>
      </w:r>
      <w:r w:rsidR="00D302FA" w:rsidRPr="00D302FA">
        <w:rPr>
          <w:szCs w:val="20"/>
        </w:rPr>
        <w:t xml:space="preserve">ethods </w:t>
      </w:r>
      <w:r w:rsidR="00C344B0">
        <w:rPr>
          <w:szCs w:val="20"/>
        </w:rPr>
        <w:t xml:space="preserve">we </w:t>
      </w:r>
      <w:r w:rsidR="00D302FA" w:rsidRPr="00D302FA">
        <w:rPr>
          <w:szCs w:val="20"/>
        </w:rPr>
        <w:t xml:space="preserve">used to estimate </w:t>
      </w:r>
      <w:r>
        <w:rPr>
          <w:szCs w:val="20"/>
        </w:rPr>
        <w:t>reductions in life expectancy are</w:t>
      </w:r>
      <w:r w:rsidR="00D302FA" w:rsidRPr="00D302FA">
        <w:rPr>
          <w:szCs w:val="20"/>
        </w:rPr>
        <w:t xml:space="preserve"> in Annex 4. </w:t>
      </w:r>
      <w:r w:rsidR="00AA4284" w:rsidRPr="00836B73">
        <w:rPr>
          <w:szCs w:val="20"/>
        </w:rPr>
        <w:t>Briefly,</w:t>
      </w:r>
      <w:r w:rsidR="006D65EB" w:rsidRPr="00836B73">
        <w:rPr>
          <w:szCs w:val="20"/>
        </w:rPr>
        <w:t xml:space="preserve"> e</w:t>
      </w:r>
      <w:r w:rsidR="00795047" w:rsidRPr="00836B73">
        <w:rPr>
          <w:szCs w:val="20"/>
        </w:rPr>
        <w:t>stimates of c</w:t>
      </w:r>
      <w:r w:rsidR="00795047" w:rsidRPr="00AA4284">
        <w:rPr>
          <w:szCs w:val="20"/>
        </w:rPr>
        <w:t xml:space="preserve">umulative survival from 40 years of age onwards among categories of baseline alcohol consumption were calculated by applying </w:t>
      </w:r>
      <w:r w:rsidR="00FE7DA0">
        <w:rPr>
          <w:szCs w:val="20"/>
        </w:rPr>
        <w:t xml:space="preserve">estimated </w:t>
      </w:r>
      <w:r w:rsidR="00CC5CA7">
        <w:rPr>
          <w:szCs w:val="20"/>
        </w:rPr>
        <w:t>HR</w:t>
      </w:r>
      <w:r w:rsidR="00795047" w:rsidRPr="00AA4284">
        <w:rPr>
          <w:szCs w:val="20"/>
        </w:rPr>
        <w:t xml:space="preserve">s (specific to age-at-risk) for cause-specific mortality to </w:t>
      </w:r>
      <w:r w:rsidR="00AA4284" w:rsidRPr="00AA4284">
        <w:rPr>
          <w:rFonts w:eastAsia="GuardianTextEgypGR-Regular" w:cs="GuardianTextEgypGR-Regular"/>
          <w:color w:val="1A171C"/>
          <w:szCs w:val="20"/>
          <w:lang w:eastAsia="en-US"/>
        </w:rPr>
        <w:t>the detailed</w:t>
      </w:r>
      <w:r w:rsidR="00AA4284">
        <w:rPr>
          <w:rFonts w:eastAsia="GuardianTextEgypGR-Regular" w:cs="GuardianTextEgypGR-Regular"/>
          <w:color w:val="1A171C"/>
          <w:szCs w:val="20"/>
          <w:lang w:eastAsia="en-US"/>
        </w:rPr>
        <w:t xml:space="preserve"> </w:t>
      </w:r>
      <w:r w:rsidR="00AA4284" w:rsidRPr="00AA4284">
        <w:rPr>
          <w:rFonts w:eastAsia="GuardianTextEgypGR-Regular" w:cs="GuardianTextEgypGR-Regular"/>
          <w:color w:val="1A171C"/>
          <w:szCs w:val="20"/>
          <w:lang w:eastAsia="en-US"/>
        </w:rPr>
        <w:t>mortality component of the</w:t>
      </w:r>
      <w:r w:rsidR="00AA4284">
        <w:rPr>
          <w:rFonts w:eastAsia="GuardianTextEgypGR-Regular" w:cs="GuardianTextEgypGR-Regular"/>
          <w:color w:val="1A171C"/>
          <w:szCs w:val="20"/>
          <w:lang w:eastAsia="en-US"/>
        </w:rPr>
        <w:t xml:space="preserve"> US Centers for Disease Control </w:t>
      </w:r>
      <w:r w:rsidR="00AA4284" w:rsidRPr="00AA4284">
        <w:rPr>
          <w:rFonts w:eastAsia="GuardianTextEgypGR-Regular" w:cs="GuardianTextEgypGR-Regular"/>
          <w:color w:val="1A171C"/>
          <w:szCs w:val="20"/>
          <w:lang w:eastAsia="en-US"/>
        </w:rPr>
        <w:t xml:space="preserve">and Prevention’s </w:t>
      </w:r>
      <w:r w:rsidR="00AA4284">
        <w:rPr>
          <w:rFonts w:eastAsia="GuardianTextEgypGR-Regular" w:cs="GuardianTextEgypGR-Regular"/>
          <w:color w:val="1A171C"/>
          <w:szCs w:val="20"/>
          <w:lang w:eastAsia="en-US"/>
        </w:rPr>
        <w:lastRenderedPageBreak/>
        <w:t>WONDER database</w:t>
      </w:r>
      <w:r w:rsidR="009F32D1">
        <w:rPr>
          <w:rFonts w:eastAsia="GuardianTextEgypGR-Regular" w:cs="GuardianTextEgypGR-Regular"/>
          <w:color w:val="1A171C"/>
          <w:szCs w:val="20"/>
          <w:lang w:eastAsia="en-US"/>
        </w:rPr>
        <w:fldChar w:fldCharType="begin" w:fldLock="1"/>
      </w:r>
      <w:r w:rsidR="00E50B13">
        <w:rPr>
          <w:rFonts w:eastAsia="GuardianTextEgypGR-Regular" w:cs="GuardianTextEgypGR-Regular"/>
          <w:color w:val="1A171C"/>
          <w:szCs w:val="20"/>
          <w:lang w:eastAsia="en-US"/>
        </w:rPr>
        <w:instrText>ADDIN CSL_CITATION { "citationItems" : [ { "id" : "ITEM-1", "itemData" : { "id" : "ITEM-1", "issued" : { "date-parts" : [ [ "2016" ] ] }, "title" : "Centers for Disease Control and Prevention, National Center for Health Statistics. Underlying Cause of Death 1999-2015 on CDC WONDER Online Database, released December", "type" : "report" }, "uris" : [ "http://www.mendeley.com/documents/?uuid=334c57a6-5486-42cd-ac17-171fff6ffb84", "http://www.mendeley.com/documents/?uuid=6e005d34-5aeb-460d-97a6-3bfbe7f2d923" ] } ], "mendeley" : { "formattedCitation" : "&lt;sup&gt;36&lt;/sup&gt;", "plainTextFormattedCitation" : "36", "previouslyFormattedCitation" : "&lt;sup&gt;41&lt;/sup&gt;" }, "properties" : { "noteIndex" : 0 }, "schema" : "https://github.com/citation-style-language/schema/raw/master/csl-citation.json" }</w:instrText>
      </w:r>
      <w:r w:rsidR="009F32D1">
        <w:rPr>
          <w:rFonts w:eastAsia="GuardianTextEgypGR-Regular" w:cs="GuardianTextEgypGR-Regular"/>
          <w:color w:val="1A171C"/>
          <w:szCs w:val="20"/>
          <w:lang w:eastAsia="en-US"/>
        </w:rPr>
        <w:fldChar w:fldCharType="separate"/>
      </w:r>
      <w:r w:rsidR="00E50B13" w:rsidRPr="00E50B13">
        <w:rPr>
          <w:rFonts w:eastAsia="GuardianTextEgypGR-Regular" w:cs="GuardianTextEgypGR-Regular"/>
          <w:noProof/>
          <w:color w:val="1A171C"/>
          <w:szCs w:val="20"/>
          <w:vertAlign w:val="superscript"/>
          <w:lang w:eastAsia="en-US"/>
        </w:rPr>
        <w:t>36</w:t>
      </w:r>
      <w:r w:rsidR="009F32D1">
        <w:rPr>
          <w:rFonts w:eastAsia="GuardianTextEgypGR-Regular" w:cs="GuardianTextEgypGR-Regular"/>
          <w:color w:val="1A171C"/>
          <w:szCs w:val="20"/>
          <w:lang w:eastAsia="en-US"/>
        </w:rPr>
        <w:fldChar w:fldCharType="end"/>
      </w:r>
      <w:r w:rsidR="00AA4284">
        <w:rPr>
          <w:rFonts w:eastAsia="GuardianTextEgypGR-Regular" w:cs="GuardianTextEgypGR-Regular"/>
          <w:color w:val="1A171C"/>
          <w:szCs w:val="20"/>
          <w:lang w:eastAsia="en-US"/>
        </w:rPr>
        <w:t xml:space="preserve">, which recorded 10 million deaths among </w:t>
      </w:r>
      <w:r w:rsidR="00C344B0">
        <w:rPr>
          <w:rFonts w:eastAsia="GuardianTextEgypGR-Regular" w:cs="GuardianTextEgypGR-Regular"/>
          <w:color w:val="1A171C"/>
          <w:szCs w:val="20"/>
          <w:lang w:eastAsia="en-US"/>
        </w:rPr>
        <w:t>&gt;</w:t>
      </w:r>
      <w:r w:rsidR="00AA4284">
        <w:rPr>
          <w:rFonts w:eastAsia="GuardianTextEgypGR-Regular" w:cs="GuardianTextEgypGR-Regular"/>
          <w:color w:val="1A171C"/>
          <w:szCs w:val="20"/>
          <w:lang w:eastAsia="en-US"/>
        </w:rPr>
        <w:t xml:space="preserve">305 million individuals </w:t>
      </w:r>
      <w:r w:rsidR="00AA4284" w:rsidRPr="00AA4284">
        <w:rPr>
          <w:rFonts w:eastAsia="GuardianTextEgypGR-Regular" w:cs="GuardianTextEgypGR-Regular"/>
          <w:color w:val="1A171C"/>
          <w:szCs w:val="20"/>
          <w:lang w:eastAsia="en-US"/>
        </w:rPr>
        <w:t>during 2007</w:t>
      </w:r>
      <w:r w:rsidR="009E0453">
        <w:rPr>
          <w:rFonts w:eastAsia="GuardianTextEgypGR-Regular" w:cs="GuardianTextEgypGR-Regular"/>
          <w:color w:val="1A171C"/>
          <w:szCs w:val="20"/>
          <w:lang w:eastAsia="en-US"/>
        </w:rPr>
        <w:t>-</w:t>
      </w:r>
      <w:r w:rsidR="00AA4284" w:rsidRPr="00AA4284">
        <w:rPr>
          <w:rFonts w:eastAsia="GuardianTextEgypGR-Regular" w:cs="GuardianTextEgypGR-Regular"/>
          <w:color w:val="1A171C"/>
          <w:szCs w:val="20"/>
          <w:lang w:eastAsia="en-US"/>
        </w:rPr>
        <w:t>2010</w:t>
      </w:r>
      <w:r w:rsidR="00E051AC">
        <w:rPr>
          <w:rFonts w:eastAsia="GuardianTextEgypGR-Regular" w:cs="GuardianTextEgypGR-Regular"/>
          <w:color w:val="1A171C"/>
          <w:szCs w:val="20"/>
          <w:lang w:eastAsia="en-US"/>
        </w:rPr>
        <w:fldChar w:fldCharType="begin" w:fldLock="1"/>
      </w:r>
      <w:r w:rsidR="00E50B13">
        <w:rPr>
          <w:rFonts w:eastAsia="GuardianTextEgypGR-Regular" w:cs="GuardianTextEgypGR-Regular"/>
          <w:color w:val="1A171C"/>
          <w:szCs w:val="20"/>
          <w:lang w:eastAsia="en-US"/>
        </w:rPr>
        <w:instrText>ADDIN CSL_CITATION { "citationItems" : [ { "id" : "ITEM-1", "itemData" : { "author" : [ { "dropping-particle" : "", "family" : "World Health Organization", "given" : "", "non-dropping-particle" : "", "parse-names" : false, "suffix" : "" } ], "id" : "ITEM-1", "issued" : { "date-parts" : [ [ "2007" ] ] }, "title" : "WHO Statistical Information System (WHOSIS) Geneva, Switzerland", "type" : "book" }, "uris" : [ "http://www.mendeley.com/documents/?uuid=739674f1-3b3c-448e-b619-f68852038dac", "http://www.mendeley.com/documents/?uuid=914c9be8-c634-434a-a372-153530a7b573" ] }, { "id" : "ITEM-2", "itemData" : { "author" : [ { "dropping-particle" : "", "family" : "UN Population Division", "given" : "", "non-dropping-particle" : "", "parse-names" : false, "suffix" : "" } ], "id" : "ITEM-2", "issued" : { "date-parts" : [ [ "2005" ] ] }, "title" : "World Population Prospects New York, NY: United Nations", "type" : "book" }, "uris" : [ "http://www.mendeley.com/documents/?uuid=a61634e9-84ff-4b93-b224-e4351aa18507", "http://www.mendeley.com/documents/?uuid=bb984d9c-9da5-4a45-a1de-fca110fe15b1" ] } ], "mendeley" : { "formattedCitation" : "&lt;sup&gt;37,38&lt;/sup&gt;", "plainTextFormattedCitation" : "37,38", "previouslyFormattedCitation" : "&lt;sup&gt;42,43&lt;/sup&gt;" }, "properties" : { "noteIndex" : 0 }, "schema" : "https://github.com/citation-style-language/schema/raw/master/csl-citation.json" }</w:instrText>
      </w:r>
      <w:r w:rsidR="00E051AC">
        <w:rPr>
          <w:rFonts w:eastAsia="GuardianTextEgypGR-Regular" w:cs="GuardianTextEgypGR-Regular"/>
          <w:color w:val="1A171C"/>
          <w:szCs w:val="20"/>
          <w:lang w:eastAsia="en-US"/>
        </w:rPr>
        <w:fldChar w:fldCharType="separate"/>
      </w:r>
      <w:r w:rsidR="00E50B13" w:rsidRPr="00E50B13">
        <w:rPr>
          <w:rFonts w:eastAsia="GuardianTextEgypGR-Regular" w:cs="GuardianTextEgypGR-Regular"/>
          <w:noProof/>
          <w:color w:val="1A171C"/>
          <w:szCs w:val="20"/>
          <w:vertAlign w:val="superscript"/>
          <w:lang w:eastAsia="en-US"/>
        </w:rPr>
        <w:t>37,38</w:t>
      </w:r>
      <w:r w:rsidR="00E051AC">
        <w:rPr>
          <w:rFonts w:eastAsia="GuardianTextEgypGR-Regular" w:cs="GuardianTextEgypGR-Regular"/>
          <w:color w:val="1A171C"/>
          <w:szCs w:val="20"/>
          <w:lang w:eastAsia="en-US"/>
        </w:rPr>
        <w:fldChar w:fldCharType="end"/>
      </w:r>
      <w:r w:rsidR="00C205EA">
        <w:rPr>
          <w:rFonts w:eastAsia="GuardianTextEgypGR-Regular" w:cs="GuardianTextEgypGR-Regular"/>
          <w:color w:val="1A171C"/>
          <w:szCs w:val="20"/>
          <w:lang w:eastAsia="en-US"/>
        </w:rPr>
        <w:t>.</w:t>
      </w:r>
      <w:r w:rsidR="00AA4284">
        <w:rPr>
          <w:rFonts w:eastAsia="GuardianTextEgypGR-Regular" w:cs="GuardianTextEgypGR-Regular"/>
          <w:color w:val="1A171C"/>
          <w:szCs w:val="20"/>
          <w:lang w:eastAsia="en-US"/>
        </w:rPr>
        <w:t xml:space="preserve"> </w:t>
      </w:r>
      <w:r w:rsidR="00AA4284">
        <w:rPr>
          <w:szCs w:val="20"/>
        </w:rPr>
        <w:t>Results were modelled from age 40</w:t>
      </w:r>
      <w:r w:rsidR="00BD13E2">
        <w:rPr>
          <w:szCs w:val="20"/>
        </w:rPr>
        <w:t xml:space="preserve"> and enabled estimation of years of life lost between </w:t>
      </w:r>
      <w:r w:rsidR="000615D0">
        <w:t>l</w:t>
      </w:r>
      <w:r w:rsidR="00832563">
        <w:t>ight</w:t>
      </w:r>
      <w:r w:rsidR="000615D0">
        <w:t xml:space="preserve"> drinkers (defined as &gt;0-≤</w:t>
      </w:r>
      <w:r w:rsidR="00887954">
        <w:t>10</w:t>
      </w:r>
      <w:r w:rsidR="000615D0">
        <w:t>0 grams/week) and pre-defined groups of &gt;100-≤200, &gt;200-≤</w:t>
      </w:r>
      <w:r w:rsidR="00887954">
        <w:t>35</w:t>
      </w:r>
      <w:r w:rsidR="000615D0">
        <w:t>0 and &gt;</w:t>
      </w:r>
      <w:r w:rsidR="00887954">
        <w:t>35</w:t>
      </w:r>
      <w:r w:rsidR="000615D0">
        <w:t xml:space="preserve">0 grams/week. </w:t>
      </w:r>
      <w:r w:rsidR="00443FB6">
        <w:t>This</w:t>
      </w:r>
      <w:r w:rsidR="00443FB6" w:rsidRPr="00443FB6">
        <w:t xml:space="preserve"> method does not make use of the survival estimates from the modelled data</w:t>
      </w:r>
      <w:r w:rsidR="00C344B0">
        <w:t>. Instead, it makes inferences by estimating</w:t>
      </w:r>
      <w:r w:rsidR="00443FB6" w:rsidRPr="00443FB6">
        <w:t xml:space="preserve"> age-at-risk specific </w:t>
      </w:r>
      <w:r w:rsidR="00443FB6">
        <w:t>HRs</w:t>
      </w:r>
      <w:r w:rsidR="00C344B0">
        <w:t xml:space="preserve">, which are then </w:t>
      </w:r>
      <w:r w:rsidR="00443FB6" w:rsidRPr="00443FB6">
        <w:t>combined with external population age-specific mortality rates</w:t>
      </w:r>
      <w:r w:rsidR="00443FB6">
        <w:rPr>
          <w:szCs w:val="20"/>
        </w:rPr>
        <w:fldChar w:fldCharType="begin" w:fldLock="1"/>
      </w:r>
      <w:r w:rsidR="00E50B13">
        <w:rPr>
          <w:szCs w:val="20"/>
        </w:rPr>
        <w:instrText>ADDIN CSL_CITATION { "citationItems" : [ { "id" : "ITEM-1", "itemData" : { "DOI" : "10.1001/jama.2015.7008", "ISSN" : "1538-3598", "PMID" : "26151266", "abstract" : "IMPORTANCE The prevalence of cardiometabolic multimorbidity is increasing. OBJECTIVE To estimate reductions in life expectancy associated with cardiometabolic multimorbidity. DESIGN, SETTING, AND PARTICIPANTS Age- and sex-adjusted mortality rates and hazard ratios (HRs) were calculated using individual participant data from the Emerging Risk Factors Collaboration (689,300 participants; 91 cohorts; years of baseline surveys: 1960-2007; latest mortality follow-up: April 2013; 128,843 deaths). The HRs from the Emerging Risk Factors Collaboration were compared with those from the UK Biobank (499,808 participants; years of baseline surveys: 2006-2010; latest mortality follow-up: November 2013; 7995 deaths). Cumulative survival was estimated by applying calculated age-specific HRs for mortality to contemporary US age-specific death rates. EXPOSURES A history of 2 or more of the following: diabetes mellitus, stroke, myocardial infarction (MI). MAIN OUTCOMES AND MEASURES All-cause mortality and estimated reductions in life expectancy. RESULTS In participants in the Emerging Risk Factors Collaboration without a history of diabetes, stroke, or MI at baseline (reference group), the all-cause mortality rate adjusted to the age of 60 years was 6.8 per 1000 person-years. Mortality rates per 1000 person-years were 15.6 in participants with a history of diabetes, 16.1 in those with stroke, 16.8 in those with MI, 32.0 in those with both diabetes and MI, 32.5 in those with both diabetes and stroke, 32.8 in those with both stroke and MI, and 59.5 in those with diabetes, stroke, and MI. Compared with the reference group, the HRs for all-cause mortality were 1.9 (95% CI, 1.8-2.0) in participants with a history of diabetes, 2.1 (95% CI, 2.0-2.2) in those with stroke, 2.0 (95% CI, 1.9-2.2) in those with MI, 3.7 (95% CI, 3.3-4.1) in those with both diabetes and MI, 3.8 (95% CI, 3.5-4.2) in those with both diabetes and stroke, 3.5 (95% CI, 3.1-4.0) in those with both stroke and MI, and 6.9 (95% CI, 5.7-8.3) in those with diabetes, stroke, and MI. The HRs from the Emerging Risk Factors Collaboration were similar to those from the more recently recruited UK Biobank. The HRs were little changed after further adjustment for markers of established intermediate pathways (eg, levels of lipids and blood pressure) and lifestyle factors (eg, smoking, diet). At the age of 60 years, a history of any 2 of these conditions was associated with 12 years of reduced life expectancy and a history\u2026", "author" : [ { "dropping-particle" : "", "family" : "Emerging Risk Factors Collaboration", "given" : "Emanuele", "non-dropping-particle" : "", "parse-names" : false, "suffix" : "" }, { "dropping-particle" : "", "family" : "Angelantonio", "given" : "Emanuele", "non-dropping-particle" : "Di", "parse-names" : false, "suffix" : "" }, { "dropping-particle" : "", "family" : "Kaptoge", "given" : "Stephen", "non-dropping-particle" : "", "parse-names" : false, "suffix" : "" }, { "dropping-particle" : "", "family" : "Wormser", "given" : "David", "non-dropping-particle" : "", "parse-names" : false, "suffix" : "" }, { "dropping-particle" : "", "family" : "Willeit", "given" : "Peter", "non-dropping-particle" : "", "parse-names" : false, "suffix" : "" }, { "dropping-particle" : "", "family" : "Butterworth", "given" : "Adam S", "non-dropping-particle" : "", "parse-names" : false, "suffix" : "" }, { "dropping-particle" : "", "family" : "Bansal", "given" : "Narinder", "non-dropping-particle" : "", "parse-names" : false, "suffix" : "" }, { "dropping-particle" : "", "family" : "O'Keeffe", "given" : "Linda M", "non-dropping-particle" : "", "parse-names" : false, "suffix" : "" }, { "dropping-particle" : "", "family" : "Gao", "given" : "Pei", "non-dropping-particle" : "", "parse-names" : false, "suffix" : "" }, { "dropping-particle" : "", "family" : "Wood", "given" : "Angela M", "non-dropping-particle" : "", "parse-names" : false, "suffix" : "" }, { "dropping-particle" : "", "family" : "Burgess", "given" : "Stephen", "non-dropping-particle" : "", "parse-names" : false, "suffix" : "" }, { "dropping-particle" : "", "family" : "Freitag", "given" : "Daniel F", "non-dropping-particle" : "", "parse-names" : false, "suffix" : "" }, { "dropping-particle" : "", "family" : "Pennells", "given" : "Lisa", "non-dropping-particle" : "", "parse-names" : false, "suffix" : "" }, { "dropping-particle" : "", "family" : "Peters", "given" : "Sanne A", "non-dropping-particle" : "", "parse-names" : false, "suffix" : "" }, { "dropping-particle" : "", "family" : "Hart", "given" : "Carole L", "non-dropping-particle" : "", "parse-names" : false, "suffix" : "" }, { "dropping-particle" : "", "family" : "H\u00e5heim", "given" : "Lise Lund", "non-dropping-particle" : "", "parse-names" : false, "suffix" : "" }, { "dropping-particle" : "", "family" : "Gillum", "given" : "Richard F", "non-dropping-particle" : "", "parse-names" : false, "suffix" : "" }, { "dropping-particle" : "", "family" : "Nordestgaard", "given" : "B\u00f8rge G", "non-dropping-particle" : "", "parse-names" : false, "suffix" : "" }, { "dropping-particle" : "", "family" : "Psaty", "given" : "Bruce M", "non-dropping-particle" : "", "parse-names" : false, "suffix" : "" }, { "dropping-particle" : "", "family" : "Yeap", "given" : "Bu B", "non-dropping-particle" : "", "parse-names" : false, "suffix" : "" }, { "dropping-particle" : "", "family" : "Knuiman", "given" : "Matthew W", "non-dropping-particle" : "", "parse-names" : false, "suffix" : "" }, { "dropping-particle" : "", "family" : "Nietert", "given" : "Paul J", "non-dropping-particle" : "", "parse-names" : false, "suffix" : "" }, { "dropping-particle" : "", "family" : "Kauhanen", "given" : "Jussi", "non-dropping-particle" : "", "parse-names" : false, "suffix" : "" }, { "dropping-particle" : "", "family" : "Salonen", "given" : "Jukka T", "non-dropping-particle" : "", "parse-names" : false, "suffix" : "" }, { "dropping-particle" : "", "family" : "Kuller", "given" : "Lewis H", "non-dropping-particle" : "", "parse-names" : false, "suffix" : "" }, { "dropping-particle" : "", "family" : "Simons", "given" : "Leon A", "non-dropping-particle" : "", "parse-names" : false, "suffix" : "" }, { "dropping-particle" : "", "family" : "Schouw", "given" : "Yvonne T", "non-dropping-particle" : "van der", "parse-names" : false, "suffix" : "" }, { "dropping-particle" : "", "family" : "Barrett-Connor", "given" : "Elizabeth", "non-dropping-particle" : "", "parse-names" : false, "suffix" : "" }, { "dropping-particle" : "", "family" : "Selmer", "given" : "Randi", "non-dropping-particle" : "", "parse-names" : false, "suffix" : "" }, { "dropping-particle" : "", "family" : "Crespo", "given" : "Carlos J", "non-dropping-particle" : "", "parse-names" : false, "suffix" : "" }, { "dropping-particle" : "", "family" : "Rodriguez", "given" : "Beatriz", "non-dropping-particle" : "", "parse-names" : false, "suffix" : "" }, { "dropping-particle" : "", "family" : "Verschuren", "given" : "W M Monique", "non-dropping-particle" : "", "parse-names" : false, "suffix" : "" }, { "dropping-particle" : "", "family" : "Salomaa", "given" : "Veikko", "non-dropping-particle" : "", "parse-names" : false, "suffix" : "" }, { "dropping-particle" : "", "family" : "Sv\u00e4rdsudd", "given" : "Kurt", "non-dropping-particle" : "", "parse-names" : false, "suffix" : "" }, { "dropping-particle" : "", "family" : "Harst", "given" : "Pim", "non-dropping-particle" : "van der", "parse-names" : false, "suffix" : "" }, { "dropping-particle" : "", "family" : "Bj\u00f6rkelund", "given" : "Cecilia", "non-dropping-particle" : "", "parse-names" : false, "suffix" : "" }, { "dropping-particle" : "", "family" : "Wilhelmsen", "given" : "Lars", "non-dropping-particle" : "", "parse-names" : false, "suffix" : "" }, { "dropping-particle" : "", "family" : "Wallace", "given" : "Robert B", "non-dropping-particle" : "", "parse-names" : false, "suffix" : "" }, { "dropping-particle" : "", "family" : "Brenner", "given" : "Hermann", "non-dropping-particle" : "", "parse-names" : false, "suffix" : "" }, { "dropping-particle" : "", "family" : "Amouyel", "given" : "Philippe", "non-dropping-particle" : "", "parse-names" : false, "suffix" : "" }, { "dropping-particle" : "", "family" : "Barr", "given" : "Elizabeth L M", "non-dropping-particle" : "", "parse-names" : false, "suffix" : "" }, { "dropping-particle" : "", "family" : "Iso", "given" : "Hiroyasu", "non-dropping-particle" : "", "parse-names" : false, "suffix" : "" }, { "dropping-particle" : "", "family" : "Onat", "given" : "Altan", "non-dropping-particle" : "", "parse-names" : false, "suffix" : "" }, { "dropping-particle" : "", "family" : "Trevisan", "given" : "Maurizio", "non-dropping-particle" : "", "parse-names" : false, "suffix" : "" }, { "dropping-particle" : "", "family" : "D'Agostino", "given" : "Ralph B", "non-dropping-particle" : "", "parse-names" : false, "suffix" : "" }, { "dropping-particle" : "", "family" : "Cooper", "given" : "Cyrus", "non-dropping-particle" : "", "parse-names" : false, "suffix" : "" }, { "dropping-particle" : "", "family" : "Kavousi", "given" : "Maryam", "non-dropping-particle" : "", "parse-names" : false, "suffix" : "" }, { "dropping-particle" : "", "family" : "Welin", "given" : "Lennart", "non-dropping-particle" : "", "parse-names" : false, "suffix" : "" }, { "dropping-particle" : "", "family" : "Roussel", "given" : "Ronan", "non-dropping-particle" : "", "parse-names" : false, "suffix" : "" }, { "dropping-particle" : "", "family" : "Hu", "given" : "Frank B", "non-dropping-particle" : "", "parse-names" : false, "suffix" : "" }, { "dropping-particle" : "", "family" : "Sato", "given" : "Shinichi", "non-dropping-particle" : "", "parse-names" : false, "suffix" : "" }, { "dropping-particle" : "", "family" : "Davidson", "given" : "Karina W", "non-dropping-particle" : "", "parse-names" : false, "suffix" : "" }, { "dropping-particle" : "V", "family" : "Howard", "given" : "Barbara", "non-dropping-particle" : "", "parse-names" : false, "suffix" : "" }, { "dropping-particle" : "", "family" : "Leening", "given" : "Maarten J G", "non-dropping-particle" : "", "parse-names" : false, "suffix" : "" }, { "dropping-particle" : "", "family" : "Leening", "given" : "Maarten", "non-dropping-particle" : "", "parse-names" : false, "suffix" : "" }, { "dropping-particle" : "", "family" : "Rosengren", "given" : "Annika", "non-dropping-particle" : "", "parse-names" : false, "suffix" : "" }, { "dropping-particle" : "", "family" : "D\u00f6rr", "given" : "Marcus", "non-dropping-particle" : "", "parse-names" : false, "suffix" : "" }, { "dropping-particle" : "", "family" : "Deeg", "given" : "Dorly J H", "non-dropping-particle" : "", "parse-names" : false, "suffix" : "" }, { "dropping-particle" : "", "family" : "Kiechl", "given" : "Stefan", "non-dropping-particle" : "", "parse-names" : false, "suffix" : "" }, { "dropping-particle" : "", "family" : "Stehouwer", "given" : "Coen D A", "non-dropping-particle" : "", "parse-names" : false, "suffix" : "" }, { "dropping-particle" : "", "family" : "Nissinen", "given" : "Aulikki", "non-dropping-particle" : "", "parse-names" : false, "suffix" : "" }, { "dropping-particle" : "", "family" : "Giampaoli", "given" : "Simona", "non-dropping-particle" : "", "parse-names" : false, "suffix" : "" }, { "dropping-particle" : "", "family" : "Donfrancesco", "given" : "Chiara", "non-dropping-particle" : "", "parse-names" : false, "suffix" : "" }, { "dropping-particle" : "", "family" : "Kromhout", "given" : "Daan", "non-dropping-particle" : "", "parse-names" : false, "suffix" : "" }, { "dropping-particle" : "", "family" : "Price", "given" : "Jackie F", "non-dropping-particle" : "", "parse-names" : false, "suffix" : "" }, { "dropping-particle" : "", "family" : "Peters", "given" : "Annette", "non-dropping-particle" : "", "parse-names" : false, "suffix" : "" }, { "dropping-particle" : "", "family" : "Meade", "given" : "Tom W", "non-dropping-particle" : "", "parse-names" : false, "suffix" : "" }, { "dropping-particle" : "", "family" : "Casiglia", "given" : "Edoardo", "non-dropping-particle" : "", "parse-names" : false, "suffix" : "" }, { "dropping-particle" : "", "family" : "Lawlor", "given" : "Debbie A", "non-dropping-particle" : "", "parse-names" : false, "suffix" : "" }, { "dropping-particle" : "", "family" : "Gallacher", "given" : "John", "non-dropping-particle" : "", "parse-names" : false, "suffix" : "" }, { "dropping-particle" : "", "family" : "Nagel", "given" : "Dorothea", "non-dropping-particle" : "", "parse-names" : false, "suffix" : "" }, { "dropping-particle" : "", "family" : "Franco", "given" : "Oscar H", "non-dropping-particle" : "", "parse-names" : false, "suffix" : "" }, { "dropping-particle" : "", "family" : "Assmann", "given" : "Gerd", "non-dropping-particle" : "", "parse-names" : false, "suffix" : "" }, { "dropping-particle" : "", "family" : "Dagenais", "given" : "Gilles R", "non-dropping-particle" : "", "parse-names" : false, "suffix" : "" }, { "dropping-particle" : "", "family" : "Jukema", "given" : "J Wouter", "non-dropping-particle" : "", "parse-names" : false, "suffix" : "" }, { "dropping-particle" : "", "family" : "Sundstr\u00f6m", "given" : "Johan", "non-dropping-particle" : "", "parse-names" : false, "suffix" : "" }, { "dropping-particle" : "", "family" : "Woodward", "given" : "Mark", "non-dropping-particle" : "", "parse-names" : false, "suffix" : "" }, { "dropping-particle" : "", "family" : "Brunner", "given" : "Eric J", "non-dropping-particle" : "", "parse-names" : false, "suffix" : "" }, { "dropping-particle" : "", "family" : "Khaw", "given" : "Kay-Tee", "non-dropping-particle" : "", "parse-names" : false, "suffix" : "" }, { "dropping-particle" : "", "family" : "Wareham", "given" : "Nicholas J", "non-dropping-particle" : "", "parse-names" : false, "suffix" : "" }, { "dropping-particle" : "", "family" : "Whitsel", "given" : "Eric A", "non-dropping-particle" : "", "parse-names" : false, "suffix" : "" }, { "dropping-particle" : "", "family" : "Nj\u00f8lstad", "given" : "Inger", "non-dropping-particle" : "", "parse-names" : false, "suffix" : "" }, { "dropping-particle" : "", "family" : "Hedblad", "given" : "Bo", "non-dropping-particle" : "", "parse-names" : false, "suffix" : "" }, { "dropping-particle" : "", "family" : "Wassertheil-Smoller", "given" : "Sylvia", "non-dropping-particle" : "", "parse-names" : false, "suffix" : "" }, { "dropping-particle" : "", "family" : "Engstr\u00f6m", "given" : "Gunnar", "non-dropping-particle" : "", "parse-names" : false, "suffix" : "" }, { "dropping-particle" : "", "family" : "Rosamond", "given" : "Wayne D", "non-dropping-particle" : "", "parse-names" : false, "suffix" : "" }, { "dropping-particle" : "", "family" : "Selvin", "given" : "Elizabeth", "non-dropping-particle" : "", "parse-names" : false, "suffix" : "" }, { "dropping-particle" : "", "family" : "Sattar", "given" : "Naveed", "non-dropping-particle" : "", "parse-names" : false, "suffix" : "" }, { "dropping-particle" : "", "family" : "Thompson", "given" : "Simon G", "non-dropping-particle" : "", "parse-names" : false, "suffix" : "" }, { "dropping-particle" : "", "family" : "Danesh", "given" : "John", "non-dropping-particle" : "", "parse-names" : false, "suffix" : "" } ], "container-title" : "JAMA", "id" : "ITEM-1", "issue" : "1", "issued" : { "date-parts" : [ [ "2015", "7" ] ] }, "page" : "52-60", "title" : "Association of Cardiometabolic Multimorbidity With Mortality.", "type" : "article-journal", "volume" : "314" }, "uris" : [ "http://www.mendeley.com/documents/?uuid=bd6cc165-3d42-3a75-9e43-157583ac95d5", "http://www.mendeley.com/documents/?uuid=6473ac4f-c85f-45de-8bc5-0cbdb597f045" ] } ], "mendeley" : { "formattedCitation" : "&lt;sup&gt;39&lt;/sup&gt;", "plainTextFormattedCitation" : "39", "previouslyFormattedCitation" : "&lt;sup&gt;40&lt;/sup&gt;" }, "properties" : { "noteIndex" : 0 }, "schema" : "https://github.com/citation-style-language/schema/raw/master/csl-citation.json" }</w:instrText>
      </w:r>
      <w:r w:rsidR="00443FB6">
        <w:rPr>
          <w:szCs w:val="20"/>
        </w:rPr>
        <w:fldChar w:fldCharType="separate"/>
      </w:r>
      <w:r w:rsidR="00E50B13" w:rsidRPr="00E50B13">
        <w:rPr>
          <w:noProof/>
          <w:szCs w:val="20"/>
          <w:vertAlign w:val="superscript"/>
        </w:rPr>
        <w:t>39</w:t>
      </w:r>
      <w:r w:rsidR="00443FB6">
        <w:rPr>
          <w:szCs w:val="20"/>
        </w:rPr>
        <w:fldChar w:fldCharType="end"/>
      </w:r>
      <w:r w:rsidR="00443FB6" w:rsidRPr="00443FB6">
        <w:t>.</w:t>
      </w:r>
    </w:p>
    <w:p w14:paraId="71EF2313" w14:textId="77777777" w:rsidR="009A6B28" w:rsidRDefault="009A6B28" w:rsidP="002933CF">
      <w:pPr>
        <w:rPr>
          <w:rFonts w:eastAsia="GuardianTextEgypGR-Regular" w:cs="GuardianTextEgypGR-Regular"/>
          <w:color w:val="1A171C"/>
          <w:szCs w:val="20"/>
          <w:lang w:eastAsia="en-US"/>
        </w:rPr>
      </w:pPr>
    </w:p>
    <w:p w14:paraId="7E217D12" w14:textId="03FF32BB" w:rsidR="003A46DB" w:rsidRDefault="003A46DB" w:rsidP="002933CF">
      <w:r w:rsidRPr="003A46DB">
        <w:t xml:space="preserve">Analyses </w:t>
      </w:r>
      <w:r w:rsidR="00FE7DA0">
        <w:t>using Stata (version 14</w:t>
      </w:r>
      <w:r w:rsidRPr="003A46DB">
        <w:t>)</w:t>
      </w:r>
      <w:r w:rsidR="00CD07B7">
        <w:t xml:space="preserve"> involved 2</w:t>
      </w:r>
      <w:r w:rsidRPr="003A46DB">
        <w:t>-sided p-values and 95% CIs</w:t>
      </w:r>
      <w:r w:rsidR="009565CE">
        <w:t>.</w:t>
      </w:r>
    </w:p>
    <w:p w14:paraId="5C3936E7" w14:textId="3E4666A5" w:rsidR="00E15620" w:rsidRDefault="00E15620" w:rsidP="002933CF"/>
    <w:p w14:paraId="08701777" w14:textId="77777777" w:rsidR="00E15620" w:rsidRPr="005B069B" w:rsidRDefault="00E15620" w:rsidP="00E15620">
      <w:pPr>
        <w:rPr>
          <w:b/>
          <w:szCs w:val="20"/>
        </w:rPr>
      </w:pPr>
      <w:r w:rsidRPr="005B069B">
        <w:rPr>
          <w:b/>
          <w:szCs w:val="20"/>
        </w:rPr>
        <w:t>Role of funders</w:t>
      </w:r>
    </w:p>
    <w:p w14:paraId="7E6F1C76" w14:textId="5CE976EC" w:rsidR="00E15620" w:rsidRPr="00E15620" w:rsidRDefault="0046322F" w:rsidP="002933CF">
      <w:pPr>
        <w:rPr>
          <w:szCs w:val="20"/>
        </w:rPr>
      </w:pPr>
      <w:r>
        <w:rPr>
          <w:szCs w:val="20"/>
        </w:rPr>
        <w:t xml:space="preserve">Funders did not have </w:t>
      </w:r>
      <w:r w:rsidR="00E15620" w:rsidRPr="00BE3CDD">
        <w:rPr>
          <w:szCs w:val="20"/>
        </w:rPr>
        <w:t xml:space="preserve">any role in </w:t>
      </w:r>
      <w:r>
        <w:rPr>
          <w:szCs w:val="20"/>
        </w:rPr>
        <w:t>the</w:t>
      </w:r>
      <w:r w:rsidR="00E15620" w:rsidRPr="00BE3CDD">
        <w:rPr>
          <w:szCs w:val="20"/>
        </w:rPr>
        <w:t xml:space="preserve"> design, analysis</w:t>
      </w:r>
      <w:r w:rsidR="00E95E6D">
        <w:rPr>
          <w:szCs w:val="20"/>
        </w:rPr>
        <w:t>,</w:t>
      </w:r>
      <w:r w:rsidR="00E15620" w:rsidRPr="00BE3CDD">
        <w:rPr>
          <w:szCs w:val="20"/>
        </w:rPr>
        <w:t xml:space="preserve"> o</w:t>
      </w:r>
      <w:r w:rsidR="00E15620">
        <w:rPr>
          <w:szCs w:val="20"/>
        </w:rPr>
        <w:t xml:space="preserve">r </w:t>
      </w:r>
      <w:r w:rsidR="00E95E6D">
        <w:rPr>
          <w:szCs w:val="20"/>
        </w:rPr>
        <w:t xml:space="preserve">reporting of this </w:t>
      </w:r>
      <w:r w:rsidR="00E15620">
        <w:rPr>
          <w:szCs w:val="20"/>
        </w:rPr>
        <w:t>manuscript</w:t>
      </w:r>
      <w:r w:rsidR="00E15620" w:rsidRPr="00BE3CDD">
        <w:rPr>
          <w:szCs w:val="20"/>
        </w:rPr>
        <w:t>.</w:t>
      </w:r>
      <w:r w:rsidR="00E15620">
        <w:rPr>
          <w:szCs w:val="20"/>
        </w:rPr>
        <w:t xml:space="preserve"> </w:t>
      </w:r>
      <w:r w:rsidR="00CD07B7">
        <w:rPr>
          <w:rFonts w:cs="Verdana"/>
          <w:szCs w:val="20"/>
        </w:rPr>
        <w:t>AW and SK had full access</w:t>
      </w:r>
      <w:r w:rsidR="00E15620" w:rsidRPr="00BE3CDD">
        <w:rPr>
          <w:szCs w:val="20"/>
        </w:rPr>
        <w:t xml:space="preserve"> to </w:t>
      </w:r>
      <w:r w:rsidR="00CD07B7">
        <w:rPr>
          <w:rFonts w:cs="Verdana"/>
          <w:szCs w:val="20"/>
        </w:rPr>
        <w:t>the combined data</w:t>
      </w:r>
      <w:r w:rsidR="00E95E6D">
        <w:rPr>
          <w:rFonts w:cs="Verdana"/>
          <w:szCs w:val="20"/>
        </w:rPr>
        <w:t>set</w:t>
      </w:r>
      <w:r w:rsidR="00CD07B7">
        <w:rPr>
          <w:rFonts w:cs="Verdana"/>
          <w:szCs w:val="20"/>
        </w:rPr>
        <w:t>, who, together with EDA and JD, had responsibility</w:t>
      </w:r>
      <w:r w:rsidR="00E15620" w:rsidRPr="00BE3CDD">
        <w:rPr>
          <w:szCs w:val="20"/>
        </w:rPr>
        <w:t xml:space="preserve"> for </w:t>
      </w:r>
      <w:r w:rsidR="00E95E6D">
        <w:rPr>
          <w:rFonts w:cs="Verdana"/>
          <w:szCs w:val="20"/>
        </w:rPr>
        <w:t xml:space="preserve">manuscript </w:t>
      </w:r>
      <w:r w:rsidR="00CD07B7">
        <w:rPr>
          <w:rFonts w:cs="Verdana"/>
          <w:szCs w:val="20"/>
        </w:rPr>
        <w:t>submission.</w:t>
      </w:r>
    </w:p>
    <w:p w14:paraId="1192DC1D" w14:textId="77777777" w:rsidR="008A4221" w:rsidRPr="0067618B" w:rsidRDefault="00236471" w:rsidP="00283DAF">
      <w:pPr>
        <w:spacing w:after="200" w:line="276" w:lineRule="auto"/>
        <w:jc w:val="left"/>
      </w:pPr>
      <w:r>
        <w:rPr>
          <w:b/>
        </w:rPr>
        <w:br w:type="page"/>
      </w:r>
      <w:r w:rsidR="008A4221" w:rsidRPr="004C2F34">
        <w:rPr>
          <w:b/>
        </w:rPr>
        <w:lastRenderedPageBreak/>
        <w:t>RESULTS</w:t>
      </w:r>
    </w:p>
    <w:p w14:paraId="4A12F756" w14:textId="683D98BC" w:rsidR="008A4221" w:rsidRDefault="007E3317" w:rsidP="002933CF">
      <w:pPr>
        <w:rPr>
          <w:rFonts w:cstheme="minorHAnsi"/>
        </w:rPr>
      </w:pPr>
      <w:r>
        <w:rPr>
          <w:lang w:val="en-US"/>
        </w:rPr>
        <w:t xml:space="preserve">Of the </w:t>
      </w:r>
      <w:r w:rsidR="00E95E6D" w:rsidRPr="00F63207">
        <w:rPr>
          <w:lang w:val="en-US"/>
        </w:rPr>
        <w:t>786</w:t>
      </w:r>
      <w:r w:rsidR="00E95E6D">
        <w:rPr>
          <w:lang w:val="en-US"/>
        </w:rPr>
        <w:t>,</w:t>
      </w:r>
      <w:r w:rsidR="00E95E6D" w:rsidRPr="00F63207">
        <w:rPr>
          <w:lang w:val="en-US"/>
        </w:rPr>
        <w:t>787</w:t>
      </w:r>
      <w:r w:rsidR="00E95E6D">
        <w:rPr>
          <w:lang w:val="en-US"/>
        </w:rPr>
        <w:t xml:space="preserve"> participants </w:t>
      </w:r>
      <w:r>
        <w:rPr>
          <w:lang w:val="en-US"/>
        </w:rPr>
        <w:t>with</w:t>
      </w:r>
      <w:r w:rsidR="00770D8A">
        <w:rPr>
          <w:lang w:val="en-US"/>
        </w:rPr>
        <w:t xml:space="preserve"> sufficient information for inclusion in this consortium</w:t>
      </w:r>
      <w:r w:rsidR="005B6F06">
        <w:rPr>
          <w:lang w:val="en-US"/>
        </w:rPr>
        <w:t xml:space="preserve">, </w:t>
      </w:r>
      <w:r w:rsidR="00CC5CA7">
        <w:rPr>
          <w:lang w:val="en-US"/>
        </w:rPr>
        <w:t>18</w:t>
      </w:r>
      <w:r w:rsidR="00E95E6D">
        <w:rPr>
          <w:lang w:val="en-US"/>
        </w:rPr>
        <w:t xml:space="preserve">6,875 (19%) </w:t>
      </w:r>
      <w:r w:rsidR="00E95E6D">
        <w:t>did not report drinking at baseline</w:t>
      </w:r>
      <w:r w:rsidR="00E95E6D">
        <w:rPr>
          <w:lang w:val="en-US"/>
        </w:rPr>
        <w:t xml:space="preserve">, </w:t>
      </w:r>
      <w:r w:rsidR="003265D9">
        <w:rPr>
          <w:lang w:val="en-US"/>
        </w:rPr>
        <w:t>leaving</w:t>
      </w:r>
      <w:r w:rsidR="002E7E35">
        <w:t xml:space="preserve"> </w:t>
      </w:r>
      <w:r w:rsidR="002E7E35">
        <w:rPr>
          <w:rFonts w:eastAsiaTheme="minorHAnsi" w:cstheme="minorHAnsi"/>
          <w:color w:val="000000"/>
          <w:lang w:eastAsia="en-US"/>
        </w:rPr>
        <w:t xml:space="preserve">599,912 </w:t>
      </w:r>
      <w:r w:rsidR="002E7E35">
        <w:rPr>
          <w:lang w:val="en-US"/>
        </w:rPr>
        <w:t xml:space="preserve">current drinkers without </w:t>
      </w:r>
      <w:r w:rsidR="00B93A3F">
        <w:rPr>
          <w:lang w:val="en-US"/>
        </w:rPr>
        <w:t xml:space="preserve">a history of </w:t>
      </w:r>
      <w:r w:rsidR="002E7E35">
        <w:rPr>
          <w:lang w:val="en-US"/>
        </w:rPr>
        <w:t xml:space="preserve">CVD </w:t>
      </w:r>
      <w:r w:rsidR="00B93A3F">
        <w:rPr>
          <w:lang w:val="en-US"/>
        </w:rPr>
        <w:t>at baseline for the pre-specified principal analysis</w:t>
      </w:r>
      <w:r w:rsidR="003265D9">
        <w:rPr>
          <w:lang w:val="en-US"/>
        </w:rPr>
        <w:t xml:space="preserve">. </w:t>
      </w:r>
      <w:r>
        <w:rPr>
          <w:lang w:val="en-US"/>
        </w:rPr>
        <w:t>Current drinkers</w:t>
      </w:r>
      <w:r w:rsidR="003265D9">
        <w:rPr>
          <w:lang w:val="en-US"/>
        </w:rPr>
        <w:t xml:space="preserve"> derived from ERFC (</w:t>
      </w:r>
      <w:r w:rsidR="00BB0A68">
        <w:t>2</w:t>
      </w:r>
      <w:r w:rsidR="00B95059">
        <w:t>4</w:t>
      </w:r>
      <w:r w:rsidR="00F63207">
        <w:t>7</w:t>
      </w:r>
      <w:r w:rsidR="00BB0A68">
        <w:t>,</w:t>
      </w:r>
      <w:r w:rsidR="00F63207">
        <w:t>504</w:t>
      </w:r>
      <w:r w:rsidR="002E7E35">
        <w:t xml:space="preserve"> participants</w:t>
      </w:r>
      <w:r w:rsidR="003265D9">
        <w:t xml:space="preserve">), </w:t>
      </w:r>
      <w:r w:rsidR="002E7E35">
        <w:t>EPIC-CVD</w:t>
      </w:r>
      <w:r w:rsidR="003265D9">
        <w:t xml:space="preserve"> (</w:t>
      </w:r>
      <w:r w:rsidR="00BB0A68">
        <w:t>2</w:t>
      </w:r>
      <w:r w:rsidR="00B95059">
        <w:t>6</w:t>
      </w:r>
      <w:r w:rsidR="00BB0A68">
        <w:t>,</w:t>
      </w:r>
      <w:r w:rsidR="00B95059">
        <w:t>036</w:t>
      </w:r>
      <w:r w:rsidR="003265D9">
        <w:t>),</w:t>
      </w:r>
      <w:r w:rsidR="002E7E35">
        <w:t xml:space="preserve"> </w:t>
      </w:r>
      <w:r w:rsidR="00BB0A68">
        <w:t xml:space="preserve">and </w:t>
      </w:r>
      <w:r w:rsidR="003265D9">
        <w:t>UK Biobank (</w:t>
      </w:r>
      <w:r w:rsidR="00BB0A68">
        <w:t>326,</w:t>
      </w:r>
      <w:r w:rsidR="00B95059">
        <w:t>372</w:t>
      </w:r>
      <w:r w:rsidR="003265D9">
        <w:t xml:space="preserve">; </w:t>
      </w:r>
      <w:r w:rsidR="00BB0A68" w:rsidRPr="00B20E71">
        <w:rPr>
          <w:b/>
        </w:rPr>
        <w:t>Table 1</w:t>
      </w:r>
      <w:r w:rsidR="00BB0A68">
        <w:t xml:space="preserve">). </w:t>
      </w:r>
      <w:r w:rsidR="007B0F64">
        <w:t xml:space="preserve">Baseline year </w:t>
      </w:r>
      <w:r w:rsidR="005B257D">
        <w:t xml:space="preserve">of recruitment </w:t>
      </w:r>
      <w:r w:rsidR="007B0F64">
        <w:t xml:space="preserve">ranged from 1964 to </w:t>
      </w:r>
      <w:r w:rsidR="007B0F64" w:rsidRPr="00E51CBB">
        <w:t>201</w:t>
      </w:r>
      <w:r w:rsidR="005502B3" w:rsidRPr="00E51CBB">
        <w:t>4</w:t>
      </w:r>
      <w:r w:rsidR="007B0F64">
        <w:t xml:space="preserve">. </w:t>
      </w:r>
      <w:r w:rsidR="005B257D">
        <w:t>M</w:t>
      </w:r>
      <w:r w:rsidR="008A4221" w:rsidRPr="00747B16">
        <w:t xml:space="preserve">ean age was </w:t>
      </w:r>
      <w:r w:rsidR="00D33D02">
        <w:t>5</w:t>
      </w:r>
      <w:r w:rsidR="000A5B81">
        <w:t>7</w:t>
      </w:r>
      <w:r w:rsidR="008A4221" w:rsidRPr="00747B16">
        <w:t xml:space="preserve"> (SD </w:t>
      </w:r>
      <w:r w:rsidR="00D33D02">
        <w:t>9</w:t>
      </w:r>
      <w:r w:rsidR="00603206">
        <w:t>)</w:t>
      </w:r>
      <w:r w:rsidR="008F4FC1" w:rsidRPr="008F4FC1">
        <w:t xml:space="preserve"> </w:t>
      </w:r>
      <w:r w:rsidR="008F4FC1" w:rsidRPr="00747B16">
        <w:t>years</w:t>
      </w:r>
      <w:r w:rsidR="008F4FC1">
        <w:t>.</w:t>
      </w:r>
      <w:r w:rsidR="00603206">
        <w:t xml:space="preserve"> </w:t>
      </w:r>
      <w:r w:rsidR="00D33D02">
        <w:t>2</w:t>
      </w:r>
      <w:r w:rsidR="000A5B81">
        <w:t>65</w:t>
      </w:r>
      <w:r w:rsidR="00D33D02">
        <w:t>,</w:t>
      </w:r>
      <w:r w:rsidR="00B95059">
        <w:t>9</w:t>
      </w:r>
      <w:r w:rsidR="000A5B81">
        <w:t>10</w:t>
      </w:r>
      <w:r w:rsidR="00F5220F">
        <w:t xml:space="preserve"> (44</w:t>
      </w:r>
      <w:r w:rsidR="008A4221" w:rsidRPr="00AC3BF8">
        <w:t>%) were women, and</w:t>
      </w:r>
      <w:r w:rsidR="00D33D02">
        <w:t xml:space="preserve"> 1</w:t>
      </w:r>
      <w:r w:rsidR="00B95059">
        <w:t>28</w:t>
      </w:r>
      <w:r w:rsidR="00D33D02">
        <w:t>,</w:t>
      </w:r>
      <w:r w:rsidR="000A5B81">
        <w:t>085</w:t>
      </w:r>
      <w:r w:rsidR="00603206" w:rsidRPr="00AC3BF8">
        <w:t xml:space="preserve"> </w:t>
      </w:r>
      <w:r w:rsidR="00D33D02">
        <w:t>(</w:t>
      </w:r>
      <w:r w:rsidR="00B95059">
        <w:t>21</w:t>
      </w:r>
      <w:r w:rsidR="008A4221" w:rsidRPr="00747B16">
        <w:t xml:space="preserve">%) were </w:t>
      </w:r>
      <w:r w:rsidR="00603206">
        <w:t>smokers</w:t>
      </w:r>
      <w:r w:rsidR="008A4221" w:rsidRPr="00747B16">
        <w:t xml:space="preserve"> (</w:t>
      </w:r>
      <w:r w:rsidR="008A4221" w:rsidRPr="001E3E17">
        <w:rPr>
          <w:b/>
        </w:rPr>
        <w:t>eTable 2</w:t>
      </w:r>
      <w:r w:rsidR="008A4221" w:rsidRPr="00747B16">
        <w:t xml:space="preserve">). </w:t>
      </w:r>
      <w:r w:rsidR="005E2E7F">
        <w:t>A</w:t>
      </w:r>
      <w:r w:rsidR="004F67A6">
        <w:t>bout</w:t>
      </w:r>
      <w:r w:rsidR="005E2E7F">
        <w:t xml:space="preserve"> </w:t>
      </w:r>
      <w:r w:rsidR="00B95059">
        <w:t>5</w:t>
      </w:r>
      <w:r w:rsidR="005E2E7F">
        <w:t>0% report</w:t>
      </w:r>
      <w:r w:rsidR="005E3B39">
        <w:t>ed</w:t>
      </w:r>
      <w:r w:rsidR="005E2E7F">
        <w:t xml:space="preserve"> drinking more than 1</w:t>
      </w:r>
      <w:r w:rsidR="005E3B39">
        <w:t>00</w:t>
      </w:r>
      <w:r w:rsidR="00446FD1">
        <w:t xml:space="preserve"> </w:t>
      </w:r>
      <w:r w:rsidR="00446FD1">
        <w:rPr>
          <w:rFonts w:cs="Arial"/>
          <w:szCs w:val="20"/>
        </w:rPr>
        <w:t>grams/week</w:t>
      </w:r>
      <w:r w:rsidR="005B257D">
        <w:rPr>
          <w:rFonts w:cs="Arial"/>
          <w:szCs w:val="20"/>
        </w:rPr>
        <w:t>;</w:t>
      </w:r>
      <w:r w:rsidR="00170857">
        <w:t xml:space="preserve"> </w:t>
      </w:r>
      <w:r w:rsidR="00B95059">
        <w:t>8</w:t>
      </w:r>
      <w:r w:rsidR="00170857">
        <w:t>.4</w:t>
      </w:r>
      <w:r w:rsidR="005E2E7F">
        <w:t>% drank more than 350</w:t>
      </w:r>
      <w:r w:rsidR="00446FD1">
        <w:t xml:space="preserve"> </w:t>
      </w:r>
      <w:r w:rsidR="00446FD1">
        <w:rPr>
          <w:rFonts w:cs="Arial"/>
          <w:szCs w:val="20"/>
        </w:rPr>
        <w:t>grams/week</w:t>
      </w:r>
      <w:r w:rsidR="005E2E7F">
        <w:t xml:space="preserve"> (</w:t>
      </w:r>
      <w:r w:rsidR="005E2E7F" w:rsidRPr="00B20E71">
        <w:rPr>
          <w:b/>
        </w:rPr>
        <w:t>Table 1</w:t>
      </w:r>
      <w:r w:rsidR="005E2E7F">
        <w:t>). During 5.</w:t>
      </w:r>
      <w:r w:rsidR="00B95059">
        <w:t>4</w:t>
      </w:r>
      <w:r w:rsidR="005E2E7F">
        <w:t xml:space="preserve"> million person years at risk (median </w:t>
      </w:r>
      <w:r w:rsidR="00B95059">
        <w:t>7</w:t>
      </w:r>
      <w:r w:rsidR="005E2E7F">
        <w:t>.</w:t>
      </w:r>
      <w:r w:rsidR="00B95059">
        <w:t>5</w:t>
      </w:r>
      <w:r w:rsidR="005E2E7F">
        <w:t>,</w:t>
      </w:r>
      <w:r w:rsidR="005E2E7F" w:rsidRPr="001813B0">
        <w:rPr>
          <w:rFonts w:cstheme="minorHAnsi"/>
          <w:color w:val="000000" w:themeColor="text1"/>
          <w:szCs w:val="20"/>
        </w:rPr>
        <w:t xml:space="preserve"> 5</w:t>
      </w:r>
      <w:r w:rsidR="005E2E7F" w:rsidRPr="001813B0">
        <w:rPr>
          <w:rFonts w:cstheme="minorHAnsi"/>
          <w:color w:val="000000" w:themeColor="text1"/>
          <w:szCs w:val="20"/>
          <w:vertAlign w:val="superscript"/>
        </w:rPr>
        <w:t>th</w:t>
      </w:r>
      <w:r w:rsidR="005E2E7F" w:rsidRPr="001813B0">
        <w:rPr>
          <w:rFonts w:cstheme="minorHAnsi"/>
          <w:color w:val="000000" w:themeColor="text1"/>
          <w:szCs w:val="20"/>
        </w:rPr>
        <w:t>-95</w:t>
      </w:r>
      <w:r w:rsidR="005E2E7F" w:rsidRPr="001813B0">
        <w:rPr>
          <w:rFonts w:cstheme="minorHAnsi"/>
          <w:color w:val="000000" w:themeColor="text1"/>
          <w:szCs w:val="20"/>
          <w:vertAlign w:val="superscript"/>
        </w:rPr>
        <w:t>th</w:t>
      </w:r>
      <w:r w:rsidR="005E2E7F" w:rsidRPr="001813B0">
        <w:rPr>
          <w:rFonts w:cstheme="minorHAnsi"/>
          <w:color w:val="000000" w:themeColor="text1"/>
          <w:szCs w:val="20"/>
        </w:rPr>
        <w:t xml:space="preserve"> percentiles </w:t>
      </w:r>
      <w:r w:rsidR="00B95059">
        <w:rPr>
          <w:rFonts w:cstheme="minorHAnsi"/>
          <w:color w:val="000000" w:themeColor="text1"/>
          <w:szCs w:val="20"/>
        </w:rPr>
        <w:t>5.0</w:t>
      </w:r>
      <w:r w:rsidR="005E2E7F" w:rsidRPr="001813B0">
        <w:rPr>
          <w:rFonts w:cstheme="minorHAnsi"/>
          <w:color w:val="000000" w:themeColor="text1"/>
          <w:szCs w:val="20"/>
        </w:rPr>
        <w:t>-18.</w:t>
      </w:r>
      <w:r w:rsidR="00B95059">
        <w:rPr>
          <w:rFonts w:cstheme="minorHAnsi"/>
          <w:color w:val="000000" w:themeColor="text1"/>
          <w:szCs w:val="20"/>
        </w:rPr>
        <w:t>4</w:t>
      </w:r>
      <w:r w:rsidR="005E2E7F">
        <w:rPr>
          <w:rFonts w:cstheme="minorHAnsi"/>
          <w:color w:val="000000" w:themeColor="text1"/>
          <w:szCs w:val="20"/>
        </w:rPr>
        <w:t>,</w:t>
      </w:r>
      <w:r w:rsidR="005E2E7F" w:rsidRPr="001813B0">
        <w:rPr>
          <w:rFonts w:cstheme="minorHAnsi"/>
          <w:color w:val="000000" w:themeColor="text1"/>
          <w:szCs w:val="20"/>
        </w:rPr>
        <w:t xml:space="preserve"> years</w:t>
      </w:r>
      <w:r w:rsidR="005E2E7F">
        <w:rPr>
          <w:rFonts w:cstheme="minorHAnsi"/>
          <w:color w:val="000000" w:themeColor="text1"/>
          <w:szCs w:val="20"/>
        </w:rPr>
        <w:t xml:space="preserve"> of follow-up</w:t>
      </w:r>
      <w:r w:rsidR="005E2E7F">
        <w:t xml:space="preserve">), </w:t>
      </w:r>
      <w:r w:rsidR="005E2E7F">
        <w:rPr>
          <w:rFonts w:cstheme="minorHAnsi"/>
        </w:rPr>
        <w:t>there were 4</w:t>
      </w:r>
      <w:r w:rsidR="004B5A9F">
        <w:rPr>
          <w:rFonts w:cstheme="minorHAnsi"/>
        </w:rPr>
        <w:t>0</w:t>
      </w:r>
      <w:r w:rsidR="005E2E7F">
        <w:rPr>
          <w:rFonts w:cstheme="minorHAnsi"/>
        </w:rPr>
        <w:t>,3</w:t>
      </w:r>
      <w:r w:rsidR="004B5A9F">
        <w:rPr>
          <w:rFonts w:cstheme="minorHAnsi"/>
        </w:rPr>
        <w:t>17</w:t>
      </w:r>
      <w:r w:rsidR="005E2E7F">
        <w:rPr>
          <w:rFonts w:cstheme="minorHAnsi"/>
        </w:rPr>
        <w:t xml:space="preserve"> deaths from all causes</w:t>
      </w:r>
      <w:r w:rsidR="0003192A">
        <w:rPr>
          <w:rFonts w:cstheme="minorHAnsi"/>
        </w:rPr>
        <w:t xml:space="preserve">, (including 11,762 vascular and 15,150 </w:t>
      </w:r>
      <w:r w:rsidR="005B257D">
        <w:rPr>
          <w:rFonts w:cstheme="minorHAnsi"/>
        </w:rPr>
        <w:t>neoplastic</w:t>
      </w:r>
      <w:r w:rsidR="0003192A">
        <w:rPr>
          <w:rFonts w:cstheme="minorHAnsi"/>
        </w:rPr>
        <w:t xml:space="preserve"> deaths), and</w:t>
      </w:r>
      <w:r w:rsidR="005E2E7F">
        <w:rPr>
          <w:rFonts w:cstheme="minorHAnsi"/>
        </w:rPr>
        <w:t xml:space="preserve"> </w:t>
      </w:r>
      <w:r w:rsidR="004B5A9F">
        <w:rPr>
          <w:rFonts w:cstheme="minorHAnsi"/>
        </w:rPr>
        <w:t xml:space="preserve">39,018 </w:t>
      </w:r>
      <w:r w:rsidR="00A93200" w:rsidRPr="003E6FCA">
        <w:rPr>
          <w:rFonts w:cstheme="minorHAnsi"/>
        </w:rPr>
        <w:t xml:space="preserve">first incident </w:t>
      </w:r>
      <w:r w:rsidR="00AB7374" w:rsidRPr="003E6FCA">
        <w:rPr>
          <w:rFonts w:cstheme="minorHAnsi"/>
        </w:rPr>
        <w:t xml:space="preserve">CVD outcomes, </w:t>
      </w:r>
      <w:r w:rsidR="004B5A9F">
        <w:t>including</w:t>
      </w:r>
      <w:r w:rsidR="008A4221" w:rsidRPr="003E6FCA">
        <w:t xml:space="preserve"> </w:t>
      </w:r>
      <w:r w:rsidR="000A5B81" w:rsidRPr="00586F91">
        <w:t xml:space="preserve">12,090 stroke </w:t>
      </w:r>
      <w:r w:rsidR="004F67A6">
        <w:t>cases</w:t>
      </w:r>
      <w:r w:rsidR="000A5B81" w:rsidRPr="00586F91">
        <w:t xml:space="preserve">, </w:t>
      </w:r>
      <w:r w:rsidR="00F5220F" w:rsidRPr="003E6FCA">
        <w:rPr>
          <w:rFonts w:cstheme="minorHAnsi"/>
        </w:rPr>
        <w:t>1</w:t>
      </w:r>
      <w:r w:rsidR="000A5B81" w:rsidRPr="00586F91">
        <w:rPr>
          <w:rFonts w:cstheme="minorHAnsi"/>
        </w:rPr>
        <w:t>4</w:t>
      </w:r>
      <w:r w:rsidR="00F5220F" w:rsidRPr="003E6FCA">
        <w:rPr>
          <w:rFonts w:cstheme="minorHAnsi"/>
        </w:rPr>
        <w:t>,</w:t>
      </w:r>
      <w:r w:rsidR="000A5B81" w:rsidRPr="00586F91">
        <w:rPr>
          <w:rFonts w:cstheme="minorHAnsi"/>
        </w:rPr>
        <w:t>53</w:t>
      </w:r>
      <w:r w:rsidR="00F5220F" w:rsidRPr="003E6FCA">
        <w:rPr>
          <w:rFonts w:cstheme="minorHAnsi"/>
        </w:rPr>
        <w:t>9</w:t>
      </w:r>
      <w:r w:rsidR="00FE7DA0" w:rsidRPr="003E6FCA">
        <w:rPr>
          <w:rFonts w:cstheme="minorHAnsi"/>
        </w:rPr>
        <w:t xml:space="preserve"> </w:t>
      </w:r>
      <w:r w:rsidR="00170857">
        <w:rPr>
          <w:rFonts w:cstheme="minorHAnsi"/>
        </w:rPr>
        <w:t>MI cases</w:t>
      </w:r>
      <w:r w:rsidR="00E16A4C" w:rsidRPr="003E6FCA">
        <w:rPr>
          <w:rFonts w:cstheme="minorHAnsi"/>
        </w:rPr>
        <w:t xml:space="preserve">, </w:t>
      </w:r>
      <w:r w:rsidR="000A5B81" w:rsidRPr="00586F91">
        <w:rPr>
          <w:rFonts w:cstheme="minorHAnsi"/>
        </w:rPr>
        <w:t>7</w:t>
      </w:r>
      <w:r w:rsidR="00742D8C" w:rsidRPr="003E6FCA">
        <w:rPr>
          <w:rFonts w:cstheme="minorHAnsi"/>
        </w:rPr>
        <w:t>9</w:t>
      </w:r>
      <w:r w:rsidR="000A5B81" w:rsidRPr="00586F91">
        <w:rPr>
          <w:rFonts w:cstheme="minorHAnsi"/>
        </w:rPr>
        <w:t>90</w:t>
      </w:r>
      <w:r w:rsidR="00F5220F" w:rsidRPr="003E6FCA">
        <w:rPr>
          <w:rFonts w:cstheme="minorHAnsi"/>
        </w:rPr>
        <w:t xml:space="preserve"> </w:t>
      </w:r>
      <w:r w:rsidR="000A5B81" w:rsidRPr="00586F91">
        <w:rPr>
          <w:rFonts w:cstheme="minorHAnsi"/>
        </w:rPr>
        <w:t>non</w:t>
      </w:r>
      <w:r w:rsidR="0084645F">
        <w:rPr>
          <w:rFonts w:cstheme="minorHAnsi"/>
        </w:rPr>
        <w:t>-MI</w:t>
      </w:r>
      <w:r w:rsidR="000A5B81" w:rsidRPr="00586F91">
        <w:rPr>
          <w:rFonts w:cstheme="minorHAnsi"/>
        </w:rPr>
        <w:t xml:space="preserve"> </w:t>
      </w:r>
      <w:r w:rsidR="00F5220F" w:rsidRPr="003E6FCA">
        <w:rPr>
          <w:rFonts w:cstheme="minorHAnsi"/>
        </w:rPr>
        <w:t xml:space="preserve">coronary </w:t>
      </w:r>
      <w:r w:rsidR="000A5B81" w:rsidRPr="00586F91">
        <w:rPr>
          <w:rFonts w:cstheme="minorHAnsi"/>
        </w:rPr>
        <w:t xml:space="preserve">disease </w:t>
      </w:r>
      <w:r w:rsidR="003E6FCA" w:rsidRPr="00586F91">
        <w:rPr>
          <w:rFonts w:cstheme="minorHAnsi"/>
        </w:rPr>
        <w:t>cases</w:t>
      </w:r>
      <w:r w:rsidR="00015EEC" w:rsidRPr="003E6FCA">
        <w:rPr>
          <w:rFonts w:cstheme="minorHAnsi"/>
        </w:rPr>
        <w:t xml:space="preserve">, </w:t>
      </w:r>
      <w:r w:rsidR="003E6FCA" w:rsidRPr="00586F91">
        <w:rPr>
          <w:rFonts w:cstheme="minorHAnsi"/>
        </w:rPr>
        <w:t>2711 heart failure cases</w:t>
      </w:r>
      <w:r w:rsidR="002E7E35">
        <w:rPr>
          <w:rFonts w:cstheme="minorHAnsi"/>
        </w:rPr>
        <w:t>,</w:t>
      </w:r>
      <w:r w:rsidR="00603206" w:rsidRPr="003E6FCA">
        <w:rPr>
          <w:rFonts w:cstheme="minorHAnsi"/>
        </w:rPr>
        <w:t xml:space="preserve"> and </w:t>
      </w:r>
      <w:r w:rsidR="000A5B81" w:rsidRPr="00586F91">
        <w:rPr>
          <w:rFonts w:cstheme="minorHAnsi"/>
        </w:rPr>
        <w:t xml:space="preserve">1010 other </w:t>
      </w:r>
      <w:r w:rsidR="004F67A6">
        <w:rPr>
          <w:rFonts w:cstheme="minorHAnsi"/>
        </w:rPr>
        <w:t>CVD</w:t>
      </w:r>
      <w:r w:rsidR="000A5B81" w:rsidRPr="00586F91">
        <w:rPr>
          <w:rFonts w:cstheme="minorHAnsi"/>
        </w:rPr>
        <w:t xml:space="preserve"> </w:t>
      </w:r>
      <w:r w:rsidR="004F67A6" w:rsidRPr="00586F91">
        <w:rPr>
          <w:rFonts w:cstheme="minorHAnsi"/>
        </w:rPr>
        <w:t>deaths</w:t>
      </w:r>
      <w:r w:rsidR="005F120F" w:rsidRPr="003E6FCA">
        <w:rPr>
          <w:rFonts w:cstheme="minorHAnsi"/>
        </w:rPr>
        <w:t xml:space="preserve"> (</w:t>
      </w:r>
      <w:r w:rsidR="005F120F" w:rsidRPr="003E6FCA">
        <w:rPr>
          <w:rFonts w:cstheme="minorHAnsi"/>
          <w:b/>
        </w:rPr>
        <w:t>eTable 3</w:t>
      </w:r>
      <w:r w:rsidR="005F120F" w:rsidRPr="003E6FCA">
        <w:rPr>
          <w:rFonts w:cstheme="minorHAnsi"/>
        </w:rPr>
        <w:t>)</w:t>
      </w:r>
      <w:r w:rsidR="00121EB9" w:rsidRPr="003E6FCA">
        <w:rPr>
          <w:rFonts w:cstheme="minorHAnsi"/>
        </w:rPr>
        <w:t>.</w:t>
      </w:r>
    </w:p>
    <w:p w14:paraId="765446DA" w14:textId="77777777" w:rsidR="00C729D2" w:rsidRDefault="00C729D2" w:rsidP="002933CF"/>
    <w:p w14:paraId="3896C537" w14:textId="5494DADA" w:rsidR="00CE6C62" w:rsidRDefault="00015EEC" w:rsidP="002933CF">
      <w:r>
        <w:t>Baseline a</w:t>
      </w:r>
      <w:r w:rsidR="00603206">
        <w:t xml:space="preserve">lcohol consumption </w:t>
      </w:r>
      <w:r w:rsidR="00104335">
        <w:t xml:space="preserve">varied </w:t>
      </w:r>
      <w:r w:rsidR="00E16A4C">
        <w:t xml:space="preserve">substantially </w:t>
      </w:r>
      <w:r w:rsidR="00104335">
        <w:t>across studies</w:t>
      </w:r>
      <w:r w:rsidR="0033035E">
        <w:t>,</w:t>
      </w:r>
      <w:r w:rsidR="007A2DA3">
        <w:t xml:space="preserve"> </w:t>
      </w:r>
      <w:r w:rsidR="00D51E7D">
        <w:t>was lower</w:t>
      </w:r>
      <w:r w:rsidR="007A2DA3">
        <w:t xml:space="preserve"> </w:t>
      </w:r>
      <w:r w:rsidR="00753EE8">
        <w:t>at</w:t>
      </w:r>
      <w:r w:rsidR="00D51E7D">
        <w:t xml:space="preserve"> more </w:t>
      </w:r>
      <w:r w:rsidR="005B257D">
        <w:t xml:space="preserve">recent </w:t>
      </w:r>
      <w:r w:rsidR="00D51E7D">
        <w:t xml:space="preserve">calendar </w:t>
      </w:r>
      <w:r w:rsidR="00140E07">
        <w:t>periods</w:t>
      </w:r>
      <w:r w:rsidR="00D51E7D">
        <w:t xml:space="preserve"> of recruitment</w:t>
      </w:r>
      <w:r w:rsidR="009935CA">
        <w:t>,</w:t>
      </w:r>
      <w:r w:rsidR="00104335">
        <w:t xml:space="preserve"> </w:t>
      </w:r>
      <w:r w:rsidR="0033035E">
        <w:t xml:space="preserve">and </w:t>
      </w:r>
      <w:r w:rsidR="00603206">
        <w:t xml:space="preserve">was </w:t>
      </w:r>
      <w:r w:rsidR="00170857">
        <w:t xml:space="preserve">positively </w:t>
      </w:r>
      <w:r w:rsidR="001813B0">
        <w:t>skewed</w:t>
      </w:r>
      <w:r w:rsidR="009935CA">
        <w:t xml:space="preserve"> (</w:t>
      </w:r>
      <w:r w:rsidR="001813B0">
        <w:t>median</w:t>
      </w:r>
      <w:r w:rsidR="009935CA">
        <w:t>=</w:t>
      </w:r>
      <w:r w:rsidR="004B5A9F">
        <w:t>96</w:t>
      </w:r>
      <w:r w:rsidR="009935CA">
        <w:t>,</w:t>
      </w:r>
      <w:r w:rsidR="00603206">
        <w:t xml:space="preserve"> </w:t>
      </w:r>
      <w:r w:rsidR="00802B1D" w:rsidRPr="001813B0">
        <w:rPr>
          <w:rFonts w:cstheme="minorHAnsi"/>
          <w:color w:val="000000" w:themeColor="text1"/>
          <w:szCs w:val="20"/>
        </w:rPr>
        <w:t>5</w:t>
      </w:r>
      <w:r w:rsidR="00802B1D" w:rsidRPr="001813B0">
        <w:rPr>
          <w:rFonts w:cstheme="minorHAnsi"/>
          <w:color w:val="000000" w:themeColor="text1"/>
          <w:szCs w:val="20"/>
          <w:vertAlign w:val="superscript"/>
        </w:rPr>
        <w:t>th</w:t>
      </w:r>
      <w:r w:rsidR="00802B1D" w:rsidRPr="001813B0">
        <w:rPr>
          <w:rFonts w:cstheme="minorHAnsi"/>
          <w:color w:val="000000" w:themeColor="text1"/>
          <w:szCs w:val="20"/>
        </w:rPr>
        <w:t>-95</w:t>
      </w:r>
      <w:r w:rsidR="00802B1D" w:rsidRPr="001813B0">
        <w:rPr>
          <w:rFonts w:cstheme="minorHAnsi"/>
          <w:color w:val="000000" w:themeColor="text1"/>
          <w:szCs w:val="20"/>
          <w:vertAlign w:val="superscript"/>
        </w:rPr>
        <w:t>th</w:t>
      </w:r>
      <w:r w:rsidR="00802B1D">
        <w:rPr>
          <w:rFonts w:cstheme="minorHAnsi"/>
          <w:color w:val="000000" w:themeColor="text1"/>
          <w:szCs w:val="20"/>
        </w:rPr>
        <w:t xml:space="preserve"> percentiles</w:t>
      </w:r>
      <w:r>
        <w:t xml:space="preserve"> </w:t>
      </w:r>
      <w:r w:rsidR="00802B1D">
        <w:t>6</w:t>
      </w:r>
      <w:r w:rsidR="001355A2">
        <w:t>-</w:t>
      </w:r>
      <w:r w:rsidR="00802B1D">
        <w:t>448</w:t>
      </w:r>
      <w:r w:rsidR="009935CA">
        <w:t>,</w:t>
      </w:r>
      <w:r w:rsidR="00603206">
        <w:t xml:space="preserve"> grams/week</w:t>
      </w:r>
      <w:r w:rsidR="0033035E">
        <w:t>;</w:t>
      </w:r>
      <w:r w:rsidR="0033035E" w:rsidRPr="0033035E">
        <w:rPr>
          <w:b/>
        </w:rPr>
        <w:t xml:space="preserve"> </w:t>
      </w:r>
      <w:r w:rsidR="0033035E" w:rsidRPr="001E3E17">
        <w:rPr>
          <w:b/>
        </w:rPr>
        <w:t>eFigure 2</w:t>
      </w:r>
      <w:r w:rsidR="009935CA">
        <w:t>)</w:t>
      </w:r>
      <w:r w:rsidR="00E16A4C">
        <w:t xml:space="preserve">. </w:t>
      </w:r>
      <w:r w:rsidR="0033035E">
        <w:t>It</w:t>
      </w:r>
      <w:r w:rsidR="00F135A3">
        <w:t xml:space="preserve"> </w:t>
      </w:r>
      <w:r w:rsidR="00E16A4C">
        <w:t>was</w:t>
      </w:r>
      <w:r w:rsidR="00F913F9">
        <w:t xml:space="preserve"> </w:t>
      </w:r>
      <w:r w:rsidR="00832563">
        <w:t xml:space="preserve">weakly </w:t>
      </w:r>
      <w:r w:rsidR="005B257D">
        <w:t xml:space="preserve">and </w:t>
      </w:r>
      <w:r w:rsidR="00603206">
        <w:t>positively correlated with</w:t>
      </w:r>
      <w:r w:rsidR="00F913F9">
        <w:t xml:space="preserve"> </w:t>
      </w:r>
      <w:r w:rsidR="00B93A3F">
        <w:t xml:space="preserve">male sex, smoking status and amount, </w:t>
      </w:r>
      <w:r w:rsidR="00F913F9">
        <w:t>systolic blood pressure,</w:t>
      </w:r>
      <w:r w:rsidR="00E749A8">
        <w:t xml:space="preserve"> HDL-</w:t>
      </w:r>
      <w:r w:rsidR="009E0453">
        <w:t>C</w:t>
      </w:r>
      <w:r w:rsidR="004B5A9F">
        <w:t>, fibrinogen</w:t>
      </w:r>
      <w:r w:rsidR="00B93A3F">
        <w:t>,</w:t>
      </w:r>
      <w:r w:rsidR="00E749A8">
        <w:t xml:space="preserve"> </w:t>
      </w:r>
      <w:r w:rsidR="00B93A3F">
        <w:t>and lower socioeconomic status</w:t>
      </w:r>
      <w:r w:rsidR="00E749A8">
        <w:t xml:space="preserve"> (</w:t>
      </w:r>
      <w:r w:rsidR="00104335" w:rsidRPr="001E3E17">
        <w:rPr>
          <w:b/>
        </w:rPr>
        <w:t>eFigure 3</w:t>
      </w:r>
      <w:r w:rsidR="00E749A8">
        <w:t>)</w:t>
      </w:r>
      <w:r w:rsidR="00B93A3F">
        <w:t>.</w:t>
      </w:r>
      <w:r w:rsidR="00E749A8">
        <w:t xml:space="preserve"> </w:t>
      </w:r>
      <w:r w:rsidR="008D07F8">
        <w:t>15</w:t>
      </w:r>
      <w:r w:rsidR="00802B1D">
        <w:t>2</w:t>
      </w:r>
      <w:r w:rsidR="008D07F8">
        <w:t>,</w:t>
      </w:r>
      <w:r w:rsidR="00802B1D">
        <w:t>640</w:t>
      </w:r>
      <w:r w:rsidR="008D07F8">
        <w:t xml:space="preserve"> serial assessments </w:t>
      </w:r>
      <w:r w:rsidR="008B0165">
        <w:t>of</w:t>
      </w:r>
      <w:r w:rsidR="00E749A8">
        <w:t xml:space="preserve"> alcohol consumption w</w:t>
      </w:r>
      <w:r w:rsidR="008B0165">
        <w:t>ere</w:t>
      </w:r>
      <w:r w:rsidR="00E749A8">
        <w:t xml:space="preserve"> available </w:t>
      </w:r>
      <w:r w:rsidR="008B0165">
        <w:t>for</w:t>
      </w:r>
      <w:r w:rsidR="00E749A8">
        <w:t xml:space="preserve"> </w:t>
      </w:r>
      <w:r w:rsidR="00905598">
        <w:t>71</w:t>
      </w:r>
      <w:r w:rsidR="0072578A">
        <w:t>,</w:t>
      </w:r>
      <w:r w:rsidR="00905598">
        <w:t>011</w:t>
      </w:r>
      <w:r w:rsidR="00E749A8">
        <w:t xml:space="preserve"> </w:t>
      </w:r>
      <w:r w:rsidR="0001238A">
        <w:t>participants</w:t>
      </w:r>
      <w:r w:rsidR="00905598">
        <w:t xml:space="preserve"> from 37</w:t>
      </w:r>
      <w:r w:rsidR="00802B1D">
        <w:t xml:space="preserve"> studies</w:t>
      </w:r>
      <w:r w:rsidR="0017520E">
        <w:t xml:space="preserve"> (median</w:t>
      </w:r>
      <w:r w:rsidR="00E749A8">
        <w:t xml:space="preserve"> interval</w:t>
      </w:r>
      <w:r w:rsidR="008D07F8">
        <w:t>:</w:t>
      </w:r>
      <w:r w:rsidR="00E749A8">
        <w:t xml:space="preserve"> </w:t>
      </w:r>
      <w:r w:rsidR="00CE6C62">
        <w:t>5.</w:t>
      </w:r>
      <w:r w:rsidR="00802B1D">
        <w:t>6</w:t>
      </w:r>
      <w:r w:rsidR="00CE6C62">
        <w:t xml:space="preserve"> years). </w:t>
      </w:r>
      <w:r w:rsidR="00B93A3F">
        <w:t>Participants</w:t>
      </w:r>
      <w:r w:rsidR="0042521B">
        <w:t xml:space="preserve"> with serial measurements were </w:t>
      </w:r>
      <w:r w:rsidR="00A310C8">
        <w:t>younger, had slightly higher baseline alcohol consumption</w:t>
      </w:r>
      <w:r w:rsidR="005B257D">
        <w:t>,</w:t>
      </w:r>
      <w:r w:rsidR="0076605F">
        <w:t xml:space="preserve"> and wer</w:t>
      </w:r>
      <w:r w:rsidR="00A310C8">
        <w:t>e</w:t>
      </w:r>
      <w:r w:rsidR="0076605F">
        <w:t xml:space="preserve"> </w:t>
      </w:r>
      <w:r w:rsidR="00A310C8">
        <w:t>m</w:t>
      </w:r>
      <w:r w:rsidR="0076605F">
        <w:t xml:space="preserve">ore likely to be male than those without serial </w:t>
      </w:r>
      <w:r w:rsidR="0076605F" w:rsidRPr="00753EE8">
        <w:t>measurements</w:t>
      </w:r>
      <w:r w:rsidR="00C42E9F" w:rsidRPr="00753EE8">
        <w:t xml:space="preserve"> (</w:t>
      </w:r>
      <w:r w:rsidR="00C42E9F" w:rsidRPr="00753EE8">
        <w:rPr>
          <w:b/>
        </w:rPr>
        <w:t>e</w:t>
      </w:r>
      <w:r w:rsidR="000C4E1A" w:rsidRPr="00E51CBB">
        <w:rPr>
          <w:b/>
        </w:rPr>
        <w:t>Table</w:t>
      </w:r>
      <w:r w:rsidR="00C42E9F" w:rsidRPr="00753EE8">
        <w:rPr>
          <w:b/>
        </w:rPr>
        <w:t xml:space="preserve"> </w:t>
      </w:r>
      <w:r w:rsidR="009822AE" w:rsidRPr="00E51CBB">
        <w:rPr>
          <w:b/>
        </w:rPr>
        <w:t>4</w:t>
      </w:r>
      <w:r w:rsidR="00C42E9F" w:rsidRPr="00753EE8">
        <w:t>)</w:t>
      </w:r>
      <w:r w:rsidR="0042521B" w:rsidRPr="00753EE8">
        <w:t>.</w:t>
      </w:r>
      <w:r w:rsidR="0042521B">
        <w:t xml:space="preserve"> </w:t>
      </w:r>
      <w:r w:rsidR="00CE6C62">
        <w:t>The regression dilution</w:t>
      </w:r>
      <w:r w:rsidR="008A5432">
        <w:t xml:space="preserve"> </w:t>
      </w:r>
      <w:r w:rsidR="007D662D">
        <w:t xml:space="preserve">ratio </w:t>
      </w:r>
      <w:r w:rsidR="008B0165">
        <w:t>for</w:t>
      </w:r>
      <w:r w:rsidR="008A5432">
        <w:t xml:space="preserve"> alcohol c</w:t>
      </w:r>
      <w:r w:rsidR="0072578A">
        <w:t>onsumption was 0.5</w:t>
      </w:r>
      <w:r w:rsidR="00802B1D">
        <w:t>0</w:t>
      </w:r>
      <w:r w:rsidR="00E513B3">
        <w:t xml:space="preserve"> (</w:t>
      </w:r>
      <w:r w:rsidR="00832563">
        <w:t>95% CI</w:t>
      </w:r>
      <w:r w:rsidR="00EE7D9B">
        <w:t>:</w:t>
      </w:r>
      <w:r w:rsidR="00832563">
        <w:t xml:space="preserve"> </w:t>
      </w:r>
      <w:r w:rsidR="00E513B3">
        <w:t>0.</w:t>
      </w:r>
      <w:r w:rsidR="00802B1D">
        <w:t>47</w:t>
      </w:r>
      <w:r w:rsidR="00E513B3">
        <w:t>-0.5</w:t>
      </w:r>
      <w:r w:rsidR="00802B1D">
        <w:t>2</w:t>
      </w:r>
      <w:r w:rsidR="00CE6C62">
        <w:t xml:space="preserve">), </w:t>
      </w:r>
      <w:r w:rsidR="000C2227">
        <w:t xml:space="preserve">similar to </w:t>
      </w:r>
      <w:r w:rsidR="00CE6C62">
        <w:t xml:space="preserve">systolic blood pressure </w:t>
      </w:r>
      <w:r w:rsidR="00CE6C62" w:rsidRPr="00375FD6">
        <w:t>(0.5</w:t>
      </w:r>
      <w:r w:rsidR="00375FD6" w:rsidRPr="00586F91">
        <w:t>2</w:t>
      </w:r>
      <w:r w:rsidR="00CE6C62" w:rsidRPr="00375FD6">
        <w:t>, 0.5</w:t>
      </w:r>
      <w:r w:rsidR="00375FD6" w:rsidRPr="00586F91">
        <w:t>0</w:t>
      </w:r>
      <w:r w:rsidR="00CE6C62" w:rsidRPr="00375FD6">
        <w:t>-0.5</w:t>
      </w:r>
      <w:r w:rsidR="00375FD6" w:rsidRPr="00586F91">
        <w:t>5</w:t>
      </w:r>
      <w:r w:rsidR="00CE6C62" w:rsidRPr="00375FD6">
        <w:t>)</w:t>
      </w:r>
      <w:r w:rsidR="008D07F8" w:rsidRPr="00375FD6">
        <w:t xml:space="preserve"> </w:t>
      </w:r>
      <w:r w:rsidR="00C925B7" w:rsidRPr="00375FD6">
        <w:t>but</w:t>
      </w:r>
      <w:r w:rsidR="00CE6C62" w:rsidRPr="00375FD6">
        <w:t xml:space="preserve"> lower than</w:t>
      </w:r>
      <w:r w:rsidR="00763697" w:rsidRPr="00375FD6">
        <w:t xml:space="preserve"> </w:t>
      </w:r>
      <w:r w:rsidR="00E16A4C" w:rsidRPr="00375FD6">
        <w:t>HDL-</w:t>
      </w:r>
      <w:r w:rsidR="009E0453" w:rsidRPr="00375FD6">
        <w:t>C</w:t>
      </w:r>
      <w:r w:rsidR="00E16A4C" w:rsidRPr="00375FD6">
        <w:t xml:space="preserve"> </w:t>
      </w:r>
      <w:r w:rsidR="00CE6C62" w:rsidRPr="00375FD6">
        <w:t>(0.74, 0.7</w:t>
      </w:r>
      <w:r w:rsidR="000A2B44" w:rsidRPr="00586F91">
        <w:t>2</w:t>
      </w:r>
      <w:r w:rsidR="00CE6C62" w:rsidRPr="00375FD6">
        <w:t>-0.7</w:t>
      </w:r>
      <w:r w:rsidR="000A2B44" w:rsidRPr="00586F91">
        <w:t>6</w:t>
      </w:r>
      <w:r w:rsidR="00CE6C62" w:rsidRPr="00375FD6">
        <w:t>)</w:t>
      </w:r>
      <w:r w:rsidR="00C925B7" w:rsidRPr="00375FD6">
        <w:t xml:space="preserve"> in </w:t>
      </w:r>
      <w:r w:rsidR="00EE7D9B">
        <w:t>a common set of</w:t>
      </w:r>
      <w:r w:rsidR="009822AE">
        <w:t xml:space="preserve"> </w:t>
      </w:r>
      <w:r w:rsidR="00C925B7" w:rsidRPr="00375FD6">
        <w:t>participants</w:t>
      </w:r>
      <w:r w:rsidR="00CE6C62" w:rsidRPr="00375FD6">
        <w:t>.</w:t>
      </w:r>
      <w:r w:rsidR="00CE6C62">
        <w:t xml:space="preserve"> </w:t>
      </w:r>
    </w:p>
    <w:p w14:paraId="6FB3072A" w14:textId="77777777" w:rsidR="00C729D2" w:rsidRDefault="00C729D2" w:rsidP="00730ACF">
      <w:pPr>
        <w:rPr>
          <w:rFonts w:cstheme="minorHAnsi"/>
          <w:bCs/>
          <w:color w:val="000000" w:themeColor="text1"/>
          <w:szCs w:val="20"/>
        </w:rPr>
      </w:pPr>
    </w:p>
    <w:p w14:paraId="49D26BD3" w14:textId="5551B71B" w:rsidR="00830E2D" w:rsidRDefault="00716074" w:rsidP="00730ACF">
      <w:r>
        <w:rPr>
          <w:rFonts w:cstheme="minorHAnsi"/>
          <w:bCs/>
          <w:color w:val="000000" w:themeColor="text1"/>
          <w:szCs w:val="20"/>
        </w:rPr>
        <w:lastRenderedPageBreak/>
        <w:t xml:space="preserve">For </w:t>
      </w:r>
      <w:r w:rsidRPr="001813B0">
        <w:rPr>
          <w:rFonts w:cstheme="minorHAnsi"/>
          <w:bCs/>
          <w:color w:val="000000" w:themeColor="text1"/>
          <w:szCs w:val="20"/>
        </w:rPr>
        <w:t>all-cause mortality</w:t>
      </w:r>
      <w:r>
        <w:rPr>
          <w:rFonts w:cstheme="minorHAnsi"/>
          <w:bCs/>
          <w:color w:val="000000" w:themeColor="text1"/>
          <w:szCs w:val="20"/>
        </w:rPr>
        <w:t xml:space="preserve">, there was </w:t>
      </w:r>
      <w:r>
        <w:t>a positive and curvilinear association</w:t>
      </w:r>
      <w:r>
        <w:rPr>
          <w:rFonts w:cstheme="minorHAnsi"/>
          <w:bCs/>
          <w:color w:val="000000" w:themeColor="text1"/>
          <w:szCs w:val="20"/>
        </w:rPr>
        <w:t xml:space="preserve">, </w:t>
      </w:r>
      <w:r w:rsidRPr="002C335F">
        <w:rPr>
          <w:rFonts w:cstheme="minorHAnsi"/>
          <w:bCs/>
          <w:color w:val="000000" w:themeColor="text1"/>
          <w:szCs w:val="20"/>
        </w:rPr>
        <w:t>with lowest risk around 100 grams/week (</w:t>
      </w:r>
      <w:r w:rsidRPr="002C335F">
        <w:rPr>
          <w:rFonts w:cstheme="minorHAnsi"/>
          <w:b/>
          <w:bCs/>
          <w:color w:val="000000" w:themeColor="text1"/>
          <w:szCs w:val="20"/>
        </w:rPr>
        <w:t>Figure 1</w:t>
      </w:r>
      <w:r w:rsidRPr="002C335F">
        <w:rPr>
          <w:rFonts w:cstheme="minorHAnsi"/>
          <w:bCs/>
          <w:color w:val="000000" w:themeColor="text1"/>
          <w:szCs w:val="20"/>
        </w:rPr>
        <w:t xml:space="preserve">, </w:t>
      </w:r>
      <w:r w:rsidRPr="002C335F">
        <w:rPr>
          <w:rFonts w:cstheme="minorHAnsi"/>
          <w:b/>
          <w:bCs/>
          <w:color w:val="000000" w:themeColor="text1"/>
          <w:szCs w:val="20"/>
        </w:rPr>
        <w:t xml:space="preserve">eFigure </w:t>
      </w:r>
      <w:r w:rsidR="00FD3524" w:rsidRPr="002C335F">
        <w:rPr>
          <w:rFonts w:cstheme="minorHAnsi"/>
          <w:b/>
          <w:bCs/>
          <w:color w:val="000000" w:themeColor="text1"/>
          <w:szCs w:val="20"/>
        </w:rPr>
        <w:t>4</w:t>
      </w:r>
      <w:r w:rsidRPr="002C335F">
        <w:rPr>
          <w:rFonts w:cstheme="minorHAnsi"/>
          <w:bCs/>
          <w:color w:val="000000" w:themeColor="text1"/>
          <w:szCs w:val="20"/>
        </w:rPr>
        <w:t>).</w:t>
      </w:r>
      <w:r>
        <w:rPr>
          <w:rFonts w:cstheme="minorHAnsi"/>
          <w:bCs/>
          <w:color w:val="000000" w:themeColor="text1"/>
          <w:szCs w:val="20"/>
        </w:rPr>
        <w:t xml:space="preserve"> </w:t>
      </w:r>
      <w:r w:rsidR="007E3317">
        <w:rPr>
          <w:rFonts w:cstheme="minorHAnsi"/>
          <w:bCs/>
          <w:color w:val="000000" w:themeColor="text1"/>
          <w:szCs w:val="20"/>
        </w:rPr>
        <w:t>Associations were</w:t>
      </w:r>
      <w:r>
        <w:rPr>
          <w:rFonts w:cstheme="minorHAnsi"/>
          <w:bCs/>
          <w:color w:val="000000" w:themeColor="text1"/>
          <w:szCs w:val="20"/>
        </w:rPr>
        <w:t xml:space="preserve"> similar for males and females (</w:t>
      </w:r>
      <w:r w:rsidRPr="00E60725">
        <w:rPr>
          <w:rFonts w:cstheme="minorHAnsi"/>
          <w:b/>
          <w:bCs/>
          <w:color w:val="000000" w:themeColor="text1"/>
          <w:szCs w:val="20"/>
        </w:rPr>
        <w:t xml:space="preserve">eFigure </w:t>
      </w:r>
      <w:r w:rsidR="001B4268">
        <w:rPr>
          <w:rFonts w:cstheme="minorHAnsi"/>
          <w:b/>
          <w:bCs/>
          <w:color w:val="000000" w:themeColor="text1"/>
          <w:szCs w:val="20"/>
        </w:rPr>
        <w:t>5</w:t>
      </w:r>
      <w:r>
        <w:rPr>
          <w:rFonts w:cstheme="minorHAnsi"/>
          <w:bCs/>
          <w:color w:val="000000" w:themeColor="text1"/>
          <w:szCs w:val="20"/>
        </w:rPr>
        <w:t>)</w:t>
      </w:r>
      <w:r w:rsidR="005B257D">
        <w:rPr>
          <w:rFonts w:cstheme="minorHAnsi"/>
          <w:bCs/>
          <w:color w:val="000000" w:themeColor="text1"/>
          <w:szCs w:val="20"/>
        </w:rPr>
        <w:t>,</w:t>
      </w:r>
      <w:r>
        <w:rPr>
          <w:rFonts w:cstheme="minorHAnsi"/>
          <w:bCs/>
          <w:color w:val="000000" w:themeColor="text1"/>
          <w:szCs w:val="20"/>
        </w:rPr>
        <w:t xml:space="preserve"> but weaker </w:t>
      </w:r>
      <w:r w:rsidR="002C335F">
        <w:rPr>
          <w:rFonts w:cstheme="minorHAnsi"/>
          <w:bCs/>
          <w:color w:val="000000" w:themeColor="text1"/>
          <w:szCs w:val="20"/>
        </w:rPr>
        <w:t>at older ages</w:t>
      </w:r>
      <w:r>
        <w:rPr>
          <w:rFonts w:cstheme="minorHAnsi"/>
          <w:bCs/>
          <w:color w:val="000000" w:themeColor="text1"/>
          <w:szCs w:val="20"/>
        </w:rPr>
        <w:t xml:space="preserve"> (</w:t>
      </w:r>
      <w:r>
        <w:rPr>
          <w:rFonts w:cstheme="minorHAnsi"/>
          <w:b/>
          <w:bCs/>
          <w:color w:val="000000" w:themeColor="text1"/>
          <w:szCs w:val="20"/>
        </w:rPr>
        <w:t>eF</w:t>
      </w:r>
      <w:r w:rsidRPr="00E60725">
        <w:rPr>
          <w:rFonts w:cstheme="minorHAnsi"/>
          <w:b/>
          <w:bCs/>
          <w:color w:val="000000" w:themeColor="text1"/>
          <w:szCs w:val="20"/>
        </w:rPr>
        <w:t xml:space="preserve">igure </w:t>
      </w:r>
      <w:r w:rsidR="001B4268">
        <w:rPr>
          <w:rFonts w:cstheme="minorHAnsi"/>
          <w:b/>
          <w:bCs/>
          <w:color w:val="000000" w:themeColor="text1"/>
          <w:szCs w:val="20"/>
        </w:rPr>
        <w:t>6</w:t>
      </w:r>
      <w:r>
        <w:rPr>
          <w:rFonts w:cstheme="minorHAnsi"/>
          <w:bCs/>
          <w:color w:val="000000" w:themeColor="text1"/>
          <w:szCs w:val="20"/>
        </w:rPr>
        <w:t xml:space="preserve">). </w:t>
      </w:r>
      <w:r w:rsidR="009A178F">
        <w:t xml:space="preserve">There was a J-shaped association for the </w:t>
      </w:r>
      <w:r w:rsidR="009A178F" w:rsidRPr="007948D6">
        <w:t>aggregate of CVD</w:t>
      </w:r>
      <w:r w:rsidR="00555FBC" w:rsidRPr="007948D6">
        <w:t xml:space="preserve"> outcomes</w:t>
      </w:r>
      <w:r w:rsidR="00236471" w:rsidRPr="007948D6">
        <w:t xml:space="preserve"> (</w:t>
      </w:r>
      <w:r w:rsidR="00236471" w:rsidRPr="00533968">
        <w:rPr>
          <w:b/>
        </w:rPr>
        <w:t>Figure 1</w:t>
      </w:r>
      <w:r w:rsidR="00236471" w:rsidRPr="007948D6">
        <w:t>)</w:t>
      </w:r>
      <w:r w:rsidR="009A178F" w:rsidRPr="007948D6">
        <w:t>. However, disaggregation revealed two opposing sets of associations</w:t>
      </w:r>
      <w:r w:rsidR="00A949E8">
        <w:t xml:space="preserve"> (</w:t>
      </w:r>
      <w:r w:rsidR="00A949E8" w:rsidRPr="00586F91">
        <w:rPr>
          <w:b/>
        </w:rPr>
        <w:t>Figure 2</w:t>
      </w:r>
      <w:r w:rsidR="00A949E8">
        <w:t>)</w:t>
      </w:r>
      <w:r w:rsidR="009A178F" w:rsidRPr="007948D6">
        <w:t>.</w:t>
      </w:r>
      <w:r w:rsidR="009A178F" w:rsidRPr="007948D6">
        <w:rPr>
          <w:rFonts w:cstheme="minorHAnsi"/>
          <w:bCs/>
          <w:color w:val="000000" w:themeColor="text1"/>
          <w:szCs w:val="20"/>
        </w:rPr>
        <w:t xml:space="preserve"> </w:t>
      </w:r>
      <w:r w:rsidR="009A178F" w:rsidRPr="007948D6">
        <w:t xml:space="preserve">After adjustment for age, sex, smoking and history of diabetes, there were </w:t>
      </w:r>
      <w:r w:rsidR="009A178F" w:rsidRPr="00586F91">
        <w:rPr>
          <w:i/>
        </w:rPr>
        <w:t>positive</w:t>
      </w:r>
      <w:r w:rsidR="00236471" w:rsidRPr="00586F91">
        <w:rPr>
          <w:i/>
        </w:rPr>
        <w:t xml:space="preserve"> </w:t>
      </w:r>
      <w:r w:rsidR="00895ED8">
        <w:t xml:space="preserve">and approximately linear </w:t>
      </w:r>
      <w:r w:rsidR="009A178F" w:rsidRPr="007948D6">
        <w:t>associations with</w:t>
      </w:r>
      <w:r w:rsidR="009A178F" w:rsidRPr="007948D6">
        <w:rPr>
          <w:rFonts w:cstheme="minorHAnsi"/>
          <w:bCs/>
          <w:color w:val="000000" w:themeColor="text1"/>
          <w:szCs w:val="22"/>
        </w:rPr>
        <w:t xml:space="preserve"> stroke </w:t>
      </w:r>
      <w:r w:rsidR="009A178F" w:rsidRPr="007948D6">
        <w:t xml:space="preserve">(HR per </w:t>
      </w:r>
      <w:r w:rsidR="009A178F" w:rsidRPr="007948D6">
        <w:rPr>
          <w:rFonts w:cstheme="minorHAnsi"/>
          <w:bCs/>
          <w:color w:val="000000" w:themeColor="text1"/>
          <w:szCs w:val="22"/>
        </w:rPr>
        <w:t>100 grams/week higher consumption</w:t>
      </w:r>
      <w:r w:rsidR="00832563">
        <w:rPr>
          <w:rFonts w:cstheme="minorHAnsi"/>
          <w:bCs/>
          <w:color w:val="000000" w:themeColor="text1"/>
          <w:szCs w:val="22"/>
        </w:rPr>
        <w:t xml:space="preserve">, </w:t>
      </w:r>
      <w:r w:rsidR="009A178F" w:rsidRPr="007948D6">
        <w:rPr>
          <w:rFonts w:cstheme="minorHAnsi"/>
          <w:bCs/>
          <w:color w:val="000000" w:themeColor="text1"/>
          <w:szCs w:val="22"/>
        </w:rPr>
        <w:t>1.</w:t>
      </w:r>
      <w:r w:rsidR="00A949E8">
        <w:rPr>
          <w:rFonts w:cstheme="minorHAnsi"/>
          <w:bCs/>
          <w:color w:val="000000" w:themeColor="text1"/>
          <w:szCs w:val="22"/>
        </w:rPr>
        <w:t>14</w:t>
      </w:r>
      <w:r w:rsidR="009A178F" w:rsidRPr="007948D6">
        <w:rPr>
          <w:rFonts w:cstheme="minorHAnsi"/>
          <w:bCs/>
          <w:color w:val="000000" w:themeColor="text1"/>
          <w:szCs w:val="22"/>
        </w:rPr>
        <w:t>,</w:t>
      </w:r>
      <w:r w:rsidR="00CC5CA7">
        <w:rPr>
          <w:rFonts w:cstheme="minorHAnsi"/>
          <w:bCs/>
          <w:color w:val="000000" w:themeColor="text1"/>
          <w:szCs w:val="22"/>
        </w:rPr>
        <w:t xml:space="preserve"> </w:t>
      </w:r>
      <w:r w:rsidR="009A178F" w:rsidRPr="007948D6">
        <w:rPr>
          <w:rFonts w:cstheme="minorHAnsi"/>
          <w:bCs/>
          <w:color w:val="000000" w:themeColor="text1"/>
          <w:szCs w:val="22"/>
        </w:rPr>
        <w:t>1.</w:t>
      </w:r>
      <w:r w:rsidR="00A949E8">
        <w:rPr>
          <w:rFonts w:cstheme="minorHAnsi"/>
          <w:bCs/>
          <w:color w:val="000000" w:themeColor="text1"/>
          <w:szCs w:val="22"/>
        </w:rPr>
        <w:t>10</w:t>
      </w:r>
      <w:r w:rsidR="009A178F" w:rsidRPr="007948D6">
        <w:rPr>
          <w:rFonts w:cstheme="minorHAnsi"/>
          <w:bCs/>
          <w:color w:val="000000" w:themeColor="text1"/>
          <w:szCs w:val="22"/>
        </w:rPr>
        <w:t>-1.1</w:t>
      </w:r>
      <w:r w:rsidR="00B64C83">
        <w:rPr>
          <w:rFonts w:cstheme="minorHAnsi"/>
          <w:bCs/>
          <w:color w:val="000000" w:themeColor="text1"/>
          <w:szCs w:val="22"/>
        </w:rPr>
        <w:t>7</w:t>
      </w:r>
      <w:r w:rsidR="009A178F" w:rsidRPr="007948D6">
        <w:rPr>
          <w:rFonts w:cstheme="minorHAnsi"/>
          <w:bCs/>
          <w:color w:val="000000" w:themeColor="text1"/>
          <w:szCs w:val="22"/>
        </w:rPr>
        <w:t xml:space="preserve">); </w:t>
      </w:r>
      <w:r w:rsidR="004B5A9F">
        <w:rPr>
          <w:rFonts w:cstheme="minorHAnsi"/>
          <w:bCs/>
          <w:color w:val="000000" w:themeColor="text1"/>
          <w:szCs w:val="22"/>
        </w:rPr>
        <w:t>non-MI coronary heart disease</w:t>
      </w:r>
      <w:r w:rsidR="00A949E8">
        <w:rPr>
          <w:rFonts w:cstheme="minorHAnsi"/>
          <w:bCs/>
          <w:color w:val="000000" w:themeColor="text1"/>
          <w:szCs w:val="22"/>
        </w:rPr>
        <w:t xml:space="preserve"> (1.06, 1.00</w:t>
      </w:r>
      <w:r w:rsidR="008B2E3F">
        <w:rPr>
          <w:rFonts w:cstheme="minorHAnsi"/>
          <w:bCs/>
          <w:color w:val="000000" w:themeColor="text1"/>
          <w:szCs w:val="22"/>
        </w:rPr>
        <w:t>-</w:t>
      </w:r>
      <w:r w:rsidR="00B64C83">
        <w:rPr>
          <w:rFonts w:cstheme="minorHAnsi"/>
          <w:bCs/>
          <w:color w:val="000000" w:themeColor="text1"/>
          <w:szCs w:val="22"/>
        </w:rPr>
        <w:t>1.11</w:t>
      </w:r>
      <w:r w:rsidR="00A949E8">
        <w:rPr>
          <w:rFonts w:cstheme="minorHAnsi"/>
          <w:bCs/>
          <w:color w:val="000000" w:themeColor="text1"/>
          <w:szCs w:val="22"/>
        </w:rPr>
        <w:t xml:space="preserve">); </w:t>
      </w:r>
      <w:r w:rsidR="009A178F" w:rsidRPr="007948D6">
        <w:rPr>
          <w:rFonts w:cstheme="minorHAnsi"/>
          <w:bCs/>
          <w:color w:val="000000" w:themeColor="text1"/>
          <w:szCs w:val="20"/>
        </w:rPr>
        <w:t>heart failure</w:t>
      </w:r>
      <w:r w:rsidR="00B64C83">
        <w:rPr>
          <w:rFonts w:cstheme="minorHAnsi"/>
          <w:bCs/>
          <w:color w:val="000000" w:themeColor="text1"/>
          <w:szCs w:val="22"/>
        </w:rPr>
        <w:t xml:space="preserve"> (1.09</w:t>
      </w:r>
      <w:r w:rsidR="009A178F" w:rsidRPr="007948D6">
        <w:rPr>
          <w:rFonts w:cstheme="minorHAnsi"/>
          <w:bCs/>
          <w:color w:val="000000" w:themeColor="text1"/>
          <w:szCs w:val="22"/>
        </w:rPr>
        <w:t>, 1.0</w:t>
      </w:r>
      <w:r w:rsidR="00B64C83">
        <w:rPr>
          <w:rFonts w:cstheme="minorHAnsi"/>
          <w:bCs/>
          <w:color w:val="000000" w:themeColor="text1"/>
          <w:szCs w:val="22"/>
        </w:rPr>
        <w:t>3</w:t>
      </w:r>
      <w:r w:rsidR="009A178F" w:rsidRPr="007948D6">
        <w:rPr>
          <w:rFonts w:cstheme="minorHAnsi"/>
          <w:bCs/>
          <w:color w:val="000000" w:themeColor="text1"/>
          <w:szCs w:val="22"/>
        </w:rPr>
        <w:t>-1.</w:t>
      </w:r>
      <w:r w:rsidR="00B64C83">
        <w:rPr>
          <w:rFonts w:cstheme="minorHAnsi"/>
          <w:bCs/>
          <w:color w:val="000000" w:themeColor="text1"/>
          <w:szCs w:val="22"/>
        </w:rPr>
        <w:t>15</w:t>
      </w:r>
      <w:r w:rsidR="009A178F" w:rsidRPr="007948D6">
        <w:rPr>
          <w:rFonts w:cstheme="minorHAnsi"/>
          <w:bCs/>
          <w:color w:val="000000" w:themeColor="text1"/>
          <w:szCs w:val="22"/>
        </w:rPr>
        <w:t>)</w:t>
      </w:r>
      <w:r w:rsidR="009A178F" w:rsidRPr="007948D6">
        <w:rPr>
          <w:rFonts w:cstheme="minorHAnsi"/>
          <w:bCs/>
          <w:color w:val="000000" w:themeColor="text1"/>
          <w:szCs w:val="20"/>
        </w:rPr>
        <w:t xml:space="preserve">; </w:t>
      </w:r>
      <w:r w:rsidR="00A949E8" w:rsidRPr="007948D6">
        <w:rPr>
          <w:rFonts w:cstheme="minorHAnsi"/>
          <w:bCs/>
          <w:color w:val="000000" w:themeColor="text1"/>
          <w:szCs w:val="22"/>
        </w:rPr>
        <w:t xml:space="preserve">fatal </w:t>
      </w:r>
      <w:r w:rsidR="00A949E8" w:rsidRPr="007948D6">
        <w:rPr>
          <w:rFonts w:cstheme="minorHAnsi"/>
          <w:bCs/>
          <w:color w:val="000000" w:themeColor="text1"/>
          <w:szCs w:val="20"/>
        </w:rPr>
        <w:t>hypertensive disease</w:t>
      </w:r>
      <w:r w:rsidR="00B64C83">
        <w:rPr>
          <w:rFonts w:cstheme="minorHAnsi"/>
          <w:bCs/>
          <w:color w:val="000000" w:themeColor="text1"/>
          <w:szCs w:val="22"/>
        </w:rPr>
        <w:t xml:space="preserve"> (1.24, 1.15</w:t>
      </w:r>
      <w:r w:rsidR="00A949E8">
        <w:rPr>
          <w:rFonts w:cstheme="minorHAnsi"/>
          <w:bCs/>
          <w:color w:val="000000" w:themeColor="text1"/>
          <w:szCs w:val="22"/>
        </w:rPr>
        <w:t>-1.33</w:t>
      </w:r>
      <w:r w:rsidR="00A949E8" w:rsidRPr="007948D6">
        <w:rPr>
          <w:rFonts w:cstheme="minorHAnsi"/>
          <w:bCs/>
          <w:color w:val="000000" w:themeColor="text1"/>
          <w:szCs w:val="22"/>
        </w:rPr>
        <w:t>)</w:t>
      </w:r>
      <w:r w:rsidR="00A949E8">
        <w:rPr>
          <w:rFonts w:cstheme="minorHAnsi"/>
          <w:bCs/>
          <w:color w:val="000000" w:themeColor="text1"/>
          <w:szCs w:val="22"/>
        </w:rPr>
        <w:t xml:space="preserve">; and </w:t>
      </w:r>
      <w:r w:rsidR="009A178F" w:rsidRPr="007948D6">
        <w:rPr>
          <w:rFonts w:cstheme="minorHAnsi"/>
          <w:bCs/>
          <w:color w:val="000000" w:themeColor="text1"/>
          <w:szCs w:val="22"/>
        </w:rPr>
        <w:t xml:space="preserve">fatal </w:t>
      </w:r>
      <w:r w:rsidR="009A178F" w:rsidRPr="007948D6">
        <w:rPr>
          <w:rFonts w:cstheme="minorHAnsi"/>
          <w:bCs/>
          <w:color w:val="000000" w:themeColor="text1"/>
          <w:szCs w:val="20"/>
        </w:rPr>
        <w:t>aortic aneurysm</w:t>
      </w:r>
      <w:r w:rsidR="009A178F" w:rsidRPr="007948D6">
        <w:rPr>
          <w:rFonts w:cstheme="minorHAnsi"/>
          <w:bCs/>
          <w:color w:val="000000" w:themeColor="text1"/>
          <w:szCs w:val="22"/>
        </w:rPr>
        <w:t xml:space="preserve"> (1.1</w:t>
      </w:r>
      <w:r w:rsidR="00B64C83">
        <w:rPr>
          <w:rFonts w:cstheme="minorHAnsi"/>
          <w:bCs/>
          <w:color w:val="000000" w:themeColor="text1"/>
          <w:szCs w:val="22"/>
        </w:rPr>
        <w:t>5, 1.03</w:t>
      </w:r>
      <w:r w:rsidR="009A178F" w:rsidRPr="007948D6">
        <w:rPr>
          <w:rFonts w:cstheme="minorHAnsi"/>
          <w:bCs/>
          <w:color w:val="000000" w:themeColor="text1"/>
          <w:szCs w:val="22"/>
        </w:rPr>
        <w:t>-1.2</w:t>
      </w:r>
      <w:r w:rsidR="00B64C83">
        <w:rPr>
          <w:rFonts w:cstheme="minorHAnsi"/>
          <w:bCs/>
          <w:color w:val="000000" w:themeColor="text1"/>
          <w:szCs w:val="22"/>
        </w:rPr>
        <w:t>8</w:t>
      </w:r>
      <w:r w:rsidR="0033035E">
        <w:rPr>
          <w:rFonts w:cstheme="minorHAnsi"/>
          <w:bCs/>
          <w:color w:val="000000" w:themeColor="text1"/>
          <w:szCs w:val="22"/>
        </w:rPr>
        <w:t xml:space="preserve">; </w:t>
      </w:r>
      <w:r w:rsidR="009A178F" w:rsidRPr="00533968">
        <w:rPr>
          <w:b/>
        </w:rPr>
        <w:t>Figure</w:t>
      </w:r>
      <w:r w:rsidR="00446FD1">
        <w:rPr>
          <w:b/>
        </w:rPr>
        <w:t>s</w:t>
      </w:r>
      <w:r w:rsidR="009A178F" w:rsidRPr="00533968">
        <w:rPr>
          <w:b/>
        </w:rPr>
        <w:t xml:space="preserve"> 2</w:t>
      </w:r>
      <w:r w:rsidR="00446FD1">
        <w:rPr>
          <w:b/>
        </w:rPr>
        <w:t>-</w:t>
      </w:r>
      <w:r w:rsidR="00A949E8">
        <w:rPr>
          <w:b/>
        </w:rPr>
        <w:t>3</w:t>
      </w:r>
      <w:r w:rsidR="009A178F" w:rsidRPr="007948D6">
        <w:t>)</w:t>
      </w:r>
      <w:r w:rsidR="009A178F" w:rsidRPr="007948D6">
        <w:rPr>
          <w:rFonts w:cstheme="minorHAnsi"/>
          <w:bCs/>
          <w:color w:val="000000" w:themeColor="text1"/>
          <w:szCs w:val="20"/>
        </w:rPr>
        <w:t xml:space="preserve">. </w:t>
      </w:r>
      <w:r w:rsidR="009A178F" w:rsidRPr="007948D6">
        <w:t>By contrast, t</w:t>
      </w:r>
      <w:r w:rsidR="009A178F" w:rsidRPr="007948D6">
        <w:rPr>
          <w:rFonts w:cstheme="minorHAnsi"/>
          <w:bCs/>
          <w:color w:val="000000" w:themeColor="text1"/>
          <w:szCs w:val="20"/>
        </w:rPr>
        <w:t>here was a</w:t>
      </w:r>
      <w:r w:rsidR="0017110C">
        <w:rPr>
          <w:rFonts w:cstheme="minorHAnsi"/>
          <w:bCs/>
          <w:color w:val="000000" w:themeColor="text1"/>
          <w:szCs w:val="20"/>
        </w:rPr>
        <w:t>n</w:t>
      </w:r>
      <w:r w:rsidR="009A178F" w:rsidRPr="007948D6">
        <w:rPr>
          <w:rFonts w:cstheme="minorHAnsi"/>
          <w:bCs/>
          <w:color w:val="000000" w:themeColor="text1"/>
          <w:szCs w:val="20"/>
        </w:rPr>
        <w:t xml:space="preserve"> </w:t>
      </w:r>
      <w:r w:rsidR="00170857">
        <w:rPr>
          <w:rFonts w:cstheme="minorHAnsi"/>
          <w:bCs/>
          <w:i/>
          <w:color w:val="000000" w:themeColor="text1"/>
          <w:szCs w:val="20"/>
        </w:rPr>
        <w:t>inverse</w:t>
      </w:r>
      <w:r w:rsidR="00895ED8" w:rsidRPr="00586F91">
        <w:rPr>
          <w:i/>
        </w:rPr>
        <w:t xml:space="preserve"> </w:t>
      </w:r>
      <w:r w:rsidR="00895ED8" w:rsidRPr="00586F91">
        <w:t xml:space="preserve">and </w:t>
      </w:r>
      <w:r w:rsidR="00895ED8">
        <w:t>approximately log-linear</w:t>
      </w:r>
      <w:r w:rsidR="00D53700" w:rsidRPr="007948D6">
        <w:t xml:space="preserve"> </w:t>
      </w:r>
      <w:r w:rsidR="009A178F" w:rsidRPr="007948D6">
        <w:t xml:space="preserve">association with </w:t>
      </w:r>
      <w:r w:rsidR="006F1A80">
        <w:t>MI</w:t>
      </w:r>
      <w:r w:rsidR="009A178F" w:rsidRPr="007948D6">
        <w:t xml:space="preserve"> (</w:t>
      </w:r>
      <w:r w:rsidR="009A178F" w:rsidRPr="007948D6">
        <w:rPr>
          <w:rFonts w:cstheme="minorHAnsi"/>
          <w:bCs/>
          <w:color w:val="000000" w:themeColor="text1"/>
          <w:szCs w:val="22"/>
        </w:rPr>
        <w:t>0.9</w:t>
      </w:r>
      <w:r w:rsidR="00B64C83">
        <w:rPr>
          <w:rFonts w:cstheme="minorHAnsi"/>
          <w:bCs/>
          <w:color w:val="000000" w:themeColor="text1"/>
          <w:szCs w:val="22"/>
        </w:rPr>
        <w:t>4</w:t>
      </w:r>
      <w:r w:rsidR="009A178F" w:rsidRPr="007948D6">
        <w:rPr>
          <w:rFonts w:cstheme="minorHAnsi"/>
          <w:bCs/>
          <w:color w:val="000000" w:themeColor="text1"/>
          <w:szCs w:val="22"/>
        </w:rPr>
        <w:t>, 0.9</w:t>
      </w:r>
      <w:r w:rsidR="00B64C83">
        <w:rPr>
          <w:rFonts w:cstheme="minorHAnsi"/>
          <w:bCs/>
          <w:color w:val="000000" w:themeColor="text1"/>
          <w:szCs w:val="22"/>
        </w:rPr>
        <w:t>1</w:t>
      </w:r>
      <w:r w:rsidR="009A178F" w:rsidRPr="007948D6">
        <w:rPr>
          <w:rFonts w:cstheme="minorHAnsi"/>
          <w:bCs/>
          <w:color w:val="000000" w:themeColor="text1"/>
          <w:szCs w:val="22"/>
        </w:rPr>
        <w:t>-0.9</w:t>
      </w:r>
      <w:r w:rsidR="00A949E8">
        <w:rPr>
          <w:rFonts w:cstheme="minorHAnsi"/>
          <w:bCs/>
          <w:color w:val="000000" w:themeColor="text1"/>
          <w:szCs w:val="22"/>
        </w:rPr>
        <w:t>7</w:t>
      </w:r>
      <w:r w:rsidR="005B257D">
        <w:rPr>
          <w:rFonts w:cstheme="minorHAnsi"/>
          <w:bCs/>
          <w:color w:val="000000" w:themeColor="text1"/>
          <w:szCs w:val="22"/>
        </w:rPr>
        <w:t>;</w:t>
      </w:r>
      <w:r w:rsidR="005B257D">
        <w:t xml:space="preserve"> </w:t>
      </w:r>
      <w:r w:rsidR="00721C8C">
        <w:rPr>
          <w:b/>
        </w:rPr>
        <w:t>Figure</w:t>
      </w:r>
      <w:r w:rsidR="00EB3BF6" w:rsidRPr="00533968">
        <w:rPr>
          <w:b/>
        </w:rPr>
        <w:t xml:space="preserve"> 2</w:t>
      </w:r>
      <w:r w:rsidR="00EB3BF6" w:rsidRPr="007948D6">
        <w:t>)</w:t>
      </w:r>
      <w:r w:rsidR="009A178F" w:rsidRPr="007948D6">
        <w:t>.</w:t>
      </w:r>
      <w:r w:rsidR="009A178F">
        <w:t xml:space="preserve"> </w:t>
      </w:r>
      <w:r w:rsidR="00895ED8">
        <w:t>Stroke</w:t>
      </w:r>
      <w:r w:rsidR="00007F11">
        <w:t xml:space="preserve"> a</w:t>
      </w:r>
      <w:r w:rsidR="00830E2D">
        <w:t>ssociations were similar for fatal and non-fatal outcomes</w:t>
      </w:r>
      <w:r w:rsidR="004B5A9F">
        <w:t xml:space="preserve"> (</w:t>
      </w:r>
      <w:r w:rsidR="004B5A9F" w:rsidRPr="00586F91">
        <w:rPr>
          <w:b/>
        </w:rPr>
        <w:t xml:space="preserve">eFigure </w:t>
      </w:r>
      <w:r w:rsidR="001B4268">
        <w:rPr>
          <w:b/>
        </w:rPr>
        <w:t>7</w:t>
      </w:r>
      <w:r w:rsidR="004B5A9F">
        <w:t>)</w:t>
      </w:r>
      <w:r w:rsidR="00830E2D">
        <w:t xml:space="preserve"> and across subtypes </w:t>
      </w:r>
      <w:r w:rsidR="004B5A9F">
        <w:t>(</w:t>
      </w:r>
      <w:r w:rsidR="004B5A9F" w:rsidRPr="00586F91">
        <w:rPr>
          <w:b/>
        </w:rPr>
        <w:t xml:space="preserve">eFigure </w:t>
      </w:r>
      <w:r w:rsidR="001B4268">
        <w:rPr>
          <w:b/>
        </w:rPr>
        <w:t>8</w:t>
      </w:r>
      <w:r w:rsidR="004B5A9F">
        <w:t>)</w:t>
      </w:r>
      <w:r w:rsidR="00895ED8">
        <w:t>. However,</w:t>
      </w:r>
      <w:r w:rsidR="00366D78">
        <w:t xml:space="preserve"> for non-MI coronary disease, associations were stronger for fatal than non-fatal outcomes. For MI, inverse associations were possibly more pronounced with non-fatal than fatal outcomes </w:t>
      </w:r>
      <w:r w:rsidR="00EB3BF6">
        <w:t>(</w:t>
      </w:r>
      <w:r w:rsidR="00EB3BF6" w:rsidRPr="00632A53">
        <w:rPr>
          <w:b/>
        </w:rPr>
        <w:t>Figure 3</w:t>
      </w:r>
      <w:r w:rsidR="00AB386E">
        <w:rPr>
          <w:b/>
        </w:rPr>
        <w:t xml:space="preserve"> </w:t>
      </w:r>
      <w:r w:rsidR="00AB386E" w:rsidRPr="0046322F">
        <w:t>&amp;</w:t>
      </w:r>
      <w:r w:rsidR="00EB3BF6" w:rsidRPr="00632A53">
        <w:rPr>
          <w:b/>
        </w:rPr>
        <w:t xml:space="preserve"> </w:t>
      </w:r>
      <w:r w:rsidR="004B5A9F" w:rsidRPr="00586F91">
        <w:rPr>
          <w:b/>
        </w:rPr>
        <w:t xml:space="preserve">eFigure </w:t>
      </w:r>
      <w:r w:rsidR="001B4268">
        <w:rPr>
          <w:b/>
        </w:rPr>
        <w:t>7</w:t>
      </w:r>
      <w:r w:rsidR="00EB3BF6" w:rsidRPr="004B5A9F">
        <w:t>)</w:t>
      </w:r>
      <w:r w:rsidR="00D769B7" w:rsidRPr="004B5A9F">
        <w:t>.</w:t>
      </w:r>
    </w:p>
    <w:p w14:paraId="02626C73" w14:textId="2C2F395C" w:rsidR="00C729D2" w:rsidRDefault="00C729D2" w:rsidP="002933CF">
      <w:pPr>
        <w:rPr>
          <w:b/>
        </w:rPr>
      </w:pPr>
    </w:p>
    <w:p w14:paraId="2F4A05DD" w14:textId="15DD634F" w:rsidR="002D1D7E" w:rsidRDefault="00F14180" w:rsidP="002933CF">
      <w:r>
        <w:t xml:space="preserve">With </w:t>
      </w:r>
      <w:r w:rsidR="00E431B4">
        <w:t>the following</w:t>
      </w:r>
      <w:r>
        <w:t xml:space="preserve"> notable exceptions, </w:t>
      </w:r>
      <w:r w:rsidR="00245A7E">
        <w:t xml:space="preserve">further </w:t>
      </w:r>
      <w:r w:rsidR="006714EE">
        <w:t>a</w:t>
      </w:r>
      <w:r w:rsidR="009935CA">
        <w:t xml:space="preserve">djustment for </w:t>
      </w:r>
      <w:r w:rsidR="00245A7E">
        <w:t xml:space="preserve">additional </w:t>
      </w:r>
      <w:r w:rsidR="009935CA">
        <w:t xml:space="preserve">covariates </w:t>
      </w:r>
      <w:r w:rsidR="00D83C17">
        <w:t>did not materially</w:t>
      </w:r>
      <w:r w:rsidR="009935CA">
        <w:t xml:space="preserve"> change HRs</w:t>
      </w:r>
      <w:r w:rsidR="00245A7E">
        <w:t xml:space="preserve"> (</w:t>
      </w:r>
      <w:r w:rsidR="00245A7E" w:rsidRPr="00EF4F57">
        <w:rPr>
          <w:b/>
        </w:rPr>
        <w:t xml:space="preserve">Table </w:t>
      </w:r>
      <w:r w:rsidR="00245A7E">
        <w:rPr>
          <w:b/>
        </w:rPr>
        <w:t>2</w:t>
      </w:r>
      <w:r w:rsidR="00245A7E">
        <w:t xml:space="preserve">, </w:t>
      </w:r>
      <w:r w:rsidR="00490CCF">
        <w:rPr>
          <w:b/>
        </w:rPr>
        <w:t>eTable 5</w:t>
      </w:r>
      <w:r w:rsidR="00245A7E">
        <w:t xml:space="preserve"> &amp; </w:t>
      </w:r>
      <w:r w:rsidR="00245A7E" w:rsidRPr="00E51CBB">
        <w:rPr>
          <w:b/>
        </w:rPr>
        <w:t xml:space="preserve">eFigure </w:t>
      </w:r>
      <w:r w:rsidR="001B4268">
        <w:rPr>
          <w:b/>
        </w:rPr>
        <w:t>9</w:t>
      </w:r>
      <w:r w:rsidR="00245A7E">
        <w:t>)</w:t>
      </w:r>
      <w:r w:rsidR="004E4FFF">
        <w:t xml:space="preserve">. </w:t>
      </w:r>
      <w:r w:rsidR="00E431B4">
        <w:t xml:space="preserve">First, </w:t>
      </w:r>
      <w:r w:rsidR="00E351F1">
        <w:t>adjustment for HDL-C</w:t>
      </w:r>
      <w:r w:rsidR="009935CA">
        <w:t xml:space="preserve"> weakened</w:t>
      </w:r>
      <w:r w:rsidR="00E351F1">
        <w:t xml:space="preserve"> </w:t>
      </w:r>
      <w:r w:rsidR="009935CA">
        <w:t>alcohol consumption’s</w:t>
      </w:r>
      <w:r w:rsidR="00E351F1">
        <w:t xml:space="preserve"> </w:t>
      </w:r>
      <w:r w:rsidR="00440C0E">
        <w:t xml:space="preserve">inverse </w:t>
      </w:r>
      <w:r w:rsidR="00E351F1">
        <w:t xml:space="preserve">association with </w:t>
      </w:r>
      <w:r w:rsidR="00007E96">
        <w:t>MI</w:t>
      </w:r>
      <w:r w:rsidR="009935CA">
        <w:t xml:space="preserve">, but strengthened its </w:t>
      </w:r>
      <w:r w:rsidR="00007E96">
        <w:t xml:space="preserve">positive </w:t>
      </w:r>
      <w:r w:rsidR="00E351F1">
        <w:t xml:space="preserve">association with </w:t>
      </w:r>
      <w:r w:rsidR="00B20811">
        <w:t xml:space="preserve">coronary </w:t>
      </w:r>
      <w:r w:rsidR="00565758">
        <w:t>disease</w:t>
      </w:r>
      <w:r w:rsidR="00964035">
        <w:t xml:space="preserve"> and heart failure</w:t>
      </w:r>
      <w:r w:rsidR="004E4FFF">
        <w:t xml:space="preserve">. </w:t>
      </w:r>
      <w:r w:rsidR="00E431B4">
        <w:t>Second,</w:t>
      </w:r>
      <w:r w:rsidR="009935CA">
        <w:t xml:space="preserve"> a</w:t>
      </w:r>
      <w:r w:rsidR="00007E96">
        <w:t>djustment for systolic blood pressure</w:t>
      </w:r>
      <w:r w:rsidR="009935CA">
        <w:t xml:space="preserve"> strengthened alcohol consumption’s </w:t>
      </w:r>
      <w:r w:rsidR="004E4FFF">
        <w:t>inverse</w:t>
      </w:r>
      <w:r w:rsidR="00964035">
        <w:t xml:space="preserve"> </w:t>
      </w:r>
      <w:r w:rsidR="009935CA">
        <w:t>association with MI, but weakened its</w:t>
      </w:r>
      <w:r w:rsidR="00007E96">
        <w:t xml:space="preserve"> </w:t>
      </w:r>
      <w:r w:rsidR="009935CA">
        <w:t xml:space="preserve">positive </w:t>
      </w:r>
      <w:r w:rsidR="00007E96">
        <w:t>association</w:t>
      </w:r>
      <w:r w:rsidR="00073087">
        <w:t>s</w:t>
      </w:r>
      <w:r w:rsidR="00007E96">
        <w:t xml:space="preserve"> with </w:t>
      </w:r>
      <w:r w:rsidR="00964035">
        <w:t xml:space="preserve">all other </w:t>
      </w:r>
      <w:r w:rsidR="00D83C17">
        <w:t>CVD</w:t>
      </w:r>
      <w:r w:rsidR="00964035">
        <w:t xml:space="preserve"> outcomes</w:t>
      </w:r>
      <w:r w:rsidR="00007E96">
        <w:t>.</w:t>
      </w:r>
      <w:r w:rsidR="006C067F">
        <w:t xml:space="preserve"> </w:t>
      </w:r>
      <w:r w:rsidR="001B2043">
        <w:t>Our analysis</w:t>
      </w:r>
      <w:r w:rsidR="006A551E">
        <w:t xml:space="preserve"> confirmed </w:t>
      </w:r>
      <w:r w:rsidR="00AE0BBF">
        <w:t xml:space="preserve">the </w:t>
      </w:r>
      <w:r w:rsidR="00F00F6A">
        <w:t>established</w:t>
      </w:r>
      <w:r w:rsidR="00C868AC">
        <w:t xml:space="preserve"> association</w:t>
      </w:r>
      <w:r w:rsidR="001E2638">
        <w:t xml:space="preserve"> of alcohol consumption with </w:t>
      </w:r>
      <w:r w:rsidR="00E2332E">
        <w:t>cancers of the digestive system</w:t>
      </w:r>
      <w:r w:rsidR="006A551E">
        <w:t>, which</w:t>
      </w:r>
      <w:r w:rsidR="00E431B4">
        <w:t xml:space="preserve"> did not alter aft</w:t>
      </w:r>
      <w:r w:rsidR="00832D52">
        <w:t>er</w:t>
      </w:r>
      <w:r w:rsidR="001E2638">
        <w:t xml:space="preserve"> </w:t>
      </w:r>
      <w:r w:rsidR="00EC4BD3">
        <w:t xml:space="preserve">additional </w:t>
      </w:r>
      <w:r w:rsidR="001E2638">
        <w:t>adjustment</w:t>
      </w:r>
      <w:r w:rsidR="00E17C10">
        <w:t xml:space="preserve"> for the factors listed above</w:t>
      </w:r>
      <w:r w:rsidR="00042104">
        <w:t xml:space="preserve">. </w:t>
      </w:r>
      <w:r w:rsidR="00D83C17">
        <w:t xml:space="preserve">Furthermore, </w:t>
      </w:r>
      <w:r w:rsidR="00FD4561">
        <w:t xml:space="preserve">additional </w:t>
      </w:r>
      <w:r w:rsidR="00FD4561" w:rsidRPr="00EF4F57">
        <w:t>adjust</w:t>
      </w:r>
      <w:r w:rsidR="009A009C">
        <w:t>ment</w:t>
      </w:r>
      <w:r w:rsidR="00FD4561" w:rsidRPr="00EF4F57">
        <w:t xml:space="preserve"> for smoking amount abolished the </w:t>
      </w:r>
      <w:r w:rsidR="00EC4BD3" w:rsidRPr="00EF4F57">
        <w:t xml:space="preserve">apparent </w:t>
      </w:r>
      <w:r w:rsidR="00FD4561" w:rsidRPr="00EF4F57">
        <w:t xml:space="preserve">association of alcohol consumption with lung cancer </w:t>
      </w:r>
      <w:r w:rsidR="00F05278" w:rsidRPr="00EF4F57">
        <w:t>(</w:t>
      </w:r>
      <w:r w:rsidR="005378AD">
        <w:rPr>
          <w:b/>
        </w:rPr>
        <w:t xml:space="preserve">eTable </w:t>
      </w:r>
      <w:r w:rsidR="00490CCF">
        <w:rPr>
          <w:b/>
        </w:rPr>
        <w:t>6</w:t>
      </w:r>
      <w:r w:rsidR="00F05278" w:rsidRPr="00EF4F57">
        <w:t>)</w:t>
      </w:r>
      <w:r w:rsidR="00E431B4">
        <w:t>, in line with the accepted view that alcohol consumption does not cause lung cancer</w:t>
      </w:r>
      <w:r w:rsidR="00D31D7B" w:rsidRPr="00EF4F57">
        <w:t>.</w:t>
      </w:r>
      <w:r w:rsidR="00E051AC">
        <w:fldChar w:fldCharType="begin" w:fldLock="1"/>
      </w:r>
      <w:r w:rsidR="00E50B13">
        <w:instrText>ADDIN CSL_CITATION { "citationItems" : [ { "id" : "ITEM-1", "itemData" : { "ISSN" : "1017-1606", "PMID" : "23193840", "author" : [ { "dropping-particle" : "", "family" : "IARC Working Group on the Evaluation of Carcinogenic Risks to Humans", "given" : "", "non-dropping-particle" : "", "parse-names" : false, "suffix" : "" } ], "container-title" : "IARC monographs on the evaluation of carcinogenic risks to humans", "id" : "ITEM-1", "issue" : "Pt E", "issued" : { "date-parts" : [ [ "2012" ] ] }, "page" : "1-538", "title" : "Personal habits and indoor combustions. Volume 100 E. A review of human carcinogens.", "type" : "article-journal", "volume" : "100" }, "uris" : [ "http://www.mendeley.com/documents/?uuid=22fe10db-1591-3115-9506-8c3c26a99ef1", "http://www.mendeley.com/documents/?uuid=720e4f87-ae6e-46ca-bfe2-c40550c760ed" ] } ], "mendeley" : { "formattedCitation" : "&lt;sup&gt;40&lt;/sup&gt;", "plainTextFormattedCitation" : "40", "previouslyFormattedCitation" : "&lt;sup&gt;44&lt;/sup&gt;" }, "properties" : { "noteIndex" : 0 }, "schema" : "https://github.com/citation-style-language/schema/raw/master/csl-citation.json" }</w:instrText>
      </w:r>
      <w:r w:rsidR="00E051AC">
        <w:fldChar w:fldCharType="separate"/>
      </w:r>
      <w:r w:rsidR="00E50B13" w:rsidRPr="00E50B13">
        <w:rPr>
          <w:noProof/>
          <w:vertAlign w:val="superscript"/>
        </w:rPr>
        <w:t>40</w:t>
      </w:r>
      <w:r w:rsidR="00E051AC">
        <w:fldChar w:fldCharType="end"/>
      </w:r>
    </w:p>
    <w:p w14:paraId="193B4E8A" w14:textId="77777777" w:rsidR="00245A7E" w:rsidRDefault="00245A7E" w:rsidP="00245A7E">
      <w:pPr>
        <w:rPr>
          <w:szCs w:val="20"/>
        </w:rPr>
      </w:pPr>
    </w:p>
    <w:p w14:paraId="1340CA1E" w14:textId="40F68559" w:rsidR="00245A7E" w:rsidRDefault="00853AB9" w:rsidP="00245A7E">
      <w:pPr>
        <w:rPr>
          <w:rFonts w:cstheme="minorHAnsi"/>
          <w:bCs/>
          <w:color w:val="000000" w:themeColor="text1"/>
          <w:szCs w:val="20"/>
        </w:rPr>
      </w:pPr>
      <w:r>
        <w:rPr>
          <w:szCs w:val="20"/>
        </w:rPr>
        <w:lastRenderedPageBreak/>
        <w:t>When including</w:t>
      </w:r>
      <w:r w:rsidR="00245A7E" w:rsidRPr="00860C86">
        <w:rPr>
          <w:szCs w:val="20"/>
        </w:rPr>
        <w:t xml:space="preserve"> </w:t>
      </w:r>
      <w:r w:rsidR="00245A7E" w:rsidRPr="00586F91">
        <w:rPr>
          <w:szCs w:val="20"/>
        </w:rPr>
        <w:t>n</w:t>
      </w:r>
      <w:r w:rsidR="00245A7E">
        <w:rPr>
          <w:szCs w:val="20"/>
        </w:rPr>
        <w:t>ever</w:t>
      </w:r>
      <w:r w:rsidR="00245A7E" w:rsidRPr="00586F91">
        <w:rPr>
          <w:szCs w:val="20"/>
        </w:rPr>
        <w:t>- and ex-drinkers</w:t>
      </w:r>
      <w:r w:rsidR="00245A7E">
        <w:rPr>
          <w:lang w:val="en-US"/>
        </w:rPr>
        <w:t>, w</w:t>
      </w:r>
      <w:r w:rsidR="00245A7E" w:rsidRPr="007948D6">
        <w:rPr>
          <w:szCs w:val="20"/>
        </w:rPr>
        <w:t xml:space="preserve">e </w:t>
      </w:r>
      <w:r w:rsidR="00245A7E" w:rsidRPr="00860C86">
        <w:rPr>
          <w:szCs w:val="20"/>
        </w:rPr>
        <w:t>reproduce</w:t>
      </w:r>
      <w:r w:rsidR="00245A7E">
        <w:rPr>
          <w:szCs w:val="20"/>
        </w:rPr>
        <w:t>d previously reported</w:t>
      </w:r>
      <w:r w:rsidR="00245A7E" w:rsidRPr="00860C86">
        <w:rPr>
          <w:szCs w:val="20"/>
        </w:rPr>
        <w:t xml:space="preserve"> U-shaped association</w:t>
      </w:r>
      <w:r w:rsidR="00245A7E">
        <w:rPr>
          <w:szCs w:val="20"/>
        </w:rPr>
        <w:t>s of</w:t>
      </w:r>
      <w:r w:rsidR="00245A7E" w:rsidRPr="00860C86">
        <w:rPr>
          <w:szCs w:val="20"/>
        </w:rPr>
        <w:t xml:space="preserve"> alcohol consumption </w:t>
      </w:r>
      <w:r w:rsidR="00245A7E">
        <w:rPr>
          <w:szCs w:val="20"/>
        </w:rPr>
        <w:t>with</w:t>
      </w:r>
      <w:r w:rsidR="00245A7E" w:rsidRPr="00860C86">
        <w:rPr>
          <w:szCs w:val="20"/>
        </w:rPr>
        <w:t xml:space="preserve"> </w:t>
      </w:r>
      <w:r w:rsidR="00245A7E">
        <w:rPr>
          <w:szCs w:val="20"/>
        </w:rPr>
        <w:t xml:space="preserve">total </w:t>
      </w:r>
      <w:r w:rsidR="00245A7E" w:rsidRPr="00860C86">
        <w:rPr>
          <w:szCs w:val="20"/>
        </w:rPr>
        <w:t>CVD</w:t>
      </w:r>
      <w:r w:rsidR="00245A7E">
        <w:rPr>
          <w:szCs w:val="20"/>
        </w:rPr>
        <w:t xml:space="preserve"> and all-cause mortality</w:t>
      </w:r>
      <w:r w:rsidR="00245A7E" w:rsidRPr="00860C86">
        <w:rPr>
          <w:szCs w:val="20"/>
        </w:rPr>
        <w:t xml:space="preserve"> </w:t>
      </w:r>
      <w:r w:rsidR="00245A7E" w:rsidRPr="00586F91">
        <w:rPr>
          <w:lang w:val="en-US"/>
        </w:rPr>
        <w:t>(</w:t>
      </w:r>
      <w:r w:rsidR="00245A7E" w:rsidRPr="00860C86">
        <w:rPr>
          <w:b/>
          <w:szCs w:val="20"/>
        </w:rPr>
        <w:t xml:space="preserve">eFigure </w:t>
      </w:r>
      <w:r w:rsidR="001B4268">
        <w:rPr>
          <w:b/>
          <w:szCs w:val="20"/>
        </w:rPr>
        <w:t>10</w:t>
      </w:r>
      <w:r w:rsidR="00245A7E" w:rsidRPr="00860C86">
        <w:rPr>
          <w:szCs w:val="20"/>
        </w:rPr>
        <w:t xml:space="preserve">). </w:t>
      </w:r>
      <w:r w:rsidR="00245A7E">
        <w:rPr>
          <w:szCs w:val="20"/>
        </w:rPr>
        <w:t xml:space="preserve">However, </w:t>
      </w:r>
      <w:r w:rsidR="00AA337F">
        <w:rPr>
          <w:szCs w:val="20"/>
        </w:rPr>
        <w:t xml:space="preserve">we observed </w:t>
      </w:r>
      <w:r w:rsidR="00245A7E">
        <w:rPr>
          <w:szCs w:val="20"/>
        </w:rPr>
        <w:t xml:space="preserve">striking differences in baseline characteristics between never drinkers and current drinkers (eg, in relation to sex, ethnicity, smoking and diabetes status: </w:t>
      </w:r>
      <w:r w:rsidR="00245A7E" w:rsidRPr="00E51CBB">
        <w:rPr>
          <w:b/>
          <w:szCs w:val="20"/>
        </w:rPr>
        <w:t>eTable 2</w:t>
      </w:r>
      <w:r w:rsidR="00245A7E">
        <w:rPr>
          <w:szCs w:val="20"/>
        </w:rPr>
        <w:t>) support</w:t>
      </w:r>
      <w:r w:rsidR="002866CD">
        <w:rPr>
          <w:szCs w:val="20"/>
        </w:rPr>
        <w:t>ing</w:t>
      </w:r>
      <w:r w:rsidR="00245A7E">
        <w:rPr>
          <w:szCs w:val="20"/>
        </w:rPr>
        <w:t xml:space="preserve"> the validity of focusing on current drinkers</w:t>
      </w:r>
      <w:r w:rsidR="00AA337F">
        <w:rPr>
          <w:szCs w:val="20"/>
        </w:rPr>
        <w:t xml:space="preserve"> in the principal analysis</w:t>
      </w:r>
      <w:r w:rsidR="00245A7E">
        <w:rPr>
          <w:szCs w:val="20"/>
        </w:rPr>
        <w:t xml:space="preserve">. </w:t>
      </w:r>
      <w:r w:rsidR="00AA337F">
        <w:rPr>
          <w:szCs w:val="20"/>
        </w:rPr>
        <w:t>We observed similar findings to those reported above in sensitivity analyses</w:t>
      </w:r>
      <w:r w:rsidR="0009028A">
        <w:rPr>
          <w:szCs w:val="20"/>
        </w:rPr>
        <w:t xml:space="preserve"> that</w:t>
      </w:r>
      <w:r w:rsidR="00AA337F">
        <w:rPr>
          <w:szCs w:val="20"/>
        </w:rPr>
        <w:t>:</w:t>
      </w:r>
      <w:r w:rsidR="00245A7E">
        <w:rPr>
          <w:szCs w:val="20"/>
        </w:rPr>
        <w:t xml:space="preserve"> </w:t>
      </w:r>
      <w:r w:rsidR="005C2FC9">
        <w:rPr>
          <w:szCs w:val="20"/>
        </w:rPr>
        <w:t>use</w:t>
      </w:r>
      <w:r w:rsidR="0009028A">
        <w:rPr>
          <w:szCs w:val="20"/>
        </w:rPr>
        <w:t>d</w:t>
      </w:r>
      <w:r w:rsidR="00AA337F">
        <w:rPr>
          <w:szCs w:val="20"/>
        </w:rPr>
        <w:t xml:space="preserve"> measured </w:t>
      </w:r>
      <w:r w:rsidR="00245A7E">
        <w:rPr>
          <w:szCs w:val="20"/>
        </w:rPr>
        <w:t xml:space="preserve">baseline </w:t>
      </w:r>
      <w:r w:rsidR="00FE1622">
        <w:rPr>
          <w:szCs w:val="20"/>
        </w:rPr>
        <w:t xml:space="preserve">or long-term average </w:t>
      </w:r>
      <w:r w:rsidR="00245A7E">
        <w:rPr>
          <w:szCs w:val="20"/>
        </w:rPr>
        <w:t>alcohol consumption</w:t>
      </w:r>
      <w:r w:rsidR="00AA337F">
        <w:rPr>
          <w:szCs w:val="20"/>
        </w:rPr>
        <w:t xml:space="preserve"> </w:t>
      </w:r>
      <w:r w:rsidR="005C2FC9">
        <w:rPr>
          <w:szCs w:val="20"/>
        </w:rPr>
        <w:t xml:space="preserve">levels </w:t>
      </w:r>
      <w:r w:rsidR="00AA337F">
        <w:t>(</w:t>
      </w:r>
      <w:r w:rsidR="00AA337F" w:rsidRPr="0046322F">
        <w:rPr>
          <w:b/>
        </w:rPr>
        <w:t>eFigure</w:t>
      </w:r>
      <w:r w:rsidR="005C2FC9">
        <w:rPr>
          <w:b/>
        </w:rPr>
        <w:t>s</w:t>
      </w:r>
      <w:r w:rsidR="00AA337F" w:rsidRPr="0046322F">
        <w:rPr>
          <w:b/>
        </w:rPr>
        <w:t xml:space="preserve"> </w:t>
      </w:r>
      <w:r w:rsidR="001B4268">
        <w:rPr>
          <w:b/>
        </w:rPr>
        <w:t xml:space="preserve">11 </w:t>
      </w:r>
      <w:r w:rsidR="00FE1622">
        <w:rPr>
          <w:b/>
        </w:rPr>
        <w:t xml:space="preserve">(left panel) </w:t>
      </w:r>
      <w:r w:rsidR="005C2FC9" w:rsidRPr="005C2FC9">
        <w:t xml:space="preserve">&amp; </w:t>
      </w:r>
      <w:r w:rsidR="001B4268">
        <w:rPr>
          <w:b/>
        </w:rPr>
        <w:t>12</w:t>
      </w:r>
      <w:r w:rsidR="00AA337F">
        <w:t>)</w:t>
      </w:r>
      <w:r w:rsidR="00AA337F">
        <w:rPr>
          <w:szCs w:val="20"/>
        </w:rPr>
        <w:t>;</w:t>
      </w:r>
      <w:r w:rsidR="00245A7E">
        <w:rPr>
          <w:szCs w:val="20"/>
        </w:rPr>
        <w:t xml:space="preserve"> </w:t>
      </w:r>
      <w:r w:rsidR="00AA337F">
        <w:rPr>
          <w:szCs w:val="20"/>
        </w:rPr>
        <w:t>use</w:t>
      </w:r>
      <w:r w:rsidR="0009028A">
        <w:rPr>
          <w:szCs w:val="20"/>
        </w:rPr>
        <w:t>d</w:t>
      </w:r>
      <w:r w:rsidR="00245A7E">
        <w:t xml:space="preserve"> multiple imputation </w:t>
      </w:r>
      <w:r w:rsidR="00AA337F">
        <w:t>rather than complete-case analysis</w:t>
      </w:r>
      <w:r w:rsidR="00245A7E" w:rsidRPr="00860C86">
        <w:t xml:space="preserve"> </w:t>
      </w:r>
      <w:r w:rsidR="00245A7E">
        <w:t>(</w:t>
      </w:r>
      <w:r w:rsidR="00245A7E" w:rsidRPr="0046322F">
        <w:rPr>
          <w:b/>
        </w:rPr>
        <w:t>eFigure 1</w:t>
      </w:r>
      <w:r w:rsidR="001B4268">
        <w:rPr>
          <w:b/>
        </w:rPr>
        <w:t>1</w:t>
      </w:r>
      <w:r w:rsidR="00245A7E">
        <w:t>)</w:t>
      </w:r>
      <w:r w:rsidR="00AA337F">
        <w:t>;</w:t>
      </w:r>
      <w:r w:rsidR="00245A7E" w:rsidRPr="00860C86">
        <w:t xml:space="preserve"> </w:t>
      </w:r>
      <w:r w:rsidR="005C2FC9">
        <w:t>use</w:t>
      </w:r>
      <w:r w:rsidR="0009028A">
        <w:t>d</w:t>
      </w:r>
      <w:r w:rsidR="005C2FC9">
        <w:t xml:space="preserve"> fractional polynomials to explore risk thresholds</w:t>
      </w:r>
      <w:r w:rsidR="002041B2">
        <w:t xml:space="preserve"> for all-cause mortality</w:t>
      </w:r>
      <w:r w:rsidR="005C2FC9">
        <w:t xml:space="preserve"> (</w:t>
      </w:r>
      <w:r w:rsidR="001B4268">
        <w:rPr>
          <w:rFonts w:cstheme="minorHAnsi"/>
          <w:b/>
          <w:bCs/>
          <w:color w:val="000000" w:themeColor="text1"/>
          <w:szCs w:val="20"/>
        </w:rPr>
        <w:t>eFigure 13</w:t>
      </w:r>
      <w:r w:rsidR="005C2FC9">
        <w:t>): use</w:t>
      </w:r>
      <w:r w:rsidR="0009028A">
        <w:t>d</w:t>
      </w:r>
      <w:r w:rsidR="005C2FC9">
        <w:t xml:space="preserve"> </w:t>
      </w:r>
      <w:r w:rsidR="00245A7E">
        <w:t xml:space="preserve">fixed-effect </w:t>
      </w:r>
      <w:r w:rsidR="00245A7E" w:rsidRPr="001B4268">
        <w:t>analysis (</w:t>
      </w:r>
      <w:r w:rsidR="00AA337F" w:rsidRPr="001B4268">
        <w:rPr>
          <w:b/>
        </w:rPr>
        <w:t>eF</w:t>
      </w:r>
      <w:r w:rsidR="001B4268" w:rsidRPr="001B4268">
        <w:rPr>
          <w:b/>
        </w:rPr>
        <w:t>igure 14</w:t>
      </w:r>
      <w:r w:rsidR="00245A7E" w:rsidRPr="001B4268">
        <w:t>);</w:t>
      </w:r>
      <w:r w:rsidR="005C2FC9" w:rsidRPr="001B4268">
        <w:t xml:space="preserve"> inclu</w:t>
      </w:r>
      <w:r w:rsidR="0009028A">
        <w:t>ded</w:t>
      </w:r>
      <w:r w:rsidR="005C2FC9" w:rsidRPr="001B4268">
        <w:t xml:space="preserve"> studies that recorded fewer than 5 </w:t>
      </w:r>
      <w:r w:rsidR="00705520">
        <w:t>events for a particular outcome</w:t>
      </w:r>
      <w:r w:rsidR="005C2FC9" w:rsidRPr="001B4268">
        <w:t xml:space="preserve"> (</w:t>
      </w:r>
      <w:r w:rsidR="00B64C83">
        <w:rPr>
          <w:b/>
        </w:rPr>
        <w:t>eFigure 15</w:t>
      </w:r>
      <w:r w:rsidR="005C2FC9" w:rsidRPr="001B4268">
        <w:t>);</w:t>
      </w:r>
      <w:r w:rsidR="005C2FC9">
        <w:t xml:space="preserve"> </w:t>
      </w:r>
      <w:r w:rsidR="0009028A">
        <w:t xml:space="preserve">provided </w:t>
      </w:r>
      <w:r w:rsidR="00245A7E">
        <w:t>separate</w:t>
      </w:r>
      <w:r w:rsidR="002866CD">
        <w:t xml:space="preserve"> analysi</w:t>
      </w:r>
      <w:r w:rsidR="00245A7E" w:rsidRPr="00860C86">
        <w:t xml:space="preserve">s </w:t>
      </w:r>
      <w:r w:rsidR="00245A7E">
        <w:t xml:space="preserve">of males </w:t>
      </w:r>
      <w:r w:rsidR="002866CD">
        <w:t>and</w:t>
      </w:r>
      <w:r w:rsidR="00245A7E">
        <w:t xml:space="preserve"> females (</w:t>
      </w:r>
      <w:r w:rsidR="00490CCF">
        <w:rPr>
          <w:b/>
        </w:rPr>
        <w:t>eTable 7</w:t>
      </w:r>
      <w:r w:rsidR="00245A7E">
        <w:t xml:space="preserve">, </w:t>
      </w:r>
      <w:r w:rsidR="00245A7E" w:rsidRPr="00BD50E5">
        <w:rPr>
          <w:b/>
        </w:rPr>
        <w:t>eF</w:t>
      </w:r>
      <w:r w:rsidR="001B4268">
        <w:rPr>
          <w:b/>
        </w:rPr>
        <w:t>igure 5</w:t>
      </w:r>
      <w:r w:rsidR="00245A7E">
        <w:t>); omi</w:t>
      </w:r>
      <w:r w:rsidR="0009028A">
        <w:t>tted</w:t>
      </w:r>
      <w:r w:rsidR="00245A7E" w:rsidRPr="00860C86">
        <w:t xml:space="preserve"> outcome</w:t>
      </w:r>
      <w:r w:rsidR="005C2FC9">
        <w:t>s</w:t>
      </w:r>
      <w:r w:rsidR="00245A7E" w:rsidRPr="00860C86">
        <w:t xml:space="preserve"> recorded </w:t>
      </w:r>
      <w:r w:rsidR="00245A7E">
        <w:t>in</w:t>
      </w:r>
      <w:r w:rsidR="00245A7E" w:rsidRPr="00860C86">
        <w:t xml:space="preserve"> the initial 5 years of follow-up</w:t>
      </w:r>
      <w:r w:rsidR="005C2FC9">
        <w:t xml:space="preserve"> </w:t>
      </w:r>
      <w:r w:rsidR="005C2FC9" w:rsidRPr="00860C86">
        <w:t>(</w:t>
      </w:r>
      <w:r w:rsidR="005C2FC9" w:rsidRPr="00860C86">
        <w:rPr>
          <w:b/>
        </w:rPr>
        <w:t xml:space="preserve">eTable </w:t>
      </w:r>
      <w:r w:rsidR="00490CCF">
        <w:rPr>
          <w:b/>
        </w:rPr>
        <w:t>8</w:t>
      </w:r>
      <w:r w:rsidR="005C2FC9" w:rsidRPr="00BD50E5">
        <w:t>)</w:t>
      </w:r>
      <w:r w:rsidR="00245A7E">
        <w:t>;</w:t>
      </w:r>
      <w:r w:rsidR="00245A7E" w:rsidRPr="00860C86">
        <w:t xml:space="preserve"> </w:t>
      </w:r>
      <w:r w:rsidR="00245A7E">
        <w:t>exclu</w:t>
      </w:r>
      <w:r w:rsidR="0009028A">
        <w:t>ded</w:t>
      </w:r>
      <w:r w:rsidR="00245A7E">
        <w:t xml:space="preserve"> participants with</w:t>
      </w:r>
      <w:r w:rsidR="00245A7E" w:rsidRPr="00860C86">
        <w:t xml:space="preserve"> diabetes </w:t>
      </w:r>
      <w:r w:rsidR="00245A7E" w:rsidRPr="00586F91">
        <w:t>or other known chronic diseases at baseline</w:t>
      </w:r>
      <w:r w:rsidR="00245A7E" w:rsidRPr="00860C86">
        <w:t xml:space="preserve"> (</w:t>
      </w:r>
      <w:r w:rsidR="00245A7E" w:rsidRPr="00860C86">
        <w:rPr>
          <w:b/>
        </w:rPr>
        <w:t xml:space="preserve">eTable </w:t>
      </w:r>
      <w:r w:rsidR="00490CCF">
        <w:rPr>
          <w:b/>
        </w:rPr>
        <w:t>8</w:t>
      </w:r>
      <w:r w:rsidR="00245A7E" w:rsidRPr="00BD50E5">
        <w:t>)</w:t>
      </w:r>
      <w:r w:rsidR="002866CD">
        <w:t xml:space="preserve">; </w:t>
      </w:r>
      <w:r w:rsidR="0009028A">
        <w:t xml:space="preserve">and </w:t>
      </w:r>
      <w:r w:rsidR="005C2FC9">
        <w:t>restrict</w:t>
      </w:r>
      <w:r w:rsidR="0009028A">
        <w:t>ed</w:t>
      </w:r>
      <w:r w:rsidR="005C2FC9">
        <w:t xml:space="preserve"> </w:t>
      </w:r>
      <w:r w:rsidR="00245A7E" w:rsidRPr="0001219A">
        <w:t>to studies that recorded both non-fatal MI and coronary death (</w:t>
      </w:r>
      <w:r w:rsidR="00245A7E" w:rsidRPr="0001219A">
        <w:rPr>
          <w:b/>
        </w:rPr>
        <w:t xml:space="preserve">eFigure </w:t>
      </w:r>
      <w:r w:rsidR="00245A7E" w:rsidRPr="00753EE8">
        <w:rPr>
          <w:b/>
        </w:rPr>
        <w:t>1</w:t>
      </w:r>
      <w:r w:rsidR="00AD1F05">
        <w:rPr>
          <w:b/>
        </w:rPr>
        <w:t>6</w:t>
      </w:r>
      <w:r w:rsidR="00245A7E" w:rsidRPr="00753EE8">
        <w:t>)</w:t>
      </w:r>
      <w:r w:rsidR="005C2FC9">
        <w:t xml:space="preserve">. </w:t>
      </w:r>
      <w:r w:rsidR="00245A7E" w:rsidRPr="00753EE8">
        <w:rPr>
          <w:rFonts w:cstheme="minorHAnsi"/>
          <w:bCs/>
          <w:color w:val="000000" w:themeColor="text1"/>
          <w:szCs w:val="20"/>
        </w:rPr>
        <w:t>A</w:t>
      </w:r>
      <w:r w:rsidR="00245A7E">
        <w:rPr>
          <w:rFonts w:cstheme="minorHAnsi"/>
          <w:bCs/>
          <w:color w:val="000000" w:themeColor="text1"/>
          <w:szCs w:val="20"/>
        </w:rPr>
        <w:t xml:space="preserve">ssociations with </w:t>
      </w:r>
      <w:r w:rsidR="00245A7E" w:rsidRPr="00D34DB8">
        <w:rPr>
          <w:rFonts w:cstheme="minorHAnsi"/>
          <w:bCs/>
          <w:color w:val="000000" w:themeColor="text1"/>
          <w:szCs w:val="20"/>
        </w:rPr>
        <w:t>all-cause mortality</w:t>
      </w:r>
      <w:r w:rsidR="00245A7E">
        <w:rPr>
          <w:rFonts w:cstheme="minorHAnsi"/>
          <w:bCs/>
          <w:color w:val="000000" w:themeColor="text1"/>
          <w:szCs w:val="20"/>
        </w:rPr>
        <w:t xml:space="preserve"> were stronger among drinkers </w:t>
      </w:r>
      <w:r w:rsidR="00245A7E" w:rsidRPr="0000233C">
        <w:rPr>
          <w:rFonts w:cstheme="minorHAnsi"/>
          <w:bCs/>
          <w:color w:val="000000" w:themeColor="text1"/>
          <w:szCs w:val="20"/>
        </w:rPr>
        <w:t xml:space="preserve">of beer or spirits </w:t>
      </w:r>
      <w:r w:rsidR="00245A7E">
        <w:rPr>
          <w:rFonts w:cstheme="minorHAnsi"/>
          <w:bCs/>
          <w:color w:val="000000" w:themeColor="text1"/>
          <w:szCs w:val="20"/>
        </w:rPr>
        <w:t>than</w:t>
      </w:r>
      <w:r w:rsidR="00245A7E" w:rsidRPr="0000233C">
        <w:rPr>
          <w:rFonts w:cstheme="minorHAnsi"/>
          <w:bCs/>
          <w:color w:val="000000" w:themeColor="text1"/>
          <w:szCs w:val="20"/>
        </w:rPr>
        <w:t xml:space="preserve"> </w:t>
      </w:r>
      <w:r w:rsidR="00245A7E">
        <w:rPr>
          <w:rFonts w:cstheme="minorHAnsi"/>
          <w:bCs/>
          <w:color w:val="000000" w:themeColor="text1"/>
          <w:szCs w:val="20"/>
        </w:rPr>
        <w:t xml:space="preserve">of </w:t>
      </w:r>
      <w:r w:rsidR="00245A7E" w:rsidRPr="0000233C">
        <w:rPr>
          <w:rFonts w:cstheme="minorHAnsi"/>
          <w:bCs/>
          <w:color w:val="000000" w:themeColor="text1"/>
          <w:szCs w:val="20"/>
        </w:rPr>
        <w:t>wine</w:t>
      </w:r>
      <w:r w:rsidR="00245A7E" w:rsidRPr="00D34DB8">
        <w:rPr>
          <w:rFonts w:cstheme="minorHAnsi"/>
          <w:bCs/>
          <w:color w:val="000000" w:themeColor="text1"/>
          <w:szCs w:val="20"/>
        </w:rPr>
        <w:t xml:space="preserve">, </w:t>
      </w:r>
      <w:r w:rsidR="00245A7E">
        <w:rPr>
          <w:rFonts w:cstheme="minorHAnsi"/>
          <w:bCs/>
          <w:color w:val="000000" w:themeColor="text1"/>
          <w:szCs w:val="20"/>
        </w:rPr>
        <w:t>and among those drinking</w:t>
      </w:r>
      <w:r w:rsidR="00245A7E" w:rsidRPr="00D34DB8">
        <w:rPr>
          <w:rFonts w:cstheme="minorHAnsi"/>
          <w:bCs/>
          <w:color w:val="000000" w:themeColor="text1"/>
          <w:szCs w:val="20"/>
        </w:rPr>
        <w:t xml:space="preserve"> </w:t>
      </w:r>
      <w:r w:rsidR="00245A7E">
        <w:rPr>
          <w:rFonts w:cstheme="minorHAnsi"/>
          <w:bCs/>
          <w:color w:val="000000" w:themeColor="text1"/>
          <w:szCs w:val="20"/>
        </w:rPr>
        <w:t xml:space="preserve">infrequently </w:t>
      </w:r>
      <w:r w:rsidR="005C2FC9">
        <w:rPr>
          <w:rFonts w:cstheme="minorHAnsi"/>
          <w:bCs/>
          <w:color w:val="000000" w:themeColor="text1"/>
          <w:szCs w:val="20"/>
        </w:rPr>
        <w:t>(when</w:t>
      </w:r>
      <w:r w:rsidR="00245A7E" w:rsidRPr="008443EA">
        <w:rPr>
          <w:rFonts w:cstheme="minorHAnsi"/>
          <w:bCs/>
          <w:color w:val="000000" w:themeColor="text1"/>
          <w:szCs w:val="20"/>
        </w:rPr>
        <w:t xml:space="preserve"> consuming the same weekly amount</w:t>
      </w:r>
      <w:r w:rsidR="005C2FC9">
        <w:rPr>
          <w:rFonts w:cstheme="minorHAnsi"/>
          <w:bCs/>
          <w:color w:val="000000" w:themeColor="text1"/>
          <w:szCs w:val="20"/>
        </w:rPr>
        <w:t>)</w:t>
      </w:r>
      <w:r w:rsidR="00245A7E" w:rsidRPr="008443EA">
        <w:rPr>
          <w:rFonts w:cstheme="minorHAnsi"/>
          <w:bCs/>
          <w:color w:val="000000" w:themeColor="text1"/>
          <w:szCs w:val="20"/>
        </w:rPr>
        <w:t xml:space="preserve">, </w:t>
      </w:r>
      <w:r w:rsidR="005C2FC9">
        <w:rPr>
          <w:rFonts w:cstheme="minorHAnsi"/>
          <w:bCs/>
          <w:color w:val="000000" w:themeColor="text1"/>
          <w:szCs w:val="20"/>
        </w:rPr>
        <w:t xml:space="preserve">including </w:t>
      </w:r>
      <w:r w:rsidR="00245A7E" w:rsidRPr="008443EA">
        <w:rPr>
          <w:rFonts w:cstheme="minorHAnsi"/>
          <w:bCs/>
          <w:color w:val="000000" w:themeColor="text1"/>
          <w:szCs w:val="20"/>
        </w:rPr>
        <w:t>binge drinkers (</w:t>
      </w:r>
      <w:r w:rsidR="00245A7E" w:rsidRPr="008443EA">
        <w:rPr>
          <w:rFonts w:cstheme="minorHAnsi"/>
          <w:b/>
          <w:bCs/>
          <w:color w:val="000000" w:themeColor="text1"/>
          <w:szCs w:val="20"/>
        </w:rPr>
        <w:t xml:space="preserve">eFigure </w:t>
      </w:r>
      <w:r w:rsidR="00AD1F05">
        <w:rPr>
          <w:rFonts w:cstheme="minorHAnsi"/>
          <w:b/>
          <w:bCs/>
          <w:color w:val="000000" w:themeColor="text1"/>
          <w:szCs w:val="20"/>
        </w:rPr>
        <w:t>17</w:t>
      </w:r>
      <w:r w:rsidR="00245A7E" w:rsidRPr="008443EA">
        <w:rPr>
          <w:rFonts w:cstheme="minorHAnsi"/>
          <w:bCs/>
          <w:color w:val="000000" w:themeColor="text1"/>
          <w:szCs w:val="20"/>
        </w:rPr>
        <w:t>). However, people showing these behaviours had higher baseline levels of smoking and other indicators of lower socioeconomic status, suggesting the scope for confounding (</w:t>
      </w:r>
      <w:r w:rsidR="00490CCF">
        <w:rPr>
          <w:rFonts w:cstheme="minorHAnsi"/>
          <w:b/>
          <w:bCs/>
          <w:color w:val="000000" w:themeColor="text1"/>
          <w:szCs w:val="20"/>
        </w:rPr>
        <w:t>eTables 9-10</w:t>
      </w:r>
      <w:r w:rsidR="00245A7E" w:rsidRPr="008443EA">
        <w:rPr>
          <w:rFonts w:cstheme="minorHAnsi"/>
          <w:bCs/>
          <w:color w:val="000000" w:themeColor="text1"/>
          <w:szCs w:val="20"/>
        </w:rPr>
        <w:t xml:space="preserve">). </w:t>
      </w:r>
      <w:r w:rsidR="00245A7E" w:rsidRPr="008443EA">
        <w:t xml:space="preserve">For CVD subtypes, </w:t>
      </w:r>
      <w:r w:rsidR="00245A7E" w:rsidRPr="008443EA">
        <w:rPr>
          <w:rFonts w:cstheme="minorHAnsi"/>
          <w:bCs/>
          <w:color w:val="000000" w:themeColor="text1"/>
          <w:szCs w:val="20"/>
        </w:rPr>
        <w:t>HRs tended to be higher in beer and spirit drinkers than wine drinkers, but not significantly so in direct comparisons involving a common set of participants (</w:t>
      </w:r>
      <w:r w:rsidR="00AD1F05">
        <w:rPr>
          <w:rFonts w:cstheme="minorHAnsi"/>
          <w:b/>
          <w:bCs/>
          <w:color w:val="000000" w:themeColor="text1"/>
          <w:szCs w:val="20"/>
        </w:rPr>
        <w:t>eFigure 18</w:t>
      </w:r>
      <w:r w:rsidR="00245A7E" w:rsidRPr="008443EA">
        <w:rPr>
          <w:rFonts w:cstheme="minorHAnsi"/>
          <w:bCs/>
          <w:color w:val="000000" w:themeColor="text1"/>
          <w:szCs w:val="20"/>
        </w:rPr>
        <w:t>).</w:t>
      </w:r>
      <w:r w:rsidR="00245A7E" w:rsidRPr="005C2FC9">
        <w:rPr>
          <w:rFonts w:cstheme="minorHAnsi"/>
          <w:b/>
          <w:bCs/>
          <w:color w:val="000000" w:themeColor="text1"/>
          <w:szCs w:val="20"/>
        </w:rPr>
        <w:t xml:space="preserve"> </w:t>
      </w:r>
    </w:p>
    <w:p w14:paraId="0A0B7DDA" w14:textId="77777777" w:rsidR="00F03547" w:rsidRDefault="00F03547" w:rsidP="002933CF"/>
    <w:p w14:paraId="5A33B422" w14:textId="0169750C" w:rsidR="00294990" w:rsidRPr="00586F91" w:rsidRDefault="005715F8" w:rsidP="00586F91">
      <w:pPr>
        <w:pStyle w:val="Heading2"/>
        <w:spacing w:before="0"/>
        <w:rPr>
          <w:i w:val="0"/>
        </w:rPr>
      </w:pPr>
      <w:r w:rsidRPr="00586F91">
        <w:rPr>
          <w:i w:val="0"/>
        </w:rPr>
        <w:lastRenderedPageBreak/>
        <w:t xml:space="preserve">There was </w:t>
      </w:r>
      <w:r w:rsidR="00DC0CA2" w:rsidRPr="00586F91">
        <w:rPr>
          <w:i w:val="0"/>
        </w:rPr>
        <w:t>little</w:t>
      </w:r>
      <w:r w:rsidR="00073087" w:rsidRPr="00586F91">
        <w:rPr>
          <w:i w:val="0"/>
        </w:rPr>
        <w:t xml:space="preserve"> </w:t>
      </w:r>
      <w:r w:rsidRPr="00586F91">
        <w:rPr>
          <w:i w:val="0"/>
        </w:rPr>
        <w:t>heterogeneity among</w:t>
      </w:r>
      <w:r w:rsidR="00462AFE" w:rsidRPr="00586F91">
        <w:rPr>
          <w:i w:val="0"/>
        </w:rPr>
        <w:t xml:space="preserve"> the studies contributing </w:t>
      </w:r>
      <w:r w:rsidR="00C868AC" w:rsidRPr="00586F91">
        <w:rPr>
          <w:i w:val="0"/>
        </w:rPr>
        <w:t xml:space="preserve">results for </w:t>
      </w:r>
      <w:r w:rsidR="00964035" w:rsidRPr="00586F91">
        <w:rPr>
          <w:i w:val="0"/>
        </w:rPr>
        <w:t>stroke</w:t>
      </w:r>
      <w:r w:rsidRPr="00586F91">
        <w:rPr>
          <w:i w:val="0"/>
        </w:rPr>
        <w:t xml:space="preserve"> (</w:t>
      </w:r>
      <w:r w:rsidRPr="00AE0BBF">
        <w:rPr>
          <w:i w:val="0"/>
        </w:rPr>
        <w:t>I</w:t>
      </w:r>
      <w:r w:rsidRPr="00586F91">
        <w:rPr>
          <w:i w:val="0"/>
          <w:vertAlign w:val="superscript"/>
        </w:rPr>
        <w:t>2</w:t>
      </w:r>
      <w:r w:rsidR="001813B0" w:rsidRPr="00586F91">
        <w:rPr>
          <w:i w:val="0"/>
        </w:rPr>
        <w:t>=</w:t>
      </w:r>
      <w:r w:rsidR="00B64C83">
        <w:rPr>
          <w:i w:val="0"/>
        </w:rPr>
        <w:t>12</w:t>
      </w:r>
      <w:r w:rsidRPr="00586F91">
        <w:rPr>
          <w:i w:val="0"/>
        </w:rPr>
        <w:t>%)</w:t>
      </w:r>
      <w:r w:rsidR="00CC2473" w:rsidRPr="00586F91">
        <w:rPr>
          <w:i w:val="0"/>
        </w:rPr>
        <w:t xml:space="preserve">, </w:t>
      </w:r>
      <w:r w:rsidR="006F1A80">
        <w:rPr>
          <w:i w:val="0"/>
        </w:rPr>
        <w:t>MI</w:t>
      </w:r>
      <w:r w:rsidR="00964035" w:rsidRPr="00586F91">
        <w:rPr>
          <w:i w:val="0"/>
        </w:rPr>
        <w:t xml:space="preserve"> (</w:t>
      </w:r>
      <w:r w:rsidR="00964035" w:rsidRPr="00AE0BBF">
        <w:rPr>
          <w:i w:val="0"/>
        </w:rPr>
        <w:t>I</w:t>
      </w:r>
      <w:r w:rsidR="00964035" w:rsidRPr="00586F91">
        <w:rPr>
          <w:i w:val="0"/>
          <w:vertAlign w:val="superscript"/>
        </w:rPr>
        <w:t>2</w:t>
      </w:r>
      <w:r w:rsidR="00B64C83">
        <w:rPr>
          <w:i w:val="0"/>
        </w:rPr>
        <w:t>=12</w:t>
      </w:r>
      <w:r w:rsidR="00964035" w:rsidRPr="00586F91">
        <w:rPr>
          <w:i w:val="0"/>
        </w:rPr>
        <w:t xml:space="preserve">%), </w:t>
      </w:r>
      <w:r w:rsidR="00A76DFF" w:rsidRPr="00586F91">
        <w:rPr>
          <w:i w:val="0"/>
        </w:rPr>
        <w:t xml:space="preserve">non-MI </w:t>
      </w:r>
      <w:r w:rsidR="00073087" w:rsidRPr="00586F91">
        <w:rPr>
          <w:i w:val="0"/>
        </w:rPr>
        <w:t xml:space="preserve">coronary </w:t>
      </w:r>
      <w:r w:rsidR="00964035" w:rsidRPr="00586F91">
        <w:rPr>
          <w:i w:val="0"/>
        </w:rPr>
        <w:t xml:space="preserve">heart disease </w:t>
      </w:r>
      <w:r w:rsidR="00462AFE" w:rsidRPr="00586F91">
        <w:rPr>
          <w:i w:val="0"/>
        </w:rPr>
        <w:t>(</w:t>
      </w:r>
      <w:r w:rsidR="00462AFE" w:rsidRPr="00AE0BBF">
        <w:rPr>
          <w:i w:val="0"/>
        </w:rPr>
        <w:t>I</w:t>
      </w:r>
      <w:r w:rsidR="00462AFE" w:rsidRPr="00586F91">
        <w:rPr>
          <w:i w:val="0"/>
          <w:vertAlign w:val="superscript"/>
        </w:rPr>
        <w:t>2</w:t>
      </w:r>
      <w:r w:rsidR="00F17179" w:rsidRPr="00586F91">
        <w:rPr>
          <w:i w:val="0"/>
        </w:rPr>
        <w:t>=</w:t>
      </w:r>
      <w:r w:rsidR="00964035" w:rsidRPr="00586F91">
        <w:rPr>
          <w:i w:val="0"/>
        </w:rPr>
        <w:t>26</w:t>
      </w:r>
      <w:r w:rsidR="00462AFE" w:rsidRPr="00586F91">
        <w:rPr>
          <w:i w:val="0"/>
        </w:rPr>
        <w:t>%)</w:t>
      </w:r>
      <w:r w:rsidR="009708A7" w:rsidRPr="00586F91">
        <w:rPr>
          <w:i w:val="0"/>
        </w:rPr>
        <w:t>,</w:t>
      </w:r>
      <w:r w:rsidR="000A2B44" w:rsidRPr="00586F91">
        <w:rPr>
          <w:i w:val="0"/>
        </w:rPr>
        <w:t xml:space="preserve"> heart failure (</w:t>
      </w:r>
      <w:r w:rsidR="000A2B44" w:rsidRPr="00AE0BBF">
        <w:rPr>
          <w:i w:val="0"/>
        </w:rPr>
        <w:t>I</w:t>
      </w:r>
      <w:r w:rsidR="000A2B44" w:rsidRPr="00586F91">
        <w:rPr>
          <w:i w:val="0"/>
          <w:vertAlign w:val="superscript"/>
        </w:rPr>
        <w:t>2</w:t>
      </w:r>
      <w:r w:rsidR="00B64C83">
        <w:rPr>
          <w:i w:val="0"/>
        </w:rPr>
        <w:t>=4</w:t>
      </w:r>
      <w:r w:rsidR="000A2B44" w:rsidRPr="00586F91">
        <w:rPr>
          <w:i w:val="0"/>
        </w:rPr>
        <w:t>%)</w:t>
      </w:r>
      <w:r w:rsidR="009708A7" w:rsidRPr="00586F91">
        <w:rPr>
          <w:i w:val="0"/>
        </w:rPr>
        <w:t xml:space="preserve"> or</w:t>
      </w:r>
      <w:r w:rsidR="00CC2473" w:rsidRPr="00586F91">
        <w:rPr>
          <w:i w:val="0"/>
        </w:rPr>
        <w:t xml:space="preserve"> </w:t>
      </w:r>
      <w:r w:rsidR="000A2B44" w:rsidRPr="00586F91">
        <w:rPr>
          <w:rFonts w:cstheme="minorHAnsi"/>
          <w:bCs w:val="0"/>
          <w:i w:val="0"/>
          <w:szCs w:val="20"/>
        </w:rPr>
        <w:t xml:space="preserve">deaths from other types of </w:t>
      </w:r>
      <w:r w:rsidR="00A76DFF" w:rsidRPr="00586F91">
        <w:rPr>
          <w:rFonts w:cstheme="minorHAnsi"/>
          <w:bCs w:val="0"/>
          <w:i w:val="0"/>
          <w:szCs w:val="20"/>
        </w:rPr>
        <w:t>CVD</w:t>
      </w:r>
      <w:r w:rsidR="00CC2473" w:rsidRPr="00586F91">
        <w:rPr>
          <w:i w:val="0"/>
        </w:rPr>
        <w:t xml:space="preserve"> (</w:t>
      </w:r>
      <w:r w:rsidR="00CC2473" w:rsidRPr="00AE0BBF">
        <w:rPr>
          <w:i w:val="0"/>
        </w:rPr>
        <w:t>I</w:t>
      </w:r>
      <w:r w:rsidR="00CC2473" w:rsidRPr="00586F91">
        <w:rPr>
          <w:i w:val="0"/>
          <w:vertAlign w:val="superscript"/>
        </w:rPr>
        <w:t>2</w:t>
      </w:r>
      <w:r w:rsidR="00CC2473" w:rsidRPr="00586F91">
        <w:rPr>
          <w:i w:val="0"/>
        </w:rPr>
        <w:t>=</w:t>
      </w:r>
      <w:r w:rsidR="00B64C83">
        <w:rPr>
          <w:i w:val="0"/>
        </w:rPr>
        <w:t>33</w:t>
      </w:r>
      <w:r w:rsidR="00CC2473" w:rsidRPr="00586F91">
        <w:rPr>
          <w:i w:val="0"/>
        </w:rPr>
        <w:t>%</w:t>
      </w:r>
      <w:r w:rsidR="00C868AC" w:rsidRPr="00586F91">
        <w:rPr>
          <w:i w:val="0"/>
        </w:rPr>
        <w:t xml:space="preserve">; </w:t>
      </w:r>
      <w:r w:rsidR="00F93E33" w:rsidRPr="00586F91">
        <w:rPr>
          <w:b/>
          <w:i w:val="0"/>
        </w:rPr>
        <w:t xml:space="preserve">Figure </w:t>
      </w:r>
      <w:r w:rsidR="00945A7F" w:rsidRPr="00586F91">
        <w:rPr>
          <w:b/>
          <w:i w:val="0"/>
        </w:rPr>
        <w:t>3</w:t>
      </w:r>
      <w:r w:rsidR="00F93E33" w:rsidRPr="00586F91">
        <w:rPr>
          <w:i w:val="0"/>
        </w:rPr>
        <w:t>)</w:t>
      </w:r>
      <w:r w:rsidRPr="00586F91">
        <w:rPr>
          <w:i w:val="0"/>
        </w:rPr>
        <w:t xml:space="preserve">. </w:t>
      </w:r>
      <w:r w:rsidR="00705132" w:rsidRPr="00586F91">
        <w:rPr>
          <w:i w:val="0"/>
        </w:rPr>
        <w:t xml:space="preserve">HRs for the CVD outcomes we studied were broadly similar for </w:t>
      </w:r>
      <w:r w:rsidR="00860C86" w:rsidRPr="00586F91">
        <w:rPr>
          <w:i w:val="0"/>
        </w:rPr>
        <w:t xml:space="preserve">different geographical regions, </w:t>
      </w:r>
      <w:r w:rsidR="00124A68">
        <w:rPr>
          <w:i w:val="0"/>
        </w:rPr>
        <w:t>decade</w:t>
      </w:r>
      <w:r w:rsidR="00860C86" w:rsidRPr="00586F91">
        <w:rPr>
          <w:i w:val="0"/>
        </w:rPr>
        <w:t xml:space="preserve"> of study enrolment</w:t>
      </w:r>
      <w:r w:rsidR="00446FD1">
        <w:rPr>
          <w:i w:val="0"/>
        </w:rPr>
        <w:t>,</w:t>
      </w:r>
      <w:r w:rsidR="00705132" w:rsidRPr="00586F91">
        <w:rPr>
          <w:i w:val="0"/>
        </w:rPr>
        <w:t xml:space="preserve"> </w:t>
      </w:r>
      <w:r w:rsidR="00860C86" w:rsidRPr="00586F91">
        <w:rPr>
          <w:i w:val="0"/>
        </w:rPr>
        <w:t>by data source (</w:t>
      </w:r>
      <w:r w:rsidR="0017110C">
        <w:rPr>
          <w:i w:val="0"/>
        </w:rPr>
        <w:t xml:space="preserve">ie, </w:t>
      </w:r>
      <w:r w:rsidR="00860C86" w:rsidRPr="00586F91">
        <w:rPr>
          <w:i w:val="0"/>
        </w:rPr>
        <w:t>ERFC, EPIC-CVD and UK</w:t>
      </w:r>
      <w:r w:rsidR="00BD467E">
        <w:rPr>
          <w:i w:val="0"/>
        </w:rPr>
        <w:t xml:space="preserve"> </w:t>
      </w:r>
      <w:r w:rsidR="00860C86" w:rsidRPr="00586F91">
        <w:rPr>
          <w:i w:val="0"/>
        </w:rPr>
        <w:t>Biobank</w:t>
      </w:r>
      <w:r w:rsidR="00705132" w:rsidRPr="00586F91">
        <w:rPr>
          <w:i w:val="0"/>
        </w:rPr>
        <w:t>)</w:t>
      </w:r>
      <w:r w:rsidR="00EE7D9B">
        <w:rPr>
          <w:i w:val="0"/>
        </w:rPr>
        <w:t xml:space="preserve">, and alcohol assessment </w:t>
      </w:r>
      <w:r w:rsidR="00EE7D9B" w:rsidRPr="008443EA">
        <w:rPr>
          <w:i w:val="0"/>
        </w:rPr>
        <w:t>method (</w:t>
      </w:r>
      <w:r w:rsidR="00EE7D9B" w:rsidRPr="00E51CBB">
        <w:rPr>
          <w:b/>
          <w:i w:val="0"/>
        </w:rPr>
        <w:t xml:space="preserve">eFigure </w:t>
      </w:r>
      <w:r w:rsidR="00AD1F05">
        <w:rPr>
          <w:b/>
          <w:i w:val="0"/>
        </w:rPr>
        <w:t>19</w:t>
      </w:r>
      <w:r w:rsidR="00EE7D9B" w:rsidRPr="008443EA">
        <w:rPr>
          <w:i w:val="0"/>
        </w:rPr>
        <w:t>)</w:t>
      </w:r>
      <w:r w:rsidR="00705132" w:rsidRPr="008443EA">
        <w:rPr>
          <w:i w:val="0"/>
        </w:rPr>
        <w:t xml:space="preserve">. </w:t>
      </w:r>
      <w:r w:rsidR="00C868AC" w:rsidRPr="008443EA">
        <w:rPr>
          <w:i w:val="0"/>
        </w:rPr>
        <w:t xml:space="preserve">HRs for </w:t>
      </w:r>
      <w:r w:rsidR="00804918" w:rsidRPr="008443EA">
        <w:rPr>
          <w:i w:val="0"/>
        </w:rPr>
        <w:t xml:space="preserve">the </w:t>
      </w:r>
      <w:r w:rsidR="009708A7" w:rsidRPr="008443EA">
        <w:rPr>
          <w:i w:val="0"/>
        </w:rPr>
        <w:t>CVD</w:t>
      </w:r>
      <w:r w:rsidR="00804918" w:rsidRPr="008443EA">
        <w:rPr>
          <w:i w:val="0"/>
        </w:rPr>
        <w:t xml:space="preserve"> outcomes </w:t>
      </w:r>
      <w:r w:rsidR="009508F3" w:rsidRPr="008443EA">
        <w:rPr>
          <w:i w:val="0"/>
        </w:rPr>
        <w:t>were generally higher at younger ages</w:t>
      </w:r>
      <w:r w:rsidR="00EE7D9B" w:rsidRPr="008443EA">
        <w:rPr>
          <w:i w:val="0"/>
        </w:rPr>
        <w:t>,</w:t>
      </w:r>
      <w:r w:rsidR="009508F3" w:rsidRPr="008443EA">
        <w:rPr>
          <w:i w:val="0"/>
        </w:rPr>
        <w:t xml:space="preserve"> but </w:t>
      </w:r>
      <w:r w:rsidR="00C868AC" w:rsidRPr="008443EA">
        <w:rPr>
          <w:i w:val="0"/>
        </w:rPr>
        <w:t xml:space="preserve">did not vary importantly </w:t>
      </w:r>
      <w:r w:rsidR="00721C8C" w:rsidRPr="008443EA">
        <w:rPr>
          <w:i w:val="0"/>
        </w:rPr>
        <w:t>by</w:t>
      </w:r>
      <w:r w:rsidR="009F32D1" w:rsidRPr="008443EA">
        <w:rPr>
          <w:i w:val="0"/>
        </w:rPr>
        <w:t xml:space="preserve"> </w:t>
      </w:r>
      <w:r w:rsidR="00804918" w:rsidRPr="008443EA">
        <w:rPr>
          <w:i w:val="0"/>
        </w:rPr>
        <w:t xml:space="preserve">sex, </w:t>
      </w:r>
      <w:r w:rsidR="00541658" w:rsidRPr="008443EA">
        <w:rPr>
          <w:i w:val="0"/>
        </w:rPr>
        <w:t xml:space="preserve">history of </w:t>
      </w:r>
      <w:r w:rsidR="00C868AC" w:rsidRPr="008443EA">
        <w:rPr>
          <w:i w:val="0"/>
        </w:rPr>
        <w:t xml:space="preserve">diabetes, </w:t>
      </w:r>
      <w:r w:rsidR="00472292" w:rsidRPr="008443EA">
        <w:rPr>
          <w:i w:val="0"/>
        </w:rPr>
        <w:t>proatherogenic</w:t>
      </w:r>
      <w:r w:rsidR="00C868AC" w:rsidRPr="008443EA">
        <w:rPr>
          <w:i w:val="0"/>
        </w:rPr>
        <w:t xml:space="preserve"> lipids, </w:t>
      </w:r>
      <w:r w:rsidR="00705520">
        <w:rPr>
          <w:i w:val="0"/>
        </w:rPr>
        <w:t>BMI</w:t>
      </w:r>
      <w:r w:rsidR="00C868AC" w:rsidRPr="008443EA">
        <w:rPr>
          <w:i w:val="0"/>
        </w:rPr>
        <w:t>, smoking status, or other individual-level characteristics (</w:t>
      </w:r>
      <w:r w:rsidR="00C868AC" w:rsidRPr="008443EA">
        <w:rPr>
          <w:b/>
          <w:i w:val="0"/>
        </w:rPr>
        <w:t xml:space="preserve">eFigure </w:t>
      </w:r>
      <w:r w:rsidR="00AD1F05">
        <w:rPr>
          <w:b/>
          <w:i w:val="0"/>
        </w:rPr>
        <w:t>20</w:t>
      </w:r>
      <w:r w:rsidR="00C868AC" w:rsidRPr="008443EA">
        <w:rPr>
          <w:i w:val="0"/>
        </w:rPr>
        <w:t xml:space="preserve">). </w:t>
      </w:r>
      <w:r w:rsidR="00D83C17" w:rsidRPr="00E51CBB">
        <w:rPr>
          <w:i w:val="0"/>
        </w:rPr>
        <w:t>There was no evidence of small study effects (</w:t>
      </w:r>
      <w:r w:rsidR="00D83C17" w:rsidRPr="00E51CBB">
        <w:rPr>
          <w:b/>
          <w:i w:val="0"/>
        </w:rPr>
        <w:t xml:space="preserve">eFigure </w:t>
      </w:r>
      <w:r w:rsidR="00AD1F05">
        <w:rPr>
          <w:b/>
          <w:i w:val="0"/>
        </w:rPr>
        <w:t>21</w:t>
      </w:r>
      <w:r w:rsidR="00D83C17" w:rsidRPr="00E51CBB">
        <w:rPr>
          <w:i w:val="0"/>
        </w:rPr>
        <w:t>).</w:t>
      </w:r>
    </w:p>
    <w:p w14:paraId="27C7FD70" w14:textId="77777777" w:rsidR="00795047" w:rsidRDefault="00795047" w:rsidP="00795047">
      <w:pPr>
        <w:rPr>
          <w:i/>
          <w:iCs/>
          <w:szCs w:val="20"/>
        </w:rPr>
      </w:pPr>
    </w:p>
    <w:p w14:paraId="6C44EB00" w14:textId="733E4DA7" w:rsidR="00795047" w:rsidRDefault="00B51F88">
      <w:pPr>
        <w:tabs>
          <w:tab w:val="left" w:pos="8280"/>
        </w:tabs>
        <w:ind w:right="29"/>
        <w:rPr>
          <w:szCs w:val="20"/>
        </w:rPr>
      </w:pPr>
      <w:r>
        <w:rPr>
          <w:rFonts w:cs="Arial"/>
          <w:szCs w:val="20"/>
        </w:rPr>
        <w:t>I</w:t>
      </w:r>
      <w:r w:rsidR="00676F5B">
        <w:rPr>
          <w:rFonts w:cs="Arial"/>
          <w:szCs w:val="20"/>
        </w:rPr>
        <w:t xml:space="preserve">n comparison to those drinking less than </w:t>
      </w:r>
      <w:r w:rsidR="00B036AA">
        <w:rPr>
          <w:rFonts w:cs="Arial"/>
          <w:szCs w:val="20"/>
        </w:rPr>
        <w:t>10</w:t>
      </w:r>
      <w:r w:rsidR="00676F5B">
        <w:rPr>
          <w:rFonts w:cs="Arial"/>
          <w:szCs w:val="20"/>
        </w:rPr>
        <w:t>0 grams/week, those</w:t>
      </w:r>
      <w:r w:rsidR="000C3008" w:rsidRPr="000C3008">
        <w:rPr>
          <w:rFonts w:cs="Arial"/>
          <w:szCs w:val="20"/>
        </w:rPr>
        <w:t xml:space="preserve"> </w:t>
      </w:r>
      <w:r w:rsidR="00795047" w:rsidRPr="000C3008">
        <w:rPr>
          <w:rFonts w:cs="Arial"/>
          <w:szCs w:val="20"/>
        </w:rPr>
        <w:t xml:space="preserve">drinking </w:t>
      </w:r>
      <w:r w:rsidR="00676F5B">
        <w:rPr>
          <w:rFonts w:cs="Arial"/>
          <w:szCs w:val="20"/>
        </w:rPr>
        <w:t>between 100-200 grams/week</w:t>
      </w:r>
      <w:r w:rsidR="00795047" w:rsidRPr="000C3008">
        <w:rPr>
          <w:rFonts w:cs="Arial"/>
          <w:szCs w:val="20"/>
        </w:rPr>
        <w:t xml:space="preserve"> </w:t>
      </w:r>
      <w:r w:rsidR="00676F5B">
        <w:rPr>
          <w:rFonts w:cs="Arial"/>
          <w:szCs w:val="20"/>
        </w:rPr>
        <w:t>or 200-</w:t>
      </w:r>
      <w:r w:rsidR="00046C44">
        <w:rPr>
          <w:rFonts w:cs="Arial"/>
          <w:szCs w:val="20"/>
        </w:rPr>
        <w:t>3</w:t>
      </w:r>
      <w:r w:rsidR="00F404DB">
        <w:rPr>
          <w:rFonts w:cs="Arial"/>
          <w:szCs w:val="20"/>
        </w:rPr>
        <w:t>50</w:t>
      </w:r>
      <w:r w:rsidR="00676F5B">
        <w:rPr>
          <w:rFonts w:cs="Arial"/>
          <w:szCs w:val="20"/>
        </w:rPr>
        <w:t xml:space="preserve"> </w:t>
      </w:r>
      <w:r w:rsidR="00795047" w:rsidRPr="000C3008">
        <w:rPr>
          <w:rFonts w:cs="Arial"/>
          <w:szCs w:val="20"/>
        </w:rPr>
        <w:t>grams/week</w:t>
      </w:r>
      <w:r w:rsidR="0072578A" w:rsidRPr="000C3008">
        <w:rPr>
          <w:rFonts w:cs="Arial"/>
          <w:szCs w:val="20"/>
        </w:rPr>
        <w:t xml:space="preserve"> </w:t>
      </w:r>
      <w:r>
        <w:rPr>
          <w:rFonts w:cs="Arial"/>
          <w:szCs w:val="20"/>
        </w:rPr>
        <w:t>a</w:t>
      </w:r>
      <w:r w:rsidRPr="000C3008">
        <w:rPr>
          <w:rFonts w:cs="Arial"/>
          <w:szCs w:val="20"/>
        </w:rPr>
        <w:t xml:space="preserve">t age 40 years </w:t>
      </w:r>
      <w:r w:rsidR="00B43959" w:rsidRPr="000C3008">
        <w:rPr>
          <w:rFonts w:cs="Arial"/>
          <w:szCs w:val="20"/>
        </w:rPr>
        <w:t xml:space="preserve">had </w:t>
      </w:r>
      <w:r w:rsidR="00F135A3">
        <w:rPr>
          <w:rFonts w:cs="Arial"/>
          <w:szCs w:val="20"/>
        </w:rPr>
        <w:t>lower</w:t>
      </w:r>
      <w:r w:rsidR="00F135A3" w:rsidRPr="000C3008">
        <w:rPr>
          <w:rFonts w:cs="Arial"/>
          <w:szCs w:val="20"/>
        </w:rPr>
        <w:t xml:space="preserve"> </w:t>
      </w:r>
      <w:r w:rsidR="00B43959" w:rsidRPr="000C3008">
        <w:rPr>
          <w:rFonts w:cs="Arial"/>
          <w:szCs w:val="20"/>
        </w:rPr>
        <w:t xml:space="preserve">life expectancy of </w:t>
      </w:r>
      <w:r w:rsidR="00676F5B">
        <w:rPr>
          <w:rFonts w:cs="Arial"/>
          <w:szCs w:val="20"/>
        </w:rPr>
        <w:t xml:space="preserve">approximately </w:t>
      </w:r>
      <w:r w:rsidR="00A65C0B">
        <w:rPr>
          <w:rFonts w:cs="Arial"/>
          <w:szCs w:val="20"/>
        </w:rPr>
        <w:t>6 months</w:t>
      </w:r>
      <w:r w:rsidR="00676F5B">
        <w:rPr>
          <w:rFonts w:cs="Arial"/>
          <w:szCs w:val="20"/>
        </w:rPr>
        <w:t xml:space="preserve"> o</w:t>
      </w:r>
      <w:r w:rsidR="00584539">
        <w:rPr>
          <w:rFonts w:cs="Arial"/>
          <w:szCs w:val="20"/>
        </w:rPr>
        <w:t>r 2 years</w:t>
      </w:r>
      <w:r w:rsidR="00D311F9">
        <w:rPr>
          <w:rFonts w:cs="Arial"/>
          <w:szCs w:val="20"/>
        </w:rPr>
        <w:t>,</w:t>
      </w:r>
      <w:r w:rsidR="00584539">
        <w:rPr>
          <w:rFonts w:cs="Arial"/>
          <w:szCs w:val="20"/>
        </w:rPr>
        <w:t xml:space="preserve"> respectively </w:t>
      </w:r>
      <w:r w:rsidR="00795047" w:rsidRPr="000C3008">
        <w:rPr>
          <w:szCs w:val="20"/>
        </w:rPr>
        <w:t>(</w:t>
      </w:r>
      <w:r w:rsidR="00795047" w:rsidRPr="000C3008">
        <w:rPr>
          <w:b/>
          <w:bCs/>
          <w:szCs w:val="20"/>
        </w:rPr>
        <w:t xml:space="preserve">Figure </w:t>
      </w:r>
      <w:r w:rsidR="009D400A" w:rsidRPr="000C3008">
        <w:rPr>
          <w:b/>
          <w:bCs/>
          <w:szCs w:val="20"/>
        </w:rPr>
        <w:t>4</w:t>
      </w:r>
      <w:r w:rsidR="00584539" w:rsidRPr="00533968">
        <w:rPr>
          <w:bCs/>
          <w:szCs w:val="20"/>
        </w:rPr>
        <w:t>)</w:t>
      </w:r>
      <w:r w:rsidR="00584539">
        <w:rPr>
          <w:b/>
          <w:bCs/>
          <w:szCs w:val="20"/>
        </w:rPr>
        <w:t xml:space="preserve">. </w:t>
      </w:r>
      <w:r w:rsidR="00E17C10" w:rsidRPr="00533968">
        <w:rPr>
          <w:bCs/>
          <w:szCs w:val="20"/>
        </w:rPr>
        <w:t>Similarly</w:t>
      </w:r>
      <w:r w:rsidR="00D07FD1">
        <w:rPr>
          <w:rFonts w:cs="Arial"/>
          <w:szCs w:val="20"/>
        </w:rPr>
        <w:t xml:space="preserve">, men </w:t>
      </w:r>
      <w:r w:rsidR="005E3B39">
        <w:rPr>
          <w:rFonts w:cs="Arial"/>
          <w:szCs w:val="20"/>
        </w:rPr>
        <w:t xml:space="preserve">at age 40 years </w:t>
      </w:r>
      <w:r w:rsidR="00D07FD1">
        <w:rPr>
          <w:rFonts w:cs="Arial"/>
          <w:szCs w:val="20"/>
        </w:rPr>
        <w:t xml:space="preserve">consuming above the UK and US thresholds of 112 grams/week and 196 grams/week had </w:t>
      </w:r>
      <w:r w:rsidR="00F135A3">
        <w:rPr>
          <w:rFonts w:cs="Arial"/>
          <w:szCs w:val="20"/>
        </w:rPr>
        <w:t xml:space="preserve">lower </w:t>
      </w:r>
      <w:r w:rsidR="00D07FD1">
        <w:rPr>
          <w:rFonts w:cs="Arial"/>
          <w:szCs w:val="20"/>
        </w:rPr>
        <w:t>life expectancy of 1.</w:t>
      </w:r>
      <w:r w:rsidR="00C345A4">
        <w:rPr>
          <w:rFonts w:cs="Arial"/>
          <w:szCs w:val="20"/>
        </w:rPr>
        <w:t>6 (</w:t>
      </w:r>
      <w:r w:rsidR="00181B42">
        <w:rPr>
          <w:rFonts w:cs="Arial"/>
          <w:szCs w:val="20"/>
        </w:rPr>
        <w:t xml:space="preserve">95% CI </w:t>
      </w:r>
      <w:r w:rsidR="00C345A4">
        <w:rPr>
          <w:rFonts w:cs="Arial"/>
          <w:szCs w:val="20"/>
        </w:rPr>
        <w:t>1.3-1.8)</w:t>
      </w:r>
      <w:r w:rsidR="00D07FD1">
        <w:rPr>
          <w:rFonts w:cs="Arial"/>
          <w:szCs w:val="20"/>
        </w:rPr>
        <w:t xml:space="preserve"> years and 2.</w:t>
      </w:r>
      <w:r w:rsidR="00C345A4">
        <w:rPr>
          <w:rFonts w:cs="Arial"/>
          <w:szCs w:val="20"/>
        </w:rPr>
        <w:t>7 (2.4-3.1)</w:t>
      </w:r>
      <w:r w:rsidR="00D07FD1">
        <w:rPr>
          <w:rFonts w:cs="Arial"/>
          <w:szCs w:val="20"/>
        </w:rPr>
        <w:t xml:space="preserve"> years</w:t>
      </w:r>
      <w:r w:rsidR="00D311F9">
        <w:rPr>
          <w:rFonts w:cs="Arial"/>
          <w:szCs w:val="20"/>
        </w:rPr>
        <w:t>,</w:t>
      </w:r>
      <w:r w:rsidR="00D07FD1">
        <w:rPr>
          <w:rFonts w:cs="Arial"/>
          <w:szCs w:val="20"/>
        </w:rPr>
        <w:t xml:space="preserve"> respectively</w:t>
      </w:r>
      <w:r w:rsidR="00D311F9">
        <w:rPr>
          <w:rFonts w:cs="Arial"/>
          <w:szCs w:val="20"/>
        </w:rPr>
        <w:t>,</w:t>
      </w:r>
      <w:r w:rsidR="00D07FD1">
        <w:rPr>
          <w:rFonts w:cs="Arial"/>
          <w:szCs w:val="20"/>
        </w:rPr>
        <w:t xml:space="preserve"> in </w:t>
      </w:r>
      <w:r w:rsidR="00213FBA">
        <w:rPr>
          <w:rFonts w:cs="Arial"/>
          <w:szCs w:val="20"/>
        </w:rPr>
        <w:t>comparison</w:t>
      </w:r>
      <w:r w:rsidR="00D07FD1">
        <w:rPr>
          <w:rFonts w:cs="Arial"/>
          <w:szCs w:val="20"/>
        </w:rPr>
        <w:t xml:space="preserve"> to men drinking below these thresholds</w:t>
      </w:r>
      <w:r w:rsidR="000B0317">
        <w:rPr>
          <w:rFonts w:cs="Arial"/>
          <w:szCs w:val="20"/>
        </w:rPr>
        <w:t xml:space="preserve"> (</w:t>
      </w:r>
      <w:r w:rsidR="000B0317" w:rsidRPr="00533968">
        <w:rPr>
          <w:rFonts w:cs="Arial"/>
          <w:b/>
          <w:szCs w:val="20"/>
        </w:rPr>
        <w:t xml:space="preserve">eFigure </w:t>
      </w:r>
      <w:r w:rsidR="00AD1F05">
        <w:rPr>
          <w:rFonts w:cs="Arial"/>
          <w:b/>
          <w:szCs w:val="20"/>
        </w:rPr>
        <w:t>22</w:t>
      </w:r>
      <w:r w:rsidR="000B0317">
        <w:rPr>
          <w:rFonts w:cs="Arial"/>
          <w:szCs w:val="20"/>
        </w:rPr>
        <w:t>)</w:t>
      </w:r>
      <w:r w:rsidR="00D07FD1">
        <w:rPr>
          <w:rFonts w:cs="Arial"/>
          <w:szCs w:val="20"/>
        </w:rPr>
        <w:t xml:space="preserve">. In contrast, women </w:t>
      </w:r>
      <w:r w:rsidR="005E3B39">
        <w:rPr>
          <w:rFonts w:cs="Arial"/>
          <w:szCs w:val="20"/>
        </w:rPr>
        <w:t xml:space="preserve">at age 40 years </w:t>
      </w:r>
      <w:r w:rsidR="00D07FD1">
        <w:rPr>
          <w:rFonts w:cs="Arial"/>
          <w:szCs w:val="20"/>
        </w:rPr>
        <w:t>drinking above</w:t>
      </w:r>
      <w:r w:rsidR="00D311F9">
        <w:rPr>
          <w:rFonts w:cs="Arial"/>
          <w:szCs w:val="20"/>
        </w:rPr>
        <w:t xml:space="preserve"> either</w:t>
      </w:r>
      <w:r w:rsidR="00D07FD1">
        <w:rPr>
          <w:rFonts w:cs="Arial"/>
          <w:szCs w:val="20"/>
        </w:rPr>
        <w:t xml:space="preserve"> the UK</w:t>
      </w:r>
      <w:r w:rsidR="00D311F9">
        <w:rPr>
          <w:rFonts w:cs="Arial"/>
          <w:szCs w:val="20"/>
        </w:rPr>
        <w:t xml:space="preserve"> (112 grams/week)</w:t>
      </w:r>
      <w:r w:rsidR="00D07FD1">
        <w:rPr>
          <w:rFonts w:cs="Arial"/>
          <w:szCs w:val="20"/>
        </w:rPr>
        <w:t xml:space="preserve"> </w:t>
      </w:r>
      <w:r w:rsidR="00D311F9">
        <w:rPr>
          <w:rFonts w:cs="Arial"/>
          <w:szCs w:val="20"/>
        </w:rPr>
        <w:t>or</w:t>
      </w:r>
      <w:r w:rsidR="00D07FD1">
        <w:rPr>
          <w:rFonts w:cs="Arial"/>
          <w:szCs w:val="20"/>
        </w:rPr>
        <w:t xml:space="preserve"> US </w:t>
      </w:r>
      <w:r w:rsidR="00D311F9">
        <w:rPr>
          <w:rFonts w:cs="Arial"/>
          <w:szCs w:val="20"/>
        </w:rPr>
        <w:t>(9</w:t>
      </w:r>
      <w:r w:rsidR="00B52D06">
        <w:rPr>
          <w:rFonts w:cs="Arial"/>
          <w:szCs w:val="20"/>
        </w:rPr>
        <w:t>8</w:t>
      </w:r>
      <w:r w:rsidR="00D311F9">
        <w:rPr>
          <w:rFonts w:cs="Arial"/>
          <w:szCs w:val="20"/>
        </w:rPr>
        <w:t xml:space="preserve"> grams/week) </w:t>
      </w:r>
      <w:r w:rsidR="00D07FD1">
        <w:rPr>
          <w:rFonts w:cs="Arial"/>
          <w:szCs w:val="20"/>
        </w:rPr>
        <w:t xml:space="preserve">thresholds had about </w:t>
      </w:r>
      <w:r w:rsidR="00FD3524">
        <w:rPr>
          <w:rFonts w:cs="Arial"/>
          <w:szCs w:val="20"/>
        </w:rPr>
        <w:t>1.</w:t>
      </w:r>
      <w:r w:rsidR="00046C44">
        <w:rPr>
          <w:rFonts w:cs="Arial"/>
          <w:szCs w:val="20"/>
        </w:rPr>
        <w:t>3 (1.1-1.5)</w:t>
      </w:r>
      <w:r w:rsidR="00FD3524">
        <w:rPr>
          <w:rFonts w:cs="Arial"/>
          <w:szCs w:val="20"/>
        </w:rPr>
        <w:t xml:space="preserve"> years</w:t>
      </w:r>
      <w:r w:rsidR="00D07FD1">
        <w:rPr>
          <w:rFonts w:cs="Arial"/>
          <w:szCs w:val="20"/>
        </w:rPr>
        <w:t xml:space="preserve"> reduction in life expectancy in comparison to women drinking below these thresholds (</w:t>
      </w:r>
      <w:r w:rsidR="00D07FD1" w:rsidRPr="00533968">
        <w:rPr>
          <w:rFonts w:cs="Arial"/>
          <w:b/>
          <w:szCs w:val="20"/>
        </w:rPr>
        <w:t xml:space="preserve">eFigure </w:t>
      </w:r>
      <w:r w:rsidR="00AD1F05">
        <w:rPr>
          <w:rFonts w:cs="Arial"/>
          <w:b/>
          <w:szCs w:val="20"/>
        </w:rPr>
        <w:t>22</w:t>
      </w:r>
      <w:r w:rsidR="00D07FD1">
        <w:rPr>
          <w:rFonts w:cs="Arial"/>
          <w:szCs w:val="20"/>
        </w:rPr>
        <w:t xml:space="preserve">). </w:t>
      </w:r>
      <w:r w:rsidR="00E17C10">
        <w:rPr>
          <w:szCs w:val="20"/>
        </w:rPr>
        <w:t>A</w:t>
      </w:r>
      <w:r w:rsidR="00795047" w:rsidRPr="000C3008">
        <w:rPr>
          <w:szCs w:val="20"/>
        </w:rPr>
        <w:t>bout 2</w:t>
      </w:r>
      <w:r w:rsidR="00FD3524">
        <w:rPr>
          <w:szCs w:val="20"/>
        </w:rPr>
        <w:t>0</w:t>
      </w:r>
      <w:r w:rsidR="00795047" w:rsidRPr="000C3008">
        <w:rPr>
          <w:szCs w:val="20"/>
        </w:rPr>
        <w:t xml:space="preserve">% of the </w:t>
      </w:r>
      <w:r w:rsidR="00E17C10">
        <w:rPr>
          <w:szCs w:val="20"/>
        </w:rPr>
        <w:t xml:space="preserve">alcohol-related </w:t>
      </w:r>
      <w:r w:rsidR="00795047" w:rsidRPr="000C3008">
        <w:rPr>
          <w:szCs w:val="20"/>
        </w:rPr>
        <w:t xml:space="preserve">survival difference </w:t>
      </w:r>
      <w:r w:rsidR="00E17C10">
        <w:rPr>
          <w:szCs w:val="20"/>
        </w:rPr>
        <w:t xml:space="preserve">for men </w:t>
      </w:r>
      <w:r w:rsidR="00A849D2">
        <w:rPr>
          <w:szCs w:val="20"/>
        </w:rPr>
        <w:t>(</w:t>
      </w:r>
      <w:r w:rsidR="00E17C10">
        <w:rPr>
          <w:szCs w:val="20"/>
        </w:rPr>
        <w:t xml:space="preserve">and </w:t>
      </w:r>
      <w:r w:rsidR="00FD3524">
        <w:rPr>
          <w:szCs w:val="20"/>
        </w:rPr>
        <w:t>slightly less for</w:t>
      </w:r>
      <w:r w:rsidR="00E17C10">
        <w:rPr>
          <w:szCs w:val="20"/>
        </w:rPr>
        <w:t xml:space="preserve"> women</w:t>
      </w:r>
      <w:r w:rsidR="00A849D2">
        <w:rPr>
          <w:szCs w:val="20"/>
        </w:rPr>
        <w:t>)</w:t>
      </w:r>
      <w:r w:rsidR="00E17C10">
        <w:rPr>
          <w:szCs w:val="20"/>
        </w:rPr>
        <w:t xml:space="preserve"> was </w:t>
      </w:r>
      <w:r w:rsidR="00795047" w:rsidRPr="000C3008">
        <w:rPr>
          <w:szCs w:val="20"/>
        </w:rPr>
        <w:t xml:space="preserve">attributed to excess </w:t>
      </w:r>
      <w:r w:rsidR="00AE0BBF">
        <w:rPr>
          <w:szCs w:val="20"/>
        </w:rPr>
        <w:t xml:space="preserve">death from </w:t>
      </w:r>
      <w:r w:rsidR="00D311F9">
        <w:rPr>
          <w:szCs w:val="20"/>
        </w:rPr>
        <w:t>CVD</w:t>
      </w:r>
      <w:r w:rsidR="00FD3524">
        <w:rPr>
          <w:szCs w:val="20"/>
        </w:rPr>
        <w:t xml:space="preserve"> </w:t>
      </w:r>
      <w:r w:rsidR="00FD3524">
        <w:rPr>
          <w:rFonts w:cs="Arial"/>
          <w:szCs w:val="20"/>
        </w:rPr>
        <w:t>(</w:t>
      </w:r>
      <w:r w:rsidR="00FD3524" w:rsidRPr="00533968">
        <w:rPr>
          <w:rFonts w:cs="Arial"/>
          <w:b/>
          <w:szCs w:val="20"/>
        </w:rPr>
        <w:t xml:space="preserve">eFigure </w:t>
      </w:r>
      <w:r w:rsidR="00AD1F05">
        <w:rPr>
          <w:rFonts w:cs="Arial"/>
          <w:b/>
          <w:szCs w:val="20"/>
        </w:rPr>
        <w:t>22</w:t>
      </w:r>
      <w:r w:rsidR="00FD3524">
        <w:rPr>
          <w:rFonts w:cs="Arial"/>
          <w:szCs w:val="20"/>
        </w:rPr>
        <w:t>)</w:t>
      </w:r>
      <w:r w:rsidR="00795047" w:rsidRPr="00B20E71">
        <w:rPr>
          <w:szCs w:val="20"/>
        </w:rPr>
        <w:t xml:space="preserve">. </w:t>
      </w:r>
      <w:r w:rsidR="00472292" w:rsidRPr="002123F7">
        <w:rPr>
          <w:szCs w:val="20"/>
        </w:rPr>
        <w:t xml:space="preserve">Similar findings to those </w:t>
      </w:r>
      <w:r w:rsidR="00864DD4">
        <w:rPr>
          <w:szCs w:val="20"/>
        </w:rPr>
        <w:t>for the US population</w:t>
      </w:r>
      <w:r w:rsidR="00472292" w:rsidRPr="002123F7">
        <w:rPr>
          <w:szCs w:val="20"/>
        </w:rPr>
        <w:t xml:space="preserve"> were observed when modelling was based on EU mortality rates.</w:t>
      </w:r>
    </w:p>
    <w:p w14:paraId="64A3CD60" w14:textId="1C5510BA" w:rsidR="009361E5" w:rsidRPr="00256484" w:rsidRDefault="000B0317" w:rsidP="00283DAF">
      <w:pPr>
        <w:spacing w:after="200" w:line="276" w:lineRule="auto"/>
        <w:jc w:val="left"/>
        <w:rPr>
          <w:b/>
        </w:rPr>
      </w:pPr>
      <w:r>
        <w:rPr>
          <w:b/>
        </w:rPr>
        <w:br w:type="page"/>
      </w:r>
      <w:r w:rsidR="00474809" w:rsidRPr="00F43CC8">
        <w:rPr>
          <w:b/>
        </w:rPr>
        <w:lastRenderedPageBreak/>
        <w:t>DISCUSSION</w:t>
      </w:r>
    </w:p>
    <w:p w14:paraId="7B0AB8B5" w14:textId="2964EB83" w:rsidR="000231E1" w:rsidRDefault="00DE6AA9">
      <w:pPr>
        <w:rPr>
          <w:rFonts w:cstheme="minorHAnsi"/>
          <w:bCs/>
          <w:color w:val="000000" w:themeColor="text1"/>
          <w:szCs w:val="22"/>
        </w:rPr>
      </w:pPr>
      <w:r>
        <w:rPr>
          <w:rFonts w:eastAsia="Verdana"/>
          <w:szCs w:val="20"/>
        </w:rPr>
        <w:t>W</w:t>
      </w:r>
      <w:r w:rsidR="00085CEC">
        <w:rPr>
          <w:rFonts w:eastAsia="Verdana"/>
          <w:szCs w:val="20"/>
        </w:rPr>
        <w:t xml:space="preserve">e </w:t>
      </w:r>
      <w:r w:rsidR="00486AB4">
        <w:rPr>
          <w:rFonts w:eastAsia="Verdana"/>
          <w:szCs w:val="20"/>
        </w:rPr>
        <w:t>analysed</w:t>
      </w:r>
      <w:r w:rsidR="000231E1">
        <w:rPr>
          <w:rFonts w:eastAsia="Verdana"/>
          <w:szCs w:val="20"/>
        </w:rPr>
        <w:t xml:space="preserve"> long-term follow-up</w:t>
      </w:r>
      <w:r w:rsidR="00486AB4">
        <w:rPr>
          <w:rFonts w:eastAsia="Verdana"/>
          <w:szCs w:val="20"/>
        </w:rPr>
        <w:t xml:space="preserve"> data on</w:t>
      </w:r>
      <w:r w:rsidR="00AE0B76">
        <w:rPr>
          <w:rFonts w:eastAsia="Verdana"/>
          <w:szCs w:val="20"/>
        </w:rPr>
        <w:t xml:space="preserve"> almost 600,000</w:t>
      </w:r>
      <w:r w:rsidR="0077435A">
        <w:rPr>
          <w:rFonts w:eastAsiaTheme="minorHAnsi" w:cstheme="minorHAnsi"/>
          <w:color w:val="000000"/>
          <w:lang w:eastAsia="en-US"/>
        </w:rPr>
        <w:t xml:space="preserve"> drinkers</w:t>
      </w:r>
      <w:r w:rsidR="008F2F34">
        <w:rPr>
          <w:rFonts w:eastAsiaTheme="minorHAnsi" w:cstheme="minorHAnsi"/>
          <w:color w:val="000000"/>
          <w:lang w:eastAsia="en-US"/>
        </w:rPr>
        <w:t xml:space="preserve"> </w:t>
      </w:r>
      <w:r w:rsidR="000231E1">
        <w:rPr>
          <w:rFonts w:eastAsiaTheme="minorHAnsi" w:cstheme="minorHAnsi"/>
          <w:color w:val="000000"/>
          <w:lang w:eastAsia="en-US"/>
        </w:rPr>
        <w:t xml:space="preserve">without </w:t>
      </w:r>
      <w:r w:rsidR="00864DD4">
        <w:rPr>
          <w:rFonts w:eastAsiaTheme="minorHAnsi" w:cstheme="minorHAnsi"/>
          <w:color w:val="000000"/>
          <w:lang w:eastAsia="en-US"/>
        </w:rPr>
        <w:t xml:space="preserve">prior </w:t>
      </w:r>
      <w:r w:rsidR="000231E1">
        <w:rPr>
          <w:rFonts w:eastAsiaTheme="minorHAnsi" w:cstheme="minorHAnsi"/>
          <w:color w:val="000000"/>
          <w:lang w:eastAsia="en-US"/>
        </w:rPr>
        <w:t>CVD. Our main finding was that</w:t>
      </w:r>
      <w:r w:rsidR="007A1974">
        <w:rPr>
          <w:rFonts w:eastAsia="Verdana"/>
          <w:szCs w:val="20"/>
        </w:rPr>
        <w:t xml:space="preserve"> </w:t>
      </w:r>
      <w:r w:rsidR="00085CEC">
        <w:rPr>
          <w:rFonts w:eastAsia="Verdana"/>
          <w:szCs w:val="20"/>
        </w:rPr>
        <w:t xml:space="preserve">the threshold for lowest risk </w:t>
      </w:r>
      <w:r w:rsidR="007A1974">
        <w:rPr>
          <w:rFonts w:eastAsiaTheme="minorHAnsi" w:cstheme="minorHAnsi"/>
          <w:color w:val="000000"/>
          <w:lang w:eastAsia="en-US"/>
        </w:rPr>
        <w:t>f</w:t>
      </w:r>
      <w:r w:rsidR="007A1974">
        <w:rPr>
          <w:rFonts w:eastAsia="Verdana"/>
          <w:szCs w:val="20"/>
        </w:rPr>
        <w:t xml:space="preserve">or all-cause mortality </w:t>
      </w:r>
      <w:r w:rsidR="00085CEC">
        <w:rPr>
          <w:rFonts w:eastAsia="Verdana"/>
          <w:szCs w:val="20"/>
        </w:rPr>
        <w:t xml:space="preserve">was about 100 grams/week. </w:t>
      </w:r>
      <w:r w:rsidR="000231E1">
        <w:t>For males at age 40 years, we estimated that long-term reduction of alcohol consumption from 196 grams/week (the upper limit</w:t>
      </w:r>
      <w:r w:rsidR="00A849D2">
        <w:t xml:space="preserve"> </w:t>
      </w:r>
      <w:r w:rsidR="000231E1">
        <w:t>recommended in US guidelines) to</w:t>
      </w:r>
      <w:r w:rsidR="003D3476">
        <w:t xml:space="preserve"> 100</w:t>
      </w:r>
      <w:r w:rsidR="000231E1">
        <w:t xml:space="preserve"> grams/week </w:t>
      </w:r>
      <w:r w:rsidR="00E31C79">
        <w:t xml:space="preserve">or lower </w:t>
      </w:r>
      <w:r w:rsidR="000231E1">
        <w:t>w</w:t>
      </w:r>
      <w:r w:rsidR="00BD383D">
        <w:t xml:space="preserve">as </w:t>
      </w:r>
      <w:r w:rsidR="000231E1">
        <w:t>associated with about 1</w:t>
      </w:r>
      <w:r w:rsidR="008F2F34">
        <w:t>-2</w:t>
      </w:r>
      <w:r w:rsidR="000231E1">
        <w:t xml:space="preserve"> year</w:t>
      </w:r>
      <w:r w:rsidR="008F2F34">
        <w:t>s</w:t>
      </w:r>
      <w:r w:rsidR="000231E1">
        <w:t xml:space="preserve"> of greater life expectancy</w:t>
      </w:r>
      <w:r w:rsidR="000231E1" w:rsidRPr="00584539">
        <w:t xml:space="preserve">. </w:t>
      </w:r>
      <w:r w:rsidR="00EE7D9B">
        <w:t>E</w:t>
      </w:r>
      <w:r w:rsidR="00B67C92">
        <w:t xml:space="preserve">xploratory analyses suggested that drinkers of beer or spirits, as well </w:t>
      </w:r>
      <w:r w:rsidR="002245FD">
        <w:t xml:space="preserve">as </w:t>
      </w:r>
      <w:r w:rsidR="00AE0B76">
        <w:t>binge drinkers</w:t>
      </w:r>
      <w:r w:rsidR="00B67C92">
        <w:t>, were at greatest risk</w:t>
      </w:r>
      <w:r w:rsidR="00864DD4">
        <w:t xml:space="preserve">. </w:t>
      </w:r>
    </w:p>
    <w:p w14:paraId="5E8B3FED" w14:textId="77777777" w:rsidR="00B01EEE" w:rsidRDefault="00B01EEE" w:rsidP="006379EA"/>
    <w:p w14:paraId="5C23105F" w14:textId="4F87663B" w:rsidR="009F7EA0" w:rsidRDefault="00CB364F">
      <w:pPr>
        <w:rPr>
          <w:rFonts w:cstheme="minorHAnsi"/>
          <w:bCs/>
          <w:color w:val="000000" w:themeColor="text1"/>
          <w:szCs w:val="22"/>
        </w:rPr>
      </w:pPr>
      <w:r>
        <w:t>Our</w:t>
      </w:r>
      <w:r w:rsidR="00EB475A">
        <w:t xml:space="preserve"> </w:t>
      </w:r>
      <w:r>
        <w:t>study</w:t>
      </w:r>
      <w:r w:rsidR="00693247">
        <w:t xml:space="preserve"> </w:t>
      </w:r>
      <w:r>
        <w:t>has</w:t>
      </w:r>
      <w:r w:rsidR="006379EA" w:rsidRPr="006379EA">
        <w:t xml:space="preserve"> </w:t>
      </w:r>
      <w:r w:rsidR="008E0BC4" w:rsidRPr="00463398">
        <w:rPr>
          <w:rFonts w:cstheme="minorHAnsi"/>
          <w:bCs/>
          <w:color w:val="000000" w:themeColor="text1"/>
          <w:szCs w:val="22"/>
        </w:rPr>
        <w:t>highlight</w:t>
      </w:r>
      <w:r w:rsidR="0017110C">
        <w:rPr>
          <w:rFonts w:cstheme="minorHAnsi"/>
          <w:bCs/>
          <w:color w:val="000000" w:themeColor="text1"/>
          <w:szCs w:val="22"/>
        </w:rPr>
        <w:t>ed</w:t>
      </w:r>
      <w:r w:rsidR="008E0BC4" w:rsidRPr="00463398">
        <w:rPr>
          <w:rFonts w:cstheme="minorHAnsi"/>
          <w:bCs/>
          <w:color w:val="000000" w:themeColor="text1"/>
          <w:szCs w:val="22"/>
        </w:rPr>
        <w:t xml:space="preserve"> the complex and diverse potential mechanisms by which alcohol consumption </w:t>
      </w:r>
      <w:r w:rsidR="005502B3">
        <w:rPr>
          <w:rFonts w:cstheme="minorHAnsi"/>
          <w:bCs/>
          <w:color w:val="000000" w:themeColor="text1"/>
          <w:szCs w:val="22"/>
        </w:rPr>
        <w:t>may</w:t>
      </w:r>
      <w:r w:rsidR="008E0BC4" w:rsidRPr="00463398">
        <w:rPr>
          <w:rFonts w:cstheme="minorHAnsi"/>
          <w:bCs/>
          <w:color w:val="000000" w:themeColor="text1"/>
          <w:szCs w:val="22"/>
        </w:rPr>
        <w:t xml:space="preserve"> exert cardiovascular effects</w:t>
      </w:r>
      <w:r w:rsidR="008E0BC4"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"10.1373/clinchem.2016.255778", "ISSN" : "15308561", "PMID" : "27440513", "abstract" : "BACKGROUND: The role of alcohol in the development of subclinical cardiovascular  disease is unclear. We examined the association between alcohol consumption and markers of subclinical cardiac damage and wall stress. METHODS: We studied the cross-sectional and prospective associations of alcohol consumption with high-sensitivity cardiac troponin T (hs-cTnT) and N-terminal pro B-type natriuretic peptide (NT-proBNP) measured at 2 time points, 6 years apart (baseline, 1990-1992; follow-up, 1996-1998), in over 11000 participants of the Atherosclerosis Risk in Communities (ARIC) Study with no history of cardiovascular disease. Alcohol consumption was categorized as follows: never, former, current: &lt;/=1, 2-7, 8-14, and &gt;/=15 drinks/week. RESULTS: Compared to never drinkers, persons who consumed 2-7 drinks per week were less likely to have increased hs-cTnT (&gt;/=14 ng/L) at baseline (odds ratio = 0.67, 95% CI, 0.46-0.96), and had a lower risk of incident increases in hs-cTnT at follow-up (relative risk = 0.70, 95% CI, 0.49-1.00). Conversely, there was a positive association between alcohol intake and NT-proBNP concentrations at baseline. Consumption of &gt;/=15 drinks/week was positively associated with incident increases in NT-proBNP (&gt;/=300 pg/mL) at the 6-year follow-up visit (relative risk = 2.38, 95% CI, 1.43-3.96). CONCLUSIONS: In this community-based study of middle-aged adults without a history of cardiovascular disease, moderate drinking was associated with lower concentrations of hs-cTnT, a marker of chronic subclinical myocardial damage, and positively associated with NT-proBNP, a biomarker of cardiac wall stress. Our results suggest that the cardiac effects of alcohol are complex. Cardiac biomarkers may help improve our understanding of the full cardiovascular effects of alcohol consumption.", "author" : [ { "dropping-particle" : "", "family" : "Lazo", "given" : "Mariana", "non-dropping-particle" : "", "parse-names" : false, "suffix" : "" }, { "dropping-particle" : "", "family" : "Chen", "given" : "Yuan", "non-dropping-particle" : "", "parse-names" : false, "suffix" : "" }, { "dropping-particle" : "", "family" : "McEvoy", "given" : "John W.", "non-dropping-particle" : "", "parse-names" : false, "suffix" : "" }, { "dropping-particle" : "", "family" : "Ndumele", "given" : "Chiadi", "non-dropping-particle" : "", "parse-names" : false, "suffix" : "" }, { "dropping-particle" : "", "family" : "Konety", "given" : "Suma", "non-dropping-particle" : "", "parse-names" : false, "suffix" : "" }, { "dropping-particle" : "", "family" : "Ballantyne", "given" : "Christie M.", "non-dropping-particle" : "", "parse-names" : false, "suffix" : "" }, { "dropping-particle" : "", "family" : "Sharrett", "given" : "A. Richey", "non-dropping-particle" : "", "parse-names" : false, "suffix" : "" }, { "dropping-particle" : "", "family" : "Selvin", "given" : "Elizabeth", "non-dropping-particle" : "", "parse-names" : false, "suffix" : "" } ], "container-title" : "Clinical Chemistry", "id" : "ITEM-1", "issue" : "9", "issued" : { "date-parts" : [ [ "2016" ] ] }, "page" : "1202-1210", "title" : "Alcohol consumption and cardiac biomarkers: The atherosclerosis risk in communities (ARIC) study", "type" : "article-journal", "volume" : "62" }, "uris" : [ "http://www.mendeley.com/documents/?uuid=083e23a5-a4b4-41f8-81ea-0159ea6f5bd7" ] }, { "id" : "ITEM-2", "itemData" : { "DOI" : "10.1161/CIRCULATIONAHA.114.011036", "ISSN" : "1524-4539", "PMID" : "24928683", "author" : [ { "dropping-particle" : "", "family" : "Kiechl", "given" : "Stefan", "non-dropping-particle" : "", "parse-names" : false, "suffix" : "" }, { "dropping-particle" : "", "family" : "Willeit", "given" : "Johann", "non-dropping-particle" : "", "parse-names" : false, "suffix" : "" } ], "container-title" : "Circulation", "id" : "ITEM-2", "issue" : "5", "issued" : { "date-parts" : [ [ "2014", "7", "29" ] ] }, "page" : "383-6", "title" : "Complex association between alcohol consumption and myocardial infarction: always good for a new paradox.", "type" : "article-journal", "volume" : "130" }, "uris" : [ "http://www.mendeley.com/documents/?uuid=5c71bec4-c725-4d07-b2e7-466da47e14e4" ] } ], "mendeley" : { "formattedCitation" : "&lt;sup&gt;41,42&lt;/sup&gt;", "plainTextFormattedCitation" : "41,42", "previouslyFormattedCitation" : "&lt;sup&gt;45,46&lt;/sup&gt;" }, "properties" : { "noteIndex" : 0 }, "schema" : "https://github.com/citation-style-language/schema/raw/master/csl-citation.json" }</w:instrText>
      </w:r>
      <w:r w:rsidR="008E0BC4"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41,42</w:t>
      </w:r>
      <w:r w:rsidR="008E0BC4" w:rsidRPr="00463398">
        <w:rPr>
          <w:rFonts w:cstheme="minorHAnsi"/>
          <w:bCs/>
          <w:color w:val="000000" w:themeColor="text1"/>
          <w:szCs w:val="22"/>
        </w:rPr>
        <w:fldChar w:fldCharType="end"/>
      </w:r>
      <w:r w:rsidR="008E0BC4" w:rsidRPr="00463398">
        <w:rPr>
          <w:rFonts w:cstheme="minorHAnsi"/>
          <w:bCs/>
          <w:color w:val="000000" w:themeColor="text1"/>
          <w:szCs w:val="22"/>
        </w:rPr>
        <w:t xml:space="preserve">. </w:t>
      </w:r>
      <w:r>
        <w:rPr>
          <w:rFonts w:cstheme="minorHAnsi"/>
          <w:bCs/>
          <w:color w:val="000000" w:themeColor="text1"/>
          <w:szCs w:val="22"/>
        </w:rPr>
        <w:t>It</w:t>
      </w:r>
      <w:r w:rsidR="009F7EA0">
        <w:rPr>
          <w:rFonts w:cstheme="minorHAnsi"/>
          <w:bCs/>
          <w:color w:val="000000" w:themeColor="text1"/>
          <w:szCs w:val="22"/>
        </w:rPr>
        <w:t xml:space="preserve"> </w:t>
      </w:r>
      <w:r>
        <w:rPr>
          <w:rFonts w:cstheme="minorHAnsi"/>
          <w:bCs/>
          <w:color w:val="000000" w:themeColor="text1"/>
          <w:szCs w:val="22"/>
        </w:rPr>
        <w:t xml:space="preserve">has </w:t>
      </w:r>
      <w:r w:rsidR="005502B3">
        <w:rPr>
          <w:rFonts w:cstheme="minorHAnsi"/>
          <w:bCs/>
          <w:color w:val="000000" w:themeColor="text1"/>
          <w:szCs w:val="22"/>
        </w:rPr>
        <w:t>show</w:t>
      </w:r>
      <w:r>
        <w:rPr>
          <w:rFonts w:cstheme="minorHAnsi"/>
          <w:bCs/>
          <w:color w:val="000000" w:themeColor="text1"/>
          <w:szCs w:val="22"/>
        </w:rPr>
        <w:t>n</w:t>
      </w:r>
      <w:r w:rsidR="005502B3">
        <w:rPr>
          <w:rFonts w:cstheme="minorHAnsi"/>
          <w:bCs/>
          <w:color w:val="000000" w:themeColor="text1"/>
          <w:szCs w:val="22"/>
        </w:rPr>
        <w:t xml:space="preserve"> that</w:t>
      </w:r>
      <w:r w:rsidR="006379EA" w:rsidRPr="006379EA">
        <w:t xml:space="preserve"> the association between alcohol consumption and total CVD risk comprise</w:t>
      </w:r>
      <w:r w:rsidR="00230003">
        <w:t>s</w:t>
      </w:r>
      <w:r w:rsidR="006379EA" w:rsidRPr="006379EA">
        <w:t xml:space="preserve"> several distinct and opposite dose-response curves</w:t>
      </w:r>
      <w:r w:rsidR="005502B3">
        <w:t>,</w:t>
      </w:r>
      <w:r w:rsidR="006379EA" w:rsidRPr="006379EA">
        <w:t xml:space="preserve"> rather than</w:t>
      </w:r>
      <w:r w:rsidR="006818F9">
        <w:t xml:space="preserve"> </w:t>
      </w:r>
      <w:r w:rsidR="008E0BC4">
        <w:t>a</w:t>
      </w:r>
      <w:r w:rsidR="006379EA" w:rsidRPr="006379EA">
        <w:t xml:space="preserve"> single J-shaped relationship.</w:t>
      </w:r>
      <w:r w:rsidR="009F7EA0">
        <w:t xml:space="preserve"> In particular, whereas </w:t>
      </w:r>
      <w:r w:rsidR="009F7EA0" w:rsidRPr="006379EA">
        <w:t xml:space="preserve">higher alcohol consumption was </w:t>
      </w:r>
      <w:r w:rsidR="00AE0B76">
        <w:t xml:space="preserve">approximately </w:t>
      </w:r>
      <w:r w:rsidR="009F7EA0" w:rsidRPr="006379EA">
        <w:t xml:space="preserve">linearly associated with </w:t>
      </w:r>
      <w:r w:rsidR="009F7EA0" w:rsidRPr="006379EA">
        <w:rPr>
          <w:i/>
          <w:iCs/>
        </w:rPr>
        <w:t>higher</w:t>
      </w:r>
      <w:r w:rsidR="009F7EA0" w:rsidRPr="006379EA">
        <w:t xml:space="preserve"> risk of </w:t>
      </w:r>
      <w:r w:rsidR="009F7EA0">
        <w:t xml:space="preserve">all </w:t>
      </w:r>
      <w:r w:rsidR="009F7EA0" w:rsidRPr="006379EA">
        <w:t xml:space="preserve">stroke </w:t>
      </w:r>
      <w:r w:rsidR="009F7EA0">
        <w:t xml:space="preserve">subtypes, </w:t>
      </w:r>
      <w:r w:rsidR="0009048D">
        <w:t xml:space="preserve">non-MI </w:t>
      </w:r>
      <w:r w:rsidR="009F7EA0">
        <w:t xml:space="preserve">coronary disease, heart failure </w:t>
      </w:r>
      <w:r w:rsidR="009F7EA0" w:rsidRPr="006379EA">
        <w:t xml:space="preserve">and </w:t>
      </w:r>
      <w:r w:rsidR="009F7EA0">
        <w:t xml:space="preserve">several less common CVD subtypes, </w:t>
      </w:r>
      <w:r>
        <w:t>it</w:t>
      </w:r>
      <w:r w:rsidR="00EB475A">
        <w:t xml:space="preserve"> </w:t>
      </w:r>
      <w:r w:rsidR="009F7EA0">
        <w:t>was</w:t>
      </w:r>
      <w:r w:rsidR="00AE0B76" w:rsidRPr="00AE0B76">
        <w:t xml:space="preserve"> </w:t>
      </w:r>
      <w:r w:rsidR="00AE0B76">
        <w:t>approximately</w:t>
      </w:r>
      <w:r w:rsidR="009F7EA0">
        <w:t xml:space="preserve"> log-linearly associa</w:t>
      </w:r>
      <w:r w:rsidR="009F7EA0" w:rsidRPr="006379EA">
        <w:t xml:space="preserve">ted with a </w:t>
      </w:r>
      <w:r w:rsidR="009F7EA0" w:rsidRPr="006379EA">
        <w:rPr>
          <w:i/>
          <w:iCs/>
        </w:rPr>
        <w:t xml:space="preserve">lower </w:t>
      </w:r>
      <w:r w:rsidR="009F7EA0" w:rsidRPr="006379EA">
        <w:t>risk of MI</w:t>
      </w:r>
      <w:r w:rsidR="009F7EA0">
        <w:t>.</w:t>
      </w:r>
      <w:r w:rsidR="009F7EA0" w:rsidRPr="009F7EA0">
        <w:rPr>
          <w:rFonts w:cstheme="minorHAnsi"/>
          <w:bCs/>
          <w:color w:val="000000" w:themeColor="text1"/>
          <w:szCs w:val="22"/>
        </w:rPr>
        <w:t xml:space="preserve"> </w:t>
      </w:r>
      <w:r w:rsidR="009F7EA0">
        <w:rPr>
          <w:rFonts w:eastAsia="Verdana"/>
          <w:szCs w:val="20"/>
        </w:rPr>
        <w:t>Ou</w:t>
      </w:r>
      <w:r w:rsidR="009F7EA0">
        <w:t xml:space="preserve">r </w:t>
      </w:r>
      <w:r w:rsidR="005502B3">
        <w:t>results</w:t>
      </w:r>
      <w:r w:rsidR="009F7EA0">
        <w:t xml:space="preserve"> are concordant with recent observational data and Mendelian randomisation studies</w:t>
      </w:r>
      <w:r w:rsidR="006014D3">
        <w:rPr>
          <w:rFonts w:eastAsia="Verdana"/>
          <w:szCs w:val="20"/>
        </w:rPr>
        <w:t>.</w:t>
      </w:r>
      <w:r w:rsidR="009F7EA0" w:rsidRPr="00586F91">
        <w:rPr>
          <w:noProof/>
          <w:szCs w:val="20"/>
          <w:vertAlign w:val="superscript"/>
          <w:lang w:val="en-US" w:eastAsia="en-US"/>
        </w:rPr>
        <w:t>16,</w:t>
      </w:r>
      <w:r w:rsidR="009F7EA0" w:rsidRPr="00586F91">
        <w:rPr>
          <w:szCs w:val="20"/>
        </w:rPr>
        <w:fldChar w:fldCharType="begin" w:fldLock="1"/>
      </w:r>
      <w:r w:rsidR="00E50B13">
        <w:rPr>
          <w:szCs w:val="20"/>
        </w:rPr>
        <w:instrText>ADDIN CSL_CITATION { "citationItems" : [ { "id" : "ITEM-1", "itemData" : { "DOI" : "10.1136/bmj.g4164", "ISBN" : "1756-1833 (Electronic)\\r0959-535X (Linking)", "ISSN" : "1756-1833", "PMID" : "25011450", "abstract" : "OBJECTIVE: To use the rs1229984 variant in the alcohol dehydrogenase 1B gene (ADH1B) as an instrument to investigate the causal role of alcohol in cardiovascular disease. DESIGN: Mendelian randomisation meta-analysis of 56 epidemiological studies. PARTICIPANTS: 261 991 individuals of European descent, including 20 259 coronary heart disease cases and 10 164 stroke events. Data were available on ADH1B rs1229984 variant, alcohol phenotypes, and cardiovascular biomarkers. MAIN OUTCOME MEASURES: Odds ratio for coronary heart disease and stroke associated with the ADH1B variant in all individuals and by categories of alcohol consumption. RESULTS: Carriers of the A-allele of ADH1B rs1229984 consumed 17.2% fewer units of alcohol per week (95% confidence interval 15.6% to 18.9%), had a lower prevalence of binge drinking (odds ratio 0.78 (95% CI 0.73 to 0.84)), and had higher abstention (odds ratio 1.27 (1.21 to 1.34)) than non-carriers. Rs1229984 A-allele carriers had lower systolic blood pressure (-0.88 (-1.19 to -0.56) mm Hg), interleukin-6 levels (-5.2% (-7.8 to -2.4%)), waist circumference (-0.3 (-0.6 to -0.1) cm), and body mass index (-0.17 (-0.24 to -0.10) kg/m(2)). Rs1229984 A-allele carriers had lower odds of coronary heart disease (odds ratio 0.90 (0.84 to 0.96)). The protective association of the ADH1B rs1229984 A-allele variant remained the same across all categories of alcohol consumption (P=0.83 for heterogeneity). Although no association of rs1229984 was identified with the combined subtypes of stroke, carriers of the A-allele had lower odds of ischaemic stroke (odds ratio 0.83 (0.72 to 0.95)). CONCLUSIONS: Individuals with a genetic variant associated with non-drinking and lower alcohol consumption had a more favourable cardiovascular profile and a reduced risk of coronary heart disease than those without the genetic variant. This suggests that reduction of alcohol consumption, even for light to moderate drinkers, is beneficial for cardiovascular health.", "author" : [ { "dropping-particle" : "V", "family" : "Holmes", "given" : "M", "non-dropping-particle" : "", "parse-names" : false, "suffix" : "" }, { "dropping-particle" : "", "family" : "Dale", "given" : "C E", "non-dropping-particle" : "", "parse-names" : false, "suffix" : "" }, { "dropping-particle" : "", "family" : "Zuccolo", "given" : "L", "non-dropping-particle" : "", "parse-names" : false, "suffix" : "" }, { "dropping-particle" : "", "family" : "Silverwood", "given" : "R J", "non-dropping-particle" : "", "parse-names" : false, "suffix" : "" }, { "dropping-particle" : "", "family" : "Guo", "given" : "Y", "non-dropping-particle" : "", "parse-names" : false, "suffix" : "" }, { "dropping-particle" : "", "family" : "Ye", "given" : "Z", "non-dropping-particle" : "", "parse-names" : false, "suffix" : "" }, { "dropping-particle" : "", "family" : "Prieto-Merino", "given" : "D", "non-dropping-particle" : "", "parse-names" : false, "suffix" : "" }, { "dropping-particle" : "", "family" : "Dehghan", "given" : "A", "non-dropping-particle" : "", "parse-names" : false, "suffix" : "" }, { "dropping-particle" : "", "family" : "Trompet", "given" : "S", "non-dropping-particle" : "", "parse-names" : false, "suffix" : "" }, { "dropping-particle" : "", "family" : "Wong", "given" : "A", "non-dropping-particle" : "", "parse-names" : false, "suffix" : "" }, { "dropping-particle" : "", "family" : "Cavadino", "given" : "A", "non-dropping-particle" : "", "parse-names" : false, "suffix" : "" }, { "dropping-particle" : "", "family" : "Drogan", "given" : "D", "non-dropping-particle" : "", "parse-names" : false, "suffix" : "" }, { "dropping-particle" : "", "family" : "Padmanabhan", "given" : "S", "non-dropping-particle" : "", "parse-names" : false, "suffix" : "" }, { "dropping-particle" : "", "family" : "Li", "given" : "S", "non-dropping-particle" : "", "parse-names" : false, "suffix" : "" }, { "dropping-particle" : "", "family" : "Yesupriya", "given" : "A", "non-dropping-particle" : "", "parse-names" : false, "suffix" : "" }, { "dropping-particle" : "", "family" : "Leusink", "given" : "M", "non-dropping-particle" : "", "parse-names" : false, "suffix" : "" }, { "dropping-particle" : "", "family" : "Sundstrom", "given" : "J", "non-dropping-particle" : "", "parse-names" : false, "suffix" : "" }, { "dropping-particle" : "", "family" : "Hubacek", "given" : "J A", "non-dropping-particle" : "", "parse-names" : false, "suffix" : "" }, { "dropping-particle" : "", "family" : "Pikhart", "given" : "H", "non-dropping-particle" : "", "parse-names" : false, "suffix" : "" }, { "dropping-particle" : "", "family" : "Swerdlow", "given" : "D I", "non-dropping-particle" : "", "parse-names" : false, "suffix" : "" }, { "dropping-particle" : "", "family" : "Panayiotou", "given" : "A G", "non-dropping-particle" : "", "parse-names" : false, "suffix" : "" }, { "dropping-particle" : "", "family" : "Borinskaya", "given" : "S A", "non-dropping-particle" : "", "parse-names" : false, "suffix" : "" }, { "dropping-particle" : "", "family" : "Finan", "given" : "C", "non-dropping-particle" : "", "parse-names" : false, "suffix" : "" }, { "dropping-particle" : "", "family" : "Shah", "given" : "S", "non-dropping-particle" : "", "parse-names" : false, "suffix" : "" }, { "dropping-particle" : "", "family" : "Kuchenbaecker", "given" : "K B", "non-dropping-particle" : "", "parse-names" : false, "suffix" : "" }, { "dropping-particle" : "", "family" : "Shah", "given" : "T", "non-dropping-particle" : "", "parse-names" : false, "suffix" : "" }, { "dropping-particle" : "", "family" : "Engmann", "given" : "J", "non-dropping-particle" : "", "parse-names" : false, "suffix" : "" }, { "dropping-particle" : "", "family" : "Folkersen", "given" : "L", "non-dropping-particle" : "", "parse-names" : false, "suffix" : "" }, { "dropping-particle" : "", "family" : "Eriksson", "given" : "P", "non-dropping-particle" : "", "parse-names" : false, "suffix" : "" }, { "dropping-particle" : "", "family" : "Ricceri", "given" : "F", "non-dropping-particle" : "", "parse-names" : false, "suffix" : "" }, { "dropping-particle" : "", "family" : "Melander", "given" : "O", "non-dropping-particle" : "", "parse-names" : false, "suffix" : "" }, { "dropping-particle" : "", "family" : "Sacerdote", "given" : "C", "non-dropping-particle" : "", "parse-names" : false, "suffix" : "" }, { "dropping-particle" : "", "family" : "Gamble", "given" : "D M", "non-dropping-particle" : "", "parse-names" : false, "suffix" : "" }, { "dropping-particle" : "", "family" : "Rayaprolu", "given" : "S", "non-dropping-particle" : "", "parse-names" : false, "suffix" : "" }, { "dropping-particle" : "", "family" : "Ross", "given" : "O A", "non-dropping-particle" : "", "parse-names" : false, "suffix" : "" }, { "dropping-particle" : "", "family" : "McLachlan", "given" : "S", "non-dropping-particle" : "", "parse-names" : false, "suffix" : "" }, { "dropping-particle" : "", "family" : "Vikhireva", "given" : "O", "non-dropping-particle" : "", "parse-names" : false, "suffix" : "" }, { "dropping-particle" : "", "family" : "Sluijs", "given" : "I", "non-dropping-particle" : "", "parse-names" : false, "suffix" : "" }, { "dropping-particle" : "", "family" : "Scott", "given" : "R A", "non-dropping-particle" : "", "parse-names" : false, "suffix" : "" }, { "dropping-particle" : "", "family" : "Adamkova", "given" : "V", "non-dropping-particle" : "", "parse-names" : false, "suffix" : "" }, { "dropping-particle" : "", "family" : "Flicker", "given" : "L", "non-dropping-particle" : "", "parse-names" : false, "suffix" : "" }, { "dropping-particle" : "", "family" : "Bockxmeer", "given" : "F M", "non-dropping-particle" : "", "parse-names" : false, "suffix" : "" }, { "dropping-particle" : "", "family" : "Power", "given" : "C", "non-dropping-particle" : "", "parse-names" : false, "suffix" : "" }, { "dropping-particle" : "", "family" : "Marques-Vidal", "given" : "P", "non-dropping-particle" : "", "parse-names" : false, "suffix" : "" }, { "dropping-particle" : "", "family" : "Meade", "given" : "T", "non-dropping-particle" : "", "parse-names" : false, "suffix" : "" }, { "dropping-particle" : "", "family" : "Marmot", "given" : "M G", "non-dropping-particle" : "", "parse-names" : false, "suffix" : "" }, { "dropping-particle" : "", "family" : "Ferro", "given" : "J M", "non-dropping-particle" : "", "parse-names" : false, "suffix" : "" }, { "dropping-particle" : "", "family" : "Paulos-Pinheiro", "given" : "S", "non-dropping-particle" : "", "parse-names" : false, "suffix" : "" }, { "dropping-particle" : "", "family" : "Humphries", "given" : "S E", "non-dropping-particle" : "", "parse-names" : false, "suffix" : "" }, { "dropping-particle" : "", "family" : "Talmud", "given" : "P J", "non-dropping-particle" : "", "parse-names" : false, "suffix" : "" }, { "dropping-particle" : "", "family" : "Mateo Leach", "given" : "I", "non-dropping-particle" : "", "parse-names" : false, "suffix" : "" }, { "dropping-particle" : "", "family" : "Verweij", "given" : "N", "non-dropping-particle" : "", "parse-names" : false, "suffix" : "" }, { "dropping-particle" : "", "family" : "Linneberg", "given" : "A", "non-dropping-particle" : "", "parse-names" : false, "suffix" : "" }, { "dropping-particle" : "", "family" : "Skaaby", "given" : "T", "non-dropping-particle" : "", "parse-names" : false, "suffix" : "" }, { "dropping-particle" : "", "family" : "Doevendans", "given" : "P A", "non-dropping-particle" : "", "parse-names" : false, "suffix" : "" }, { "dropping-particle" : "", "family" : "Cramer", "given" : "M J", "non-dropping-particle" : "", "parse-names" : false, "suffix" : "" }, { "dropping-particle" : "", "family" : "Harst", "given" : "P", "non-dropping-particle" : "van der", "parse-names" : false, "suffix" : "" }, { "dropping-particle" : "", "family" : "Klungel", "given" : "O H", "non-dropping-particle" : "", "parse-names" : false, "suffix" : "" }, { "dropping-particle" : "", "family" : "Dowling", "given" : "N F", "non-dropping-particle" : "", "parse-names" : false, "suffix" : "" }, { "dropping-particle" : "", "family" : "Dominiczak", "given" : "A F", "non-dropping-particle" : "", "parse-names" : false, "suffix" : "" }, { "dropping-particle" : "", "family" : "Kumari", "given" : "M", "non-dropping-particle" : "", "parse-names" : false, "suffix" : "" }, { "dropping-particle" : "", "family" : "Nicolaides", "given" : "A N", "non-dropping-particle" : "", "parse-names" : false, "suffix" : "" }, { "dropping-particle" : "", "family" : "Weikert", "given" : "C", "non-dropping-particle" : "", "parse-names" : false, "suffix" : "" }, { "dropping-particle" : "", "family" : "Boeing", "given" : "H", "non-dropping-particle" : "", "parse-names" : false, "suffix" : "" }, { "dropping-particle" : "", "family" : "Ebrahim", "given" : "S", "non-dropping-particle" : "", "parse-names" : false, "suffix" : "" }, { "dropping-particle" : "", "family" : "Gaunt", "given" : "T R", "non-dropping-particle" : "", "parse-names" : false, "suffix" : "" }, { "dropping-particle" : "", "family" : "Price", "given" : "J F", "non-dropping-particle" : "", "parse-names" : false, "suffix" : "" }, { "dropping-particle" : "", "family" : "Lannfelt", "given" : "L", "non-dropping-particle" : "", "parse-names" : false, "suffix" : "" }, { "dropping-particle" : "", "family" : "Peasey", "given" : "A", "non-dropping-particle" : "", "parse-names" : false, "suffix" : "" }, { "dropping-particle" : "", "family" : "Kubinova", "given" : "R", "non-dropping-particle" : "", "parse-names" : false, "suffix" : "" }, { "dropping-particle" : "", "family" : "Pajak", "given" : "A", "non-dropping-particle" : "", "parse-names" : false, "suffix" : "" }, { "dropping-particle" : "", "family" : "Malyutina", "given" : "S", "non-dropping-particle" : "", "parse-names" : false, "suffix" : "" }, { "dropping-particle" : "", "family" : "Voevoda", "given" : "M I", "non-dropping-particle" : "", "parse-names" : false, "suffix" : "" }, { "dropping-particle" : "", "family" : "Tamosiunas", "given" : "A", "non-dropping-particle" : "", "parse-names" : false, "suffix" : "" }, { "dropping-particle" : "", "family" : "Maitland-van der Zee", "given" : "A H", "non-dropping-particle" : "", "parse-names" : false, "suffix" : "" }, { "dropping-particle" : "", "family" : "Norman", "given" : "P E", "non-dropping-particle" : "", "parse-names" : false, "suffix" : "" }, { "dropping-particle" : "", "family" : "Hankey", "given" : "G J", "non-dropping-particle" : "", "parse-names" : false, "suffix" : "" }, { "dropping-particle" : "", "family" : "Bergmann", "given" : "M M", "non-dropping-particle" : "", "parse-names" : false, "suffix" : "" }, { "dropping-particle" : "", "family" : "Hofman", "given" : "A", "non-dropping-particle" : "", "parse-names" : false, "suffix" : "" }, { "dropping-particle" : "", "family" : "Franco", "given" : "O H", "non-dropping-particle" : "", "parse-names" : false, "suffix" : "" }, { "dropping-particle" : "", "family" : "Cooper", "given" : "J", "non-dropping-particle" : "", "parse-names" : false, "suffix" : "" }, { "dropping-particle" : "", "family" : "Palmen", "given" : "J", "non-dropping-particle" : "", "parse-names" : false, "suffix" : "" }, { "dropping-particle" : "", "family" : "Spiering", "given" : "W", "non-dropping-particle" : "", "parse-names" : false, "suffix" : "" }, { "dropping-particle" : "", "family" : "Jong", "given" : "P A", "non-dropping-particle" : "de", "parse-names" : false, "suffix" : "" }, { "dropping-particle" : "", "family" : "Kuh", "given" : "D", "non-dropping-particle" : "", "parse-names" : false, "suffix" : "" }, { "dropping-particle" : "", "family" : "Hardy", "given" : "R", "non-dropping-particle" : "", "parse-names" : false, "suffix" : "" }, { "dropping-particle" : "", "family" : "Uitterlinden", "given" : "A G", "non-dropping-particle" : "", "parse-names" : false, "suffix" : "" }, { "dropping-particle" : "", "family" : "Ikram", "given" : "M A", "non-dropping-particle" : "", "parse-names" : false, "suffix" : "" }, { "dropping-particle" : "", "family" : "Ford", "given" : "I", "non-dropping-particle" : "", "parse-names" : false, "suffix" : "" }, { "dropping-particle" : "", "family" : "Hypponen", "given" : "E", "non-dropping-particle" : "", "parse-names" : false, "suffix" : "" }, { "dropping-particle" : "", "family" : "Almeida", "given" : "O P", "non-dropping-particle" : "", "parse-names" : false, "suffix" : "" }, { "dropping-particle" : "", "family" : "Wareham", "given" : "N J", "non-dropping-particle" : "", "parse-names" : false, "suffix" : "" }, { "dropping-particle" : "", "family" : "Khaw", "given" : "K T", "non-dropping-particle" : "", "parse-names" : false, "suffix" : "" }, { "dropping-particle" : "", "family" : "Hamsten", "given" : "A", "non-dropping-particle" : "", "parse-names" : false, "suffix" : "" }, { "dropping-particle" : "", "family" : "Husemoen", "given" : "L L", "non-dropping-particle" : "", "parse-names" : false, "suffix" : "" }, { "dropping-particle" : "", "family" : "Tjonneland", "given" : "A", "non-dropping-particle" : "", "parse-names" : false, "suffix" : "" }, { "dropping-particle" : "", "family" : "Tolstrup", "given" : "J S", "non-dropping-particle" : "", "parse-names" : false, "suffix" : "" }, { "dropping-particle" : "", "family" : "Rimm", "given" : "E", "non-dropping-particle" : "", "parse-names" : false, "suffix" : "" }, { "dropping-particle" : "", "family" : "Beulens", "given" : "J W", "non-dropping-particle" : "", "parse-names" : false, "suffix" : "" }, { "dropping-particle" : "", "family" : "Verschuren", "given" : "W M", "non-dropping-particle" : "", "parse-names" : false, "suffix" : "" }, { "dropping-particle" : "", "family" : "Onland-Moret", "given" : "N C", "non-dropping-particle" : "", "parse-names" : false, "suffix" : "" }, { "dropping-particle" : "", "family" : "Hofker", "given" : "M H", "non-dropping-particle" : "", "parse-names" : false, "suffix" : "" }, { "dropping-particle" : "", "family" : "Wannamethee", "given" : "S G", "non-dropping-particle" : "", "parse-names" : false, "suffix" : "" }, { "dropping-particle" : "", "family" : "Whincup", "given" : "P H", "non-dropping-particle" : "", "parse-names" : false, "suffix" : "" }, { "dropping-particle" : "", "family" : "Morris", "given" : "R", "non-dropping-particle" : "", "parse-names" : false, "suffix" : "" }, { "dropping-particle" : "", "family" : "Vicente", "given" : "A M", "non-dropping-particle" : "", "parse-names" : false, "suffix" : "" }, { "dropping-particle" : "", "family" : "Watkins", "given" : "H", "non-dropping-particle" : "", "parse-names" : false, "suffix" : "" }, { "dropping-particle" : "", "family" : "Farrall", "given" : "M", "non-dropping-particle" : "", "parse-names" : false, "suffix" : "" }, { "dropping-particle" : "", "family" : "Jukema", "given" : "J W", "non-dropping-particle" : "", "parse-names" : false, "suffix" : "" }, { "dropping-particle" : "", "family" : "Meschia", "given" : "J", "non-dropping-particle" : "", "parse-names" : false, "suffix" : "" }, { "dropping-particle" : "", "family" : "Cupples", "given" : "L A", "non-dropping-particle" : "", "parse-names" : false, "suffix" : "" }, { "dropping-particle" : "", "family" : "Sharp", "given" : "S J", "non-dropping-particle" : "", "parse-names" : false, "suffix" : "" }, { "dropping-particle" : "", "family" : "Fornage", "given" : "M", "non-dropping-particle" : "", "parse-names" : false, "suffix" : "" }, { "dropping-particle" : "", "family" : "Kooperberg", "given" : "C", "non-dropping-particle" : "", "parse-names" : false, "suffix" : "" }, { "dropping-particle" : "", "family" : "LaCroix", "given" : "A Z", "non-dropping-particle" : "", "parse-names" : false, "suffix" : "" }, { "dropping-particle" : "", "family" : "Dai", "given" : "J Y", "non-dropping-particle" : "", "parse-names" : false, "suffix" : "" }, { "dropping-particle" : "", "family" : "Lanktree", "given" : "M B", "non-dropping-particle" : "", "parse-names" : false, "suffix" : "" }, { "dropping-particle" : "", "family" : "Siscovick", "given" : "D S", "non-dropping-particle" : "", "parse-names" : false, "suffix" : "" }, { "dropping-particle" : "", "family" : "Jorgenson", "given" : "E", "non-dropping-particle" : "", "parse-names" : false, "suffix" : "" }, { "dropping-particle" : "", "family" : "Spring", "given" : "B", "non-dropping-particle" : "", "parse-names" : false, "suffix" : "" }, { "dropping-particle" : "", "family" : "Coresh", "given" : "J", "non-dropping-particle" : "", "parse-names" : false, "suffix" : "" }, { "dropping-particle" : "", "family" : "Li", "given" : "Y R", "non-dropping-particle" : "", "parse-names" : false, "suffix" : "" }, { "dropping-particle" : "", "family" : "Buxbaum", "given" : "S G", "non-dropping-particle" : "", "parse-names" : false, "suffix" : "" }, { "dropping-particle" : "", "family" : "Schreiner", "given" : "P J", "non-dropping-particle" : "", "parse-names" : false, "suffix" : "" }, { "dropping-particle" : "", "family" : "Ellison", "given" : "R C", "non-dropping-particle" : "", "parse-names" : false, "suffix" : "" }, { "dropping-particle" : "", "family" : "Tsai", "given" : "M Y", "non-dropping-particle" : "", "parse-names" : false, "suffix" : "" }, { "dropping-particle" : "", "family" : "Patel", "given" : "S R", "non-dropping-particle" : "", "parse-names" : false, "suffix" : "" }, { "dropping-particle" : "", "family" : "Redline", "given" : "S", "non-dropping-particle" : "", "parse-names" : false, "suffix" : "" }, { "dropping-particle" : "", "family" : "Johnson", "given" : "A D", "non-dropping-particle" : "", "parse-names" : false, "suffix" : "" }, { "dropping-particle" : "", "family" : "Hoogeveen", "given" : "R C", "non-dropping-particle" : "", "parse-names" : false, "suffix" : "" }, { "dropping-particle" : "", "family" : "Hakonarson", "given" : "H", "non-dropping-particle" : "", "parse-names" : false, "suffix" : "" }, { "dropping-particle" : "", "family" : "Rotter", "given" : "J I", "non-dropping-particle" : "", "parse-names" : false, "suffix" : "" }, { "dropping-particle" : "", "family" : "Boerwinkle", "given" : "E", "non-dropping-particle" : "", "parse-names" : false, "suffix" : "" }, { "dropping-particle" : "", "family" : "Bakker", "given" : "P I", "non-dropping-particle" : "de", "parse-names" : false, "suffix" : "" }, { "dropping-particle" : "", "family" : "Kivimaki", "given" : "M", "non-dropping-particle" : "", "parse-names" : false, "suffix" : "" }, { "dropping-particle" : "", "family" : "Asselbergs", "given" : "F W", "non-dropping-particle" : "", "parse-names" : false, "suffix" : "" }, { "dropping-particle" : "", "family" : "Sattar", "given" : "N", "non-dropping-particle" : "", "parse-names" : false, "suffix" : "" }, { "dropping-particle" : "", "family" : "Lawlor", "given" : "D A", "non-dropping-particle" : "", "parse-names" : false, "suffix" : "" }, { "dropping-particle" : "", "family" : "Whittaker", "given" : "J", "non-dropping-particle" : "", "parse-names" : false, "suffix" : "" }, { "dropping-particle" : "", "family" : "Davey Smith", "given" : "G", "non-dropping-particle" : "", "parse-names" : false, "suffix" : "" }, { "dropping-particle" : "", "family" : "Mukamal", "given" : "K", "non-dropping-particle" : "", "parse-names" : false, "suffix" : "" }, { "dropping-particle" : "", "family" : "Psaty", "given" : "B M", "non-dropping-particle" : "", "parse-names" : false, "suffix" : "" }, { "dropping-particle" : "", "family" : "Wilson", "given" : "J G", "non-dropping-particle" : "", "parse-names" : false, "suffix" : "" }, { "dropping-particle" : "", "family" : "Lange", "given" : "L A", "non-dropping-particle" : "", "parse-names" : false, "suffix" : "" }, { "dropping-particle" : "", "family" : "Hamidovic", "given" : "A", "non-dropping-particle" : "", "parse-names" : false, "suffix" : "" }, { "dropping-particle" : "", "family" : "Hingorani", "given" : "A D", "non-dropping-particle" : "", "parse-names" : false, "suffix" : "" }, { "dropping-particle" : "", "family" : "Nordestgaard", "given" : "B G", "non-dropping-particle" : "", "parse-names" : false, "suffix" : "" }, { "dropping-particle" : "", "family" : "Bobak", "given" : "M", "non-dropping-particle" : "", "parse-names" : false, "suffix" : "" }, { "dropping-particle" : "", "family" : "Leon", "given" : "D A", "non-dropping-particle" : "", "parse-names" : false, "suffix" : "" }, { "dropping-particle" : "", "family" : "Langenberg", "given" : "C", "non-dropping-particle" : "", "parse-names" : false, "suffix" : "" }, { "dropping-particle" : "", "family" : "Palmer", "given" : "T M", "non-dropping-particle" : "", "parse-names" : false, "suffix" : "" }, { "dropping-particle" : "", "family" : "Reiner", "given" : "A P", "non-dropping-particle" : "", "parse-names" : false, "suffix" : "" }, { "dropping-particle" : "", "family" : "Keating", "given" : "B J", "non-dropping-particle" : "", "parse-names" : false, "suffix" : "" }, { "dropping-particle" : "", "family" : "Dudbridge", "given" : "F", "non-dropping-particle" : "", "parse-names" : false, "suffix" : "" }, { "dropping-particle" : "", "family" : "Casas", "given" : "J P", "non-dropping-particle" : "", "parse-names" : false, "suffix" : "" } ], "container-title" : "BMJ", "id" : "ITEM-1", "issued" : { "date-parts" : [ [ "2014" ] ] }, "page" : "g4164", "title" : "Association between alcohol and cardiovascular disease: Mendelian randomisation analysis based on individual participant data", "type" : "article-journal", "volume" : "349" }, "uris" : [ "http://www.mendeley.com/documents/?uuid=88de2780-abeb-4c1d-a779-0e02868ef247", "http://www.mendeley.com/documents/?uuid=b7c828a1-e118-4d28-b794-22400a80900e" ] }, { "id" : "ITEM-2", "itemData" : { "DOI" : "10.1038/srep18422", "ISSN" : "2045-2322", "PMID" : "26687910", "abstract" : "Mendelian randomisation studies from Asia suggest detrimental influences of alcohol on cardiovascular risk factors, but such associations are observed mainly in men. The absence of associations of genetic variants (e.g. rs671 in ALDH2) with such risk factors in women - who drank little in these populations - provides evidence that the observations are not due to genetic pleiotropy. Here, we present a Mendelian randomisation study in a South Korean population (3,365 men and 3,787 women) that 1) provides robust evidence that alcohol consumption adversely affects several cardiovascular disease risk factors, including blood pressure, waist to hip ratio, fasting blood glucose and triglyceride levels. Alcohol also increases HDL cholesterol and lowers LDL cholesterol. Our study also 2) replicates sex differences in associations which suggests pleiotropy does not underlie the associations, 3) provides further evidence that association is not due to pleiotropy by showing null effects in male non-drinkers, and 4) illustrates a way to measure population-level association where alcohol intake is stratified by sex. In conclusion, population-level instrumental variable estimation (utilizing interaction of rs671 in ALDH2 and sex as an instrument) strengthens causal inference regarding the largely adverse influence of alcohol intake on cardiovascular health in an Asian population.", "author" : [ { "dropping-particle" : "", "family" : "Cho", "given" : "Yoonsu", "non-dropping-particle" : "", "parse-names" : false, "suffix" : "" }, { "dropping-particle" : "", "family" : "Shin", "given" : "So-Youn", "non-dropping-particle" : "", "parse-names" : false, "suffix" : "" }, { "dropping-particle" : "", "family" : "Won", "given" : "Sungho", "non-dropping-particle" : "", "parse-names" : false, "suffix" : "" }, { "dropping-particle" : "", "family" : "Relton", "given" : "Caroline L", "non-dropping-particle" : "", "parse-names" : false, "suffix" : "" }, { "dropping-particle" : "", "family" : "Davey Smith", "given" : "George", "non-dropping-particle" : "", "parse-names" : false, "suffix" : "" }, { "dropping-particle" : "", "family" : "Shin", "given" : "Min-Jeong", "non-dropping-particle" : "", "parse-names" : false, "suffix" : "" } ], "container-title" : "Scientific reports", "id" : "ITEM-2", "issued" : { "date-parts" : [ [ "2015", "12" ] ] }, "page" : "18422", "title" : "Alcohol intake and cardiovascular risk factors: A Mendelian randomisation study.", "type" : "article-journal", "volume" : "5" }, "uris" : [ "http://www.mendeley.com/documents/?uuid=ac20f730-80d3-4a60-abed-2f72f6f49e35" ] }, { "id" : "ITEM-3", "itemData" : { "DOI" : "10.1371/journal.pone.0068054", "ISBN" : "1932-6203 (Electronic)\\r1932-6203 (Linking)", "ISSN" : "19326203", "PMID" : "23874492", "abstract" : "BACKGROUND: Observational studies show moderate alcohol use negatively associated with ischemic heart disease (IHD) and cardiovascular disease (CVD). However, healthier attributes among moderate users compared to never users may confound the apparent association. A potentially less biased way to examine the association is Mendelian randomization, using alcohol metabolizing genes which influence alcohol use.\\n\\nMETHODS: We used instrumental variable analysis with aldehyde dehydrogenase 2 (ALDH2) genotypes (AA/GA/GG) as instrumental variables for alcohol use to examine the association of alcohol use (10 g ethanol/day) with CVD risk factors (blood pressure, lipids and glucose) and morbidity (self-reported IHD and CVD) among men in the Guangzhou Biobank Cohort Study.\\n\\nRESULTS: ALDH2 genotypes were a credible instrument for alcohol use (F-statistic 74.6). Alcohol was positively associated with HDL-cholesterol (0.05 mmol/L per alcohol unit, 95% confidence interval (CI) 0.02 to 0.08) and diastolic blood pressure (1.15 mmHg, 95% CI 0.23 to 2.07) but not with systolic blood pressure (1.00 mmHg, 95% CI -0.74 to 2.74), LDL-cholesterol (0.03 mmol/L, 95% CI -0.03 to 0.08), log transformed triglycerides (0.03 mmol/L, 95% CI -0.01 to 0.08) or log transformed fasting glucose (0.01 mmol/L, 95% CI -0.006 to 0.03), self-reported CVD (odds ratio (OR) 0.98, 95% CI 0.76 to 1.27) or self-reported IHD (OR 1.10, 95% CI 0.83 to 1.45).\\n\\nCONCLUSION: Low to moderate alcohol use among men had the expected effects on most CVD risk factors but not fasting glucose. Larger studies are needed to confirm the null associations with IHD, CVD and fasting glucose.", "author" : [ { "dropping-particle" : "", "family" : "Au Yeung", "given" : "Shiu Lun", "non-dropping-particle" : "", "parse-names" : false, "suffix" : "" }, { "dropping-particle" : "", "family" : "Jiang", "given" : "Chaoqiang", "non-dropping-particle" : "", "parse-names" : false, "suffix" : "" }, { "dropping-particle" : "", "family" : "Cheng", "given" : "Kar Keung", "non-dropping-particle" : "", "parse-names" : false, "suffix" : "" }, { "dropping-particle" : "", "family" : "Cowling", "given" : "Benjamin J.", "non-dropping-particle" : "", "parse-names" : false, "suffix" : "" }, { "dropping-particle" : "", "family" : "Liu", "given" : "Bin", "non-dropping-particle" : "", "parse-names" : false, "suffix" : "" }, { "dropping-particle" : "", "family" : "Zhang", "given" : "Weisen", "non-dropping-particle" : "", "parse-names" : false, "suffix" : "" }, { "dropping-particle" : "", "family" : "Lam", "given" : "Tai Hing", "non-dropping-particle" : "", "parse-names" : false, "suffix" : "" }, { "dropping-particle" : "", "family" : "Leung", "given" : "Gabriel M.", "non-dropping-particle" : "", "parse-names" : false, "suffix" : "" }, { "dropping-particle" : "", "family" : "Schooling", "given" : "C. Mary", "non-dropping-particle" : "", "parse-names" : false, "suffix" : "" } ], "container-title" : "PLoS ONE", "id" : "ITEM-3", "issue" : "7", "issued" : { "date-parts" : [ [ "2013" ] ] }, "title" : "Moderate Alcohol Use and Cardiovascular Disease from Mendelian Randomization", "type" : "article-journal", "volume" : "8" }, "uris" : [ "http://www.mendeley.com/documents/?uuid=7b04ab01-b36a-40d7-80ba-dcca43a26c51" ] }, { "id" : "ITEM-4", "itemData" : { "DOI" : "10.1093/ije/dyw237", "ISSN" : "0300-5771", "author" : [ { "dropping-particle" : "", "family" : "Yun", "given" : "Kyung Eun", "non-dropping-particle" : "", "parse-names" : false, "suffix" : "" }, { "dropping-particle" : "", "family" : "Chang", "given" : "Yoosoo", "non-dropping-particle" : "", "parse-names" : false, "suffix" : "" }, { "dropping-particle" : "", "family" : "Yun", "given" : "Sung-Cheol", "non-dropping-particle" : "", "parse-names" : false, "suffix" : "" }, { "dropping-particle" : "", "family" : "Davey Smith", "given" : "George", "non-dropping-particle" : "", "parse-names" : false, "suffix" : "" }, { "dropping-particle" : "", "family" : "Ryu", "given" : "Seungho", "non-dropping-particle" : "", "parse-names" : false, "suffix" : "" }, { "dropping-particle" : "", "family" : "Cho", "given" : "Sung-il", "non-dropping-particle" : "", "parse-names" : false, "suffix" : "" }, { "dropping-particle" : "", "family" : "Chung", "given" : "Eun Chul", "non-dropping-particle" : "", "parse-names" : false, "suffix" : "" }, { "dropping-particle" : "", "family" : "Shin", "given" : "Hocheol", "non-dropping-particle" : "", "parse-names" : false, "suffix" : "" }, { "dropping-particle" : "", "family" : "Khang", "given" : "Young-Ho", "non-dropping-particle" : "", "parse-names" : false, "suffix" : "" } ], "container-title" : "International Journal of Epidemiology", "id" : "ITEM-4", "issue" : "Ci", "issued" : { "date-parts" : [ [ "2017" ] ] }, "page" : "dyw237", "title" : "Alcohol and coronary artery calcification: an investigation using alcohol flushing as an instrumental variable", "type" : "article-journal" }, "uris" : [ "http://www.mendeley.com/documents/?uuid=fe0ab677-20f8-4bd1-9d9b-d267e8e1a3f2" ] } ], "mendeley" : { "formattedCitation" : "&lt;sup&gt;43\u201346&lt;/sup&gt;", "plainTextFormattedCitation" : "43\u201346", "previouslyFormattedCitation" : "&lt;sup&gt;47\u201350&lt;/sup&gt;" }, "properties" : { "noteIndex" : 0 }, "schema" : "https://github.com/citation-style-language/schema/raw/master/csl-citation.json" }</w:instrText>
      </w:r>
      <w:r w:rsidR="009F7EA0" w:rsidRPr="00586F91">
        <w:rPr>
          <w:szCs w:val="20"/>
        </w:rPr>
        <w:fldChar w:fldCharType="separate"/>
      </w:r>
      <w:r w:rsidR="00E50B13" w:rsidRPr="00E50B13">
        <w:rPr>
          <w:noProof/>
          <w:szCs w:val="20"/>
          <w:vertAlign w:val="superscript"/>
        </w:rPr>
        <w:t>43–46</w:t>
      </w:r>
      <w:r w:rsidR="009F7EA0" w:rsidRPr="00586F91">
        <w:rPr>
          <w:szCs w:val="20"/>
        </w:rPr>
        <w:fldChar w:fldCharType="end"/>
      </w:r>
    </w:p>
    <w:p w14:paraId="21F62524" w14:textId="649D5CFA" w:rsidR="009F7EA0" w:rsidRDefault="009F7EA0">
      <w:pPr>
        <w:rPr>
          <w:rFonts w:cstheme="minorHAnsi"/>
          <w:bCs/>
          <w:color w:val="000000" w:themeColor="text1"/>
          <w:szCs w:val="22"/>
        </w:rPr>
      </w:pPr>
    </w:p>
    <w:p w14:paraId="47B37DFD" w14:textId="6F90C237" w:rsidR="009F7EA0" w:rsidRDefault="00AE0B76" w:rsidP="009F7EA0">
      <w:pPr>
        <w:rPr>
          <w:rFonts w:eastAsia="Verdana"/>
          <w:szCs w:val="20"/>
        </w:rPr>
      </w:pPr>
      <w:r>
        <w:rPr>
          <w:rFonts w:cstheme="minorHAnsi"/>
          <w:bCs/>
          <w:color w:val="000000" w:themeColor="text1"/>
          <w:szCs w:val="22"/>
        </w:rPr>
        <w:t xml:space="preserve">Our </w:t>
      </w:r>
      <w:r w:rsidR="005502B3">
        <w:rPr>
          <w:rFonts w:cstheme="minorHAnsi"/>
          <w:bCs/>
          <w:color w:val="000000" w:themeColor="text1"/>
          <w:szCs w:val="22"/>
        </w:rPr>
        <w:t>results</w:t>
      </w:r>
      <w:r>
        <w:rPr>
          <w:rFonts w:cstheme="minorHAnsi"/>
          <w:bCs/>
          <w:color w:val="000000" w:themeColor="text1"/>
          <w:szCs w:val="22"/>
        </w:rPr>
        <w:t xml:space="preserve"> contribute toward understanding </w:t>
      </w:r>
      <w:r w:rsidR="00DE6AA9">
        <w:rPr>
          <w:rFonts w:cstheme="minorHAnsi"/>
          <w:bCs/>
          <w:color w:val="000000" w:themeColor="text1"/>
          <w:szCs w:val="22"/>
        </w:rPr>
        <w:t>of</w:t>
      </w:r>
      <w:r>
        <w:rPr>
          <w:rFonts w:cstheme="minorHAnsi"/>
          <w:bCs/>
          <w:color w:val="000000" w:themeColor="text1"/>
          <w:szCs w:val="22"/>
        </w:rPr>
        <w:t xml:space="preserve"> the basis for these directionally divergent </w:t>
      </w:r>
      <w:r w:rsidR="00224196">
        <w:rPr>
          <w:rFonts w:cstheme="minorHAnsi"/>
          <w:bCs/>
          <w:color w:val="000000" w:themeColor="text1"/>
          <w:szCs w:val="22"/>
        </w:rPr>
        <w:t xml:space="preserve">CVD </w:t>
      </w:r>
      <w:r>
        <w:rPr>
          <w:rFonts w:cstheme="minorHAnsi"/>
          <w:bCs/>
          <w:color w:val="000000" w:themeColor="text1"/>
          <w:szCs w:val="22"/>
        </w:rPr>
        <w:t>associations. For example, o</w:t>
      </w:r>
      <w:r w:rsidR="009F7EA0" w:rsidRPr="00463398">
        <w:rPr>
          <w:rFonts w:cstheme="minorHAnsi"/>
          <w:bCs/>
          <w:color w:val="000000" w:themeColor="text1"/>
          <w:szCs w:val="22"/>
        </w:rPr>
        <w:t xml:space="preserve">ur </w:t>
      </w:r>
      <w:r w:rsidR="005502B3">
        <w:rPr>
          <w:rFonts w:cstheme="minorHAnsi"/>
          <w:bCs/>
          <w:color w:val="000000" w:themeColor="text1"/>
          <w:szCs w:val="22"/>
        </w:rPr>
        <w:t>data</w:t>
      </w:r>
      <w:r w:rsidR="009F7EA0" w:rsidRPr="00463398">
        <w:rPr>
          <w:rFonts w:cstheme="minorHAnsi"/>
          <w:bCs/>
          <w:color w:val="000000" w:themeColor="text1"/>
          <w:szCs w:val="22"/>
        </w:rPr>
        <w:t xml:space="preserve"> have suggested that elevated </w:t>
      </w:r>
      <w:r w:rsidR="0009048D">
        <w:rPr>
          <w:rFonts w:cstheme="minorHAnsi"/>
          <w:bCs/>
          <w:color w:val="000000" w:themeColor="text1"/>
          <w:szCs w:val="22"/>
        </w:rPr>
        <w:t xml:space="preserve">systolic </w:t>
      </w:r>
      <w:r w:rsidR="009F7EA0" w:rsidRPr="00463398">
        <w:rPr>
          <w:rFonts w:cstheme="minorHAnsi"/>
          <w:bCs/>
          <w:color w:val="000000" w:themeColor="text1"/>
          <w:szCs w:val="22"/>
        </w:rPr>
        <w:t>blood pressure could</w:t>
      </w:r>
      <w:r w:rsidR="001B2043">
        <w:rPr>
          <w:rFonts w:cstheme="minorHAnsi"/>
          <w:bCs/>
          <w:color w:val="000000" w:themeColor="text1"/>
          <w:szCs w:val="22"/>
        </w:rPr>
        <w:t xml:space="preserve"> </w:t>
      </w:r>
      <w:r w:rsidR="009F7EA0" w:rsidRPr="00463398">
        <w:rPr>
          <w:rFonts w:cstheme="minorHAnsi"/>
          <w:bCs/>
          <w:color w:val="000000" w:themeColor="text1"/>
          <w:szCs w:val="22"/>
        </w:rPr>
        <w:t>mediat</w:t>
      </w:r>
      <w:r w:rsidR="001B2043">
        <w:rPr>
          <w:rFonts w:cstheme="minorHAnsi"/>
          <w:bCs/>
          <w:color w:val="000000" w:themeColor="text1"/>
          <w:szCs w:val="22"/>
        </w:rPr>
        <w:t>e</w:t>
      </w:r>
      <w:r w:rsidR="009F7EA0" w:rsidRPr="00463398">
        <w:rPr>
          <w:rFonts w:cstheme="minorHAnsi"/>
          <w:bCs/>
          <w:color w:val="000000" w:themeColor="text1"/>
          <w:szCs w:val="22"/>
        </w:rPr>
        <w:t xml:space="preserve"> alcohol consumption’s positive association with </w:t>
      </w:r>
      <w:r w:rsidR="009F7EA0">
        <w:rPr>
          <w:rFonts w:cstheme="minorHAnsi"/>
          <w:bCs/>
          <w:color w:val="000000" w:themeColor="text1"/>
          <w:szCs w:val="22"/>
        </w:rPr>
        <w:t xml:space="preserve">stroke and </w:t>
      </w:r>
      <w:r w:rsidR="009F7EA0" w:rsidRPr="00463398">
        <w:rPr>
          <w:rFonts w:cstheme="minorHAnsi"/>
          <w:bCs/>
          <w:color w:val="000000" w:themeColor="text1"/>
          <w:szCs w:val="22"/>
        </w:rPr>
        <w:t>non-MI coronary disease</w:t>
      </w:r>
      <w:r>
        <w:rPr>
          <w:rFonts w:cstheme="minorHAnsi"/>
          <w:bCs/>
          <w:color w:val="000000" w:themeColor="text1"/>
          <w:szCs w:val="22"/>
        </w:rPr>
        <w:t>.</w:t>
      </w:r>
      <w:r w:rsidR="009F7EA0"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"10.1038/srep18422", "ISSN" : "2045-2322", "PMID" : "26687910", "abstract" : "Mendelian randomisation studies from Asia suggest detrimental influences of alcohol on cardiovascular risk factors, but such associations are observed mainly in men. The absence of associations of genetic variants (e.g. rs671 in ALDH2) with such risk factors in women - who drank little in these populations - provides evidence that the observations are not due to genetic pleiotropy. Here, we present a Mendelian randomisation study in a South Korean population (3,365 men and 3,787 women) that 1) provides robust evidence that alcohol consumption adversely affects several cardiovascular disease risk factors, including blood pressure, waist to hip ratio, fasting blood glucose and triglyceride levels. Alcohol also increases HDL cholesterol and lowers LDL cholesterol. Our study also 2) replicates sex differences in associations which suggests pleiotropy does not underlie the associations, 3) provides further evidence that association is not due to pleiotropy by showing null effects in male non-drinkers, and 4) illustrates a way to measure population-level association where alcohol intake is stratified by sex. In conclusion, population-level instrumental variable estimation (utilizing interaction of rs671 in ALDH2 and sex as an instrument) strengthens causal inference regarding the largely adverse influence of alcohol intake on cardiovascular health in an Asian population.", "author" : [ { "dropping-particle" : "", "family" : "Cho", "given" : "Yoonsu", "non-dropping-particle" : "", "parse-names" : false, "suffix" : "" }, { "dropping-particle" : "", "family" : "Shin", "given" : "So-Youn", "non-dropping-particle" : "", "parse-names" : false, "suffix" : "" }, { "dropping-particle" : "", "family" : "Won", "given" : "Sungho", "non-dropping-particle" : "", "parse-names" : false, "suffix" : "" }, { "dropping-particle" : "", "family" : "Relton", "given" : "Caroline L", "non-dropping-particle" : "", "parse-names" : false, "suffix" : "" }, { "dropping-particle" : "", "family" : "Davey Smith", "given" : "George", "non-dropping-particle" : "", "parse-names" : false, "suffix" : "" }, { "dropping-particle" : "", "family" : "Shin", "given" : "Min-Jeong", "non-dropping-particle" : "", "parse-names" : false, "suffix" : "" } ], "container-title" : "Scientific reports", "id" : "ITEM-1", "issued" : { "date-parts" : [ [ "2015", "12" ] ] }, "page" : "18422", "title" : "Alcohol intake and cardiovascular risk factors: A Mendelian randomisation study.", "type" : "article-journal", "volume" : "5" }, "uris" : [ "http://www.mendeley.com/documents/?uuid=9da6bd3c-b816-388f-ba7b-6fbd581ba3af", "http://www.mendeley.com/documents/?uuid=ac20f730-80d3-4a60-abed-2f72f6f49e35" ] }, { "id" : "ITEM-2", "itemData" : { "DOI" : "10.1038/srep14005", "ISSN" : "2045-2322", "PMID" : "26364564", "abstract" : "Observational studies suggest that moderate alcohol consumption may be protective for cardiovascular disease, but results may be biased by confounding and reverse causality. Mendelian randomization, which uses genetic variants as proxies for exposures, can minimise these biases and therefore strengthen causal inference. Using a genetic variant in the ALDH2 gene associated with alcohol consumption, rs671, we performed a Mendelian randomization analysis in 1,712 diabetes cases and 2,076 controls from Nantong, China. Analyses were performed using linear and logistic regression, stratified by sex and diabetes status. The A allele of rs671 was strongly associated with reduced odds of being an alcohol drinker in all groups, but prevalence of alcohol consumption amongst females was very low. The A allele was associated with reduced systolic and diastolic blood pressure and decreased total and HDL cholesterol in males. The A allele was also associated with decreased triglyceride levels, but only robustly in diabetic males. There was no strong evidence for associations between rs671 and any outcomes in females. Our results suggest that associations of alcohol consumption with blood pressure and HDL-cholesterol are causal. Alcohol also appeared to have adverse effects on triglyceride levels, although this may be restricted to diabetics.", "author" : [ { "dropping-particle" : "", "family" : "Taylor", "given" : "Amy E", "non-dropping-particle" : "", "parse-names" : false, "suffix" : "" }, { "dropping-particle" : "", "family" : "Lu", "given" : "Feng", "non-dropping-particle" : "", "parse-names" : false, "suffix" : "" }, { "dropping-particle" : "", "family" : "Carslake", "given" : "David", "non-dropping-particle" : "", "parse-names" : false, "suffix" : "" }, { "dropping-particle" : "", "family" : "Hu", "given" : "Zhibin", "non-dropping-particle" : "", "parse-names" : false, "suffix" : "" }, { "dropping-particle" : "", "family" : "Qian", "given" : "Yun", "non-dropping-particle" : "", "parse-names" : false, "suffix" : "" }, { "dropping-particle" : "", "family" : "Liu", "given" : "Sijun", "non-dropping-particle" : "", "parse-names" : false, "suffix" : "" }, { "dropping-particle" : "", "family" : "Chen", "given" : "Jiaping", "non-dropping-particle" : "", "parse-names" : false, "suffix" : "" }, { "dropping-particle" : "", "family" : "Shen", "given" : "Hongbing", "non-dropping-particle" : "", "parse-names" : false, "suffix" : "" }, { "dropping-particle" : "", "family" : "Smith", "given" : "George Davey", "non-dropping-particle" : "", "parse-names" : false, "suffix" : "" } ], "container-title" : "Scientific reports", "id" : "ITEM-2", "issued" : { "date-parts" : [ [ "2015", "9" ] ] }, "page" : "14005", "title" : "Exploring causal associations of alcohol with cardiovascular and metabolic risk factors in a Chinese population using Mendelian randomization analysis.", "type" : "article-journal", "volume" : "5" }, "uris" : [ "http://www.mendeley.com/documents/?uuid=93c86289-271a-3d90-b5aa-5d0ba4a03700", "http://www.mendeley.com/documents/?uuid=39afd32d-758b-40c6-ac2e-7f3a0e8ae5d4" ] }, { "id" : "ITEM-3", "itemData" : { "DOI" : "10.1371/journal.pmed.0050052", "ISSN" : "1549-1676", "PMID" : "18318597", "abstract" : "BACKGROUND Alcohol has been reported to be a common and modifiable risk factor for hypertension. However, observational studies are subject to confounding by other behavioural and sociodemographic factors, while clinical trials are difficult to implement and have limited follow-up time. Mendelian randomization can provide robust evidence on the nature of this association by use of a common polymorphism in aldehyde dehydrogenase 2 (ALDH2) as a surrogate for measuring alcohol consumption. ALDH2 encodes a major enzyme involved in alcohol metabolism. Individuals homozygous for the null variant (*2*2) experience adverse symptoms when drinking alcohol and consequently drink considerably less alcohol than wild-type homozygotes (*1*1) or heterozygotes. We hypothesise that this polymorphism may influence the risk of hypertension by affecting alcohol drinking behaviour. METHODS AND FINDINGS We carried out fixed effect meta-analyses of the ALDH2 genotype with blood pressure (five studies, n = 7,658) and hypertension (three studies, n = 4,219) using studies identified via systematic review. In males, we obtained an overall odds ratio of 2.42 (95% confidence interval [CI] 1.66-3.55, p = 4.8 x 10(-6)) for hypertension comparing *1*1 with *2*2 homozygotes and an odds ratio of 1.72 (95% CI 1.17-2.52, p = 0.006) comparing heterozygotes (surrogate for moderate drinkers) with *2*2 homozygotes. Systolic blood pressure was 7.44 mmHg (95% CI 5.39-9.49, p = 1.1 x 10(-12)) greater among *1*1 than among *2*2 homozygotes, and 4.24 mmHg (95% CI 2.18-6.31, p = 0.00005) greater among heterozygotes than among *2*2 homozygotes. CONCLUSIONS These findings support the hypothesis that alcohol intake has a marked effect on blood pressure and the risk of hypertension.", "author" : [ { "dropping-particle" : "", "family" : "Chen", "given" : "Lina", "non-dropping-particle" : "", "parse-names" : false, "suffix" : "" }, { "dropping-particle" : "", "family" : "Smith", "given" : "George Davey", "non-dropping-particle" : "", "parse-names" : false, "suffix" : "" }, { "dropping-particle" : "", "family" : "Harbord", "given" : "Roger M", "non-dropping-particle" : "", "parse-names" : false, "suffix" : "" }, { "dropping-particle" : "", "family" : "Lewis", "given" : "Sarah J", "non-dropping-particle" : "", "parse-names" : false, "suffix" : "" } ], "container-title" : "PLoS medicine", "editor" : [ { "dropping-particle" : "", "family" : "Minelli", "given" : "Cosetta", "non-dropping-particle" : "", "parse-names" : false, "suffix" : "" } ], "id" : "ITEM-3", "issue" : "3", "issued" : { "date-parts" : [ [ "2008", "3" ] ] }, "page" : "e52", "title" : "Alcohol intake and blood pressure: a systematic review implementing a Mendelian randomization approach.", "type" : "article-journal", "volume" : "5" }, "uris" : [ "http://www.mendeley.com/documents/?uuid=c36cf53b-2720-3339-a78e-badf16bb7fff", "http://www.mendeley.com/documents/?uuid=56a73ad9-fd83-45c4-89d3-932ee8179db4" ] } ], "mendeley" : { "formattedCitation" : "&lt;sup&gt;44,47,48&lt;/sup&gt;", "plainTextFormattedCitation" : "44,47,48", "previouslyFormattedCitation" : "&lt;sup&gt;48,51,52&lt;/sup&gt;" }, "properties" : { "noteIndex" : 0 }, "schema" : "https://github.com/citation-style-language/schema/raw/master/csl-citation.json" }</w:instrText>
      </w:r>
      <w:r w:rsidR="009F7EA0"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44,47,48</w:t>
      </w:r>
      <w:r w:rsidR="009F7EA0" w:rsidRPr="00463398">
        <w:rPr>
          <w:rFonts w:cstheme="minorHAnsi"/>
          <w:bCs/>
          <w:color w:val="000000" w:themeColor="text1"/>
          <w:szCs w:val="22"/>
        </w:rPr>
        <w:fldChar w:fldCharType="end"/>
      </w:r>
      <w:r w:rsidR="009F7EA0">
        <w:rPr>
          <w:rFonts w:cstheme="minorHAnsi"/>
          <w:bCs/>
          <w:color w:val="000000" w:themeColor="text1"/>
          <w:szCs w:val="22"/>
        </w:rPr>
        <w:t xml:space="preserve"> </w:t>
      </w:r>
      <w:r>
        <w:rPr>
          <w:rFonts w:cstheme="minorHAnsi"/>
          <w:bCs/>
          <w:color w:val="000000" w:themeColor="text1"/>
          <w:szCs w:val="22"/>
        </w:rPr>
        <w:t xml:space="preserve">By contrast, </w:t>
      </w:r>
      <w:r w:rsidR="009F7EA0" w:rsidRPr="00463398">
        <w:rPr>
          <w:rFonts w:cstheme="minorHAnsi"/>
          <w:bCs/>
          <w:color w:val="000000" w:themeColor="text1"/>
          <w:szCs w:val="22"/>
        </w:rPr>
        <w:t>pathways related to HDL-C (but not necessarily HDL-C itself</w:t>
      </w:r>
      <w:r w:rsidR="009F7EA0"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"10.1126/science.aad3517", "ISSN" : "1095-9203", "PMID" : "26965621", "abstract" : "Scavenger receptor BI (SR-BI) is the major receptor for high-density lipoprotein (HDL) cholesterol (HDL-C). In humans, high amounts of HDL-C in plasma are associated with a lower risk of coronary heart disease (CHD). Mice that have depleted Scarb1 (SR-BI knockout mice) have markedly elevated HDL-C levels but, paradoxically, increased atherosclerosis. The impact of SR-BI on HDL metabolism and CHD risk in humans remains unclear. Through targeted sequencing of coding regions of lipid-modifying genes in 328 individuals with extremely high plasma HDL-C levels, we identified a homozygote for a loss-of-function variant, in which leucine replaces proline 376 (P376L), in SCARB1, the gene encoding SR-BI. The P376L variant impairs posttranslational processing of SR-BI and abrogates selective HDL cholesterol uptake in transfected cells, in hepatocyte-like cells derived from induced pluripotent stem cells from the homozygous subject, and in mice. Large population-based studies revealed that subjects who are heterozygous carriers of the P376L variant have significantly increased levels of plasma HDL-C. P376L carriers have a profound HDL-related phenotype and an increased risk of CHD (odds ratio = 1.79, which is statistically significant).", "author" : [ { "dropping-particle" : "", "family" : "Zanoni", "given" : "Paolo", "non-dropping-particle" : "", "parse-names" : false, "suffix" : "" }, { "dropping-particle" : "", "family" : "Khetarpal", "given" : "Sumeet A", "non-dropping-particle" : "", "parse-names" : false, "suffix" : "" }, { "dropping-particle" : "", "family" : "Larach", "given" : "Daniel B", "non-dropping-particle" : "", "parse-names" : false, "suffix" : "" }, { "dropping-particle" : "", "family" : "Hancock-Cerutti", "given" : "William F", "non-dropping-particle" : "", "parse-names" : false, "suffix" : "" }, { "dropping-particle" : "", "family" : "Millar", "given" : "John S", "non-dropping-particle" : "", "parse-names" : false, "suffix" : "" }, { "dropping-particle" : "", "family" : "Cuchel", "given" : "Marina", "non-dropping-particle" : "", "parse-names" : false, "suffix" : "" }, { "dropping-particle" : "", "family" : "DerOhannessian", "given" : "Stephanie", "non-dropping-particle" : "", "parse-names" : false, "suffix" : "" }, { "dropping-particle" : "", "family" : "Kontush", "given" : "Anatol", "non-dropping-particle" : "", "parse-names" : false, "suffix" : "" }, { "dropping-particle" : "", "family" : "Surendran", "given" : "Praveen", "non-dropping-particle" : "", "parse-names" : false, "suffix" : "" }, { "dropping-particle" : "", "family" : "Saleheen", "given" : "Danish", "non-dropping-particle" : "", "parse-names" : false, "suffix" : "" }, { "dropping-particle" : "", "family" : "Trompet", "given" : "Stella", "non-dropping-particle" : "", "parse-names" : false, "suffix" : "" }, { "dropping-particle" : "", "family" : "Jukema", "given" : "J Wouter", "non-dropping-particle" : "", "parse-names" : false, "suffix" : "" }, { "dropping-particle" : "", "family" : "Craen", "given" : "Anton", "non-dropping-particle" : "De", "parse-names" : false, "suffix" : "" }, { "dropping-particle" : "", "family" : "Deloukas", "given" : "Panos", "non-dropping-particle" : "", "parse-names" : false, "suffix" : "" }, { "dropping-particle" : "", "family" : "Sattar", "given" : "Naveed", "non-dropping-particle" : "", "parse-names" : false, "suffix" : "" }, { "dropping-particle" : "", "family" : "Ford", "given" : "Ian", "non-dropping-particle" : "", "parse-names" : false, "suffix" : "" }, { "dropping-particle" : "", "family" : "Packard", "given" : "Chris", "non-dropping-particle" : "", "parse-names" : false, "suffix" : "" }, { "dropping-particle" : "", "family" : "Majumder", "given" : "Abdullah al Shafi", "non-dropping-particle" : "", "parse-names" : false, "suffix" : "" }, { "dropping-particle" : "", "family" : "Alam", "given" : "Dewan S", "non-dropping-particle" : "", "parse-names" : false, "suffix" : "" }, { "dropping-particle" : "", "family" : "Angelantonio", "given" : "Emanuele", "non-dropping-particle" : "Di", "parse-names" : false, "suffix" : "" }, { "dropping-particle" : "", "family" : "Abecasis", "given" : "Goncalo", "non-dropping-particle" : "", "parse-names" : false, "suffix" : "" }, { "dropping-particle" : "", "family" : "Chowdhury", "given" : "Rajiv", "non-dropping-particle" : "", "parse-names" : false, "suffix" : "" }, { "dropping-particle" : "", "family" : "Erdmann", "given" : "Jeanette", "non-dropping-particle" : "", "parse-names" : false, "suffix" : "" }, { "dropping-particle" : "", "family" : "Nordestgaard", "given" : "B\u00f8rge G", "non-dropping-particle" : "", "parse-names" : false, "suffix" : "" }, { "dropping-particle" : "", "family" : "Nielsen", "given" : "Sune F", "non-dropping-particle" : "", "parse-names" : false, "suffix" : "" }, { "dropping-particle" : "", "family" : "Tybj\u00e6rg-Hansen", "given" : "Anne", "non-dropping-particle" : "", "parse-names" : false, "suffix" : "" }, { "dropping-particle" : "", "family" : "Schmidt", "given" : "Ruth Frikke", "non-dropping-particle" : "", "parse-names" : false, "suffix" : "" }, { "dropping-particle" : "", "family" : "Kuulasmaa", "given" : "Kari", "non-dropping-particle" : "", "parse-names" : false, "suffix" : "" }, { "dropping-particle" : "", "family" : "Liu", "given" : "Dajiang J", "non-dropping-particle" : "", "parse-names" : false, "suffix" : "" }, { "dropping-particle" : "", "family" : "Perola", "given" : "Markus", "non-dropping-particle" : "", "parse-names" : false, "suffix" : "" }, { "dropping-particle" : "", "family" : "Blankenberg", "given" : "Stefan", "non-dropping-particle" : "", "parse-names" : false, "suffix" : "" }, { "dropping-particle" : "", "family" : "Salomaa", "given" : "Veikko", "non-dropping-particle" : "", "parse-names" : false, "suffix" : "" }, { "dropping-particle" : "", "family" : "M\u00e4nnist\u00f6", "given" : "Satu", "non-dropping-particle" : "", "parse-names" : false, "suffix" : "" }, { "dropping-particle" : "", "family" : "Amouyel", "given" : "Philippe", "non-dropping-particle" : "", "parse-names" : false, "suffix" : "" }, { "dropping-particle" : "", "family" : "Arveiler", "given" : "Dominique", "non-dropping-particle" : "", "parse-names" : false, "suffix" : "" }, { "dropping-particle" : "", "family" : "Ferrieres", "given" : "Jean", "non-dropping-particle" : "", "parse-names" : false, "suffix" : "" }, { "dropping-particle" : "", "family" : "M\u00fcller-Nurasyid", "given" : "Martina", "non-dropping-particle" : "", "parse-names" : false, "suffix" : "" }, { "dropping-particle" : "", "family" : "Ferrario", "given" : "Marco", "non-dropping-particle" : "", "parse-names" : false, "suffix" : "" }, { "dropping-particle" : "", "family" : "Kee", "given" : "Frank", "non-dropping-particle" : "", "parse-names" : false, "suffix" : "" }, { "dropping-particle" : "", "family" : "Willer", "given" : "Cristen J", "non-dropping-particle" : "", "parse-names" : false, "suffix" : "" }, { "dropping-particle" : "", "family" : "Samani", "given" : "Nilesh", "non-dropping-particle" : "", "parse-names" : false, "suffix" : "" }, { "dropping-particle" : "", "family" : "Schunkert", "given" : "Heribert", "non-dropping-particle" : "", "parse-names" : false, "suffix" : "" }, { "dropping-particle" : "", "family" : "Butterworth", "given" : "Adam S", "non-dropping-particle" : "", "parse-names" : false, "suffix" : "" }, { "dropping-particle" : "", "family" : "Howson", "given" : "Joanna M M", "non-dropping-particle" : "", "parse-names" : false, "suffix" : "" }, { "dropping-particle" : "", "family" : "Peloso", "given" : "Gina M", "non-dropping-particle" : "", "parse-names" : false, "suffix" : "" }, { "dropping-particle" : "", "family" : "Stitziel", "given" : "Nathan O", "non-dropping-particle" : "", "parse-names" : false, "suffix" : "" }, { "dropping-particle" : "", "family" : "Danesh", "given" : "John", "non-dropping-particle" : "", "parse-names" : false, "suffix" : "" }, { "dropping-particle" : "", "family" : "Kathiresan", "given" : "Sekar", "non-dropping-particle" : "", "parse-names" : false, "suffix" : "" }, { "dropping-particle" : "", "family" : "Rader", "given" : "Daniel J", "non-dropping-particle" : "", "parse-names" : false, "suffix" : "" }, { "dropping-particle" : "", "family" : "CHD Exome+ Consortium", "given" : "S.", "non-dropping-particle" : "", "parse-names" : false, "suffix" : "" }, { "dropping-particle" : "", "family" : "CARDIoGRAM Exome Consortium", "given" : "E. M.", "non-dropping-particle" : "", "parse-names" : false, "suffix" : "" }, { "dropping-particle" : "", "family" : "Global Lipids Genetics Consortium", "given" : "S.", "non-dropping-particle" : "", "parse-names" : false, "suffix" : "" }, { "dropping-particle" : "", "family" : "Gustafsson", "given" : "S.", "non-dropping-particle" : "", "parse-names" : false, "suffix" : "" }, { "dropping-particle" : "", "family" : "Kanoni", "given" : "S.", "non-dropping-particle" : "", "parse-names" : false, "suffix" : "" }, { "dropping-particle" : "", "family" : "Ganna", "given" : "A.", "non-dropping-particle" : "", "parse-names" : false, "suffix" : "" }, { "dropping-particle" : "", "family" : "Chen", "given" : "J.", "non-dropping-particle" : "", "parse-names" : false, "suffix" : "" }, { "dropping-particle" : "", "family" : "Buchkovich", "given" : "M. L.", "non-dropping-particle" : "", "parse-names" : false, "suffix" : "" }, { "dropping-particle" : "", "family" : "Mora", "given" : "S.", "non-dropping-particle" : "", "parse-names" : false, "suffix" : "" }, { "dropping-particle" : "", "family" : "Beckmann", "given" : "J. S.", "non-dropping-particle" : "", "parse-names" : false, "suffix" : "" }, { "dropping-particle" : "", "family" : "Bragg-Gresham", "given" : "J. L.", "non-dropping-particle" : "", "parse-names" : false, "suffix" : "" }, { "dropping-particle" : "", "family" : "Chang", "given" : "H.-Y.", "non-dropping-particle" : "", "parse-names" : false, "suffix" : "" }, { "dropping-particle" : "", "family" : "Demirkan", "given" : "A.", "non-dropping-particle" : "", "parse-names" : false, "suffix" : "" }, { "dropping-particle" : "", "family" : "Hertog", "given" : "H. M.", "non-dropping-particle" : "Den", "parse-names" : false, "suffix" : "" }, { "dropping-particle" : "", "family" : "Do", "given" : "R.", "non-dropping-particle" : "", "parse-names" : false, "suffix" : "" }, { "dropping-particle" : "", "family" : "Donnelly", "given" : "L. A.", "non-dropping-particle" : "", "parse-names" : false, "suffix" : "" }, { "dropping-particle" : "", "family" : "Ehret", "given" : "G. B.", "non-dropping-particle" : "", "parse-names" : false, "suffix" : "" }, { "dropping-particle" : "", "family" : "Esko", "given" : "T.", "non-dropping-particle" : "", "parse-names" : false, "suffix" : "" }, { "dropping-particle" : "", "family" : "Feitosa", "given" : "M. F.", "non-dropping-particle" : "", "parse-names" : false, "suffix" : "" }, { "dropping-particle" : "", "family" : "Ferreira", "given" : "T.", "non-dropping-particle" : "", "parse-names" : false, "suffix" : "" }, { "dropping-particle" : "", "family" : "Fischer", "given" : "K.", "non-dropping-particle" : "", "parse-names" : false, "suffix" : "" }, { "dropping-particle" : "", "family" : "Fontanillas", "given" : "P.", "non-dropping-particle" : "", "parse-names" : false, "suffix" : "" }, { "dropping-particle" : "", "family" : "Fraser", "given" : "R. M.", "non-dropping-particle" : "", "parse-names" : false, "suffix" : "" }, { "dropping-particle" : "", "family" : "Freitag", "given" : "D. F.", "non-dropping-particle" : "", "parse-names" : false, "suffix" : "" }, { "dropping-particle" : "", "family" : "Gurdasani", "given" : "D.", "non-dropping-particle" : "", "parse-names" : false, "suffix" : "" }, { "dropping-particle" : "", "family" : "Heikkila", "given" : "K.", "non-dropping-particle" : "", "parse-names" : false, "suffix" : "" }, { "dropping-particle" : "", "family" : "Hypponen", "given" : "E.", "non-dropping-particle" : "", "parse-names" : false, "suffix" : "" }, { "dropping-particle" : "", "family" : "Isaacs", "given" : "A.", "non-dropping-particle" : "", "parse-names" : false, "suffix" : "" }, { "dropping-particle" : "", "family" : "Jackson", "given" : "A. U.", "non-dropping-particle" : "", "parse-names" : false, "suffix" : "" }, { "dropping-particle" : "", "family" : "Johansson", "given" : "A.", "non-dropping-particle" : "", "parse-names" : false, "suffix" : "" }, { "dropping-particle" : "", "family" : "Johnson", "given" : "T.", "non-dropping-particle" : "", "parse-names" : false, "suffix" : "" }, { "dropping-particle" : "", "family" : "Kaakinen", "given" : "M.", "non-dropping-particle" : "", "parse-names" : false, "suffix" : "" }, { "dropping-particle" : "", "family" : "Kettunen", "given" : "J.", "non-dropping-particle" : "", "parse-names" : false, "suffix" : "" }, { "dropping-particle" : "", "family" : "Kleber", "given" : "M. E.", "non-dropping-particle" : "", "parse-names" : false, "suffix" : "" }, { "dropping-particle" : "", "family" : "Li", "given" : "X.", "non-dropping-particle" : "", "parse-names" : false, "suffix" : "" }, { "dropping-particle" : "", "family" : "Luan", "given" : "J.", "non-dropping-particle" : "", "parse-names" : false, "suffix" : "" }, { "dropping-particle" : "", "family" : "Lyytikainen", "given" : "L.-P.", "non-dropping-particle" : "", "parse-names" : false, "suffix" : "" }, { "dropping-particle" : "", "family" : "Magnusson", "given" : "P. K. E.", "non-dropping-particle" : "", "parse-names" : false, "suffix" : "" }, { "dropping-particle" : "", "family" : "Mangino", "given" : "M.", "non-dropping-particle" : "", "parse-names" : false, "suffix" : "" }, { "dropping-particle" : "", "family" : "Mihailov", "given" : "E.", "non-dropping-particle" : "", "parse-names" : false, "suffix" : "" }, { "dropping-particle" : "", "family" : "Montasser", "given" : "M. E.", "non-dropping-particle" : "", "parse-names" : false, "suffix" : "" }, { "dropping-particle" : "", "family" : "Nolte", "given" : "I. M.", "non-dropping-particle" : "", "parse-names" : false, "suffix" : "" }, { "dropping-particle" : "", "family" : "OConnell", "given" : "J. R.", "non-dropping-particle" : "", "parse-names" : false, "suffix" : "" }, { "dropping-particle" : "", "family" : "Palmer", "given" : "C. D.", "non-dropping-particle" : "", "parse-names" : false, "suffix" : "" }, { "dropping-particle" : "", "family" : "Petersen", "given" : "A.-K.", "non-dropping-particle" : "", "parse-names" : false, "suffix" : "" }, { "dropping-particle" : "", "family" : "Sanna", "given" : "S.", "non-dropping-particle" : "", "parse-names" : false, "suffix" : "" }, { "dropping-particle" : "", "family" : "Saxena", "given" : "R.", "non-dropping-particle" : "", "parse-names" : false, "suffix" : "" }, { "dropping-particle" : "", "family" : "Service", "given" : "S. K.", "non-dropping-particle" : "", "parse-names" : false, "suffix" : "" }, { "dropping-particle" : "", "family" : "Shah", "given" : "S.", "non-dropping-particle" : "", "parse-names" : false, "suffix" : "" }, { "dropping-particle" : "", "family" : "Shungin", "given" : "D.", "non-dropping-particle" : "", "parse-names" : false, "suffix" : "" }, { "dropping-particle" : "", "family" : "Sidore", "given" : "C.", "non-dropping-particle" : "", "parse-names" : false, "suffix" : "" }, { "dropping-particle" : "", "family" : "Song", "given" : "C.", "non-dropping-particle" : "", "parse-names" : false, "suffix" : "" }, { "dropping-particle" : "", "family" : "Strawbridge", "given" : "R. J.", "non-dropping-particle" : "", "parse-names" : false, "suffix" : "" }, { "dropping-particle" : "", "family" : "Surakka", "given" : "I.", "non-dropping-particle" : "", "parse-names" : false, "suffix" : "" }, { "dropping-particle" : "", "family" : "Tanaka", "given" : "T.", "non-dropping-particle" : "", "parse-names" : false, "suffix" : "" }, { "dropping-particle" : "", "family" : "Teslovich", "given" : "T. M.", "non-dropping-particle" : "", "parse-names" : false, "suffix" : "" }, { "dropping-particle" : "", "family" : "Thorleifsson", "given" : "G.", "non-dropping-particle" : "", "parse-names" : false, "suffix" : "" }, { "dropping-particle" : "", "family" : "Herik", "given" : "E. G.", "non-dropping-particle" : "Van den", "parse-names" : false, "suffix" : "" }, { "dropping-particle" : "", "family" : "Voight", "given" : "B. F.", "non-dropping-particle" : "", "parse-names" : false, "suffix" : "" }, { "dropping-particle" : "", "family" : "Volcik", "given" : "K. A.", "non-dropping-particle" : "", "parse-names" : false, "suffix" : "" }, { "dropping-particle" : "", "family" : "Waite", "given" : "L. L.", "non-dropping-particle" : "", "parse-names" : false, "suffix" : "" }, { "dropping-particle" : "", "family" : "Wong", "given" : "A.", "non-dropping-particle" : "", "parse-names" : false, "suffix" : "" }, { "dropping-particle" : "", "family" : "Wu", "given" : "Y.", "non-dropping-particle" : "", "parse-names" : false, "suffix" : "" }, { "dropping-particle" : "", "family" : "Zhang", "given" : "W.", "non-dropping-particle" : "", "parse-names" : false, "suffix" : "" }, { "dropping-particle" : "", "family" : "Absher", "given" : "D.", "non-dropping-particle" : "", "parse-names" : false, "suffix" : "" }, { "dropping-particle" : "", "family" : "Asiki", "given" : "G.", "non-dropping-particle" : "", "parse-names" : false, "suffix" : "" }, { "dropping-particle" : "", "family" : "Barroso", "given" : "I.", "non-dropping-particle" : "", "parse-names" : false, "suffix" : "" }, { "dropping-particle" : "", "family" : "Been", "given" : "L. F.", "non-dropping-particle" : "", "parse-names" : false, "suffix" : "" }, { "dropping-particle" : "", "family" : "Bolton", "given" : "J. L.", "non-dropping-particle" : "", "parse-names" : false, "suffix" : "" }, { "dropping-particle" : "", "family" : "Bonnycastle", "given" : "L. L.", "non-dropping-particle" : "", "parse-names" : false, "suffix" : "" }, { "dropping-particle" : "", "family" : "Brambilla", "given" : "P.", "non-dropping-particle" : "", "parse-names" : false, "suffix" : "" }, { "dropping-particle" : "", "family" : "Burnett", "given" : "M. S.", "non-dropping-particle" : "", "parse-names" : false, "suffix" : "" }, { "dropping-particle" : "", "family" : "Cesana", "given" : "G.", "non-dropping-particle" : "", "parse-names" : false, "suffix" : "" }, { "dropping-particle" : "", "family" : "Dimitriou", "given" : "M.", "non-dropping-particle" : "", "parse-names" : false, "suffix" : "" }, { "dropping-particle" : "", "family" : "Doney", "given" : "A. S. F.", "non-dropping-particle" : "", "parse-names" : false, "suffix" : "" }, { "dropping-particle" : "", "family" : "Doring", "given" : "A.", "non-dropping-particle" : "", "parse-names" : false, "suffix" : "" }, { "dropping-particle" : "", "family" : "Elliott", "given" : "P.", "non-dropping-particle" : "", "parse-names" : false, "suffix" : "" }, { "dropping-particle" : "", "family" : "Epstein", "given" : "S. E.", "non-dropping-particle" : "", "parse-names" : false, "suffix" : "" }, { "dropping-particle" : "", "family" : "Eyjolfsson", "given" : "G. I.", "non-dropping-particle" : "", "parse-names" : false, "suffix" : "" }, { "dropping-particle" : "", "family" : "Gigante", "given" : "B.", "non-dropping-particle" : "", "parse-names" : false, "suffix" : "" }, { "dropping-particle" : "", "family" : "Goodarzi", "given" : "M. O.", "non-dropping-particle" : "", "parse-names" : false, "suffix" : "" }, { "dropping-particle" : "", "family" : "Grallert", "given" : "H.", "non-dropping-particle" : "", "parse-names" : false, "suffix" : "" }, { "dropping-particle" : "", "family" : "Gravito", "given" : "M. L.", "non-dropping-particle" : "", "parse-names" : false, "suffix" : "" }, { "dropping-particle" : "", "family" : "Groves", "given" : "C. J.", "non-dropping-particle" : "", "parse-names" : false, "suffix" : "" }, { "dropping-particle" : "", "family" : "Hallmans", "given" : "G.", "non-dropping-particle" : "", "parse-names" : false, "suffix" : "" }, { "dropping-particle" : "", "family" : "Hartikainen", "given" : "A.-L.", "non-dropping-particle" : "", "parse-names" : false, "suffix" : "" }, { "dropping-particle" : "", "family" : "Hayward", "given" : "C.", "non-dropping-particle" : "", "parse-names" : false, "suffix" : "" }, { "dropping-particle" : "", "family" : "Hernandez", "given" : "D.", "non-dropping-particle" : "", "parse-names" : false, "suffix" : "" }, { "dropping-particle" : "", "family" : "Hicks", "given" : "A. A.", "non-dropping-particle" : "", "parse-names" : false, "suffix" : "" }, { "dropping-particle" : "", "family" : "Holm", "given" : "H.", "non-dropping-particle" : "", "parse-names" : false, "suffix" : "" }, { "dropping-particle" : "", "family" : "Hung", "given" : "Y.-J.", "non-dropping-particle" : "", "parse-names" : false, "suffix" : "" }, { "dropping-particle" : "", "family" : "Illig", "given" : "T.", "non-dropping-particle" : "", "parse-names" : false, "suffix" : "" }, { "dropping-particle" : "", "family" : "Jones", "given" : "M. R.", "non-dropping-particle" : "", "parse-names" : false, "suffix" : "" }, { "dropping-particle" : "", "family" : "Kaleebu", "given" : "P.", "non-dropping-particle" : "", "parse-names" : false, "suffix" : "" }, { "dropping-particle" : "", "family" : "Kastelein", "given" : "J. J. P.", "non-dropping-particle" : "", "parse-names" : false, "suffix" : "" }, { "dropping-particle" : "", "family" : "Khaw", "given" : "K.-T.", "non-dropping-particle" : "", "parse-names" : false, "suffix" : "" }, { "dropping-particle" : "", "family" : "Kim", "given" : "E.", "non-dropping-particle" : "", "parse-names" : false, "suffix" : "" }, { "dropping-particle" : "", "family" : "Klopp", "given" : "N.", "non-dropping-particle" : "", "parse-names" : false, "suffix" : "" }, { "dropping-particle" : "", "family" : "Komulainen", "given" : "P.", "non-dropping-particle" : "", "parse-names" : false, "suffix" : "" }, { "dropping-particle" : "", "family" : "Kumari", "given" : "M.", "non-dropping-particle" : "", "parse-names" : false, "suffix" : "" }, { "dropping-particle" : "", "family" : "Langenberg", "given" : "C.", "non-dropping-particle" : "", "parse-names" : false, "suffix" : "" }, { "dropping-particle" : "", "family" : "Lehtimaki", "given" : "T.", "non-dropping-particle" : "", "parse-names" : false, "suffix" : "" }, { "dropping-particle" : "", "family" : "Lin", "given" : "S.-Y.", "non-dropping-particle" : "", "parse-names" : false, "suffix" : "" }, { "dropping-particle" : "", "family" : "Lindstrom", "given" : "J.", "non-dropping-particle" : "", "parse-names" : false, "suffix" : "" }, { "dropping-particle" : "", "family" : "Loos", "given" : "R. J. F.", "non-dropping-particle" : "", "parse-names" : false, "suffix" : "" }, { "dropping-particle" : "", "family" : "Mach", "given" : "F.", "non-dropping-particle" : "", "parse-names" : false, "suffix" : "" }, { "dropping-particle" : "", "family" : "McArdle", "given" : "W. L.", "non-dropping-particle" : "", "parse-names" : false, "suffix" : "" }, { "dropping-particle" : "", "family" : "Meisinger", "given" : "C.", "non-dropping-particle" : "", "parse-names" : false, "suffix" : "" }, { "dropping-particle" : "", "family" : "Mitchell", "given" : "B. D.", "non-dropping-particle" : "", "parse-names" : false, "suffix" : "" }, { "dropping-particle" : "", "family" : "Muller", "given" : "G.", "non-dropping-particle" : "", "parse-names" : false, "suffix" : "" }, { "dropping-particle" : "", "family" : "Nagaraja", "given" : "R.", "non-dropping-particle" : "", "parse-names" : false, "suffix" : "" }, { "dropping-particle" : "", "family" : "Narisu", "given" : "N.", "non-dropping-particle" : "", "parse-names" : false, "suffix" : "" }, { "dropping-particle" : "", "family" : "Nieminen", "given" : "T. V. M.", "non-dropping-particle" : "", "parse-names" : false, "suffix" : "" }, { "dropping-particle" : "", "family" : "Nsubuga", "given" : "R. N.", "non-dropping-particle" : "", "parse-names" : false, "suffix" : "" }, { "dropping-particle" : "", "family" : "Olafsson", "given" : "I.", "non-dropping-particle" : "", "parse-names" : false, "suffix" : "" }, { "dropping-particle" : "", "family" : "Ong", "given" : "K. K.", "non-dropping-particle" : "", "parse-names" : false, "suffix" : "" }, { "dropping-particle" : "", "family" : "Palotie", "given" : "A.", "non-dropping-particle" : "", "parse-names" : false, "suffix" : "" }, { "dropping-particle" : "", "family" : "Papamarkou", "given" : "T.", "non-dropping-particle" : "", "parse-names" : false, "suffix" : "" }, { "dropping-particle" : "", "family" : "Pomilla", "given" : "C.", "non-dropping-particle" : "", "parse-names" : false, "suffix" : "" }, { "dropping-particle" : "", "family" : "Pouta", "given" : "A.", "non-dropping-particle" : "", "parse-names" : false, "suffix" : "" }, { "dropping-particle" : "", "family" : "Reilly", "given" : "M. P.", "non-dropping-particle" : "", "parse-names" : false, "suffix" : "" }, { "dropping-particle" : "", "family" : "Ridker", "given" : "P. M.", "non-dropping-particle" : "", "parse-names" : false, "suffix" : "" }, { "dropping-particle" : "", "family" : "Rivadeneira", "given" : "F.", "non-dropping-particle" : "", "parse-names" : false, "suffix" : "" }, { "dropping-particle" : "", "family" : "Rudan", "given" : "I.", "non-dropping-particle" : "", "parse-names" : false, "suffix" : "" }, { "dropping-particle" : "", "family" : "Ruokonen", "given" : "A.", "non-dropping-particle" : "", "parse-names" : false, "suffix" : "" }, { "dropping-particle" : "", "family" : "Scharnagl", "given" : "H.", "non-dropping-particle" : "", "parse-names" : false, "suffix" : "" }, { "dropping-particle" : "", "family" : "Seeley", "given" : "J.", "non-dropping-particle" : "", "parse-names" : false, "suffix" : "" }, { "dropping-particle" : "", "family" : "Silander", "given" : "K.", "non-dropping-particle" : "", "parse-names" : false, "suffix" : "" }, { "dropping-particle" : "", "family" : "Stancakova", "given" : "A.", "non-dropping-particle" : "", "parse-names" : false, "suffix" : "" }, { "dropping-particle" : "", "family" : "Stirrups", "given" : "K.", "non-dropping-particle" : "", "parse-names" : false, "suffix" : "" }, { "dropping-particle" : "", "family" : "Swift", "given" : "A. J.", "non-dropping-particle" : "", "parse-names" : false, "suffix" : "" }, { "dropping-particle" : "", "family" : "Tiret", "given" : "L.", "non-dropping-particle" : "", "parse-names" : false, "suffix" : "" }, { "dropping-particle" : "", "family" : "Uitterlinden", "given" : "A. G.", "non-dropping-particle" : "", "parse-names" : false, "suffix" : "" }, { "dropping-particle" : "", "family" : "Pelt", "given" : "L. J.", "non-dropping-particle" : "van", "parse-names" : false, "suffix" : "" }, { "dropping-particle" : "", "family" : "Vedantam", "given" : "S.", "non-dropping-particle" : "", "parse-names" : false, "suffix" : "" }, { "dropping-particle" : "", "family" : "Wainwright", "given" : "N.", "non-dropping-particle" : "", "parse-names" : false, "suffix" : "" }, { "dropping-particle" : "", "family" : "Wijmenga", "given" : "C.", "non-dropping-particle" : "", "parse-names" : false, "suffix" : "" }, { "dropping-particle" : "", "family" : "Wild", "given" : "S. H.", "non-dropping-particle" : "", "parse-names" : false, "suffix" : "" }, { "dropping-particle" : "", "family" : "Willemsen", "given" : "G.", "non-dropping-particle" : "", "parse-names" : false, "suffix" : "" }, { "dropping-particle" : "", "family" : "Wilsgaard", "given" : "T.", "non-dropping-particle" : "", "parse-names" : false, "suffix" : "" }, { "dropping-particle" : "", "family" : "Wilson", "given" : "J. F.", "non-dropping-particle" : "", "parse-names" : false, "suffix" : "" }, { "dropping-particle" : "", "family" : "Young", "given" : "E. H.", "non-dropping-particle" : "", "parse-names" : false, "suffix" : "" }, { "dropping-particle" : "", "family" : "Zhao", "given" : "J. H.", "non-dropping-particle" : "", "parse-names" : false, "suffix" : "" }, { "dropping-particle" : "", "family" : "Adair", "given" : "L. S.", "non-dropping-particle" : "", "parse-names" : false, "suffix" : "" }, { "dropping-particle" : "", "family" : "Arveiler", "given" : "D.", "non-dropping-particle" : "", "parse-names" : false, "suffix" : "" }, { "dropping-particle" : "", "family" : "Assimes", "given" : "T. L.", "non-dropping-particle" : "", "parse-names" : false, "suffix" : "" }, { "dropping-particle" : "", "family" : "Bandinelli", "given" : "S.", "non-dropping-particle" : "", "parse-names" : false, "suffix" : "" }, { "dropping-particle" : "", "family" : "Bennett", "given" : "F.", "non-dropping-particle" : "", "parse-names" : false, "suffix" : "" }, { "dropping-particle" : "", "family" : "Bochud", "given" : "M.", "non-dropping-particle" : "", "parse-names" : false, "suffix" : "" }, { "dropping-particle" : "", "family" : "Boehm", "given" : "B. O.", "non-dropping-particle" : "", "parse-names" : false, "suffix" : "" }, { "dropping-particle" : "", "family" : "Boomsma", "given" : "D. I.", "non-dropping-particle" : "", "parse-names" : false, "suffix" : "" }, { "dropping-particle" : "", "family" : "Borecki", "given" : "I. B.", "non-dropping-particle" : "", "parse-names" : false, "suffix" : "" }, { "dropping-particle" : "", "family" : "Bornstein", "given" : "S. R.", "non-dropping-particle" : "", "parse-names" : false, "suffix" : "" }, { "dropping-particle" : "", "family" : "Bovet", "given" : "P.", "non-dropping-particle" : "", "parse-names" : false, "suffix" : "" }, { "dropping-particle" : "", "family" : "Burnier", "given" : "M.", "non-dropping-particle" : "", "parse-names" : false, "suffix" : "" }, { "dropping-particle" : "", "family" : "Campbell", "given" : "H.", "non-dropping-particle" : "", "parse-names" : false, "suffix" : "" }, { "dropping-particle" : "", "family" : "Chakravarti", "given" : "A.", "non-dropping-particle" : "", "parse-names" : false, "suffix" : "" }, { "dropping-particle" : "", "family" : "Chambers", "given" : "J. C.", "non-dropping-particle" : "", "parse-names" : false, "suffix" : "" }, { "dropping-particle" : "", "family" : "Chen", "given" : "Y.-D. I.", "non-dropping-particle" : "", "parse-names" : false, "suffix" : "" }, { "dropping-particle" : "", "family" : "Collins", "given" : "F. S.", "non-dropping-particle" : "", "parse-names" : false, "suffix" : "" }, { "dropping-particle" : "", "family" : "Cooper", "given" : "R. S.", "non-dropping-particle" : "", "parse-names" : false, "suffix" : "" }, { "dropping-particle" : "", "family" : "Dedoussis", "given" : "G.", "non-dropping-particle" : "", "parse-names" : false, "suffix" : "" }, { "dropping-particle" : "", "family" : "Faire", "given" : "U.", "non-dropping-particle" : "de", "parse-names" : false, "suffix" : "" }, { "dropping-particle" : "", "family" : "Feranil", "given" : "A. B.", "non-dropping-particle" : "", "parse-names" : false, "suffix" : "" }, { "dropping-particle" : "", "family" : "Ferrucci", "given" : "L.", "non-dropping-particle" : "", "parse-names" : false, "suffix" : "" }, { "dropping-particle" : "", "family" : "Freimer", "given" : "N. B.", "non-dropping-particle" : "", "parse-names" : false, "suffix" : "" }, { "dropping-particle" : "", "family" : "Gieger", "given" : "C.", "non-dropping-particle" : "", "parse-names" : false, "suffix" : "" }, { "dropping-particle" : "", "family" : "Groop", "given" : "L. C.", "non-dropping-particle" : "", "parse-names" : false, "suffix" : "" }, { "dropping-particle" : "", "family" : "Gudnason", "given" : "V.", "non-dropping-particle" : "", "parse-names" : false, "suffix" : "" }, { "dropping-particle" : "", "family" : "Gyllensten", "given" : "U.", "non-dropping-particle" : "", "parse-names" : false, "suffix" : "" }, { "dropping-particle" : "", "family" : "Hamsten", "given" : "A.", "non-dropping-particle" : "", "parse-names" : false, "suffix" : "" }, { "dropping-particle" : "", "family" : "Harris", "given" : "T. B.", "non-dropping-particle" : "", "parse-names" : false, "suffix" : "" }, { "dropping-particle" : "", "family" : "Hingorani", "given" : "A.", "non-dropping-particle" : "", "parse-names" : false, "suffix" : "" }, { "dropping-particle" : "", "family" : "Hirschhorn", "given" : "J. N.", "non-dropping-particle" : "", "parse-names" : false, "suffix" : "" }, { "dropping-particle" : "", "family" : "Hofman", "given" : "A.", "non-dropping-particle" : "", "parse-names" : false, "suffix" : "" }, { "dropping-particle" : "", "family" : "Hovingh", "given" : "G. K.", "non-dropping-particle" : "", "parse-names" : false, "suffix" : "" }, { "dropping-particle" : "", "family" : "Hsiung", "given" : "C. A.", "non-dropping-particle" : "", "parse-names" : false, "suffix" : "" }, { "dropping-particle" : "", "family" : "Humphries", "given" : "S. E.", "non-dropping-particle" : "", "parse-names" : false, "suffix" : "" }, { "dropping-particle" : "", "family" : "Hunt", "given" : "S. C.", "non-dropping-particle" : "", "parse-names" : false, "suffix" : "" }, { "dropping-particle" : "", "family" : "Hveem", "given" : "K.", "non-dropping-particle" : "", "parse-names" : false, "suffix" : "" }, { "dropping-particle" : "", "family" : "Iribarren", "given" : "C.", "non-dropping-particle" : "", "parse-names" : false, "suffix" : "" }, { "dropping-particle" : "", "family" : "Jarvelin", "given" : "M.-R.", "non-dropping-particle" : "", "parse-names" : false, "suffix" : "" }, { "dropping-particle" : "", "family" : "Jula", "given" : "A.", "non-dropping-particle" : "", "parse-names" : false, "suffix" : "" }, { "dropping-particle" : "", "family" : "Kahonen", "given" : "M.", "non-dropping-particle" : "", "parse-names" : false, "suffix" : "" }, { "dropping-particle" : "", "family" : "Kaprio", "given" : "J.", "non-dropping-particle" : "", "parse-names" : false, "suffix" : "" }, { "dropping-particle" : "", "family" : "Kesaniemi", "given" : "A.", "non-dropping-particle" : "", "parse-names" : false, "suffix" : "" }, { "dropping-particle" : "", "family" : "Kivimaki", "given" : "M.", "non-dropping-particle" : "", "parse-names" : false, "suffix" : "" }, { "dropping-particle" : "", "family" : "Kooner", "given" : "J. S.", "non-dropping-particle" : "", "parse-names" : false, "suffix" : "" }, { "dropping-particle" : "", "family" : "Koudstaal", "given" : "P. J.", "non-dropping-particle" : "", "parse-names" : false, "suffix" : "" }, { "dropping-particle" : "", "family" : "Krauss", "given" : "R. M.", "non-dropping-particle" : "", "parse-names" : false, "suffix" : "" }, { "dropping-particle" : "", "family" : "Kuh", "given" : "D.", "non-dropping-particle" : "", "parse-names" : false, "suffix" : "" }, { "dropping-particle" : "", "family" : "Kuusisto", "given" : "J.", "non-dropping-particle" : "", "parse-names" : false, "suffix" : "" }, { "dropping-particle" : "", "family" : "Kyvik", "given" : "K. O.", "non-dropping-particle" : "", "parse-names" : false, "suffix" : "" }, { "dropping-particle" : "", "family" : "Laakso", "given" : "M.", "non-dropping-particle" : "", "parse-names" : false, "suffix" : "" }, { "dropping-particle" : "", "family" : "Lakka", "given" : "T. A.", "non-dropping-particle" : "", "parse-names" : false, "suffix" : "" }, { "dropping-particle" : "", "family" : "Lind", "given" : "L.", "non-dropping-particle" : "", "parse-names" : false, "suffix" : "" }, { "dropping-particle" : "", "family" : "Lindgren", "given" : "C. M.", "non-dropping-particle" : "", "parse-names" : false, "suffix" : "" }, { "dropping-particle" : "", "family" : "Martin", "given" : "N. G.", "non-dropping-particle" : "", "parse-names" : false, "suffix" : "" }, { "dropping-particle" : "", "family" : "Marz", "given" : "W.", "non-dropping-particle" : "", "parse-names" : false, "suffix" : "" }, { "dropping-particle" : "", "family" : "McCarthy", "given" : "M. I.", "non-dropping-particle" : "", "parse-names" : false, "suffix" : "" }, { "dropping-particle" : "", "family" : "McKenzie", "given" : "C. A.", "non-dropping-particle" : "", "parse-names" : false, "suffix" : "" }, { "dropping-particle" : "", "family" : "Meneton", "given" : "P.", "non-dropping-particle" : "", "parse-names" : false, "suffix" : "" }, { "dropping-particle" : "", "family" : "Metspalu", "given" : "A.", "non-dropping-particle" : "", "parse-names" : false, "suffix" : "" }, { "dropping-particle" : "", "family" : "Moilanen", "given" : "L.", "non-dropping-particle" : "", "parse-names" : false, "suffix" : "" }, { "dropping-particle" : "", "family" : "Morris", "given" : "A. D.", "non-dropping-particle" : "", "parse-names" : false, "suffix" : "" }, { "dropping-particle" : "", "family" : "Munroe", "given" : "P. B.", "non-dropping-particle" : "", "parse-names" : false, "suffix" : "" }, { "dropping-particle" : "", "family" : "Njolstad", "given" : "I.", "non-dropping-particle" : "", "parse-names" : false, "suffix" : "" }, { "dropping-particle" : "", "family" : "Pedersen", "given" : "N. L.", "non-dropping-particle" : "", "parse-names" : false, "suffix" : "" }, { "dropping-particle" : "", "family" : "Power", "given" : "C.", "non-dropping-particle" : "", "parse-names" : false, "suffix" : "" }, { "dropping-particle" : "", "family" : "Pramstaller", "given" : "P. P.", "non-dropping-particle" : "", "parse-names" : false, "suffix" : "" }, { "dropping-particle" : "", "family" : "Price", "given" : "J. F.", "non-dropping-particle" : "", "parse-names" : false, "suffix" : "" }, { "dropping-particle" : "", "family" : "Psaty", "given" : "B. M.", "non-dropping-particle" : "", "parse-names" : false, "suffix" : "" }, { "dropping-particle" : "", "family" : "Quertermous", "given" : "T.", "non-dropping-particle" : "", "parse-names" : false, "suffix" : "" }, { "dropping-particle" : "", "family" : "Rauramaa", "given" : "R.", "non-dropping-particle" : "", "parse-names" : false, "suffix" : "" }, { "dropping-particle" : "", "family" : "Salomaa", "given" : "V.", "non-dropping-particle" : "", "parse-names" : false, "suffix" : "" }, { "dropping-particle" : "", "family" : "Sanghera", "given" : "D. K.", "non-dropping-particle" : "", "parse-names" : false, "suffix" : "" }, { "dropping-particle" : "", "family" : "Saramies", "given" : "J.", "non-dropping-particle" : "", "parse-names" : false, "suffix" : "" }, { "dropping-particle" : "", "family" : "Schwarz", "given" : "P. E. H.", "non-dropping-particle" : "", "parse-names" : false, "suffix" : "" }, { "dropping-particle" : "", "family" : "Sheu", "given" : "W. H.- H.", "non-dropping-particle" : "", "parse-names" : false, "suffix" : "" }, { "dropping-particle" : "", "family" : "Shuldiner", "given" : "A. R.", "non-dropping-particle" : "", "parse-names" : false, "suffix" : "" }, { "dropping-particle" : "", "family" : "Siegbahn", "given" : "A.", "non-dropping-particle" : "", "parse-names" : false, "suffix" : "" }, { "dropping-particle" : "", "family" : "Spector", "given" : "T. D.", "non-dropping-particle" : "", "parse-names" : false, "suffix" : "" }, { "dropping-particle" : "", "family" : "Stefansson", "given" : "K.", "non-dropping-particle" : "", "parse-names" : false, "suffix" : "" }, { "dropping-particle" : "", "family" : "Strachan", "given" : "D. P.", "non-dropping-particle" : "", "parse-names" : false, "suffix" : "" }, { "dropping-particle" : "", "family" : "Tayo", "given" : "B. O.", "non-dropping-particle" : "", "parse-names" : false, "suffix" : "" }, { "dropping-particle" : "", "family" : "Tremoli", "given" : "E.", "non-dropping-particle" : "", "parse-names" : false, "suffix" : "" }, { "dropping-particle" : "", "family" : "Tuomilehto", "given" : "J.", "non-dropping-particle" : "", "parse-names" : false, "suffix" : "" }, { "dropping-particle" : "", "family" : "Uusitupa", "given" : "M.", "non-dropping-particle" : "", "parse-names" : false, "suffix" : "" }, { "dropping-particle" : "", "family" : "Duijn", "given" : "C. M.", "non-dropping-particle" : "van", "parse-names" : false, "suffix" : "" }, { "dropping-particle" : "", "family" : "Vollenweider", "given" : "P.", "non-dropping-particle" : "", "parse-names" : false, "suffix" : "" }, { "dropping-particle" : "", "family" : "Wallentin", "given" : "L.", "non-dropping-particle" : "", "parse-names" : false, "suffix" : "" }, { "dropping-particle" : "", "family" : "Wareham", "given" : "N. J.", "non-dropping-particle" : "", "parse-names" : false, "suffix" : "" }, { "dropping-particle" : "", "family" : "Whitfield", "given" : "J. B.", "non-dropping-particle" : "", "parse-names" : false, "suffix" : "" }, { "dropping-particle" : "", "family" : "Wolffenbuttel", "given" : "B. H. R.", "non-dropping-particle" : "", "parse-names" : false, "suffix" : "" }, { "dropping-particle" : "", "family" : "Ordovas", "given" : "J. M.", "non-dropping-particle" : "", "parse-names" : false, "suffix" : "" }, { "dropping-particle" : "", "family" : "Boerwinkle", "given" : "E.", "non-dropping-particle" : "", "parse-names" : false, "suffix" : "" }, { "dropping-particle" : "", "family" : "Palmer", "given" : "C. N. A.", "non-dropping-particle" : "", "parse-names" : false, "suffix" : "" }, { "dropping-particle" : "", "family" : "Thorsteinsdottir", "given" : "U.", "non-dropping-particle" : "", "parse-names" : false, "suffix" : "" }, { "dropping-particle" : "", "family" : "Chasman", "given" : "D. I.", "non-dropping-particle" : "", "parse-names" : false, "suffix" : "" }, { "dropping-particle" : "", "family" : "Rotter", "given" : "J. I.", "non-dropping-particle" : "", "parse-names" : false, "suffix" : "" }, { "dropping-particle" : "", "family" : "Franks", "given" : "P. W.", "non-dropping-particle" : "", "parse-names" : false, "suffix" : "" }, { "dropping-particle" : "", "family" : "Riatti", "given" : "S.", "non-dropping-particle" : "", "parse-names" : false, "suffix" : "" }, { "dropping-particle" : "", "family" : "Cupples", "given" : "L. A.", "non-dropping-particle" : "", "parse-names" : false, "suffix" : "" }, { "dropping-particle" : "", "family" : "Sandhu", "given" : "M. S.", "non-dropping-particle" : "", "parse-names" : false, "suffix" : "" }, { "dropping-particle" : "", "family" : "Rich", "given" : "S. S.", "non-dropping-particle" : "", "parse-names" : false, "suffix" : "" }, { "dropping-particle" : "", "family" : "Boehnke", "given" : "M.", "non-dropping-particle" : "", "parse-names" : false, "suffix" : "" }, { "dropping-particle" : "", "family" : "Deloukas", "given" : "P.", "non-dropping-particle" : "", "parse-names" : false, "suffix" : "" }, { "dropping-particle" : "", "family" : "Mohlke", "given" : "K. L.", "non-dropping-particle" : "", "parse-names" : false, "suffix" : "" }, { "dropping-particle" : "", "family" : "Ingelsson", "given" : "E.", "non-dropping-particle" : "", "parse-names" : false, "suffix" : "" }, { "dropping-particle" : "", "family" : "Gu", "given" : "D.", "non-dropping-particle" : "", "parse-names" : false, "suffix" : "" }, { "dropping-particle" : "", "family" : "Roberts", "given" : "R.", "non-dropping-particle" : "", "parse-names" : false, "suffix" : "" }, { "dropping-particle" : "", "family" : "Watkins", "given" : "H.", "non-dropping-particle" : "", "parse-names" : false, "suffix" : "" }, { "dropping-particle" : "", "family" : "Blankenberg", "given" : "S.", "non-dropping-particle" : "", "parse-names" : false, "suffix" : "" }, { "dropping-particle" : "", "family" : "Clarke", "given" : "R.", "non-dropping-particle" : "", "parse-names" : false, "suffix" : "" }, { "dropping-particle" : "", "family" : "Collins", "given" : "R.", "non-dropping-particle" : "", "parse-names" : false, "suffix" : "" }, { "dropping-particle" : "", "family" : "Kim", "given" : "B.-J.", "non-dropping-particle" : "", "parse-names" : false, "suffix" : "" }, { "dropping-particle" : "", "family" : "McPherson", "given" : "R.", "non-dropping-particle" : "", "parse-names" : false, "suffix" : "" }, { "dropping-particle" : "", "family" : "Nieminen", "given" : "M. S.", "non-dropping-particle" : "", "parse-names" : false, "suffix" : "" }, { "dropping-particle" : "", "family" : "O'Donnell", "given" : "C.", "non-dropping-particle" : "", "parse-names" : false, "suffix" : "" }, { "dropping-particle" : "", "family" : "Schreiber", "given" : "S.", "non-dropping-particle" : "", "parse-names" : false, "suffix" : "" }, { "dropping-particle" : "", "family" : "Siegbahn", "given" : "A.", "non-dropping-particle" : "", "parse-names" : false, "suffix" : "" }, { "dropping-particle" : "", "family" : "Zalloua", "given" : "P. A.", "non-dropping-particle" : "", "parse-names" : false, "suffix" : "" } ], "container-title" : "Science (New York, N.Y.)", "id" : "ITEM-1", "issue" : "6278", "issued" : { "date-parts" : [ [ "2016", "3" ] ] }, "page" : "1166-71", "title" : "Rare variant in scavenger receptor BI raises HDL cholesterol and increases risk of coronary heart disease.", "type" : "article-journal", "volume" : "351" }, "uris" : [ "http://www.mendeley.com/documents/?uuid=934751b7-dd2a-38b4-8b98-65a26204af43", "http://www.mendeley.com/documents/?uuid=308feb96-303e-4aae-a3e0-6342e350f5f7" ] }, { "id" : "ITEM-2", "itemData" : { "DOI" : "10.1136/bmj.d636", "ISSN" : "0959-8138", "author" : [ { "dropping-particle" : "", "family" : "Brien", "given" : "S. E.", "non-dropping-particle" : "", "parse-names" : false, "suffix" : "" }, { "dropping-particle" : "", "family" : "Ronksley", "given" : "P. E.", "non-dropping-particle" : "", "parse-names" : false, "suffix" : "" }, { "dropping-particle" : "", "family" : "Turner", "given" : "B. J.", "non-dropping-particle" : "", "parse-names" : false, "suffix" : "" }, { "dropping-particle" : "", "family" : "Mukamal", "given" : "K. J.", "non-dropping-particle" : "", "parse-names" : false, "suffix" : "" }, { "dropping-particle" : "", "family" : "Ghali", "given" : "W. A.", "non-dropping-particle" : "", "parse-names" : false, "suffix" : "" } ], "container-title" : "BMJ", "id" : "ITEM-2", "issue" : "feb22 1", "issued" : { "date-parts" : [ [ "2011", "2" ] ] }, "page" : "d636-d636", "title" : "Effect of alcohol consumption on biological markers associated with risk of coronary heart disease: systematic review and meta-analysis of interventional studies", "type" : "article-journal", "volume" : "342" }, "uris" : [ "http://www.mendeley.com/documents/?uuid=9f5b4498-5369-38d1-9ab6-fe2946404725", "http://www.mendeley.com/documents/?uuid=d5fdf3be-e606-42b1-a366-8bcdb58597fd" ] }, { "id" : "ITEM-3", "itemData" : { "DOI" : "10.1016/S0140-6736(12)60312-2", "ISSN" : "1474-547X", "PMID" : "22607825", "abstract" : "BACKGROUND High plasma HDL cholesterol is associated with reduced risk of myocardial infarction, but whether this association is causal is unclear. Exploiting the fact that genotypes are randomly assigned at meiosis, are independent of non-genetic confounding, and are unmodified by disease processes, mendelian randomisation can be used to test the hypothesis that the association of a plasma biomarker with disease is causal. METHODS We performed two mendelian randomisation analyses. First, we used as an instrument a single nucleotide polymorphism (SNP) in the endothelial lipase gene (LIPG Asn396Ser) and tested this SNP in 20 studies (20,913 myocardial infarction cases, 95,407 controls). Second, we used as an instrument a genetic score consisting of 14 common SNPs that exclusively associate with HDL cholesterol and tested this score in up to 12,482 cases of myocardial infarction and 41,331 controls. As a positive control, we also tested a genetic score of 13 common SNPs exclusively associated with LDL cholesterol. FINDINGS Carriers of the LIPG 396Ser allele (2\u00b76% frequency) had higher HDL cholesterol (0\u00b714 mmol/L higher, p=8\u00d710(-13)) but similar levels of other lipid and non-lipid risk factors for myocardial infarction compared with non-carriers. This difference in HDL cholesterol is expected to decrease risk of myocardial infarction by 13% (odds ratio [OR] 0\u00b787, 95% CI 0\u00b784-0\u00b791). However, we noted that the 396Ser allele was not associated with risk of myocardial infarction (OR 0\u00b799, 95% CI 0\u00b788-1\u00b711, p=0\u00b785). From observational epidemiology, an increase of 1 SD in HDL cholesterol was associated with reduced risk of myocardial infarction (OR 0\u00b762, 95% CI 0\u00b758-0\u00b766). However, a 1 SD increase in HDL cholesterol due to genetic score was not associated with risk of myocardial infarction (OR 0\u00b793, 95% CI 0\u00b768-1\u00b726, p=0\u00b763). For LDL cholesterol, the estimate from observational epidemiology (a 1 SD increase in LDL cholesterol associated with OR 1\u00b754, 95% CI 1\u00b745-1\u00b763) was concordant with that from genetic score (OR 2\u00b713, 95% CI 1\u00b769-2\u00b769, p=2\u00d710(-10)). INTERPRETATION Some genetic mechanisms that raise plasma HDL cholesterol do not seem to lower risk of myocardial infarction. These data challenge the concept that raising of plasma HDL cholesterol will uniformly translate into reductions in risk of myocardial infarction. FUNDING US National Institutes of Health, The Wellcome Trust, European Union, British Heart Foundation, and the German Federal Ministry of Educa\u2026", "author" : [ { "dropping-particle" : "", "family" : "Voight", "given" : "Benjamin F", "non-dropping-particle" : "", "parse-names" : false, "suffix" : "" }, { "dropping-particle" : "", "family" : "Peloso", "given" : "Gina M", "non-dropping-particle" : "", "parse-names" : false, "suffix" : "" }, { "dropping-particle" : "", "family" : "Orho-Melander", "given" : "Marju", "non-dropping-particle" : "", "parse-names" : false, "suffix" : "" }, { "dropping-particle" : "", "family" : "Frikke-Schmidt", "given" : "Ruth", "non-dropping-particle" : "", "parse-names" : false, "suffix" : "" }, { "dropping-particle" : "", "family" : "Barbalic", "given" : "Maja", "non-dropping-particle" : "", "parse-names" : false, "suffix" : "" }, { "dropping-particle" : "", "family" : "Jensen", "given" : "Majken K", "non-dropping-particle" : "", "parse-names" : false, "suffix" : "" }, { "dropping-particle" : "", "family" : "Hindy", "given" : "George", "non-dropping-particle" : "", "parse-names" : false, "suffix" : "" }, { "dropping-particle" : "", "family" : "H\u00f3lm", "given" : "Hilma", "non-dropping-particle" : "", "parse-names" : false, "suffix" : "" }, { "dropping-particle" : "", "family" : "Ding", "given" : "Eric L", "non-dropping-particle" : "", "parse-names" : false, "suffix" : "" }, { "dropping-particle" : "", "family" : "Johnson", "given" : "Toby", "non-dropping-particle" : "", "parse-names" : false, "suffix" : "" }, { "dropping-particle" : "", "family" : "Schunkert", "given" : "Heribert", "non-dropping-particle" : "", "parse-names" : false, "suffix" : "" }, { "dropping-particle" : "", "family" : "Samani", "given" : "Nilesh J", "non-dropping-particle" : "", "parse-names" : false, "suffix" : "" }, { "dropping-particle" : "", "family" : "Clarke", "given" : "Robert", "non-dropping-particle" : "", "parse-names" : false, "suffix" : "" }, { "dropping-particle" : "", "family" : "Hopewell", "given" : "Jemma C", "non-dropping-particle" : "", "parse-names" : false, "suffix" : "" }, { "dropping-particle" : "", "family" : "Thompson", "given" : "John F", "non-dropping-particle" : "", "parse-names" : false, "suffix" : "" }, { "dropping-particle" : "", "family" : "Li", "given" : "Mingyao", "non-dropping-particle" : "", "parse-names" : false, "suffix" : "" }, { "dropping-particle" : "", "family" : "Thorleifsson", "given" : "Gudmar", "non-dropping-particle" : "", "parse-names" : false, "suffix" : "" }, { "dropping-particle" : "", "family" : "Newton-Cheh", "given" : "Christopher", "non-dropping-particle" : "", "parse-names" : false, "suffix" : "" }, { "dropping-particle" : "", "family" : "Musunuru", "given" : "Kiran", "non-dropping-particle" : "", "parse-names" : false, "suffix" : "" }, { "dropping-particle" : "", "family" : "Pirruccello", "given" : "James P", "non-dropping-particle" : "", "parse-names" : false, "suffix" : "" }, { "dropping-particle" : "", "family" : "Saleheen", "given" : "Danish", "non-dropping-particle" : "", "parse-names" : false, "suffix" : "" }, { "dropping-particle" : "", "family" : "Chen", "given" : "Li", "non-dropping-particle" : "", "parse-names" : false, "suffix" : "" }, { "dropping-particle" : "", "family" : "Stewart", "given" : "Alexandre F R", "non-dropping-particle" : "", "parse-names" : false, "suffix" : "" }, { "dropping-particle" : "", "family" : "Schillert", "given" : "Arne", "non-dropping-particle" : "", "parse-names" : false, "suffix" : "" }, { "dropping-particle" : "", "family" : "Thorsteinsdottir", "given" : "Unnur", "non-dropping-particle" : "", "parse-names" : false, "suffix" : "" }, { "dropping-particle" : "", "family" : "Thorgeirsson", "given" : "Gudmundur", "non-dropping-particle" : "", "parse-names" : false, "suffix" : "" }, { "dropping-particle" : "", "family" : "Anand", "given" : "Sonia", "non-dropping-particle" : "", "parse-names" : false, "suffix" : "" }, { "dropping-particle" : "", "family" : "Engert", "given" : "James C", "non-dropping-particle" : "", "parse-names" : false, "suffix" : "" }, { "dropping-particle" : "", "family" : "Morgan", "given" : "Thomas", "non-dropping-particle" : "", "parse-names" : false, "suffix" : "" }, { "dropping-particle" : "", "family" : "Spertus", "given" : "John", "non-dropping-particle" : "", "parse-names" : false, "suffix" : "" }, { "dropping-particle" : "", "family" : "Stoll", "given" : "Monika", "non-dropping-particle" : "", "parse-names" : false, "suffix" : "" }, { "dropping-particle" : "", "family" : "Berger", "given" : "Klaus", "non-dropping-particle" : "", "parse-names" : false, "suffix" : "" }, { "dropping-particle" : "", "family" : "Martinelli", "given" : "Nicola", "non-dropping-particle" : "", "parse-names" : false, "suffix" : "" }, { "dropping-particle" : "", "family" : "Girelli", "given" : "Domenico", "non-dropping-particle" : "", "parse-names" : false, "suffix" : "" }, { "dropping-particle" : "", "family" : "McKeown", "given" : "Pascal P", "non-dropping-particle" : "", "parse-names" : false, "suffix" : "" }, { "dropping-particle" : "", "family" : "Patterson", "given" : "Christopher C", "non-dropping-particle" : "", "parse-names" : false, "suffix" : "" }, { "dropping-particle" : "", "family" : "Epstein", "given" : "Stephen E", "non-dropping-particle" : "", "parse-names" : false, "suffix" : "" }, { "dropping-particle" : "", "family" : "Devaney", "given" : "Joseph", "non-dropping-particle" : "", "parse-names" : false, "suffix" : "" }, { "dropping-particle" : "", "family" : "Burnett", "given" : "Mary-Susan", "non-dropping-particle" : "", "parse-names" : false, "suffix" : "" }, { "dropping-particle" : "", "family" : "Mooser", "given" : "Vincent", "non-dropping-particle" : "", "parse-names" : false, "suffix" : "" }, { "dropping-particle" : "", "family" : "Ripatti", "given" : "Samuli", "non-dropping-particle" : "", "parse-names" : false, "suffix" : "" }, { "dropping-particle" : "", "family" : "Surakka", "given" : "Ida", "non-dropping-particle" : "", "parse-names" : false, "suffix" : "" }, { "dropping-particle" : "", "family" : "Nieminen", "given" : "Markku S", "non-dropping-particle" : "", "parse-names" : false, "suffix" : "" }, { "dropping-particle" : "", "family" : "Sinisalo", "given" : "Juha", "non-dropping-particle" : "", "parse-names" : false, "suffix" : "" }, { "dropping-particle" : "", "family" : "Lokki", "given" : "Marja-Liisa", "non-dropping-particle" : "", "parse-names" : false, "suffix" : "" }, { "dropping-particle" : "", "family" : "Perola", "given" : "Markus", "non-dropping-particle" : "", "parse-names" : false, "suffix" : "" }, { "dropping-particle" : "", "family" : "Havulinna", "given" : "Aki", "non-dropping-particle" : "", "parse-names" : false, "suffix" : "" }, { "dropping-particle" : "", "family" : "Faire", "given" : "Ulf", "non-dropping-particle" : "de", "parse-names" : false, "suffix" : "" }, { "dropping-particle" : "", "family" : "Gigante", "given" : "Bruna", "non-dropping-particle" : "", "parse-names" : false, "suffix" : "" }, { "dropping-particle" : "", "family" : "Ingelsson", "given" : "Erik", "non-dropping-particle" : "", "parse-names" : false, "suffix" : "" }, { "dropping-particle" : "", "family" : "Zeller", "given" : "Tanja", "non-dropping-particle" : "", "parse-names" : false, "suffix" : "" }, { "dropping-particle" : "", "family" : "Wild", "given" : "Philipp", "non-dropping-particle" : "", "parse-names" : false, "suffix" : "" }, { "dropping-particle" : "", "family" : "Bakker", "given" : "Paul I W", "non-dropping-particle" : "de", "parse-names" : false, "suffix" : "" }, { "dropping-particle" : "", "family" : "Klungel", "given" : "Olaf H", "non-dropping-particle" : "", "parse-names" : false, "suffix" : "" }, { "dropping-particle" : "", "family" : "Maitland-van der Zee", "given" : "Anke-Hilse", "non-dropping-particle" : "", "parse-names" : false, "suffix" : "" }, { "dropping-particle" : "", "family" : "Peters", "given" : "Bas J M", "non-dropping-particle" : "", "parse-names" : false, "suffix" : "" }, { "dropping-particle" : "", "family" : "Boer", "given" : "Anthonius", "non-dropping-particle" : "de", "parse-names" : false, "suffix" : "" }, { "dropping-particle" : "", "family" : "Grobbee", "given" : "Diederick E", "non-dropping-particle" : "", "parse-names" : false, "suffix" : "" }, { "dropping-particle" : "", "family" : "Kamphuisen", "given" : "Pieter W", "non-dropping-particle" : "", "parse-names" : false, "suffix" : "" }, { "dropping-particle" : "", "family" : "Deneer", "given" : "Vera H M", "non-dropping-particle" : "", "parse-names" : false, "suffix" : "" }, { "dropping-particle" : "", "family" : "Elbers", "given" : "Clara C", "non-dropping-particle" : "", "parse-names" : false, "suffix" : "" }, { "dropping-particle" : "", "family" : "Onland-Moret", "given" : "N Charlotte", "non-dropping-particle" : "", "parse-names" : false, "suffix" : "" }, { "dropping-particle" : "", "family" : "Hofker", "given" : "Marten H", "non-dropping-particle" : "", "parse-names" : false, "suffix" : "" }, { "dropping-particle" : "", "family" : "Wijmenga", "given" : "Cisca", "non-dropping-particle" : "", "parse-names" : false, "suffix" : "" }, { "dropping-particle" : "", "family" : "Verschuren", "given" : "W M Monique", "non-dropping-particle" : "", "parse-names" : false, "suffix" : "" }, { "dropping-particle" : "", "family" : "Boer", "given" : "Jolanda M A", "non-dropping-particle" : "", "parse-names" : false, "suffix" : "" }, { "dropping-particle" : "", "family" : "Schouw", "given" : "Yvonne T", "non-dropping-particle" : "van der", "parse-names" : false, "suffix" : "" }, { "dropping-particle" : "", "family" : "Rasheed", "given" : "Asif", "non-dropping-particle" : "", "parse-names" : false, "suffix" : "" }, { "dropping-particle" : "", "family" : "Frossard", "given" : "Philippe", "non-dropping-particle" : "", "parse-names" : false, "suffix" : "" }, { "dropping-particle" : "", "family" : "Demissie", "given" : "Serkalem", "non-dropping-particle" : "", "parse-names" : false, "suffix" : "" }, { "dropping-particle" : "", "family" : "Willer", "given" : "Cristen", "non-dropping-particle" : "", "parse-names" : false, "suffix" : "" }, { "dropping-particle" : "", "family" : "Do", "given" : "Ron", "non-dropping-particle" : "", "parse-names" : false, "suffix" : "" }, { "dropping-particle" : "", "family" : "Ordovas", "given" : "Jose M", "non-dropping-particle" : "", "parse-names" : false, "suffix" : "" }, { "dropping-particle" : "", "family" : "Abecasis", "given" : "Gon\u00e7alo R", "non-dropping-particle" : "", "parse-names" : false, "suffix" : "" }, { "dropping-particle" : "", "family" : "Boehnke", "given" : "Michael", "non-dropping-particle" : "", "parse-names" : false, "suffix" : "" }, { "dropping-particle" : "", "family" : "Mohlke", "given" : "Karen L", "non-dropping-particle" : "", "parse-names" : false, "suffix" : "" }, { "dropping-particle" : "", "family" : "Daly", "given" : "Mark J", "non-dropping-particle" : "", "parse-names" : false, "suffix" : "" }, { "dropping-particle" : "", "family" : "Guiducci", "given" : "Candace", "non-dropping-particle" : "", "parse-names" : false, "suffix" : "" }, { "dropping-particle" : "", "family" : "Burtt", "given" : "No\u00ebl P", "non-dropping-particle" : "", "parse-names" : false, "suffix" : "" }, { "dropping-particle" : "", "family" : "Surti", "given" : "Aarti", "non-dropping-particle" : "", "parse-names" : false, "suffix" : "" }, { "dropping-particle" : "", "family" : "Gonzalez", "given" : "Elena", "non-dropping-particle" : "", "parse-names" : false, "suffix" : "" }, { "dropping-particle" : "", "family" : "Purcell", "given" : "Shaun", "non-dropping-particle" : "", "parse-names" : false, "suffix" : "" }, { "dropping-particle" : "", "family" : "Gabriel", "given" : "Stacey", "non-dropping-particle" : "", "parse-names" : false, "suffix" : "" }, { "dropping-particle" : "", "family" : "Marrugat", "given" : "Jaume", "non-dropping-particle" : "", "parse-names" : false, "suffix" : "" }, { "dropping-particle" : "", "family" : "Peden", "given" : "John", "non-dropping-particle" : "", "parse-names" : false, "suffix" : "" }, { "dropping-particle" : "", "family" : "Erdmann", "given" : "Jeanette", "non-dropping-particle" : "", "parse-names" : false, "suffix" : "" }, { "dropping-particle" : "", "family" : "Diemert", "given" : "Patrick", "non-dropping-particle" : "", "parse-names" : false, "suffix" : "" }, { "dropping-particle" : "", "family" : "Willenborg", "given" : "Christina", "non-dropping-particle" : "", "parse-names" : false, "suffix" : "" }, { "dropping-particle" : "", "family" : "K\u00f6nig", "given" : "Inke R", "non-dropping-particle" : "", "parse-names" : false, "suffix" : "" }, { "dropping-particle" : "", "family" : "Fischer", "given" : "Marcus", "non-dropping-particle" : "", "parse-names" : false, "suffix" : "" }, { "dropping-particle" : "", "family" : "Hengstenberg", "given" : "Christian", "non-dropping-particle" : "", "parse-names" : false, "suffix" : "" }, { "dropping-particle" : "", "family" : "Ziegler", "given" : "Andreas", "non-dropping-particle" : "", "parse-names" : false, "suffix" : "" }, { "dropping-particle" : "", "family" : "Buysschaert", "given" : "Ian", "non-dropping-particle" : "", "parse-names" : false, "suffix" : "" }, { "dropping-particle" : "", "family" : "Lambrechts", "given" : "Diether", "non-dropping-particle" : "", "parse-names" : false, "suffix" : "" }, { "dropping-particle" : "", "family" : "Werf", "given" : "Frans", "non-dropping-particle" : "Van de", "parse-names" : false, "suffix" : "" }, { "dropping-particle" : "", "family" : "Fox", "given" : "Keith A", "non-dropping-particle" : "", "parse-names" : false, "suffix" : "" }, { "dropping-particle" : "", "family" : "Mokhtari", "given" : "Nour Eddine", "non-dropping-particle" : "El", "parse-names" : false, "suffix" : "" }, { "dropping-particle" : "", "family" : "Rubin", "given" : "Diana", "non-dropping-particle" : "", "parse-names" : false, "suffix" : "" }, { "dropping-particle" : "", "family" : "Schrezenmeir", "given" : "J\u00fcrgen", "non-dropping-particle" : "", "parse-names" : false, "suffix" : "" }, { "dropping-particle" : "", "family" : "Schreiber", "given" : "Stefan", "non-dropping-particle" : "", "parse-names" : false, "suffix" : "" }, { "dropping-particle" : "", "family" : "Sch\u00e4fer", "given" : "Arne", "non-dropping-particle" : "", "parse-names" : false, "suffix" : "" }, { "dropping-particle" : "", "family" : "Danesh", "given" : "John", "non-dropping-particle" : "", "parse-names" : false, "suffix" : "" }, { "dropping-particle" : "", "family" : "Blankenberg", "given" : "Stefan", "non-dropping-particle" : "", "parse-names" : false, "suffix" : "" }, { "dropping-particle" : "", "family" : "Roberts", "given" : "Robert", "non-dropping-particle" : "", "parse-names" : false, "suffix" : "" }, { "dropping-particle" : "", "family" : "McPherson", "given" : "Ruth", "non-dropping-particle" : "", "parse-names" : false, "suffix" : "" }, { "dropping-particle" : "", "family" : "Watkins", "given" : "Hugh", "non-dropping-particle" : "", "parse-names" : false, "suffix" : "" }, { "dropping-particle" : "", "family" : "Hall", "given" : "Alistair S", "non-dropping-particle" : "", "parse-names" : false, "suffix" : "" }, { "dropping-particle" : "", "family" : "Overvad", "given" : "Kim", "non-dropping-particle" : "", "parse-names" : false, "suffix" : "" }, { "dropping-particle" : "", "family" : "Rimm", "given" : "Eric", "non-dropping-particle" : "", "parse-names" : false, "suffix" : "" }, { "dropping-particle" : "", "family" : "Boerwinkle", "given" : "Eric", "non-dropping-particle" : "", "parse-names" : false, "suffix" : "" }, { "dropping-particle" : "", "family" : "Tybjaerg-Hansen", "given" : "Anne", "non-dropping-particle" : "", "parse-names" : false, "suffix" : "" }, { "dropping-particle" : "", "family" : "Cupples", "given" : "L Adrienne", "non-dropping-particle" : "", "parse-names" : false, "suffix" : "" }, { "dropping-particle" : "", "family" : "Reilly", "given" : "Muredach P", "non-dropping-particle" : "", "parse-names" : false, "suffix" : "" }, { "dropping-particle" : "", "family" : "Melander", "given" : "Olle", "non-dropping-particle" : "", "parse-names" : false, "suffix" : "" }, { "dropping-particle" : "", "family" : "Mannucci", "given" : "Pier M", "non-dropping-particle" : "", "parse-names" : false, "suffix" : "" }, { "dropping-particle" : "", "family" : "Ardissino", "given" : "Diego", "non-dropping-particle" : "", "parse-names" : false, "suffix" : "" }, { "dropping-particle" : "", "family" : "Siscovick", "given" : "David", "non-dropping-particle" : "", "parse-names" : false, "suffix" : "" }, { "dropping-particle" : "", "family" : "Elosua", "given" : "Roberto", "non-dropping-particle" : "", "parse-names" : false, "suffix" : "" }, { "dropping-particle" : "", "family" : "Stefansson", "given" : "Kari", "non-dropping-particle" : "", "parse-names" : false, "suffix" : "" }, { "dropping-particle" : "", "family" : "O'Donnell", "given" : "Christopher J", "non-dropping-particle" : "", "parse-names" : false, "suffix" : "" }, { "dropping-particle" : "", "family" : "Salomaa", "given" : "Veikko", "non-dropping-particle" : "", "parse-names" : false, "suffix" : "" }, { "dropping-particle" : "", "family" : "Rader", "given" : "Daniel J", "non-dropping-particle" : "", "parse-names" : false, "suffix" : "" }, { "dropping-particle" : "", "family" : "Peltonen", "given" : "Leena", "non-dropping-particle" : "", "parse-names" : false, "suffix" : "" }, { "dropping-particle" : "", "family" : "Schwartz", "given" : "Stephen M", "non-dropping-particle" : "", "parse-names" : false, "suffix" : "" }, { "dropping-particle" : "", "family" : "Altshuler", "given" : "David", "non-dropping-particle" : "", "parse-names" : false, "suffix" : "" }, { "dropping-particle" : "", "family" : "Kathiresan", "given" : "Sekar", "non-dropping-particle" : "", "parse-names" : false, "suffix" : "" } ], "container-title" : "Lancet (London, England)", "id" : "ITEM-3", "issue" : "9841", "issued" : { "date-parts" : [ [ "2012", "8" ] ] }, "page" : "572-80", "title" : "Plasma HDL cholesterol and risk of myocardial infarction: a mendelian randomisation study.", "type" : "article-journal", "volume" : "380" }, "uris" : [ "http://www.mendeley.com/documents/?uuid=5c1dba1f-d117-338a-8bbf-555beef74493", "http://www.mendeley.com/documents/?uuid=fd6cfd27-b323-4e47-b826-d226882c8c49" ] }, { "id" : "ITEM-4", "itemData" : { "DOI" : "10.1056/NEJMoa1706444", "ISSN" : "0028-4793", "PMID" : "28847206", "abstract" : "Background Patients with atherosclerotic vascular disease remain at high risk for cardiovascular events despite effective statin-based treatment of low-density lipoprotein (LDL) cholesterol levels. The inhibition of cholesteryl ester transfer protein (CETP) by anacetrapib reduces LDL cholesterol levels and increases high-density lipoprotein (HDL) cholesterol levels. However, trials of other CETP inhibitors have shown neutral or adverse effects on cardiovascular outcomes. Methods We conducted a randomized, double-blind, placebo-controlled trial involving 30,449 adults with atherosclerotic vascular disease who were receiving intensive atorvastatin therapy and who had a mean LDL cholesterol level of 61 mg per deciliter (1.58 mmol per liter), a mean non-HDL cholesterol level of 92 mg per deciliter (2.38 mmol per liter), and a mean HDL cholesterol level of 40 mg per deciliter (1.03 mmol per liter). The patients were assigned to receive either 100 mg of anacetrapib once daily (15,225 patients) or matching placebo (15,224 patients). The primary outcome was the first major coronary event, a composite of coronary death, myocardial infarction, or coronary revascularization. Results During the median follow-up period of 4.1 years, the primary outcome occurred in significantly fewer patients in the anacetrapib group than in the placebo group (1640 of 15,225 patients [10.8%] vs. 1803 of 15,224 patients [11.8%]; rate ratio, 0.91; 95% confidence interval, 0.85 to 0.97; P=0.004). The relative difference in risk was similar across multiple prespecified subgroups. At the trial midpoint, the mean level of HDL cholesterol was higher by 43 mg per deciliter (1.12 mmol per liter) in the anacetrapib group than in the placebo group (a relative difference of 104%), and the mean level of non-HDL cholesterol was lower by 17 mg per deciliter (0.44 mmol per liter), a relative difference of -18%. There were no significant between-group differences in the risk of death, cancer, or other serious adverse events. Conclusions Among patients with atherosclerotic vascular disease who were receiving intensive statin therapy, the use of anacetrapib resulted in a lower incidence of major coronary events than the use of placebo. (Funded by Merck and others; Current Controlled Trials number, ISRCTN48678192 ; ClinicalTrials.gov number, NCT01252953 ; and EudraCT number, 2010-023467-18 .).", "author" : [ { "dropping-particle" : "", "family" : "HPS3/TIMI55-REVEAL Collaborative Group", "given" : "", "non-dropping-particle" : "", "parse-names" : false, "suffix" : "" } ], "container-title" : "New England Journal of Medicine", "id" : "ITEM-4", "issued" : { "date-parts" : [ [ "2017" ] ] }, "page" : "NEJMoa1706444", "title" : "Effects of Anacetrapib in Patients with Atherosclerotic Vascular Disease", "type" : "article-journal" }, "uris" : [ "http://www.mendeley.com/documents/?uuid=1a42cb04-b3a3-4648-a445-187a4b453050", "http://www.mendeley.com/documents/?uuid=7746b203-f650-4df3-8349-be1bd6dfea9a" ] } ], "mendeley" : { "formattedCitation" : "&lt;sup&gt;49\u201352&lt;/sup&gt;", "plainTextFormattedCitation" : "49\u201352", "previouslyFormattedCitation" : "&lt;sup&gt;53\u201356&lt;/sup&gt;" }, "properties" : { "noteIndex" : 0 }, "schema" : "https://github.com/citation-style-language/schema/raw/master/csl-citation.json" }</w:instrText>
      </w:r>
      <w:r w:rsidR="009F7EA0"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49–52</w:t>
      </w:r>
      <w:r w:rsidR="009F7EA0" w:rsidRPr="00463398">
        <w:rPr>
          <w:rFonts w:cstheme="minorHAnsi"/>
          <w:bCs/>
          <w:color w:val="000000" w:themeColor="text1"/>
          <w:szCs w:val="22"/>
        </w:rPr>
        <w:fldChar w:fldCharType="end"/>
      </w:r>
      <w:r w:rsidR="005502B3">
        <w:rPr>
          <w:rFonts w:cstheme="minorHAnsi"/>
          <w:bCs/>
          <w:color w:val="000000" w:themeColor="text1"/>
          <w:szCs w:val="22"/>
        </w:rPr>
        <w:t>)</w:t>
      </w:r>
      <w:r w:rsidR="009F7EA0" w:rsidRPr="00463398">
        <w:rPr>
          <w:rFonts w:cstheme="minorHAnsi"/>
          <w:bCs/>
          <w:color w:val="000000" w:themeColor="text1"/>
          <w:szCs w:val="22"/>
        </w:rPr>
        <w:t xml:space="preserve"> could mediat</w:t>
      </w:r>
      <w:r w:rsidR="001B2043">
        <w:rPr>
          <w:rFonts w:cstheme="minorHAnsi"/>
          <w:bCs/>
          <w:color w:val="000000" w:themeColor="text1"/>
          <w:szCs w:val="22"/>
        </w:rPr>
        <w:t>e</w:t>
      </w:r>
      <w:r w:rsidR="009F7EA0" w:rsidRPr="00463398">
        <w:rPr>
          <w:rFonts w:cstheme="minorHAnsi"/>
          <w:bCs/>
          <w:color w:val="000000" w:themeColor="text1"/>
          <w:szCs w:val="22"/>
        </w:rPr>
        <w:t xml:space="preserve"> alcohol consumption’s inverse association with MI.</w:t>
      </w:r>
      <w:r w:rsidR="009F7EA0">
        <w:rPr>
          <w:rFonts w:cstheme="minorHAnsi"/>
          <w:bCs/>
          <w:color w:val="000000" w:themeColor="text1"/>
          <w:szCs w:val="22"/>
        </w:rPr>
        <w:t xml:space="preserve"> </w:t>
      </w:r>
      <w:r w:rsidR="009F7EA0" w:rsidRPr="00463398">
        <w:rPr>
          <w:rFonts w:cstheme="minorHAnsi"/>
          <w:bCs/>
          <w:color w:val="000000" w:themeColor="text1"/>
          <w:szCs w:val="22"/>
        </w:rPr>
        <w:t xml:space="preserve">Both blood pressure and HDL-C are known to increase </w:t>
      </w:r>
      <w:r w:rsidR="009D7AA2">
        <w:rPr>
          <w:rFonts w:cstheme="minorHAnsi"/>
          <w:bCs/>
          <w:color w:val="000000" w:themeColor="text1"/>
          <w:szCs w:val="22"/>
        </w:rPr>
        <w:t>in response to</w:t>
      </w:r>
      <w:r w:rsidR="009F7EA0" w:rsidRPr="00463398">
        <w:rPr>
          <w:rFonts w:cstheme="minorHAnsi"/>
          <w:bCs/>
          <w:color w:val="000000" w:themeColor="text1"/>
          <w:szCs w:val="22"/>
        </w:rPr>
        <w:t xml:space="preserve"> alcohol consumption</w:t>
      </w:r>
      <w:r w:rsidR="009F7EA0"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"10.1136/bmj.d636", "ISSN" : "0959-8138", "author" : [ { "dropping-particle" : "", "family" : "Brien", "given" : "S. E.", "non-dropping-particle" : "", "parse-names" : false, "suffix" : "" }, { "dropping-particle" : "", "family" : "Ronksley", "given" : "P. E.", "non-dropping-particle" : "", "parse-names" : false, "suffix" : "" }, { "dropping-particle" : "", "family" : "Turner", "given" : "B. J.", "non-dropping-particle" : "", "parse-names" : false, "suffix" : "" }, { "dropping-particle" : "", "family" : "Mukamal", "given" : "K. J.", "non-dropping-particle" : "", "parse-names" : false, "suffix" : "" }, { "dropping-particle" : "", "family" : "Ghali", "given" : "W. A.", "non-dropping-particle" : "", "parse-names" : false, "suffix" : "" } ], "container-title" : "BMJ", "id" : "ITEM-1", "issue" : "feb22 1", "issued" : { "date-parts" : [ [ "2011", "2" ] ] }, "page" : "d636-d636", "title" : "Effect of alcohol consumption on biological markers associated with risk of coronary heart disease: systematic review and meta-analysis of interventional studies", "type" : "article-journal", "volume" : "342" }, "uris" : [ "http://www.mendeley.com/documents/?uuid=d5fdf3be-e606-42b1-a366-8bcdb58597fd" ] } ], "mendeley" : { "formattedCitation" : "&lt;sup&gt;50&lt;/sup&gt;", "plainTextFormattedCitation" : "50", "previouslyFormattedCitation" : "&lt;sup&gt;54&lt;/sup&gt;" }, "properties" : { "noteIndex" : 0 }, "schema" : "https://github.com/citation-style-language/schema/raw/master/csl-citation.json" }</w:instrText>
      </w:r>
      <w:r w:rsidR="009F7EA0"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50</w:t>
      </w:r>
      <w:r w:rsidR="009F7EA0" w:rsidRPr="00463398">
        <w:rPr>
          <w:rFonts w:cstheme="minorHAnsi"/>
          <w:bCs/>
          <w:color w:val="000000" w:themeColor="text1"/>
          <w:szCs w:val="22"/>
        </w:rPr>
        <w:fldChar w:fldCharType="end"/>
      </w:r>
      <w:r w:rsidR="00230003">
        <w:rPr>
          <w:rFonts w:cstheme="minorHAnsi"/>
          <w:bCs/>
          <w:color w:val="000000" w:themeColor="text1"/>
          <w:szCs w:val="22"/>
        </w:rPr>
        <w:t>. T</w:t>
      </w:r>
      <w:r w:rsidR="00BD383D">
        <w:rPr>
          <w:rFonts w:cstheme="minorHAnsi"/>
          <w:bCs/>
          <w:color w:val="000000" w:themeColor="text1"/>
          <w:szCs w:val="22"/>
        </w:rPr>
        <w:t>he</w:t>
      </w:r>
      <w:r w:rsidR="001B2043">
        <w:rPr>
          <w:rFonts w:cstheme="minorHAnsi"/>
          <w:bCs/>
          <w:color w:val="000000" w:themeColor="text1"/>
          <w:szCs w:val="22"/>
        </w:rPr>
        <w:t>y have</w:t>
      </w:r>
      <w:r w:rsidR="009F7EA0">
        <w:rPr>
          <w:rFonts w:cstheme="minorHAnsi"/>
          <w:bCs/>
          <w:color w:val="000000" w:themeColor="text1"/>
          <w:szCs w:val="22"/>
        </w:rPr>
        <w:t xml:space="preserve"> contrasting</w:t>
      </w:r>
      <w:r w:rsidR="009F7EA0" w:rsidRPr="00463398">
        <w:rPr>
          <w:rFonts w:cstheme="minorHAnsi"/>
          <w:bCs/>
          <w:color w:val="000000" w:themeColor="text1"/>
          <w:szCs w:val="22"/>
        </w:rPr>
        <w:t xml:space="preserve"> associations with CVD outcomes</w:t>
      </w:r>
      <w:r w:rsidR="001B2043">
        <w:rPr>
          <w:rFonts w:cstheme="minorHAnsi"/>
          <w:bCs/>
          <w:color w:val="000000" w:themeColor="text1"/>
          <w:szCs w:val="22"/>
        </w:rPr>
        <w:t>:</w:t>
      </w:r>
      <w:r w:rsidR="009F7EA0" w:rsidRPr="00463398">
        <w:rPr>
          <w:rFonts w:cstheme="minorHAnsi"/>
          <w:bCs/>
          <w:color w:val="000000" w:themeColor="text1"/>
          <w:szCs w:val="22"/>
        </w:rPr>
        <w:t xml:space="preserve"> </w:t>
      </w:r>
      <w:r w:rsidR="009F7EA0">
        <w:rPr>
          <w:rFonts w:cstheme="minorHAnsi"/>
          <w:bCs/>
          <w:color w:val="000000" w:themeColor="text1"/>
          <w:szCs w:val="22"/>
        </w:rPr>
        <w:t xml:space="preserve">the inverse association of </w:t>
      </w:r>
      <w:r w:rsidR="009F7EA0" w:rsidRPr="00463398">
        <w:rPr>
          <w:rFonts w:cstheme="minorHAnsi"/>
          <w:bCs/>
          <w:color w:val="000000" w:themeColor="text1"/>
          <w:szCs w:val="22"/>
        </w:rPr>
        <w:t>HDL-C</w:t>
      </w:r>
      <w:r w:rsidR="009F7EA0">
        <w:rPr>
          <w:rFonts w:cstheme="minorHAnsi"/>
          <w:bCs/>
          <w:color w:val="000000" w:themeColor="text1"/>
          <w:szCs w:val="22"/>
        </w:rPr>
        <w:t xml:space="preserve"> with CVD</w:t>
      </w:r>
      <w:r w:rsidR="009F7EA0" w:rsidRPr="00463398">
        <w:rPr>
          <w:rFonts w:cstheme="minorHAnsi"/>
          <w:bCs/>
          <w:color w:val="000000" w:themeColor="text1"/>
          <w:szCs w:val="22"/>
        </w:rPr>
        <w:t xml:space="preserve"> is</w:t>
      </w:r>
      <w:r w:rsidR="009F7EA0">
        <w:rPr>
          <w:rFonts w:cstheme="minorHAnsi"/>
          <w:bCs/>
          <w:color w:val="000000" w:themeColor="text1"/>
          <w:szCs w:val="22"/>
        </w:rPr>
        <w:t xml:space="preserve"> considerably</w:t>
      </w:r>
      <w:r w:rsidR="009F7EA0" w:rsidRPr="00463398">
        <w:rPr>
          <w:rFonts w:cstheme="minorHAnsi"/>
          <w:bCs/>
          <w:color w:val="000000" w:themeColor="text1"/>
          <w:szCs w:val="22"/>
        </w:rPr>
        <w:t xml:space="preserve"> strong</w:t>
      </w:r>
      <w:r w:rsidR="009F7EA0">
        <w:rPr>
          <w:rFonts w:cstheme="minorHAnsi"/>
          <w:bCs/>
          <w:color w:val="000000" w:themeColor="text1"/>
          <w:szCs w:val="22"/>
        </w:rPr>
        <w:t>er for</w:t>
      </w:r>
      <w:r w:rsidR="009F7EA0" w:rsidRPr="00463398">
        <w:rPr>
          <w:rFonts w:cstheme="minorHAnsi"/>
          <w:bCs/>
          <w:color w:val="000000" w:themeColor="text1"/>
          <w:szCs w:val="22"/>
        </w:rPr>
        <w:t xml:space="preserve"> coronary disease than stroke</w:t>
      </w:r>
      <w:r w:rsidR="009F7EA0"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"10.1016/S0749-4041(10)79320-9", "ISBN" : "0098-7484", "ISSN" : "0098-7484", "PMID" : "19903920", "abstract" : "Context Associations of major lipids and apolipoproteins with the risk of vascular disease have not been reliably quantified.Objective To assess major lipids and apolipoproteins in vascular risk.Design, Setting, and Participants Individual records were supplied on 302 430 people without initial vascular disease from 68 long-term prospective studies, mostly in Europe and North America. During 2.79 million person-years of follow-up, there were 8857 nonfatal myocardial infarctions, 3928 coronary heart disease [CHD] deaths, 2534 ischemic strokes, 513 hemorrhagic strokes, and 2536 unclassified strokes.Main Outcome Measures Hazard ratios (HRs), adjusted for several conventional factors, were calculated for 1-SD higher values: 0.52 loge triglyceride, 15 mg/dL high-density lipoprotein cholesterol (HDL-C), 43 mg/dL non\u2013HDL-C, 29 mg/dL apolipoprotein AI, 29 mg/dL apolipoprotein B, and 33 mg/dL directly measured low-density lipoprotein cholesterol (LDL-C). Within-study regression analyses were adjusted for within-person variation and combined using meta-analysis.Results The rates of CHD per 1000 person-years in the bottom and top thirds of baseline lipid distributions, respectively, were 2.6 and 6.2 with triglyceride, 6.4 and 2.4 with HDL-C, and 2.3 and 6.7 with non\u2013HDL-C. Adjusted HRs for CHD were 0.99 (95% CI, 0.94-1.05) with triglyceride, 0.78 (95% CI, 0.74-0.82) with HDL-C, and 1.50 (95% CI, 1.39-1.61) with non\u2013HDL-C. Hazard ratios were at least as strong in participants who did not fast as in those who did. The HR for CHD was 0.35 (95% CI, 0.30-0.42) with a combination of 80 mg/dL lower non\u2013HDL-C and 15 mg/dL higher HDL-C. For the subset with apolipoproteins or directly measured LDL-C, HRs were 1.50 (95% CI, 1.38-1.62) with the ratio non\u2013HDL-C/HDL-C, 1.49 (95% CI, 1.39-1.60) with the ratio apo B/apo AI, 1.42 (95% CI, 1.06-1.91) with non\u2013HDL-C, and 1.38 (95% CI, 1.09-1.73) with directly measured LDL-C. Hazard ratios for ischemic stroke were 1.02 (95% CI, 0.94-1.11) with triglyceride, 0.93 (95% CI, 0.84-1.02) with HDL-C, and 1.12 (95% CI, 1.04-1.20) with non\u2013HDL-C.Conclusion Lipid assessment in vascular disease can be simplified by measurement of either total and HDL cholesterol levels or apolipoproteins without the need to fast and without regard to triglyceride.", "author" : [ { "dropping-particle" : "", "family" : "Collaboration", "given" : "The Emerging Risk Factors", "non-dropping-particle" : "", "parse-names" : false, "suffix" : "" } ], "container-title" : "Jama", "id" : "ITEM-1", "issue" : "18", "issued" : { "date-parts" : [ [ "2009" ] ] }, "page" : "1993-2000", "title" : "Major lipids, apolipoproteins, and risk of vascular disease", "type" : "article-journal", "volume" : "302" }, "uris" : [ "http://www.mendeley.com/documents/?uuid=b9397037-25a9-422f-8a39-b0e905d62de5" ] }, { "id" : "ITEM-2", "itemData" : { "DOI" : "10.1093/eurheartj/ehm427", "ISSN" : "0195668X", "PMID" : "17933756", "abstract" : "BackgroundThe inverse relationship between high-density lipoprotein (HDL) cholesterol and coronary heart disease (CHD) is well established. Questions remain about the association between HDL cholesterol and stroke, particularly for stroke subtypes. Methods and resultsCox survival models were applied to individual participant data from 25 cohort studies (about 80 000 subjects), with a median of 6.8 years follow-up. After adjustment for age and regression dilution, hazard ratios (95% confidence intervals) for a 1 standard deviation (SD) lower level of HDL cholesterol (0.4 mmol/L) were: for CHD events, 1.39 (1.22-1.57); for ischaemic stroke, 0.90 (0.75-1.07), and for haemorrhagic stroke, 0.89 (0.74-1.07). As total cholesterol (TC) increased relative to HDL cholesterol, the risk of CHD increased, the risk of ischaemic stroke was unchanged but the risk of haemorrhagic stroke decreased. A 1 SD increase in TC/HDL cholesterol (1.63 units) was associated with a 27% decrease in the risk of haemorrhagic stroke (95% confidence interval, 7-44%). ConclusionThere is clear evidence of potential benefit for CHD of increases in HDL cholesterol and decreases in TC relative to HDL cholesterol, but no evidence of an association between either HDL cholesterol or TC/HDL cholesterol and ischaemic stroke. Increasing HDL cholesterol relative to TC may increase the risk of haemorrhagic stroke.", "author" : [ { "dropping-particle" : "", "family" : "Woodward", "given" : "Mark", "non-dropping-particle" : "", "parse-names" : false, "suffix" : "" }, { "dropping-particle" : "", "family" : "Barzi", "given" : "Federica", "non-dropping-particle" : "", "parse-names" : false, "suffix" : "" }, { "dropping-particle" : "", "family" : "Feigin", "given" : "Valery", "non-dropping-particle" : "", "parse-names" : false, "suffix" : "" }, { "dropping-particle" : "", "family" : "Gu", "given" : "Dongfeng", "non-dropping-particle" : "", "parse-names" : false, "suffix" : "" }, { "dropping-particle" : "", "family" : "Huxley", "given" : "Rachel", "non-dropping-particle" : "", "parse-names" : false, "suffix" : "" }, { "dropping-particle" : "", "family" : "Nakamura", "given" : "Koshi", "non-dropping-particle" : "", "parse-names" : false, "suffix" : "" }, { "dropping-particle" : "", "family" : "Patel", "given" : "Anushka", "non-dropping-particle" : "", "parse-names" : false, "suffix" : "" }, { "dropping-particle" : "", "family" : "Ho", "given" : "Suzanne", "non-dropping-particle" : "", "parse-names" : false, "suffix" : "" }, { "dropping-particle" : "", "family" : "Jamrozik", "given" : "Konrad", "non-dropping-particle" : "", "parse-names" : false, "suffix" : "" } ], "container-title" : "European Heart Journal", "id" : "ITEM-2", "issue" : "21", "issued" : { "date-parts" : [ [ "2007" ] ] }, "page" : "2653-2660", "title" : "Associations between high-density lipoprotein cholesterol and both stroke and coronary heart disease in the Asia Pacific region", "type" : "article-journal", "volume" : "28" }, "uris" : [ "http://www.mendeley.com/documents/?uuid=d44f99f7-037b-40a4-b727-f50fc4fdba7f", "http://www.mendeley.com/documents/?uuid=5fdf17d7-18ef-441d-8cab-9ab0d5a7c5e4", "http://www.mendeley.com/documents/?uuid=2f6602e0-156d-4ab9-85da-42cb0ab016b6" ] } ], "mendeley" : { "formattedCitation" : "&lt;sup&gt;53,54&lt;/sup&gt;", "plainTextFormattedCitation" : "53,54", "previouslyFormattedCitation" : "&lt;sup&gt;57,58&lt;/sup&gt;" }, "properties" : { "noteIndex" : 0 }, "schema" : "https://github.com/citation-style-language/schema/raw/master/csl-citation.json" }</w:instrText>
      </w:r>
      <w:r w:rsidR="009F7EA0"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53,54</w:t>
      </w:r>
      <w:r w:rsidR="009F7EA0" w:rsidRPr="00463398">
        <w:rPr>
          <w:rFonts w:cstheme="minorHAnsi"/>
          <w:bCs/>
          <w:color w:val="000000" w:themeColor="text1"/>
          <w:szCs w:val="22"/>
        </w:rPr>
        <w:fldChar w:fldCharType="end"/>
      </w:r>
      <w:r w:rsidR="009F7EA0" w:rsidRPr="00463398">
        <w:rPr>
          <w:rFonts w:cstheme="minorHAnsi"/>
          <w:bCs/>
          <w:color w:val="000000" w:themeColor="text1"/>
          <w:szCs w:val="22"/>
        </w:rPr>
        <w:t xml:space="preserve">, whereas </w:t>
      </w:r>
      <w:r w:rsidR="009F7EA0">
        <w:rPr>
          <w:rFonts w:cstheme="minorHAnsi"/>
          <w:bCs/>
          <w:color w:val="000000" w:themeColor="text1"/>
          <w:szCs w:val="22"/>
        </w:rPr>
        <w:t xml:space="preserve">the positive association of </w:t>
      </w:r>
      <w:r w:rsidR="009F7EA0" w:rsidRPr="00463398">
        <w:rPr>
          <w:rFonts w:cstheme="minorHAnsi"/>
          <w:bCs/>
          <w:color w:val="000000" w:themeColor="text1"/>
          <w:szCs w:val="22"/>
        </w:rPr>
        <w:t>systolic blood</w:t>
      </w:r>
      <w:r w:rsidR="009F7EA0">
        <w:rPr>
          <w:rFonts w:cstheme="minorHAnsi"/>
          <w:bCs/>
          <w:color w:val="000000" w:themeColor="text1"/>
          <w:szCs w:val="22"/>
        </w:rPr>
        <w:t xml:space="preserve"> with CVD is considerably stronger </w:t>
      </w:r>
      <w:r w:rsidR="009F7EA0">
        <w:rPr>
          <w:rFonts w:cstheme="minorHAnsi"/>
          <w:bCs/>
          <w:color w:val="000000" w:themeColor="text1"/>
          <w:szCs w:val="22"/>
        </w:rPr>
        <w:lastRenderedPageBreak/>
        <w:t>for</w:t>
      </w:r>
      <w:r w:rsidR="009F7EA0" w:rsidRPr="00463398">
        <w:rPr>
          <w:rFonts w:cstheme="minorHAnsi"/>
          <w:bCs/>
          <w:color w:val="000000" w:themeColor="text1"/>
          <w:szCs w:val="22"/>
        </w:rPr>
        <w:t xml:space="preserve"> stroke</w:t>
      </w:r>
      <w:r w:rsidR="009F7EA0">
        <w:rPr>
          <w:rFonts w:cstheme="minorHAnsi"/>
          <w:bCs/>
          <w:color w:val="000000" w:themeColor="text1"/>
          <w:szCs w:val="22"/>
        </w:rPr>
        <w:t xml:space="preserve"> than coronary disease</w:t>
      </w:r>
      <w:r w:rsidR="009F7EA0" w:rsidRPr="00463398">
        <w:rPr>
          <w:rFonts w:cstheme="minorHAnsi"/>
          <w:bCs/>
          <w:color w:val="000000" w:themeColor="text1"/>
          <w:szCs w:val="22"/>
        </w:rPr>
        <w:fldChar w:fldCharType="begin" w:fldLock="1"/>
      </w:r>
      <w:r w:rsidR="00E50B13">
        <w:rPr>
          <w:rFonts w:cstheme="minorHAnsi"/>
          <w:bCs/>
          <w:color w:val="000000" w:themeColor="text1"/>
          <w:szCs w:val="22"/>
        </w:rPr>
        <w:instrText>ADDIN CSL_CITATION { "citationItems" : [ { "id" : "ITEM-1", "itemData" : { "DOI" : "10.1016/0140-6736(90)90878-9", "ISBN" : "0140-6736 (Print)", "ISSN" : "01406736", "PMID" : "1969518", "abstract" : "The associations of diastolic blood pressure (DBP) with stroke and with coronary heart disease (CHD) were investigated in nine major prospective observational studies: total 420 000 individuals, 843 strokes, and 4856 CHD events, 6-25 (mean 10) years of follow-up. The combined results demonstrate positive, continuous, and apparently independent associations, with no significant heterogeneity of effect among different studies. Within the range of DBP studied (about 70-110 mm Hg), there was no evidence of any \"threshold\" below which lower levels of DBP were not associated with lower risks of stroke and of CHD. Previous analyses have described the uncorrected associations of DBP measured just at \"baseline\" with subsequent disease rates. But, because of the diluting effects of random fluctuations in DBP, these substantially underestimate the true associations of the usual DBP (ie, an individual's long-term average DBP) with disease. After correction for this \"regression dilution\" bias, prolonged differences in usual DBP of 5,7??5, and 10 mm Hg were respectively associated with at least 34%, 46%, and 56% less stroke and at least 21%. 29%, and 37% less CHD. These associations are about 60% greater than in previous uncorrected analyses. (This regression dilution bias is quite general, so analogous corrections to the relations of cholesterol to CHD or of various other risk factors to C H D or to other diseases would likewise increase their estimated strengths.) The DBP results suggest that for the large majority of individuals, whether conventionally \"hypertensive\" or \"normotensive\", a lower blood pressure should eventually confer a lower risk of vascular disease. ?? 1990.", "author" : [ { "dropping-particle" : "", "family" : "MacMahon", "given" : "S.", "non-dropping-particle" : "", "parse-names" : false, "suffix" : "" }, { "dropping-particle" : "", "family" : "Peto", "given" : "R.", "non-dropping-particle" : "", "parse-names" : false, "suffix" : "" }, { "dropping-particle" : "", "family" : "Collins", "given" : "R.", "non-dropping-particle" : "", "parse-names" : false, "suffix" : "" }, { "dropping-particle" : "", "family" : "Godwin", "given" : "J.", "non-dropping-particle" : "", "parse-names" : false, "suffix" : "" }, { "dropping-particle" : "", "family" : "MacMahon", "given" : "S.", "non-dropping-particle" : "", "parse-names" : false, "suffix" : "" }, { "dropping-particle" : "", "family" : "Cutler", "given" : "J.", "non-dropping-particle" : "", "parse-names" : false, "suffix" : "" }, { "dropping-particle" : "", "family" : "Sorlie", "given" : "P.", "non-dropping-particle" : "", "parse-names" : false, "suffix" : "" }, { "dropping-particle" : "", "family" : "Abbott", "given" : "R.", "non-dropping-particle" : "", "parse-names" : false, "suffix" : "" }, { "dropping-particle" : "", "family" : "Collins", "given" : "R.", "non-dropping-particle" : "", "parse-names" : false, "suffix" : "" }, { "dropping-particle" : "", "family" : "Neaton", "given" : "J.", "non-dropping-particle" : "", "parse-names" : false, "suffix" : "" }, { "dropping-particle" : "", "family" : "Abbott", "given" : "R.", "non-dropping-particle" : "", "parse-names" : false, "suffix" : "" }, { "dropping-particle" : "", "family" : "Dyer", "given" : "A.", "non-dropping-particle" : "", "parse-names" : false, "suffix" : "" }, { "dropping-particle" : "", "family" : "Stamler", "given" : "J.", "non-dropping-particle" : "", "parse-names" : false, "suffix" : "" } ], "container-title" : "The Lancet", "id" : "ITEM-1", "issue" : "8692", "issued" : { "date-parts" : [ [ "1990" ] ] }, "page" : "765-774", "title" : "Blood pressure, stroke, and coronary heart disease. Part 1, prolonged differences in blood pressure: prospective observational studies corrected for the regression dilution bias", "type" : "article-journal", "volume" : "335" }, "uris" : [ "http://www.mendeley.com/documents/?uuid=57c885ef-094d-4a13-b3d8-65183cd14765" ] } ], "mendeley" : { "formattedCitation" : "&lt;sup&gt;55&lt;/sup&gt;", "plainTextFormattedCitation" : "55", "previouslyFormattedCitation" : "&lt;sup&gt;59&lt;/sup&gt;" }, "properties" : { "noteIndex" : 0 }, "schema" : "https://github.com/citation-style-language/schema/raw/master/csl-citation.json" }</w:instrText>
      </w:r>
      <w:r w:rsidR="009F7EA0" w:rsidRPr="00463398">
        <w:rPr>
          <w:rFonts w:cstheme="minorHAnsi"/>
          <w:bCs/>
          <w:color w:val="000000" w:themeColor="text1"/>
          <w:szCs w:val="22"/>
        </w:rPr>
        <w:fldChar w:fldCharType="separate"/>
      </w:r>
      <w:r w:rsidR="00E50B13" w:rsidRPr="00E50B13">
        <w:rPr>
          <w:rFonts w:cstheme="minorHAnsi"/>
          <w:bCs/>
          <w:noProof/>
          <w:color w:val="000000" w:themeColor="text1"/>
          <w:szCs w:val="22"/>
          <w:vertAlign w:val="superscript"/>
        </w:rPr>
        <w:t>55</w:t>
      </w:r>
      <w:r w:rsidR="009F7EA0" w:rsidRPr="00463398">
        <w:rPr>
          <w:rFonts w:cstheme="minorHAnsi"/>
          <w:bCs/>
          <w:color w:val="000000" w:themeColor="text1"/>
          <w:szCs w:val="22"/>
        </w:rPr>
        <w:fldChar w:fldCharType="end"/>
      </w:r>
      <w:r w:rsidR="009F7EA0" w:rsidRPr="00463398">
        <w:rPr>
          <w:rFonts w:cstheme="minorHAnsi"/>
          <w:bCs/>
          <w:color w:val="000000" w:themeColor="text1"/>
          <w:szCs w:val="22"/>
        </w:rPr>
        <w:t xml:space="preserve">. </w:t>
      </w:r>
      <w:r w:rsidR="00BD383D">
        <w:rPr>
          <w:rFonts w:cstheme="minorHAnsi"/>
          <w:bCs/>
          <w:color w:val="000000" w:themeColor="text1"/>
          <w:szCs w:val="22"/>
        </w:rPr>
        <w:t>However, w</w:t>
      </w:r>
      <w:r w:rsidR="009F7EA0" w:rsidRPr="00463398">
        <w:rPr>
          <w:rFonts w:cstheme="minorHAnsi"/>
          <w:bCs/>
          <w:color w:val="000000" w:themeColor="text1"/>
          <w:szCs w:val="22"/>
        </w:rPr>
        <w:t xml:space="preserve">e did not find good evidence that </w:t>
      </w:r>
      <w:r w:rsidR="00965248">
        <w:rPr>
          <w:rFonts w:cstheme="minorHAnsi"/>
          <w:bCs/>
          <w:color w:val="000000" w:themeColor="text1"/>
          <w:szCs w:val="22"/>
        </w:rPr>
        <w:t xml:space="preserve">other </w:t>
      </w:r>
      <w:r w:rsidR="00B63C73">
        <w:rPr>
          <w:rFonts w:cstheme="minorHAnsi"/>
          <w:bCs/>
          <w:color w:val="000000" w:themeColor="text1"/>
          <w:szCs w:val="22"/>
        </w:rPr>
        <w:t>known</w:t>
      </w:r>
      <w:r w:rsidR="009F7EA0" w:rsidRPr="00463398">
        <w:rPr>
          <w:rFonts w:cstheme="minorHAnsi"/>
          <w:bCs/>
          <w:color w:val="000000" w:themeColor="text1"/>
          <w:szCs w:val="22"/>
        </w:rPr>
        <w:t xml:space="preserve"> risk factors were important mediators or confounders.</w:t>
      </w:r>
    </w:p>
    <w:p w14:paraId="58BFE482" w14:textId="77777777" w:rsidR="00DE6AA9" w:rsidRDefault="00DE6AA9" w:rsidP="005C3FCE"/>
    <w:p w14:paraId="644941F3" w14:textId="41530434" w:rsidR="00413101" w:rsidRDefault="005C3FCE" w:rsidP="005C3FCE">
      <w:pPr>
        <w:rPr>
          <w:rFonts w:cstheme="minorHAnsi"/>
          <w:color w:val="000000" w:themeColor="text1"/>
          <w:szCs w:val="20"/>
        </w:rPr>
      </w:pPr>
      <w:r>
        <w:t>Our study</w:t>
      </w:r>
      <w:r w:rsidR="0075080A">
        <w:t>’s a</w:t>
      </w:r>
      <w:r w:rsidR="008167EB">
        <w:rPr>
          <w:szCs w:val="20"/>
          <w:lang w:val="en-US"/>
        </w:rPr>
        <w:t xml:space="preserve">ccess to individual-participant data </w:t>
      </w:r>
      <w:r w:rsidR="0046322F">
        <w:rPr>
          <w:szCs w:val="20"/>
          <w:lang w:val="en-US"/>
        </w:rPr>
        <w:t>avoid</w:t>
      </w:r>
      <w:r w:rsidR="001B2043">
        <w:rPr>
          <w:szCs w:val="20"/>
          <w:lang w:val="en-US"/>
        </w:rPr>
        <w:t>ed</w:t>
      </w:r>
      <w:r w:rsidR="008167EB">
        <w:rPr>
          <w:szCs w:val="20"/>
          <w:lang w:val="en-US"/>
        </w:rPr>
        <w:t xml:space="preserve"> limitations of </w:t>
      </w:r>
      <w:r w:rsidR="00FA5844">
        <w:rPr>
          <w:szCs w:val="20"/>
          <w:lang w:val="en-US"/>
        </w:rPr>
        <w:t xml:space="preserve">previous </w:t>
      </w:r>
      <w:r w:rsidR="008167EB">
        <w:rPr>
          <w:szCs w:val="20"/>
          <w:lang w:val="en-US"/>
        </w:rPr>
        <w:t>literature-based reviews</w:t>
      </w:r>
      <w:r w:rsidR="00A615D2" w:rsidRPr="003819CA">
        <w:rPr>
          <w:lang w:eastAsia="en-US"/>
        </w:rPr>
        <w:fldChar w:fldCharType="begin" w:fldLock="1"/>
      </w:r>
      <w:r w:rsidR="00E50B13">
        <w:rPr>
          <w:lang w:eastAsia="en-US"/>
        </w:rPr>
        <w:instrText>ADDIN CSL_CITATION { "citationItems" : [ { "id" : "ITEM-1", "itemData" : { "DOI" : "10.1136/bmj.d7762", "ISBN" : "1468-5833 (Electronic)\\n0959-535X (Linking)", "ISSN" : "0959-8138", "PMID" : "22214758", "abstract" : "OBJECTIVE: To examine the potential for publication bias, data availability bias, and reviewer selection bias in recently published meta-analyses that use individual participant data and to investigate whether authors of such meta-analyses seemed aware of these issues. DESIGN: In a database of 383 meta-analyses of individual participant data that were published between 1991 and March 2009, we surveyed the 31 most recent meta-analyses of randomised trials that examined whether an intervention was effective. Identification of relevant articles and data extraction was undertaken by one author and checked by another. RESULTS: Only nine (29%) of the 31 meta-analyses included individual participant data from \"grey literature\" (such as unpublished studies) in their primary meta-analysis, and the potential for publication bias was discussed or investigated in just 10 (32%). Sixteen (52%) of the 31 meta-analyses did not obtain all the individual participant data requested, yet five of these (31%) did not mention this as a potential limitation, and only six (38%) examined how trials without individual participant data might affect the conclusions. In nine (29%) of the meta-analyses reviewer selection bias was a potential issue, as the identification of relevant trials was either not stated or based on a more selective, non-systematic approach. Investigation of four meta-analyses containing data from \u226510 trials revealed one with an asymmetric funnel plot consistent with publication bias, and the inclusion of studies without individual participant data revealed additional heterogeneity between trials. CONCLUSIONS: Publication, availability, and selection biases are a potential concern for meta-analyses of individual participant data, but many reviewers neglect to examine or discuss them. These issues warn against uncritically viewing any meta-analysis that uses individual participant data as the most reliable. Reviewers should seek individual participant data from all studies identified by a systematic review; include, where possible, aggregate data from any studies lacking individual participant data to consider their potential impact; and investigate funnel plot asymmetry in line with recent guidelines.", "author" : [ { "dropping-particle" : "", "family" : "Ahmed", "given" : "I.", "non-dropping-particle" : "", "parse-names" : false, "suffix" : "" }, { "dropping-particle" : "", "family" : "Sutton", "given" : "A. J.", "non-dropping-particle" : "", "parse-names" : false, "suffix" : "" }, { "dropping-particle" : "", "family" : "Riley", "given" : "R. D.", "non-dropping-particle" : "", "parse-names" : false, "suffix" : "" } ], "container-title" : "BMJ", "id" : "ITEM-1", "issue" : "jan03 1", "issued" : { "date-parts" : [ [ "2012" ] ] }, "page" : "d7762-d7762", "title" : "Assessment of publication bias, selection bias, and unavailable data in meta-analyses using individual participant data: a database survey", "type" : "article-journal", "volume" : "344" }, "uris" : [ "http://www.mendeley.com/documents/?uuid=8fff12f8-8de9-48a3-8128-a17190e084d6", "http://www.mendeley.com/documents/?uuid=6370f602-2619-4ebb-9474-8b14a0b5eeb7" ] } ], "mendeley" : { "formattedCitation" : "&lt;sup&gt;56&lt;/sup&gt;", "plainTextFormattedCitation" : "56", "previouslyFormattedCitation" : "&lt;sup&gt;28&lt;/sup&gt;" }, "properties" : { "noteIndex" : 7 }, "schema" : "https://github.com/citation-style-language/schema/raw/master/csl-citation.json" }</w:instrText>
      </w:r>
      <w:r w:rsidR="00A615D2" w:rsidRPr="003819CA">
        <w:rPr>
          <w:lang w:eastAsia="en-US"/>
        </w:rPr>
        <w:fldChar w:fldCharType="separate"/>
      </w:r>
      <w:r w:rsidR="00E50B13" w:rsidRPr="00E50B13">
        <w:rPr>
          <w:noProof/>
          <w:vertAlign w:val="superscript"/>
          <w:lang w:eastAsia="en-US"/>
        </w:rPr>
        <w:t>56</w:t>
      </w:r>
      <w:r w:rsidR="00A615D2" w:rsidRPr="003819CA">
        <w:rPr>
          <w:lang w:eastAsia="en-US"/>
        </w:rPr>
        <w:fldChar w:fldCharType="end"/>
      </w:r>
      <w:r w:rsidR="008167EB">
        <w:rPr>
          <w:szCs w:val="20"/>
          <w:lang w:val="en-US"/>
        </w:rPr>
        <w:t xml:space="preserve">. </w:t>
      </w:r>
      <w:r w:rsidR="00EE7D9B">
        <w:rPr>
          <w:szCs w:val="20"/>
          <w:lang w:val="en-US"/>
        </w:rPr>
        <w:t>T</w:t>
      </w:r>
      <w:r w:rsidR="008167EB">
        <w:rPr>
          <w:szCs w:val="20"/>
          <w:lang w:val="en-US"/>
        </w:rPr>
        <w:t xml:space="preserve">o </w:t>
      </w:r>
      <w:r w:rsidR="00AE0B76">
        <w:rPr>
          <w:szCs w:val="20"/>
          <w:lang w:val="en-US"/>
        </w:rPr>
        <w:t>limit</w:t>
      </w:r>
      <w:r w:rsidR="008167EB">
        <w:rPr>
          <w:szCs w:val="20"/>
          <w:lang w:val="en-US"/>
        </w:rPr>
        <w:t xml:space="preserve"> reverse causality, </w:t>
      </w:r>
      <w:r w:rsidR="0075080A">
        <w:rPr>
          <w:szCs w:val="20"/>
          <w:lang w:val="en-US"/>
        </w:rPr>
        <w:t>our study</w:t>
      </w:r>
      <w:r w:rsidR="008167EB">
        <w:rPr>
          <w:szCs w:val="20"/>
          <w:lang w:val="en-US"/>
        </w:rPr>
        <w:t xml:space="preserve"> focused on current drinkers without baseline </w:t>
      </w:r>
      <w:r w:rsidR="00AE0B76">
        <w:rPr>
          <w:szCs w:val="20"/>
          <w:lang w:val="en-US"/>
        </w:rPr>
        <w:t>CVD</w:t>
      </w:r>
      <w:r w:rsidR="00191583">
        <w:rPr>
          <w:szCs w:val="20"/>
          <w:lang w:val="en-US"/>
        </w:rPr>
        <w:t xml:space="preserve"> and</w:t>
      </w:r>
      <w:r w:rsidR="006014D3">
        <w:rPr>
          <w:szCs w:val="20"/>
          <w:lang w:val="en-US"/>
        </w:rPr>
        <w:t xml:space="preserve"> </w:t>
      </w:r>
      <w:r w:rsidR="00191583">
        <w:rPr>
          <w:szCs w:val="20"/>
          <w:lang w:val="en-US"/>
        </w:rPr>
        <w:t xml:space="preserve">omitted the initial </w:t>
      </w:r>
      <w:r w:rsidR="006158FE">
        <w:rPr>
          <w:szCs w:val="20"/>
          <w:lang w:val="en-US"/>
        </w:rPr>
        <w:t>period</w:t>
      </w:r>
      <w:r w:rsidR="00317CDC">
        <w:rPr>
          <w:szCs w:val="20"/>
          <w:lang w:val="en-US"/>
        </w:rPr>
        <w:t xml:space="preserve"> of</w:t>
      </w:r>
      <w:r w:rsidR="00317CDC" w:rsidRPr="00317CDC">
        <w:rPr>
          <w:szCs w:val="20"/>
          <w:lang w:val="en-US"/>
        </w:rPr>
        <w:t xml:space="preserve"> </w:t>
      </w:r>
      <w:r w:rsidR="00317CDC">
        <w:rPr>
          <w:szCs w:val="20"/>
          <w:lang w:val="en-US"/>
        </w:rPr>
        <w:t>follow-up</w:t>
      </w:r>
      <w:r w:rsidR="008167EB">
        <w:rPr>
          <w:szCs w:val="20"/>
          <w:lang w:val="en-US"/>
        </w:rPr>
        <w:t xml:space="preserve">. To limit confounding, </w:t>
      </w:r>
      <w:r w:rsidR="0075080A">
        <w:rPr>
          <w:szCs w:val="20"/>
          <w:lang w:val="en-US"/>
        </w:rPr>
        <w:t>our study</w:t>
      </w:r>
      <w:r w:rsidR="008167EB">
        <w:rPr>
          <w:szCs w:val="20"/>
          <w:lang w:val="en-US"/>
        </w:rPr>
        <w:t xml:space="preserve"> adjusted for </w:t>
      </w:r>
      <w:r w:rsidR="00D47937">
        <w:rPr>
          <w:szCs w:val="20"/>
          <w:lang w:val="en-US"/>
        </w:rPr>
        <w:t>a variety of</w:t>
      </w:r>
      <w:r w:rsidR="008167EB">
        <w:rPr>
          <w:szCs w:val="20"/>
          <w:lang w:val="en-US"/>
        </w:rPr>
        <w:t xml:space="preserve"> risk factors. </w:t>
      </w:r>
      <w:r w:rsidR="005502B3">
        <w:t>To</w:t>
      </w:r>
      <w:r w:rsidR="00B62AC8">
        <w:rPr>
          <w:color w:val="000000"/>
          <w:szCs w:val="20"/>
        </w:rPr>
        <w:t xml:space="preserve"> correct for </w:t>
      </w:r>
      <w:r w:rsidR="00B62AC8" w:rsidRPr="007311BC">
        <w:rPr>
          <w:color w:val="000000"/>
          <w:szCs w:val="20"/>
        </w:rPr>
        <w:t xml:space="preserve">misclassification </w:t>
      </w:r>
      <w:r w:rsidR="00B74B0B">
        <w:rPr>
          <w:color w:val="000000"/>
          <w:szCs w:val="20"/>
        </w:rPr>
        <w:t xml:space="preserve">in </w:t>
      </w:r>
      <w:r w:rsidR="00B62AC8" w:rsidRPr="007311BC">
        <w:rPr>
          <w:color w:val="000000"/>
          <w:szCs w:val="20"/>
        </w:rPr>
        <w:t xml:space="preserve">alcohol </w:t>
      </w:r>
      <w:r w:rsidR="00F135A3">
        <w:rPr>
          <w:color w:val="000000"/>
          <w:szCs w:val="20"/>
        </w:rPr>
        <w:t>consumption</w:t>
      </w:r>
      <w:r w:rsidR="00181B42">
        <w:rPr>
          <w:color w:val="000000"/>
          <w:szCs w:val="20"/>
        </w:rPr>
        <w:t xml:space="preserve"> and covariates</w:t>
      </w:r>
      <w:r w:rsidR="0075080A">
        <w:rPr>
          <w:color w:val="000000"/>
          <w:szCs w:val="20"/>
        </w:rPr>
        <w:t xml:space="preserve">, </w:t>
      </w:r>
      <w:r w:rsidR="0075080A">
        <w:rPr>
          <w:szCs w:val="20"/>
          <w:lang w:val="en-US"/>
        </w:rPr>
        <w:t>our study</w:t>
      </w:r>
      <w:r w:rsidR="00AE0B76">
        <w:rPr>
          <w:szCs w:val="20"/>
          <w:lang w:val="en-US"/>
        </w:rPr>
        <w:t xml:space="preserve"> used</w:t>
      </w:r>
      <w:r w:rsidR="00C4385B" w:rsidRPr="00D425CC">
        <w:rPr>
          <w:color w:val="000000"/>
          <w:szCs w:val="20"/>
        </w:rPr>
        <w:t xml:space="preserve"> </w:t>
      </w:r>
      <w:r w:rsidR="00C4385B">
        <w:rPr>
          <w:color w:val="000000"/>
          <w:szCs w:val="20"/>
        </w:rPr>
        <w:t xml:space="preserve">extensive </w:t>
      </w:r>
      <w:r w:rsidR="005502B3">
        <w:rPr>
          <w:color w:val="000000"/>
          <w:szCs w:val="20"/>
        </w:rPr>
        <w:t xml:space="preserve">information on </w:t>
      </w:r>
      <w:r w:rsidR="00C4385B">
        <w:t>serial assessments</w:t>
      </w:r>
      <w:r w:rsidR="00B62AC8" w:rsidRPr="001813B0">
        <w:rPr>
          <w:rFonts w:cstheme="minorHAnsi"/>
          <w:color w:val="000000" w:themeColor="text1"/>
          <w:szCs w:val="20"/>
        </w:rPr>
        <w:t>.</w:t>
      </w:r>
      <w:r w:rsidR="00B62AC8">
        <w:rPr>
          <w:rFonts w:cstheme="minorHAnsi"/>
          <w:color w:val="000000" w:themeColor="text1"/>
          <w:szCs w:val="20"/>
        </w:rPr>
        <w:t xml:space="preserve"> </w:t>
      </w:r>
      <w:r w:rsidR="006158FE">
        <w:rPr>
          <w:szCs w:val="20"/>
          <w:lang w:val="en-US"/>
        </w:rPr>
        <w:t>Our results were robust to a variety of sensitivity analyses.</w:t>
      </w:r>
      <w:r w:rsidR="00F00633">
        <w:rPr>
          <w:szCs w:val="20"/>
          <w:lang w:val="en-US"/>
        </w:rPr>
        <w:t xml:space="preserve"> </w:t>
      </w:r>
      <w:r w:rsidR="001B2043">
        <w:rPr>
          <w:szCs w:val="20"/>
          <w:lang w:val="en-US"/>
        </w:rPr>
        <w:t>G</w:t>
      </w:r>
      <w:r w:rsidR="00F00633">
        <w:t xml:space="preserve">eneralisability </w:t>
      </w:r>
      <w:r w:rsidR="00224196">
        <w:t xml:space="preserve">of the </w:t>
      </w:r>
      <w:r w:rsidR="00965248">
        <w:t>findings</w:t>
      </w:r>
      <w:r w:rsidR="00224196">
        <w:t xml:space="preserve"> </w:t>
      </w:r>
      <w:r w:rsidR="007821F8">
        <w:t>was</w:t>
      </w:r>
      <w:r w:rsidR="00D47937">
        <w:t xml:space="preserve"> </w:t>
      </w:r>
      <w:r w:rsidR="00F00633">
        <w:t xml:space="preserve">enhanced by inclusion of data from </w:t>
      </w:r>
      <w:r w:rsidR="00F00633">
        <w:rPr>
          <w:szCs w:val="20"/>
          <w:lang w:val="en-US"/>
        </w:rPr>
        <w:t xml:space="preserve">83 </w:t>
      </w:r>
      <w:r w:rsidR="00F00633" w:rsidRPr="00BE3CDD">
        <w:rPr>
          <w:szCs w:val="20"/>
          <w:lang w:val="en-US"/>
        </w:rPr>
        <w:t xml:space="preserve">prospective </w:t>
      </w:r>
      <w:r w:rsidR="00F00633">
        <w:rPr>
          <w:szCs w:val="20"/>
          <w:lang w:val="en-US"/>
        </w:rPr>
        <w:t>studies</w:t>
      </w:r>
      <w:r w:rsidR="00F00633" w:rsidRPr="00BE3CDD">
        <w:rPr>
          <w:szCs w:val="20"/>
          <w:lang w:val="en-US"/>
        </w:rPr>
        <w:t xml:space="preserve"> </w:t>
      </w:r>
      <w:r w:rsidR="00D47937">
        <w:rPr>
          <w:szCs w:val="20"/>
          <w:lang w:val="en-US"/>
        </w:rPr>
        <w:t xml:space="preserve">based in </w:t>
      </w:r>
      <w:r w:rsidR="00FF0061">
        <w:rPr>
          <w:szCs w:val="20"/>
          <w:lang w:val="en-US"/>
        </w:rPr>
        <w:t xml:space="preserve">many different </w:t>
      </w:r>
      <w:r w:rsidR="00693247">
        <w:rPr>
          <w:szCs w:val="20"/>
          <w:lang w:val="en-US"/>
        </w:rPr>
        <w:t xml:space="preserve">Western </w:t>
      </w:r>
      <w:r w:rsidR="00FF0061">
        <w:rPr>
          <w:szCs w:val="20"/>
          <w:lang w:val="en-US"/>
        </w:rPr>
        <w:t>populations</w:t>
      </w:r>
      <w:r w:rsidR="0075080A">
        <w:rPr>
          <w:szCs w:val="20"/>
          <w:lang w:val="en-US"/>
        </w:rPr>
        <w:t xml:space="preserve"> </w:t>
      </w:r>
      <w:r w:rsidR="00D47937">
        <w:rPr>
          <w:szCs w:val="20"/>
          <w:lang w:val="en-US"/>
        </w:rPr>
        <w:t xml:space="preserve">recruited </w:t>
      </w:r>
      <w:r w:rsidR="0075080A">
        <w:rPr>
          <w:szCs w:val="20"/>
          <w:lang w:val="en-US"/>
        </w:rPr>
        <w:t xml:space="preserve">during 1964 and </w:t>
      </w:r>
      <w:r w:rsidR="0075080A" w:rsidRPr="00E51CBB">
        <w:rPr>
          <w:szCs w:val="20"/>
          <w:lang w:val="en-US"/>
        </w:rPr>
        <w:t>2014</w:t>
      </w:r>
      <w:r w:rsidR="001B2043">
        <w:rPr>
          <w:szCs w:val="20"/>
          <w:lang w:val="en-US"/>
        </w:rPr>
        <w:t>. A</w:t>
      </w:r>
      <w:r w:rsidR="005502B3" w:rsidRPr="00E51CBB">
        <w:rPr>
          <w:szCs w:val="20"/>
          <w:lang w:val="en-US"/>
        </w:rPr>
        <w:t xml:space="preserve">lthough </w:t>
      </w:r>
      <w:r w:rsidR="007A2DA3" w:rsidRPr="00E51CBB">
        <w:rPr>
          <w:szCs w:val="20"/>
          <w:lang w:val="en-US"/>
        </w:rPr>
        <w:t xml:space="preserve">alcohol consumption </w:t>
      </w:r>
      <w:r w:rsidR="005502B3" w:rsidRPr="00E51CBB">
        <w:rPr>
          <w:szCs w:val="20"/>
          <w:lang w:val="en-US"/>
        </w:rPr>
        <w:t xml:space="preserve">levels </w:t>
      </w:r>
      <w:r w:rsidR="00DE0C80" w:rsidRPr="00E51CBB">
        <w:rPr>
          <w:szCs w:val="20"/>
          <w:lang w:val="en-US"/>
        </w:rPr>
        <w:t>declined</w:t>
      </w:r>
      <w:r w:rsidR="0075080A" w:rsidRPr="00E51CBB">
        <w:rPr>
          <w:szCs w:val="20"/>
          <w:lang w:val="en-US"/>
        </w:rPr>
        <w:t xml:space="preserve"> during this period, HRs </w:t>
      </w:r>
      <w:r w:rsidR="005502B3" w:rsidRPr="00E51CBB">
        <w:rPr>
          <w:szCs w:val="20"/>
          <w:lang w:val="en-US"/>
        </w:rPr>
        <w:t>w</w:t>
      </w:r>
      <w:r w:rsidR="0075080A" w:rsidRPr="00E51CBB">
        <w:rPr>
          <w:szCs w:val="20"/>
          <w:lang w:val="en-US"/>
        </w:rPr>
        <w:t>ere</w:t>
      </w:r>
      <w:r w:rsidR="005502B3" w:rsidRPr="00E51CBB">
        <w:rPr>
          <w:szCs w:val="20"/>
          <w:lang w:val="en-US"/>
        </w:rPr>
        <w:t xml:space="preserve"> </w:t>
      </w:r>
      <w:r w:rsidR="00D51E7D">
        <w:rPr>
          <w:szCs w:val="20"/>
          <w:lang w:val="en-US"/>
        </w:rPr>
        <w:t>similar</w:t>
      </w:r>
      <w:r w:rsidR="00EE7D9B">
        <w:rPr>
          <w:szCs w:val="20"/>
          <w:lang w:val="en-US"/>
        </w:rPr>
        <w:t xml:space="preserve"> over </w:t>
      </w:r>
      <w:r w:rsidR="00D47937">
        <w:rPr>
          <w:szCs w:val="20"/>
          <w:lang w:val="en-US"/>
        </w:rPr>
        <w:t xml:space="preserve">calendar </w:t>
      </w:r>
      <w:r w:rsidR="00EE7D9B">
        <w:rPr>
          <w:szCs w:val="20"/>
          <w:lang w:val="en-US"/>
        </w:rPr>
        <w:t>time</w:t>
      </w:r>
      <w:r w:rsidR="007A2DA3" w:rsidRPr="00E51CBB">
        <w:rPr>
          <w:szCs w:val="20"/>
          <w:lang w:val="en-US"/>
        </w:rPr>
        <w:t>.</w:t>
      </w:r>
      <w:r w:rsidR="007A2DA3">
        <w:rPr>
          <w:szCs w:val="20"/>
          <w:lang w:val="en-US"/>
        </w:rPr>
        <w:t xml:space="preserve">   </w:t>
      </w:r>
    </w:p>
    <w:p w14:paraId="6973EE3A" w14:textId="77777777" w:rsidR="00413101" w:rsidRDefault="00413101" w:rsidP="005C3FCE">
      <w:pPr>
        <w:rPr>
          <w:rFonts w:cstheme="minorHAnsi"/>
          <w:color w:val="000000" w:themeColor="text1"/>
          <w:szCs w:val="20"/>
        </w:rPr>
      </w:pPr>
    </w:p>
    <w:p w14:paraId="3D645844" w14:textId="02E72ECF" w:rsidR="00DE6AA9" w:rsidRDefault="00D47937" w:rsidP="004B7CE3">
      <w:pPr>
        <w:rPr>
          <w:b/>
          <w:szCs w:val="20"/>
        </w:rPr>
      </w:pPr>
      <w:r>
        <w:rPr>
          <w:rFonts w:cstheme="minorHAnsi"/>
          <w:color w:val="000000" w:themeColor="text1"/>
          <w:szCs w:val="20"/>
        </w:rPr>
        <w:t>Nevertheless, o</w:t>
      </w:r>
      <w:r w:rsidR="00413101">
        <w:rPr>
          <w:rFonts w:cstheme="minorHAnsi"/>
          <w:color w:val="000000" w:themeColor="text1"/>
          <w:szCs w:val="20"/>
        </w:rPr>
        <w:t>ur study involved potential limitations</w:t>
      </w:r>
      <w:r w:rsidR="00B67C92">
        <w:rPr>
          <w:szCs w:val="20"/>
        </w:rPr>
        <w:t xml:space="preserve">. </w:t>
      </w:r>
      <w:r w:rsidR="007821F8">
        <w:rPr>
          <w:szCs w:val="20"/>
        </w:rPr>
        <w:t>S</w:t>
      </w:r>
      <w:r w:rsidR="00C4543C">
        <w:rPr>
          <w:szCs w:val="20"/>
        </w:rPr>
        <w:t>elf-reported a</w:t>
      </w:r>
      <w:r w:rsidR="009573FE">
        <w:rPr>
          <w:szCs w:val="20"/>
        </w:rPr>
        <w:t xml:space="preserve">lcohol consumption </w:t>
      </w:r>
      <w:r w:rsidR="00FC557A">
        <w:rPr>
          <w:szCs w:val="20"/>
        </w:rPr>
        <w:t>data</w:t>
      </w:r>
      <w:r w:rsidR="00717BC9">
        <w:rPr>
          <w:szCs w:val="20"/>
        </w:rPr>
        <w:t xml:space="preserve"> </w:t>
      </w:r>
      <w:r w:rsidR="00FC557A">
        <w:rPr>
          <w:szCs w:val="20"/>
        </w:rPr>
        <w:t xml:space="preserve">are </w:t>
      </w:r>
      <w:r w:rsidR="00100BA5">
        <w:rPr>
          <w:szCs w:val="20"/>
        </w:rPr>
        <w:t xml:space="preserve">prone to bias and are </w:t>
      </w:r>
      <w:r w:rsidR="00FC557A">
        <w:rPr>
          <w:szCs w:val="20"/>
        </w:rPr>
        <w:t xml:space="preserve">challenging to harmonise </w:t>
      </w:r>
      <w:r w:rsidR="00544CE4">
        <w:rPr>
          <w:szCs w:val="20"/>
        </w:rPr>
        <w:t>across</w:t>
      </w:r>
      <w:r w:rsidR="0075080A" w:rsidRPr="0075080A">
        <w:rPr>
          <w:szCs w:val="20"/>
        </w:rPr>
        <w:t xml:space="preserve"> </w:t>
      </w:r>
      <w:r w:rsidR="00FC557A">
        <w:rPr>
          <w:szCs w:val="20"/>
        </w:rPr>
        <w:t xml:space="preserve">studies conducted over different time periods </w:t>
      </w:r>
      <w:r w:rsidR="00A43D4C">
        <w:rPr>
          <w:szCs w:val="20"/>
        </w:rPr>
        <w:t>that used</w:t>
      </w:r>
      <w:r w:rsidR="00FC557A">
        <w:rPr>
          <w:szCs w:val="20"/>
        </w:rPr>
        <w:t xml:space="preserve"> varying instruments</w:t>
      </w:r>
      <w:r w:rsidR="006D1AF0">
        <w:rPr>
          <w:szCs w:val="20"/>
        </w:rPr>
        <w:fldChar w:fldCharType="begin" w:fldLock="1"/>
      </w:r>
      <w:r w:rsidR="00E50B13">
        <w:rPr>
          <w:szCs w:val="20"/>
        </w:rPr>
        <w:instrText>ADDIN CSL_CITATION { "citationItems" : [ { "id" : "ITEM-1", "itemData" : { "DOI" : "10.2147/vhrm.2006.2.3.239", "ISBN" : "1176-6344", "ISSN" : "1176-6344", "PMID" : "17326330", "abstract" : "Epidemiological studies of middle-aged populations generally find the relationship between alcohol intake and the risk of coronary heart disease (CHD) and stroke to be either U- or J-shaped. This review describes the extent that these relationships are likely to be causal, and the extent that they may be due to specific methodological weaknesses in epidemiological studies. The consistency in the vascular benefit associated with moderate drinking (compared with non-drinking) observed across different studies, together with the existence of credible biological pathways, strongly suggests that at least some of this benefit is real. However, because of biases introduced by: choice of reference categories; reverse causality bias; variations in alcohol intake over time; and confounding, some of it is likely to be an artefact. For heavy drinking, different study biases have the potential to act in opposing directions, and as such, the true effects of heavy drinking on vascular risk are uncertain. However, because of the known harmful effects of heavy drinking on non-vascular mortality, the problem is an academic one. Studies of the effects of alcohol consumption on health outcomes should recognise the methodological biases they are likely to face, and design, analyse and interpret their studies accordingly. While regular moderate alcohol consumption during middle-age probably does reduce vascular risk, care should be taken when making general recommendations about safe levels of alcohol intake. In particular, it is likely that any promotion of alcohol for health reasons would do substantially more harm than good. \u00a9 2006 Dove Medical Press Limited. All rights reserved.", "author" : [ { "dropping-particle" : "", "family" : "J.R.", "given" : "Emberson", "non-dropping-particle" : "", "parse-names" : false, "suffix" : "" }, { "dropping-particle" : "", "family" : "D.A.", "given" : "Bennett", "non-dropping-particle" : "", "parse-names" : false, "suffix" : "" }, { "dropping-particle" : "", "family" : "Emberson", "given" : "Jonathan R", "non-dropping-particle" : "", "parse-names" : false, "suffix" : "" }, { "dropping-particle" : "", "family" : "Bennett", "given" : "Derrick A", "non-dropping-particle" : "", "parse-names" : false, "suffix" : "" } ], "container-title" : "Vascular health and risk management", "id" : "ITEM-1", "issue" : "3", "issued" : { "date-parts" : [ [ "2006" ] ] }, "page" : "239-249", "title" : "Effect of alcohol on risk of coronary heart disease and stroke: Causality, bias, or a bit of both?", "type" : "article-journal", "volume" : "2" }, "uris" : [ "http://www.mendeley.com/documents/?uuid=6adc61e8-62d5-4405-97ed-d401127c2931" ] }, { "id" : "ITEM-2", "itemData" : { "DOI" : "10.1046/j.1359-6357.2003.00586.x", "ISBN" : "0965-2140 (Print)\\r0965-2140 (Linking)", "ISSN" : "09652140", "PMID" : "14984237", "abstract" : "AIMS: To review three topics pertaining to the validity of alcohol self-reports: factors that influence response accuracy; the relative merits of different self-report approaches; and the utility of using alternative measures to confirm verbal reports. FINDINGS: Response behavior is influenced by the interaction of social context factors, respondent characteristics, and task attributes. Although research has advanced our knowledge about self-report methods, many questions remain unanswered. In particular, there is a need to investigate how task demands interact with different patterns of drinking behavior to affect response accuracy. There is also a continuing need to use multiple data sources to examine the extent of self-report response bias, and to determine whether it varies as a function of respondent characteristics or assessment timing. CONCLUSION: Self-report methods offer a reliable and valid approach to measuring alcohol consumption. The accuracy of such methods, however, can be improved by research directed at understanding the processes involved in response behavior.", "author" : [ { "dropping-particle" : "", "family" : "Boca", "given" : "Frances K.", "non-dropping-particle" : "Del", "parse-names" : false, "suffix" : "" }, { "dropping-particle" : "", "family" : "Darkes", "given" : "Jack", "non-dropping-particle" : "", "parse-names" : false, "suffix" : "" } ], "container-title" : "Addiction", "id" : "ITEM-2", "issued" : { "date-parts" : [ [ "2003" ] ] }, "page" : "1-12", "title" : "The validity of self-reports of alcohol consumption: state of the science and challenges for research", "type" : "article-journal", "volume" : "98" }, "uris" : [ "http://www.mendeley.com/documents/?uuid=f20b64c5-58bf-4253-8855-7f287c1655d0", "http://www.mendeley.com/documents/?uuid=294af1d2-d1f0-4496-b482-54e1f99e5037" ] } ], "mendeley" : { "formattedCitation" : "&lt;sup&gt;20,57&lt;/sup&gt;", "plainTextFormattedCitation" : "20,57", "previouslyFormattedCitation" : "&lt;sup&gt;20,60&lt;/sup&gt;" }, "properties" : { "noteIndex" : 16 }, "schema" : "https://github.com/citation-style-language/schema/raw/master/csl-citation.json" }</w:instrText>
      </w:r>
      <w:r w:rsidR="006D1AF0">
        <w:rPr>
          <w:szCs w:val="20"/>
        </w:rPr>
        <w:fldChar w:fldCharType="separate"/>
      </w:r>
      <w:r w:rsidR="00E50B13" w:rsidRPr="00E50B13">
        <w:rPr>
          <w:noProof/>
          <w:szCs w:val="20"/>
          <w:vertAlign w:val="superscript"/>
        </w:rPr>
        <w:t>20,57</w:t>
      </w:r>
      <w:r w:rsidR="006D1AF0">
        <w:rPr>
          <w:szCs w:val="20"/>
        </w:rPr>
        <w:fldChar w:fldCharType="end"/>
      </w:r>
      <w:r w:rsidR="009573FE">
        <w:rPr>
          <w:szCs w:val="20"/>
        </w:rPr>
        <w:t>.</w:t>
      </w:r>
      <w:r>
        <w:rPr>
          <w:szCs w:val="20"/>
        </w:rPr>
        <w:t xml:space="preserve"> We did</w:t>
      </w:r>
      <w:r w:rsidR="00FC557A" w:rsidRPr="008443EA">
        <w:rPr>
          <w:szCs w:val="20"/>
        </w:rPr>
        <w:t xml:space="preserve"> not</w:t>
      </w:r>
      <w:r>
        <w:rPr>
          <w:szCs w:val="20"/>
        </w:rPr>
        <w:t>, however,</w:t>
      </w:r>
      <w:r w:rsidR="00FC557A" w:rsidRPr="008443EA">
        <w:rPr>
          <w:szCs w:val="20"/>
        </w:rPr>
        <w:t xml:space="preserve"> identify </w:t>
      </w:r>
      <w:r>
        <w:rPr>
          <w:szCs w:val="20"/>
        </w:rPr>
        <w:t xml:space="preserve">major </w:t>
      </w:r>
      <w:r w:rsidR="00100BA5" w:rsidRPr="00E51CBB">
        <w:rPr>
          <w:szCs w:val="20"/>
        </w:rPr>
        <w:t>differences in</w:t>
      </w:r>
      <w:r>
        <w:rPr>
          <w:szCs w:val="20"/>
        </w:rPr>
        <w:t xml:space="preserve"> results across studies </w:t>
      </w:r>
      <w:r w:rsidR="00C51992">
        <w:rPr>
          <w:szCs w:val="20"/>
        </w:rPr>
        <w:t xml:space="preserve">that used </w:t>
      </w:r>
      <w:r>
        <w:rPr>
          <w:szCs w:val="20"/>
        </w:rPr>
        <w:t>differ</w:t>
      </w:r>
      <w:r w:rsidR="00C51992">
        <w:rPr>
          <w:szCs w:val="20"/>
        </w:rPr>
        <w:t>ing</w:t>
      </w:r>
      <w:r>
        <w:rPr>
          <w:szCs w:val="20"/>
        </w:rPr>
        <w:t xml:space="preserve"> alcohol </w:t>
      </w:r>
      <w:r w:rsidR="00100BA5" w:rsidRPr="00E51CBB">
        <w:rPr>
          <w:szCs w:val="20"/>
        </w:rPr>
        <w:t>instruments</w:t>
      </w:r>
      <w:r w:rsidR="00FC557A" w:rsidRPr="008443EA">
        <w:rPr>
          <w:szCs w:val="20"/>
        </w:rPr>
        <w:t>.</w:t>
      </w:r>
      <w:r w:rsidR="00FC557A">
        <w:rPr>
          <w:szCs w:val="20"/>
        </w:rPr>
        <w:t xml:space="preserve"> </w:t>
      </w:r>
      <w:r w:rsidR="00DE6AA9">
        <w:rPr>
          <w:szCs w:val="20"/>
        </w:rPr>
        <w:t>D</w:t>
      </w:r>
      <w:r w:rsidR="004324E6">
        <w:rPr>
          <w:szCs w:val="20"/>
        </w:rPr>
        <w:t xml:space="preserve">espite our </w:t>
      </w:r>
      <w:r w:rsidR="00DE6AA9">
        <w:rPr>
          <w:szCs w:val="20"/>
        </w:rPr>
        <w:t xml:space="preserve">study’s </w:t>
      </w:r>
      <w:r w:rsidR="004324E6">
        <w:rPr>
          <w:szCs w:val="20"/>
        </w:rPr>
        <w:t xml:space="preserve">access to extensive </w:t>
      </w:r>
      <w:r w:rsidR="009573FE">
        <w:rPr>
          <w:szCs w:val="20"/>
        </w:rPr>
        <w:t xml:space="preserve">serial alcohol </w:t>
      </w:r>
      <w:r w:rsidR="004324E6">
        <w:rPr>
          <w:szCs w:val="20"/>
        </w:rPr>
        <w:t>re-surveys from mid</w:t>
      </w:r>
      <w:r>
        <w:rPr>
          <w:szCs w:val="20"/>
        </w:rPr>
        <w:t>-life</w:t>
      </w:r>
      <w:r w:rsidR="004324E6">
        <w:rPr>
          <w:szCs w:val="20"/>
        </w:rPr>
        <w:t xml:space="preserve">, our study </w:t>
      </w:r>
      <w:r w:rsidR="00220B31">
        <w:rPr>
          <w:szCs w:val="20"/>
        </w:rPr>
        <w:t xml:space="preserve">could </w:t>
      </w:r>
      <w:r w:rsidR="004324E6">
        <w:rPr>
          <w:szCs w:val="20"/>
        </w:rPr>
        <w:t xml:space="preserve">not investigate </w:t>
      </w:r>
      <w:r w:rsidR="00C02768">
        <w:rPr>
          <w:szCs w:val="20"/>
        </w:rPr>
        <w:t xml:space="preserve">the </w:t>
      </w:r>
      <w:r w:rsidR="004324E6">
        <w:rPr>
          <w:szCs w:val="20"/>
        </w:rPr>
        <w:t>entire life-course</w:t>
      </w:r>
      <w:r w:rsidR="004324E6">
        <w:t xml:space="preserve">. </w:t>
      </w:r>
      <w:r w:rsidR="0075080A">
        <w:rPr>
          <w:szCs w:val="20"/>
        </w:rPr>
        <w:t>M</w:t>
      </w:r>
      <w:r w:rsidR="00C02768">
        <w:rPr>
          <w:szCs w:val="20"/>
        </w:rPr>
        <w:t>isclassification in outcomes would have</w:t>
      </w:r>
      <w:r w:rsidR="00B67C92">
        <w:rPr>
          <w:szCs w:val="20"/>
        </w:rPr>
        <w:t xml:space="preserve"> </w:t>
      </w:r>
      <w:r w:rsidR="00A43D4C">
        <w:rPr>
          <w:szCs w:val="20"/>
        </w:rPr>
        <w:t>diluted</w:t>
      </w:r>
      <w:r w:rsidR="00C02768">
        <w:rPr>
          <w:szCs w:val="20"/>
        </w:rPr>
        <w:t xml:space="preserve"> dose-response associations, </w:t>
      </w:r>
      <w:r w:rsidR="0075080A">
        <w:rPr>
          <w:szCs w:val="20"/>
        </w:rPr>
        <w:t>suggesting</w:t>
      </w:r>
      <w:r w:rsidR="00DE0C80">
        <w:rPr>
          <w:szCs w:val="20"/>
        </w:rPr>
        <w:t xml:space="preserve"> that</w:t>
      </w:r>
      <w:r w:rsidR="004324E6">
        <w:rPr>
          <w:szCs w:val="20"/>
        </w:rPr>
        <w:t xml:space="preserve"> </w:t>
      </w:r>
      <w:r w:rsidR="00C02768">
        <w:rPr>
          <w:szCs w:val="20"/>
        </w:rPr>
        <w:t xml:space="preserve">true </w:t>
      </w:r>
      <w:r w:rsidR="00FA5844">
        <w:rPr>
          <w:szCs w:val="20"/>
        </w:rPr>
        <w:t xml:space="preserve">underlying </w:t>
      </w:r>
      <w:r w:rsidR="00C02768">
        <w:rPr>
          <w:szCs w:val="20"/>
        </w:rPr>
        <w:t xml:space="preserve">associations </w:t>
      </w:r>
      <w:r w:rsidR="004324E6">
        <w:rPr>
          <w:szCs w:val="20"/>
        </w:rPr>
        <w:t>of alcohol consumption</w:t>
      </w:r>
      <w:r w:rsidR="00220B31">
        <w:rPr>
          <w:szCs w:val="20"/>
        </w:rPr>
        <w:t xml:space="preserve"> with CVD subtypes</w:t>
      </w:r>
      <w:r w:rsidR="00FA5844">
        <w:rPr>
          <w:szCs w:val="20"/>
        </w:rPr>
        <w:t xml:space="preserve"> </w:t>
      </w:r>
      <w:r w:rsidR="00C02768">
        <w:rPr>
          <w:szCs w:val="20"/>
        </w:rPr>
        <w:t xml:space="preserve">are stronger and more divergent than we </w:t>
      </w:r>
      <w:r w:rsidR="0009048D">
        <w:rPr>
          <w:szCs w:val="20"/>
        </w:rPr>
        <w:t>observ</w:t>
      </w:r>
      <w:r w:rsidR="0075080A">
        <w:rPr>
          <w:szCs w:val="20"/>
        </w:rPr>
        <w:t>ed</w:t>
      </w:r>
      <w:r w:rsidR="00C02768">
        <w:rPr>
          <w:szCs w:val="20"/>
        </w:rPr>
        <w:t xml:space="preserve">. </w:t>
      </w:r>
      <w:r w:rsidR="003301B4">
        <w:rPr>
          <w:szCs w:val="20"/>
        </w:rPr>
        <w:t xml:space="preserve">Because </w:t>
      </w:r>
      <w:r w:rsidR="0075080A">
        <w:rPr>
          <w:szCs w:val="20"/>
        </w:rPr>
        <w:t xml:space="preserve">we did not </w:t>
      </w:r>
      <w:r w:rsidR="00220B31">
        <w:rPr>
          <w:szCs w:val="20"/>
        </w:rPr>
        <w:t xml:space="preserve">generally </w:t>
      </w:r>
      <w:r w:rsidR="0075080A">
        <w:rPr>
          <w:szCs w:val="20"/>
        </w:rPr>
        <w:t xml:space="preserve">have </w:t>
      </w:r>
      <w:r w:rsidR="007D6C26">
        <w:rPr>
          <w:szCs w:val="20"/>
        </w:rPr>
        <w:t xml:space="preserve">access to </w:t>
      </w:r>
      <w:r w:rsidR="0055558E">
        <w:rPr>
          <w:szCs w:val="20"/>
        </w:rPr>
        <w:t>additional</w:t>
      </w:r>
      <w:r w:rsidR="00872F4B">
        <w:rPr>
          <w:szCs w:val="20"/>
        </w:rPr>
        <w:t xml:space="preserve"> alcohol-related</w:t>
      </w:r>
      <w:r w:rsidR="0055558E">
        <w:rPr>
          <w:szCs w:val="20"/>
        </w:rPr>
        <w:t xml:space="preserve"> </w:t>
      </w:r>
      <w:r w:rsidR="000A28FF">
        <w:rPr>
          <w:szCs w:val="20"/>
        </w:rPr>
        <w:t xml:space="preserve">adverse outcomes (eg, </w:t>
      </w:r>
      <w:r w:rsidR="00FA5844">
        <w:rPr>
          <w:szCs w:val="20"/>
        </w:rPr>
        <w:t>non-fatal</w:t>
      </w:r>
      <w:r w:rsidR="000A28FF">
        <w:rPr>
          <w:szCs w:val="20"/>
        </w:rPr>
        <w:t xml:space="preserve"> liver disease, injuries, </w:t>
      </w:r>
      <w:r w:rsidR="00A51526">
        <w:rPr>
          <w:szCs w:val="20"/>
        </w:rPr>
        <w:t>psychiatric comorbidities</w:t>
      </w:r>
      <w:r w:rsidR="000A28FF">
        <w:rPr>
          <w:szCs w:val="20"/>
        </w:rPr>
        <w:t>)</w:t>
      </w:r>
      <w:r w:rsidR="003301B4">
        <w:rPr>
          <w:szCs w:val="20"/>
        </w:rPr>
        <w:t>,</w:t>
      </w:r>
      <w:r w:rsidR="00DE0C80" w:rsidRPr="00DE0C80">
        <w:rPr>
          <w:szCs w:val="20"/>
        </w:rPr>
        <w:t xml:space="preserve"> </w:t>
      </w:r>
      <w:r w:rsidR="00220B31">
        <w:rPr>
          <w:szCs w:val="20"/>
        </w:rPr>
        <w:t>we</w:t>
      </w:r>
      <w:r w:rsidR="00C51992">
        <w:rPr>
          <w:szCs w:val="20"/>
        </w:rPr>
        <w:t xml:space="preserve"> </w:t>
      </w:r>
      <w:r w:rsidR="00DE0C80">
        <w:rPr>
          <w:szCs w:val="20"/>
        </w:rPr>
        <w:t>under</w:t>
      </w:r>
      <w:r w:rsidR="0075080A">
        <w:rPr>
          <w:szCs w:val="20"/>
        </w:rPr>
        <w:t>-</w:t>
      </w:r>
      <w:r w:rsidR="00DE0C80">
        <w:rPr>
          <w:szCs w:val="20"/>
        </w:rPr>
        <w:t>estimat</w:t>
      </w:r>
      <w:r w:rsidR="00220B31">
        <w:rPr>
          <w:szCs w:val="20"/>
        </w:rPr>
        <w:t>ed</w:t>
      </w:r>
      <w:r w:rsidR="00E44535">
        <w:rPr>
          <w:szCs w:val="20"/>
        </w:rPr>
        <w:t xml:space="preserve"> </w:t>
      </w:r>
      <w:r w:rsidR="003301B4">
        <w:rPr>
          <w:szCs w:val="20"/>
        </w:rPr>
        <w:t>potential benefits</w:t>
      </w:r>
      <w:r w:rsidR="00E44535">
        <w:rPr>
          <w:szCs w:val="20"/>
        </w:rPr>
        <w:t xml:space="preserve"> </w:t>
      </w:r>
      <w:r w:rsidR="00C51992">
        <w:rPr>
          <w:szCs w:val="20"/>
        </w:rPr>
        <w:t>associated with</w:t>
      </w:r>
      <w:r w:rsidR="00E44535">
        <w:rPr>
          <w:szCs w:val="20"/>
        </w:rPr>
        <w:t xml:space="preserve"> </w:t>
      </w:r>
      <w:r w:rsidR="003301B4">
        <w:rPr>
          <w:szCs w:val="20"/>
        </w:rPr>
        <w:t>lower</w:t>
      </w:r>
      <w:r w:rsidR="0075080A">
        <w:rPr>
          <w:szCs w:val="20"/>
        </w:rPr>
        <w:t>ing</w:t>
      </w:r>
      <w:r w:rsidR="00E44535">
        <w:rPr>
          <w:szCs w:val="20"/>
        </w:rPr>
        <w:t xml:space="preserve"> alcohol </w:t>
      </w:r>
      <w:r w:rsidR="00E44535">
        <w:t>consumption</w:t>
      </w:r>
      <w:r w:rsidR="000A28FF">
        <w:rPr>
          <w:szCs w:val="20"/>
        </w:rPr>
        <w:t>.</w:t>
      </w:r>
      <w:r w:rsidR="00C02768">
        <w:rPr>
          <w:szCs w:val="20"/>
        </w:rPr>
        <w:t xml:space="preserve"> </w:t>
      </w:r>
      <w:r w:rsidR="00DE6AA9">
        <w:rPr>
          <w:szCs w:val="20"/>
        </w:rPr>
        <w:t>B</w:t>
      </w:r>
      <w:r w:rsidR="004324E6">
        <w:rPr>
          <w:szCs w:val="20"/>
        </w:rPr>
        <w:t>ecause</w:t>
      </w:r>
      <w:r w:rsidR="00220B31">
        <w:rPr>
          <w:szCs w:val="20"/>
        </w:rPr>
        <w:t xml:space="preserve"> some</w:t>
      </w:r>
      <w:r w:rsidR="004324E6">
        <w:rPr>
          <w:szCs w:val="20"/>
        </w:rPr>
        <w:t xml:space="preserve"> </w:t>
      </w:r>
      <w:r w:rsidR="00FA5844">
        <w:rPr>
          <w:szCs w:val="20"/>
        </w:rPr>
        <w:t>individuals who reduced</w:t>
      </w:r>
      <w:r w:rsidR="00220B31">
        <w:rPr>
          <w:szCs w:val="20"/>
        </w:rPr>
        <w:t>,</w:t>
      </w:r>
      <w:r w:rsidR="00FA5844">
        <w:rPr>
          <w:szCs w:val="20"/>
        </w:rPr>
        <w:t xml:space="preserve"> but did not cease</w:t>
      </w:r>
      <w:r w:rsidR="00220B31">
        <w:rPr>
          <w:szCs w:val="20"/>
        </w:rPr>
        <w:t>,</w:t>
      </w:r>
      <w:r w:rsidR="00FA5844">
        <w:rPr>
          <w:szCs w:val="20"/>
        </w:rPr>
        <w:t xml:space="preserve"> alcohol consumption due to health complications</w:t>
      </w:r>
      <w:r w:rsidR="00220B31">
        <w:rPr>
          <w:szCs w:val="20"/>
        </w:rPr>
        <w:t xml:space="preserve"> were probably included in our analysis</w:t>
      </w:r>
      <w:r w:rsidR="00DE6AA9">
        <w:rPr>
          <w:szCs w:val="20"/>
        </w:rPr>
        <w:t xml:space="preserve">, we cannot exclude the impact of reverse causation </w:t>
      </w:r>
      <w:r w:rsidR="004324E6">
        <w:rPr>
          <w:szCs w:val="20"/>
        </w:rPr>
        <w:t>(</w:t>
      </w:r>
      <w:r w:rsidR="00DE6AA9">
        <w:rPr>
          <w:szCs w:val="20"/>
        </w:rPr>
        <w:t xml:space="preserve">especially since </w:t>
      </w:r>
      <w:r w:rsidR="00FA5844">
        <w:rPr>
          <w:szCs w:val="20"/>
        </w:rPr>
        <w:t>some contributing studies did not record baseline chronic disease other than CVD</w:t>
      </w:r>
      <w:r w:rsidR="004324E6">
        <w:rPr>
          <w:szCs w:val="20"/>
        </w:rPr>
        <w:t>)</w:t>
      </w:r>
      <w:r w:rsidR="00FA5844">
        <w:rPr>
          <w:szCs w:val="20"/>
        </w:rPr>
        <w:t xml:space="preserve">. </w:t>
      </w:r>
      <w:r w:rsidR="00220B31">
        <w:rPr>
          <w:szCs w:val="20"/>
        </w:rPr>
        <w:t xml:space="preserve">Alternative study designs </w:t>
      </w:r>
      <w:r w:rsidR="00DE6AA9">
        <w:rPr>
          <w:szCs w:val="20"/>
        </w:rPr>
        <w:t>including</w:t>
      </w:r>
      <w:r w:rsidR="00DE6AA9">
        <w:t xml:space="preserve"> randomised </w:t>
      </w:r>
      <w:r w:rsidR="00DE6AA9">
        <w:lastRenderedPageBreak/>
        <w:t>trials</w:t>
      </w:r>
      <w:r w:rsidR="00DE6AA9">
        <w:rPr>
          <w:szCs w:val="20"/>
          <w:lang w:val="en-US"/>
        </w:rPr>
        <w:fldChar w:fldCharType="begin" w:fldLock="1"/>
      </w:r>
      <w:r w:rsidR="00E50B13">
        <w:rPr>
          <w:szCs w:val="20"/>
          <w:lang w:val="en-US"/>
        </w:rPr>
        <w:instrText>ADDIN CSL_CITATION { "citationItems" : [ { "id" : "ITEM-1", "itemData" : { "DOI" : "10.1111/acer.13231", "ISSN" : "15300277", "PMID" : "27688006", "abstract" : "Drinking within recommended limits is highly prevalent in much of the world, and strong epidemiological associations exist between moderate alcohol consumption and risk of several major chronic diseases, including coronary heart disease, diabetes, and breast cancer. In many cases, plausible biological mediators for these associations have been identified in randomized trials, but gold standard evidence that moderate drinking causes or prevents any chronic disease remains elusive and important concerns about available evidence have been raised. Although long-term randomized trials to test the observed associations have been termed impossible, clinical investigators have now successfully completed randomized trials of complex nutritional interventions in a variety of settings, along with trials of alcohol consumption itself of up to 2\u00a0years duration. The successful completion of these trials suggests that objections to the execution of a full-scale, long-term clinical trial of moderate drinking on chronic disease are increasingly untenable. We present potential lessons learned for such a trial and discuss key features to maximize its feasibility and value.", "author" : [ { "dropping-particle" : "", "family" : "Mukamal", "given" : "Kenneth J.", "non-dropping-particle" : "", "parse-names" : false, "suffix" : "" }, { "dropping-particle" : "", "family" : "Clowry", "given" : "Catherine M.", "non-dropping-particle" : "", "parse-names" : false, "suffix" : "" }, { "dropping-particle" : "", "family" : "Murray", "given" : "Margaret M.", "non-dropping-particle" : "", "parse-names" : false, "suffix" : "" }, { "dropping-particle" : "", "family" : "Hendriks", "given" : "Henk F J", "non-dropping-particle" : "", "parse-names" : false, "suffix" : "" }, { "dropping-particle" : "", "family" : "Rimm", "given" : "Eric B.", "non-dropping-particle" : "", "parse-names" : false, "suffix" : "" }, { "dropping-particle" : "", "family" : "Sink", "given" : "Kaycee M.", "non-dropping-particle" : "", "parse-names" : false, "suffix" : "" }, { "dropping-particle" : "", "family" : "Adebamowo", "given" : "Clement A.", "non-dropping-particle" : "", "parse-names" : false, "suffix" : "" }, { "dropping-particle" : "", "family" : "Dragsted", "given" : "Lars O.", "non-dropping-particle" : "", "parse-names" : false, "suffix" : "" }, { "dropping-particle" : "", "family" : "Lapinski", "given" : "P. Scott", "non-dropping-particle" : "", "parse-names" : false, "suffix" : "" }, { "dropping-particle" : "", "family" : "Lazo", "given" : "Mariana", "non-dropping-particle" : "", "parse-names" : false, "suffix" : "" }, { "dropping-particle" : "", "family" : "Krystal", "given" : "John H.", "non-dropping-particle" : "", "parse-names" : false, "suffix" : "" } ], "container-title" : "Alcoholism: Clinical and Experimental Research", "id" : "ITEM-1", "issue" : "11", "issued" : { "date-parts" : [ [ "2016" ] ] }, "page" : "2283-2291", "title" : "Moderate Alcohol Consumption and Chronic Disease: The Case for a Long-Term Trial", "type" : "article", "volume" : "40" }, "uris" : [ "http://www.mendeley.com/documents/?uuid=15a2eadc-f711-4466-9d39-bcda68cb6883", "http://www.mendeley.com/documents/?uuid=5fa30f2e-2326-47aa-860e-2103fb234a1a" ] } ], "mendeley" : { "formattedCitation" : "&lt;sup&gt;58&lt;/sup&gt;", "plainTextFormattedCitation" : "58", "previouslyFormattedCitation" : "&lt;sup&gt;61&lt;/sup&gt;" }, "properties" : { "noteIndex" : 0 }, "schema" : "https://github.com/citation-style-language/schema/raw/master/csl-citation.json" }</w:instrText>
      </w:r>
      <w:r w:rsidR="00DE6AA9">
        <w:rPr>
          <w:szCs w:val="20"/>
          <w:lang w:val="en-US"/>
        </w:rPr>
        <w:fldChar w:fldCharType="separate"/>
      </w:r>
      <w:r w:rsidR="00E50B13" w:rsidRPr="00E50B13">
        <w:rPr>
          <w:noProof/>
          <w:szCs w:val="20"/>
          <w:vertAlign w:val="superscript"/>
          <w:lang w:val="en-US"/>
        </w:rPr>
        <w:t>58</w:t>
      </w:r>
      <w:r w:rsidR="00DE6AA9">
        <w:rPr>
          <w:szCs w:val="20"/>
          <w:lang w:val="en-US"/>
        </w:rPr>
        <w:fldChar w:fldCharType="end"/>
      </w:r>
      <w:r w:rsidR="00DE6AA9">
        <w:rPr>
          <w:szCs w:val="20"/>
          <w:lang w:val="en-US"/>
        </w:rPr>
        <w:t xml:space="preserve"> </w:t>
      </w:r>
      <w:r w:rsidR="00220B31">
        <w:rPr>
          <w:szCs w:val="20"/>
        </w:rPr>
        <w:t>are</w:t>
      </w:r>
      <w:r w:rsidR="00C51992" w:rsidRPr="00C51992">
        <w:rPr>
          <w:szCs w:val="20"/>
        </w:rPr>
        <w:t xml:space="preserve"> </w:t>
      </w:r>
      <w:r w:rsidR="00C51992">
        <w:rPr>
          <w:szCs w:val="20"/>
        </w:rPr>
        <w:t>needed</w:t>
      </w:r>
      <w:r w:rsidR="00220B31">
        <w:rPr>
          <w:szCs w:val="20"/>
        </w:rPr>
        <w:t>, therefore, t</w:t>
      </w:r>
      <w:r w:rsidR="00DE6AA9">
        <w:rPr>
          <w:szCs w:val="20"/>
        </w:rPr>
        <w:t>o</w:t>
      </w:r>
      <w:r w:rsidR="00220B31">
        <w:rPr>
          <w:szCs w:val="20"/>
        </w:rPr>
        <w:t xml:space="preserve"> control more completely for </w:t>
      </w:r>
      <w:r w:rsidR="00FA5844">
        <w:t>residual biases</w:t>
      </w:r>
      <w:r w:rsidR="00220B31">
        <w:t xml:space="preserve"> (including </w:t>
      </w:r>
      <w:r w:rsidR="00DE6AA9">
        <w:t xml:space="preserve">those related to </w:t>
      </w:r>
      <w:r w:rsidR="00220B31">
        <w:t>studying ex- and never-drinkers).</w:t>
      </w:r>
    </w:p>
    <w:p w14:paraId="1CD9F42A" w14:textId="77777777" w:rsidR="00DE6AA9" w:rsidRDefault="00DE6AA9" w:rsidP="004B7CE3">
      <w:pPr>
        <w:rPr>
          <w:b/>
          <w:szCs w:val="20"/>
        </w:rPr>
      </w:pPr>
    </w:p>
    <w:p w14:paraId="2234E4AC" w14:textId="377EF717" w:rsidR="008C6596" w:rsidRPr="00677A35" w:rsidRDefault="004A07D7" w:rsidP="004B7CE3">
      <w:pPr>
        <w:rPr>
          <w:b/>
          <w:szCs w:val="20"/>
        </w:rPr>
      </w:pPr>
      <w:r>
        <w:rPr>
          <w:b/>
          <w:szCs w:val="20"/>
        </w:rPr>
        <w:t>CONCLUSIONS</w:t>
      </w:r>
    </w:p>
    <w:p w14:paraId="623563C3" w14:textId="3E6F049F" w:rsidR="00DE0284" w:rsidRDefault="0059148A" w:rsidP="00DE0284">
      <w:pPr>
        <w:rPr>
          <w:rFonts w:cstheme="minorHAnsi"/>
          <w:bCs/>
          <w:color w:val="000000" w:themeColor="text1"/>
          <w:szCs w:val="22"/>
        </w:rPr>
      </w:pPr>
      <w:r>
        <w:rPr>
          <w:rFonts w:cstheme="minorHAnsi"/>
          <w:bCs/>
          <w:color w:val="000000" w:themeColor="text1"/>
          <w:szCs w:val="22"/>
        </w:rPr>
        <w:t>Among current drinkers</w:t>
      </w:r>
      <w:r>
        <w:rPr>
          <w:rFonts w:eastAsia="Verdana"/>
          <w:szCs w:val="20"/>
        </w:rPr>
        <w:t xml:space="preserve">, the threshold for lowest risk of all-cause mortality was about 100 grams/week. For CVD subtypes other than myocardial infarction, there were no clear thresholds below which lower alcohol consumption stopped being associated with lower disease risk. </w:t>
      </w:r>
      <w:r w:rsidR="00DE0284">
        <w:rPr>
          <w:rFonts w:eastAsia="Verdana"/>
          <w:szCs w:val="20"/>
        </w:rPr>
        <w:t>These dat</w:t>
      </w:r>
      <w:r w:rsidR="006818F9">
        <w:rPr>
          <w:rFonts w:eastAsia="Verdana"/>
          <w:szCs w:val="20"/>
        </w:rPr>
        <w:t xml:space="preserve">a support adoption of lower </w:t>
      </w:r>
      <w:r w:rsidR="00DE0284">
        <w:rPr>
          <w:rFonts w:eastAsia="Verdana"/>
          <w:szCs w:val="20"/>
        </w:rPr>
        <w:t>limits of alcohol consumption than in current guidelines.</w:t>
      </w:r>
    </w:p>
    <w:p w14:paraId="6FA11C68" w14:textId="77777777" w:rsidR="000231E1" w:rsidRDefault="000231E1">
      <w:pPr>
        <w:spacing w:after="200" w:line="276" w:lineRule="auto"/>
        <w:jc w:val="left"/>
      </w:pPr>
      <w:r>
        <w:br w:type="page"/>
      </w:r>
    </w:p>
    <w:p w14:paraId="19ECD8AE" w14:textId="11914A7A" w:rsidR="008672BB" w:rsidRPr="00586F91" w:rsidRDefault="00D868ED" w:rsidP="00586F91">
      <w:pPr>
        <w:spacing w:after="200" w:line="276" w:lineRule="auto"/>
        <w:jc w:val="left"/>
        <w:rPr>
          <w:rFonts w:cs="Arial"/>
          <w:b/>
          <w:szCs w:val="20"/>
        </w:rPr>
      </w:pPr>
      <w:r w:rsidRPr="00586F91">
        <w:rPr>
          <w:rFonts w:cs="Arial"/>
          <w:b/>
          <w:szCs w:val="20"/>
        </w:rPr>
        <w:lastRenderedPageBreak/>
        <w:t xml:space="preserve">ERFC </w:t>
      </w:r>
      <w:r w:rsidR="00DE1A8E" w:rsidRPr="00586F91">
        <w:rPr>
          <w:rFonts w:cs="Arial"/>
          <w:b/>
          <w:szCs w:val="20"/>
        </w:rPr>
        <w:t>Investigators</w:t>
      </w:r>
    </w:p>
    <w:p w14:paraId="158F31AE" w14:textId="69E7AA0C" w:rsidR="005B056C" w:rsidRPr="005B056C" w:rsidRDefault="005B056C" w:rsidP="005B056C">
      <w:pPr>
        <w:widowControl w:val="0"/>
        <w:autoSpaceDE w:val="0"/>
        <w:autoSpaceDN w:val="0"/>
        <w:adjustRightInd w:val="0"/>
        <w:spacing w:line="240" w:lineRule="auto"/>
        <w:rPr>
          <w:szCs w:val="20"/>
        </w:rPr>
      </w:pPr>
      <w:r w:rsidRPr="005B056C">
        <w:rPr>
          <w:b/>
          <w:bCs/>
          <w:szCs w:val="20"/>
        </w:rPr>
        <w:t xml:space="preserve">AFTCAPS: </w:t>
      </w:r>
      <w:r w:rsidRPr="005B056C">
        <w:rPr>
          <w:szCs w:val="20"/>
        </w:rPr>
        <w:t xml:space="preserve">Robert W Tipping; </w:t>
      </w:r>
      <w:r w:rsidRPr="005B056C">
        <w:rPr>
          <w:b/>
          <w:bCs/>
          <w:szCs w:val="20"/>
        </w:rPr>
        <w:t xml:space="preserve">ARIC: </w:t>
      </w:r>
      <w:r w:rsidRPr="005B056C">
        <w:rPr>
          <w:szCs w:val="20"/>
        </w:rPr>
        <w:t xml:space="preserve">David Couper, Elizabeth Selvin, Pamela Lutsey; </w:t>
      </w:r>
      <w:r w:rsidRPr="005B056C">
        <w:rPr>
          <w:b/>
          <w:bCs/>
          <w:szCs w:val="20"/>
        </w:rPr>
        <w:t xml:space="preserve">ATENA, MATISS83, 87 &amp; 93: </w:t>
      </w:r>
      <w:r w:rsidRPr="005B056C">
        <w:rPr>
          <w:szCs w:val="20"/>
        </w:rPr>
        <w:t xml:space="preserve">Chiara Donfrancesco, Luigi Palmieri, Simona Giampaoli; </w:t>
      </w:r>
      <w:r w:rsidRPr="005B056C">
        <w:rPr>
          <w:b/>
          <w:bCs/>
          <w:szCs w:val="20"/>
        </w:rPr>
        <w:t xml:space="preserve">ATTICA: </w:t>
      </w:r>
      <w:r w:rsidRPr="005B056C">
        <w:rPr>
          <w:szCs w:val="20"/>
        </w:rPr>
        <w:t xml:space="preserve">Christina Chrysohoou, Christos Pitsavos, Dimitrios Tousoulis; </w:t>
      </w:r>
      <w:r w:rsidRPr="005B056C">
        <w:rPr>
          <w:b/>
          <w:bCs/>
          <w:szCs w:val="20"/>
        </w:rPr>
        <w:t xml:space="preserve">AUSDIAB: </w:t>
      </w:r>
      <w:r w:rsidRPr="005B056C">
        <w:rPr>
          <w:szCs w:val="20"/>
        </w:rPr>
        <w:t xml:space="preserve">Dianna J. Magliano, Jonathan E. Shaw, Paul Z. Zimmet; </w:t>
      </w:r>
      <w:r w:rsidRPr="005B056C">
        <w:rPr>
          <w:b/>
          <w:bCs/>
          <w:szCs w:val="20"/>
        </w:rPr>
        <w:t xml:space="preserve">BHS: </w:t>
      </w:r>
      <w:r w:rsidRPr="005B056C">
        <w:rPr>
          <w:szCs w:val="20"/>
        </w:rPr>
        <w:t xml:space="preserve">Matthew W Knuiman; </w:t>
      </w:r>
      <w:r w:rsidRPr="005B056C">
        <w:rPr>
          <w:b/>
          <w:bCs/>
          <w:szCs w:val="20"/>
        </w:rPr>
        <w:t xml:space="preserve">Bruneck: </w:t>
      </w:r>
      <w:r w:rsidRPr="005B056C">
        <w:rPr>
          <w:szCs w:val="20"/>
        </w:rPr>
        <w:t xml:space="preserve">Johann Willeit, Marlene Notdurfter, Siegfried Weger; </w:t>
      </w:r>
      <w:r w:rsidRPr="005B056C">
        <w:rPr>
          <w:b/>
          <w:bCs/>
          <w:szCs w:val="20"/>
        </w:rPr>
        <w:t xml:space="preserve">BWHHS: </w:t>
      </w:r>
      <w:r w:rsidRPr="005B056C">
        <w:rPr>
          <w:szCs w:val="20"/>
        </w:rPr>
        <w:t xml:space="preserve">Antoinette Amuzu, Caroline Dale, Juan P. Casas; </w:t>
      </w:r>
      <w:r w:rsidRPr="005B056C">
        <w:rPr>
          <w:b/>
          <w:bCs/>
          <w:szCs w:val="20"/>
        </w:rPr>
        <w:t xml:space="preserve">CAPS: </w:t>
      </w:r>
      <w:r w:rsidRPr="005B056C">
        <w:rPr>
          <w:szCs w:val="20"/>
        </w:rPr>
        <w:t xml:space="preserve">Yoav Ben-Shlomo; </w:t>
      </w:r>
      <w:r w:rsidRPr="005B056C">
        <w:rPr>
          <w:b/>
          <w:bCs/>
          <w:szCs w:val="20"/>
        </w:rPr>
        <w:t xml:space="preserve">CASTEL: </w:t>
      </w:r>
      <w:r w:rsidRPr="005B056C">
        <w:rPr>
          <w:szCs w:val="20"/>
        </w:rPr>
        <w:t xml:space="preserve">Edoardo Casiglia, Valérie Tikhonoff; </w:t>
      </w:r>
      <w:r w:rsidRPr="005B056C">
        <w:rPr>
          <w:b/>
          <w:bCs/>
          <w:szCs w:val="20"/>
        </w:rPr>
        <w:t xml:space="preserve">CHARL: </w:t>
      </w:r>
      <w:r w:rsidRPr="005B056C">
        <w:rPr>
          <w:szCs w:val="20"/>
        </w:rPr>
        <w:t xml:space="preserve">Susan E Sutherland; </w:t>
      </w:r>
      <w:r w:rsidRPr="005B056C">
        <w:rPr>
          <w:b/>
          <w:bCs/>
          <w:szCs w:val="20"/>
        </w:rPr>
        <w:t xml:space="preserve">CHS : </w:t>
      </w:r>
      <w:r w:rsidRPr="005B056C">
        <w:rPr>
          <w:szCs w:val="20"/>
        </w:rPr>
        <w:t xml:space="preserve">Bruce M Psaty, Mary Cushman; </w:t>
      </w:r>
      <w:r w:rsidRPr="005B056C">
        <w:rPr>
          <w:b/>
          <w:bCs/>
          <w:szCs w:val="20"/>
        </w:rPr>
        <w:t xml:space="preserve">COPEN: </w:t>
      </w:r>
      <w:r w:rsidRPr="005B056C">
        <w:rPr>
          <w:szCs w:val="20"/>
        </w:rPr>
        <w:t xml:space="preserve">Anne Tybjærg-Hansen, Janne S Tolstrup, Morten Grønbaek; </w:t>
      </w:r>
      <w:r w:rsidRPr="005B056C">
        <w:rPr>
          <w:b/>
          <w:bCs/>
          <w:szCs w:val="20"/>
        </w:rPr>
        <w:t xml:space="preserve">DESIR: </w:t>
      </w:r>
      <w:r w:rsidRPr="005B056C">
        <w:rPr>
          <w:szCs w:val="20"/>
        </w:rPr>
        <w:t xml:space="preserve">Beverley BALKAU, Fabrice BONNET, Michel MARRE; </w:t>
      </w:r>
      <w:r w:rsidRPr="005B056C">
        <w:rPr>
          <w:b/>
          <w:bCs/>
          <w:szCs w:val="20"/>
        </w:rPr>
        <w:t xml:space="preserve">DRECE: </w:t>
      </w:r>
      <w:r w:rsidRPr="005B056C">
        <w:rPr>
          <w:szCs w:val="20"/>
        </w:rPr>
        <w:t xml:space="preserve">David Lora Pablos, Miguel Menendez Orenga, Pilar Cancelas Navia; </w:t>
      </w:r>
      <w:r w:rsidRPr="005B056C">
        <w:rPr>
          <w:b/>
          <w:bCs/>
          <w:szCs w:val="20"/>
        </w:rPr>
        <w:t xml:space="preserve">DUBBO: </w:t>
      </w:r>
      <w:r w:rsidRPr="005B056C">
        <w:rPr>
          <w:szCs w:val="20"/>
        </w:rPr>
        <w:t xml:space="preserve">John McCallum, Yechiel Friedlander; </w:t>
      </w:r>
      <w:r w:rsidRPr="005B056C">
        <w:rPr>
          <w:b/>
          <w:bCs/>
          <w:szCs w:val="20"/>
        </w:rPr>
        <w:t xml:space="preserve">EAS: </w:t>
      </w:r>
      <w:r w:rsidRPr="005B056C">
        <w:rPr>
          <w:szCs w:val="20"/>
        </w:rPr>
        <w:t xml:space="preserve">Jackie Price, Stela Mclachlan; </w:t>
      </w:r>
      <w:r w:rsidRPr="005B056C">
        <w:rPr>
          <w:b/>
          <w:bCs/>
          <w:szCs w:val="20"/>
        </w:rPr>
        <w:t xml:space="preserve">EPESEBOS: </w:t>
      </w:r>
      <w:r w:rsidRPr="005B056C">
        <w:rPr>
          <w:szCs w:val="20"/>
        </w:rPr>
        <w:t xml:space="preserve">James O. Taylor; </w:t>
      </w:r>
      <w:r w:rsidRPr="005B056C">
        <w:rPr>
          <w:b/>
          <w:bCs/>
          <w:szCs w:val="20"/>
        </w:rPr>
        <w:t xml:space="preserve">EPESEIOW: </w:t>
      </w:r>
      <w:r w:rsidRPr="005B056C">
        <w:rPr>
          <w:szCs w:val="20"/>
        </w:rPr>
        <w:t xml:space="preserve">Robert Wallace; </w:t>
      </w:r>
      <w:r w:rsidRPr="005B056C">
        <w:rPr>
          <w:b/>
          <w:bCs/>
          <w:szCs w:val="20"/>
        </w:rPr>
        <w:t xml:space="preserve">EPESENHA: </w:t>
      </w:r>
      <w:r w:rsidRPr="005B056C">
        <w:rPr>
          <w:szCs w:val="20"/>
        </w:rPr>
        <w:t xml:space="preserve">Harlan Krumholz; </w:t>
      </w:r>
      <w:r w:rsidRPr="005B056C">
        <w:rPr>
          <w:b/>
          <w:bCs/>
          <w:szCs w:val="20"/>
        </w:rPr>
        <w:t xml:space="preserve">EPSENCA: </w:t>
      </w:r>
      <w:r w:rsidRPr="005B056C">
        <w:rPr>
          <w:szCs w:val="20"/>
        </w:rPr>
        <w:t xml:space="preserve">Dan Blazer; </w:t>
      </w:r>
      <w:r w:rsidRPr="005B056C">
        <w:rPr>
          <w:b/>
          <w:bCs/>
          <w:szCs w:val="20"/>
        </w:rPr>
        <w:t xml:space="preserve">ESTHER: </w:t>
      </w:r>
      <w:r w:rsidRPr="005B056C">
        <w:rPr>
          <w:szCs w:val="20"/>
        </w:rPr>
        <w:t xml:space="preserve">Ben Schöttker, Bernd Holleczek, Kai-Uwe Saum; </w:t>
      </w:r>
      <w:r w:rsidRPr="005B056C">
        <w:rPr>
          <w:b/>
          <w:bCs/>
          <w:szCs w:val="20"/>
        </w:rPr>
        <w:t xml:space="preserve">FINRISK92 FINRISK97: </w:t>
      </w:r>
      <w:r w:rsidRPr="005B056C">
        <w:rPr>
          <w:szCs w:val="20"/>
        </w:rPr>
        <w:t xml:space="preserve">Erkki Vartiainen, Kennet Harald, Pekka Jousilahti; </w:t>
      </w:r>
      <w:r w:rsidRPr="005B056C">
        <w:rPr>
          <w:b/>
          <w:bCs/>
          <w:szCs w:val="20"/>
        </w:rPr>
        <w:t xml:space="preserve">FLETCHER: </w:t>
      </w:r>
      <w:r w:rsidRPr="005B056C">
        <w:rPr>
          <w:szCs w:val="20"/>
        </w:rPr>
        <w:t xml:space="preserve">Mark </w:t>
      </w:r>
      <w:r w:rsidR="0015769D">
        <w:rPr>
          <w:szCs w:val="20"/>
        </w:rPr>
        <w:t>Woodw</w:t>
      </w:r>
      <w:r w:rsidRPr="005B056C">
        <w:rPr>
          <w:szCs w:val="20"/>
        </w:rPr>
        <w:t xml:space="preserve">ard; </w:t>
      </w:r>
      <w:r w:rsidRPr="005B056C">
        <w:rPr>
          <w:b/>
          <w:bCs/>
          <w:szCs w:val="20"/>
        </w:rPr>
        <w:t xml:space="preserve">FUNAGATA: </w:t>
      </w:r>
      <w:r w:rsidRPr="005B056C">
        <w:rPr>
          <w:szCs w:val="20"/>
        </w:rPr>
        <w:t xml:space="preserve">Takamasa Kayama, Takeo Kato, Toshihide Oizumi; </w:t>
      </w:r>
      <w:r w:rsidRPr="005B056C">
        <w:rPr>
          <w:b/>
          <w:bCs/>
          <w:szCs w:val="20"/>
        </w:rPr>
        <w:t xml:space="preserve">Glostrup: </w:t>
      </w:r>
      <w:r w:rsidRPr="005B056C">
        <w:rPr>
          <w:szCs w:val="20"/>
        </w:rPr>
        <w:t xml:space="preserve">Else Marie Bladbjerg, Jørgen Jespersen; </w:t>
      </w:r>
      <w:r w:rsidRPr="005B056C">
        <w:rPr>
          <w:b/>
          <w:bCs/>
          <w:szCs w:val="20"/>
        </w:rPr>
        <w:t xml:space="preserve">GREPCO, MICOL, NHR: </w:t>
      </w:r>
      <w:r w:rsidRPr="005B056C">
        <w:rPr>
          <w:szCs w:val="20"/>
        </w:rPr>
        <w:t xml:space="preserve">Chiara Donfrancesco, Luigi Palmieri, Simona Giampaoli; </w:t>
      </w:r>
      <w:r w:rsidRPr="005B056C">
        <w:rPr>
          <w:b/>
          <w:bCs/>
          <w:szCs w:val="20"/>
        </w:rPr>
        <w:t xml:space="preserve">HBS: </w:t>
      </w:r>
      <w:r w:rsidRPr="005B056C">
        <w:rPr>
          <w:szCs w:val="20"/>
        </w:rPr>
        <w:t xml:space="preserve">Timo Strandberg; </w:t>
      </w:r>
      <w:r w:rsidRPr="005B056C">
        <w:rPr>
          <w:b/>
          <w:bCs/>
          <w:szCs w:val="20"/>
        </w:rPr>
        <w:t xml:space="preserve">HCS: </w:t>
      </w:r>
      <w:r w:rsidRPr="005B056C">
        <w:rPr>
          <w:szCs w:val="20"/>
        </w:rPr>
        <w:t xml:space="preserve">Cyrus Cooper, Elaine Dennison, Karen Jameson; </w:t>
      </w:r>
      <w:r w:rsidRPr="005B056C">
        <w:rPr>
          <w:b/>
          <w:bCs/>
          <w:szCs w:val="20"/>
        </w:rPr>
        <w:t xml:space="preserve">HIMS: </w:t>
      </w:r>
      <w:r w:rsidRPr="005B056C">
        <w:rPr>
          <w:szCs w:val="20"/>
        </w:rPr>
        <w:t xml:space="preserve">Graeme J. Hankey, Leon Flicker, Osvaldo P. Almeida; </w:t>
      </w:r>
      <w:r w:rsidRPr="005B056C">
        <w:rPr>
          <w:b/>
          <w:bCs/>
          <w:szCs w:val="20"/>
        </w:rPr>
        <w:t xml:space="preserve">HISAYAMA: </w:t>
      </w:r>
      <w:r w:rsidRPr="005B056C">
        <w:rPr>
          <w:szCs w:val="20"/>
        </w:rPr>
        <w:t xml:space="preserve">Toshiharu Ninomiya, Yasufumi Doi, Yutaka Kiyohara; </w:t>
      </w:r>
      <w:r w:rsidRPr="005B056C">
        <w:rPr>
          <w:b/>
          <w:bCs/>
          <w:szCs w:val="20"/>
        </w:rPr>
        <w:t xml:space="preserve">HUBRO, OPPHED, Finnmark and Troms: </w:t>
      </w:r>
      <w:r w:rsidRPr="005B056C">
        <w:rPr>
          <w:szCs w:val="20"/>
        </w:rPr>
        <w:t xml:space="preserve">Anne Johanne Søgaard, Inger Ariansen; </w:t>
      </w:r>
      <w:r w:rsidRPr="005B056C">
        <w:rPr>
          <w:b/>
          <w:bCs/>
          <w:szCs w:val="20"/>
        </w:rPr>
        <w:t xml:space="preserve">IKNS and OSAKA: </w:t>
      </w:r>
      <w:r w:rsidRPr="005B056C">
        <w:rPr>
          <w:szCs w:val="20"/>
        </w:rPr>
        <w:t xml:space="preserve">Akihiko Kitamura, Hiroyasu Iso, Kazumasa Yamagishi; </w:t>
      </w:r>
      <w:r w:rsidRPr="005B056C">
        <w:rPr>
          <w:b/>
          <w:bCs/>
          <w:szCs w:val="20"/>
        </w:rPr>
        <w:t xml:space="preserve">KARELIA: </w:t>
      </w:r>
      <w:r w:rsidRPr="005B056C">
        <w:rPr>
          <w:szCs w:val="20"/>
        </w:rPr>
        <w:t xml:space="preserve">Veikko Salomaa; </w:t>
      </w:r>
      <w:r w:rsidRPr="005B056C">
        <w:rPr>
          <w:b/>
          <w:bCs/>
          <w:szCs w:val="20"/>
        </w:rPr>
        <w:t xml:space="preserve">KIHD: </w:t>
      </w:r>
      <w:r w:rsidRPr="005B056C">
        <w:rPr>
          <w:szCs w:val="20"/>
        </w:rPr>
        <w:t xml:space="preserve">Jukka T. Salonen, Kurl Sudhir, Tomi-Pekka Tuomainen; </w:t>
      </w:r>
      <w:r w:rsidRPr="005B056C">
        <w:rPr>
          <w:b/>
          <w:bCs/>
          <w:szCs w:val="20"/>
        </w:rPr>
        <w:t xml:space="preserve">LASA: </w:t>
      </w:r>
      <w:r w:rsidRPr="005B056C">
        <w:rPr>
          <w:szCs w:val="20"/>
        </w:rPr>
        <w:t xml:space="preserve">Hannie C. Comijs, Renate de Jongh; </w:t>
      </w:r>
      <w:r w:rsidRPr="005B056C">
        <w:rPr>
          <w:b/>
          <w:bCs/>
          <w:szCs w:val="20"/>
        </w:rPr>
        <w:t xml:space="preserve">MCVDRFP/MORGEN: </w:t>
      </w:r>
      <w:r w:rsidRPr="005B056C">
        <w:rPr>
          <w:szCs w:val="20"/>
        </w:rPr>
        <w:t xml:space="preserve">A. Blokstra, H.A. Smit, W.M.M. Verschuren; </w:t>
      </w:r>
      <w:r w:rsidRPr="005B056C">
        <w:rPr>
          <w:b/>
          <w:bCs/>
          <w:szCs w:val="20"/>
        </w:rPr>
        <w:t xml:space="preserve">MESA: </w:t>
      </w:r>
      <w:r w:rsidRPr="005B056C">
        <w:rPr>
          <w:szCs w:val="20"/>
        </w:rPr>
        <w:t xml:space="preserve">Ralph Sacco, Robyn McClelland; </w:t>
      </w:r>
      <w:r w:rsidRPr="005B056C">
        <w:rPr>
          <w:b/>
          <w:bCs/>
          <w:szCs w:val="20"/>
        </w:rPr>
        <w:t xml:space="preserve">MONICA_KORA1, MONICA_KORA2, MONICA_KORA3: </w:t>
      </w:r>
      <w:r w:rsidRPr="005B056C">
        <w:rPr>
          <w:szCs w:val="20"/>
        </w:rPr>
        <w:t xml:space="preserve">Christa Meisinger, Wolfgang Koenig; </w:t>
      </w:r>
      <w:r w:rsidRPr="005B056C">
        <w:rPr>
          <w:b/>
          <w:bCs/>
          <w:szCs w:val="20"/>
        </w:rPr>
        <w:t xml:space="preserve">MRCOLD: </w:t>
      </w:r>
      <w:r w:rsidRPr="005B056C">
        <w:rPr>
          <w:szCs w:val="20"/>
        </w:rPr>
        <w:t xml:space="preserve">Astrid Fletcher; </w:t>
      </w:r>
      <w:r w:rsidRPr="005B056C">
        <w:rPr>
          <w:b/>
          <w:bCs/>
          <w:szCs w:val="20"/>
        </w:rPr>
        <w:t xml:space="preserve">MRFIT: </w:t>
      </w:r>
      <w:r w:rsidRPr="005B056C">
        <w:rPr>
          <w:szCs w:val="20"/>
        </w:rPr>
        <w:t xml:space="preserve">Lewis H Kuller; </w:t>
      </w:r>
      <w:r w:rsidRPr="005B056C">
        <w:rPr>
          <w:b/>
          <w:bCs/>
          <w:szCs w:val="20"/>
        </w:rPr>
        <w:t xml:space="preserve">NHANES1, NHANES III: </w:t>
      </w:r>
      <w:r w:rsidRPr="005B056C">
        <w:rPr>
          <w:szCs w:val="20"/>
        </w:rPr>
        <w:t xml:space="preserve">Richard F Gillum; </w:t>
      </w:r>
      <w:r w:rsidRPr="005B056C">
        <w:rPr>
          <w:b/>
          <w:bCs/>
          <w:szCs w:val="20"/>
        </w:rPr>
        <w:t xml:space="preserve">NPHSII: </w:t>
      </w:r>
      <w:r w:rsidRPr="005B056C">
        <w:rPr>
          <w:szCs w:val="20"/>
        </w:rPr>
        <w:t xml:space="preserve">Jackie A Cooper; </w:t>
      </w:r>
      <w:r w:rsidRPr="005B056C">
        <w:rPr>
          <w:b/>
          <w:bCs/>
          <w:szCs w:val="20"/>
        </w:rPr>
        <w:t xml:space="preserve">NSHS: </w:t>
      </w:r>
      <w:r w:rsidRPr="005B056C">
        <w:rPr>
          <w:szCs w:val="20"/>
        </w:rPr>
        <w:t xml:space="preserve">Jonathan Shaffer, Joseph E. Schwartz, Susan Kirkland; </w:t>
      </w:r>
      <w:r w:rsidRPr="005B056C">
        <w:rPr>
          <w:b/>
          <w:bCs/>
          <w:szCs w:val="20"/>
        </w:rPr>
        <w:t xml:space="preserve">OSLO2: </w:t>
      </w:r>
      <w:r w:rsidRPr="005B056C">
        <w:rPr>
          <w:szCs w:val="20"/>
        </w:rPr>
        <w:t xml:space="preserve">Anne-Lise Lund Håheim; </w:t>
      </w:r>
      <w:r w:rsidRPr="005B056C">
        <w:rPr>
          <w:b/>
          <w:bCs/>
          <w:szCs w:val="20"/>
        </w:rPr>
        <w:t xml:space="preserve">PRHHP: </w:t>
      </w:r>
      <w:r w:rsidRPr="005B056C">
        <w:rPr>
          <w:szCs w:val="20"/>
        </w:rPr>
        <w:t xml:space="preserve">Carlos J. Crespo; </w:t>
      </w:r>
      <w:r w:rsidRPr="005B056C">
        <w:rPr>
          <w:b/>
          <w:bCs/>
          <w:szCs w:val="20"/>
        </w:rPr>
        <w:t xml:space="preserve">PRIME: </w:t>
      </w:r>
      <w:r w:rsidRPr="005B056C">
        <w:rPr>
          <w:szCs w:val="20"/>
        </w:rPr>
        <w:t xml:space="preserve">Dominique Arveiler, Jean Ferrières, Michèle Montaye; </w:t>
      </w:r>
      <w:r w:rsidRPr="005B056C">
        <w:rPr>
          <w:b/>
          <w:bCs/>
          <w:szCs w:val="20"/>
        </w:rPr>
        <w:t xml:space="preserve">PROCAM: </w:t>
      </w:r>
      <w:r w:rsidRPr="005B056C">
        <w:rPr>
          <w:szCs w:val="20"/>
        </w:rPr>
        <w:t xml:space="preserve">Gerd Assmann, Helmut Schulte; </w:t>
      </w:r>
      <w:r w:rsidRPr="005B056C">
        <w:rPr>
          <w:b/>
          <w:bCs/>
          <w:szCs w:val="20"/>
        </w:rPr>
        <w:t xml:space="preserve">Prosper: </w:t>
      </w:r>
      <w:r w:rsidRPr="005B056C">
        <w:rPr>
          <w:szCs w:val="20"/>
        </w:rPr>
        <w:t xml:space="preserve">Stella Trompet, Wouter Jukema; </w:t>
      </w:r>
      <w:r w:rsidRPr="005B056C">
        <w:rPr>
          <w:b/>
          <w:bCs/>
          <w:szCs w:val="20"/>
        </w:rPr>
        <w:t xml:space="preserve">QUEBEC: </w:t>
      </w:r>
      <w:r w:rsidRPr="005B056C">
        <w:rPr>
          <w:szCs w:val="20"/>
        </w:rPr>
        <w:t xml:space="preserve">Benoît Lamarche, Bernard Cantin, Gilles R Dagenais; </w:t>
      </w:r>
      <w:r w:rsidRPr="005B056C">
        <w:rPr>
          <w:b/>
          <w:bCs/>
          <w:szCs w:val="20"/>
        </w:rPr>
        <w:t xml:space="preserve">RANCHO: </w:t>
      </w:r>
      <w:r w:rsidRPr="005B056C">
        <w:rPr>
          <w:szCs w:val="20"/>
        </w:rPr>
        <w:t xml:space="preserve">Deborah Wingard, Gail Laughlin, Kay Tee Khaw; </w:t>
      </w:r>
      <w:r w:rsidRPr="005B056C">
        <w:rPr>
          <w:b/>
          <w:bCs/>
          <w:szCs w:val="20"/>
        </w:rPr>
        <w:t xml:space="preserve">RS-1: </w:t>
      </w:r>
      <w:r w:rsidRPr="005B056C">
        <w:rPr>
          <w:szCs w:val="20"/>
        </w:rPr>
        <w:t xml:space="preserve">Arfan Ikram, Frank van Rooij, Kim V.E. Braun; </w:t>
      </w:r>
      <w:r w:rsidRPr="005B056C">
        <w:rPr>
          <w:b/>
          <w:bCs/>
          <w:szCs w:val="20"/>
        </w:rPr>
        <w:t xml:space="preserve">RS-2: </w:t>
      </w:r>
      <w:r w:rsidRPr="005B056C">
        <w:rPr>
          <w:szCs w:val="20"/>
        </w:rPr>
        <w:t xml:space="preserve">Ester A.L. de Jonge, Jessica Kiefte-de Jong, Maryam Kavousi; </w:t>
      </w:r>
      <w:r w:rsidRPr="005B056C">
        <w:rPr>
          <w:b/>
          <w:bCs/>
          <w:szCs w:val="20"/>
        </w:rPr>
        <w:t xml:space="preserve">RS-3: </w:t>
      </w:r>
      <w:r w:rsidRPr="005B056C">
        <w:rPr>
          <w:szCs w:val="20"/>
        </w:rPr>
        <w:t xml:space="preserve">Henning Tiemeier, Taulant Muka, Zhangling Chen; </w:t>
      </w:r>
      <w:r w:rsidRPr="005B056C">
        <w:rPr>
          <w:b/>
          <w:bCs/>
          <w:szCs w:val="20"/>
        </w:rPr>
        <w:t xml:space="preserve">SHHEC: </w:t>
      </w:r>
      <w:r w:rsidRPr="005B056C">
        <w:rPr>
          <w:szCs w:val="20"/>
        </w:rPr>
        <w:t xml:space="preserve">Hugh Tunstall-Pedoe; </w:t>
      </w:r>
      <w:r w:rsidRPr="005B056C">
        <w:rPr>
          <w:b/>
          <w:bCs/>
          <w:szCs w:val="20"/>
        </w:rPr>
        <w:t xml:space="preserve">TOYAMA: </w:t>
      </w:r>
      <w:r w:rsidRPr="005B056C">
        <w:rPr>
          <w:szCs w:val="20"/>
        </w:rPr>
        <w:t xml:space="preserve">Hideaki NAKAGAWA, Masao ISHIZAKI, Yuko MORIKAWA; </w:t>
      </w:r>
      <w:r w:rsidRPr="005B056C">
        <w:rPr>
          <w:b/>
          <w:bCs/>
          <w:szCs w:val="20"/>
        </w:rPr>
        <w:t xml:space="preserve">ULSAM: </w:t>
      </w:r>
      <w:r w:rsidRPr="005B056C">
        <w:rPr>
          <w:szCs w:val="20"/>
        </w:rPr>
        <w:t xml:space="preserve">Martin Ingelsson, Vilmantas Giedraitis; </w:t>
      </w:r>
      <w:r w:rsidRPr="005B056C">
        <w:rPr>
          <w:b/>
          <w:bCs/>
          <w:szCs w:val="20"/>
        </w:rPr>
        <w:t xml:space="preserve">WCWC: </w:t>
      </w:r>
      <w:r w:rsidRPr="005B056C">
        <w:rPr>
          <w:szCs w:val="20"/>
        </w:rPr>
        <w:t xml:space="preserve">Dietrich Rothenbacher, Heiner Claessen, Hermann Brenner; </w:t>
      </w:r>
      <w:r w:rsidRPr="005B056C">
        <w:rPr>
          <w:b/>
          <w:bCs/>
          <w:szCs w:val="20"/>
        </w:rPr>
        <w:t xml:space="preserve">WHIHABPS: </w:t>
      </w:r>
      <w:r w:rsidRPr="005B056C">
        <w:rPr>
          <w:szCs w:val="20"/>
        </w:rPr>
        <w:t xml:space="preserve">Amanda Fretts, Stacey Jolly, William James Howard; </w:t>
      </w:r>
      <w:r w:rsidRPr="005B056C">
        <w:rPr>
          <w:b/>
          <w:bCs/>
          <w:szCs w:val="20"/>
        </w:rPr>
        <w:t xml:space="preserve">WHITEI: </w:t>
      </w:r>
      <w:r w:rsidRPr="005B056C">
        <w:rPr>
          <w:szCs w:val="20"/>
        </w:rPr>
        <w:t xml:space="preserve">Martin Shipley, Mika Kivimaki; </w:t>
      </w:r>
      <w:r w:rsidRPr="005B056C">
        <w:rPr>
          <w:b/>
          <w:bCs/>
          <w:szCs w:val="20"/>
        </w:rPr>
        <w:t xml:space="preserve">WHITEII: </w:t>
      </w:r>
      <w:r w:rsidRPr="005B056C">
        <w:rPr>
          <w:szCs w:val="20"/>
        </w:rPr>
        <w:t xml:space="preserve">Eric J Brunner, Martin Shipley; </w:t>
      </w:r>
      <w:r w:rsidRPr="005B056C">
        <w:rPr>
          <w:b/>
          <w:bCs/>
          <w:szCs w:val="20"/>
        </w:rPr>
        <w:t xml:space="preserve">WOSCOPS: </w:t>
      </w:r>
      <w:r w:rsidRPr="005B056C">
        <w:rPr>
          <w:szCs w:val="20"/>
        </w:rPr>
        <w:t xml:space="preserve">Michele Robertson, Naveed Sattar; </w:t>
      </w:r>
      <w:r w:rsidRPr="005B056C">
        <w:rPr>
          <w:b/>
          <w:bCs/>
          <w:szCs w:val="20"/>
        </w:rPr>
        <w:t xml:space="preserve">ZUTE: </w:t>
      </w:r>
      <w:r w:rsidRPr="005B056C">
        <w:rPr>
          <w:szCs w:val="20"/>
        </w:rPr>
        <w:t>Edi</w:t>
      </w:r>
      <w:r>
        <w:rPr>
          <w:szCs w:val="20"/>
        </w:rPr>
        <w:t>th Feskens, Marianne Geleijnse.</w:t>
      </w:r>
    </w:p>
    <w:p w14:paraId="725C5ECB" w14:textId="3807B26B" w:rsidR="005B056C" w:rsidRDefault="005B056C" w:rsidP="008672BB">
      <w:pPr>
        <w:rPr>
          <w:b/>
          <w:bCs/>
          <w:sz w:val="18"/>
          <w:szCs w:val="18"/>
        </w:rPr>
      </w:pPr>
    </w:p>
    <w:p w14:paraId="1A549029" w14:textId="77777777" w:rsidR="005B056C" w:rsidRDefault="005B056C" w:rsidP="008672BB">
      <w:pPr>
        <w:rPr>
          <w:b/>
          <w:bCs/>
          <w:sz w:val="18"/>
          <w:szCs w:val="18"/>
        </w:rPr>
      </w:pPr>
    </w:p>
    <w:p w14:paraId="75FD90AF" w14:textId="7024C741" w:rsidR="008672BB" w:rsidRPr="00586F91" w:rsidRDefault="008672BB" w:rsidP="008672BB">
      <w:pPr>
        <w:rPr>
          <w:rFonts w:cs="Arial"/>
          <w:szCs w:val="16"/>
        </w:rPr>
      </w:pPr>
      <w:r w:rsidRPr="00586F91">
        <w:rPr>
          <w:rFonts w:cs="Arial"/>
          <w:b/>
          <w:szCs w:val="16"/>
        </w:rPr>
        <w:t>Data Management Team</w:t>
      </w:r>
      <w:r w:rsidR="00DE6AA9">
        <w:rPr>
          <w:rFonts w:cs="Arial"/>
          <w:b/>
          <w:szCs w:val="16"/>
        </w:rPr>
        <w:t xml:space="preserve">: </w:t>
      </w:r>
      <w:r w:rsidRPr="00586F91">
        <w:rPr>
          <w:rFonts w:cs="Arial"/>
          <w:szCs w:val="16"/>
        </w:rPr>
        <w:t>Thomas Bolton, Sarah Spackman and Matthew Walker</w:t>
      </w:r>
    </w:p>
    <w:p w14:paraId="1BA483DC" w14:textId="77777777" w:rsidR="008672BB" w:rsidRPr="00586F91" w:rsidRDefault="008672BB" w:rsidP="008672BB">
      <w:pPr>
        <w:rPr>
          <w:rFonts w:cs="Arial"/>
          <w:szCs w:val="16"/>
        </w:rPr>
      </w:pPr>
    </w:p>
    <w:p w14:paraId="2A7AF7C2" w14:textId="248211E6" w:rsidR="008672BB" w:rsidRPr="00586F91" w:rsidRDefault="008672BB" w:rsidP="008672BB">
      <w:pPr>
        <w:rPr>
          <w:rFonts w:cs="Arial"/>
          <w:szCs w:val="16"/>
        </w:rPr>
      </w:pPr>
      <w:r w:rsidRPr="00586F91">
        <w:rPr>
          <w:rFonts w:cs="Arial"/>
          <w:b/>
          <w:szCs w:val="16"/>
        </w:rPr>
        <w:t>Coordinating Centre</w:t>
      </w:r>
      <w:r w:rsidR="00DE6AA9">
        <w:rPr>
          <w:rFonts w:cs="Arial"/>
          <w:b/>
          <w:szCs w:val="16"/>
        </w:rPr>
        <w:t xml:space="preserve">: </w:t>
      </w:r>
      <w:r w:rsidRPr="00586F91">
        <w:rPr>
          <w:rFonts w:cs="Arial"/>
          <w:szCs w:val="16"/>
        </w:rPr>
        <w:t>Thomas Bolton, Stephen Burgess, Adam S Butterworth, Emanuele Di Angelantonio, Stephen Kaptoge, Lisa Pennells, David Stevens, Sarah Spackman, Simon G Thompson, Matthew Walker, Angela M Wood and John Danesh (principal investigator).</w:t>
      </w:r>
    </w:p>
    <w:p w14:paraId="3A629495" w14:textId="77777777" w:rsidR="00DE6AA9" w:rsidRPr="00256484" w:rsidRDefault="00DE6AA9" w:rsidP="00256484">
      <w:pPr>
        <w:spacing w:after="200" w:line="360" w:lineRule="auto"/>
        <w:jc w:val="left"/>
        <w:rPr>
          <w:b/>
        </w:rPr>
      </w:pPr>
    </w:p>
    <w:p w14:paraId="0892B0FA" w14:textId="494C4302" w:rsidR="000819FC" w:rsidRDefault="000819FC" w:rsidP="00256484">
      <w:pPr>
        <w:spacing w:after="200" w:line="360" w:lineRule="auto"/>
        <w:jc w:val="left"/>
        <w:rPr>
          <w:rFonts w:cs="Arial"/>
          <w:b/>
          <w:szCs w:val="16"/>
        </w:rPr>
      </w:pPr>
      <w:r>
        <w:rPr>
          <w:rFonts w:cs="Arial"/>
          <w:b/>
          <w:szCs w:val="16"/>
        </w:rPr>
        <w:t>Authors’ contributions</w:t>
      </w:r>
      <w:r w:rsidR="00DE6AA9">
        <w:rPr>
          <w:rFonts w:cs="Arial"/>
          <w:b/>
          <w:szCs w:val="16"/>
        </w:rPr>
        <w:t xml:space="preserve">: </w:t>
      </w:r>
      <w:r>
        <w:rPr>
          <w:rFonts w:cs="Verdana"/>
          <w:szCs w:val="20"/>
        </w:rPr>
        <w:t xml:space="preserve">All of the authors contributed to data collection, and the design, analysis, interpretation, and re-drafting of this paper. AW and SK </w:t>
      </w:r>
      <w:r w:rsidR="00F7592B">
        <w:rPr>
          <w:rFonts w:cs="Verdana"/>
          <w:szCs w:val="20"/>
        </w:rPr>
        <w:t xml:space="preserve">had full access to the combined data and </w:t>
      </w:r>
      <w:r>
        <w:rPr>
          <w:rFonts w:cs="Verdana"/>
          <w:szCs w:val="20"/>
        </w:rPr>
        <w:t>conducted the statistical analysis.</w:t>
      </w:r>
      <w:r w:rsidRPr="00985A5C">
        <w:rPr>
          <w:rFonts w:cs="Verdana"/>
          <w:szCs w:val="20"/>
        </w:rPr>
        <w:t xml:space="preserve"> </w:t>
      </w:r>
      <w:r>
        <w:rPr>
          <w:rFonts w:cs="Verdana"/>
          <w:szCs w:val="20"/>
        </w:rPr>
        <w:t xml:space="preserve">AW, EDA, and </w:t>
      </w:r>
      <w:r w:rsidR="0046322F">
        <w:rPr>
          <w:rFonts w:cs="Verdana"/>
          <w:szCs w:val="20"/>
        </w:rPr>
        <w:t>JD</w:t>
      </w:r>
      <w:r>
        <w:rPr>
          <w:rFonts w:cs="Verdana"/>
          <w:szCs w:val="20"/>
        </w:rPr>
        <w:t xml:space="preserve"> drafted the manuscript</w:t>
      </w:r>
      <w:r w:rsidR="00F7592B">
        <w:rPr>
          <w:rFonts w:cs="Verdana"/>
          <w:szCs w:val="20"/>
        </w:rPr>
        <w:t xml:space="preserve"> and had responsibility for submission of</w:t>
      </w:r>
      <w:r>
        <w:rPr>
          <w:rFonts w:cs="Verdana"/>
          <w:szCs w:val="20"/>
        </w:rPr>
        <w:t xml:space="preserve"> the manuscript.</w:t>
      </w:r>
    </w:p>
    <w:p w14:paraId="51CFEECF" w14:textId="77777777" w:rsidR="000819FC" w:rsidRDefault="000819FC" w:rsidP="000819FC">
      <w:pPr>
        <w:spacing w:after="200"/>
        <w:jc w:val="left"/>
        <w:rPr>
          <w:rFonts w:cs="Arial"/>
          <w:b/>
          <w:szCs w:val="16"/>
        </w:rPr>
      </w:pPr>
    </w:p>
    <w:p w14:paraId="0B1AFD91" w14:textId="7F0083DF" w:rsidR="008C2D4A" w:rsidRPr="00586F91" w:rsidRDefault="008C2D4A" w:rsidP="000819FC">
      <w:pPr>
        <w:spacing w:after="200"/>
        <w:jc w:val="left"/>
        <w:rPr>
          <w:rFonts w:cs="Arial"/>
          <w:b/>
          <w:szCs w:val="16"/>
        </w:rPr>
      </w:pPr>
      <w:r w:rsidRPr="00586F91">
        <w:rPr>
          <w:rFonts w:cs="Arial"/>
          <w:b/>
          <w:szCs w:val="16"/>
        </w:rPr>
        <w:t>Funding</w:t>
      </w:r>
    </w:p>
    <w:p w14:paraId="4382C70C" w14:textId="2D6654D0" w:rsidR="008C2D4A" w:rsidRDefault="008C2D4A" w:rsidP="008C2D4A">
      <w:pPr>
        <w:rPr>
          <w:rFonts w:eastAsiaTheme="minorHAnsi" w:cs="font000000001f1ea23b"/>
          <w:color w:val="262626"/>
          <w:szCs w:val="20"/>
          <w:lang w:eastAsia="en-US"/>
        </w:rPr>
      </w:pPr>
      <w:r w:rsidRPr="00586F91">
        <w:rPr>
          <w:rFonts w:cs="Arial"/>
          <w:szCs w:val="20"/>
        </w:rPr>
        <w:t xml:space="preserve">The study’s coordinating centre has been underpinned by grants from the UK Medical Research Council </w:t>
      </w:r>
      <w:r w:rsidR="001007E1" w:rsidRPr="00586F91">
        <w:rPr>
          <w:rFonts w:cs="Arial"/>
          <w:szCs w:val="20"/>
        </w:rPr>
        <w:t>(</w:t>
      </w:r>
      <w:r w:rsidR="001007E1" w:rsidRPr="00586F91">
        <w:rPr>
          <w:rFonts w:eastAsia="SimSun" w:cs="Arial"/>
          <w:szCs w:val="20"/>
        </w:rPr>
        <w:t>G0800270</w:t>
      </w:r>
      <w:r w:rsidR="004A07D7">
        <w:rPr>
          <w:rFonts w:eastAsia="SimSun" w:cs="Arial"/>
          <w:szCs w:val="20"/>
        </w:rPr>
        <w:t xml:space="preserve"> and </w:t>
      </w:r>
      <w:r w:rsidR="004A07D7">
        <w:rPr>
          <w:rFonts w:eastAsiaTheme="minorHAnsi" w:cs="AdvTimes"/>
          <w:szCs w:val="20"/>
          <w:lang w:eastAsia="en-US"/>
        </w:rPr>
        <w:t>MR/L003120/1</w:t>
      </w:r>
      <w:r w:rsidRPr="00586F91">
        <w:rPr>
          <w:rFonts w:cs="Arial"/>
          <w:szCs w:val="20"/>
        </w:rPr>
        <w:t>), British Heart Foundation (</w:t>
      </w:r>
      <w:r w:rsidR="001007E1" w:rsidRPr="00586F91">
        <w:rPr>
          <w:rFonts w:eastAsia="SimSun" w:cs="Arial"/>
          <w:szCs w:val="20"/>
        </w:rPr>
        <w:t>SP/09/002</w:t>
      </w:r>
      <w:r w:rsidR="004A07D7">
        <w:rPr>
          <w:rFonts w:eastAsia="SimSun" w:cs="Arial"/>
          <w:szCs w:val="20"/>
        </w:rPr>
        <w:t xml:space="preserve"> </w:t>
      </w:r>
      <w:r w:rsidR="004A07D7" w:rsidRPr="008862BF">
        <w:rPr>
          <w:rFonts w:eastAsiaTheme="minorHAnsi" w:cs="AdvTimes"/>
          <w:szCs w:val="20"/>
          <w:lang w:eastAsia="en-US"/>
        </w:rPr>
        <w:t>and RG/08/014 and RG13/13/30194</w:t>
      </w:r>
      <w:r w:rsidRPr="00586F91">
        <w:rPr>
          <w:rFonts w:cs="Arial"/>
          <w:szCs w:val="20"/>
        </w:rPr>
        <w:t xml:space="preserve">), National Institute for Health Research (through the NIHR Cambridge Biomedical Research Centre), European Commission Framework 7 (through the EPIC-CVD award; </w:t>
      </w:r>
      <w:r w:rsidR="001007E1" w:rsidRPr="00586F91">
        <w:rPr>
          <w:rFonts w:eastAsia="SimSun" w:cs="Arial"/>
          <w:szCs w:val="20"/>
        </w:rPr>
        <w:t>HEALTH-F2-2012-279233</w:t>
      </w:r>
      <w:r w:rsidRPr="00586F91">
        <w:rPr>
          <w:rFonts w:cs="Arial"/>
          <w:szCs w:val="20"/>
        </w:rPr>
        <w:t xml:space="preserve">), and the European Research Council (through an Advanced Investigator Award to J Danesh; </w:t>
      </w:r>
      <w:r w:rsidR="001007E1" w:rsidRPr="00586F91">
        <w:rPr>
          <w:rFonts w:eastAsia="SimSun" w:cs="Arial"/>
          <w:szCs w:val="20"/>
        </w:rPr>
        <w:t>268834</w:t>
      </w:r>
      <w:r w:rsidRPr="00586F91">
        <w:rPr>
          <w:rFonts w:cs="Arial"/>
          <w:szCs w:val="20"/>
        </w:rPr>
        <w:t xml:space="preserve">). </w:t>
      </w:r>
      <w:r w:rsidR="0046322F">
        <w:rPr>
          <w:rFonts w:cs="Arial"/>
          <w:szCs w:val="20"/>
        </w:rPr>
        <w:t>JD holds a BHF Professorship and NIHR Senior Investigator Award.</w:t>
      </w:r>
      <w:r w:rsidR="0046322F" w:rsidRPr="00256484">
        <w:t xml:space="preserve"> </w:t>
      </w:r>
    </w:p>
    <w:p w14:paraId="46BE1368" w14:textId="1275969A" w:rsidR="000819FC" w:rsidRDefault="000819FC" w:rsidP="008C2D4A">
      <w:pPr>
        <w:rPr>
          <w:rFonts w:eastAsiaTheme="minorHAnsi" w:cs="font000000001f1ea23b"/>
          <w:color w:val="262626"/>
          <w:szCs w:val="20"/>
          <w:lang w:eastAsia="en-US"/>
        </w:rPr>
      </w:pPr>
    </w:p>
    <w:p w14:paraId="06C76E30" w14:textId="49D083B5" w:rsidR="000819FC" w:rsidRPr="008862BF" w:rsidRDefault="000819FC" w:rsidP="00DB3559">
      <w:pPr>
        <w:autoSpaceDE w:val="0"/>
        <w:autoSpaceDN w:val="0"/>
        <w:adjustRightInd w:val="0"/>
        <w:rPr>
          <w:rFonts w:eastAsiaTheme="minorHAnsi" w:cs="AdvTimes"/>
          <w:szCs w:val="20"/>
          <w:lang w:eastAsia="en-US"/>
        </w:rPr>
      </w:pPr>
      <w:r w:rsidRPr="008862BF">
        <w:rPr>
          <w:rFonts w:eastAsiaTheme="minorHAnsi" w:cs="AdvTimes"/>
          <w:szCs w:val="20"/>
          <w:lang w:eastAsia="en-US"/>
        </w:rPr>
        <w:t>EPIC Asturias was also supported by the Regional Government of Asturias. EPIC-Greece was also supported by the Hellenic Health Foundation. EPIC-Oxford was also supported by the UK Medica</w:t>
      </w:r>
      <w:r>
        <w:rPr>
          <w:rFonts w:eastAsiaTheme="minorHAnsi" w:cs="AdvTimes"/>
          <w:szCs w:val="20"/>
          <w:lang w:eastAsia="en-US"/>
        </w:rPr>
        <w:t>l Research Council (MR/M012190/</w:t>
      </w:r>
      <w:r w:rsidRPr="008862BF">
        <w:rPr>
          <w:rFonts w:eastAsiaTheme="minorHAnsi" w:cs="AdvTimes"/>
          <w:szCs w:val="20"/>
          <w:lang w:eastAsia="en-US"/>
        </w:rPr>
        <w:t xml:space="preserve">1) and Cancer Research UK (570/A16491). EPIC-Ragusa was also supported by the </w:t>
      </w:r>
      <w:r>
        <w:rPr>
          <w:rFonts w:eastAsiaTheme="minorHAnsi" w:cs="AdvTimes"/>
          <w:szCs w:val="20"/>
          <w:lang w:eastAsia="en-US"/>
        </w:rPr>
        <w:t xml:space="preserve">Sicilian Government, AIRE ONLUS </w:t>
      </w:r>
      <w:r w:rsidRPr="008862BF">
        <w:rPr>
          <w:rFonts w:eastAsiaTheme="minorHAnsi" w:cs="AdvTimes"/>
          <w:szCs w:val="20"/>
          <w:lang w:eastAsia="en-US"/>
        </w:rPr>
        <w:t>Ragusa and AVIS Ragusa. EPIC-Sweden was also supported by Swedish Cancer Society, Swedish Scientific Council and</w:t>
      </w:r>
      <w:r>
        <w:rPr>
          <w:rFonts w:eastAsiaTheme="minorHAnsi" w:cs="AdvTimes"/>
          <w:szCs w:val="20"/>
          <w:lang w:eastAsia="en-US"/>
        </w:rPr>
        <w:t xml:space="preserve"> </w:t>
      </w:r>
      <w:r w:rsidRPr="008862BF">
        <w:rPr>
          <w:rFonts w:eastAsiaTheme="minorHAnsi" w:cs="AdvTimes"/>
          <w:szCs w:val="20"/>
          <w:lang w:eastAsia="en-US"/>
        </w:rPr>
        <w:t>Regional Government of Sk</w:t>
      </w:r>
      <w:r>
        <w:rPr>
          <w:rFonts w:eastAsiaTheme="minorHAnsi" w:cs="AdvTimes"/>
          <w:szCs w:val="20"/>
          <w:lang w:eastAsia="en-US"/>
        </w:rPr>
        <w:t>å</w:t>
      </w:r>
      <w:r w:rsidRPr="008862BF">
        <w:rPr>
          <w:rFonts w:eastAsiaTheme="minorHAnsi" w:cs="AdvTimes"/>
          <w:szCs w:val="20"/>
          <w:lang w:eastAsia="en-US"/>
        </w:rPr>
        <w:t>ne and V</w:t>
      </w:r>
      <w:r>
        <w:rPr>
          <w:rFonts w:eastAsiaTheme="minorHAnsi" w:cs="AdvTimes"/>
          <w:szCs w:val="20"/>
          <w:lang w:eastAsia="en-US"/>
        </w:rPr>
        <w:t>ä</w:t>
      </w:r>
      <w:r w:rsidRPr="008862BF">
        <w:rPr>
          <w:rFonts w:eastAsiaTheme="minorHAnsi" w:cs="AdvTimes"/>
          <w:szCs w:val="20"/>
          <w:lang w:eastAsia="en-US"/>
        </w:rPr>
        <w:t>sterbotten (Sweden).</w:t>
      </w:r>
      <w:r w:rsidRPr="008862BF">
        <w:rPr>
          <w:rFonts w:eastAsiaTheme="minorHAnsi" w:cs="AdvP7D09"/>
          <w:szCs w:val="20"/>
          <w:lang w:eastAsia="en-US"/>
        </w:rPr>
        <w:t xml:space="preserve"> </w:t>
      </w:r>
      <w:r w:rsidRPr="008862BF">
        <w:rPr>
          <w:rFonts w:eastAsiaTheme="minorHAnsi" w:cs="AdvTimes"/>
          <w:szCs w:val="20"/>
          <w:lang w:eastAsia="en-US"/>
        </w:rPr>
        <w:t>EPIC-Turin was also supported also by the Compagnia di</w:t>
      </w:r>
      <w:r w:rsidRPr="008862BF">
        <w:rPr>
          <w:rFonts w:eastAsiaTheme="minorHAnsi" w:cs="AdvP7D09"/>
          <w:szCs w:val="20"/>
          <w:lang w:eastAsia="en-US"/>
        </w:rPr>
        <w:t xml:space="preserve"> </w:t>
      </w:r>
      <w:r w:rsidRPr="008862BF">
        <w:rPr>
          <w:rFonts w:eastAsiaTheme="minorHAnsi" w:cs="AdvTimes"/>
          <w:szCs w:val="20"/>
          <w:lang w:eastAsia="en-US"/>
        </w:rPr>
        <w:t>San Paolo and the Human Genetics Foundation-Torino</w:t>
      </w:r>
      <w:r w:rsidRPr="008862BF">
        <w:rPr>
          <w:rFonts w:eastAsiaTheme="minorHAnsi" w:cs="AdvP7D09"/>
          <w:szCs w:val="20"/>
          <w:lang w:eastAsia="en-US"/>
        </w:rPr>
        <w:t xml:space="preserve"> </w:t>
      </w:r>
      <w:r w:rsidRPr="008862BF">
        <w:rPr>
          <w:rFonts w:eastAsiaTheme="minorHAnsi" w:cs="AdvTimes"/>
          <w:szCs w:val="20"/>
          <w:lang w:eastAsia="en-US"/>
        </w:rPr>
        <w:t>(HuGeF).</w:t>
      </w:r>
      <w:r w:rsidRPr="004A07D7">
        <w:rPr>
          <w:iCs/>
          <w:color w:val="000000" w:themeColor="text1"/>
        </w:rPr>
        <w:t xml:space="preserve"> </w:t>
      </w:r>
      <w:r w:rsidRPr="00D34DB8">
        <w:rPr>
          <w:iCs/>
          <w:color w:val="000000" w:themeColor="text1"/>
        </w:rPr>
        <w:t>Funding for the EPIC-InterAct project was provided by the EU FP6 programme (grant number LSHM_CT_2006_037197).</w:t>
      </w:r>
      <w:r w:rsidR="00DB3559" w:rsidRPr="00DB3559">
        <w:rPr>
          <w:rFonts w:cs="Arial"/>
          <w:szCs w:val="20"/>
        </w:rPr>
        <w:t xml:space="preserve"> </w:t>
      </w:r>
      <w:r w:rsidR="00DB3559" w:rsidRPr="00586F91">
        <w:rPr>
          <w:rFonts w:cs="Arial"/>
          <w:szCs w:val="20"/>
        </w:rPr>
        <w:t>A study website (</w:t>
      </w:r>
      <w:hyperlink r:id="rId9" w:history="1">
        <w:r w:rsidR="00DB3559" w:rsidRPr="00C10711">
          <w:rPr>
            <w:rStyle w:val="Hyperlink"/>
          </w:rPr>
          <w:t>http://www.phpc.cam.ac.uk/ceu/erfc/list-of-studies/</w:t>
        </w:r>
      </w:hyperlink>
      <w:r w:rsidR="00DB3559">
        <w:t xml:space="preserve">) </w:t>
      </w:r>
      <w:r w:rsidR="00DB3559" w:rsidRPr="00586F91">
        <w:rPr>
          <w:rFonts w:cs="Arial"/>
          <w:szCs w:val="20"/>
        </w:rPr>
        <w:t xml:space="preserve">includes a list that investigators have </w:t>
      </w:r>
      <w:r w:rsidR="00DB3559" w:rsidRPr="008E1127">
        <w:rPr>
          <w:rFonts w:cs="Arial"/>
          <w:szCs w:val="20"/>
        </w:rPr>
        <w:t xml:space="preserve">provided of funding </w:t>
      </w:r>
      <w:r w:rsidR="00DB3559" w:rsidRPr="008E1127">
        <w:rPr>
          <w:rFonts w:cs="Arial"/>
          <w:szCs w:val="20"/>
        </w:rPr>
        <w:lastRenderedPageBreak/>
        <w:t xml:space="preserve">agencies that have supported individual cohorts </w:t>
      </w:r>
      <w:r w:rsidR="00224196">
        <w:rPr>
          <w:rFonts w:cs="Arial"/>
          <w:szCs w:val="20"/>
        </w:rPr>
        <w:t>of</w:t>
      </w:r>
      <w:r w:rsidR="00DB3559">
        <w:rPr>
          <w:rFonts w:cs="Arial"/>
          <w:szCs w:val="20"/>
        </w:rPr>
        <w:t xml:space="preserve"> the ERFC </w:t>
      </w:r>
      <w:r w:rsidR="00DB3559" w:rsidRPr="008E1127">
        <w:rPr>
          <w:rFonts w:cs="Arial"/>
          <w:szCs w:val="20"/>
        </w:rPr>
        <w:t xml:space="preserve">contributing to the present consortium. </w:t>
      </w:r>
      <w:r w:rsidR="00DB3559" w:rsidRPr="008E1127">
        <w:rPr>
          <w:rFonts w:eastAsiaTheme="minorHAnsi" w:cs="font000000001f1ea23b"/>
          <w:color w:val="262626"/>
          <w:szCs w:val="20"/>
          <w:lang w:eastAsia="en-US"/>
        </w:rPr>
        <w:t>This research has been conducted using the UK Biobank resource</w:t>
      </w:r>
      <w:r w:rsidR="00DB3559">
        <w:rPr>
          <w:rFonts w:eastAsiaTheme="minorHAnsi" w:cs="font000000001f1ea23b"/>
          <w:color w:val="262626"/>
          <w:szCs w:val="20"/>
          <w:lang w:eastAsia="en-US"/>
        </w:rPr>
        <w:t xml:space="preserve"> (</w:t>
      </w:r>
      <w:r w:rsidR="00DB3559" w:rsidRPr="008E1127">
        <w:rPr>
          <w:rFonts w:eastAsiaTheme="minorHAnsi" w:cs="font000000001f1ea23b"/>
          <w:color w:val="262626"/>
          <w:szCs w:val="20"/>
          <w:lang w:eastAsia="en-US"/>
        </w:rPr>
        <w:t>application 21886</w:t>
      </w:r>
      <w:r w:rsidR="00DB3559">
        <w:rPr>
          <w:rFonts w:eastAsiaTheme="minorHAnsi" w:cs="font000000001f1ea23b"/>
          <w:color w:val="262626"/>
          <w:szCs w:val="20"/>
          <w:lang w:eastAsia="en-US"/>
        </w:rPr>
        <w:t>)</w:t>
      </w:r>
      <w:r w:rsidR="00DB3559" w:rsidRPr="008E1127">
        <w:rPr>
          <w:rFonts w:eastAsiaTheme="minorHAnsi" w:cs="font000000001f1ea23b"/>
          <w:color w:val="262626"/>
          <w:szCs w:val="20"/>
          <w:lang w:eastAsia="en-US"/>
        </w:rPr>
        <w:t>.</w:t>
      </w:r>
    </w:p>
    <w:p w14:paraId="2A5A9AFA" w14:textId="6AE574AE" w:rsidR="0046322F" w:rsidRPr="00256484" w:rsidRDefault="0046322F" w:rsidP="00256484">
      <w:pPr>
        <w:spacing w:after="200" w:line="276" w:lineRule="auto"/>
        <w:jc w:val="left"/>
        <w:rPr>
          <w:b/>
        </w:rPr>
      </w:pPr>
    </w:p>
    <w:p w14:paraId="676B1E4A" w14:textId="77777777" w:rsidR="00072413" w:rsidRPr="00750ADE" w:rsidRDefault="00072413" w:rsidP="008672BB">
      <w:pPr>
        <w:rPr>
          <w:rFonts w:cs="Arial"/>
          <w:b/>
          <w:szCs w:val="20"/>
        </w:rPr>
      </w:pPr>
      <w:r w:rsidRPr="00750ADE">
        <w:rPr>
          <w:rFonts w:cs="Arial"/>
          <w:b/>
          <w:szCs w:val="20"/>
        </w:rPr>
        <w:t>Acknowledgements</w:t>
      </w:r>
    </w:p>
    <w:p w14:paraId="7D47A896" w14:textId="1E11C021" w:rsidR="00072413" w:rsidRPr="00D34DB8" w:rsidRDefault="00072413" w:rsidP="00072413">
      <w:pPr>
        <w:rPr>
          <w:rFonts w:ascii="Calibri" w:hAnsi="Calibri"/>
          <w:iCs/>
          <w:color w:val="000000" w:themeColor="text1"/>
          <w:szCs w:val="22"/>
        </w:rPr>
      </w:pPr>
      <w:r w:rsidRPr="00D34DB8">
        <w:rPr>
          <w:iCs/>
          <w:color w:val="000000" w:themeColor="text1"/>
        </w:rPr>
        <w:t xml:space="preserve">We thank Nicola Kerrison </w:t>
      </w:r>
      <w:r w:rsidR="0046322F" w:rsidRPr="00D34DB8">
        <w:rPr>
          <w:iCs/>
          <w:color w:val="000000" w:themeColor="text1"/>
        </w:rPr>
        <w:t>and Stephen Sharp (</w:t>
      </w:r>
      <w:r w:rsidR="0046322F">
        <w:rPr>
          <w:iCs/>
          <w:color w:val="000000" w:themeColor="text1"/>
        </w:rPr>
        <w:t xml:space="preserve">both from the </w:t>
      </w:r>
      <w:r w:rsidR="0080051B">
        <w:rPr>
          <w:iCs/>
          <w:color w:val="000000" w:themeColor="text1"/>
        </w:rPr>
        <w:t xml:space="preserve">University of Cambridge </w:t>
      </w:r>
      <w:r w:rsidR="0046322F" w:rsidRPr="00D34DB8">
        <w:rPr>
          <w:iCs/>
          <w:color w:val="000000" w:themeColor="text1"/>
        </w:rPr>
        <w:t>MRC Epidemiology Unit)</w:t>
      </w:r>
      <w:r w:rsidR="0046322F">
        <w:rPr>
          <w:iCs/>
          <w:color w:val="000000" w:themeColor="text1"/>
        </w:rPr>
        <w:t xml:space="preserve"> </w:t>
      </w:r>
      <w:r w:rsidRPr="00D34DB8">
        <w:rPr>
          <w:iCs/>
          <w:color w:val="000000" w:themeColor="text1"/>
        </w:rPr>
        <w:t>for</w:t>
      </w:r>
      <w:r w:rsidR="00717BC9">
        <w:rPr>
          <w:iCs/>
          <w:color w:val="000000" w:themeColor="text1"/>
        </w:rPr>
        <w:t xml:space="preserve"> </w:t>
      </w:r>
      <w:r w:rsidR="0046322F">
        <w:rPr>
          <w:iCs/>
          <w:color w:val="000000" w:themeColor="text1"/>
        </w:rPr>
        <w:t xml:space="preserve">the former’s </w:t>
      </w:r>
      <w:r w:rsidRPr="00D34DB8">
        <w:rPr>
          <w:iCs/>
          <w:color w:val="000000" w:themeColor="text1"/>
        </w:rPr>
        <w:t xml:space="preserve">data </w:t>
      </w:r>
      <w:r w:rsidR="0046322F">
        <w:rPr>
          <w:iCs/>
          <w:color w:val="000000" w:themeColor="text1"/>
        </w:rPr>
        <w:t>management in</w:t>
      </w:r>
      <w:r w:rsidRPr="00D34DB8">
        <w:rPr>
          <w:iCs/>
          <w:color w:val="000000" w:themeColor="text1"/>
        </w:rPr>
        <w:t xml:space="preserve"> the EPIC-InterAct subcohort</w:t>
      </w:r>
      <w:r w:rsidR="0046322F">
        <w:rPr>
          <w:iCs/>
          <w:color w:val="000000" w:themeColor="text1"/>
        </w:rPr>
        <w:t xml:space="preserve"> and the latter’s</w:t>
      </w:r>
      <w:r w:rsidRPr="00D34DB8">
        <w:rPr>
          <w:iCs/>
          <w:color w:val="000000" w:themeColor="text1"/>
        </w:rPr>
        <w:t xml:space="preserve"> statistical </w:t>
      </w:r>
      <w:r w:rsidR="0046322F">
        <w:rPr>
          <w:iCs/>
          <w:color w:val="000000" w:themeColor="text1"/>
        </w:rPr>
        <w:t>input into</w:t>
      </w:r>
      <w:r w:rsidRPr="00D34DB8">
        <w:rPr>
          <w:iCs/>
          <w:color w:val="000000" w:themeColor="text1"/>
        </w:rPr>
        <w:t xml:space="preserve"> development of the EPIC-CVD</w:t>
      </w:r>
      <w:r w:rsidR="0046322F">
        <w:rPr>
          <w:iCs/>
          <w:color w:val="000000" w:themeColor="text1"/>
        </w:rPr>
        <w:t>’s</w:t>
      </w:r>
      <w:r w:rsidRPr="00D34DB8">
        <w:rPr>
          <w:iCs/>
          <w:color w:val="000000" w:themeColor="text1"/>
        </w:rPr>
        <w:t xml:space="preserve"> analytical guidelines.  </w:t>
      </w:r>
    </w:p>
    <w:p w14:paraId="61A4FE23" w14:textId="77777777" w:rsidR="000819FC" w:rsidRDefault="000819FC">
      <w:pPr>
        <w:spacing w:after="200" w:line="276" w:lineRule="auto"/>
        <w:jc w:val="left"/>
        <w:rPr>
          <w:rFonts w:cs="Arial"/>
          <w:b/>
          <w:sz w:val="22"/>
          <w:szCs w:val="20"/>
        </w:rPr>
      </w:pPr>
    </w:p>
    <w:p w14:paraId="582ECB5F" w14:textId="77777777" w:rsidR="000819FC" w:rsidRDefault="000819FC">
      <w:pPr>
        <w:spacing w:after="200" w:line="276" w:lineRule="auto"/>
        <w:jc w:val="left"/>
        <w:rPr>
          <w:rFonts w:cs="Arial"/>
          <w:b/>
          <w:sz w:val="22"/>
          <w:szCs w:val="20"/>
        </w:rPr>
      </w:pPr>
    </w:p>
    <w:p w14:paraId="309DEA38" w14:textId="48614F5F" w:rsidR="004A07D7" w:rsidRDefault="004A07D7">
      <w:pPr>
        <w:spacing w:after="200" w:line="276" w:lineRule="auto"/>
        <w:jc w:val="left"/>
        <w:rPr>
          <w:rFonts w:cs="Arial"/>
          <w:b/>
          <w:sz w:val="22"/>
          <w:szCs w:val="20"/>
        </w:rPr>
      </w:pPr>
      <w:r>
        <w:rPr>
          <w:rFonts w:cs="Arial"/>
          <w:b/>
          <w:sz w:val="22"/>
          <w:szCs w:val="20"/>
        </w:rPr>
        <w:br w:type="page"/>
      </w:r>
    </w:p>
    <w:p w14:paraId="309C92E0" w14:textId="00895C13" w:rsidR="005F49AE" w:rsidRPr="004A07D7" w:rsidRDefault="00AE25C3" w:rsidP="007626A0">
      <w:pPr>
        <w:rPr>
          <w:rFonts w:cs="Arial"/>
          <w:b/>
          <w:sz w:val="22"/>
          <w:szCs w:val="20"/>
        </w:rPr>
      </w:pPr>
      <w:r w:rsidRPr="004A07D7">
        <w:rPr>
          <w:b/>
        </w:rPr>
        <w:lastRenderedPageBreak/>
        <w:t>References</w:t>
      </w:r>
    </w:p>
    <w:bookmarkStart w:id="1" w:name="BIB__bib"/>
    <w:p w14:paraId="49DE93F2" w14:textId="39546FBB" w:rsidR="00E50B13" w:rsidRPr="00E50B13" w:rsidRDefault="00E051AC" w:rsidP="00E50B13">
      <w:pPr>
        <w:widowControl w:val="0"/>
        <w:autoSpaceDE w:val="0"/>
        <w:autoSpaceDN w:val="0"/>
        <w:adjustRightInd w:val="0"/>
        <w:spacing w:after="240" w:line="360" w:lineRule="auto"/>
        <w:ind w:left="640" w:hanging="640"/>
        <w:rPr>
          <w:noProof/>
        </w:rPr>
      </w:pPr>
      <w:r>
        <w:rPr>
          <w:rFonts w:eastAsiaTheme="minorHAnsi"/>
          <w:szCs w:val="20"/>
        </w:rPr>
        <w:fldChar w:fldCharType="begin" w:fldLock="1"/>
      </w:r>
      <w:r>
        <w:rPr>
          <w:rFonts w:eastAsiaTheme="minorHAnsi"/>
          <w:szCs w:val="20"/>
        </w:rPr>
        <w:instrText xml:space="preserve">ADDIN Mendeley Bibliography CSL_BIBLIOGRAPHY </w:instrText>
      </w:r>
      <w:r>
        <w:rPr>
          <w:rFonts w:eastAsiaTheme="minorHAnsi"/>
          <w:szCs w:val="20"/>
        </w:rPr>
        <w:fldChar w:fldCharType="separate"/>
      </w:r>
      <w:r w:rsidR="00E50B13" w:rsidRPr="00E50B13">
        <w:rPr>
          <w:noProof/>
        </w:rPr>
        <w:t xml:space="preserve">1. </w:t>
      </w:r>
      <w:r w:rsidR="00E50B13" w:rsidRPr="00E50B13">
        <w:rPr>
          <w:noProof/>
        </w:rPr>
        <w:tab/>
        <w:t xml:space="preserve">Department of Health. Alcohol Guidelines Review: report from the guidelines development group to the UK Chief Medical Officers. 2016. </w:t>
      </w:r>
    </w:p>
    <w:p w14:paraId="7ADE7D68"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 </w:t>
      </w:r>
      <w:r w:rsidRPr="00E50B13">
        <w:rPr>
          <w:noProof/>
        </w:rPr>
        <w:tab/>
        <w:t xml:space="preserve">Kalinowski A, Humphreys K. Governmental standard drink definitions and low-risk alcohol consumption guidelines in 37 countries. Addiction 2016;111(7):1293–8. </w:t>
      </w:r>
    </w:p>
    <w:p w14:paraId="447DFE76"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 </w:t>
      </w:r>
      <w:r w:rsidRPr="00E50B13">
        <w:rPr>
          <w:noProof/>
        </w:rPr>
        <w:tab/>
        <w:t xml:space="preserve">Stampfer MJ, Colditz GA, Willett WC, Speizer FE, Hennekens CH. A prospective study of moderate alcohol consumption and the risk of coronary disease and stroke in women. N Engl J Med 1988;319(5):267–73. </w:t>
      </w:r>
    </w:p>
    <w:p w14:paraId="3097BC20"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 </w:t>
      </w:r>
      <w:r w:rsidRPr="00E50B13">
        <w:rPr>
          <w:noProof/>
        </w:rPr>
        <w:tab/>
        <w:t xml:space="preserve">Boffetta P, Garfinkel L. Alcohol drinking and mortality among men enrolled in an American Cancer Society prospective study. Epidemiology 1990;1(5):342–8. </w:t>
      </w:r>
    </w:p>
    <w:p w14:paraId="4818E780"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 </w:t>
      </w:r>
      <w:r w:rsidRPr="00E50B13">
        <w:rPr>
          <w:noProof/>
        </w:rPr>
        <w:tab/>
        <w:t xml:space="preserve">Thun MJ, Peto R, Lopez AD, et al. Alcohol consumption and mortality among middle-aged and elderly U.S. adults. N Engl J Med 1997;337(24):1705–14. </w:t>
      </w:r>
    </w:p>
    <w:p w14:paraId="7E75E519"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6. </w:t>
      </w:r>
      <w:r w:rsidRPr="00E50B13">
        <w:rPr>
          <w:noProof/>
        </w:rPr>
        <w:tab/>
        <w:t xml:space="preserve">Mukamal K, Conigrave K, Mittleman M, et al. Roles of drinking pattern and type of alcohol consumed in coronary heart disease in men. N Engl J Med 2003;348(2):109–18. </w:t>
      </w:r>
    </w:p>
    <w:p w14:paraId="0BE2FADA" w14:textId="387DE56B"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7. </w:t>
      </w:r>
      <w:r w:rsidRPr="00E50B13">
        <w:rPr>
          <w:noProof/>
        </w:rPr>
        <w:tab/>
        <w:t>Corrao G, Bagnardi V, Zambon A, La Vecchia C. A meta-analysis of alcohol consumption and the risk of 15 diseases. Prev Med (Baltim) 2004</w:t>
      </w:r>
      <w:r w:rsidR="00A43025" w:rsidRPr="00A43025">
        <w:rPr>
          <w:noProof/>
        </w:rPr>
        <w:t>;</w:t>
      </w:r>
      <w:r w:rsidRPr="00E50B13">
        <w:rPr>
          <w:noProof/>
        </w:rPr>
        <w:t xml:space="preserve">38(5):613–9. </w:t>
      </w:r>
    </w:p>
    <w:p w14:paraId="1DBE3FF5"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8. </w:t>
      </w:r>
      <w:r w:rsidRPr="00E50B13">
        <w:rPr>
          <w:noProof/>
        </w:rPr>
        <w:tab/>
        <w:t xml:space="preserve">Hvidtfeldt UA, Tolstrup JS, Jakobsen MU, et al. Alcohol intake and risk of coronary heart disease in younger, middle-aged, and older adults. Circulation 2010;121(14):1589–97. </w:t>
      </w:r>
    </w:p>
    <w:p w14:paraId="26A86DC7"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9. </w:t>
      </w:r>
      <w:r w:rsidRPr="00E50B13">
        <w:rPr>
          <w:noProof/>
        </w:rPr>
        <w:tab/>
        <w:t xml:space="preserve">Patra J, Taylor B, Irving H, et al. Alcohol consumption and the risk of morbidity and mortality for different stroke types--a systematic review and meta-analysis. BMC Public Health 2010;10:258. </w:t>
      </w:r>
    </w:p>
    <w:p w14:paraId="2688219E" w14:textId="6763B00B"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10. </w:t>
      </w:r>
      <w:r w:rsidRPr="00E50B13">
        <w:rPr>
          <w:noProof/>
        </w:rPr>
        <w:tab/>
        <w:t>Ronksley PE, Brien SE, Turner BJ, Mukamal KJ, Ghali W a. Association of alcohol consumption with selected cardiovascular disease outcomes: a systematic review and meta-analysis. BMJ 2011</w:t>
      </w:r>
      <w:r w:rsidR="00A43025" w:rsidRPr="00A43025">
        <w:rPr>
          <w:noProof/>
        </w:rPr>
        <w:t>;</w:t>
      </w:r>
      <w:r w:rsidRPr="00E50B13">
        <w:rPr>
          <w:noProof/>
        </w:rPr>
        <w:t xml:space="preserve">342:d671. </w:t>
      </w:r>
    </w:p>
    <w:p w14:paraId="4F7E7853" w14:textId="76658C4E"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lastRenderedPageBreak/>
        <w:t xml:space="preserve">11. </w:t>
      </w:r>
      <w:r w:rsidRPr="00E50B13">
        <w:rPr>
          <w:noProof/>
        </w:rPr>
        <w:tab/>
        <w:t xml:space="preserve">Roerecke M, Rehm J. The cardioprotective association of average alcohol consumption and ischaemic heart disease: a systematic review and meta-analysis. Addiction 2012;107:1246–60. </w:t>
      </w:r>
    </w:p>
    <w:p w14:paraId="41DADE65"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12. </w:t>
      </w:r>
      <w:r w:rsidRPr="00E50B13">
        <w:rPr>
          <w:noProof/>
        </w:rPr>
        <w:tab/>
        <w:t xml:space="preserve">Bergmann MM, Rehm J, Klipstein-Grobusch K, et al. The association of pattern of lifetime alcohol use and cause of death in the European Prospective Investigation into Cancer and Nutrition (EPIC) study. Int J Epidemiol 2013;42(6):1772–90. </w:t>
      </w:r>
    </w:p>
    <w:p w14:paraId="0492A528"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13. </w:t>
      </w:r>
      <w:r w:rsidRPr="00E50B13">
        <w:rPr>
          <w:noProof/>
        </w:rPr>
        <w:tab/>
        <w:t xml:space="preserve">Leong DP, Smyth A, Teo KK, et al. Patterns of alcohol consumption and myocardial infarction risk: observations from 52 countries in the INTERHEART case-control study. Circulation 2014;130(5):390–8. </w:t>
      </w:r>
    </w:p>
    <w:p w14:paraId="08D6A88E" w14:textId="7E39887F"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14. </w:t>
      </w:r>
      <w:r w:rsidRPr="00E50B13">
        <w:rPr>
          <w:noProof/>
        </w:rPr>
        <w:tab/>
        <w:t>Ferrari P, Licaj I, Muller DC, et al. Lifetime alcohol use and overall and cause-specific mortality in the European Prospective Investigation into Cancer and nutrition (EPIC) study. BMJ Open 2014</w:t>
      </w:r>
      <w:r w:rsidR="00A43025" w:rsidRPr="00A43025">
        <w:rPr>
          <w:noProof/>
        </w:rPr>
        <w:t>;</w:t>
      </w:r>
      <w:r w:rsidRPr="00E50B13">
        <w:rPr>
          <w:noProof/>
        </w:rPr>
        <w:t xml:space="preserve">4(7):e005245. </w:t>
      </w:r>
    </w:p>
    <w:p w14:paraId="2E0D0BD4"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15. </w:t>
      </w:r>
      <w:r w:rsidRPr="00E50B13">
        <w:rPr>
          <w:noProof/>
        </w:rPr>
        <w:tab/>
        <w:t xml:space="preserve">Xi B, Veeranki SP, Zhao M, Ma C, Yan Y, Mi J. Relationship of Alcohol Consumption to All-Cause, Cardiovascular, and Cancer-Related Mortality in U.S. Adults. J Am Coll Cardiol 2017;70(8):913–22. </w:t>
      </w:r>
    </w:p>
    <w:p w14:paraId="458B9F5A"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16. </w:t>
      </w:r>
      <w:r w:rsidRPr="00E50B13">
        <w:rPr>
          <w:noProof/>
        </w:rPr>
        <w:tab/>
        <w:t xml:space="preserve">Smyth A, Teo KK, Rangarajan S, et al. Alcohol consumption and cardiovascular disease, cancer, injury, admission to hospital, and mortality: a prospective cohort study. Lancet (London, England) 2015;386(10007):1945–54. </w:t>
      </w:r>
    </w:p>
    <w:p w14:paraId="186D29A6"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17. </w:t>
      </w:r>
      <w:r w:rsidRPr="00E50B13">
        <w:rPr>
          <w:noProof/>
        </w:rPr>
        <w:tab/>
        <w:t xml:space="preserve">Bell S, Daskalopoulou M, Rapsomaniki E, et al. Association between clinically recorded alcohol consumption and initial presentation of 12 cardiovascular diseases: population based cohort study using linked health records. BMJ 2017;j909. </w:t>
      </w:r>
    </w:p>
    <w:p w14:paraId="2EE372A3"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18. </w:t>
      </w:r>
      <w:r w:rsidRPr="00E50B13">
        <w:rPr>
          <w:noProof/>
        </w:rPr>
        <w:tab/>
        <w:t xml:space="preserve">Jackson R, Broad J, Connor J, Wells S. Alcohol and ischaemic heart disease: Probably no free lunch. Lancet 2005;366(9501):1911–2. </w:t>
      </w:r>
    </w:p>
    <w:p w14:paraId="66B1ACEE"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19. </w:t>
      </w:r>
      <w:r w:rsidRPr="00E50B13">
        <w:rPr>
          <w:noProof/>
        </w:rPr>
        <w:tab/>
        <w:t xml:space="preserve">Knott CS, Coombs N, Stamatakis E, Biddulph JP. All cause mortality and the case for age specific alcohol consumption guidelines: pooled analyses of up to 10 population based cohorts. BMJ 2015;350(feb10 2):h384–h384. </w:t>
      </w:r>
    </w:p>
    <w:p w14:paraId="49441EDF" w14:textId="2A0465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20. </w:t>
      </w:r>
      <w:r w:rsidRPr="00E50B13">
        <w:rPr>
          <w:noProof/>
        </w:rPr>
        <w:tab/>
        <w:t xml:space="preserve">Emberson JR, Bennett DA. Effect of alcohol on risk of coronary heart disease and stroke: Causality, bias, or a bit </w:t>
      </w:r>
      <w:r w:rsidR="006B005E">
        <w:rPr>
          <w:noProof/>
        </w:rPr>
        <w:t>of both? Vasc Health Risk Manag</w:t>
      </w:r>
      <w:r w:rsidRPr="00E50B13">
        <w:rPr>
          <w:noProof/>
        </w:rPr>
        <w:t xml:space="preserve"> 2006;2(3):239–49. </w:t>
      </w:r>
    </w:p>
    <w:p w14:paraId="556126E1" w14:textId="4C9D2EED"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21. </w:t>
      </w:r>
      <w:r w:rsidRPr="00E50B13">
        <w:rPr>
          <w:noProof/>
        </w:rPr>
        <w:tab/>
        <w:t xml:space="preserve">Ng Fat L, Cable N, Marmot MG, Shelton N. Persistent long-standing illness and non-drinking over time, implications for the </w:t>
      </w:r>
      <w:r w:rsidRPr="00E50B13">
        <w:rPr>
          <w:noProof/>
        </w:rPr>
        <w:lastRenderedPageBreak/>
        <w:t xml:space="preserve">use of lifetime abstainers as a control group. J Epidemiol Community Health 2014;68(1):71–7. </w:t>
      </w:r>
    </w:p>
    <w:p w14:paraId="0B1D65BA"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22. </w:t>
      </w:r>
      <w:r w:rsidRPr="00E50B13">
        <w:rPr>
          <w:noProof/>
        </w:rPr>
        <w:tab/>
        <w:t xml:space="preserve">Danesh J, Erqou S, Walker M, et al. The emerging risk factors collaboration: Analysis of individual data on lipid, inflammatory and other markers in over 1.1 million participants in 104 prospective studies of cardiovascular diseases. Eur J Epidemiol 2007;22(12):839–69. </w:t>
      </w:r>
    </w:p>
    <w:p w14:paraId="01D437D6"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23. </w:t>
      </w:r>
      <w:r w:rsidRPr="00E50B13">
        <w:rPr>
          <w:noProof/>
        </w:rPr>
        <w:tab/>
        <w:t xml:space="preserve">Danesh J, Saracci R, Berglund G, et al. EPIC-Heart: The cardiovascular component of a prospective study of nutritional, lifestyle and biological factors in 520,000 middle-aged participants from 10 European countries. Eur J Epidemiol 2007;22(2):129–41. </w:t>
      </w:r>
    </w:p>
    <w:p w14:paraId="456EC71C"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24. </w:t>
      </w:r>
      <w:r w:rsidRPr="00E50B13">
        <w:rPr>
          <w:noProof/>
        </w:rPr>
        <w:tab/>
        <w:t xml:space="preserve">Sudlow C, Gallacher J, Allen N, et al. UK Biobank: An Open Access Resource for Identifying the Causes of a Wide Range of Complex Diseases of Middle and Old Age. PLoS Med 2015;12(3). </w:t>
      </w:r>
    </w:p>
    <w:p w14:paraId="45D96A1F" w14:textId="146BBD85"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25. </w:t>
      </w:r>
      <w:r w:rsidRPr="00E50B13">
        <w:rPr>
          <w:noProof/>
        </w:rPr>
        <w:tab/>
        <w:t xml:space="preserve">Conen D. Alcohol consumption and incident cardiovascular disease: not just one unifying hypothesis. Eur Heart J 2015;36(15):897–8. </w:t>
      </w:r>
    </w:p>
    <w:p w14:paraId="40C8F5C9" w14:textId="04524C72"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26. </w:t>
      </w:r>
      <w:r w:rsidRPr="00E50B13">
        <w:rPr>
          <w:noProof/>
        </w:rPr>
        <w:tab/>
        <w:t xml:space="preserve">Prentice RL. A case-cohort design for epidemiologic cohort studies and disease prevention trials. Biometrika 1986;73(1):1–11. </w:t>
      </w:r>
    </w:p>
    <w:p w14:paraId="788A07A4" w14:textId="644B5C92"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27. </w:t>
      </w:r>
      <w:r w:rsidRPr="00E50B13">
        <w:rPr>
          <w:noProof/>
        </w:rPr>
        <w:tab/>
        <w:t xml:space="preserve">Thompson S, Kaptoge S, White I, et al. Statistical methods for the time-to-event analysis of individual participant data from multiple epidemiological studies. Int J Epidemiol 2010;39(5):1345–59. </w:t>
      </w:r>
    </w:p>
    <w:p w14:paraId="625426CC" w14:textId="3A2B3EDB"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28. </w:t>
      </w:r>
      <w:r w:rsidRPr="00E50B13">
        <w:rPr>
          <w:noProof/>
        </w:rPr>
        <w:tab/>
        <w:t xml:space="preserve">Fibrinogen Studies Collaboration, Wood AM, White I, Thompson SG, Lewington S, Danesh J. Regression dilution methods for meta-analysis: assessing long-term variability in plasma fibrinogen among 27,247 adults in 15 prospective studies. Int J Epidemiol 2006;35(6):1570–8. </w:t>
      </w:r>
    </w:p>
    <w:p w14:paraId="516142A4" w14:textId="28172E0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29. </w:t>
      </w:r>
      <w:r w:rsidRPr="00E50B13">
        <w:rPr>
          <w:noProof/>
        </w:rPr>
        <w:tab/>
        <w:t xml:space="preserve">Wood AM, Thompson SG, Kostis JB, et al. Correcting for multivariate measurement error by regression calibration in meta-analyses of epidemiological studies. Stat Med 2009;28(7):1067–92. </w:t>
      </w:r>
    </w:p>
    <w:p w14:paraId="1B4661F3" w14:textId="1C4D8D8C"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30. </w:t>
      </w:r>
      <w:r w:rsidRPr="00E50B13">
        <w:rPr>
          <w:noProof/>
        </w:rPr>
        <w:tab/>
        <w:t xml:space="preserve">Easton DF, Peto J, Babiker AG. Floating absolute risk: an alternative to relative risk in survival and case-control analysis avoiding an arbitrary reference group. Stat Med 1991;10(7):1025–35. </w:t>
      </w:r>
    </w:p>
    <w:p w14:paraId="76286EFB" w14:textId="663C06E1"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lastRenderedPageBreak/>
        <w:t xml:space="preserve">31. </w:t>
      </w:r>
      <w:r w:rsidRPr="00E50B13">
        <w:rPr>
          <w:noProof/>
        </w:rPr>
        <w:tab/>
        <w:t xml:space="preserve">Plummer M. Improved estimates of floating absolute risk. Stat Med 2004;23(1):93–104. </w:t>
      </w:r>
    </w:p>
    <w:p w14:paraId="08368CDF" w14:textId="27E0C978"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32. </w:t>
      </w:r>
      <w:r w:rsidRPr="00E50B13">
        <w:rPr>
          <w:noProof/>
        </w:rPr>
        <w:tab/>
        <w:t xml:space="preserve">Royston P, Ambler G, Sauerbrei W. The use of fractional polynomials to model continuous risk variables in epidemiology. Int J Epidemiol 1999;28(5):964–74. </w:t>
      </w:r>
    </w:p>
    <w:p w14:paraId="2FC6F9E4" w14:textId="759DD15D"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33. </w:t>
      </w:r>
      <w:r w:rsidRPr="00E50B13">
        <w:rPr>
          <w:noProof/>
        </w:rPr>
        <w:tab/>
        <w:t xml:space="preserve">Higgins JPT, Thompson SG. Quantifying heterogeneity in a meta-analysis. Stat Med 2002;21(11):1539–58. </w:t>
      </w:r>
    </w:p>
    <w:p w14:paraId="7F6D601D" w14:textId="4275D5A5"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34. </w:t>
      </w:r>
      <w:r w:rsidRPr="00E50B13">
        <w:rPr>
          <w:noProof/>
        </w:rPr>
        <w:tab/>
        <w:t xml:space="preserve">Begg CB, Mazumdar M. Operating Characteristics of a Rank Correlation Test for Publication Bias. Biometrics 1994;50(4):1088. </w:t>
      </w:r>
    </w:p>
    <w:p w14:paraId="220D32E5"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35. </w:t>
      </w:r>
      <w:r w:rsidRPr="00E50B13">
        <w:rPr>
          <w:noProof/>
        </w:rPr>
        <w:tab/>
        <w:t xml:space="preserve">Egger M, Davey Smith G, Schneider M, et al. Bias in meta-analysis detected by a simple, graphical test. Br Med J (Clin Res Ed) 1997;315(7109):629–34. </w:t>
      </w:r>
    </w:p>
    <w:p w14:paraId="6F66467E" w14:textId="62B6EA8F"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36. </w:t>
      </w:r>
      <w:r w:rsidRPr="00E50B13">
        <w:rPr>
          <w:noProof/>
        </w:rPr>
        <w:tab/>
        <w:t xml:space="preserve">Centers for Disease Control and Prevention, National Center for Health Statistics. Underlying Cause of Death 1999-2015 on CDC WONDER Online Database, released December. 2016. </w:t>
      </w:r>
    </w:p>
    <w:p w14:paraId="41AB3EAB" w14:textId="1E51624B"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37. </w:t>
      </w:r>
      <w:r w:rsidRPr="00E50B13">
        <w:rPr>
          <w:noProof/>
        </w:rPr>
        <w:tab/>
        <w:t xml:space="preserve">World Health Organization. WHO Statistical Information System (WHOSIS) Geneva, Switzerland. 2007. </w:t>
      </w:r>
    </w:p>
    <w:p w14:paraId="618FF95D" w14:textId="333491C4"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38. </w:t>
      </w:r>
      <w:r w:rsidRPr="00E50B13">
        <w:rPr>
          <w:noProof/>
        </w:rPr>
        <w:tab/>
        <w:t xml:space="preserve">UN Population Division. World Population Prospects New York, NY: United Nations. 2005. </w:t>
      </w:r>
    </w:p>
    <w:p w14:paraId="6B5E5D6B"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39. </w:t>
      </w:r>
      <w:r w:rsidRPr="00E50B13">
        <w:rPr>
          <w:noProof/>
        </w:rPr>
        <w:tab/>
        <w:t xml:space="preserve">Emerging Risk Factors Collaboration E, Di Angelantonio E, Kaptoge S, et al. Association of Cardiometabolic Multimorbidity With Mortality. JAMA 2015;314(1):52–60. </w:t>
      </w:r>
    </w:p>
    <w:p w14:paraId="1E32BCA5" w14:textId="02C8E0BA"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40. </w:t>
      </w:r>
      <w:r w:rsidRPr="00E50B13">
        <w:rPr>
          <w:noProof/>
        </w:rPr>
        <w:tab/>
        <w:t xml:space="preserve">IARC Working Group on the Evaluation of Carcinogenic Risks to Humans. Personal habits and indoor combustions. Volume 100 E. A review of human carcinogens. IARC Monogr Eval Carcinog risks to humans 2012;100(Pt E):1–538. </w:t>
      </w:r>
    </w:p>
    <w:p w14:paraId="1B7BD9A4" w14:textId="6F61EED9"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41. </w:t>
      </w:r>
      <w:r w:rsidRPr="00E50B13">
        <w:rPr>
          <w:noProof/>
        </w:rPr>
        <w:tab/>
        <w:t xml:space="preserve">Lazo M, Chen Y, McEvoy JW, et al. Alcohol consumption and cardiac biomarkers: The atherosclerosis risk in communities (ARIC) study. Clin Chem 2016;62(9):1202–10. </w:t>
      </w:r>
    </w:p>
    <w:p w14:paraId="795917EE" w14:textId="1B14EC4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42. </w:t>
      </w:r>
      <w:r w:rsidRPr="00E50B13">
        <w:rPr>
          <w:noProof/>
        </w:rPr>
        <w:tab/>
        <w:t xml:space="preserve">Kiechl S, Willeit J. Complex association between alcohol consumption and myocardial infarction: always good for a new paradox. Circulation 2014;130(5):383–6. </w:t>
      </w:r>
    </w:p>
    <w:p w14:paraId="69F7FDDE" w14:textId="0CB92A80"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lastRenderedPageBreak/>
        <w:t xml:space="preserve">43. </w:t>
      </w:r>
      <w:r w:rsidRPr="00E50B13">
        <w:rPr>
          <w:noProof/>
        </w:rPr>
        <w:tab/>
        <w:t xml:space="preserve">Holmes M V, Dale CE, Zuccolo L, et al. Association between alcohol and cardiovascular disease: Mendelian randomisation analysis based on individual participant data. BMJ 2014;349:g4164. </w:t>
      </w:r>
    </w:p>
    <w:p w14:paraId="69D329F4" w14:textId="36A027A6"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44. </w:t>
      </w:r>
      <w:r w:rsidRPr="00E50B13">
        <w:rPr>
          <w:noProof/>
        </w:rPr>
        <w:tab/>
        <w:t xml:space="preserve">Cho Y, Shin S-Y, Won S, Relton CL, Davey Smith G, Shin M-J. Alcohol intake and cardiovascular risk factors: A Mendelian randomisation study. Sci Rep 2015;5:18422. </w:t>
      </w:r>
    </w:p>
    <w:p w14:paraId="64FD5C97" w14:textId="391DD928"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45. </w:t>
      </w:r>
      <w:r w:rsidRPr="00E50B13">
        <w:rPr>
          <w:noProof/>
        </w:rPr>
        <w:tab/>
        <w:t xml:space="preserve">Au Yeung SL, Jiang C, Cheng KK, et al. Moderate Alcohol Use and Cardiovascular Disease from Mendelian Randomization. PLoS One 2013;8(7). </w:t>
      </w:r>
    </w:p>
    <w:p w14:paraId="66D5FCB9" w14:textId="4920A2CE"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46. </w:t>
      </w:r>
      <w:r w:rsidRPr="00E50B13">
        <w:rPr>
          <w:noProof/>
        </w:rPr>
        <w:tab/>
        <w:t>Yun KE, Chang Y, Yun S-C, et al. Alcohol and coronary artery calcification: an investigation using alcohol flushing as an instrum</w:t>
      </w:r>
      <w:r w:rsidR="006B005E">
        <w:rPr>
          <w:noProof/>
        </w:rPr>
        <w:t>ental variable. Int J Epidemiol</w:t>
      </w:r>
      <w:r w:rsidRPr="00E50B13">
        <w:rPr>
          <w:noProof/>
        </w:rPr>
        <w:t xml:space="preserve"> 2017;(Ci):dyw237. </w:t>
      </w:r>
    </w:p>
    <w:p w14:paraId="3A4D2651" w14:textId="0412996C"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47. </w:t>
      </w:r>
      <w:r w:rsidRPr="00E50B13">
        <w:rPr>
          <w:noProof/>
        </w:rPr>
        <w:tab/>
        <w:t xml:space="preserve">Taylor AE, Lu F, Carslake D, et al. Exploring causal associations of alcohol with cardiovascular and metabolic risk factors in a Chinese population using Mendelian randomization analysis. Sci Rep 2015;5:14005. </w:t>
      </w:r>
    </w:p>
    <w:p w14:paraId="3CC3B47D" w14:textId="58947CE1"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48. </w:t>
      </w:r>
      <w:r w:rsidRPr="00E50B13">
        <w:rPr>
          <w:noProof/>
        </w:rPr>
        <w:tab/>
        <w:t xml:space="preserve">Chen L, Smith GD, Harbord RM, Lewis SJ. Alcohol intake and blood pressure: a systematic review implementing a Mendelian randomization approach. PLoS Med 2008;5(3):e52. </w:t>
      </w:r>
    </w:p>
    <w:p w14:paraId="3AEFE8B1" w14:textId="5387A9DD"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49. </w:t>
      </w:r>
      <w:r w:rsidRPr="00E50B13">
        <w:rPr>
          <w:noProof/>
        </w:rPr>
        <w:tab/>
        <w:t xml:space="preserve">Zanoni P, Khetarpal SA, Larach DB, et al. Rare variant in scavenger receptor BI raises HDL cholesterol and increases risk of coronary heart disease. Science 2016;351(6278):1166–71. </w:t>
      </w:r>
    </w:p>
    <w:p w14:paraId="20BE9A81" w14:textId="168C733B"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50. </w:t>
      </w:r>
      <w:r w:rsidRPr="00E50B13">
        <w:rPr>
          <w:noProof/>
        </w:rPr>
        <w:tab/>
        <w:t xml:space="preserve">Brien SE, Ronksley PE, Turner BJ, Mukamal KJ, Ghali WA. Effect of alcohol consumption on biological markers associated with risk of coronary heart disease: systematic review and meta-analysis of interventional studies. BMJ 2011;342(feb22 1):d636–d636. </w:t>
      </w:r>
    </w:p>
    <w:p w14:paraId="4B3A1649" w14:textId="252D6026"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51. </w:t>
      </w:r>
      <w:r w:rsidRPr="00E50B13">
        <w:rPr>
          <w:noProof/>
        </w:rPr>
        <w:tab/>
        <w:t>Voight BF, Peloso GM, Orho-Melander M, et al. Plasma HDL cholesterol and risk of myocardial infarction: a mendelian randomis</w:t>
      </w:r>
      <w:r w:rsidR="006B005E">
        <w:rPr>
          <w:noProof/>
        </w:rPr>
        <w:t>ation study. Lancet</w:t>
      </w:r>
      <w:r w:rsidRPr="00E50B13">
        <w:rPr>
          <w:noProof/>
        </w:rPr>
        <w:t xml:space="preserve"> 2012;380(9841):572–80. </w:t>
      </w:r>
    </w:p>
    <w:p w14:paraId="0E75DD0B"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52. </w:t>
      </w:r>
      <w:r w:rsidRPr="00E50B13">
        <w:rPr>
          <w:noProof/>
        </w:rPr>
        <w:tab/>
        <w:t xml:space="preserve">HPS3/TIMI55-REVEAL Collaborative Group. Effects of Anacetrapib in Patients with Atherosclerotic Vascular Disease. N Engl J Med 2017;NEJMoa1706444. </w:t>
      </w:r>
    </w:p>
    <w:p w14:paraId="5AAD9F66" w14:textId="0FCDC922"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lastRenderedPageBreak/>
        <w:t xml:space="preserve">53. </w:t>
      </w:r>
      <w:r w:rsidRPr="00E50B13">
        <w:rPr>
          <w:noProof/>
        </w:rPr>
        <w:tab/>
      </w:r>
      <w:r w:rsidR="005D687B">
        <w:rPr>
          <w:noProof/>
        </w:rPr>
        <w:t xml:space="preserve">The Emerging Risk Factors </w:t>
      </w:r>
      <w:r w:rsidRPr="00E50B13">
        <w:rPr>
          <w:noProof/>
        </w:rPr>
        <w:t>Collaborati</w:t>
      </w:r>
      <w:r w:rsidR="005D687B">
        <w:rPr>
          <w:noProof/>
        </w:rPr>
        <w:t>on</w:t>
      </w:r>
      <w:r w:rsidRPr="00E50B13">
        <w:rPr>
          <w:noProof/>
        </w:rPr>
        <w:t>. Major lipids, apolipoproteins, and risk of vascular disease. Jama 2009;302(18):1993–2000.</w:t>
      </w:r>
      <w:r w:rsidR="00A43025" w:rsidRPr="00A43025">
        <w:rPr>
          <w:noProof/>
        </w:rPr>
        <w:t xml:space="preserve"> </w:t>
      </w:r>
    </w:p>
    <w:p w14:paraId="51C8F2EE"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54. </w:t>
      </w:r>
      <w:r w:rsidRPr="00E50B13">
        <w:rPr>
          <w:noProof/>
        </w:rPr>
        <w:tab/>
        <w:t xml:space="preserve">Woodward M, Barzi F, Feigin V, et al. Associations between high-density lipoprotein cholesterol and both stroke and coronary heart disease in the Asia Pacific region. Eur Heart J 2007;28(21):2653–60. </w:t>
      </w:r>
    </w:p>
    <w:p w14:paraId="251C7D5D"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55. </w:t>
      </w:r>
      <w:r w:rsidRPr="00E50B13">
        <w:rPr>
          <w:noProof/>
        </w:rPr>
        <w:tab/>
        <w:t xml:space="preserve">MacMahon S, Peto R, Collins R, et al. Blood pressure, stroke, and coronary heart disease. Part 1, prolonged differences in blood pressure: prospective observational studies corrected for the regression dilution bias. Lancet 1990;335(8692):765–74. </w:t>
      </w:r>
    </w:p>
    <w:p w14:paraId="510217A6" w14:textId="64A9C450"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56. </w:t>
      </w:r>
      <w:r w:rsidRPr="00E50B13">
        <w:rPr>
          <w:noProof/>
        </w:rPr>
        <w:tab/>
        <w:t xml:space="preserve">Ahmed I, Sutton AJ, Riley RD. Assessment of publication bias, selection bias, and unavailable data in meta-analyses using individual participant data: a database survey. BMJ 2012;344(jan03 1):d7762–d7762. </w:t>
      </w:r>
    </w:p>
    <w:p w14:paraId="5852245A"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57. </w:t>
      </w:r>
      <w:r w:rsidRPr="00E50B13">
        <w:rPr>
          <w:noProof/>
        </w:rPr>
        <w:tab/>
        <w:t xml:space="preserve">Del Boca FK, Darkes J. The validity of self-reports of alcohol consumption: state of the science and challenges for research. Addiction 2003;98:1–12. </w:t>
      </w:r>
    </w:p>
    <w:p w14:paraId="624983DC" w14:textId="77777777" w:rsidR="00E50B13" w:rsidRPr="00E50B13" w:rsidRDefault="00E50B13" w:rsidP="00E50B13">
      <w:pPr>
        <w:widowControl w:val="0"/>
        <w:autoSpaceDE w:val="0"/>
        <w:autoSpaceDN w:val="0"/>
        <w:adjustRightInd w:val="0"/>
        <w:spacing w:after="240" w:line="360" w:lineRule="auto"/>
        <w:ind w:left="640" w:hanging="640"/>
        <w:rPr>
          <w:noProof/>
        </w:rPr>
      </w:pPr>
      <w:r w:rsidRPr="00E50B13">
        <w:rPr>
          <w:noProof/>
        </w:rPr>
        <w:t xml:space="preserve">58. </w:t>
      </w:r>
      <w:r w:rsidRPr="00E50B13">
        <w:rPr>
          <w:noProof/>
        </w:rPr>
        <w:tab/>
        <w:t xml:space="preserve">Mukamal KJ, Clowry CM, Murray MM, et al. Moderate Alcohol Consumption and Chronic Disease: The Case for a Long-Term Trial. Alcohol. Clin. Exp. Res. 2016;40(11):2283–91. </w:t>
      </w:r>
    </w:p>
    <w:p w14:paraId="69825CCE" w14:textId="79FB5B1E" w:rsidR="005D377B" w:rsidRDefault="00E051AC" w:rsidP="00256484">
      <w:pPr>
        <w:widowControl w:val="0"/>
        <w:autoSpaceDE w:val="0"/>
        <w:autoSpaceDN w:val="0"/>
        <w:adjustRightInd w:val="0"/>
        <w:spacing w:after="240" w:line="360" w:lineRule="auto"/>
        <w:ind w:left="640" w:hanging="640"/>
        <w:rPr>
          <w:rFonts w:eastAsiaTheme="minorHAnsi"/>
          <w:szCs w:val="20"/>
        </w:rPr>
      </w:pPr>
      <w:r>
        <w:rPr>
          <w:rFonts w:eastAsiaTheme="minorHAnsi"/>
          <w:szCs w:val="20"/>
        </w:rPr>
        <w:fldChar w:fldCharType="end"/>
      </w:r>
    </w:p>
    <w:bookmarkEnd w:id="1"/>
    <w:p w14:paraId="35F15538" w14:textId="0605619B" w:rsidR="008C6596" w:rsidRDefault="008C6596" w:rsidP="00E215B2">
      <w:pPr>
        <w:spacing w:after="200" w:line="276" w:lineRule="auto"/>
        <w:jc w:val="left"/>
        <w:rPr>
          <w:rFonts w:cstheme="minorHAnsi"/>
          <w:b/>
          <w:szCs w:val="20"/>
        </w:rPr>
        <w:sectPr w:rsidR="008C6596" w:rsidSect="00DE0AF3">
          <w:footerReference w:type="default" r:id="rId10"/>
          <w:type w:val="continuous"/>
          <w:pgSz w:w="11906" w:h="16838"/>
          <w:pgMar w:top="794" w:right="1077" w:bottom="794" w:left="1077" w:header="709" w:footer="709" w:gutter="0"/>
          <w:lnNumType w:countBy="1" w:restart="continuous"/>
          <w:cols w:space="708"/>
          <w:docGrid w:linePitch="360"/>
        </w:sectPr>
      </w:pPr>
    </w:p>
    <w:p w14:paraId="02421EEF" w14:textId="264D4DFB" w:rsidR="00CB5A05" w:rsidRPr="00D34DB8" w:rsidRDefault="00CB5A05" w:rsidP="00D34DB8">
      <w:pPr>
        <w:spacing w:after="200" w:line="276" w:lineRule="auto"/>
        <w:jc w:val="left"/>
        <w:rPr>
          <w:szCs w:val="20"/>
        </w:rPr>
      </w:pPr>
    </w:p>
    <w:p w14:paraId="633702E9" w14:textId="77777777" w:rsidR="00CB5A05" w:rsidRDefault="00CB5A05">
      <w:pPr>
        <w:spacing w:after="200" w:line="276" w:lineRule="auto"/>
        <w:jc w:val="left"/>
        <w:rPr>
          <w:rFonts w:cs="Calibri"/>
          <w:b/>
          <w:szCs w:val="20"/>
        </w:rPr>
      </w:pPr>
      <w:r>
        <w:rPr>
          <w:rFonts w:cs="Calibri"/>
          <w:b/>
          <w:szCs w:val="20"/>
        </w:rPr>
        <w:br w:type="page"/>
      </w:r>
    </w:p>
    <w:p w14:paraId="34A66418" w14:textId="04550BD4" w:rsidR="00CB5A05" w:rsidRDefault="00CB5A05" w:rsidP="00EA21C7">
      <w:pPr>
        <w:tabs>
          <w:tab w:val="left" w:pos="2268"/>
        </w:tabs>
        <w:spacing w:line="240" w:lineRule="auto"/>
        <w:rPr>
          <w:rFonts w:cs="Calibri"/>
          <w:b/>
          <w:szCs w:val="20"/>
        </w:rPr>
      </w:pPr>
      <w:r>
        <w:rPr>
          <w:rFonts w:cs="Calibri"/>
          <w:b/>
          <w:szCs w:val="20"/>
        </w:rPr>
        <w:lastRenderedPageBreak/>
        <w:t>Tables and Figures</w:t>
      </w:r>
    </w:p>
    <w:p w14:paraId="7D2197A5" w14:textId="77777777" w:rsidR="00CB5A05" w:rsidRDefault="00CB5A05" w:rsidP="00EA21C7">
      <w:pPr>
        <w:tabs>
          <w:tab w:val="left" w:pos="2268"/>
        </w:tabs>
        <w:spacing w:line="240" w:lineRule="auto"/>
        <w:rPr>
          <w:rFonts w:cs="Calibri"/>
          <w:b/>
          <w:szCs w:val="20"/>
        </w:rPr>
      </w:pPr>
    </w:p>
    <w:p w14:paraId="60E27140" w14:textId="77777777" w:rsidR="00CB5A05" w:rsidRDefault="00CB5A05" w:rsidP="00EA21C7">
      <w:pPr>
        <w:tabs>
          <w:tab w:val="left" w:pos="2268"/>
        </w:tabs>
        <w:spacing w:line="240" w:lineRule="auto"/>
        <w:rPr>
          <w:rFonts w:cs="Calibri"/>
          <w:b/>
          <w:szCs w:val="20"/>
        </w:rPr>
      </w:pPr>
    </w:p>
    <w:p w14:paraId="13F77B1F" w14:textId="77777777" w:rsidR="00CB5A05" w:rsidRDefault="00CB5A05" w:rsidP="00EA21C7">
      <w:pPr>
        <w:tabs>
          <w:tab w:val="left" w:pos="2268"/>
        </w:tabs>
        <w:spacing w:line="240" w:lineRule="auto"/>
        <w:rPr>
          <w:rFonts w:cs="Calibri"/>
          <w:b/>
          <w:szCs w:val="20"/>
        </w:rPr>
      </w:pPr>
    </w:p>
    <w:p w14:paraId="41819FD7" w14:textId="4945C085" w:rsidR="005E2E7F" w:rsidRPr="0066121B" w:rsidRDefault="00EA21C7" w:rsidP="00EA21C7">
      <w:pPr>
        <w:tabs>
          <w:tab w:val="left" w:pos="2268"/>
        </w:tabs>
        <w:spacing w:line="240" w:lineRule="auto"/>
        <w:rPr>
          <w:rFonts w:cs="Calibri"/>
          <w:szCs w:val="20"/>
        </w:rPr>
      </w:pPr>
      <w:r w:rsidRPr="0066121B">
        <w:rPr>
          <w:rFonts w:cs="Calibri"/>
          <w:b/>
          <w:szCs w:val="20"/>
        </w:rPr>
        <w:t xml:space="preserve">Table 1. </w:t>
      </w:r>
      <w:r w:rsidRPr="0066121B">
        <w:rPr>
          <w:rFonts w:cs="Calibri"/>
          <w:szCs w:val="20"/>
        </w:rPr>
        <w:t xml:space="preserve">Study- and participant-level characteristics of the contributing </w:t>
      </w:r>
      <w:r w:rsidR="005E2E7F" w:rsidRPr="0066121B">
        <w:rPr>
          <w:rFonts w:cs="Calibri"/>
          <w:szCs w:val="20"/>
        </w:rPr>
        <w:t>data sources</w:t>
      </w:r>
      <w:r w:rsidR="00142EB8" w:rsidRPr="0066121B">
        <w:rPr>
          <w:rFonts w:cs="Calibri"/>
          <w:szCs w:val="20"/>
        </w:rPr>
        <w:t xml:space="preserve">. </w:t>
      </w:r>
    </w:p>
    <w:tbl>
      <w:tblPr>
        <w:tblpPr w:leftFromText="180" w:rightFromText="180" w:vertAnchor="page" w:horzAnchor="margin" w:tblpY="2941"/>
        <w:tblW w:w="5652" w:type="pct"/>
        <w:tblLayout w:type="fixed"/>
        <w:tblLook w:val="04A0" w:firstRow="1" w:lastRow="0" w:firstColumn="1" w:lastColumn="0" w:noHBand="0" w:noVBand="1"/>
      </w:tblPr>
      <w:tblGrid>
        <w:gridCol w:w="4679"/>
        <w:gridCol w:w="1981"/>
        <w:gridCol w:w="1704"/>
        <w:gridCol w:w="1839"/>
      </w:tblGrid>
      <w:tr w:rsidR="00C6114C" w:rsidRPr="0066121B" w14:paraId="64F8D382" w14:textId="77777777" w:rsidTr="008F2CA3">
        <w:trPr>
          <w:trHeight w:hRule="exact" w:val="291"/>
        </w:trPr>
        <w:tc>
          <w:tcPr>
            <w:tcW w:w="2293" w:type="pct"/>
            <w:tcBorders>
              <w:top w:val="single" w:sz="4" w:space="0" w:color="auto"/>
            </w:tcBorders>
            <w:shd w:val="clear" w:color="auto" w:fill="F2F2F2" w:themeFill="background1" w:themeFillShade="F2"/>
            <w:tcMar>
              <w:left w:w="57" w:type="dxa"/>
              <w:right w:w="57" w:type="dxa"/>
            </w:tcMar>
          </w:tcPr>
          <w:p w14:paraId="09133EC9" w14:textId="77777777" w:rsidR="00142EB8" w:rsidRPr="0066121B" w:rsidRDefault="00142EB8" w:rsidP="00D34DB8">
            <w:pPr>
              <w:rPr>
                <w:sz w:val="18"/>
                <w:szCs w:val="20"/>
              </w:rPr>
            </w:pPr>
          </w:p>
        </w:tc>
        <w:tc>
          <w:tcPr>
            <w:tcW w:w="971" w:type="pct"/>
            <w:tcBorders>
              <w:top w:val="single" w:sz="4" w:space="0" w:color="auto"/>
            </w:tcBorders>
            <w:shd w:val="clear" w:color="auto" w:fill="F2F2F2" w:themeFill="background1" w:themeFillShade="F2"/>
            <w:tcMar>
              <w:left w:w="57" w:type="dxa"/>
              <w:right w:w="57" w:type="dxa"/>
            </w:tcMar>
          </w:tcPr>
          <w:p w14:paraId="425C4D8E" w14:textId="77777777" w:rsidR="00142EB8" w:rsidRPr="0066121B" w:rsidRDefault="00142EB8" w:rsidP="00D34DB8">
            <w:pPr>
              <w:jc w:val="center"/>
              <w:rPr>
                <w:b/>
                <w:sz w:val="18"/>
                <w:szCs w:val="20"/>
              </w:rPr>
            </w:pPr>
            <w:r w:rsidRPr="0066121B">
              <w:rPr>
                <w:b/>
                <w:sz w:val="18"/>
                <w:szCs w:val="20"/>
              </w:rPr>
              <w:t>ERFC</w:t>
            </w:r>
          </w:p>
        </w:tc>
        <w:tc>
          <w:tcPr>
            <w:tcW w:w="834" w:type="pct"/>
            <w:tcBorders>
              <w:top w:val="single" w:sz="4" w:space="0" w:color="auto"/>
            </w:tcBorders>
            <w:shd w:val="clear" w:color="auto" w:fill="F2F2F2" w:themeFill="background1" w:themeFillShade="F2"/>
            <w:tcMar>
              <w:left w:w="57" w:type="dxa"/>
              <w:right w:w="57" w:type="dxa"/>
            </w:tcMar>
          </w:tcPr>
          <w:p w14:paraId="6A1824B0" w14:textId="77777777" w:rsidR="00142EB8" w:rsidRPr="0066121B" w:rsidRDefault="00142EB8" w:rsidP="00D34DB8">
            <w:pPr>
              <w:jc w:val="center"/>
              <w:rPr>
                <w:b/>
                <w:sz w:val="18"/>
                <w:szCs w:val="20"/>
              </w:rPr>
            </w:pPr>
            <w:r w:rsidRPr="0066121B">
              <w:rPr>
                <w:b/>
                <w:sz w:val="18"/>
                <w:szCs w:val="20"/>
              </w:rPr>
              <w:t>EPIC-CVD</w:t>
            </w:r>
          </w:p>
          <w:p w14:paraId="3B44678D" w14:textId="77777777" w:rsidR="00142EB8" w:rsidRPr="0066121B" w:rsidRDefault="00142EB8" w:rsidP="00D34DB8">
            <w:pPr>
              <w:jc w:val="center"/>
              <w:rPr>
                <w:b/>
                <w:sz w:val="18"/>
                <w:szCs w:val="20"/>
              </w:rPr>
            </w:pPr>
          </w:p>
        </w:tc>
        <w:tc>
          <w:tcPr>
            <w:tcW w:w="901" w:type="pct"/>
            <w:tcBorders>
              <w:top w:val="single" w:sz="4" w:space="0" w:color="auto"/>
            </w:tcBorders>
            <w:shd w:val="clear" w:color="auto" w:fill="F2F2F2" w:themeFill="background1" w:themeFillShade="F2"/>
            <w:tcMar>
              <w:left w:w="57" w:type="dxa"/>
              <w:right w:w="57" w:type="dxa"/>
            </w:tcMar>
          </w:tcPr>
          <w:p w14:paraId="4A45707A" w14:textId="18A6568B" w:rsidR="00142EB8" w:rsidRPr="0066121B" w:rsidRDefault="00142EB8" w:rsidP="00D34DB8">
            <w:pPr>
              <w:jc w:val="center"/>
              <w:rPr>
                <w:b/>
                <w:sz w:val="18"/>
                <w:szCs w:val="20"/>
              </w:rPr>
            </w:pPr>
            <w:r w:rsidRPr="0066121B">
              <w:rPr>
                <w:b/>
                <w:sz w:val="18"/>
                <w:szCs w:val="20"/>
              </w:rPr>
              <w:t>UK</w:t>
            </w:r>
            <w:r w:rsidR="0066121B" w:rsidRPr="0066121B">
              <w:rPr>
                <w:b/>
                <w:sz w:val="18"/>
                <w:szCs w:val="20"/>
              </w:rPr>
              <w:t xml:space="preserve"> </w:t>
            </w:r>
            <w:r w:rsidRPr="0066121B">
              <w:rPr>
                <w:b/>
                <w:sz w:val="18"/>
                <w:szCs w:val="20"/>
              </w:rPr>
              <w:t>Biobank</w:t>
            </w:r>
          </w:p>
        </w:tc>
      </w:tr>
      <w:tr w:rsidR="00142EB8" w:rsidRPr="0066121B" w14:paraId="2AE44619" w14:textId="77777777" w:rsidTr="00BD01E3">
        <w:trPr>
          <w:trHeight w:hRule="exact" w:val="296"/>
        </w:trPr>
        <w:tc>
          <w:tcPr>
            <w:tcW w:w="5000" w:type="pct"/>
            <w:gridSpan w:val="4"/>
            <w:tcBorders>
              <w:top w:val="single" w:sz="4" w:space="0" w:color="auto"/>
            </w:tcBorders>
            <w:shd w:val="clear" w:color="auto" w:fill="auto"/>
            <w:tcMar>
              <w:left w:w="57" w:type="dxa"/>
              <w:right w:w="57" w:type="dxa"/>
            </w:tcMar>
          </w:tcPr>
          <w:p w14:paraId="38D6FE3D" w14:textId="77777777" w:rsidR="00142EB8" w:rsidRPr="0066121B" w:rsidRDefault="00142EB8" w:rsidP="00D34DB8">
            <w:pPr>
              <w:jc w:val="left"/>
              <w:rPr>
                <w:b/>
                <w:sz w:val="16"/>
                <w:szCs w:val="20"/>
              </w:rPr>
            </w:pPr>
            <w:r w:rsidRPr="0066121B">
              <w:rPr>
                <w:b/>
                <w:sz w:val="16"/>
                <w:szCs w:val="20"/>
              </w:rPr>
              <w:t>Study level characteristics</w:t>
            </w:r>
          </w:p>
        </w:tc>
      </w:tr>
      <w:tr w:rsidR="00C6114C" w:rsidRPr="0066121B" w14:paraId="57CE3A62" w14:textId="77777777" w:rsidTr="008F2CA3">
        <w:trPr>
          <w:trHeight w:hRule="exact" w:val="693"/>
        </w:trPr>
        <w:tc>
          <w:tcPr>
            <w:tcW w:w="2293" w:type="pct"/>
            <w:shd w:val="clear" w:color="auto" w:fill="auto"/>
            <w:tcMar>
              <w:left w:w="57" w:type="dxa"/>
              <w:right w:w="57" w:type="dxa"/>
            </w:tcMar>
          </w:tcPr>
          <w:p w14:paraId="1262020E" w14:textId="77777777" w:rsidR="00142EB8" w:rsidRPr="0066121B" w:rsidRDefault="00142EB8" w:rsidP="00D34DB8">
            <w:pPr>
              <w:jc w:val="left"/>
              <w:rPr>
                <w:sz w:val="16"/>
                <w:szCs w:val="20"/>
              </w:rPr>
            </w:pPr>
            <w:r w:rsidRPr="0066121B">
              <w:rPr>
                <w:sz w:val="16"/>
                <w:szCs w:val="20"/>
              </w:rPr>
              <w:t>Location</w:t>
            </w:r>
          </w:p>
        </w:tc>
        <w:tc>
          <w:tcPr>
            <w:tcW w:w="971" w:type="pct"/>
            <w:shd w:val="clear" w:color="auto" w:fill="auto"/>
            <w:tcMar>
              <w:left w:w="57" w:type="dxa"/>
              <w:right w:w="57" w:type="dxa"/>
            </w:tcMar>
          </w:tcPr>
          <w:p w14:paraId="54F585D0" w14:textId="708887AB" w:rsidR="00142EB8" w:rsidRPr="0066121B" w:rsidRDefault="00142EB8" w:rsidP="00D34DB8">
            <w:pPr>
              <w:jc w:val="center"/>
              <w:rPr>
                <w:sz w:val="16"/>
                <w:szCs w:val="20"/>
              </w:rPr>
            </w:pPr>
            <w:r w:rsidRPr="0066121B">
              <w:rPr>
                <w:sz w:val="16"/>
                <w:szCs w:val="20"/>
              </w:rPr>
              <w:t>81 studies in 19 countries</w:t>
            </w:r>
          </w:p>
        </w:tc>
        <w:tc>
          <w:tcPr>
            <w:tcW w:w="834" w:type="pct"/>
            <w:tcMar>
              <w:left w:w="57" w:type="dxa"/>
              <w:right w:w="57" w:type="dxa"/>
            </w:tcMar>
          </w:tcPr>
          <w:p w14:paraId="6A1B5546" w14:textId="40C9996A" w:rsidR="00142EB8" w:rsidRPr="0066121B" w:rsidRDefault="00142EB8" w:rsidP="00D34DB8">
            <w:pPr>
              <w:jc w:val="center"/>
              <w:rPr>
                <w:sz w:val="16"/>
                <w:szCs w:val="20"/>
              </w:rPr>
            </w:pPr>
            <w:r w:rsidRPr="0066121B">
              <w:rPr>
                <w:sz w:val="16"/>
                <w:szCs w:val="20"/>
              </w:rPr>
              <w:t>22 centres in 10 European countries</w:t>
            </w:r>
          </w:p>
        </w:tc>
        <w:tc>
          <w:tcPr>
            <w:tcW w:w="901" w:type="pct"/>
            <w:shd w:val="clear" w:color="auto" w:fill="auto"/>
            <w:tcMar>
              <w:left w:w="57" w:type="dxa"/>
              <w:right w:w="57" w:type="dxa"/>
            </w:tcMar>
          </w:tcPr>
          <w:p w14:paraId="35A36108" w14:textId="77777777" w:rsidR="00142EB8" w:rsidRPr="0066121B" w:rsidRDefault="00142EB8" w:rsidP="00D34DB8">
            <w:pPr>
              <w:jc w:val="center"/>
              <w:rPr>
                <w:sz w:val="16"/>
                <w:szCs w:val="20"/>
              </w:rPr>
            </w:pPr>
            <w:r w:rsidRPr="0066121B">
              <w:rPr>
                <w:sz w:val="16"/>
                <w:szCs w:val="20"/>
              </w:rPr>
              <w:t>England, Scotland and Wales</w:t>
            </w:r>
          </w:p>
        </w:tc>
      </w:tr>
      <w:tr w:rsidR="00C6114C" w:rsidRPr="0066121B" w14:paraId="4A6CEB02" w14:textId="77777777" w:rsidTr="008F2CA3">
        <w:trPr>
          <w:trHeight w:hRule="exact" w:val="227"/>
        </w:trPr>
        <w:tc>
          <w:tcPr>
            <w:tcW w:w="2293" w:type="pct"/>
            <w:shd w:val="clear" w:color="auto" w:fill="F2F2F2" w:themeFill="background1" w:themeFillShade="F2"/>
            <w:tcMar>
              <w:left w:w="57" w:type="dxa"/>
              <w:right w:w="57" w:type="dxa"/>
            </w:tcMar>
          </w:tcPr>
          <w:p w14:paraId="1DA2B093" w14:textId="77777777" w:rsidR="00142EB8" w:rsidRPr="0066121B" w:rsidRDefault="00142EB8" w:rsidP="00D34DB8">
            <w:pPr>
              <w:jc w:val="left"/>
              <w:rPr>
                <w:sz w:val="16"/>
                <w:szCs w:val="20"/>
              </w:rPr>
            </w:pPr>
            <w:r w:rsidRPr="0066121B">
              <w:rPr>
                <w:sz w:val="16"/>
                <w:szCs w:val="20"/>
              </w:rPr>
              <w:t>Years of recruitment</w:t>
            </w:r>
          </w:p>
        </w:tc>
        <w:tc>
          <w:tcPr>
            <w:tcW w:w="971" w:type="pct"/>
            <w:shd w:val="clear" w:color="auto" w:fill="F2F2F2" w:themeFill="background1" w:themeFillShade="F2"/>
            <w:tcMar>
              <w:left w:w="57" w:type="dxa"/>
              <w:right w:w="57" w:type="dxa"/>
            </w:tcMar>
          </w:tcPr>
          <w:p w14:paraId="055CAB42" w14:textId="77777777" w:rsidR="00142EB8" w:rsidRPr="0066121B" w:rsidRDefault="00142EB8" w:rsidP="00D34DB8">
            <w:pPr>
              <w:jc w:val="center"/>
              <w:rPr>
                <w:sz w:val="16"/>
                <w:szCs w:val="20"/>
              </w:rPr>
            </w:pPr>
            <w:r w:rsidRPr="0066121B">
              <w:rPr>
                <w:sz w:val="16"/>
                <w:szCs w:val="20"/>
              </w:rPr>
              <w:t>1964-2008</w:t>
            </w:r>
          </w:p>
        </w:tc>
        <w:tc>
          <w:tcPr>
            <w:tcW w:w="834" w:type="pct"/>
            <w:shd w:val="clear" w:color="auto" w:fill="F2F2F2" w:themeFill="background1" w:themeFillShade="F2"/>
            <w:tcMar>
              <w:left w:w="57" w:type="dxa"/>
              <w:right w:w="57" w:type="dxa"/>
            </w:tcMar>
          </w:tcPr>
          <w:p w14:paraId="4F22AAC3" w14:textId="77777777" w:rsidR="00142EB8" w:rsidRPr="0066121B" w:rsidRDefault="00142EB8" w:rsidP="00D34DB8">
            <w:pPr>
              <w:jc w:val="center"/>
              <w:rPr>
                <w:sz w:val="16"/>
                <w:szCs w:val="20"/>
              </w:rPr>
            </w:pPr>
            <w:r w:rsidRPr="0066121B">
              <w:rPr>
                <w:sz w:val="16"/>
                <w:szCs w:val="20"/>
              </w:rPr>
              <w:t>1990-2002</w:t>
            </w:r>
          </w:p>
        </w:tc>
        <w:tc>
          <w:tcPr>
            <w:tcW w:w="901" w:type="pct"/>
            <w:shd w:val="clear" w:color="auto" w:fill="F2F2F2" w:themeFill="background1" w:themeFillShade="F2"/>
            <w:tcMar>
              <w:left w:w="57" w:type="dxa"/>
              <w:right w:w="57" w:type="dxa"/>
            </w:tcMar>
          </w:tcPr>
          <w:p w14:paraId="7FFDE5FC" w14:textId="77777777" w:rsidR="00142EB8" w:rsidRPr="0066121B" w:rsidRDefault="00142EB8" w:rsidP="00D34DB8">
            <w:pPr>
              <w:jc w:val="center"/>
              <w:rPr>
                <w:sz w:val="16"/>
                <w:szCs w:val="20"/>
              </w:rPr>
            </w:pPr>
            <w:r w:rsidRPr="0066121B">
              <w:rPr>
                <w:sz w:val="16"/>
                <w:szCs w:val="20"/>
              </w:rPr>
              <w:t>2008-2014</w:t>
            </w:r>
          </w:p>
        </w:tc>
      </w:tr>
      <w:tr w:rsidR="00C6114C" w:rsidRPr="0066121B" w14:paraId="252A684A" w14:textId="77777777" w:rsidTr="008F2CA3">
        <w:trPr>
          <w:trHeight w:hRule="exact" w:val="227"/>
        </w:trPr>
        <w:tc>
          <w:tcPr>
            <w:tcW w:w="2293" w:type="pct"/>
            <w:shd w:val="clear" w:color="auto" w:fill="auto"/>
            <w:tcMar>
              <w:left w:w="57" w:type="dxa"/>
              <w:right w:w="57" w:type="dxa"/>
            </w:tcMar>
          </w:tcPr>
          <w:p w14:paraId="4F808C4F" w14:textId="77777777" w:rsidR="00142EB8" w:rsidRPr="0066121B" w:rsidRDefault="00142EB8" w:rsidP="00D34DB8">
            <w:pPr>
              <w:jc w:val="left"/>
              <w:rPr>
                <w:sz w:val="16"/>
                <w:szCs w:val="20"/>
              </w:rPr>
            </w:pPr>
            <w:r w:rsidRPr="0066121B">
              <w:rPr>
                <w:sz w:val="16"/>
                <w:szCs w:val="20"/>
              </w:rPr>
              <w:t>Year of most recent endpoint follow-up</w:t>
            </w:r>
          </w:p>
        </w:tc>
        <w:tc>
          <w:tcPr>
            <w:tcW w:w="971" w:type="pct"/>
            <w:shd w:val="clear" w:color="auto" w:fill="auto"/>
            <w:tcMar>
              <w:left w:w="57" w:type="dxa"/>
              <w:right w:w="57" w:type="dxa"/>
            </w:tcMar>
          </w:tcPr>
          <w:p w14:paraId="119391B6" w14:textId="77777777" w:rsidR="00142EB8" w:rsidRPr="0066121B" w:rsidRDefault="00142EB8" w:rsidP="00D34DB8">
            <w:pPr>
              <w:jc w:val="center"/>
              <w:rPr>
                <w:sz w:val="16"/>
                <w:szCs w:val="20"/>
              </w:rPr>
            </w:pPr>
            <w:r w:rsidRPr="0066121B">
              <w:rPr>
                <w:sz w:val="16"/>
                <w:szCs w:val="20"/>
              </w:rPr>
              <w:t>2013</w:t>
            </w:r>
          </w:p>
        </w:tc>
        <w:tc>
          <w:tcPr>
            <w:tcW w:w="834" w:type="pct"/>
            <w:tcMar>
              <w:left w:w="57" w:type="dxa"/>
              <w:right w:w="57" w:type="dxa"/>
            </w:tcMar>
          </w:tcPr>
          <w:p w14:paraId="6549B2E1" w14:textId="77777777" w:rsidR="00142EB8" w:rsidRPr="0066121B" w:rsidRDefault="00142EB8" w:rsidP="00D34DB8">
            <w:pPr>
              <w:jc w:val="center"/>
              <w:rPr>
                <w:sz w:val="16"/>
                <w:szCs w:val="20"/>
              </w:rPr>
            </w:pPr>
            <w:r w:rsidRPr="0066121B">
              <w:rPr>
                <w:sz w:val="16"/>
                <w:szCs w:val="20"/>
              </w:rPr>
              <w:t>2009</w:t>
            </w:r>
          </w:p>
        </w:tc>
        <w:tc>
          <w:tcPr>
            <w:tcW w:w="901" w:type="pct"/>
            <w:shd w:val="clear" w:color="auto" w:fill="auto"/>
            <w:tcMar>
              <w:left w:w="57" w:type="dxa"/>
              <w:right w:w="57" w:type="dxa"/>
            </w:tcMar>
          </w:tcPr>
          <w:p w14:paraId="576051AE" w14:textId="77777777" w:rsidR="00142EB8" w:rsidRPr="0066121B" w:rsidRDefault="00142EB8" w:rsidP="00D34DB8">
            <w:pPr>
              <w:jc w:val="center"/>
              <w:rPr>
                <w:sz w:val="16"/>
                <w:szCs w:val="20"/>
              </w:rPr>
            </w:pPr>
            <w:r w:rsidRPr="0066121B">
              <w:rPr>
                <w:sz w:val="16"/>
                <w:szCs w:val="20"/>
              </w:rPr>
              <w:t>2016</w:t>
            </w:r>
          </w:p>
        </w:tc>
      </w:tr>
      <w:tr w:rsidR="00C6114C" w:rsidRPr="0066121B" w14:paraId="1D6E8757" w14:textId="77777777" w:rsidTr="008F2CA3">
        <w:trPr>
          <w:trHeight w:hRule="exact" w:val="227"/>
        </w:trPr>
        <w:tc>
          <w:tcPr>
            <w:tcW w:w="2293" w:type="pct"/>
            <w:shd w:val="clear" w:color="auto" w:fill="FFFFFF" w:themeFill="background1"/>
            <w:tcMar>
              <w:left w:w="57" w:type="dxa"/>
              <w:right w:w="57" w:type="dxa"/>
            </w:tcMar>
          </w:tcPr>
          <w:p w14:paraId="66EF9DD2" w14:textId="77777777" w:rsidR="00142EB8" w:rsidRPr="0066121B" w:rsidRDefault="00142EB8" w:rsidP="00D34DB8">
            <w:pPr>
              <w:jc w:val="left"/>
              <w:rPr>
                <w:sz w:val="16"/>
                <w:szCs w:val="20"/>
              </w:rPr>
            </w:pPr>
            <w:r w:rsidRPr="0066121B">
              <w:rPr>
                <w:b/>
                <w:sz w:val="16"/>
                <w:szCs w:val="20"/>
              </w:rPr>
              <w:t>Participant level characteristics</w:t>
            </w:r>
          </w:p>
        </w:tc>
        <w:tc>
          <w:tcPr>
            <w:tcW w:w="971" w:type="pct"/>
            <w:shd w:val="clear" w:color="auto" w:fill="FFFFFF" w:themeFill="background1"/>
            <w:tcMar>
              <w:left w:w="57" w:type="dxa"/>
              <w:right w:w="57" w:type="dxa"/>
            </w:tcMar>
          </w:tcPr>
          <w:p w14:paraId="1186714F" w14:textId="77777777" w:rsidR="00142EB8" w:rsidRPr="0066121B" w:rsidRDefault="00142EB8" w:rsidP="00D34DB8">
            <w:pPr>
              <w:jc w:val="center"/>
              <w:rPr>
                <w:sz w:val="16"/>
                <w:szCs w:val="20"/>
              </w:rPr>
            </w:pPr>
          </w:p>
        </w:tc>
        <w:tc>
          <w:tcPr>
            <w:tcW w:w="834" w:type="pct"/>
            <w:shd w:val="clear" w:color="auto" w:fill="FFFFFF" w:themeFill="background1"/>
            <w:tcMar>
              <w:left w:w="57" w:type="dxa"/>
              <w:right w:w="57" w:type="dxa"/>
            </w:tcMar>
          </w:tcPr>
          <w:p w14:paraId="6DB5AC61" w14:textId="77777777" w:rsidR="00142EB8" w:rsidRPr="0066121B" w:rsidRDefault="00142EB8" w:rsidP="00D34DB8">
            <w:pPr>
              <w:jc w:val="center"/>
              <w:rPr>
                <w:sz w:val="16"/>
                <w:szCs w:val="20"/>
              </w:rPr>
            </w:pPr>
          </w:p>
        </w:tc>
        <w:tc>
          <w:tcPr>
            <w:tcW w:w="901" w:type="pct"/>
            <w:shd w:val="clear" w:color="auto" w:fill="FFFFFF" w:themeFill="background1"/>
            <w:tcMar>
              <w:left w:w="57" w:type="dxa"/>
              <w:right w:w="57" w:type="dxa"/>
            </w:tcMar>
          </w:tcPr>
          <w:p w14:paraId="6DA2E66B" w14:textId="77777777" w:rsidR="00142EB8" w:rsidRPr="0066121B" w:rsidRDefault="00142EB8" w:rsidP="00D34DB8">
            <w:pPr>
              <w:jc w:val="center"/>
              <w:rPr>
                <w:sz w:val="16"/>
                <w:szCs w:val="20"/>
              </w:rPr>
            </w:pPr>
          </w:p>
        </w:tc>
      </w:tr>
      <w:tr w:rsidR="00C6114C" w:rsidRPr="0066121B" w14:paraId="7857BAC2" w14:textId="77777777" w:rsidTr="008F2CA3">
        <w:trPr>
          <w:trHeight w:hRule="exact" w:val="227"/>
        </w:trPr>
        <w:tc>
          <w:tcPr>
            <w:tcW w:w="2293" w:type="pct"/>
            <w:shd w:val="clear" w:color="auto" w:fill="F2F2F2" w:themeFill="background1" w:themeFillShade="F2"/>
            <w:tcMar>
              <w:left w:w="57" w:type="dxa"/>
              <w:right w:w="57" w:type="dxa"/>
            </w:tcMar>
          </w:tcPr>
          <w:p w14:paraId="344AE0CF" w14:textId="77777777" w:rsidR="00142EB8" w:rsidRPr="0066121B" w:rsidRDefault="00142EB8" w:rsidP="00D34DB8">
            <w:pPr>
              <w:jc w:val="left"/>
              <w:rPr>
                <w:sz w:val="16"/>
                <w:szCs w:val="20"/>
              </w:rPr>
            </w:pPr>
            <w:r w:rsidRPr="0066121B">
              <w:rPr>
                <w:sz w:val="16"/>
                <w:szCs w:val="20"/>
              </w:rPr>
              <w:t>Total participants, n</w:t>
            </w:r>
          </w:p>
        </w:tc>
        <w:tc>
          <w:tcPr>
            <w:tcW w:w="971" w:type="pct"/>
            <w:shd w:val="clear" w:color="auto" w:fill="F2F2F2" w:themeFill="background1" w:themeFillShade="F2"/>
            <w:tcMar>
              <w:left w:w="57" w:type="dxa"/>
              <w:right w:w="57" w:type="dxa"/>
            </w:tcMar>
          </w:tcPr>
          <w:p w14:paraId="379F34A0" w14:textId="110F5FBC" w:rsidR="00142EB8" w:rsidRPr="0066121B" w:rsidRDefault="00142EB8" w:rsidP="00D34DB8">
            <w:pPr>
              <w:jc w:val="center"/>
              <w:rPr>
                <w:sz w:val="16"/>
                <w:szCs w:val="20"/>
              </w:rPr>
            </w:pPr>
            <w:r w:rsidRPr="0066121B">
              <w:rPr>
                <w:sz w:val="16"/>
                <w:szCs w:val="20"/>
              </w:rPr>
              <w:t>356,819</w:t>
            </w:r>
          </w:p>
        </w:tc>
        <w:tc>
          <w:tcPr>
            <w:tcW w:w="834" w:type="pct"/>
            <w:shd w:val="clear" w:color="auto" w:fill="F2F2F2" w:themeFill="background1" w:themeFillShade="F2"/>
            <w:tcMar>
              <w:left w:w="57" w:type="dxa"/>
              <w:right w:w="57" w:type="dxa"/>
            </w:tcMar>
          </w:tcPr>
          <w:p w14:paraId="71B2A647" w14:textId="15D87C2D" w:rsidR="00142EB8" w:rsidRPr="0066121B" w:rsidRDefault="00142EB8" w:rsidP="00D34DB8">
            <w:pPr>
              <w:jc w:val="center"/>
              <w:rPr>
                <w:sz w:val="16"/>
                <w:szCs w:val="20"/>
              </w:rPr>
            </w:pPr>
            <w:r w:rsidRPr="0066121B">
              <w:rPr>
                <w:sz w:val="16"/>
                <w:szCs w:val="20"/>
              </w:rPr>
              <w:t>30,702</w:t>
            </w:r>
          </w:p>
        </w:tc>
        <w:tc>
          <w:tcPr>
            <w:tcW w:w="901" w:type="pct"/>
            <w:shd w:val="clear" w:color="auto" w:fill="F2F2F2" w:themeFill="background1" w:themeFillShade="F2"/>
            <w:tcMar>
              <w:left w:w="57" w:type="dxa"/>
              <w:right w:w="57" w:type="dxa"/>
            </w:tcMar>
          </w:tcPr>
          <w:p w14:paraId="6DA1EEEC" w14:textId="2D208BC3" w:rsidR="00142EB8" w:rsidRPr="0066121B" w:rsidRDefault="00142EB8" w:rsidP="00D34DB8">
            <w:pPr>
              <w:jc w:val="center"/>
              <w:rPr>
                <w:sz w:val="16"/>
                <w:szCs w:val="20"/>
              </w:rPr>
            </w:pPr>
            <w:r w:rsidRPr="0066121B">
              <w:rPr>
                <w:sz w:val="16"/>
                <w:szCs w:val="20"/>
              </w:rPr>
              <w:t>358,833</w:t>
            </w:r>
          </w:p>
        </w:tc>
      </w:tr>
      <w:tr w:rsidR="00C6114C" w:rsidRPr="0066121B" w14:paraId="4724C133" w14:textId="77777777" w:rsidTr="008F2CA3">
        <w:trPr>
          <w:trHeight w:hRule="exact" w:val="227"/>
        </w:trPr>
        <w:tc>
          <w:tcPr>
            <w:tcW w:w="2293" w:type="pct"/>
            <w:shd w:val="clear" w:color="auto" w:fill="FFFFFF" w:themeFill="background1"/>
            <w:tcMar>
              <w:left w:w="57" w:type="dxa"/>
              <w:right w:w="57" w:type="dxa"/>
            </w:tcMar>
          </w:tcPr>
          <w:p w14:paraId="58A49B63" w14:textId="549E8145" w:rsidR="00142EB8" w:rsidRPr="0066121B" w:rsidRDefault="00142EB8" w:rsidP="00D34DB8">
            <w:pPr>
              <w:jc w:val="left"/>
              <w:rPr>
                <w:sz w:val="16"/>
                <w:szCs w:val="20"/>
              </w:rPr>
            </w:pPr>
            <w:r w:rsidRPr="0066121B">
              <w:rPr>
                <w:sz w:val="16"/>
                <w:szCs w:val="20"/>
              </w:rPr>
              <w:t xml:space="preserve">Known current drinkers, n </w:t>
            </w:r>
          </w:p>
        </w:tc>
        <w:tc>
          <w:tcPr>
            <w:tcW w:w="971" w:type="pct"/>
            <w:shd w:val="clear" w:color="auto" w:fill="FFFFFF" w:themeFill="background1"/>
            <w:tcMar>
              <w:left w:w="57" w:type="dxa"/>
              <w:right w:w="57" w:type="dxa"/>
            </w:tcMar>
          </w:tcPr>
          <w:p w14:paraId="3DEA08FF" w14:textId="5FD20E34" w:rsidR="00142EB8" w:rsidRPr="0066121B" w:rsidRDefault="00142EB8" w:rsidP="00D34DB8">
            <w:pPr>
              <w:jc w:val="center"/>
              <w:rPr>
                <w:sz w:val="16"/>
                <w:szCs w:val="20"/>
              </w:rPr>
            </w:pPr>
            <w:r w:rsidRPr="0066121B">
              <w:rPr>
                <w:sz w:val="16"/>
                <w:szCs w:val="20"/>
              </w:rPr>
              <w:t>247,504</w:t>
            </w:r>
          </w:p>
        </w:tc>
        <w:tc>
          <w:tcPr>
            <w:tcW w:w="834" w:type="pct"/>
            <w:shd w:val="clear" w:color="auto" w:fill="FFFFFF" w:themeFill="background1"/>
            <w:tcMar>
              <w:left w:w="57" w:type="dxa"/>
              <w:right w:w="57" w:type="dxa"/>
            </w:tcMar>
          </w:tcPr>
          <w:p w14:paraId="5667E4EB" w14:textId="1877CE70" w:rsidR="00142EB8" w:rsidRPr="0066121B" w:rsidRDefault="00142EB8" w:rsidP="00D34DB8">
            <w:pPr>
              <w:jc w:val="center"/>
              <w:rPr>
                <w:sz w:val="16"/>
                <w:szCs w:val="20"/>
              </w:rPr>
            </w:pPr>
            <w:r w:rsidRPr="0066121B">
              <w:rPr>
                <w:sz w:val="16"/>
                <w:szCs w:val="20"/>
              </w:rPr>
              <w:t>26,036</w:t>
            </w:r>
          </w:p>
        </w:tc>
        <w:tc>
          <w:tcPr>
            <w:tcW w:w="901" w:type="pct"/>
            <w:shd w:val="clear" w:color="auto" w:fill="FFFFFF" w:themeFill="background1"/>
            <w:tcMar>
              <w:left w:w="57" w:type="dxa"/>
              <w:right w:w="57" w:type="dxa"/>
            </w:tcMar>
          </w:tcPr>
          <w:p w14:paraId="6AC5F3BE" w14:textId="47376798" w:rsidR="00142EB8" w:rsidRPr="0066121B" w:rsidRDefault="00142EB8" w:rsidP="00D34DB8">
            <w:pPr>
              <w:jc w:val="center"/>
              <w:rPr>
                <w:sz w:val="16"/>
                <w:szCs w:val="20"/>
              </w:rPr>
            </w:pPr>
            <w:r w:rsidRPr="0066121B">
              <w:rPr>
                <w:sz w:val="16"/>
                <w:szCs w:val="20"/>
              </w:rPr>
              <w:t>326,372</w:t>
            </w:r>
          </w:p>
        </w:tc>
      </w:tr>
      <w:tr w:rsidR="00C6114C" w:rsidRPr="0066121B" w14:paraId="462CC85B" w14:textId="77777777" w:rsidTr="008F2CA3">
        <w:trPr>
          <w:trHeight w:hRule="exact" w:val="227"/>
        </w:trPr>
        <w:tc>
          <w:tcPr>
            <w:tcW w:w="2293" w:type="pct"/>
            <w:shd w:val="clear" w:color="auto" w:fill="FFFFFF" w:themeFill="background1"/>
            <w:tcMar>
              <w:left w:w="57" w:type="dxa"/>
              <w:right w:w="57" w:type="dxa"/>
            </w:tcMar>
          </w:tcPr>
          <w:p w14:paraId="6814A10F" w14:textId="009F92CD" w:rsidR="00142EB8" w:rsidRPr="0066121B" w:rsidRDefault="00142EB8" w:rsidP="00D34DB8">
            <w:pPr>
              <w:ind w:left="284"/>
              <w:jc w:val="left"/>
              <w:rPr>
                <w:rFonts w:cs="Arial"/>
                <w:i/>
                <w:sz w:val="16"/>
                <w:szCs w:val="20"/>
              </w:rPr>
            </w:pPr>
            <w:r w:rsidRPr="0066121B">
              <w:rPr>
                <w:rFonts w:cs="Arial"/>
                <w:i/>
                <w:sz w:val="16"/>
                <w:szCs w:val="20"/>
              </w:rPr>
              <w:t>&gt;0-≤25g/wk</w:t>
            </w:r>
            <w:r w:rsidR="00C92C0D">
              <w:rPr>
                <w:rFonts w:cs="Arial"/>
                <w:i/>
                <w:sz w:val="16"/>
                <w:szCs w:val="20"/>
              </w:rPr>
              <w:t>, n (%)</w:t>
            </w:r>
          </w:p>
        </w:tc>
        <w:tc>
          <w:tcPr>
            <w:tcW w:w="971" w:type="pct"/>
            <w:shd w:val="clear" w:color="auto" w:fill="FFFFFF" w:themeFill="background1"/>
            <w:tcMar>
              <w:left w:w="57" w:type="dxa"/>
              <w:right w:w="57" w:type="dxa"/>
            </w:tcMar>
          </w:tcPr>
          <w:p w14:paraId="7A73ACFD" w14:textId="1DAF5328" w:rsidR="00142EB8" w:rsidRPr="0066121B" w:rsidRDefault="00142EB8" w:rsidP="00D34DB8">
            <w:pPr>
              <w:jc w:val="center"/>
              <w:rPr>
                <w:sz w:val="16"/>
                <w:szCs w:val="20"/>
              </w:rPr>
            </w:pPr>
            <w:r w:rsidRPr="0066121B">
              <w:rPr>
                <w:sz w:val="16"/>
                <w:szCs w:val="20"/>
              </w:rPr>
              <w:t>53,418 (</w:t>
            </w:r>
            <w:r w:rsidR="00EA4945">
              <w:rPr>
                <w:sz w:val="16"/>
                <w:szCs w:val="16"/>
              </w:rPr>
              <w:t>21.6</w:t>
            </w:r>
            <w:r w:rsidRPr="0066121B">
              <w:rPr>
                <w:sz w:val="16"/>
                <w:szCs w:val="20"/>
              </w:rPr>
              <w:t>%)</w:t>
            </w:r>
          </w:p>
        </w:tc>
        <w:tc>
          <w:tcPr>
            <w:tcW w:w="834" w:type="pct"/>
            <w:shd w:val="clear" w:color="auto" w:fill="FFFFFF" w:themeFill="background1"/>
            <w:tcMar>
              <w:left w:w="57" w:type="dxa"/>
              <w:right w:w="57" w:type="dxa"/>
            </w:tcMar>
          </w:tcPr>
          <w:p w14:paraId="42C05F5E" w14:textId="3441DD4F" w:rsidR="00142EB8" w:rsidRPr="0066121B" w:rsidRDefault="00142EB8" w:rsidP="00D34DB8">
            <w:pPr>
              <w:jc w:val="center"/>
              <w:rPr>
                <w:sz w:val="16"/>
                <w:szCs w:val="20"/>
              </w:rPr>
            </w:pPr>
            <w:r w:rsidRPr="0066121B">
              <w:rPr>
                <w:sz w:val="16"/>
                <w:szCs w:val="20"/>
              </w:rPr>
              <w:t>7,906 (30</w:t>
            </w:r>
            <w:r w:rsidR="00EA4945">
              <w:rPr>
                <w:sz w:val="16"/>
                <w:szCs w:val="16"/>
              </w:rPr>
              <w:t>.4</w:t>
            </w:r>
            <w:r w:rsidRPr="0066121B">
              <w:rPr>
                <w:sz w:val="16"/>
                <w:szCs w:val="20"/>
              </w:rPr>
              <w:t>%)</w:t>
            </w:r>
          </w:p>
        </w:tc>
        <w:tc>
          <w:tcPr>
            <w:tcW w:w="901" w:type="pct"/>
            <w:shd w:val="clear" w:color="auto" w:fill="FFFFFF" w:themeFill="background1"/>
            <w:tcMar>
              <w:left w:w="57" w:type="dxa"/>
              <w:right w:w="57" w:type="dxa"/>
            </w:tcMar>
          </w:tcPr>
          <w:p w14:paraId="691783EB" w14:textId="5DD3F078" w:rsidR="00142EB8" w:rsidRPr="0066121B" w:rsidRDefault="00142EB8" w:rsidP="00D34DB8">
            <w:pPr>
              <w:jc w:val="center"/>
              <w:rPr>
                <w:sz w:val="16"/>
                <w:szCs w:val="20"/>
              </w:rPr>
            </w:pPr>
            <w:r w:rsidRPr="0066121B">
              <w:rPr>
                <w:sz w:val="16"/>
                <w:szCs w:val="20"/>
              </w:rPr>
              <w:t>39,641 (12</w:t>
            </w:r>
            <w:r w:rsidR="00EA4945">
              <w:rPr>
                <w:sz w:val="16"/>
                <w:szCs w:val="16"/>
              </w:rPr>
              <w:t>.2</w:t>
            </w:r>
            <w:r w:rsidRPr="0066121B">
              <w:rPr>
                <w:sz w:val="16"/>
                <w:szCs w:val="20"/>
              </w:rPr>
              <w:t>%)</w:t>
            </w:r>
          </w:p>
        </w:tc>
      </w:tr>
      <w:tr w:rsidR="00C6114C" w:rsidRPr="0066121B" w14:paraId="7E4D75DB" w14:textId="77777777" w:rsidTr="008F2CA3">
        <w:trPr>
          <w:trHeight w:hRule="exact" w:val="227"/>
        </w:trPr>
        <w:tc>
          <w:tcPr>
            <w:tcW w:w="2293" w:type="pct"/>
            <w:shd w:val="clear" w:color="auto" w:fill="FFFFFF" w:themeFill="background1"/>
            <w:tcMar>
              <w:left w:w="57" w:type="dxa"/>
              <w:right w:w="57" w:type="dxa"/>
            </w:tcMar>
          </w:tcPr>
          <w:p w14:paraId="3F0F19CF" w14:textId="5EC1AF42" w:rsidR="00142EB8" w:rsidRPr="0066121B" w:rsidRDefault="00142EB8" w:rsidP="00D34DB8">
            <w:pPr>
              <w:ind w:left="284"/>
              <w:jc w:val="left"/>
              <w:rPr>
                <w:rFonts w:cs="Arial"/>
                <w:i/>
                <w:sz w:val="16"/>
                <w:szCs w:val="20"/>
              </w:rPr>
            </w:pPr>
            <w:r w:rsidRPr="0066121B">
              <w:rPr>
                <w:rFonts w:cs="Arial"/>
                <w:i/>
                <w:sz w:val="16"/>
                <w:szCs w:val="20"/>
              </w:rPr>
              <w:t>&gt;25-≤50g/wk</w:t>
            </w:r>
            <w:r w:rsidR="00C92C0D">
              <w:rPr>
                <w:rFonts w:cs="Arial"/>
                <w:i/>
                <w:sz w:val="16"/>
                <w:szCs w:val="20"/>
              </w:rPr>
              <w:t>, n (%)</w:t>
            </w:r>
          </w:p>
        </w:tc>
        <w:tc>
          <w:tcPr>
            <w:tcW w:w="971" w:type="pct"/>
            <w:shd w:val="clear" w:color="auto" w:fill="FFFFFF" w:themeFill="background1"/>
            <w:tcMar>
              <w:left w:w="57" w:type="dxa"/>
              <w:right w:w="57" w:type="dxa"/>
            </w:tcMar>
          </w:tcPr>
          <w:p w14:paraId="415DF05E" w14:textId="6A15ECA3" w:rsidR="00142EB8" w:rsidRPr="0066121B" w:rsidRDefault="00142EB8" w:rsidP="00D34DB8">
            <w:pPr>
              <w:jc w:val="center"/>
              <w:rPr>
                <w:sz w:val="16"/>
                <w:szCs w:val="20"/>
              </w:rPr>
            </w:pPr>
            <w:r w:rsidRPr="0066121B">
              <w:rPr>
                <w:sz w:val="16"/>
                <w:szCs w:val="20"/>
              </w:rPr>
              <w:t>33,953 (</w:t>
            </w:r>
            <w:r w:rsidR="00EA4945">
              <w:rPr>
                <w:sz w:val="16"/>
                <w:szCs w:val="16"/>
              </w:rPr>
              <w:t>13.7</w:t>
            </w:r>
            <w:r w:rsidRPr="0066121B">
              <w:rPr>
                <w:sz w:val="16"/>
                <w:szCs w:val="20"/>
              </w:rPr>
              <w:t>%)</w:t>
            </w:r>
          </w:p>
        </w:tc>
        <w:tc>
          <w:tcPr>
            <w:tcW w:w="834" w:type="pct"/>
            <w:shd w:val="clear" w:color="auto" w:fill="FFFFFF" w:themeFill="background1"/>
            <w:tcMar>
              <w:left w:w="57" w:type="dxa"/>
              <w:right w:w="57" w:type="dxa"/>
            </w:tcMar>
          </w:tcPr>
          <w:p w14:paraId="4BDB1BA4" w14:textId="412C4F75" w:rsidR="00142EB8" w:rsidRPr="0066121B" w:rsidRDefault="00142EB8" w:rsidP="00D34DB8">
            <w:pPr>
              <w:jc w:val="center"/>
              <w:rPr>
                <w:sz w:val="16"/>
                <w:szCs w:val="20"/>
              </w:rPr>
            </w:pPr>
            <w:r w:rsidRPr="0066121B">
              <w:rPr>
                <w:sz w:val="16"/>
                <w:szCs w:val="20"/>
              </w:rPr>
              <w:t>3,704 (14</w:t>
            </w:r>
            <w:r w:rsidR="00EA4945">
              <w:rPr>
                <w:sz w:val="16"/>
                <w:szCs w:val="16"/>
              </w:rPr>
              <w:t>.2</w:t>
            </w:r>
            <w:r w:rsidRPr="0066121B">
              <w:rPr>
                <w:sz w:val="16"/>
                <w:szCs w:val="20"/>
              </w:rPr>
              <w:t>%)</w:t>
            </w:r>
          </w:p>
        </w:tc>
        <w:tc>
          <w:tcPr>
            <w:tcW w:w="901" w:type="pct"/>
            <w:shd w:val="clear" w:color="auto" w:fill="FFFFFF" w:themeFill="background1"/>
            <w:tcMar>
              <w:left w:w="57" w:type="dxa"/>
              <w:right w:w="57" w:type="dxa"/>
            </w:tcMar>
          </w:tcPr>
          <w:p w14:paraId="2FC04616" w14:textId="5BF102C2" w:rsidR="00142EB8" w:rsidRPr="0066121B" w:rsidRDefault="00142EB8" w:rsidP="00D34DB8">
            <w:pPr>
              <w:jc w:val="center"/>
              <w:rPr>
                <w:sz w:val="16"/>
                <w:szCs w:val="20"/>
              </w:rPr>
            </w:pPr>
            <w:r w:rsidRPr="0066121B">
              <w:rPr>
                <w:sz w:val="16"/>
                <w:szCs w:val="20"/>
              </w:rPr>
              <w:t>39,334 (12</w:t>
            </w:r>
            <w:r w:rsidR="00EA4945">
              <w:rPr>
                <w:sz w:val="16"/>
                <w:szCs w:val="16"/>
              </w:rPr>
              <w:t>.1</w:t>
            </w:r>
            <w:r w:rsidRPr="0066121B">
              <w:rPr>
                <w:sz w:val="16"/>
                <w:szCs w:val="20"/>
              </w:rPr>
              <w:t>%)</w:t>
            </w:r>
          </w:p>
        </w:tc>
      </w:tr>
      <w:tr w:rsidR="00C6114C" w:rsidRPr="0066121B" w14:paraId="289D9CCA" w14:textId="77777777" w:rsidTr="008F2CA3">
        <w:trPr>
          <w:trHeight w:hRule="exact" w:val="227"/>
        </w:trPr>
        <w:tc>
          <w:tcPr>
            <w:tcW w:w="2293" w:type="pct"/>
            <w:shd w:val="clear" w:color="auto" w:fill="FFFFFF" w:themeFill="background1"/>
            <w:tcMar>
              <w:left w:w="57" w:type="dxa"/>
              <w:right w:w="57" w:type="dxa"/>
            </w:tcMar>
          </w:tcPr>
          <w:p w14:paraId="7CAF57C7" w14:textId="710D6F63" w:rsidR="00142EB8" w:rsidRPr="0066121B" w:rsidRDefault="00142EB8" w:rsidP="00D34DB8">
            <w:pPr>
              <w:ind w:left="284"/>
              <w:jc w:val="left"/>
              <w:rPr>
                <w:rFonts w:cs="Arial"/>
                <w:i/>
                <w:sz w:val="16"/>
                <w:szCs w:val="20"/>
              </w:rPr>
            </w:pPr>
            <w:r w:rsidRPr="0066121B">
              <w:rPr>
                <w:rFonts w:cs="Arial"/>
                <w:i/>
                <w:sz w:val="16"/>
                <w:szCs w:val="20"/>
              </w:rPr>
              <w:t>&gt;50-≤75g/wk</w:t>
            </w:r>
            <w:r w:rsidR="00C92C0D">
              <w:rPr>
                <w:rFonts w:cs="Arial"/>
                <w:i/>
                <w:sz w:val="16"/>
                <w:szCs w:val="20"/>
              </w:rPr>
              <w:t>, n (%)</w:t>
            </w:r>
          </w:p>
        </w:tc>
        <w:tc>
          <w:tcPr>
            <w:tcW w:w="971" w:type="pct"/>
            <w:shd w:val="clear" w:color="auto" w:fill="FFFFFF" w:themeFill="background1"/>
            <w:tcMar>
              <w:left w:w="57" w:type="dxa"/>
              <w:right w:w="57" w:type="dxa"/>
            </w:tcMar>
          </w:tcPr>
          <w:p w14:paraId="6DC76BFF" w14:textId="66241183" w:rsidR="00142EB8" w:rsidRPr="0066121B" w:rsidRDefault="00142EB8" w:rsidP="00D34DB8">
            <w:pPr>
              <w:jc w:val="center"/>
              <w:rPr>
                <w:sz w:val="16"/>
                <w:szCs w:val="20"/>
              </w:rPr>
            </w:pPr>
            <w:r w:rsidRPr="0066121B">
              <w:rPr>
                <w:sz w:val="16"/>
                <w:szCs w:val="20"/>
              </w:rPr>
              <w:t>26,656 (</w:t>
            </w:r>
            <w:r w:rsidR="00EA4945">
              <w:rPr>
                <w:sz w:val="16"/>
                <w:szCs w:val="16"/>
              </w:rPr>
              <w:t>10.8</w:t>
            </w:r>
            <w:r w:rsidRPr="0066121B">
              <w:rPr>
                <w:sz w:val="16"/>
                <w:szCs w:val="20"/>
              </w:rPr>
              <w:t>%)</w:t>
            </w:r>
          </w:p>
        </w:tc>
        <w:tc>
          <w:tcPr>
            <w:tcW w:w="834" w:type="pct"/>
            <w:shd w:val="clear" w:color="auto" w:fill="FFFFFF" w:themeFill="background1"/>
            <w:tcMar>
              <w:left w:w="57" w:type="dxa"/>
              <w:right w:w="57" w:type="dxa"/>
            </w:tcMar>
          </w:tcPr>
          <w:p w14:paraId="1686F579" w14:textId="10C0C8CD" w:rsidR="00142EB8" w:rsidRPr="0066121B" w:rsidRDefault="00142EB8" w:rsidP="00D34DB8">
            <w:pPr>
              <w:jc w:val="center"/>
              <w:rPr>
                <w:sz w:val="16"/>
                <w:szCs w:val="20"/>
              </w:rPr>
            </w:pPr>
            <w:r w:rsidRPr="0066121B">
              <w:rPr>
                <w:sz w:val="16"/>
                <w:szCs w:val="20"/>
              </w:rPr>
              <w:t>2,748 (</w:t>
            </w:r>
            <w:r w:rsidR="00EA4945">
              <w:rPr>
                <w:sz w:val="16"/>
                <w:szCs w:val="16"/>
              </w:rPr>
              <w:t>10.6</w:t>
            </w:r>
            <w:r w:rsidRPr="0066121B">
              <w:rPr>
                <w:sz w:val="16"/>
                <w:szCs w:val="20"/>
              </w:rPr>
              <w:t>%)</w:t>
            </w:r>
          </w:p>
        </w:tc>
        <w:tc>
          <w:tcPr>
            <w:tcW w:w="901" w:type="pct"/>
            <w:shd w:val="clear" w:color="auto" w:fill="FFFFFF" w:themeFill="background1"/>
            <w:tcMar>
              <w:left w:w="57" w:type="dxa"/>
              <w:right w:w="57" w:type="dxa"/>
            </w:tcMar>
          </w:tcPr>
          <w:p w14:paraId="5283E2B8" w14:textId="0029B409" w:rsidR="00142EB8" w:rsidRPr="0066121B" w:rsidRDefault="00142EB8" w:rsidP="00D34DB8">
            <w:pPr>
              <w:jc w:val="center"/>
              <w:rPr>
                <w:sz w:val="16"/>
                <w:szCs w:val="20"/>
              </w:rPr>
            </w:pPr>
            <w:r w:rsidRPr="0066121B">
              <w:rPr>
                <w:sz w:val="16"/>
                <w:szCs w:val="20"/>
              </w:rPr>
              <w:t>42,907 (13</w:t>
            </w:r>
            <w:r w:rsidR="00EA4945">
              <w:rPr>
                <w:sz w:val="16"/>
                <w:szCs w:val="16"/>
              </w:rPr>
              <w:t>.2</w:t>
            </w:r>
            <w:r w:rsidRPr="0066121B">
              <w:rPr>
                <w:sz w:val="16"/>
                <w:szCs w:val="20"/>
              </w:rPr>
              <w:t>%)</w:t>
            </w:r>
          </w:p>
        </w:tc>
      </w:tr>
      <w:tr w:rsidR="00C6114C" w:rsidRPr="0066121B" w14:paraId="0DE34DE2" w14:textId="77777777" w:rsidTr="008F2CA3">
        <w:trPr>
          <w:trHeight w:hRule="exact" w:val="227"/>
        </w:trPr>
        <w:tc>
          <w:tcPr>
            <w:tcW w:w="2293" w:type="pct"/>
            <w:shd w:val="clear" w:color="auto" w:fill="FFFFFF" w:themeFill="background1"/>
            <w:tcMar>
              <w:left w:w="57" w:type="dxa"/>
              <w:right w:w="57" w:type="dxa"/>
            </w:tcMar>
          </w:tcPr>
          <w:p w14:paraId="4194B318" w14:textId="1B8B9D70" w:rsidR="00142EB8" w:rsidRPr="0066121B" w:rsidRDefault="00142EB8" w:rsidP="00D34DB8">
            <w:pPr>
              <w:ind w:left="284"/>
              <w:jc w:val="left"/>
              <w:rPr>
                <w:rFonts w:cs="Arial"/>
                <w:i/>
                <w:sz w:val="16"/>
                <w:szCs w:val="20"/>
              </w:rPr>
            </w:pPr>
            <w:r w:rsidRPr="0066121B">
              <w:rPr>
                <w:rFonts w:cs="Arial"/>
                <w:i/>
                <w:sz w:val="16"/>
                <w:szCs w:val="20"/>
              </w:rPr>
              <w:t>&gt;75-≤100g/wk</w:t>
            </w:r>
            <w:r w:rsidR="00C92C0D">
              <w:rPr>
                <w:rFonts w:cs="Arial"/>
                <w:i/>
                <w:sz w:val="16"/>
                <w:szCs w:val="20"/>
              </w:rPr>
              <w:t>, n (%)</w:t>
            </w:r>
          </w:p>
        </w:tc>
        <w:tc>
          <w:tcPr>
            <w:tcW w:w="971" w:type="pct"/>
            <w:shd w:val="clear" w:color="auto" w:fill="FFFFFF" w:themeFill="background1"/>
            <w:tcMar>
              <w:left w:w="57" w:type="dxa"/>
              <w:right w:w="57" w:type="dxa"/>
            </w:tcMar>
          </w:tcPr>
          <w:p w14:paraId="00A78507" w14:textId="5AEC8008" w:rsidR="00142EB8" w:rsidRPr="0066121B" w:rsidRDefault="00142EB8" w:rsidP="00D34DB8">
            <w:pPr>
              <w:jc w:val="center"/>
              <w:rPr>
                <w:sz w:val="16"/>
                <w:szCs w:val="20"/>
              </w:rPr>
            </w:pPr>
            <w:r w:rsidRPr="0066121B">
              <w:rPr>
                <w:sz w:val="16"/>
                <w:szCs w:val="20"/>
              </w:rPr>
              <w:t>16,557 (</w:t>
            </w:r>
            <w:r w:rsidR="00EA4945">
              <w:rPr>
                <w:sz w:val="16"/>
                <w:szCs w:val="16"/>
              </w:rPr>
              <w:t>6.</w:t>
            </w:r>
            <w:r w:rsidRPr="0066121B">
              <w:rPr>
                <w:sz w:val="16"/>
                <w:szCs w:val="20"/>
              </w:rPr>
              <w:t>7%)</w:t>
            </w:r>
          </w:p>
        </w:tc>
        <w:tc>
          <w:tcPr>
            <w:tcW w:w="834" w:type="pct"/>
            <w:shd w:val="clear" w:color="auto" w:fill="FFFFFF" w:themeFill="background1"/>
            <w:tcMar>
              <w:left w:w="57" w:type="dxa"/>
              <w:right w:w="57" w:type="dxa"/>
            </w:tcMar>
          </w:tcPr>
          <w:p w14:paraId="35A700D6" w14:textId="3DF886AE" w:rsidR="00142EB8" w:rsidRPr="0066121B" w:rsidRDefault="00142EB8" w:rsidP="00D34DB8">
            <w:pPr>
              <w:jc w:val="center"/>
              <w:rPr>
                <w:sz w:val="16"/>
                <w:szCs w:val="20"/>
              </w:rPr>
            </w:pPr>
            <w:r w:rsidRPr="0066121B">
              <w:rPr>
                <w:sz w:val="16"/>
                <w:szCs w:val="20"/>
              </w:rPr>
              <w:t>2,446 (9</w:t>
            </w:r>
            <w:r w:rsidR="00EA4945">
              <w:rPr>
                <w:sz w:val="16"/>
                <w:szCs w:val="16"/>
              </w:rPr>
              <w:t>.4</w:t>
            </w:r>
            <w:r w:rsidRPr="0066121B">
              <w:rPr>
                <w:sz w:val="16"/>
                <w:szCs w:val="20"/>
              </w:rPr>
              <w:t>%)</w:t>
            </w:r>
          </w:p>
        </w:tc>
        <w:tc>
          <w:tcPr>
            <w:tcW w:w="901" w:type="pct"/>
            <w:shd w:val="clear" w:color="auto" w:fill="FFFFFF" w:themeFill="background1"/>
            <w:tcMar>
              <w:left w:w="57" w:type="dxa"/>
              <w:right w:w="57" w:type="dxa"/>
            </w:tcMar>
          </w:tcPr>
          <w:p w14:paraId="62D7DA6C" w14:textId="025385ED" w:rsidR="00142EB8" w:rsidRPr="0066121B" w:rsidRDefault="00142EB8" w:rsidP="00D34DB8">
            <w:pPr>
              <w:jc w:val="center"/>
              <w:rPr>
                <w:sz w:val="16"/>
                <w:szCs w:val="20"/>
              </w:rPr>
            </w:pPr>
            <w:r w:rsidRPr="0066121B">
              <w:rPr>
                <w:sz w:val="16"/>
                <w:szCs w:val="20"/>
              </w:rPr>
              <w:t>36,780 (11</w:t>
            </w:r>
            <w:r w:rsidR="00EA4945">
              <w:rPr>
                <w:sz w:val="16"/>
                <w:szCs w:val="16"/>
              </w:rPr>
              <w:t>.3</w:t>
            </w:r>
            <w:r w:rsidRPr="0066121B">
              <w:rPr>
                <w:sz w:val="16"/>
                <w:szCs w:val="20"/>
              </w:rPr>
              <w:t>%)</w:t>
            </w:r>
          </w:p>
        </w:tc>
      </w:tr>
      <w:tr w:rsidR="00C6114C" w:rsidRPr="0066121B" w14:paraId="0E493344" w14:textId="77777777" w:rsidTr="008F2CA3">
        <w:trPr>
          <w:trHeight w:hRule="exact" w:val="227"/>
        </w:trPr>
        <w:tc>
          <w:tcPr>
            <w:tcW w:w="2293" w:type="pct"/>
            <w:shd w:val="clear" w:color="auto" w:fill="FFFFFF" w:themeFill="background1"/>
            <w:tcMar>
              <w:left w:w="57" w:type="dxa"/>
              <w:right w:w="57" w:type="dxa"/>
            </w:tcMar>
          </w:tcPr>
          <w:p w14:paraId="642F991D" w14:textId="61459266" w:rsidR="00142EB8" w:rsidRPr="0066121B" w:rsidRDefault="00142EB8" w:rsidP="00D34DB8">
            <w:pPr>
              <w:ind w:left="284"/>
              <w:jc w:val="left"/>
              <w:rPr>
                <w:rFonts w:cs="Arial"/>
                <w:i/>
                <w:sz w:val="16"/>
                <w:szCs w:val="20"/>
              </w:rPr>
            </w:pPr>
            <w:r w:rsidRPr="0066121B">
              <w:rPr>
                <w:rFonts w:cs="Arial"/>
                <w:i/>
                <w:sz w:val="16"/>
                <w:szCs w:val="20"/>
              </w:rPr>
              <w:t>&gt;100-≤150g/wk</w:t>
            </w:r>
            <w:r w:rsidR="00C92C0D">
              <w:rPr>
                <w:rFonts w:cs="Arial"/>
                <w:i/>
                <w:sz w:val="16"/>
                <w:szCs w:val="20"/>
              </w:rPr>
              <w:t>, n (%)</w:t>
            </w:r>
          </w:p>
        </w:tc>
        <w:tc>
          <w:tcPr>
            <w:tcW w:w="971" w:type="pct"/>
            <w:shd w:val="clear" w:color="auto" w:fill="FFFFFF" w:themeFill="background1"/>
            <w:tcMar>
              <w:left w:w="57" w:type="dxa"/>
              <w:right w:w="57" w:type="dxa"/>
            </w:tcMar>
          </w:tcPr>
          <w:p w14:paraId="1111C85A" w14:textId="4EE41DC3" w:rsidR="00142EB8" w:rsidRPr="0066121B" w:rsidRDefault="00142EB8" w:rsidP="00D34DB8">
            <w:pPr>
              <w:jc w:val="center"/>
              <w:rPr>
                <w:sz w:val="16"/>
                <w:szCs w:val="20"/>
              </w:rPr>
            </w:pPr>
            <w:r w:rsidRPr="0066121B">
              <w:rPr>
                <w:sz w:val="16"/>
                <w:szCs w:val="20"/>
              </w:rPr>
              <w:t>36,236 (</w:t>
            </w:r>
            <w:r w:rsidR="00EA4945">
              <w:rPr>
                <w:sz w:val="16"/>
                <w:szCs w:val="16"/>
              </w:rPr>
              <w:t>14.6</w:t>
            </w:r>
            <w:r w:rsidRPr="0066121B">
              <w:rPr>
                <w:sz w:val="16"/>
                <w:szCs w:val="20"/>
              </w:rPr>
              <w:t>%)</w:t>
            </w:r>
          </w:p>
        </w:tc>
        <w:tc>
          <w:tcPr>
            <w:tcW w:w="834" w:type="pct"/>
            <w:shd w:val="clear" w:color="auto" w:fill="FFFFFF" w:themeFill="background1"/>
            <w:tcMar>
              <w:left w:w="57" w:type="dxa"/>
              <w:right w:w="57" w:type="dxa"/>
            </w:tcMar>
          </w:tcPr>
          <w:p w14:paraId="723FDDDD" w14:textId="59143DEA" w:rsidR="00142EB8" w:rsidRPr="0066121B" w:rsidRDefault="00142EB8" w:rsidP="00D34DB8">
            <w:pPr>
              <w:jc w:val="center"/>
              <w:rPr>
                <w:sz w:val="16"/>
                <w:szCs w:val="20"/>
              </w:rPr>
            </w:pPr>
            <w:r w:rsidRPr="0066121B">
              <w:rPr>
                <w:sz w:val="16"/>
                <w:szCs w:val="20"/>
              </w:rPr>
              <w:t>2,602 (10</w:t>
            </w:r>
            <w:r w:rsidR="00EA4945">
              <w:rPr>
                <w:sz w:val="16"/>
                <w:szCs w:val="16"/>
              </w:rPr>
              <w:t>.0</w:t>
            </w:r>
            <w:r w:rsidRPr="0066121B">
              <w:rPr>
                <w:sz w:val="16"/>
                <w:szCs w:val="20"/>
              </w:rPr>
              <w:t>%)</w:t>
            </w:r>
          </w:p>
        </w:tc>
        <w:tc>
          <w:tcPr>
            <w:tcW w:w="901" w:type="pct"/>
            <w:shd w:val="clear" w:color="auto" w:fill="FFFFFF" w:themeFill="background1"/>
            <w:tcMar>
              <w:left w:w="57" w:type="dxa"/>
              <w:right w:w="57" w:type="dxa"/>
            </w:tcMar>
          </w:tcPr>
          <w:p w14:paraId="172F57D5" w14:textId="789828AC" w:rsidR="00142EB8" w:rsidRPr="0066121B" w:rsidRDefault="00142EB8" w:rsidP="00D34DB8">
            <w:pPr>
              <w:jc w:val="center"/>
              <w:rPr>
                <w:sz w:val="16"/>
                <w:szCs w:val="20"/>
              </w:rPr>
            </w:pPr>
            <w:r w:rsidRPr="0066121B">
              <w:rPr>
                <w:sz w:val="16"/>
                <w:szCs w:val="20"/>
              </w:rPr>
              <w:t>55,815 (17</w:t>
            </w:r>
            <w:r w:rsidR="00EA4945">
              <w:rPr>
                <w:sz w:val="16"/>
                <w:szCs w:val="16"/>
              </w:rPr>
              <w:t>.1</w:t>
            </w:r>
            <w:r w:rsidRPr="0066121B">
              <w:rPr>
                <w:sz w:val="16"/>
                <w:szCs w:val="20"/>
              </w:rPr>
              <w:t>%)</w:t>
            </w:r>
          </w:p>
        </w:tc>
      </w:tr>
      <w:tr w:rsidR="00C6114C" w:rsidRPr="0066121B" w14:paraId="685658FB" w14:textId="77777777" w:rsidTr="008F2CA3">
        <w:trPr>
          <w:trHeight w:hRule="exact" w:val="227"/>
        </w:trPr>
        <w:tc>
          <w:tcPr>
            <w:tcW w:w="2293" w:type="pct"/>
            <w:shd w:val="clear" w:color="auto" w:fill="FFFFFF" w:themeFill="background1"/>
            <w:tcMar>
              <w:left w:w="57" w:type="dxa"/>
              <w:right w:w="57" w:type="dxa"/>
            </w:tcMar>
          </w:tcPr>
          <w:p w14:paraId="2940639D" w14:textId="286210AB" w:rsidR="00142EB8" w:rsidRPr="0066121B" w:rsidRDefault="00142EB8" w:rsidP="00D34DB8">
            <w:pPr>
              <w:ind w:left="284"/>
              <w:jc w:val="left"/>
              <w:rPr>
                <w:rFonts w:cs="Arial"/>
                <w:i/>
                <w:sz w:val="16"/>
                <w:szCs w:val="20"/>
              </w:rPr>
            </w:pPr>
            <w:r w:rsidRPr="0066121B">
              <w:rPr>
                <w:rFonts w:cs="Arial"/>
                <w:i/>
                <w:sz w:val="16"/>
                <w:szCs w:val="20"/>
              </w:rPr>
              <w:t>&gt;150-≤250g/wk</w:t>
            </w:r>
            <w:r w:rsidR="00C92C0D">
              <w:rPr>
                <w:rFonts w:cs="Arial"/>
                <w:i/>
                <w:sz w:val="16"/>
                <w:szCs w:val="20"/>
              </w:rPr>
              <w:t>, n (%)</w:t>
            </w:r>
          </w:p>
        </w:tc>
        <w:tc>
          <w:tcPr>
            <w:tcW w:w="971" w:type="pct"/>
            <w:shd w:val="clear" w:color="auto" w:fill="FFFFFF" w:themeFill="background1"/>
            <w:tcMar>
              <w:left w:w="57" w:type="dxa"/>
              <w:right w:w="57" w:type="dxa"/>
            </w:tcMar>
          </w:tcPr>
          <w:p w14:paraId="263A4272" w14:textId="2056B202" w:rsidR="00142EB8" w:rsidRPr="0066121B" w:rsidRDefault="00142EB8" w:rsidP="00D34DB8">
            <w:pPr>
              <w:jc w:val="center"/>
              <w:rPr>
                <w:sz w:val="16"/>
                <w:szCs w:val="20"/>
              </w:rPr>
            </w:pPr>
            <w:r w:rsidRPr="0066121B">
              <w:rPr>
                <w:sz w:val="16"/>
                <w:szCs w:val="20"/>
              </w:rPr>
              <w:t>31,645 (</w:t>
            </w:r>
            <w:r w:rsidR="00EA4945">
              <w:rPr>
                <w:sz w:val="16"/>
                <w:szCs w:val="16"/>
              </w:rPr>
              <w:t>12.8</w:t>
            </w:r>
            <w:r w:rsidRPr="0066121B">
              <w:rPr>
                <w:sz w:val="16"/>
                <w:szCs w:val="20"/>
              </w:rPr>
              <w:t>%)</w:t>
            </w:r>
          </w:p>
        </w:tc>
        <w:tc>
          <w:tcPr>
            <w:tcW w:w="834" w:type="pct"/>
            <w:shd w:val="clear" w:color="auto" w:fill="FFFFFF" w:themeFill="background1"/>
            <w:tcMar>
              <w:left w:w="57" w:type="dxa"/>
              <w:right w:w="57" w:type="dxa"/>
            </w:tcMar>
          </w:tcPr>
          <w:p w14:paraId="2413E309" w14:textId="38F7CD58" w:rsidR="00142EB8" w:rsidRPr="0066121B" w:rsidRDefault="00142EB8" w:rsidP="00D34DB8">
            <w:pPr>
              <w:jc w:val="center"/>
              <w:rPr>
                <w:sz w:val="16"/>
                <w:szCs w:val="20"/>
              </w:rPr>
            </w:pPr>
            <w:r w:rsidRPr="0066121B">
              <w:rPr>
                <w:sz w:val="16"/>
                <w:szCs w:val="20"/>
              </w:rPr>
              <w:t>3,090 (</w:t>
            </w:r>
            <w:r w:rsidR="00EA4945">
              <w:rPr>
                <w:sz w:val="16"/>
                <w:szCs w:val="16"/>
              </w:rPr>
              <w:t>11.9</w:t>
            </w:r>
            <w:r w:rsidRPr="0066121B">
              <w:rPr>
                <w:sz w:val="16"/>
                <w:szCs w:val="20"/>
              </w:rPr>
              <w:t>%)</w:t>
            </w:r>
          </w:p>
        </w:tc>
        <w:tc>
          <w:tcPr>
            <w:tcW w:w="901" w:type="pct"/>
            <w:shd w:val="clear" w:color="auto" w:fill="FFFFFF" w:themeFill="background1"/>
            <w:tcMar>
              <w:left w:w="57" w:type="dxa"/>
              <w:right w:w="57" w:type="dxa"/>
            </w:tcMar>
          </w:tcPr>
          <w:p w14:paraId="29F99F05" w14:textId="1D613F36" w:rsidR="00142EB8" w:rsidRPr="0066121B" w:rsidRDefault="00142EB8" w:rsidP="00D34DB8">
            <w:pPr>
              <w:jc w:val="center"/>
              <w:rPr>
                <w:sz w:val="16"/>
                <w:szCs w:val="20"/>
              </w:rPr>
            </w:pPr>
            <w:r w:rsidRPr="0066121B">
              <w:rPr>
                <w:sz w:val="16"/>
                <w:szCs w:val="20"/>
              </w:rPr>
              <w:t>60,025 (18</w:t>
            </w:r>
            <w:r w:rsidR="00EA4945">
              <w:rPr>
                <w:sz w:val="16"/>
                <w:szCs w:val="16"/>
              </w:rPr>
              <w:t>.4</w:t>
            </w:r>
            <w:r w:rsidRPr="0066121B">
              <w:rPr>
                <w:sz w:val="16"/>
                <w:szCs w:val="20"/>
              </w:rPr>
              <w:t>%)</w:t>
            </w:r>
          </w:p>
        </w:tc>
      </w:tr>
      <w:tr w:rsidR="00C6114C" w:rsidRPr="0066121B" w14:paraId="27F84E46" w14:textId="77777777" w:rsidTr="008F2CA3">
        <w:trPr>
          <w:trHeight w:hRule="exact" w:val="227"/>
        </w:trPr>
        <w:tc>
          <w:tcPr>
            <w:tcW w:w="2293" w:type="pct"/>
            <w:shd w:val="clear" w:color="auto" w:fill="FFFFFF" w:themeFill="background1"/>
            <w:tcMar>
              <w:left w:w="57" w:type="dxa"/>
              <w:right w:w="57" w:type="dxa"/>
            </w:tcMar>
          </w:tcPr>
          <w:p w14:paraId="53A0910A" w14:textId="1C9152FF" w:rsidR="00142EB8" w:rsidRPr="0066121B" w:rsidRDefault="00142EB8" w:rsidP="00D34DB8">
            <w:pPr>
              <w:ind w:left="284"/>
              <w:jc w:val="left"/>
              <w:rPr>
                <w:rFonts w:cs="Arial"/>
                <w:i/>
                <w:sz w:val="16"/>
                <w:szCs w:val="20"/>
              </w:rPr>
            </w:pPr>
            <w:r w:rsidRPr="0066121B">
              <w:rPr>
                <w:rFonts w:cs="Arial"/>
                <w:i/>
                <w:sz w:val="16"/>
                <w:szCs w:val="20"/>
              </w:rPr>
              <w:t>&gt;250-≤350g/wk</w:t>
            </w:r>
            <w:r w:rsidR="00C92C0D">
              <w:rPr>
                <w:rFonts w:cs="Arial"/>
                <w:i/>
                <w:sz w:val="16"/>
                <w:szCs w:val="20"/>
              </w:rPr>
              <w:t>, n (%)</w:t>
            </w:r>
          </w:p>
        </w:tc>
        <w:tc>
          <w:tcPr>
            <w:tcW w:w="971" w:type="pct"/>
            <w:shd w:val="clear" w:color="auto" w:fill="FFFFFF" w:themeFill="background1"/>
            <w:tcMar>
              <w:left w:w="57" w:type="dxa"/>
              <w:right w:w="57" w:type="dxa"/>
            </w:tcMar>
          </w:tcPr>
          <w:p w14:paraId="51E91023" w14:textId="158D81E9" w:rsidR="00142EB8" w:rsidRPr="0066121B" w:rsidRDefault="00142EB8" w:rsidP="00D34DB8">
            <w:pPr>
              <w:jc w:val="center"/>
              <w:rPr>
                <w:sz w:val="16"/>
                <w:szCs w:val="20"/>
              </w:rPr>
            </w:pPr>
            <w:r w:rsidRPr="0066121B">
              <w:rPr>
                <w:sz w:val="16"/>
                <w:szCs w:val="20"/>
              </w:rPr>
              <w:t>23,607 (</w:t>
            </w:r>
            <w:r w:rsidR="00EA4945">
              <w:rPr>
                <w:sz w:val="16"/>
                <w:szCs w:val="16"/>
              </w:rPr>
              <w:t>9.5</w:t>
            </w:r>
            <w:r w:rsidRPr="0066121B">
              <w:rPr>
                <w:sz w:val="16"/>
                <w:szCs w:val="20"/>
              </w:rPr>
              <w:t>%)</w:t>
            </w:r>
          </w:p>
        </w:tc>
        <w:tc>
          <w:tcPr>
            <w:tcW w:w="834" w:type="pct"/>
            <w:shd w:val="clear" w:color="auto" w:fill="FFFFFF" w:themeFill="background1"/>
            <w:tcMar>
              <w:left w:w="57" w:type="dxa"/>
              <w:right w:w="57" w:type="dxa"/>
            </w:tcMar>
          </w:tcPr>
          <w:p w14:paraId="751CF0F1" w14:textId="686B881C" w:rsidR="00142EB8" w:rsidRPr="0066121B" w:rsidRDefault="00142EB8" w:rsidP="00D34DB8">
            <w:pPr>
              <w:jc w:val="center"/>
              <w:rPr>
                <w:sz w:val="16"/>
                <w:szCs w:val="20"/>
              </w:rPr>
            </w:pPr>
            <w:r w:rsidRPr="0066121B">
              <w:rPr>
                <w:sz w:val="16"/>
                <w:szCs w:val="20"/>
              </w:rPr>
              <w:t>1,744 (</w:t>
            </w:r>
            <w:r w:rsidR="00EA4945">
              <w:rPr>
                <w:sz w:val="16"/>
                <w:szCs w:val="16"/>
              </w:rPr>
              <w:t>6.</w:t>
            </w:r>
            <w:r w:rsidRPr="0066121B">
              <w:rPr>
                <w:sz w:val="16"/>
                <w:szCs w:val="20"/>
              </w:rPr>
              <w:t>7%)</w:t>
            </w:r>
          </w:p>
        </w:tc>
        <w:tc>
          <w:tcPr>
            <w:tcW w:w="901" w:type="pct"/>
            <w:shd w:val="clear" w:color="auto" w:fill="FFFFFF" w:themeFill="background1"/>
            <w:tcMar>
              <w:left w:w="57" w:type="dxa"/>
              <w:right w:w="57" w:type="dxa"/>
            </w:tcMar>
          </w:tcPr>
          <w:p w14:paraId="725452C5" w14:textId="00517BE2" w:rsidR="00142EB8" w:rsidRPr="0066121B" w:rsidRDefault="00142EB8" w:rsidP="00D34DB8">
            <w:pPr>
              <w:jc w:val="center"/>
              <w:rPr>
                <w:sz w:val="16"/>
                <w:szCs w:val="20"/>
              </w:rPr>
            </w:pPr>
            <w:r w:rsidRPr="0066121B">
              <w:rPr>
                <w:sz w:val="16"/>
                <w:szCs w:val="20"/>
              </w:rPr>
              <w:t>26,669 (8</w:t>
            </w:r>
            <w:r w:rsidR="00EA4945">
              <w:rPr>
                <w:sz w:val="16"/>
                <w:szCs w:val="16"/>
              </w:rPr>
              <w:t>.2</w:t>
            </w:r>
            <w:r w:rsidRPr="0066121B">
              <w:rPr>
                <w:sz w:val="16"/>
                <w:szCs w:val="20"/>
              </w:rPr>
              <w:t>%)</w:t>
            </w:r>
          </w:p>
        </w:tc>
      </w:tr>
      <w:tr w:rsidR="00C6114C" w:rsidRPr="0066121B" w14:paraId="30E8EB68" w14:textId="77777777" w:rsidTr="008F2CA3">
        <w:trPr>
          <w:trHeight w:hRule="exact" w:val="227"/>
        </w:trPr>
        <w:tc>
          <w:tcPr>
            <w:tcW w:w="2293" w:type="pct"/>
            <w:shd w:val="clear" w:color="auto" w:fill="FFFFFF" w:themeFill="background1"/>
            <w:tcMar>
              <w:left w:w="57" w:type="dxa"/>
              <w:right w:w="57" w:type="dxa"/>
            </w:tcMar>
          </w:tcPr>
          <w:p w14:paraId="7BDF8CE5" w14:textId="033B4733" w:rsidR="00142EB8" w:rsidRPr="0066121B" w:rsidRDefault="00142EB8" w:rsidP="00D34DB8">
            <w:pPr>
              <w:ind w:left="284"/>
              <w:jc w:val="left"/>
              <w:rPr>
                <w:rFonts w:cs="Arial"/>
                <w:i/>
                <w:sz w:val="16"/>
                <w:szCs w:val="20"/>
              </w:rPr>
            </w:pPr>
            <w:r w:rsidRPr="0066121B">
              <w:rPr>
                <w:rFonts w:cs="Arial"/>
                <w:i/>
                <w:sz w:val="16"/>
                <w:szCs w:val="20"/>
              </w:rPr>
              <w:t>≥350g/wk</w:t>
            </w:r>
            <w:r w:rsidR="00C92C0D">
              <w:rPr>
                <w:rFonts w:cs="Arial"/>
                <w:i/>
                <w:sz w:val="16"/>
                <w:szCs w:val="20"/>
              </w:rPr>
              <w:t>, n (%)</w:t>
            </w:r>
          </w:p>
        </w:tc>
        <w:tc>
          <w:tcPr>
            <w:tcW w:w="971" w:type="pct"/>
            <w:shd w:val="clear" w:color="auto" w:fill="FFFFFF" w:themeFill="background1"/>
            <w:tcMar>
              <w:left w:w="57" w:type="dxa"/>
              <w:right w:w="57" w:type="dxa"/>
            </w:tcMar>
          </w:tcPr>
          <w:p w14:paraId="4A2D399B" w14:textId="510A3B2F" w:rsidR="00142EB8" w:rsidRPr="0066121B" w:rsidRDefault="00142EB8" w:rsidP="00D34DB8">
            <w:pPr>
              <w:jc w:val="center"/>
              <w:rPr>
                <w:sz w:val="16"/>
                <w:szCs w:val="20"/>
              </w:rPr>
            </w:pPr>
            <w:r w:rsidRPr="0066121B">
              <w:rPr>
                <w:sz w:val="16"/>
                <w:szCs w:val="20"/>
              </w:rPr>
              <w:t>25,432 (10</w:t>
            </w:r>
            <w:r w:rsidR="00EA4945">
              <w:rPr>
                <w:sz w:val="16"/>
                <w:szCs w:val="20"/>
              </w:rPr>
              <w:t>.3</w:t>
            </w:r>
            <w:r w:rsidRPr="0066121B">
              <w:rPr>
                <w:sz w:val="16"/>
                <w:szCs w:val="20"/>
              </w:rPr>
              <w:t>%)</w:t>
            </w:r>
          </w:p>
        </w:tc>
        <w:tc>
          <w:tcPr>
            <w:tcW w:w="834" w:type="pct"/>
            <w:shd w:val="clear" w:color="auto" w:fill="FFFFFF" w:themeFill="background1"/>
            <w:tcMar>
              <w:left w:w="57" w:type="dxa"/>
              <w:right w:w="57" w:type="dxa"/>
            </w:tcMar>
          </w:tcPr>
          <w:p w14:paraId="4407D86F" w14:textId="70BD926C" w:rsidR="00142EB8" w:rsidRPr="0066121B" w:rsidRDefault="00142EB8" w:rsidP="00D34DB8">
            <w:pPr>
              <w:jc w:val="center"/>
              <w:rPr>
                <w:sz w:val="16"/>
                <w:szCs w:val="20"/>
              </w:rPr>
            </w:pPr>
            <w:r w:rsidRPr="0066121B">
              <w:rPr>
                <w:sz w:val="16"/>
                <w:szCs w:val="20"/>
              </w:rPr>
              <w:t>1,796 (</w:t>
            </w:r>
            <w:r w:rsidR="00EA4945">
              <w:rPr>
                <w:sz w:val="16"/>
                <w:szCs w:val="16"/>
              </w:rPr>
              <w:t>6.9</w:t>
            </w:r>
            <w:r w:rsidRPr="0066121B">
              <w:rPr>
                <w:sz w:val="16"/>
                <w:szCs w:val="20"/>
              </w:rPr>
              <w:t>%)</w:t>
            </w:r>
          </w:p>
        </w:tc>
        <w:tc>
          <w:tcPr>
            <w:tcW w:w="901" w:type="pct"/>
            <w:shd w:val="clear" w:color="auto" w:fill="FFFFFF" w:themeFill="background1"/>
            <w:tcMar>
              <w:left w:w="57" w:type="dxa"/>
              <w:right w:w="57" w:type="dxa"/>
            </w:tcMar>
          </w:tcPr>
          <w:p w14:paraId="7C06EE17" w14:textId="33A71DB7" w:rsidR="00142EB8" w:rsidRPr="0066121B" w:rsidRDefault="00142EB8" w:rsidP="00D34DB8">
            <w:pPr>
              <w:jc w:val="center"/>
              <w:rPr>
                <w:sz w:val="16"/>
                <w:szCs w:val="20"/>
              </w:rPr>
            </w:pPr>
            <w:r w:rsidRPr="0066121B">
              <w:rPr>
                <w:sz w:val="16"/>
                <w:szCs w:val="20"/>
              </w:rPr>
              <w:t>25,201 (</w:t>
            </w:r>
            <w:r w:rsidR="00EA4945">
              <w:rPr>
                <w:sz w:val="16"/>
                <w:szCs w:val="16"/>
              </w:rPr>
              <w:t>7.7</w:t>
            </w:r>
            <w:r w:rsidRPr="0066121B">
              <w:rPr>
                <w:sz w:val="16"/>
                <w:szCs w:val="20"/>
              </w:rPr>
              <w:t>%)</w:t>
            </w:r>
          </w:p>
        </w:tc>
      </w:tr>
      <w:tr w:rsidR="00142EB8" w:rsidRPr="0066121B" w14:paraId="5C8C4FDE" w14:textId="77777777" w:rsidTr="00BD01E3">
        <w:trPr>
          <w:trHeight w:hRule="exact" w:val="227"/>
        </w:trPr>
        <w:tc>
          <w:tcPr>
            <w:tcW w:w="5000" w:type="pct"/>
            <w:gridSpan w:val="4"/>
            <w:tcMar>
              <w:left w:w="57" w:type="dxa"/>
              <w:right w:w="57" w:type="dxa"/>
            </w:tcMar>
          </w:tcPr>
          <w:p w14:paraId="729BC2C7" w14:textId="77777777" w:rsidR="00142EB8" w:rsidRPr="0066121B" w:rsidRDefault="00142EB8" w:rsidP="00D34DB8">
            <w:pPr>
              <w:jc w:val="left"/>
              <w:rPr>
                <w:b/>
                <w:sz w:val="16"/>
                <w:szCs w:val="20"/>
              </w:rPr>
            </w:pPr>
            <w:r w:rsidRPr="0066121B">
              <w:rPr>
                <w:rFonts w:cs="Arial"/>
                <w:b/>
                <w:sz w:val="16"/>
                <w:szCs w:val="20"/>
              </w:rPr>
              <w:t>Characteristics restricted to current drinkers</w:t>
            </w:r>
          </w:p>
        </w:tc>
      </w:tr>
      <w:tr w:rsidR="00C6114C" w:rsidRPr="0066121B" w14:paraId="74ABF7B6" w14:textId="77777777" w:rsidTr="008F2CA3">
        <w:trPr>
          <w:trHeight w:hRule="exact" w:val="290"/>
        </w:trPr>
        <w:tc>
          <w:tcPr>
            <w:tcW w:w="2293" w:type="pct"/>
            <w:shd w:val="clear" w:color="auto" w:fill="FFFFFF" w:themeFill="background1"/>
            <w:tcMar>
              <w:left w:w="57" w:type="dxa"/>
              <w:right w:w="57" w:type="dxa"/>
            </w:tcMar>
          </w:tcPr>
          <w:p w14:paraId="70900FC4" w14:textId="57BEF101" w:rsidR="008D0BDA" w:rsidRPr="0066121B" w:rsidRDefault="008D0BDA" w:rsidP="00D34DB8">
            <w:pPr>
              <w:jc w:val="left"/>
              <w:rPr>
                <w:rFonts w:cs="Arial"/>
                <w:sz w:val="16"/>
                <w:szCs w:val="20"/>
              </w:rPr>
            </w:pPr>
            <w:r>
              <w:rPr>
                <w:rFonts w:cs="Arial"/>
                <w:sz w:val="16"/>
                <w:szCs w:val="20"/>
              </w:rPr>
              <w:t>Alcohol consumption g/wk, median (5-95</w:t>
            </w:r>
            <w:r w:rsidRPr="008D0BDA">
              <w:rPr>
                <w:rFonts w:cs="Arial"/>
                <w:sz w:val="16"/>
                <w:szCs w:val="20"/>
                <w:vertAlign w:val="superscript"/>
              </w:rPr>
              <w:t>th</w:t>
            </w:r>
            <w:r>
              <w:rPr>
                <w:rFonts w:cs="Arial"/>
                <w:sz w:val="16"/>
                <w:szCs w:val="20"/>
              </w:rPr>
              <w:t xml:space="preserve"> percentiles)</w:t>
            </w:r>
          </w:p>
        </w:tc>
        <w:tc>
          <w:tcPr>
            <w:tcW w:w="971" w:type="pct"/>
            <w:shd w:val="clear" w:color="auto" w:fill="FFFFFF" w:themeFill="background1"/>
            <w:tcMar>
              <w:left w:w="57" w:type="dxa"/>
              <w:right w:w="57" w:type="dxa"/>
            </w:tcMar>
          </w:tcPr>
          <w:p w14:paraId="61B9B721" w14:textId="2D2BBF49" w:rsidR="008D0BDA" w:rsidRPr="0066121B" w:rsidRDefault="00EA4945" w:rsidP="00D34DB8">
            <w:pPr>
              <w:jc w:val="center"/>
              <w:rPr>
                <w:sz w:val="16"/>
                <w:szCs w:val="20"/>
              </w:rPr>
            </w:pPr>
            <w:r>
              <w:rPr>
                <w:sz w:val="16"/>
                <w:szCs w:val="16"/>
              </w:rPr>
              <w:t>87.7</w:t>
            </w:r>
            <w:r w:rsidR="00F451DE">
              <w:rPr>
                <w:sz w:val="16"/>
                <w:szCs w:val="20"/>
              </w:rPr>
              <w:t xml:space="preserve"> (2</w:t>
            </w:r>
            <w:r>
              <w:rPr>
                <w:sz w:val="16"/>
                <w:szCs w:val="16"/>
              </w:rPr>
              <w:t>.2</w:t>
            </w:r>
            <w:r w:rsidR="00F451DE">
              <w:rPr>
                <w:sz w:val="16"/>
                <w:szCs w:val="20"/>
              </w:rPr>
              <w:t>-522</w:t>
            </w:r>
            <w:r>
              <w:rPr>
                <w:sz w:val="16"/>
                <w:szCs w:val="16"/>
              </w:rPr>
              <w:t>.4</w:t>
            </w:r>
            <w:r w:rsidR="00F451DE">
              <w:rPr>
                <w:sz w:val="16"/>
                <w:szCs w:val="20"/>
              </w:rPr>
              <w:t>)</w:t>
            </w:r>
          </w:p>
        </w:tc>
        <w:tc>
          <w:tcPr>
            <w:tcW w:w="834" w:type="pct"/>
            <w:shd w:val="clear" w:color="auto" w:fill="FFFFFF" w:themeFill="background1"/>
            <w:tcMar>
              <w:left w:w="57" w:type="dxa"/>
              <w:right w:w="57" w:type="dxa"/>
            </w:tcMar>
          </w:tcPr>
          <w:p w14:paraId="2CB3609B" w14:textId="60DDCC19" w:rsidR="008D0BDA" w:rsidRPr="0066121B" w:rsidRDefault="00F451DE" w:rsidP="00D34DB8">
            <w:pPr>
              <w:jc w:val="center"/>
              <w:rPr>
                <w:sz w:val="16"/>
                <w:szCs w:val="20"/>
              </w:rPr>
            </w:pPr>
            <w:r>
              <w:rPr>
                <w:sz w:val="16"/>
                <w:szCs w:val="20"/>
              </w:rPr>
              <w:t>61</w:t>
            </w:r>
            <w:r w:rsidR="00EA4945">
              <w:rPr>
                <w:sz w:val="16"/>
                <w:szCs w:val="16"/>
              </w:rPr>
              <w:t>.9</w:t>
            </w:r>
            <w:r>
              <w:rPr>
                <w:sz w:val="16"/>
                <w:szCs w:val="20"/>
              </w:rPr>
              <w:t xml:space="preserve"> (2</w:t>
            </w:r>
            <w:r w:rsidR="00EA4945">
              <w:rPr>
                <w:sz w:val="16"/>
                <w:szCs w:val="16"/>
              </w:rPr>
              <w:t>.6</w:t>
            </w:r>
            <w:r>
              <w:rPr>
                <w:sz w:val="16"/>
                <w:szCs w:val="20"/>
              </w:rPr>
              <w:t>-404</w:t>
            </w:r>
            <w:r w:rsidR="00EA4945">
              <w:rPr>
                <w:sz w:val="16"/>
                <w:szCs w:val="16"/>
              </w:rPr>
              <w:t>.0</w:t>
            </w:r>
            <w:r>
              <w:rPr>
                <w:sz w:val="16"/>
                <w:szCs w:val="20"/>
              </w:rPr>
              <w:t>)</w:t>
            </w:r>
          </w:p>
        </w:tc>
        <w:tc>
          <w:tcPr>
            <w:tcW w:w="901" w:type="pct"/>
            <w:shd w:val="clear" w:color="auto" w:fill="FFFFFF" w:themeFill="background1"/>
            <w:tcMar>
              <w:left w:w="57" w:type="dxa"/>
              <w:right w:w="57" w:type="dxa"/>
            </w:tcMar>
          </w:tcPr>
          <w:p w14:paraId="788DD832" w14:textId="02562A24" w:rsidR="008D0BDA" w:rsidRPr="0066121B" w:rsidRDefault="00EA4945" w:rsidP="00D34DB8">
            <w:pPr>
              <w:jc w:val="center"/>
              <w:rPr>
                <w:sz w:val="16"/>
                <w:szCs w:val="20"/>
              </w:rPr>
            </w:pPr>
            <w:r>
              <w:rPr>
                <w:sz w:val="16"/>
                <w:szCs w:val="16"/>
              </w:rPr>
              <w:t>103.9 (11.8</w:t>
            </w:r>
            <w:r w:rsidR="00F451DE">
              <w:rPr>
                <w:sz w:val="16"/>
                <w:szCs w:val="20"/>
              </w:rPr>
              <w:t>-420</w:t>
            </w:r>
            <w:r>
              <w:rPr>
                <w:sz w:val="16"/>
                <w:szCs w:val="16"/>
              </w:rPr>
              <w:t>.8</w:t>
            </w:r>
            <w:r w:rsidR="00F451DE">
              <w:rPr>
                <w:sz w:val="16"/>
                <w:szCs w:val="20"/>
              </w:rPr>
              <w:t>)</w:t>
            </w:r>
          </w:p>
        </w:tc>
      </w:tr>
      <w:tr w:rsidR="00C6114C" w:rsidRPr="0066121B" w14:paraId="0AB7CD5F" w14:textId="77777777" w:rsidTr="008F2CA3">
        <w:trPr>
          <w:trHeight w:hRule="exact" w:val="227"/>
        </w:trPr>
        <w:tc>
          <w:tcPr>
            <w:tcW w:w="2293" w:type="pct"/>
            <w:shd w:val="clear" w:color="auto" w:fill="F2F2F2" w:themeFill="background1" w:themeFillShade="F2"/>
            <w:tcMar>
              <w:left w:w="57" w:type="dxa"/>
              <w:right w:w="57" w:type="dxa"/>
            </w:tcMar>
          </w:tcPr>
          <w:p w14:paraId="0DE0CFFE" w14:textId="77777777" w:rsidR="00142EB8" w:rsidRPr="0066121B" w:rsidRDefault="00142EB8" w:rsidP="00D34DB8">
            <w:pPr>
              <w:jc w:val="left"/>
              <w:rPr>
                <w:sz w:val="16"/>
                <w:szCs w:val="20"/>
              </w:rPr>
            </w:pPr>
            <w:r w:rsidRPr="0066121B">
              <w:rPr>
                <w:rFonts w:cs="Arial"/>
                <w:sz w:val="16"/>
                <w:szCs w:val="20"/>
              </w:rPr>
              <w:t>Age in years at baseline, mean (SD)</w:t>
            </w:r>
          </w:p>
        </w:tc>
        <w:tc>
          <w:tcPr>
            <w:tcW w:w="971" w:type="pct"/>
            <w:shd w:val="clear" w:color="auto" w:fill="F2F2F2" w:themeFill="background1" w:themeFillShade="F2"/>
            <w:tcMar>
              <w:left w:w="57" w:type="dxa"/>
              <w:right w:w="57" w:type="dxa"/>
            </w:tcMar>
          </w:tcPr>
          <w:p w14:paraId="0497FCAC" w14:textId="173946AA" w:rsidR="00142EB8" w:rsidRPr="0066121B" w:rsidRDefault="00142EB8" w:rsidP="00D34DB8">
            <w:pPr>
              <w:jc w:val="center"/>
              <w:rPr>
                <w:sz w:val="16"/>
                <w:szCs w:val="20"/>
              </w:rPr>
            </w:pPr>
            <w:r w:rsidRPr="0066121B">
              <w:rPr>
                <w:sz w:val="16"/>
                <w:szCs w:val="20"/>
              </w:rPr>
              <w:t>57.1 (8.7)</w:t>
            </w:r>
          </w:p>
        </w:tc>
        <w:tc>
          <w:tcPr>
            <w:tcW w:w="834" w:type="pct"/>
            <w:shd w:val="clear" w:color="auto" w:fill="F2F2F2" w:themeFill="background1" w:themeFillShade="F2"/>
            <w:tcMar>
              <w:left w:w="57" w:type="dxa"/>
              <w:right w:w="57" w:type="dxa"/>
            </w:tcMar>
          </w:tcPr>
          <w:p w14:paraId="55C50B34" w14:textId="6B299DD2" w:rsidR="00142EB8" w:rsidRPr="0066121B" w:rsidRDefault="00142EB8" w:rsidP="00D34DB8">
            <w:pPr>
              <w:jc w:val="center"/>
              <w:rPr>
                <w:sz w:val="16"/>
                <w:szCs w:val="20"/>
              </w:rPr>
            </w:pPr>
            <w:r w:rsidRPr="0066121B">
              <w:rPr>
                <w:sz w:val="16"/>
                <w:szCs w:val="20"/>
              </w:rPr>
              <w:t>55.0 (9.2)</w:t>
            </w:r>
          </w:p>
        </w:tc>
        <w:tc>
          <w:tcPr>
            <w:tcW w:w="901" w:type="pct"/>
            <w:shd w:val="clear" w:color="auto" w:fill="F2F2F2" w:themeFill="background1" w:themeFillShade="F2"/>
            <w:tcMar>
              <w:left w:w="57" w:type="dxa"/>
              <w:right w:w="57" w:type="dxa"/>
            </w:tcMar>
          </w:tcPr>
          <w:p w14:paraId="034BB6FE" w14:textId="77777777" w:rsidR="00142EB8" w:rsidRPr="0066121B" w:rsidRDefault="00142EB8" w:rsidP="00D34DB8">
            <w:pPr>
              <w:jc w:val="center"/>
              <w:rPr>
                <w:sz w:val="16"/>
                <w:szCs w:val="20"/>
              </w:rPr>
            </w:pPr>
            <w:r w:rsidRPr="0066121B">
              <w:rPr>
                <w:sz w:val="16"/>
                <w:szCs w:val="20"/>
              </w:rPr>
              <w:t>56.5 (8.0)</w:t>
            </w:r>
          </w:p>
        </w:tc>
      </w:tr>
      <w:tr w:rsidR="00C6114C" w:rsidRPr="0066121B" w14:paraId="11FA19B9" w14:textId="77777777" w:rsidTr="008F2CA3">
        <w:trPr>
          <w:trHeight w:hRule="exact" w:val="227"/>
        </w:trPr>
        <w:tc>
          <w:tcPr>
            <w:tcW w:w="2293" w:type="pct"/>
            <w:shd w:val="clear" w:color="auto" w:fill="auto"/>
            <w:tcMar>
              <w:left w:w="57" w:type="dxa"/>
              <w:right w:w="57" w:type="dxa"/>
            </w:tcMar>
          </w:tcPr>
          <w:p w14:paraId="484E779A" w14:textId="5DB1C671" w:rsidR="00142EB8" w:rsidRPr="0066121B" w:rsidRDefault="00142EB8" w:rsidP="00D34DB8">
            <w:pPr>
              <w:jc w:val="left"/>
              <w:rPr>
                <w:sz w:val="16"/>
                <w:szCs w:val="20"/>
              </w:rPr>
            </w:pPr>
            <w:r w:rsidRPr="0066121B">
              <w:rPr>
                <w:rFonts w:cs="Arial"/>
                <w:sz w:val="16"/>
                <w:szCs w:val="20"/>
              </w:rPr>
              <w:lastRenderedPageBreak/>
              <w:t>Sex, n (%)</w:t>
            </w:r>
          </w:p>
        </w:tc>
        <w:tc>
          <w:tcPr>
            <w:tcW w:w="971" w:type="pct"/>
            <w:shd w:val="clear" w:color="auto" w:fill="auto"/>
            <w:tcMar>
              <w:left w:w="57" w:type="dxa"/>
              <w:right w:w="57" w:type="dxa"/>
            </w:tcMar>
          </w:tcPr>
          <w:p w14:paraId="054F215C" w14:textId="77777777" w:rsidR="00142EB8" w:rsidRPr="0066121B" w:rsidRDefault="00142EB8" w:rsidP="00D34DB8">
            <w:pPr>
              <w:jc w:val="center"/>
              <w:rPr>
                <w:sz w:val="16"/>
                <w:szCs w:val="20"/>
              </w:rPr>
            </w:pPr>
          </w:p>
        </w:tc>
        <w:tc>
          <w:tcPr>
            <w:tcW w:w="834" w:type="pct"/>
            <w:shd w:val="clear" w:color="auto" w:fill="auto"/>
            <w:tcMar>
              <w:left w:w="57" w:type="dxa"/>
              <w:right w:w="57" w:type="dxa"/>
            </w:tcMar>
          </w:tcPr>
          <w:p w14:paraId="47BF897C" w14:textId="77777777" w:rsidR="00142EB8" w:rsidRPr="0066121B" w:rsidRDefault="00142EB8" w:rsidP="00D34DB8">
            <w:pPr>
              <w:jc w:val="center"/>
              <w:rPr>
                <w:sz w:val="16"/>
                <w:szCs w:val="20"/>
              </w:rPr>
            </w:pPr>
          </w:p>
        </w:tc>
        <w:tc>
          <w:tcPr>
            <w:tcW w:w="901" w:type="pct"/>
            <w:shd w:val="clear" w:color="auto" w:fill="auto"/>
            <w:tcMar>
              <w:left w:w="57" w:type="dxa"/>
              <w:right w:w="57" w:type="dxa"/>
            </w:tcMar>
          </w:tcPr>
          <w:p w14:paraId="1A0A2354" w14:textId="77777777" w:rsidR="00142EB8" w:rsidRPr="0066121B" w:rsidRDefault="00142EB8" w:rsidP="00D34DB8">
            <w:pPr>
              <w:jc w:val="center"/>
              <w:rPr>
                <w:sz w:val="16"/>
                <w:szCs w:val="20"/>
              </w:rPr>
            </w:pPr>
          </w:p>
        </w:tc>
      </w:tr>
      <w:tr w:rsidR="00C6114C" w:rsidRPr="0066121B" w14:paraId="18FFA75B" w14:textId="77777777" w:rsidTr="008F2CA3">
        <w:trPr>
          <w:trHeight w:hRule="exact" w:val="227"/>
        </w:trPr>
        <w:tc>
          <w:tcPr>
            <w:tcW w:w="2293" w:type="pct"/>
            <w:shd w:val="clear" w:color="auto" w:fill="auto"/>
            <w:tcMar>
              <w:left w:w="57" w:type="dxa"/>
              <w:right w:w="57" w:type="dxa"/>
            </w:tcMar>
          </w:tcPr>
          <w:p w14:paraId="42B97745" w14:textId="77777777" w:rsidR="00142EB8" w:rsidRPr="0066121B" w:rsidRDefault="00142EB8" w:rsidP="00D34DB8">
            <w:pPr>
              <w:jc w:val="left"/>
              <w:rPr>
                <w:rFonts w:cs="Arial"/>
                <w:i/>
                <w:sz w:val="16"/>
                <w:szCs w:val="20"/>
              </w:rPr>
            </w:pPr>
            <w:r w:rsidRPr="0066121B">
              <w:rPr>
                <w:rFonts w:cs="Arial"/>
                <w:i/>
                <w:sz w:val="16"/>
                <w:szCs w:val="20"/>
              </w:rPr>
              <w:t xml:space="preserve">      Male</w:t>
            </w:r>
          </w:p>
        </w:tc>
        <w:tc>
          <w:tcPr>
            <w:tcW w:w="971" w:type="pct"/>
            <w:shd w:val="clear" w:color="auto" w:fill="auto"/>
            <w:tcMar>
              <w:left w:w="57" w:type="dxa"/>
              <w:right w:w="57" w:type="dxa"/>
            </w:tcMar>
          </w:tcPr>
          <w:p w14:paraId="60215A39" w14:textId="3E9B59A8" w:rsidR="00142EB8" w:rsidRPr="0066121B" w:rsidRDefault="00142EB8" w:rsidP="00D34DB8">
            <w:pPr>
              <w:jc w:val="center"/>
              <w:rPr>
                <w:sz w:val="16"/>
                <w:szCs w:val="20"/>
              </w:rPr>
            </w:pPr>
            <w:r w:rsidRPr="0066121B">
              <w:rPr>
                <w:sz w:val="16"/>
                <w:szCs w:val="20"/>
              </w:rPr>
              <w:t>162,685 (</w:t>
            </w:r>
            <w:r w:rsidR="00EA4945">
              <w:rPr>
                <w:sz w:val="16"/>
                <w:szCs w:val="16"/>
              </w:rPr>
              <w:t>65.7</w:t>
            </w:r>
            <w:r w:rsidRPr="0066121B">
              <w:rPr>
                <w:sz w:val="16"/>
                <w:szCs w:val="20"/>
              </w:rPr>
              <w:t>%)</w:t>
            </w:r>
          </w:p>
        </w:tc>
        <w:tc>
          <w:tcPr>
            <w:tcW w:w="834" w:type="pct"/>
            <w:shd w:val="clear" w:color="auto" w:fill="auto"/>
            <w:tcMar>
              <w:left w:w="57" w:type="dxa"/>
              <w:right w:w="57" w:type="dxa"/>
            </w:tcMar>
          </w:tcPr>
          <w:p w14:paraId="7A8F1379" w14:textId="68CB4CCF" w:rsidR="00142EB8" w:rsidRPr="0066121B" w:rsidRDefault="00142EB8" w:rsidP="00D34DB8">
            <w:pPr>
              <w:jc w:val="center"/>
              <w:rPr>
                <w:sz w:val="16"/>
                <w:szCs w:val="20"/>
              </w:rPr>
            </w:pPr>
            <w:r w:rsidRPr="0066121B">
              <w:rPr>
                <w:sz w:val="16"/>
                <w:szCs w:val="20"/>
              </w:rPr>
              <w:t>13,508 (</w:t>
            </w:r>
            <w:r w:rsidR="00EA4945">
              <w:rPr>
                <w:sz w:val="16"/>
                <w:szCs w:val="16"/>
              </w:rPr>
              <w:t>51.9</w:t>
            </w:r>
            <w:r w:rsidRPr="0066121B">
              <w:rPr>
                <w:sz w:val="16"/>
                <w:szCs w:val="20"/>
              </w:rPr>
              <w:t>%)</w:t>
            </w:r>
          </w:p>
        </w:tc>
        <w:tc>
          <w:tcPr>
            <w:tcW w:w="901" w:type="pct"/>
            <w:shd w:val="clear" w:color="auto" w:fill="auto"/>
            <w:tcMar>
              <w:left w:w="57" w:type="dxa"/>
              <w:right w:w="57" w:type="dxa"/>
            </w:tcMar>
          </w:tcPr>
          <w:p w14:paraId="5DEAEFD5" w14:textId="40410126" w:rsidR="00142EB8" w:rsidRPr="0066121B" w:rsidRDefault="00142EB8" w:rsidP="00D34DB8">
            <w:pPr>
              <w:jc w:val="center"/>
              <w:rPr>
                <w:sz w:val="16"/>
                <w:szCs w:val="20"/>
              </w:rPr>
            </w:pPr>
            <w:r w:rsidRPr="0066121B">
              <w:rPr>
                <w:sz w:val="16"/>
                <w:szCs w:val="20"/>
              </w:rPr>
              <w:t>157,809 (48</w:t>
            </w:r>
            <w:r w:rsidR="00EA4945">
              <w:rPr>
                <w:sz w:val="16"/>
                <w:szCs w:val="16"/>
              </w:rPr>
              <w:t>.4</w:t>
            </w:r>
            <w:r w:rsidRPr="0066121B">
              <w:rPr>
                <w:sz w:val="16"/>
                <w:szCs w:val="20"/>
              </w:rPr>
              <w:t>%)</w:t>
            </w:r>
          </w:p>
        </w:tc>
      </w:tr>
      <w:tr w:rsidR="00C6114C" w:rsidRPr="0066121B" w14:paraId="0485CBF4" w14:textId="77777777" w:rsidTr="008F2CA3">
        <w:trPr>
          <w:trHeight w:hRule="exact" w:val="227"/>
        </w:trPr>
        <w:tc>
          <w:tcPr>
            <w:tcW w:w="2293" w:type="pct"/>
            <w:shd w:val="clear" w:color="auto" w:fill="auto"/>
            <w:tcMar>
              <w:left w:w="57" w:type="dxa"/>
              <w:right w:w="57" w:type="dxa"/>
            </w:tcMar>
          </w:tcPr>
          <w:p w14:paraId="22C413E5" w14:textId="77777777" w:rsidR="00142EB8" w:rsidRPr="0066121B" w:rsidRDefault="00142EB8" w:rsidP="00D34DB8">
            <w:pPr>
              <w:jc w:val="left"/>
              <w:rPr>
                <w:rFonts w:cs="Arial"/>
                <w:i/>
                <w:sz w:val="16"/>
                <w:szCs w:val="20"/>
              </w:rPr>
            </w:pPr>
            <w:r w:rsidRPr="0066121B">
              <w:rPr>
                <w:rFonts w:cs="Arial"/>
                <w:i/>
                <w:sz w:val="16"/>
                <w:szCs w:val="20"/>
              </w:rPr>
              <w:t xml:space="preserve">      Female</w:t>
            </w:r>
          </w:p>
        </w:tc>
        <w:tc>
          <w:tcPr>
            <w:tcW w:w="971" w:type="pct"/>
            <w:shd w:val="clear" w:color="auto" w:fill="auto"/>
            <w:tcMar>
              <w:left w:w="57" w:type="dxa"/>
              <w:right w:w="57" w:type="dxa"/>
            </w:tcMar>
          </w:tcPr>
          <w:p w14:paraId="573BF6C1" w14:textId="18D5F6BC" w:rsidR="00142EB8" w:rsidRPr="0066121B" w:rsidRDefault="00142EB8" w:rsidP="00D34DB8">
            <w:pPr>
              <w:jc w:val="center"/>
              <w:rPr>
                <w:sz w:val="16"/>
                <w:szCs w:val="20"/>
              </w:rPr>
            </w:pPr>
            <w:r w:rsidRPr="0066121B">
              <w:rPr>
                <w:sz w:val="16"/>
                <w:szCs w:val="20"/>
              </w:rPr>
              <w:t>84,819 (34</w:t>
            </w:r>
            <w:r w:rsidR="00EA4945">
              <w:rPr>
                <w:sz w:val="16"/>
                <w:szCs w:val="16"/>
              </w:rPr>
              <w:t>.3</w:t>
            </w:r>
            <w:r w:rsidRPr="0066121B">
              <w:rPr>
                <w:sz w:val="16"/>
                <w:szCs w:val="20"/>
              </w:rPr>
              <w:t>%)</w:t>
            </w:r>
          </w:p>
        </w:tc>
        <w:tc>
          <w:tcPr>
            <w:tcW w:w="834" w:type="pct"/>
            <w:shd w:val="clear" w:color="auto" w:fill="auto"/>
            <w:tcMar>
              <w:left w:w="57" w:type="dxa"/>
              <w:right w:w="57" w:type="dxa"/>
            </w:tcMar>
          </w:tcPr>
          <w:p w14:paraId="32763DA7" w14:textId="63673B4C" w:rsidR="00142EB8" w:rsidRPr="0066121B" w:rsidRDefault="00C205EA" w:rsidP="00D34DB8">
            <w:pPr>
              <w:jc w:val="center"/>
              <w:rPr>
                <w:sz w:val="16"/>
                <w:szCs w:val="20"/>
              </w:rPr>
            </w:pPr>
            <w:r>
              <w:rPr>
                <w:sz w:val="16"/>
                <w:szCs w:val="20"/>
              </w:rPr>
              <w:t>12,52</w:t>
            </w:r>
            <w:r w:rsidR="00142EB8" w:rsidRPr="0066121B">
              <w:rPr>
                <w:sz w:val="16"/>
                <w:szCs w:val="20"/>
              </w:rPr>
              <w:t>8 (48</w:t>
            </w:r>
            <w:r w:rsidR="00EA4945">
              <w:rPr>
                <w:sz w:val="16"/>
                <w:szCs w:val="16"/>
              </w:rPr>
              <w:t>.1</w:t>
            </w:r>
            <w:r w:rsidR="00142EB8" w:rsidRPr="0066121B">
              <w:rPr>
                <w:sz w:val="16"/>
                <w:szCs w:val="20"/>
              </w:rPr>
              <w:t>%)</w:t>
            </w:r>
          </w:p>
        </w:tc>
        <w:tc>
          <w:tcPr>
            <w:tcW w:w="901" w:type="pct"/>
            <w:shd w:val="clear" w:color="auto" w:fill="auto"/>
            <w:tcMar>
              <w:left w:w="57" w:type="dxa"/>
              <w:right w:w="57" w:type="dxa"/>
            </w:tcMar>
          </w:tcPr>
          <w:p w14:paraId="7D280CF3" w14:textId="5A4E9CAE" w:rsidR="00142EB8" w:rsidRPr="0066121B" w:rsidRDefault="00142EB8" w:rsidP="00D34DB8">
            <w:pPr>
              <w:jc w:val="center"/>
              <w:rPr>
                <w:sz w:val="16"/>
                <w:szCs w:val="20"/>
              </w:rPr>
            </w:pPr>
            <w:r w:rsidRPr="0066121B">
              <w:rPr>
                <w:sz w:val="16"/>
                <w:szCs w:val="20"/>
              </w:rPr>
              <w:t>168,563 (</w:t>
            </w:r>
            <w:r w:rsidR="00EA4945">
              <w:rPr>
                <w:sz w:val="16"/>
                <w:szCs w:val="16"/>
              </w:rPr>
              <w:t>51.6</w:t>
            </w:r>
            <w:r w:rsidRPr="0066121B">
              <w:rPr>
                <w:sz w:val="16"/>
                <w:szCs w:val="20"/>
              </w:rPr>
              <w:t>%)</w:t>
            </w:r>
          </w:p>
        </w:tc>
      </w:tr>
      <w:tr w:rsidR="00C6114C" w:rsidRPr="0066121B" w14:paraId="12BA1D0D" w14:textId="77777777" w:rsidTr="008F2CA3">
        <w:trPr>
          <w:trHeight w:hRule="exact" w:val="227"/>
        </w:trPr>
        <w:tc>
          <w:tcPr>
            <w:tcW w:w="2293" w:type="pct"/>
            <w:shd w:val="clear" w:color="auto" w:fill="F2F2F2" w:themeFill="background1" w:themeFillShade="F2"/>
            <w:tcMar>
              <w:left w:w="57" w:type="dxa"/>
              <w:right w:w="57" w:type="dxa"/>
            </w:tcMar>
          </w:tcPr>
          <w:p w14:paraId="1BEE04EB" w14:textId="16D946EC" w:rsidR="00142EB8" w:rsidRPr="0066121B" w:rsidRDefault="00142EB8" w:rsidP="00D34DB8">
            <w:pPr>
              <w:jc w:val="left"/>
              <w:rPr>
                <w:rFonts w:cs="Arial"/>
                <w:sz w:val="16"/>
                <w:szCs w:val="20"/>
              </w:rPr>
            </w:pPr>
            <w:r w:rsidRPr="0066121B">
              <w:rPr>
                <w:rFonts w:cs="Arial"/>
                <w:sz w:val="16"/>
                <w:szCs w:val="20"/>
              </w:rPr>
              <w:t>Smoking status, n (%)</w:t>
            </w:r>
          </w:p>
        </w:tc>
        <w:tc>
          <w:tcPr>
            <w:tcW w:w="971" w:type="pct"/>
            <w:shd w:val="clear" w:color="auto" w:fill="F2F2F2" w:themeFill="background1" w:themeFillShade="F2"/>
            <w:tcMar>
              <w:left w:w="57" w:type="dxa"/>
              <w:right w:w="57" w:type="dxa"/>
            </w:tcMar>
          </w:tcPr>
          <w:p w14:paraId="153F6478" w14:textId="77777777" w:rsidR="00142EB8" w:rsidRPr="0066121B" w:rsidRDefault="00142EB8" w:rsidP="00D34DB8">
            <w:pPr>
              <w:jc w:val="center"/>
              <w:rPr>
                <w:sz w:val="16"/>
                <w:szCs w:val="20"/>
              </w:rPr>
            </w:pPr>
          </w:p>
        </w:tc>
        <w:tc>
          <w:tcPr>
            <w:tcW w:w="834" w:type="pct"/>
            <w:shd w:val="clear" w:color="auto" w:fill="F2F2F2" w:themeFill="background1" w:themeFillShade="F2"/>
            <w:tcMar>
              <w:left w:w="57" w:type="dxa"/>
              <w:right w:w="57" w:type="dxa"/>
            </w:tcMar>
          </w:tcPr>
          <w:p w14:paraId="3BFE12CE" w14:textId="77777777" w:rsidR="00142EB8" w:rsidRPr="0066121B" w:rsidRDefault="00142EB8" w:rsidP="00D34DB8">
            <w:pPr>
              <w:jc w:val="center"/>
              <w:rPr>
                <w:sz w:val="16"/>
                <w:szCs w:val="20"/>
              </w:rPr>
            </w:pPr>
          </w:p>
        </w:tc>
        <w:tc>
          <w:tcPr>
            <w:tcW w:w="901" w:type="pct"/>
            <w:shd w:val="clear" w:color="auto" w:fill="F2F2F2" w:themeFill="background1" w:themeFillShade="F2"/>
            <w:tcMar>
              <w:left w:w="57" w:type="dxa"/>
              <w:right w:w="57" w:type="dxa"/>
            </w:tcMar>
          </w:tcPr>
          <w:p w14:paraId="1D24400E" w14:textId="77777777" w:rsidR="00142EB8" w:rsidRPr="0066121B" w:rsidRDefault="00142EB8" w:rsidP="00D34DB8">
            <w:pPr>
              <w:jc w:val="center"/>
              <w:rPr>
                <w:sz w:val="16"/>
                <w:szCs w:val="20"/>
              </w:rPr>
            </w:pPr>
          </w:p>
        </w:tc>
      </w:tr>
      <w:tr w:rsidR="00C6114C" w:rsidRPr="0066121B" w14:paraId="2694D5D0" w14:textId="77777777" w:rsidTr="008F2CA3">
        <w:trPr>
          <w:trHeight w:hRule="exact" w:val="227"/>
        </w:trPr>
        <w:tc>
          <w:tcPr>
            <w:tcW w:w="2293" w:type="pct"/>
            <w:shd w:val="clear" w:color="auto" w:fill="F2F2F2" w:themeFill="background1" w:themeFillShade="F2"/>
            <w:tcMar>
              <w:left w:w="57" w:type="dxa"/>
              <w:right w:w="57" w:type="dxa"/>
            </w:tcMar>
          </w:tcPr>
          <w:p w14:paraId="08F92589" w14:textId="77777777" w:rsidR="00142EB8" w:rsidRPr="0066121B" w:rsidRDefault="00142EB8" w:rsidP="00D34DB8">
            <w:pPr>
              <w:jc w:val="left"/>
              <w:rPr>
                <w:rFonts w:cs="Arial"/>
                <w:i/>
                <w:sz w:val="16"/>
                <w:szCs w:val="20"/>
              </w:rPr>
            </w:pPr>
            <w:r w:rsidRPr="0066121B">
              <w:rPr>
                <w:rFonts w:cs="Arial"/>
                <w:i/>
                <w:sz w:val="16"/>
                <w:szCs w:val="20"/>
              </w:rPr>
              <w:t xml:space="preserve">      Not current</w:t>
            </w:r>
          </w:p>
        </w:tc>
        <w:tc>
          <w:tcPr>
            <w:tcW w:w="971" w:type="pct"/>
            <w:shd w:val="clear" w:color="auto" w:fill="F2F2F2" w:themeFill="background1" w:themeFillShade="F2"/>
            <w:tcMar>
              <w:left w:w="57" w:type="dxa"/>
              <w:right w:w="57" w:type="dxa"/>
            </w:tcMar>
          </w:tcPr>
          <w:p w14:paraId="5921B9E2" w14:textId="582594F1" w:rsidR="00142EB8" w:rsidRPr="0066121B" w:rsidRDefault="00142EB8" w:rsidP="00D34DB8">
            <w:pPr>
              <w:jc w:val="center"/>
              <w:rPr>
                <w:sz w:val="16"/>
                <w:szCs w:val="20"/>
              </w:rPr>
            </w:pPr>
            <w:r w:rsidRPr="0066121B">
              <w:rPr>
                <w:sz w:val="16"/>
                <w:szCs w:val="20"/>
              </w:rPr>
              <w:t>161,037 (65</w:t>
            </w:r>
            <w:r w:rsidR="00EA4945">
              <w:rPr>
                <w:sz w:val="16"/>
                <w:szCs w:val="16"/>
              </w:rPr>
              <w:t>.1</w:t>
            </w:r>
            <w:r w:rsidRPr="0066121B">
              <w:rPr>
                <w:sz w:val="16"/>
                <w:szCs w:val="20"/>
              </w:rPr>
              <w:t>%)</w:t>
            </w:r>
          </w:p>
        </w:tc>
        <w:tc>
          <w:tcPr>
            <w:tcW w:w="834" w:type="pct"/>
            <w:shd w:val="clear" w:color="auto" w:fill="F2F2F2" w:themeFill="background1" w:themeFillShade="F2"/>
            <w:tcMar>
              <w:left w:w="57" w:type="dxa"/>
              <w:right w:w="57" w:type="dxa"/>
            </w:tcMar>
          </w:tcPr>
          <w:p w14:paraId="7DE4E705" w14:textId="14DDA63E" w:rsidR="00142EB8" w:rsidRPr="0066121B" w:rsidRDefault="00142EB8" w:rsidP="00D34DB8">
            <w:pPr>
              <w:jc w:val="center"/>
              <w:rPr>
                <w:sz w:val="16"/>
                <w:szCs w:val="20"/>
              </w:rPr>
            </w:pPr>
            <w:r w:rsidRPr="0066121B">
              <w:rPr>
                <w:sz w:val="16"/>
                <w:szCs w:val="20"/>
              </w:rPr>
              <w:t>17,608 (</w:t>
            </w:r>
            <w:r w:rsidR="00EA4945">
              <w:rPr>
                <w:sz w:val="16"/>
                <w:szCs w:val="16"/>
              </w:rPr>
              <w:t>67.6</w:t>
            </w:r>
            <w:r w:rsidRPr="0066121B">
              <w:rPr>
                <w:sz w:val="16"/>
                <w:szCs w:val="20"/>
              </w:rPr>
              <w:t>%)</w:t>
            </w:r>
          </w:p>
        </w:tc>
        <w:tc>
          <w:tcPr>
            <w:tcW w:w="901" w:type="pct"/>
            <w:shd w:val="clear" w:color="auto" w:fill="F2F2F2" w:themeFill="background1" w:themeFillShade="F2"/>
            <w:tcMar>
              <w:left w:w="57" w:type="dxa"/>
              <w:right w:w="57" w:type="dxa"/>
            </w:tcMar>
          </w:tcPr>
          <w:p w14:paraId="517F9570" w14:textId="163F42A3" w:rsidR="00142EB8" w:rsidRPr="0066121B" w:rsidRDefault="00142EB8" w:rsidP="00D34DB8">
            <w:pPr>
              <w:jc w:val="center"/>
              <w:rPr>
                <w:sz w:val="16"/>
                <w:szCs w:val="20"/>
              </w:rPr>
            </w:pPr>
            <w:r w:rsidRPr="0066121B">
              <w:rPr>
                <w:sz w:val="16"/>
                <w:szCs w:val="20"/>
              </w:rPr>
              <w:t>293,182 (</w:t>
            </w:r>
            <w:r w:rsidR="00EA4945">
              <w:rPr>
                <w:sz w:val="16"/>
                <w:szCs w:val="16"/>
              </w:rPr>
              <w:t>89.8</w:t>
            </w:r>
            <w:r w:rsidRPr="0066121B">
              <w:rPr>
                <w:sz w:val="16"/>
                <w:szCs w:val="20"/>
              </w:rPr>
              <w:t>%)</w:t>
            </w:r>
          </w:p>
        </w:tc>
      </w:tr>
      <w:tr w:rsidR="00C6114C" w:rsidRPr="0066121B" w14:paraId="02E5E23C" w14:textId="77777777" w:rsidTr="008F2CA3">
        <w:trPr>
          <w:trHeight w:hRule="exact" w:val="227"/>
        </w:trPr>
        <w:tc>
          <w:tcPr>
            <w:tcW w:w="2293" w:type="pct"/>
            <w:shd w:val="clear" w:color="auto" w:fill="F2F2F2" w:themeFill="background1" w:themeFillShade="F2"/>
            <w:tcMar>
              <w:left w:w="57" w:type="dxa"/>
              <w:right w:w="57" w:type="dxa"/>
            </w:tcMar>
          </w:tcPr>
          <w:p w14:paraId="36DB4429" w14:textId="77777777" w:rsidR="00142EB8" w:rsidRPr="0066121B" w:rsidRDefault="00142EB8" w:rsidP="00D34DB8">
            <w:pPr>
              <w:jc w:val="left"/>
              <w:rPr>
                <w:rFonts w:cs="Arial"/>
                <w:i/>
                <w:sz w:val="16"/>
                <w:szCs w:val="20"/>
              </w:rPr>
            </w:pPr>
            <w:r w:rsidRPr="0066121B">
              <w:rPr>
                <w:rFonts w:cs="Arial"/>
                <w:i/>
                <w:sz w:val="16"/>
                <w:szCs w:val="20"/>
              </w:rPr>
              <w:t xml:space="preserve">      Current</w:t>
            </w:r>
          </w:p>
        </w:tc>
        <w:tc>
          <w:tcPr>
            <w:tcW w:w="971" w:type="pct"/>
            <w:shd w:val="clear" w:color="auto" w:fill="F2F2F2" w:themeFill="background1" w:themeFillShade="F2"/>
            <w:tcMar>
              <w:left w:w="57" w:type="dxa"/>
              <w:right w:w="57" w:type="dxa"/>
            </w:tcMar>
          </w:tcPr>
          <w:p w14:paraId="14D2AA32" w14:textId="13EC1DD7" w:rsidR="00142EB8" w:rsidRPr="0066121B" w:rsidRDefault="00DE0AF3" w:rsidP="00D34DB8">
            <w:pPr>
              <w:jc w:val="center"/>
              <w:rPr>
                <w:sz w:val="16"/>
                <w:szCs w:val="20"/>
              </w:rPr>
            </w:pPr>
            <w:r>
              <w:rPr>
                <w:sz w:val="16"/>
                <w:szCs w:val="20"/>
              </w:rPr>
              <w:t>86,467</w:t>
            </w:r>
            <w:r w:rsidR="00142EB8" w:rsidRPr="0066121B">
              <w:rPr>
                <w:sz w:val="16"/>
                <w:szCs w:val="20"/>
              </w:rPr>
              <w:t xml:space="preserve"> (</w:t>
            </w:r>
            <w:r w:rsidR="00EA4945">
              <w:rPr>
                <w:sz w:val="16"/>
                <w:szCs w:val="16"/>
              </w:rPr>
              <w:t>34.9</w:t>
            </w:r>
            <w:r w:rsidR="00142EB8" w:rsidRPr="0066121B">
              <w:rPr>
                <w:sz w:val="16"/>
                <w:szCs w:val="20"/>
              </w:rPr>
              <w:t>%)</w:t>
            </w:r>
          </w:p>
        </w:tc>
        <w:tc>
          <w:tcPr>
            <w:tcW w:w="834" w:type="pct"/>
            <w:shd w:val="clear" w:color="auto" w:fill="F2F2F2" w:themeFill="background1" w:themeFillShade="F2"/>
            <w:tcMar>
              <w:left w:w="57" w:type="dxa"/>
              <w:right w:w="57" w:type="dxa"/>
            </w:tcMar>
          </w:tcPr>
          <w:p w14:paraId="70D7F6B6" w14:textId="454A2B7C" w:rsidR="00142EB8" w:rsidRPr="0066121B" w:rsidRDefault="00142EB8" w:rsidP="00D34DB8">
            <w:pPr>
              <w:jc w:val="center"/>
              <w:rPr>
                <w:sz w:val="16"/>
                <w:szCs w:val="20"/>
              </w:rPr>
            </w:pPr>
            <w:r w:rsidRPr="0066121B">
              <w:rPr>
                <w:sz w:val="16"/>
                <w:szCs w:val="20"/>
              </w:rPr>
              <w:t>8,428 (32</w:t>
            </w:r>
            <w:r w:rsidR="00EA4945">
              <w:rPr>
                <w:sz w:val="16"/>
                <w:szCs w:val="16"/>
              </w:rPr>
              <w:t>.4</w:t>
            </w:r>
            <w:r w:rsidRPr="0066121B">
              <w:rPr>
                <w:sz w:val="16"/>
                <w:szCs w:val="20"/>
              </w:rPr>
              <w:t>%)</w:t>
            </w:r>
          </w:p>
        </w:tc>
        <w:tc>
          <w:tcPr>
            <w:tcW w:w="901" w:type="pct"/>
            <w:shd w:val="clear" w:color="auto" w:fill="F2F2F2" w:themeFill="background1" w:themeFillShade="F2"/>
            <w:tcMar>
              <w:left w:w="57" w:type="dxa"/>
              <w:right w:w="57" w:type="dxa"/>
            </w:tcMar>
          </w:tcPr>
          <w:p w14:paraId="282086F3" w14:textId="49730E2F" w:rsidR="00142EB8" w:rsidRPr="0066121B" w:rsidRDefault="00142EB8" w:rsidP="00D34DB8">
            <w:pPr>
              <w:jc w:val="center"/>
              <w:rPr>
                <w:sz w:val="16"/>
                <w:szCs w:val="20"/>
              </w:rPr>
            </w:pPr>
            <w:r w:rsidRPr="0066121B">
              <w:rPr>
                <w:sz w:val="16"/>
                <w:szCs w:val="20"/>
              </w:rPr>
              <w:t>33,190 (10</w:t>
            </w:r>
            <w:r w:rsidR="00EA4945">
              <w:rPr>
                <w:sz w:val="16"/>
                <w:szCs w:val="16"/>
              </w:rPr>
              <w:t>.2</w:t>
            </w:r>
            <w:r w:rsidRPr="0066121B">
              <w:rPr>
                <w:sz w:val="16"/>
                <w:szCs w:val="20"/>
              </w:rPr>
              <w:t>%)</w:t>
            </w:r>
          </w:p>
        </w:tc>
      </w:tr>
      <w:tr w:rsidR="00C6114C" w:rsidRPr="0066121B" w14:paraId="6230B70B" w14:textId="77777777" w:rsidTr="008F2CA3">
        <w:trPr>
          <w:trHeight w:hRule="exact" w:val="227"/>
        </w:trPr>
        <w:tc>
          <w:tcPr>
            <w:tcW w:w="2293" w:type="pct"/>
            <w:shd w:val="clear" w:color="auto" w:fill="auto"/>
            <w:tcMar>
              <w:left w:w="57" w:type="dxa"/>
              <w:right w:w="57" w:type="dxa"/>
            </w:tcMar>
          </w:tcPr>
          <w:p w14:paraId="4824D5FD" w14:textId="4AC878C7" w:rsidR="00142EB8" w:rsidRPr="0066121B" w:rsidRDefault="00DE0AF3" w:rsidP="00D34DB8">
            <w:pPr>
              <w:jc w:val="left"/>
              <w:rPr>
                <w:rFonts w:cs="Arial"/>
                <w:sz w:val="16"/>
                <w:szCs w:val="20"/>
              </w:rPr>
            </w:pPr>
            <w:r>
              <w:rPr>
                <w:rFonts w:cs="Arial"/>
                <w:sz w:val="16"/>
                <w:szCs w:val="20"/>
              </w:rPr>
              <w:t xml:space="preserve">History of diabetes, </w:t>
            </w:r>
            <w:r w:rsidR="00142EB8" w:rsidRPr="0066121B">
              <w:rPr>
                <w:rFonts w:cs="Arial"/>
                <w:sz w:val="16"/>
                <w:szCs w:val="20"/>
              </w:rPr>
              <w:t>n(%)</w:t>
            </w:r>
          </w:p>
        </w:tc>
        <w:tc>
          <w:tcPr>
            <w:tcW w:w="971" w:type="pct"/>
            <w:shd w:val="clear" w:color="auto" w:fill="auto"/>
            <w:tcMar>
              <w:left w:w="57" w:type="dxa"/>
              <w:right w:w="57" w:type="dxa"/>
            </w:tcMar>
          </w:tcPr>
          <w:p w14:paraId="48321B9C" w14:textId="77777777" w:rsidR="00142EB8" w:rsidRPr="0066121B" w:rsidRDefault="00142EB8" w:rsidP="00D34DB8">
            <w:pPr>
              <w:jc w:val="center"/>
              <w:rPr>
                <w:sz w:val="16"/>
                <w:szCs w:val="20"/>
              </w:rPr>
            </w:pPr>
          </w:p>
        </w:tc>
        <w:tc>
          <w:tcPr>
            <w:tcW w:w="834" w:type="pct"/>
            <w:shd w:val="clear" w:color="auto" w:fill="auto"/>
            <w:tcMar>
              <w:left w:w="57" w:type="dxa"/>
              <w:right w:w="57" w:type="dxa"/>
            </w:tcMar>
          </w:tcPr>
          <w:p w14:paraId="455A1234" w14:textId="77777777" w:rsidR="00142EB8" w:rsidRPr="0066121B" w:rsidRDefault="00142EB8" w:rsidP="00D34DB8">
            <w:pPr>
              <w:jc w:val="center"/>
              <w:rPr>
                <w:sz w:val="16"/>
                <w:szCs w:val="20"/>
              </w:rPr>
            </w:pPr>
          </w:p>
        </w:tc>
        <w:tc>
          <w:tcPr>
            <w:tcW w:w="901" w:type="pct"/>
            <w:shd w:val="clear" w:color="auto" w:fill="auto"/>
            <w:tcMar>
              <w:left w:w="57" w:type="dxa"/>
              <w:right w:w="57" w:type="dxa"/>
            </w:tcMar>
          </w:tcPr>
          <w:p w14:paraId="2B792943" w14:textId="77777777" w:rsidR="00142EB8" w:rsidRPr="0066121B" w:rsidRDefault="00142EB8" w:rsidP="00D34DB8">
            <w:pPr>
              <w:jc w:val="center"/>
              <w:rPr>
                <w:sz w:val="16"/>
                <w:szCs w:val="20"/>
              </w:rPr>
            </w:pPr>
          </w:p>
        </w:tc>
      </w:tr>
      <w:tr w:rsidR="00C6114C" w:rsidRPr="0066121B" w14:paraId="164F3588" w14:textId="77777777" w:rsidTr="008F2CA3">
        <w:trPr>
          <w:trHeight w:hRule="exact" w:val="227"/>
        </w:trPr>
        <w:tc>
          <w:tcPr>
            <w:tcW w:w="2293" w:type="pct"/>
            <w:shd w:val="clear" w:color="auto" w:fill="auto"/>
            <w:tcMar>
              <w:left w:w="57" w:type="dxa"/>
              <w:right w:w="57" w:type="dxa"/>
            </w:tcMar>
          </w:tcPr>
          <w:p w14:paraId="01EB1AAF" w14:textId="77777777" w:rsidR="00142EB8" w:rsidRPr="0066121B" w:rsidRDefault="00142EB8" w:rsidP="00D34DB8">
            <w:pPr>
              <w:jc w:val="left"/>
              <w:rPr>
                <w:rFonts w:cs="Arial"/>
                <w:i/>
                <w:sz w:val="16"/>
                <w:szCs w:val="20"/>
              </w:rPr>
            </w:pPr>
            <w:r w:rsidRPr="0066121B">
              <w:rPr>
                <w:rFonts w:cs="Arial"/>
                <w:i/>
                <w:sz w:val="16"/>
                <w:szCs w:val="20"/>
              </w:rPr>
              <w:t xml:space="preserve">      No</w:t>
            </w:r>
          </w:p>
        </w:tc>
        <w:tc>
          <w:tcPr>
            <w:tcW w:w="971" w:type="pct"/>
            <w:shd w:val="clear" w:color="auto" w:fill="auto"/>
            <w:tcMar>
              <w:left w:w="57" w:type="dxa"/>
              <w:right w:w="57" w:type="dxa"/>
            </w:tcMar>
          </w:tcPr>
          <w:p w14:paraId="336B5E74" w14:textId="5DF40E9E" w:rsidR="00142EB8" w:rsidRPr="0066121B" w:rsidRDefault="00142EB8" w:rsidP="00D34DB8">
            <w:pPr>
              <w:jc w:val="center"/>
              <w:rPr>
                <w:sz w:val="16"/>
                <w:szCs w:val="20"/>
              </w:rPr>
            </w:pPr>
            <w:r w:rsidRPr="0066121B">
              <w:rPr>
                <w:sz w:val="16"/>
                <w:szCs w:val="20"/>
              </w:rPr>
              <w:t>237,685 (96</w:t>
            </w:r>
            <w:r w:rsidR="00EA4945">
              <w:rPr>
                <w:sz w:val="16"/>
                <w:szCs w:val="16"/>
              </w:rPr>
              <w:t>.0</w:t>
            </w:r>
            <w:r w:rsidRPr="0066121B">
              <w:rPr>
                <w:sz w:val="16"/>
                <w:szCs w:val="20"/>
              </w:rPr>
              <w:t>%)</w:t>
            </w:r>
          </w:p>
        </w:tc>
        <w:tc>
          <w:tcPr>
            <w:tcW w:w="834" w:type="pct"/>
            <w:shd w:val="clear" w:color="auto" w:fill="auto"/>
            <w:tcMar>
              <w:left w:w="57" w:type="dxa"/>
              <w:right w:w="57" w:type="dxa"/>
            </w:tcMar>
          </w:tcPr>
          <w:p w14:paraId="3913486F" w14:textId="6441848A" w:rsidR="00142EB8" w:rsidRPr="0066121B" w:rsidRDefault="00142EB8" w:rsidP="00D34DB8">
            <w:pPr>
              <w:jc w:val="center"/>
              <w:rPr>
                <w:sz w:val="16"/>
                <w:szCs w:val="20"/>
              </w:rPr>
            </w:pPr>
            <w:r w:rsidRPr="0066121B">
              <w:rPr>
                <w:sz w:val="16"/>
                <w:szCs w:val="20"/>
              </w:rPr>
              <w:t>24,875 (</w:t>
            </w:r>
            <w:r w:rsidR="00EA4945">
              <w:rPr>
                <w:sz w:val="16"/>
                <w:szCs w:val="16"/>
              </w:rPr>
              <w:t>95.5</w:t>
            </w:r>
            <w:r w:rsidRPr="0066121B">
              <w:rPr>
                <w:sz w:val="16"/>
                <w:szCs w:val="20"/>
              </w:rPr>
              <w:t>%)</w:t>
            </w:r>
          </w:p>
        </w:tc>
        <w:tc>
          <w:tcPr>
            <w:tcW w:w="901" w:type="pct"/>
            <w:shd w:val="clear" w:color="auto" w:fill="auto"/>
            <w:tcMar>
              <w:left w:w="57" w:type="dxa"/>
              <w:right w:w="57" w:type="dxa"/>
            </w:tcMar>
          </w:tcPr>
          <w:p w14:paraId="33CE8EF6" w14:textId="40868E41" w:rsidR="00142EB8" w:rsidRPr="0066121B" w:rsidRDefault="00142EB8" w:rsidP="00D34DB8">
            <w:pPr>
              <w:jc w:val="center"/>
              <w:rPr>
                <w:sz w:val="16"/>
                <w:szCs w:val="20"/>
              </w:rPr>
            </w:pPr>
            <w:r w:rsidRPr="0066121B">
              <w:rPr>
                <w:sz w:val="16"/>
                <w:szCs w:val="20"/>
              </w:rPr>
              <w:t>315,090 (</w:t>
            </w:r>
            <w:r w:rsidR="00EA4945">
              <w:rPr>
                <w:sz w:val="16"/>
                <w:szCs w:val="16"/>
              </w:rPr>
              <w:t>96.5</w:t>
            </w:r>
            <w:r w:rsidRPr="0066121B">
              <w:rPr>
                <w:sz w:val="16"/>
                <w:szCs w:val="20"/>
              </w:rPr>
              <w:t>%)</w:t>
            </w:r>
          </w:p>
        </w:tc>
      </w:tr>
      <w:tr w:rsidR="00C6114C" w:rsidRPr="0066121B" w14:paraId="408B2E87" w14:textId="77777777" w:rsidTr="008F2CA3">
        <w:trPr>
          <w:trHeight w:hRule="exact" w:val="227"/>
        </w:trPr>
        <w:tc>
          <w:tcPr>
            <w:tcW w:w="2293" w:type="pct"/>
            <w:shd w:val="clear" w:color="auto" w:fill="auto"/>
            <w:tcMar>
              <w:left w:w="57" w:type="dxa"/>
              <w:right w:w="57" w:type="dxa"/>
            </w:tcMar>
          </w:tcPr>
          <w:p w14:paraId="77C564CA" w14:textId="77777777" w:rsidR="00142EB8" w:rsidRPr="0066121B" w:rsidRDefault="00142EB8" w:rsidP="00D34DB8">
            <w:pPr>
              <w:jc w:val="left"/>
              <w:rPr>
                <w:rFonts w:cs="Arial"/>
                <w:i/>
                <w:sz w:val="16"/>
                <w:szCs w:val="20"/>
              </w:rPr>
            </w:pPr>
            <w:r w:rsidRPr="0066121B">
              <w:rPr>
                <w:rFonts w:cs="Arial"/>
                <w:i/>
                <w:sz w:val="16"/>
                <w:szCs w:val="20"/>
              </w:rPr>
              <w:t xml:space="preserve">      Yes</w:t>
            </w:r>
          </w:p>
        </w:tc>
        <w:tc>
          <w:tcPr>
            <w:tcW w:w="971" w:type="pct"/>
            <w:shd w:val="clear" w:color="auto" w:fill="auto"/>
            <w:tcMar>
              <w:left w:w="57" w:type="dxa"/>
              <w:right w:w="57" w:type="dxa"/>
            </w:tcMar>
          </w:tcPr>
          <w:p w14:paraId="6AB89709" w14:textId="723C577F" w:rsidR="00142EB8" w:rsidRPr="0066121B" w:rsidRDefault="00142EB8" w:rsidP="00D34DB8">
            <w:pPr>
              <w:jc w:val="center"/>
              <w:rPr>
                <w:sz w:val="16"/>
                <w:szCs w:val="20"/>
              </w:rPr>
            </w:pPr>
            <w:r w:rsidRPr="0066121B">
              <w:rPr>
                <w:sz w:val="16"/>
                <w:szCs w:val="20"/>
              </w:rPr>
              <w:t>9,819 (4</w:t>
            </w:r>
            <w:r w:rsidR="00EA4945">
              <w:rPr>
                <w:sz w:val="16"/>
                <w:szCs w:val="16"/>
              </w:rPr>
              <w:t>.0</w:t>
            </w:r>
            <w:r w:rsidRPr="0066121B">
              <w:rPr>
                <w:sz w:val="16"/>
                <w:szCs w:val="20"/>
              </w:rPr>
              <w:t>%)</w:t>
            </w:r>
          </w:p>
        </w:tc>
        <w:tc>
          <w:tcPr>
            <w:tcW w:w="834" w:type="pct"/>
            <w:shd w:val="clear" w:color="auto" w:fill="auto"/>
            <w:tcMar>
              <w:left w:w="57" w:type="dxa"/>
              <w:right w:w="57" w:type="dxa"/>
            </w:tcMar>
          </w:tcPr>
          <w:p w14:paraId="468725A3" w14:textId="0FF58FC9" w:rsidR="00142EB8" w:rsidRPr="0066121B" w:rsidRDefault="00142EB8" w:rsidP="00D34DB8">
            <w:pPr>
              <w:jc w:val="center"/>
              <w:rPr>
                <w:sz w:val="16"/>
                <w:szCs w:val="20"/>
              </w:rPr>
            </w:pPr>
            <w:r w:rsidRPr="0066121B">
              <w:rPr>
                <w:sz w:val="16"/>
                <w:szCs w:val="20"/>
              </w:rPr>
              <w:t>1,161 (4</w:t>
            </w:r>
            <w:r w:rsidR="00EA4945">
              <w:rPr>
                <w:sz w:val="16"/>
                <w:szCs w:val="16"/>
              </w:rPr>
              <w:t>.5</w:t>
            </w:r>
            <w:r w:rsidRPr="0066121B">
              <w:rPr>
                <w:sz w:val="16"/>
                <w:szCs w:val="20"/>
              </w:rPr>
              <w:t>%)</w:t>
            </w:r>
          </w:p>
        </w:tc>
        <w:tc>
          <w:tcPr>
            <w:tcW w:w="901" w:type="pct"/>
            <w:shd w:val="clear" w:color="auto" w:fill="auto"/>
            <w:tcMar>
              <w:left w:w="57" w:type="dxa"/>
              <w:right w:w="57" w:type="dxa"/>
            </w:tcMar>
          </w:tcPr>
          <w:p w14:paraId="49BBB13C" w14:textId="5A99D408" w:rsidR="00142EB8" w:rsidRPr="0066121B" w:rsidRDefault="00142EB8" w:rsidP="00D34DB8">
            <w:pPr>
              <w:jc w:val="center"/>
              <w:rPr>
                <w:sz w:val="16"/>
                <w:szCs w:val="20"/>
              </w:rPr>
            </w:pPr>
            <w:r w:rsidRPr="0066121B">
              <w:rPr>
                <w:sz w:val="16"/>
                <w:szCs w:val="20"/>
              </w:rPr>
              <w:t>11,282 (3</w:t>
            </w:r>
            <w:r w:rsidR="00EA4945">
              <w:rPr>
                <w:sz w:val="16"/>
                <w:szCs w:val="16"/>
              </w:rPr>
              <w:t>.5</w:t>
            </w:r>
            <w:r w:rsidRPr="0066121B">
              <w:rPr>
                <w:sz w:val="16"/>
                <w:szCs w:val="20"/>
              </w:rPr>
              <w:t>%)</w:t>
            </w:r>
          </w:p>
        </w:tc>
      </w:tr>
      <w:tr w:rsidR="00C6114C" w:rsidRPr="0066121B" w14:paraId="6B99138E" w14:textId="77777777" w:rsidTr="008F2CA3">
        <w:trPr>
          <w:trHeight w:hRule="exact" w:val="227"/>
        </w:trPr>
        <w:tc>
          <w:tcPr>
            <w:tcW w:w="2293" w:type="pct"/>
            <w:shd w:val="clear" w:color="auto" w:fill="F2F2F2" w:themeFill="background1" w:themeFillShade="F2"/>
            <w:tcMar>
              <w:left w:w="57" w:type="dxa"/>
              <w:right w:w="57" w:type="dxa"/>
            </w:tcMar>
          </w:tcPr>
          <w:p w14:paraId="3684C1D1" w14:textId="3CBEF890" w:rsidR="00142EB8" w:rsidRPr="0066121B" w:rsidRDefault="00142EB8" w:rsidP="00D34DB8">
            <w:pPr>
              <w:jc w:val="left"/>
              <w:rPr>
                <w:rFonts w:cs="Arial"/>
                <w:sz w:val="16"/>
                <w:szCs w:val="20"/>
              </w:rPr>
            </w:pPr>
            <w:r w:rsidRPr="0066121B">
              <w:rPr>
                <w:rFonts w:cs="Arial"/>
                <w:sz w:val="16"/>
                <w:szCs w:val="20"/>
              </w:rPr>
              <w:t>BMI in kg/m</w:t>
            </w:r>
            <w:r w:rsidRPr="0066121B">
              <w:rPr>
                <w:rFonts w:cs="Arial"/>
                <w:sz w:val="16"/>
                <w:szCs w:val="20"/>
                <w:vertAlign w:val="superscript"/>
              </w:rPr>
              <w:t>2</w:t>
            </w:r>
            <w:r w:rsidRPr="0066121B">
              <w:rPr>
                <w:rFonts w:cs="Arial"/>
                <w:sz w:val="16"/>
                <w:szCs w:val="20"/>
              </w:rPr>
              <w:t>, mean (SD)</w:t>
            </w:r>
          </w:p>
        </w:tc>
        <w:tc>
          <w:tcPr>
            <w:tcW w:w="971" w:type="pct"/>
            <w:shd w:val="clear" w:color="auto" w:fill="F2F2F2" w:themeFill="background1" w:themeFillShade="F2"/>
            <w:tcMar>
              <w:left w:w="57" w:type="dxa"/>
              <w:right w:w="57" w:type="dxa"/>
            </w:tcMar>
          </w:tcPr>
          <w:p w14:paraId="1E0C416D" w14:textId="7854DE90" w:rsidR="00142EB8" w:rsidRPr="0066121B" w:rsidRDefault="00142EB8" w:rsidP="00D34DB8">
            <w:pPr>
              <w:jc w:val="center"/>
              <w:rPr>
                <w:sz w:val="16"/>
                <w:szCs w:val="20"/>
              </w:rPr>
            </w:pPr>
            <w:r w:rsidRPr="0066121B">
              <w:rPr>
                <w:sz w:val="16"/>
                <w:szCs w:val="20"/>
              </w:rPr>
              <w:t>26.1 (3.8)</w:t>
            </w:r>
          </w:p>
        </w:tc>
        <w:tc>
          <w:tcPr>
            <w:tcW w:w="834" w:type="pct"/>
            <w:shd w:val="clear" w:color="auto" w:fill="F2F2F2" w:themeFill="background1" w:themeFillShade="F2"/>
            <w:tcMar>
              <w:left w:w="57" w:type="dxa"/>
              <w:right w:w="57" w:type="dxa"/>
            </w:tcMar>
          </w:tcPr>
          <w:p w14:paraId="5736A58C" w14:textId="6AEB448E" w:rsidR="00142EB8" w:rsidRPr="0066121B" w:rsidRDefault="00142EB8" w:rsidP="00D34DB8">
            <w:pPr>
              <w:jc w:val="center"/>
              <w:rPr>
                <w:sz w:val="16"/>
                <w:szCs w:val="20"/>
              </w:rPr>
            </w:pPr>
            <w:r w:rsidRPr="0066121B">
              <w:rPr>
                <w:sz w:val="16"/>
                <w:szCs w:val="20"/>
              </w:rPr>
              <w:t>26.4 (4.1)</w:t>
            </w:r>
          </w:p>
        </w:tc>
        <w:tc>
          <w:tcPr>
            <w:tcW w:w="901" w:type="pct"/>
            <w:shd w:val="clear" w:color="auto" w:fill="F2F2F2" w:themeFill="background1" w:themeFillShade="F2"/>
            <w:tcMar>
              <w:left w:w="57" w:type="dxa"/>
              <w:right w:w="57" w:type="dxa"/>
            </w:tcMar>
          </w:tcPr>
          <w:p w14:paraId="6679D97A" w14:textId="77777777" w:rsidR="00142EB8" w:rsidRPr="0066121B" w:rsidRDefault="00142EB8" w:rsidP="00D34DB8">
            <w:pPr>
              <w:jc w:val="center"/>
              <w:rPr>
                <w:sz w:val="16"/>
                <w:szCs w:val="20"/>
              </w:rPr>
            </w:pPr>
            <w:r w:rsidRPr="0066121B">
              <w:rPr>
                <w:sz w:val="16"/>
                <w:szCs w:val="20"/>
              </w:rPr>
              <w:t>27.0 (4.4)</w:t>
            </w:r>
          </w:p>
        </w:tc>
      </w:tr>
      <w:tr w:rsidR="00C6114C" w:rsidRPr="0066121B" w14:paraId="690A3FC7" w14:textId="77777777" w:rsidTr="008F2CA3">
        <w:trPr>
          <w:trHeight w:hRule="exact" w:val="227"/>
        </w:trPr>
        <w:tc>
          <w:tcPr>
            <w:tcW w:w="2293" w:type="pct"/>
            <w:shd w:val="clear" w:color="auto" w:fill="auto"/>
            <w:tcMar>
              <w:left w:w="57" w:type="dxa"/>
              <w:right w:w="57" w:type="dxa"/>
            </w:tcMar>
          </w:tcPr>
          <w:p w14:paraId="6A90208D" w14:textId="5D6214D4" w:rsidR="00142EB8" w:rsidRPr="0066121B" w:rsidRDefault="00142EB8" w:rsidP="00D34DB8">
            <w:pPr>
              <w:jc w:val="left"/>
              <w:rPr>
                <w:rFonts w:cs="Arial"/>
                <w:sz w:val="16"/>
                <w:szCs w:val="20"/>
              </w:rPr>
            </w:pPr>
            <w:r w:rsidRPr="0066121B">
              <w:rPr>
                <w:rFonts w:cs="Arial"/>
                <w:sz w:val="16"/>
                <w:szCs w:val="20"/>
              </w:rPr>
              <w:t>HDL-C in mmol/l, mean (SD)</w:t>
            </w:r>
          </w:p>
        </w:tc>
        <w:tc>
          <w:tcPr>
            <w:tcW w:w="971" w:type="pct"/>
            <w:shd w:val="clear" w:color="auto" w:fill="auto"/>
            <w:tcMar>
              <w:left w:w="57" w:type="dxa"/>
              <w:right w:w="57" w:type="dxa"/>
            </w:tcMar>
          </w:tcPr>
          <w:p w14:paraId="363DA5B4" w14:textId="3FD6A5B3" w:rsidR="00142EB8" w:rsidRPr="0066121B" w:rsidRDefault="00142EB8" w:rsidP="00D34DB8">
            <w:pPr>
              <w:jc w:val="center"/>
              <w:rPr>
                <w:sz w:val="16"/>
                <w:szCs w:val="20"/>
              </w:rPr>
            </w:pPr>
            <w:r w:rsidRPr="0066121B">
              <w:rPr>
                <w:sz w:val="16"/>
                <w:szCs w:val="20"/>
              </w:rPr>
              <w:t>1.</w:t>
            </w:r>
            <w:r w:rsidR="00EA4945" w:rsidRPr="004769C3">
              <w:rPr>
                <w:sz w:val="16"/>
                <w:szCs w:val="16"/>
              </w:rPr>
              <w:t>4</w:t>
            </w:r>
            <w:r w:rsidR="00EA4945">
              <w:rPr>
                <w:sz w:val="16"/>
                <w:szCs w:val="16"/>
              </w:rPr>
              <w:t>0</w:t>
            </w:r>
            <w:r w:rsidRPr="0066121B">
              <w:rPr>
                <w:sz w:val="16"/>
                <w:szCs w:val="20"/>
              </w:rPr>
              <w:t xml:space="preserve"> (0.</w:t>
            </w:r>
            <w:r w:rsidR="00EA4945" w:rsidRPr="004769C3">
              <w:rPr>
                <w:sz w:val="16"/>
                <w:szCs w:val="16"/>
              </w:rPr>
              <w:t>4</w:t>
            </w:r>
            <w:r w:rsidR="00EA4945">
              <w:rPr>
                <w:sz w:val="16"/>
                <w:szCs w:val="16"/>
              </w:rPr>
              <w:t>1</w:t>
            </w:r>
            <w:r w:rsidRPr="0066121B">
              <w:rPr>
                <w:sz w:val="16"/>
                <w:szCs w:val="20"/>
              </w:rPr>
              <w:t>)</w:t>
            </w:r>
          </w:p>
        </w:tc>
        <w:tc>
          <w:tcPr>
            <w:tcW w:w="834" w:type="pct"/>
            <w:shd w:val="clear" w:color="auto" w:fill="auto"/>
            <w:tcMar>
              <w:left w:w="57" w:type="dxa"/>
              <w:right w:w="57" w:type="dxa"/>
            </w:tcMar>
          </w:tcPr>
          <w:p w14:paraId="760AB41E" w14:textId="0EEDFA05" w:rsidR="00142EB8" w:rsidRPr="0066121B" w:rsidRDefault="00142EB8" w:rsidP="00D34DB8">
            <w:pPr>
              <w:jc w:val="center"/>
              <w:rPr>
                <w:sz w:val="16"/>
                <w:szCs w:val="20"/>
              </w:rPr>
            </w:pPr>
            <w:r w:rsidRPr="0066121B">
              <w:rPr>
                <w:sz w:val="16"/>
                <w:szCs w:val="20"/>
              </w:rPr>
              <w:t>1.</w:t>
            </w:r>
            <w:r w:rsidR="00EA4945">
              <w:rPr>
                <w:sz w:val="16"/>
                <w:szCs w:val="16"/>
              </w:rPr>
              <w:t>40</w:t>
            </w:r>
            <w:r w:rsidRPr="0066121B">
              <w:rPr>
                <w:sz w:val="16"/>
                <w:szCs w:val="20"/>
              </w:rPr>
              <w:t xml:space="preserve"> (0.</w:t>
            </w:r>
            <w:r w:rsidR="00EA4945" w:rsidRPr="004769C3">
              <w:rPr>
                <w:sz w:val="16"/>
                <w:szCs w:val="16"/>
              </w:rPr>
              <w:t>4</w:t>
            </w:r>
            <w:r w:rsidR="00EA4945">
              <w:rPr>
                <w:sz w:val="16"/>
                <w:szCs w:val="16"/>
              </w:rPr>
              <w:t>2</w:t>
            </w:r>
            <w:r w:rsidRPr="0066121B">
              <w:rPr>
                <w:sz w:val="16"/>
                <w:szCs w:val="20"/>
              </w:rPr>
              <w:t>)</w:t>
            </w:r>
          </w:p>
        </w:tc>
        <w:tc>
          <w:tcPr>
            <w:tcW w:w="901" w:type="pct"/>
            <w:shd w:val="clear" w:color="auto" w:fill="auto"/>
            <w:tcMar>
              <w:left w:w="57" w:type="dxa"/>
              <w:right w:w="57" w:type="dxa"/>
            </w:tcMar>
          </w:tcPr>
          <w:p w14:paraId="13ACD8EA" w14:textId="5DF08FB1" w:rsidR="00142EB8" w:rsidRPr="0066121B" w:rsidRDefault="00142EB8" w:rsidP="00D34DB8">
            <w:pPr>
              <w:jc w:val="center"/>
              <w:rPr>
                <w:sz w:val="16"/>
                <w:szCs w:val="20"/>
              </w:rPr>
            </w:pPr>
            <w:r w:rsidRPr="0066121B">
              <w:rPr>
                <w:sz w:val="16"/>
                <w:szCs w:val="20"/>
              </w:rPr>
              <w:t>not available</w:t>
            </w:r>
            <w:r w:rsidR="008E1127">
              <w:rPr>
                <w:sz w:val="16"/>
                <w:szCs w:val="20"/>
              </w:rPr>
              <w:t>*</w:t>
            </w:r>
          </w:p>
        </w:tc>
      </w:tr>
      <w:tr w:rsidR="00C6114C" w:rsidRPr="0066121B" w14:paraId="2A1C83B0" w14:textId="77777777" w:rsidTr="008F2CA3">
        <w:trPr>
          <w:trHeight w:hRule="exact" w:val="227"/>
        </w:trPr>
        <w:tc>
          <w:tcPr>
            <w:tcW w:w="2293" w:type="pct"/>
            <w:shd w:val="clear" w:color="auto" w:fill="F2F2F2" w:themeFill="background1" w:themeFillShade="F2"/>
            <w:tcMar>
              <w:left w:w="57" w:type="dxa"/>
              <w:right w:w="57" w:type="dxa"/>
            </w:tcMar>
          </w:tcPr>
          <w:p w14:paraId="493DAD07" w14:textId="2F453EED" w:rsidR="00142EB8" w:rsidRPr="0066121B" w:rsidRDefault="00142EB8" w:rsidP="00D34DB8">
            <w:pPr>
              <w:jc w:val="left"/>
              <w:rPr>
                <w:rFonts w:cs="Arial"/>
                <w:sz w:val="16"/>
                <w:szCs w:val="20"/>
                <w:lang w:val="it-IT"/>
              </w:rPr>
            </w:pPr>
            <w:r w:rsidRPr="0066121B">
              <w:rPr>
                <w:rFonts w:cs="Arial"/>
                <w:sz w:val="16"/>
                <w:szCs w:val="20"/>
                <w:lang w:val="it-IT"/>
              </w:rPr>
              <w:t xml:space="preserve">Total cholesterol in mmol/l, mean (SD) </w:t>
            </w:r>
          </w:p>
        </w:tc>
        <w:tc>
          <w:tcPr>
            <w:tcW w:w="971" w:type="pct"/>
            <w:shd w:val="clear" w:color="auto" w:fill="F2F2F2" w:themeFill="background1" w:themeFillShade="F2"/>
            <w:tcMar>
              <w:left w:w="57" w:type="dxa"/>
              <w:right w:w="57" w:type="dxa"/>
            </w:tcMar>
          </w:tcPr>
          <w:p w14:paraId="5E23C96C" w14:textId="61D3993F" w:rsidR="00142EB8" w:rsidRPr="0066121B" w:rsidRDefault="00142EB8" w:rsidP="00D34DB8">
            <w:pPr>
              <w:jc w:val="center"/>
              <w:rPr>
                <w:sz w:val="16"/>
                <w:szCs w:val="20"/>
              </w:rPr>
            </w:pPr>
            <w:r w:rsidRPr="0066121B">
              <w:rPr>
                <w:sz w:val="16"/>
                <w:szCs w:val="20"/>
              </w:rPr>
              <w:t>5.</w:t>
            </w:r>
            <w:r w:rsidR="00EA4945" w:rsidRPr="0066121B">
              <w:rPr>
                <w:sz w:val="16"/>
                <w:szCs w:val="20"/>
              </w:rPr>
              <w:t>8</w:t>
            </w:r>
            <w:r w:rsidR="00EA4945">
              <w:rPr>
                <w:sz w:val="16"/>
                <w:szCs w:val="20"/>
              </w:rPr>
              <w:t>0</w:t>
            </w:r>
            <w:r w:rsidRPr="0066121B">
              <w:rPr>
                <w:sz w:val="16"/>
                <w:szCs w:val="20"/>
              </w:rPr>
              <w:t xml:space="preserve"> (1.</w:t>
            </w:r>
            <w:r w:rsidR="00EA4945" w:rsidRPr="0066121B">
              <w:rPr>
                <w:sz w:val="16"/>
                <w:szCs w:val="20"/>
              </w:rPr>
              <w:t>1</w:t>
            </w:r>
            <w:r w:rsidR="00EA4945">
              <w:rPr>
                <w:sz w:val="16"/>
                <w:szCs w:val="20"/>
              </w:rPr>
              <w:t>7</w:t>
            </w:r>
            <w:r w:rsidRPr="0066121B">
              <w:rPr>
                <w:sz w:val="16"/>
                <w:szCs w:val="20"/>
              </w:rPr>
              <w:t>)</w:t>
            </w:r>
          </w:p>
        </w:tc>
        <w:tc>
          <w:tcPr>
            <w:tcW w:w="834" w:type="pct"/>
            <w:shd w:val="clear" w:color="auto" w:fill="F2F2F2" w:themeFill="background1" w:themeFillShade="F2"/>
            <w:tcMar>
              <w:left w:w="57" w:type="dxa"/>
              <w:right w:w="57" w:type="dxa"/>
            </w:tcMar>
          </w:tcPr>
          <w:p w14:paraId="1DF312F2" w14:textId="0DAB0112" w:rsidR="00142EB8" w:rsidRPr="0066121B" w:rsidRDefault="00142EB8" w:rsidP="00D34DB8">
            <w:pPr>
              <w:jc w:val="center"/>
              <w:rPr>
                <w:sz w:val="16"/>
                <w:szCs w:val="20"/>
              </w:rPr>
            </w:pPr>
            <w:r w:rsidRPr="0066121B">
              <w:rPr>
                <w:sz w:val="16"/>
                <w:szCs w:val="20"/>
              </w:rPr>
              <w:t>6.</w:t>
            </w:r>
            <w:r w:rsidR="00EA4945" w:rsidRPr="0066121B">
              <w:rPr>
                <w:sz w:val="16"/>
                <w:szCs w:val="20"/>
              </w:rPr>
              <w:t>1</w:t>
            </w:r>
            <w:r w:rsidR="00EA4945">
              <w:rPr>
                <w:sz w:val="16"/>
                <w:szCs w:val="20"/>
              </w:rPr>
              <w:t>1 (</w:t>
            </w:r>
            <w:r w:rsidRPr="0066121B">
              <w:rPr>
                <w:sz w:val="16"/>
                <w:szCs w:val="20"/>
              </w:rPr>
              <w:t>1</w:t>
            </w:r>
            <w:r w:rsidR="00EA4945">
              <w:rPr>
                <w:sz w:val="16"/>
                <w:szCs w:val="20"/>
              </w:rPr>
              <w:t>.16</w:t>
            </w:r>
            <w:r w:rsidRPr="0066121B">
              <w:rPr>
                <w:sz w:val="16"/>
                <w:szCs w:val="20"/>
              </w:rPr>
              <w:t>)</w:t>
            </w:r>
          </w:p>
        </w:tc>
        <w:tc>
          <w:tcPr>
            <w:tcW w:w="901" w:type="pct"/>
            <w:shd w:val="clear" w:color="auto" w:fill="F2F2F2" w:themeFill="background1" w:themeFillShade="F2"/>
            <w:tcMar>
              <w:left w:w="57" w:type="dxa"/>
              <w:right w:w="57" w:type="dxa"/>
            </w:tcMar>
          </w:tcPr>
          <w:p w14:paraId="112A982C" w14:textId="70C5626C" w:rsidR="00142EB8" w:rsidRPr="0066121B" w:rsidRDefault="00142EB8" w:rsidP="00D34DB8">
            <w:pPr>
              <w:jc w:val="center"/>
              <w:rPr>
                <w:sz w:val="16"/>
                <w:szCs w:val="20"/>
              </w:rPr>
            </w:pPr>
            <w:r w:rsidRPr="0066121B">
              <w:rPr>
                <w:sz w:val="16"/>
                <w:szCs w:val="20"/>
              </w:rPr>
              <w:t>not available</w:t>
            </w:r>
            <w:r w:rsidR="008E1127">
              <w:rPr>
                <w:sz w:val="16"/>
                <w:szCs w:val="20"/>
              </w:rPr>
              <w:t>*</w:t>
            </w:r>
          </w:p>
        </w:tc>
      </w:tr>
      <w:tr w:rsidR="00C6114C" w:rsidRPr="0066121B" w14:paraId="73B319F7" w14:textId="77777777" w:rsidTr="008F2CA3">
        <w:trPr>
          <w:trHeight w:hRule="exact" w:val="227"/>
        </w:trPr>
        <w:tc>
          <w:tcPr>
            <w:tcW w:w="2293" w:type="pct"/>
            <w:shd w:val="clear" w:color="auto" w:fill="auto"/>
            <w:tcMar>
              <w:left w:w="57" w:type="dxa"/>
              <w:right w:w="57" w:type="dxa"/>
            </w:tcMar>
          </w:tcPr>
          <w:p w14:paraId="22F4B727" w14:textId="29FFFCBC" w:rsidR="00142EB8" w:rsidRPr="0066121B" w:rsidRDefault="00142EB8" w:rsidP="00D34DB8">
            <w:pPr>
              <w:jc w:val="left"/>
              <w:rPr>
                <w:rFonts w:cs="Arial"/>
                <w:sz w:val="16"/>
                <w:szCs w:val="20"/>
                <w:lang w:val="it-IT"/>
              </w:rPr>
            </w:pPr>
            <w:r w:rsidRPr="0066121B">
              <w:rPr>
                <w:rFonts w:cs="Arial"/>
                <w:sz w:val="16"/>
                <w:szCs w:val="20"/>
              </w:rPr>
              <w:t xml:space="preserve">Systolic blood pressure in mmHg, mean(SD)  </w:t>
            </w:r>
          </w:p>
        </w:tc>
        <w:tc>
          <w:tcPr>
            <w:tcW w:w="971" w:type="pct"/>
            <w:shd w:val="clear" w:color="auto" w:fill="auto"/>
            <w:tcMar>
              <w:left w:w="57" w:type="dxa"/>
              <w:right w:w="57" w:type="dxa"/>
            </w:tcMar>
          </w:tcPr>
          <w:p w14:paraId="21232032" w14:textId="74C7903C" w:rsidR="00142EB8" w:rsidRPr="0066121B" w:rsidRDefault="00142EB8" w:rsidP="00D34DB8">
            <w:pPr>
              <w:jc w:val="center"/>
              <w:rPr>
                <w:sz w:val="16"/>
                <w:szCs w:val="20"/>
              </w:rPr>
            </w:pPr>
            <w:r w:rsidRPr="0066121B">
              <w:rPr>
                <w:sz w:val="16"/>
                <w:szCs w:val="20"/>
              </w:rPr>
              <w:t>136.5 (19.0)</w:t>
            </w:r>
          </w:p>
        </w:tc>
        <w:tc>
          <w:tcPr>
            <w:tcW w:w="834" w:type="pct"/>
            <w:shd w:val="clear" w:color="auto" w:fill="auto"/>
            <w:tcMar>
              <w:left w:w="57" w:type="dxa"/>
              <w:right w:w="57" w:type="dxa"/>
            </w:tcMar>
          </w:tcPr>
          <w:p w14:paraId="5B96ED83" w14:textId="26F5435C" w:rsidR="00142EB8" w:rsidRPr="0066121B" w:rsidRDefault="00142EB8" w:rsidP="00D34DB8">
            <w:pPr>
              <w:jc w:val="center"/>
              <w:rPr>
                <w:sz w:val="16"/>
                <w:szCs w:val="20"/>
              </w:rPr>
            </w:pPr>
            <w:r w:rsidRPr="0066121B">
              <w:rPr>
                <w:sz w:val="16"/>
                <w:szCs w:val="20"/>
              </w:rPr>
              <w:t>138.4 (21.3)</w:t>
            </w:r>
          </w:p>
        </w:tc>
        <w:tc>
          <w:tcPr>
            <w:tcW w:w="901" w:type="pct"/>
            <w:shd w:val="clear" w:color="auto" w:fill="auto"/>
            <w:tcMar>
              <w:left w:w="57" w:type="dxa"/>
              <w:right w:w="57" w:type="dxa"/>
            </w:tcMar>
          </w:tcPr>
          <w:p w14:paraId="4822A224" w14:textId="77777777" w:rsidR="00142EB8" w:rsidRPr="0066121B" w:rsidRDefault="00142EB8" w:rsidP="00D34DB8">
            <w:pPr>
              <w:jc w:val="center"/>
              <w:rPr>
                <w:sz w:val="16"/>
                <w:szCs w:val="20"/>
              </w:rPr>
            </w:pPr>
            <w:r w:rsidRPr="0066121B">
              <w:rPr>
                <w:sz w:val="16"/>
                <w:szCs w:val="20"/>
              </w:rPr>
              <w:t>137.9 (18.5)</w:t>
            </w:r>
          </w:p>
        </w:tc>
      </w:tr>
      <w:tr w:rsidR="00C6114C" w:rsidRPr="0066121B" w14:paraId="38D15EB2" w14:textId="77777777" w:rsidTr="008F2CA3">
        <w:trPr>
          <w:trHeight w:hRule="exact" w:val="227"/>
        </w:trPr>
        <w:tc>
          <w:tcPr>
            <w:tcW w:w="4099" w:type="pct"/>
            <w:gridSpan w:val="3"/>
            <w:shd w:val="clear" w:color="auto" w:fill="F2F2F2" w:themeFill="background1" w:themeFillShade="F2"/>
            <w:tcMar>
              <w:left w:w="57" w:type="dxa"/>
              <w:right w:w="57" w:type="dxa"/>
            </w:tcMar>
          </w:tcPr>
          <w:p w14:paraId="5695DE48" w14:textId="1EDC20FE" w:rsidR="00C92C0D" w:rsidRPr="00C92C0D" w:rsidRDefault="00C92C0D" w:rsidP="00D34DB8">
            <w:pPr>
              <w:jc w:val="left"/>
              <w:rPr>
                <w:b/>
                <w:sz w:val="16"/>
                <w:szCs w:val="20"/>
              </w:rPr>
            </w:pPr>
            <w:r>
              <w:rPr>
                <w:rFonts w:cs="Arial"/>
                <w:b/>
                <w:sz w:val="16"/>
                <w:szCs w:val="20"/>
              </w:rPr>
              <w:t>M</w:t>
            </w:r>
            <w:r w:rsidRPr="00C92C0D">
              <w:rPr>
                <w:rFonts w:cs="Arial"/>
                <w:b/>
                <w:sz w:val="16"/>
                <w:szCs w:val="20"/>
              </w:rPr>
              <w:t>ajor outcomes restricted to current drinkers</w:t>
            </w:r>
          </w:p>
        </w:tc>
        <w:tc>
          <w:tcPr>
            <w:tcW w:w="901" w:type="pct"/>
            <w:shd w:val="clear" w:color="auto" w:fill="F2F2F2" w:themeFill="background1" w:themeFillShade="F2"/>
            <w:tcMar>
              <w:left w:w="57" w:type="dxa"/>
              <w:right w:w="57" w:type="dxa"/>
            </w:tcMar>
          </w:tcPr>
          <w:p w14:paraId="4E7D5276" w14:textId="77777777" w:rsidR="00C92C0D" w:rsidRPr="0066121B" w:rsidRDefault="00C92C0D" w:rsidP="00D34DB8">
            <w:pPr>
              <w:jc w:val="center"/>
              <w:rPr>
                <w:sz w:val="16"/>
                <w:szCs w:val="20"/>
              </w:rPr>
            </w:pPr>
          </w:p>
        </w:tc>
      </w:tr>
      <w:tr w:rsidR="00C6114C" w:rsidRPr="0066121B" w14:paraId="5E4732EF" w14:textId="77777777" w:rsidTr="008F2CA3">
        <w:trPr>
          <w:trHeight w:hRule="exact" w:val="227"/>
        </w:trPr>
        <w:tc>
          <w:tcPr>
            <w:tcW w:w="2293" w:type="pct"/>
            <w:shd w:val="clear" w:color="auto" w:fill="F2F2F2" w:themeFill="background1" w:themeFillShade="F2"/>
            <w:tcMar>
              <w:left w:w="57" w:type="dxa"/>
              <w:right w:w="57" w:type="dxa"/>
            </w:tcMar>
          </w:tcPr>
          <w:p w14:paraId="1233B643" w14:textId="77777777" w:rsidR="00C92C0D" w:rsidRDefault="00C92C0D" w:rsidP="00D34DB8">
            <w:pPr>
              <w:jc w:val="left"/>
              <w:rPr>
                <w:rFonts w:cs="Arial"/>
                <w:sz w:val="16"/>
                <w:szCs w:val="20"/>
              </w:rPr>
            </w:pPr>
            <w:r>
              <w:rPr>
                <w:rFonts w:cs="Arial"/>
                <w:sz w:val="16"/>
                <w:szCs w:val="20"/>
              </w:rPr>
              <w:t>All-cause mortality events, n</w:t>
            </w:r>
          </w:p>
          <w:p w14:paraId="314D9929" w14:textId="29B699E7" w:rsidR="00C92C0D" w:rsidRPr="0066121B" w:rsidDel="0073641D" w:rsidRDefault="00C92C0D" w:rsidP="00D34DB8">
            <w:pPr>
              <w:jc w:val="left"/>
              <w:rPr>
                <w:rFonts w:cs="Arial"/>
                <w:sz w:val="16"/>
                <w:szCs w:val="20"/>
              </w:rPr>
            </w:pPr>
            <w:r>
              <w:rPr>
                <w:rFonts w:cs="Arial"/>
                <w:sz w:val="16"/>
                <w:szCs w:val="20"/>
              </w:rPr>
              <w:t xml:space="preserve">CVD </w:t>
            </w:r>
          </w:p>
        </w:tc>
        <w:tc>
          <w:tcPr>
            <w:tcW w:w="971" w:type="pct"/>
            <w:shd w:val="clear" w:color="auto" w:fill="F2F2F2" w:themeFill="background1" w:themeFillShade="F2"/>
            <w:tcMar>
              <w:left w:w="57" w:type="dxa"/>
              <w:right w:w="57" w:type="dxa"/>
            </w:tcMar>
          </w:tcPr>
          <w:p w14:paraId="08F99576" w14:textId="37B017B9" w:rsidR="00C92C0D" w:rsidRPr="0066121B" w:rsidRDefault="00C92C0D" w:rsidP="00D34DB8">
            <w:pPr>
              <w:jc w:val="center"/>
              <w:rPr>
                <w:sz w:val="16"/>
                <w:szCs w:val="20"/>
              </w:rPr>
            </w:pPr>
            <w:r>
              <w:rPr>
                <w:sz w:val="16"/>
                <w:szCs w:val="20"/>
              </w:rPr>
              <w:t>32,813</w:t>
            </w:r>
          </w:p>
        </w:tc>
        <w:tc>
          <w:tcPr>
            <w:tcW w:w="834" w:type="pct"/>
            <w:shd w:val="clear" w:color="auto" w:fill="F2F2F2" w:themeFill="background1" w:themeFillShade="F2"/>
            <w:tcMar>
              <w:left w:w="57" w:type="dxa"/>
              <w:right w:w="57" w:type="dxa"/>
            </w:tcMar>
          </w:tcPr>
          <w:p w14:paraId="69E781FE" w14:textId="43100638" w:rsidR="00C92C0D" w:rsidRPr="0066121B" w:rsidRDefault="00C92C0D" w:rsidP="00D34DB8">
            <w:pPr>
              <w:jc w:val="center"/>
              <w:rPr>
                <w:sz w:val="16"/>
                <w:szCs w:val="20"/>
              </w:rPr>
            </w:pPr>
            <w:r>
              <w:rPr>
                <w:sz w:val="16"/>
                <w:szCs w:val="20"/>
              </w:rPr>
              <w:t>784</w:t>
            </w:r>
          </w:p>
        </w:tc>
        <w:tc>
          <w:tcPr>
            <w:tcW w:w="901" w:type="pct"/>
            <w:shd w:val="clear" w:color="auto" w:fill="F2F2F2" w:themeFill="background1" w:themeFillShade="F2"/>
            <w:tcMar>
              <w:left w:w="57" w:type="dxa"/>
              <w:right w:w="57" w:type="dxa"/>
            </w:tcMar>
          </w:tcPr>
          <w:p w14:paraId="7172DAF7" w14:textId="5E34A8C3" w:rsidR="00C92C0D" w:rsidRPr="0066121B" w:rsidRDefault="00C92C0D" w:rsidP="00D34DB8">
            <w:pPr>
              <w:jc w:val="center"/>
              <w:rPr>
                <w:sz w:val="16"/>
                <w:szCs w:val="20"/>
              </w:rPr>
            </w:pPr>
            <w:r>
              <w:rPr>
                <w:sz w:val="16"/>
                <w:szCs w:val="20"/>
              </w:rPr>
              <w:t>6,720</w:t>
            </w:r>
          </w:p>
        </w:tc>
      </w:tr>
      <w:tr w:rsidR="00C6114C" w:rsidRPr="0066121B" w14:paraId="0FD31EB4" w14:textId="77777777" w:rsidTr="008F2CA3">
        <w:trPr>
          <w:trHeight w:hRule="exact" w:val="227"/>
        </w:trPr>
        <w:tc>
          <w:tcPr>
            <w:tcW w:w="2293" w:type="pct"/>
            <w:shd w:val="clear" w:color="auto" w:fill="F2F2F2" w:themeFill="background1" w:themeFillShade="F2"/>
            <w:tcMar>
              <w:left w:w="57" w:type="dxa"/>
              <w:right w:w="57" w:type="dxa"/>
            </w:tcMar>
          </w:tcPr>
          <w:p w14:paraId="6A1E0E27" w14:textId="2534650B" w:rsidR="00C92C0D" w:rsidRPr="0066121B" w:rsidDel="0073641D" w:rsidRDefault="00C92C0D" w:rsidP="00D34DB8">
            <w:pPr>
              <w:jc w:val="left"/>
              <w:rPr>
                <w:rFonts w:cs="Arial"/>
                <w:sz w:val="16"/>
                <w:szCs w:val="20"/>
              </w:rPr>
            </w:pPr>
            <w:r>
              <w:rPr>
                <w:rFonts w:cs="Arial"/>
                <w:sz w:val="16"/>
                <w:szCs w:val="20"/>
              </w:rPr>
              <w:t>All cardiovascular disease, n</w:t>
            </w:r>
          </w:p>
        </w:tc>
        <w:tc>
          <w:tcPr>
            <w:tcW w:w="971" w:type="pct"/>
            <w:shd w:val="clear" w:color="auto" w:fill="F2F2F2" w:themeFill="background1" w:themeFillShade="F2"/>
            <w:tcMar>
              <w:left w:w="57" w:type="dxa"/>
              <w:right w:w="57" w:type="dxa"/>
            </w:tcMar>
          </w:tcPr>
          <w:p w14:paraId="1E11EF92" w14:textId="5AB0976B" w:rsidR="00C92C0D" w:rsidRPr="0066121B" w:rsidRDefault="00C92C0D" w:rsidP="00D34DB8">
            <w:pPr>
              <w:jc w:val="center"/>
              <w:rPr>
                <w:sz w:val="16"/>
                <w:szCs w:val="20"/>
              </w:rPr>
            </w:pPr>
            <w:r>
              <w:rPr>
                <w:sz w:val="16"/>
                <w:szCs w:val="20"/>
              </w:rPr>
              <w:t>18,791</w:t>
            </w:r>
          </w:p>
        </w:tc>
        <w:tc>
          <w:tcPr>
            <w:tcW w:w="834" w:type="pct"/>
            <w:shd w:val="clear" w:color="auto" w:fill="F2F2F2" w:themeFill="background1" w:themeFillShade="F2"/>
            <w:tcMar>
              <w:left w:w="57" w:type="dxa"/>
              <w:right w:w="57" w:type="dxa"/>
            </w:tcMar>
          </w:tcPr>
          <w:p w14:paraId="3120821E" w14:textId="66F718C7" w:rsidR="00C92C0D" w:rsidRPr="0066121B" w:rsidRDefault="00C92C0D" w:rsidP="00D34DB8">
            <w:pPr>
              <w:jc w:val="center"/>
              <w:rPr>
                <w:sz w:val="16"/>
                <w:szCs w:val="20"/>
              </w:rPr>
            </w:pPr>
            <w:r>
              <w:rPr>
                <w:sz w:val="16"/>
                <w:szCs w:val="20"/>
              </w:rPr>
              <w:t>12,758</w:t>
            </w:r>
          </w:p>
        </w:tc>
        <w:tc>
          <w:tcPr>
            <w:tcW w:w="901" w:type="pct"/>
            <w:shd w:val="clear" w:color="auto" w:fill="F2F2F2" w:themeFill="background1" w:themeFillShade="F2"/>
            <w:tcMar>
              <w:left w:w="57" w:type="dxa"/>
              <w:right w:w="57" w:type="dxa"/>
            </w:tcMar>
          </w:tcPr>
          <w:p w14:paraId="472C76B7" w14:textId="5773377A" w:rsidR="00C92C0D" w:rsidRPr="0066121B" w:rsidRDefault="00C92C0D" w:rsidP="00D34DB8">
            <w:pPr>
              <w:jc w:val="center"/>
              <w:rPr>
                <w:sz w:val="16"/>
                <w:szCs w:val="20"/>
              </w:rPr>
            </w:pPr>
            <w:r>
              <w:rPr>
                <w:sz w:val="16"/>
                <w:szCs w:val="20"/>
              </w:rPr>
              <w:t>7,469</w:t>
            </w:r>
          </w:p>
        </w:tc>
      </w:tr>
      <w:tr w:rsidR="00C6114C" w:rsidRPr="0066121B" w14:paraId="7A59C3B3" w14:textId="77777777" w:rsidTr="008F2CA3">
        <w:trPr>
          <w:trHeight w:hRule="exact" w:val="227"/>
        </w:trPr>
        <w:tc>
          <w:tcPr>
            <w:tcW w:w="2293" w:type="pct"/>
            <w:tcBorders>
              <w:bottom w:val="single" w:sz="4" w:space="0" w:color="auto"/>
            </w:tcBorders>
            <w:shd w:val="clear" w:color="auto" w:fill="F2F2F2" w:themeFill="background1" w:themeFillShade="F2"/>
            <w:tcMar>
              <w:left w:w="57" w:type="dxa"/>
              <w:right w:w="57" w:type="dxa"/>
            </w:tcMar>
          </w:tcPr>
          <w:p w14:paraId="727A0538" w14:textId="77777777" w:rsidR="00C4055B" w:rsidRDefault="00C4055B" w:rsidP="00CB5A05">
            <w:pPr>
              <w:jc w:val="left"/>
              <w:rPr>
                <w:rFonts w:cs="Arial"/>
                <w:sz w:val="16"/>
                <w:szCs w:val="20"/>
              </w:rPr>
            </w:pPr>
          </w:p>
        </w:tc>
        <w:tc>
          <w:tcPr>
            <w:tcW w:w="971" w:type="pct"/>
            <w:tcBorders>
              <w:bottom w:val="single" w:sz="4" w:space="0" w:color="auto"/>
            </w:tcBorders>
            <w:shd w:val="clear" w:color="auto" w:fill="F2F2F2" w:themeFill="background1" w:themeFillShade="F2"/>
            <w:tcMar>
              <w:left w:w="57" w:type="dxa"/>
              <w:right w:w="57" w:type="dxa"/>
            </w:tcMar>
          </w:tcPr>
          <w:p w14:paraId="4E273A1E" w14:textId="77777777" w:rsidR="00C4055B" w:rsidRDefault="00C4055B" w:rsidP="00CB5A05">
            <w:pPr>
              <w:jc w:val="center"/>
              <w:rPr>
                <w:sz w:val="16"/>
                <w:szCs w:val="20"/>
              </w:rPr>
            </w:pPr>
          </w:p>
        </w:tc>
        <w:tc>
          <w:tcPr>
            <w:tcW w:w="834" w:type="pct"/>
            <w:tcBorders>
              <w:bottom w:val="single" w:sz="4" w:space="0" w:color="auto"/>
            </w:tcBorders>
            <w:shd w:val="clear" w:color="auto" w:fill="F2F2F2" w:themeFill="background1" w:themeFillShade="F2"/>
            <w:tcMar>
              <w:left w:w="57" w:type="dxa"/>
              <w:right w:w="57" w:type="dxa"/>
            </w:tcMar>
          </w:tcPr>
          <w:p w14:paraId="51ED65A4" w14:textId="77777777" w:rsidR="00C4055B" w:rsidRDefault="00C4055B" w:rsidP="00CB5A05">
            <w:pPr>
              <w:jc w:val="center"/>
              <w:rPr>
                <w:sz w:val="16"/>
                <w:szCs w:val="20"/>
              </w:rPr>
            </w:pPr>
          </w:p>
        </w:tc>
        <w:tc>
          <w:tcPr>
            <w:tcW w:w="901" w:type="pct"/>
            <w:tcBorders>
              <w:bottom w:val="single" w:sz="4" w:space="0" w:color="auto"/>
            </w:tcBorders>
            <w:shd w:val="clear" w:color="auto" w:fill="F2F2F2" w:themeFill="background1" w:themeFillShade="F2"/>
            <w:tcMar>
              <w:left w:w="57" w:type="dxa"/>
              <w:right w:w="57" w:type="dxa"/>
            </w:tcMar>
          </w:tcPr>
          <w:p w14:paraId="1B612F21" w14:textId="77777777" w:rsidR="00C4055B" w:rsidRDefault="00C4055B" w:rsidP="00CB5A05">
            <w:pPr>
              <w:jc w:val="center"/>
              <w:rPr>
                <w:sz w:val="16"/>
                <w:szCs w:val="20"/>
              </w:rPr>
            </w:pPr>
          </w:p>
        </w:tc>
      </w:tr>
    </w:tbl>
    <w:p w14:paraId="2C5D945A" w14:textId="77777777" w:rsidR="00CB5A05" w:rsidRDefault="00CB5A05" w:rsidP="00D34DB8">
      <w:pPr>
        <w:spacing w:after="200"/>
        <w:jc w:val="left"/>
        <w:rPr>
          <w:rFonts w:cs="Calibri"/>
          <w:sz w:val="18"/>
          <w:szCs w:val="20"/>
        </w:rPr>
      </w:pPr>
    </w:p>
    <w:p w14:paraId="2032CE72" w14:textId="42A0C2CA" w:rsidR="00142EB8" w:rsidRPr="0066121B" w:rsidRDefault="00142EB8" w:rsidP="00D34DB8">
      <w:pPr>
        <w:spacing w:after="200"/>
        <w:jc w:val="left"/>
        <w:rPr>
          <w:rFonts w:cs="Calibri"/>
          <w:sz w:val="18"/>
          <w:szCs w:val="20"/>
        </w:rPr>
      </w:pPr>
      <w:r w:rsidRPr="0066121B">
        <w:rPr>
          <w:rFonts w:cs="Calibri"/>
          <w:sz w:val="18"/>
          <w:szCs w:val="20"/>
        </w:rPr>
        <w:t>SD = standard deviation</w:t>
      </w:r>
      <w:r w:rsidR="0066121B" w:rsidRPr="0066121B">
        <w:rPr>
          <w:rFonts w:cs="Calibri"/>
          <w:sz w:val="18"/>
          <w:szCs w:val="20"/>
        </w:rPr>
        <w:t>, BMI = body mass index, HDL-C = high density lipoprotein cholesterol</w:t>
      </w:r>
      <w:r w:rsidR="008E1127">
        <w:rPr>
          <w:rFonts w:cs="Calibri"/>
          <w:sz w:val="18"/>
          <w:szCs w:val="20"/>
        </w:rPr>
        <w:t xml:space="preserve">. Measurements of HDL-C and total cholesterol are not available for analysis in UK Biobank. </w:t>
      </w:r>
    </w:p>
    <w:p w14:paraId="7D8F1E77" w14:textId="77777777" w:rsidR="00142EB8" w:rsidRDefault="00142EB8" w:rsidP="00142EB8">
      <w:pPr>
        <w:spacing w:after="200" w:line="276" w:lineRule="auto"/>
        <w:jc w:val="left"/>
        <w:rPr>
          <w:rFonts w:cs="Calibri"/>
          <w:b/>
          <w:szCs w:val="20"/>
        </w:rPr>
      </w:pPr>
    </w:p>
    <w:p w14:paraId="6E80C4AC" w14:textId="77777777" w:rsidR="00142EB8" w:rsidRDefault="00142EB8" w:rsidP="00142EB8">
      <w:pPr>
        <w:spacing w:after="200" w:line="276" w:lineRule="auto"/>
        <w:jc w:val="left"/>
        <w:rPr>
          <w:rFonts w:cs="Calibri"/>
          <w:b/>
          <w:szCs w:val="20"/>
        </w:rPr>
      </w:pPr>
    </w:p>
    <w:p w14:paraId="36541FFB" w14:textId="77777777" w:rsidR="0009048D" w:rsidRDefault="0009048D" w:rsidP="008E1127">
      <w:pPr>
        <w:spacing w:after="200"/>
        <w:jc w:val="left"/>
        <w:rPr>
          <w:rFonts w:cs="Calibri"/>
          <w:b/>
          <w:szCs w:val="20"/>
        </w:rPr>
      </w:pPr>
    </w:p>
    <w:p w14:paraId="0F8087C2" w14:textId="2AF8E42D" w:rsidR="008E1127" w:rsidRPr="00142EB8" w:rsidRDefault="008E1127" w:rsidP="008E1127">
      <w:pPr>
        <w:spacing w:after="200"/>
        <w:jc w:val="left"/>
        <w:rPr>
          <w:rFonts w:cs="Calibri"/>
          <w:b/>
          <w:szCs w:val="20"/>
        </w:rPr>
      </w:pPr>
      <w:r w:rsidRPr="00BA0C9F">
        <w:rPr>
          <w:rFonts w:cs="Calibri"/>
          <w:b/>
          <w:szCs w:val="20"/>
        </w:rPr>
        <w:lastRenderedPageBreak/>
        <w:t xml:space="preserve">Table </w:t>
      </w:r>
      <w:r>
        <w:rPr>
          <w:rFonts w:cs="Calibri"/>
          <w:b/>
          <w:szCs w:val="20"/>
        </w:rPr>
        <w:t>2</w:t>
      </w:r>
      <w:r w:rsidRPr="00BA0C9F">
        <w:rPr>
          <w:rFonts w:cs="Calibri"/>
          <w:b/>
          <w:szCs w:val="20"/>
        </w:rPr>
        <w:t xml:space="preserve">. </w:t>
      </w:r>
      <w:r w:rsidRPr="00BA0C9F">
        <w:rPr>
          <w:rFonts w:cs="Calibri"/>
          <w:szCs w:val="20"/>
        </w:rPr>
        <w:t xml:space="preserve">Hazard ratios for </w:t>
      </w:r>
      <w:r>
        <w:rPr>
          <w:rFonts w:cs="Calibri"/>
          <w:szCs w:val="20"/>
        </w:rPr>
        <w:t xml:space="preserve">major </w:t>
      </w:r>
      <w:r w:rsidRPr="00BA0C9F">
        <w:rPr>
          <w:rFonts w:cs="Calibri"/>
          <w:color w:val="000000"/>
          <w:szCs w:val="20"/>
        </w:rPr>
        <w:t>cardiovascular outcomes amongst current drinkers</w:t>
      </w:r>
      <w:r w:rsidRPr="00BA0C9F">
        <w:rPr>
          <w:rFonts w:cs="Calibri"/>
          <w:noProof/>
          <w:szCs w:val="20"/>
        </w:rPr>
        <w:t xml:space="preserve">, without and with adjustment for </w:t>
      </w:r>
      <w:r>
        <w:rPr>
          <w:rFonts w:cs="Calibri"/>
          <w:noProof/>
          <w:szCs w:val="20"/>
        </w:rPr>
        <w:t>usual levels of systolic blood pressure, HDL cholesterol or body mass index</w:t>
      </w:r>
      <w:r w:rsidRPr="00BA0C9F">
        <w:rPr>
          <w:rFonts w:cs="Calibri"/>
          <w:noProof/>
          <w:szCs w:val="20"/>
        </w:rPr>
        <w:t>.</w:t>
      </w:r>
      <w:r w:rsidRPr="007E6E5A">
        <w:rPr>
          <w:highlight w:val="yellow"/>
        </w:rPr>
        <w:t xml:space="preserve"> </w:t>
      </w:r>
    </w:p>
    <w:p w14:paraId="50E4E2EF" w14:textId="77777777" w:rsidR="008E1127" w:rsidRPr="00BA0C9F" w:rsidRDefault="008E1127" w:rsidP="008E1127">
      <w:pPr>
        <w:tabs>
          <w:tab w:val="left" w:pos="2268"/>
        </w:tabs>
        <w:spacing w:line="240" w:lineRule="auto"/>
        <w:rPr>
          <w:rFonts w:cs="Calibri"/>
          <w:noProof/>
          <w:szCs w:val="20"/>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418"/>
        <w:gridCol w:w="1559"/>
        <w:gridCol w:w="1559"/>
        <w:gridCol w:w="1843"/>
        <w:gridCol w:w="20"/>
      </w:tblGrid>
      <w:tr w:rsidR="008E1127" w:rsidRPr="00FC3F4B" w14:paraId="6E8B211A" w14:textId="77777777" w:rsidTr="00A7163A">
        <w:trPr>
          <w:gridAfter w:val="1"/>
          <w:wAfter w:w="20" w:type="dxa"/>
          <w:trHeight w:hRule="exact" w:val="463"/>
          <w:jc w:val="center"/>
        </w:trPr>
        <w:tc>
          <w:tcPr>
            <w:tcW w:w="1843" w:type="dxa"/>
            <w:vMerge w:val="restart"/>
            <w:tcBorders>
              <w:top w:val="single" w:sz="4" w:space="0" w:color="auto"/>
              <w:left w:val="nil"/>
              <w:right w:val="nil"/>
            </w:tcBorders>
            <w:shd w:val="clear" w:color="auto" w:fill="FFFFFF" w:themeFill="background1"/>
            <w:vAlign w:val="center"/>
          </w:tcPr>
          <w:p w14:paraId="77E2D345" w14:textId="77777777" w:rsidR="008E1127" w:rsidRPr="00FC3F4B" w:rsidRDefault="008E1127" w:rsidP="00A7163A">
            <w:pPr>
              <w:jc w:val="left"/>
              <w:rPr>
                <w:rFonts w:cs="Arial"/>
                <w:b/>
                <w:sz w:val="14"/>
                <w:szCs w:val="16"/>
                <w:lang w:eastAsia="en-US"/>
              </w:rPr>
            </w:pPr>
            <w:r w:rsidRPr="00FC3F4B">
              <w:rPr>
                <w:rFonts w:cs="Arial"/>
                <w:b/>
                <w:sz w:val="14"/>
                <w:szCs w:val="16"/>
                <w:lang w:eastAsia="en-US"/>
              </w:rPr>
              <w:t>Level of adjustment</w:t>
            </w:r>
          </w:p>
        </w:tc>
        <w:tc>
          <w:tcPr>
            <w:tcW w:w="7938" w:type="dxa"/>
            <w:gridSpan w:val="5"/>
            <w:tcBorders>
              <w:top w:val="single" w:sz="4" w:space="0" w:color="auto"/>
              <w:left w:val="nil"/>
              <w:right w:val="nil"/>
            </w:tcBorders>
            <w:shd w:val="clear" w:color="auto" w:fill="FFFFFF" w:themeFill="background1"/>
            <w:vAlign w:val="center"/>
          </w:tcPr>
          <w:p w14:paraId="53D00636" w14:textId="77777777" w:rsidR="008E1127" w:rsidRPr="005114F4" w:rsidRDefault="008E1127" w:rsidP="00A7163A">
            <w:pPr>
              <w:jc w:val="center"/>
              <w:rPr>
                <w:rFonts w:cs="Arial"/>
                <w:b/>
                <w:sz w:val="14"/>
                <w:szCs w:val="16"/>
                <w:lang w:eastAsia="en-US"/>
              </w:rPr>
            </w:pPr>
            <w:r w:rsidRPr="005114F4">
              <w:rPr>
                <w:rFonts w:cs="Arial"/>
                <w:b/>
                <w:sz w:val="14"/>
                <w:szCs w:val="16"/>
                <w:lang w:eastAsia="en-US"/>
              </w:rPr>
              <w:t>HR (95% CI) per 100 grams/w</w:t>
            </w:r>
            <w:r>
              <w:rPr>
                <w:rFonts w:cs="Arial"/>
                <w:b/>
                <w:sz w:val="14"/>
                <w:szCs w:val="16"/>
                <w:lang w:eastAsia="en-US"/>
              </w:rPr>
              <w:t>ee</w:t>
            </w:r>
            <w:r w:rsidRPr="005114F4">
              <w:rPr>
                <w:rFonts w:cs="Arial"/>
                <w:b/>
                <w:sz w:val="14"/>
                <w:szCs w:val="16"/>
                <w:lang w:eastAsia="en-US"/>
              </w:rPr>
              <w:t xml:space="preserve">k higher </w:t>
            </w:r>
            <w:r>
              <w:rPr>
                <w:rFonts w:cs="Arial"/>
                <w:b/>
                <w:sz w:val="14"/>
                <w:szCs w:val="16"/>
                <w:lang w:eastAsia="en-US"/>
              </w:rPr>
              <w:t>average</w:t>
            </w:r>
            <w:r w:rsidRPr="005114F4">
              <w:rPr>
                <w:rFonts w:cs="Arial"/>
                <w:b/>
                <w:sz w:val="14"/>
                <w:szCs w:val="16"/>
                <w:lang w:eastAsia="en-US"/>
              </w:rPr>
              <w:t xml:space="preserve"> alcohol consumption</w:t>
            </w:r>
          </w:p>
        </w:tc>
      </w:tr>
      <w:tr w:rsidR="008E1127" w:rsidRPr="00FC3F4B" w14:paraId="08BD0490" w14:textId="77777777" w:rsidTr="00A7163A">
        <w:trPr>
          <w:gridAfter w:val="1"/>
          <w:wAfter w:w="20" w:type="dxa"/>
          <w:trHeight w:hRule="exact" w:val="566"/>
          <w:jc w:val="center"/>
        </w:trPr>
        <w:tc>
          <w:tcPr>
            <w:tcW w:w="1843" w:type="dxa"/>
            <w:vMerge/>
            <w:tcBorders>
              <w:left w:val="nil"/>
              <w:bottom w:val="single" w:sz="4" w:space="0" w:color="auto"/>
              <w:right w:val="nil"/>
            </w:tcBorders>
            <w:shd w:val="clear" w:color="auto" w:fill="FFFFFF" w:themeFill="background1"/>
            <w:vAlign w:val="center"/>
          </w:tcPr>
          <w:p w14:paraId="6A81DA54" w14:textId="77777777" w:rsidR="008E1127" w:rsidRPr="00FC3F4B" w:rsidRDefault="008E1127" w:rsidP="00A7163A">
            <w:pPr>
              <w:jc w:val="left"/>
              <w:rPr>
                <w:rFonts w:cs="Arial"/>
                <w:b/>
                <w:sz w:val="14"/>
                <w:szCs w:val="16"/>
                <w:lang w:eastAsia="en-US"/>
              </w:rPr>
            </w:pPr>
          </w:p>
        </w:tc>
        <w:tc>
          <w:tcPr>
            <w:tcW w:w="1559" w:type="dxa"/>
            <w:tcBorders>
              <w:left w:val="nil"/>
              <w:bottom w:val="single" w:sz="4" w:space="0" w:color="auto"/>
              <w:right w:val="nil"/>
            </w:tcBorders>
            <w:shd w:val="clear" w:color="auto" w:fill="D9D9D9" w:themeFill="background1" w:themeFillShade="D9"/>
            <w:vAlign w:val="center"/>
          </w:tcPr>
          <w:p w14:paraId="12A1BA56" w14:textId="77777777" w:rsidR="008E1127" w:rsidRPr="005114F4" w:rsidRDefault="008E1127" w:rsidP="00A7163A">
            <w:pPr>
              <w:jc w:val="center"/>
              <w:rPr>
                <w:rFonts w:cs="Arial"/>
                <w:sz w:val="14"/>
                <w:szCs w:val="16"/>
                <w:lang w:eastAsia="en-US"/>
              </w:rPr>
            </w:pPr>
            <w:r>
              <w:rPr>
                <w:rFonts w:cs="Arial"/>
                <w:bCs/>
                <w:color w:val="000000"/>
                <w:kern w:val="24"/>
                <w:sz w:val="14"/>
                <w:szCs w:val="16"/>
                <w:lang w:val="en-US" w:eastAsia="en-US"/>
              </w:rPr>
              <w:t>All stroke</w:t>
            </w:r>
          </w:p>
        </w:tc>
        <w:tc>
          <w:tcPr>
            <w:tcW w:w="1418" w:type="dxa"/>
            <w:tcBorders>
              <w:top w:val="single" w:sz="4" w:space="0" w:color="auto"/>
              <w:left w:val="nil"/>
              <w:bottom w:val="single" w:sz="4" w:space="0" w:color="auto"/>
              <w:right w:val="nil"/>
            </w:tcBorders>
            <w:shd w:val="clear" w:color="auto" w:fill="FFFFFF" w:themeFill="background1"/>
            <w:tcMar>
              <w:top w:w="0" w:type="dxa"/>
              <w:left w:w="0" w:type="dxa"/>
              <w:bottom w:w="0" w:type="dxa"/>
              <w:right w:w="0" w:type="dxa"/>
            </w:tcMar>
            <w:vAlign w:val="center"/>
          </w:tcPr>
          <w:p w14:paraId="61762558" w14:textId="77777777" w:rsidR="008E1127" w:rsidRPr="005114F4" w:rsidRDefault="008E1127" w:rsidP="00A7163A">
            <w:pPr>
              <w:jc w:val="center"/>
              <w:rPr>
                <w:rFonts w:cs="Arial"/>
                <w:sz w:val="14"/>
                <w:szCs w:val="16"/>
                <w:lang w:eastAsia="en-US"/>
              </w:rPr>
            </w:pPr>
            <w:r>
              <w:rPr>
                <w:rFonts w:cs="Arial"/>
                <w:sz w:val="14"/>
                <w:szCs w:val="16"/>
                <w:lang w:eastAsia="en-US"/>
              </w:rPr>
              <w:t>Myocardial infarction</w:t>
            </w:r>
          </w:p>
        </w:tc>
        <w:tc>
          <w:tcPr>
            <w:tcW w:w="1559" w:type="dxa"/>
            <w:tcBorders>
              <w:top w:val="single" w:sz="4" w:space="0" w:color="auto"/>
              <w:left w:val="nil"/>
              <w:bottom w:val="single" w:sz="4" w:space="0" w:color="auto"/>
              <w:right w:val="nil"/>
            </w:tcBorders>
            <w:shd w:val="clear" w:color="auto" w:fill="D9D9D9" w:themeFill="background1" w:themeFillShade="D9"/>
            <w:tcMar>
              <w:top w:w="0" w:type="dxa"/>
              <w:left w:w="0" w:type="dxa"/>
              <w:bottom w:w="0" w:type="dxa"/>
              <w:right w:w="0" w:type="dxa"/>
            </w:tcMar>
            <w:vAlign w:val="center"/>
          </w:tcPr>
          <w:p w14:paraId="0C839257" w14:textId="77777777" w:rsidR="008E1127" w:rsidRDefault="008E1127" w:rsidP="00A7163A">
            <w:pPr>
              <w:jc w:val="center"/>
              <w:rPr>
                <w:rFonts w:cs="Arial"/>
                <w:sz w:val="14"/>
                <w:szCs w:val="16"/>
                <w:lang w:eastAsia="en-US"/>
              </w:rPr>
            </w:pPr>
            <w:r>
              <w:rPr>
                <w:rFonts w:cs="Arial"/>
                <w:sz w:val="14"/>
                <w:szCs w:val="16"/>
                <w:lang w:eastAsia="en-US"/>
              </w:rPr>
              <w:t xml:space="preserve">Coronary disease </w:t>
            </w:r>
          </w:p>
          <w:p w14:paraId="2E91C044" w14:textId="77777777" w:rsidR="008E1127" w:rsidRPr="005114F4" w:rsidRDefault="008E1127" w:rsidP="00A7163A">
            <w:pPr>
              <w:jc w:val="center"/>
              <w:rPr>
                <w:rFonts w:cs="Arial"/>
                <w:sz w:val="14"/>
                <w:szCs w:val="16"/>
                <w:lang w:eastAsia="en-US"/>
              </w:rPr>
            </w:pPr>
            <w:r>
              <w:rPr>
                <w:rFonts w:cs="Arial"/>
                <w:sz w:val="14"/>
                <w:szCs w:val="16"/>
                <w:lang w:eastAsia="en-US"/>
              </w:rPr>
              <w:t>non-MI</w:t>
            </w:r>
          </w:p>
        </w:tc>
        <w:tc>
          <w:tcPr>
            <w:tcW w:w="1559" w:type="dxa"/>
            <w:tcBorders>
              <w:top w:val="single" w:sz="4" w:space="0" w:color="auto"/>
              <w:left w:val="nil"/>
              <w:bottom w:val="single" w:sz="4" w:space="0" w:color="auto"/>
              <w:right w:val="nil"/>
            </w:tcBorders>
            <w:shd w:val="clear" w:color="auto" w:fill="FFFFFF" w:themeFill="background1"/>
            <w:vAlign w:val="center"/>
          </w:tcPr>
          <w:p w14:paraId="2889AE12" w14:textId="77777777" w:rsidR="008E1127" w:rsidRPr="005114F4" w:rsidRDefault="008E1127" w:rsidP="00A7163A">
            <w:pPr>
              <w:jc w:val="center"/>
              <w:rPr>
                <w:rFonts w:cs="Arial"/>
                <w:sz w:val="14"/>
                <w:szCs w:val="16"/>
                <w:lang w:eastAsia="en-US"/>
              </w:rPr>
            </w:pPr>
            <w:r>
              <w:rPr>
                <w:rFonts w:cs="Arial"/>
                <w:sz w:val="14"/>
                <w:szCs w:val="16"/>
                <w:lang w:eastAsia="en-US"/>
              </w:rPr>
              <w:t xml:space="preserve">Heart failure </w:t>
            </w:r>
          </w:p>
        </w:tc>
        <w:tc>
          <w:tcPr>
            <w:tcW w:w="1843" w:type="dxa"/>
            <w:tcBorders>
              <w:top w:val="single" w:sz="4" w:space="0" w:color="auto"/>
              <w:left w:val="nil"/>
              <w:bottom w:val="single" w:sz="4" w:space="0" w:color="auto"/>
              <w:right w:val="nil"/>
            </w:tcBorders>
            <w:shd w:val="clear" w:color="auto" w:fill="D9D9D9" w:themeFill="background1" w:themeFillShade="D9"/>
            <w:vAlign w:val="center"/>
          </w:tcPr>
          <w:p w14:paraId="44E7B950" w14:textId="77777777" w:rsidR="008E1127" w:rsidRPr="005114F4" w:rsidRDefault="008E1127" w:rsidP="00A7163A">
            <w:pPr>
              <w:jc w:val="center"/>
              <w:rPr>
                <w:rFonts w:cs="Arial"/>
                <w:sz w:val="14"/>
                <w:szCs w:val="16"/>
                <w:lang w:eastAsia="en-US"/>
              </w:rPr>
            </w:pPr>
            <w:r w:rsidRPr="005114F4">
              <w:rPr>
                <w:rFonts w:cs="Arial"/>
                <w:sz w:val="14"/>
                <w:szCs w:val="16"/>
                <w:lang w:eastAsia="en-US"/>
              </w:rPr>
              <w:t>Deaths from other</w:t>
            </w:r>
            <w:r>
              <w:rPr>
                <w:rFonts w:cs="Arial"/>
                <w:sz w:val="14"/>
                <w:szCs w:val="16"/>
                <w:lang w:eastAsia="en-US"/>
              </w:rPr>
              <w:t xml:space="preserve"> types of</w:t>
            </w:r>
            <w:r w:rsidRPr="005114F4">
              <w:rPr>
                <w:rFonts w:cs="Arial"/>
                <w:sz w:val="14"/>
                <w:szCs w:val="16"/>
                <w:lang w:eastAsia="en-US"/>
              </w:rPr>
              <w:t xml:space="preserve"> </w:t>
            </w:r>
            <w:r>
              <w:rPr>
                <w:rFonts w:cs="Arial"/>
                <w:sz w:val="14"/>
                <w:szCs w:val="16"/>
                <w:lang w:eastAsia="en-US"/>
              </w:rPr>
              <w:t>cardio</w:t>
            </w:r>
            <w:r w:rsidRPr="005114F4">
              <w:rPr>
                <w:rFonts w:cs="Arial"/>
                <w:sz w:val="14"/>
                <w:szCs w:val="16"/>
                <w:lang w:eastAsia="en-US"/>
              </w:rPr>
              <w:t>vascular disease</w:t>
            </w:r>
          </w:p>
        </w:tc>
      </w:tr>
      <w:tr w:rsidR="008E1127" w:rsidRPr="005114F4" w14:paraId="2536DE4C" w14:textId="77777777" w:rsidTr="00A7163A">
        <w:trPr>
          <w:gridAfter w:val="1"/>
          <w:wAfter w:w="20" w:type="dxa"/>
          <w:trHeight w:hRule="exact" w:val="227"/>
          <w:jc w:val="center"/>
        </w:trPr>
        <w:tc>
          <w:tcPr>
            <w:tcW w:w="1843" w:type="dxa"/>
            <w:tcBorders>
              <w:top w:val="single" w:sz="4" w:space="0" w:color="auto"/>
              <w:left w:val="nil"/>
              <w:bottom w:val="nil"/>
              <w:right w:val="nil"/>
            </w:tcBorders>
            <w:shd w:val="clear" w:color="auto" w:fill="FFFFFF" w:themeFill="background1"/>
            <w:tcMar>
              <w:top w:w="0" w:type="dxa"/>
              <w:left w:w="0" w:type="dxa"/>
              <w:bottom w:w="0" w:type="dxa"/>
              <w:right w:w="0" w:type="dxa"/>
            </w:tcMar>
            <w:vAlign w:val="center"/>
          </w:tcPr>
          <w:p w14:paraId="5664BB43" w14:textId="77777777" w:rsidR="008E1127" w:rsidRPr="005114F4" w:rsidRDefault="008E1127" w:rsidP="00A7163A">
            <w:pPr>
              <w:jc w:val="left"/>
              <w:rPr>
                <w:rFonts w:cs="Arial"/>
                <w:i/>
                <w:sz w:val="14"/>
                <w:szCs w:val="16"/>
                <w:lang w:eastAsia="en-US"/>
              </w:rPr>
            </w:pPr>
            <w:r>
              <w:rPr>
                <w:rFonts w:cs="Arial"/>
                <w:i/>
                <w:sz w:val="14"/>
                <w:szCs w:val="16"/>
                <w:lang w:eastAsia="en-US"/>
              </w:rPr>
              <w:t>No. of cohorts / events</w:t>
            </w:r>
          </w:p>
        </w:tc>
        <w:tc>
          <w:tcPr>
            <w:tcW w:w="1559" w:type="dxa"/>
            <w:tcBorders>
              <w:top w:val="single" w:sz="4" w:space="0" w:color="auto"/>
              <w:left w:val="nil"/>
              <w:bottom w:val="nil"/>
              <w:right w:val="nil"/>
            </w:tcBorders>
            <w:shd w:val="clear" w:color="auto" w:fill="D9D9D9" w:themeFill="background1" w:themeFillShade="D9"/>
            <w:vAlign w:val="center"/>
          </w:tcPr>
          <w:p w14:paraId="7170E6F5" w14:textId="77777777" w:rsidR="008E1127" w:rsidRDefault="008E1127" w:rsidP="00A7163A">
            <w:pPr>
              <w:jc w:val="center"/>
              <w:rPr>
                <w:rFonts w:cs="Arial"/>
                <w:i/>
                <w:sz w:val="14"/>
                <w:szCs w:val="16"/>
                <w:lang w:eastAsia="en-US"/>
              </w:rPr>
            </w:pPr>
            <w:r>
              <w:rPr>
                <w:rFonts w:cs="Arial"/>
                <w:i/>
                <w:sz w:val="14"/>
                <w:szCs w:val="16"/>
                <w:lang w:eastAsia="en-US"/>
              </w:rPr>
              <w:t>69 / 6,434</w:t>
            </w:r>
          </w:p>
        </w:tc>
        <w:tc>
          <w:tcPr>
            <w:tcW w:w="1418" w:type="dxa"/>
            <w:tcBorders>
              <w:top w:val="single" w:sz="4" w:space="0" w:color="auto"/>
              <w:left w:val="nil"/>
              <w:bottom w:val="nil"/>
              <w:right w:val="nil"/>
            </w:tcBorders>
            <w:shd w:val="clear" w:color="auto" w:fill="FFFFFF" w:themeFill="background1"/>
            <w:tcMar>
              <w:top w:w="0" w:type="dxa"/>
              <w:left w:w="0" w:type="dxa"/>
              <w:bottom w:w="0" w:type="dxa"/>
              <w:right w:w="0" w:type="dxa"/>
            </w:tcMar>
            <w:vAlign w:val="center"/>
          </w:tcPr>
          <w:p w14:paraId="13593B3E" w14:textId="77777777" w:rsidR="008E1127" w:rsidRPr="005114F4" w:rsidRDefault="008E1127" w:rsidP="00A7163A">
            <w:pPr>
              <w:jc w:val="center"/>
              <w:rPr>
                <w:rFonts w:cs="Arial"/>
                <w:i/>
                <w:sz w:val="14"/>
                <w:szCs w:val="16"/>
                <w:lang w:eastAsia="en-US"/>
              </w:rPr>
            </w:pPr>
            <w:r>
              <w:rPr>
                <w:rFonts w:cs="Arial"/>
                <w:i/>
                <w:sz w:val="14"/>
                <w:szCs w:val="16"/>
                <w:lang w:eastAsia="en-US"/>
              </w:rPr>
              <w:t>72 / 8,387</w:t>
            </w:r>
          </w:p>
        </w:tc>
        <w:tc>
          <w:tcPr>
            <w:tcW w:w="1559" w:type="dxa"/>
            <w:tcBorders>
              <w:top w:val="single" w:sz="4" w:space="0" w:color="auto"/>
              <w:left w:val="nil"/>
              <w:bottom w:val="nil"/>
              <w:right w:val="nil"/>
            </w:tcBorders>
            <w:shd w:val="clear" w:color="auto" w:fill="D9D9D9" w:themeFill="background1" w:themeFillShade="D9"/>
            <w:tcMar>
              <w:top w:w="0" w:type="dxa"/>
              <w:left w:w="0" w:type="dxa"/>
              <w:bottom w:w="0" w:type="dxa"/>
              <w:right w:w="0" w:type="dxa"/>
            </w:tcMar>
            <w:vAlign w:val="center"/>
          </w:tcPr>
          <w:p w14:paraId="61428546" w14:textId="77777777" w:rsidR="008E1127" w:rsidRPr="005114F4" w:rsidRDefault="008E1127" w:rsidP="00A7163A">
            <w:pPr>
              <w:jc w:val="center"/>
              <w:rPr>
                <w:rFonts w:cs="Arial"/>
                <w:i/>
                <w:sz w:val="14"/>
                <w:szCs w:val="16"/>
                <w:lang w:eastAsia="en-US"/>
              </w:rPr>
            </w:pPr>
            <w:r>
              <w:rPr>
                <w:rFonts w:cs="Arial"/>
                <w:i/>
                <w:sz w:val="14"/>
                <w:szCs w:val="16"/>
                <w:lang w:eastAsia="en-US"/>
              </w:rPr>
              <w:t>45 / 5,882</w:t>
            </w:r>
          </w:p>
        </w:tc>
        <w:tc>
          <w:tcPr>
            <w:tcW w:w="1559" w:type="dxa"/>
            <w:tcBorders>
              <w:top w:val="single" w:sz="4" w:space="0" w:color="auto"/>
              <w:left w:val="nil"/>
              <w:bottom w:val="nil"/>
              <w:right w:val="nil"/>
            </w:tcBorders>
            <w:shd w:val="clear" w:color="auto" w:fill="FFFFFF" w:themeFill="background1"/>
            <w:vAlign w:val="center"/>
          </w:tcPr>
          <w:p w14:paraId="4FFFC0C5" w14:textId="77777777" w:rsidR="008E1127" w:rsidRPr="005114F4" w:rsidRDefault="008E1127" w:rsidP="00A7163A">
            <w:pPr>
              <w:jc w:val="center"/>
              <w:rPr>
                <w:rFonts w:cs="Arial"/>
                <w:i/>
                <w:sz w:val="14"/>
                <w:szCs w:val="16"/>
                <w:lang w:eastAsia="en-US"/>
              </w:rPr>
            </w:pPr>
            <w:r>
              <w:rPr>
                <w:rFonts w:cs="Arial"/>
                <w:i/>
                <w:sz w:val="14"/>
                <w:szCs w:val="16"/>
                <w:lang w:eastAsia="en-US"/>
              </w:rPr>
              <w:t>39 / 2,668</w:t>
            </w:r>
          </w:p>
        </w:tc>
        <w:tc>
          <w:tcPr>
            <w:tcW w:w="1843" w:type="dxa"/>
            <w:tcBorders>
              <w:top w:val="single" w:sz="4" w:space="0" w:color="auto"/>
              <w:left w:val="nil"/>
              <w:bottom w:val="nil"/>
              <w:right w:val="nil"/>
            </w:tcBorders>
            <w:shd w:val="clear" w:color="auto" w:fill="D9D9D9" w:themeFill="background1" w:themeFillShade="D9"/>
            <w:vAlign w:val="center"/>
          </w:tcPr>
          <w:p w14:paraId="21932673" w14:textId="77777777" w:rsidR="008E1127" w:rsidRDefault="008E1127" w:rsidP="00A7163A">
            <w:pPr>
              <w:jc w:val="center"/>
              <w:rPr>
                <w:rFonts w:cs="Arial"/>
                <w:i/>
                <w:sz w:val="14"/>
                <w:szCs w:val="16"/>
                <w:lang w:eastAsia="en-US"/>
              </w:rPr>
            </w:pPr>
            <w:r>
              <w:rPr>
                <w:rFonts w:cs="Arial"/>
                <w:i/>
                <w:sz w:val="14"/>
                <w:szCs w:val="16"/>
                <w:lang w:eastAsia="en-US"/>
              </w:rPr>
              <w:t>43 / 1,086</w:t>
            </w:r>
          </w:p>
        </w:tc>
      </w:tr>
      <w:tr w:rsidR="008E1127" w:rsidRPr="00FC3F4B" w14:paraId="2355A5D4"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hideMark/>
          </w:tcPr>
          <w:p w14:paraId="44FADF41" w14:textId="77777777" w:rsidR="008E1127" w:rsidRPr="00FC3F4B" w:rsidRDefault="008E1127" w:rsidP="00A7163A">
            <w:pPr>
              <w:jc w:val="left"/>
              <w:rPr>
                <w:rFonts w:cs="Arial"/>
                <w:sz w:val="14"/>
                <w:szCs w:val="16"/>
                <w:lang w:eastAsia="en-US"/>
              </w:rPr>
            </w:pPr>
            <w:r w:rsidRPr="00FC3F4B">
              <w:rPr>
                <w:rFonts w:cs="Arial"/>
                <w:sz w:val="14"/>
                <w:szCs w:val="16"/>
                <w:lang w:eastAsia="en-US"/>
              </w:rPr>
              <w:t>Basic adjustment*</w:t>
            </w:r>
          </w:p>
        </w:tc>
        <w:tc>
          <w:tcPr>
            <w:tcW w:w="1559" w:type="dxa"/>
            <w:tcBorders>
              <w:top w:val="nil"/>
              <w:left w:val="nil"/>
              <w:bottom w:val="nil"/>
              <w:right w:val="nil"/>
            </w:tcBorders>
            <w:shd w:val="clear" w:color="auto" w:fill="D9D9D9" w:themeFill="background1" w:themeFillShade="D9"/>
            <w:vAlign w:val="center"/>
          </w:tcPr>
          <w:p w14:paraId="67538BB0" w14:textId="77777777" w:rsidR="008E1127" w:rsidRPr="00FC3F4B" w:rsidRDefault="008E1127" w:rsidP="00A7163A">
            <w:pPr>
              <w:jc w:val="center"/>
              <w:rPr>
                <w:rFonts w:cs="Arial"/>
                <w:sz w:val="14"/>
                <w:szCs w:val="16"/>
                <w:lang w:eastAsia="en-US"/>
              </w:rPr>
            </w:pPr>
            <w:r>
              <w:rPr>
                <w:rFonts w:cs="Arial"/>
                <w:sz w:val="14"/>
                <w:szCs w:val="16"/>
                <w:lang w:eastAsia="en-US"/>
              </w:rPr>
              <w:t>1.17 (1.11, 1.27</w:t>
            </w:r>
            <w:r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B22DF4B" w14:textId="77777777" w:rsidR="008E1127" w:rsidRPr="00FC3F4B" w:rsidRDefault="008E1127" w:rsidP="00A7163A">
            <w:pPr>
              <w:jc w:val="center"/>
              <w:rPr>
                <w:rFonts w:cs="Arial"/>
                <w:b/>
                <w:sz w:val="14"/>
                <w:szCs w:val="16"/>
                <w:lang w:eastAsia="en-US"/>
              </w:rPr>
            </w:pPr>
            <w:r>
              <w:rPr>
                <w:rFonts w:cs="Arial"/>
                <w:sz w:val="14"/>
                <w:szCs w:val="16"/>
                <w:lang w:eastAsia="en-US"/>
              </w:rPr>
              <w:t>0.95 (0.91, 1.00)</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53DCF97E" w14:textId="77777777" w:rsidR="008E1127" w:rsidRPr="00FC3F4B" w:rsidRDefault="008E1127" w:rsidP="00A7163A">
            <w:pPr>
              <w:jc w:val="center"/>
              <w:rPr>
                <w:rFonts w:cs="Arial"/>
                <w:b/>
                <w:sz w:val="14"/>
                <w:szCs w:val="16"/>
                <w:lang w:eastAsia="en-US"/>
              </w:rPr>
            </w:pPr>
            <w:r>
              <w:rPr>
                <w:rFonts w:cs="Arial"/>
                <w:sz w:val="14"/>
                <w:szCs w:val="16"/>
                <w:lang w:eastAsia="en-US"/>
              </w:rPr>
              <w:t>1.07 (1.00, 1.14)</w:t>
            </w:r>
          </w:p>
        </w:tc>
        <w:tc>
          <w:tcPr>
            <w:tcW w:w="1559" w:type="dxa"/>
            <w:tcBorders>
              <w:top w:val="nil"/>
              <w:left w:val="nil"/>
              <w:bottom w:val="nil"/>
              <w:right w:val="nil"/>
            </w:tcBorders>
            <w:shd w:val="clear" w:color="auto" w:fill="FFFFFF" w:themeFill="background1"/>
            <w:vAlign w:val="center"/>
          </w:tcPr>
          <w:p w14:paraId="5F5C27EB" w14:textId="77777777" w:rsidR="008E1127" w:rsidRPr="00FC3F4B" w:rsidRDefault="008E1127" w:rsidP="00A7163A">
            <w:pPr>
              <w:jc w:val="center"/>
              <w:rPr>
                <w:rFonts w:cs="Arial"/>
                <w:sz w:val="14"/>
                <w:szCs w:val="16"/>
                <w:lang w:eastAsia="en-US"/>
              </w:rPr>
            </w:pPr>
            <w:r>
              <w:rPr>
                <w:rFonts w:cs="Arial"/>
                <w:sz w:val="14"/>
                <w:szCs w:val="16"/>
                <w:lang w:eastAsia="en-US"/>
              </w:rPr>
              <w:t>1.10 (1.04, 1.17)</w:t>
            </w:r>
          </w:p>
        </w:tc>
        <w:tc>
          <w:tcPr>
            <w:tcW w:w="1843" w:type="dxa"/>
            <w:tcBorders>
              <w:top w:val="nil"/>
              <w:left w:val="nil"/>
              <w:bottom w:val="nil"/>
              <w:right w:val="nil"/>
            </w:tcBorders>
            <w:shd w:val="clear" w:color="auto" w:fill="D9D9D9" w:themeFill="background1" w:themeFillShade="D9"/>
            <w:vAlign w:val="center"/>
          </w:tcPr>
          <w:p w14:paraId="6D7457B5" w14:textId="77777777" w:rsidR="008E1127" w:rsidRDefault="008E1127" w:rsidP="00A7163A">
            <w:pPr>
              <w:jc w:val="center"/>
              <w:rPr>
                <w:rFonts w:cs="Arial"/>
                <w:sz w:val="14"/>
                <w:szCs w:val="16"/>
                <w:lang w:eastAsia="en-US"/>
              </w:rPr>
            </w:pPr>
            <w:r>
              <w:rPr>
                <w:rFonts w:cs="Arial"/>
                <w:sz w:val="14"/>
                <w:szCs w:val="16"/>
                <w:lang w:eastAsia="en-US"/>
              </w:rPr>
              <w:t>1.17 (1.07, 1.27)</w:t>
            </w:r>
          </w:p>
        </w:tc>
      </w:tr>
      <w:tr w:rsidR="008E1127" w:rsidRPr="00FC3F4B" w14:paraId="37FD4237"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hideMark/>
          </w:tcPr>
          <w:p w14:paraId="27C77F39" w14:textId="77777777" w:rsidR="008E1127" w:rsidRPr="00FC3F4B" w:rsidRDefault="008E1127" w:rsidP="00A7163A">
            <w:pPr>
              <w:jc w:val="left"/>
              <w:rPr>
                <w:rFonts w:cs="Arial"/>
                <w:sz w:val="14"/>
                <w:szCs w:val="16"/>
                <w:lang w:eastAsia="en-US"/>
              </w:rPr>
            </w:pPr>
            <w:r w:rsidRPr="00FC3F4B">
              <w:rPr>
                <w:rFonts w:cs="Arial"/>
                <w:sz w:val="14"/>
                <w:szCs w:val="16"/>
                <w:lang w:eastAsia="en-US"/>
              </w:rPr>
              <w:t>+ systolic blood pressure</w:t>
            </w:r>
          </w:p>
        </w:tc>
        <w:tc>
          <w:tcPr>
            <w:tcW w:w="1559" w:type="dxa"/>
            <w:tcBorders>
              <w:top w:val="nil"/>
              <w:left w:val="nil"/>
              <w:bottom w:val="nil"/>
              <w:right w:val="nil"/>
            </w:tcBorders>
            <w:shd w:val="clear" w:color="auto" w:fill="D9D9D9" w:themeFill="background1" w:themeFillShade="D9"/>
            <w:vAlign w:val="center"/>
          </w:tcPr>
          <w:p w14:paraId="2B6872F1" w14:textId="77777777" w:rsidR="008E1127" w:rsidRPr="00FC3F4B" w:rsidRDefault="008E1127" w:rsidP="00A7163A">
            <w:pPr>
              <w:jc w:val="center"/>
              <w:rPr>
                <w:rFonts w:cs="Arial"/>
                <w:sz w:val="14"/>
                <w:szCs w:val="16"/>
                <w:lang w:eastAsia="en-US"/>
              </w:rPr>
            </w:pPr>
            <w:r>
              <w:rPr>
                <w:rFonts w:cs="Arial"/>
                <w:sz w:val="14"/>
                <w:szCs w:val="16"/>
                <w:lang w:eastAsia="en-US"/>
              </w:rPr>
              <w:t>1.11 (1.06, 1.16</w:t>
            </w:r>
            <w:r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10E5B18" w14:textId="77777777" w:rsidR="008E1127" w:rsidRPr="00FC3F4B" w:rsidRDefault="008E1127" w:rsidP="00A7163A">
            <w:pPr>
              <w:jc w:val="center"/>
              <w:rPr>
                <w:rFonts w:cs="Arial"/>
                <w:b/>
                <w:sz w:val="14"/>
                <w:szCs w:val="16"/>
                <w:lang w:eastAsia="en-US"/>
              </w:rPr>
            </w:pPr>
            <w:r>
              <w:rPr>
                <w:rFonts w:cs="Arial"/>
                <w:sz w:val="14"/>
                <w:szCs w:val="16"/>
                <w:lang w:eastAsia="en-US"/>
              </w:rPr>
              <w:t>0.91 (0.87, 0.94)</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7EC995DC" w14:textId="77777777" w:rsidR="008E1127" w:rsidRPr="00FC3F4B" w:rsidRDefault="008E1127" w:rsidP="00A7163A">
            <w:pPr>
              <w:jc w:val="center"/>
              <w:rPr>
                <w:rFonts w:cs="Arial"/>
                <w:b/>
                <w:sz w:val="14"/>
                <w:szCs w:val="16"/>
                <w:lang w:eastAsia="en-US"/>
              </w:rPr>
            </w:pPr>
            <w:r>
              <w:rPr>
                <w:rFonts w:cs="Arial"/>
                <w:sz w:val="14"/>
                <w:szCs w:val="16"/>
                <w:lang w:eastAsia="en-US"/>
              </w:rPr>
              <w:t>1.04 (0.97, 1.12)</w:t>
            </w:r>
          </w:p>
        </w:tc>
        <w:tc>
          <w:tcPr>
            <w:tcW w:w="1559" w:type="dxa"/>
            <w:tcBorders>
              <w:top w:val="nil"/>
              <w:left w:val="nil"/>
              <w:bottom w:val="nil"/>
              <w:right w:val="nil"/>
            </w:tcBorders>
            <w:shd w:val="clear" w:color="auto" w:fill="FFFFFF" w:themeFill="background1"/>
            <w:vAlign w:val="center"/>
          </w:tcPr>
          <w:p w14:paraId="16871994" w14:textId="77777777" w:rsidR="008E1127" w:rsidRPr="00FC3F4B" w:rsidRDefault="008E1127" w:rsidP="00A7163A">
            <w:pPr>
              <w:jc w:val="center"/>
              <w:rPr>
                <w:rFonts w:cs="Arial"/>
                <w:sz w:val="14"/>
                <w:szCs w:val="16"/>
                <w:lang w:eastAsia="en-US"/>
              </w:rPr>
            </w:pPr>
            <w:r>
              <w:rPr>
                <w:rFonts w:cs="Arial"/>
                <w:sz w:val="14"/>
                <w:szCs w:val="16"/>
                <w:lang w:eastAsia="en-US"/>
              </w:rPr>
              <w:t>1.08 (1.02, 1.15)</w:t>
            </w:r>
          </w:p>
        </w:tc>
        <w:tc>
          <w:tcPr>
            <w:tcW w:w="1843" w:type="dxa"/>
            <w:tcBorders>
              <w:top w:val="nil"/>
              <w:left w:val="nil"/>
              <w:bottom w:val="nil"/>
              <w:right w:val="nil"/>
            </w:tcBorders>
            <w:shd w:val="clear" w:color="auto" w:fill="D9D9D9" w:themeFill="background1" w:themeFillShade="D9"/>
            <w:vAlign w:val="center"/>
          </w:tcPr>
          <w:p w14:paraId="57ECF198" w14:textId="77777777" w:rsidR="008E1127" w:rsidRDefault="008E1127" w:rsidP="00A7163A">
            <w:pPr>
              <w:jc w:val="center"/>
              <w:rPr>
                <w:rFonts w:cs="Arial"/>
                <w:sz w:val="14"/>
                <w:szCs w:val="16"/>
                <w:lang w:eastAsia="en-US"/>
              </w:rPr>
            </w:pPr>
            <w:r>
              <w:rPr>
                <w:rFonts w:cs="Arial"/>
                <w:sz w:val="14"/>
                <w:szCs w:val="16"/>
                <w:lang w:eastAsia="en-US"/>
              </w:rPr>
              <w:t>1.14 (1.03, 1.25)</w:t>
            </w:r>
          </w:p>
        </w:tc>
      </w:tr>
      <w:tr w:rsidR="008E1127" w:rsidRPr="00FC3F4B" w14:paraId="60E449F3"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9E20456" w14:textId="77777777" w:rsidR="008E1127" w:rsidRPr="00FC3F4B" w:rsidRDefault="008E1127" w:rsidP="00A7163A">
            <w:pPr>
              <w:jc w:val="left"/>
              <w:rPr>
                <w:rFonts w:cs="Arial"/>
                <w:sz w:val="14"/>
                <w:szCs w:val="16"/>
                <w:lang w:eastAsia="en-US"/>
              </w:rPr>
            </w:pPr>
          </w:p>
        </w:tc>
        <w:tc>
          <w:tcPr>
            <w:tcW w:w="1559" w:type="dxa"/>
            <w:tcBorders>
              <w:top w:val="nil"/>
              <w:left w:val="nil"/>
              <w:bottom w:val="nil"/>
              <w:right w:val="nil"/>
            </w:tcBorders>
            <w:shd w:val="clear" w:color="auto" w:fill="D9D9D9" w:themeFill="background1" w:themeFillShade="D9"/>
            <w:vAlign w:val="center"/>
          </w:tcPr>
          <w:p w14:paraId="3ECD0E3D" w14:textId="77777777" w:rsidR="008E1127" w:rsidRPr="00FC3F4B" w:rsidRDefault="008E1127" w:rsidP="00A7163A">
            <w:pPr>
              <w:jc w:val="center"/>
              <w:rPr>
                <w:rFonts w:cs="Arial"/>
                <w:sz w:val="14"/>
                <w:szCs w:val="16"/>
                <w:lang w:eastAsia="en-US"/>
              </w:rPr>
            </w:pP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BA82070" w14:textId="77777777" w:rsidR="008E1127" w:rsidRPr="00FC3F4B" w:rsidRDefault="008E1127" w:rsidP="00A7163A">
            <w:pPr>
              <w:jc w:val="center"/>
              <w:rPr>
                <w:rFonts w:cs="Arial"/>
                <w:sz w:val="14"/>
                <w:szCs w:val="16"/>
                <w:lang w:eastAsia="en-US"/>
              </w:rPr>
            </w:pP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5BF14034" w14:textId="77777777" w:rsidR="008E1127" w:rsidRDefault="008E1127" w:rsidP="00A7163A">
            <w:pPr>
              <w:jc w:val="center"/>
              <w:rPr>
                <w:rFonts w:cs="Arial"/>
                <w:sz w:val="14"/>
                <w:szCs w:val="16"/>
                <w:lang w:eastAsia="en-US"/>
              </w:rPr>
            </w:pPr>
          </w:p>
        </w:tc>
        <w:tc>
          <w:tcPr>
            <w:tcW w:w="1559" w:type="dxa"/>
            <w:tcBorders>
              <w:top w:val="nil"/>
              <w:left w:val="nil"/>
              <w:bottom w:val="nil"/>
              <w:right w:val="nil"/>
            </w:tcBorders>
            <w:shd w:val="clear" w:color="auto" w:fill="FFFFFF" w:themeFill="background1"/>
            <w:vAlign w:val="center"/>
          </w:tcPr>
          <w:p w14:paraId="5138EAB9" w14:textId="77777777" w:rsidR="008E1127" w:rsidRDefault="008E1127" w:rsidP="00A7163A">
            <w:pPr>
              <w:jc w:val="center"/>
              <w:rPr>
                <w:rFonts w:cs="Arial"/>
                <w:sz w:val="14"/>
                <w:szCs w:val="16"/>
                <w:lang w:eastAsia="en-US"/>
              </w:rPr>
            </w:pPr>
          </w:p>
        </w:tc>
        <w:tc>
          <w:tcPr>
            <w:tcW w:w="1843" w:type="dxa"/>
            <w:tcBorders>
              <w:top w:val="nil"/>
              <w:left w:val="nil"/>
              <w:bottom w:val="nil"/>
              <w:right w:val="nil"/>
            </w:tcBorders>
            <w:shd w:val="clear" w:color="auto" w:fill="D9D9D9" w:themeFill="background1" w:themeFillShade="D9"/>
            <w:vAlign w:val="center"/>
          </w:tcPr>
          <w:p w14:paraId="0F91A143" w14:textId="77777777" w:rsidR="008E1127" w:rsidRDefault="008E1127" w:rsidP="00A7163A">
            <w:pPr>
              <w:jc w:val="center"/>
              <w:rPr>
                <w:rFonts w:cs="Arial"/>
                <w:sz w:val="14"/>
                <w:szCs w:val="16"/>
                <w:lang w:eastAsia="en-US"/>
              </w:rPr>
            </w:pPr>
          </w:p>
        </w:tc>
      </w:tr>
      <w:tr w:rsidR="008E1127" w:rsidRPr="005114F4" w14:paraId="56ADF204"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30F5DB7A" w14:textId="77777777" w:rsidR="008E1127" w:rsidRPr="005114F4" w:rsidRDefault="008E1127" w:rsidP="00A7163A">
            <w:pPr>
              <w:jc w:val="left"/>
              <w:rPr>
                <w:rFonts w:cs="Arial"/>
                <w:i/>
                <w:sz w:val="14"/>
                <w:szCs w:val="16"/>
                <w:lang w:eastAsia="en-US"/>
              </w:rPr>
            </w:pPr>
            <w:r>
              <w:rPr>
                <w:rFonts w:cs="Arial"/>
                <w:i/>
                <w:sz w:val="14"/>
                <w:szCs w:val="16"/>
                <w:lang w:eastAsia="en-US"/>
              </w:rPr>
              <w:t>No. of cohorts / events</w:t>
            </w:r>
          </w:p>
        </w:tc>
        <w:tc>
          <w:tcPr>
            <w:tcW w:w="1559" w:type="dxa"/>
            <w:tcBorders>
              <w:top w:val="nil"/>
              <w:left w:val="nil"/>
              <w:bottom w:val="nil"/>
              <w:right w:val="nil"/>
            </w:tcBorders>
            <w:shd w:val="clear" w:color="auto" w:fill="D9D9D9" w:themeFill="background1" w:themeFillShade="D9"/>
            <w:vAlign w:val="center"/>
          </w:tcPr>
          <w:p w14:paraId="62F195E2" w14:textId="77777777" w:rsidR="008E1127" w:rsidRDefault="008E1127" w:rsidP="00A7163A">
            <w:pPr>
              <w:jc w:val="center"/>
              <w:rPr>
                <w:rFonts w:cs="Arial"/>
                <w:i/>
                <w:sz w:val="14"/>
                <w:szCs w:val="16"/>
                <w:lang w:eastAsia="en-US"/>
              </w:rPr>
            </w:pPr>
            <w:r>
              <w:rPr>
                <w:rFonts w:cs="Arial"/>
                <w:i/>
                <w:sz w:val="14"/>
                <w:szCs w:val="16"/>
                <w:lang w:eastAsia="en-US"/>
              </w:rPr>
              <w:t>55 / 3,531</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90FF2A4" w14:textId="77777777" w:rsidR="008E1127" w:rsidRPr="005114F4" w:rsidRDefault="008E1127" w:rsidP="00A7163A">
            <w:pPr>
              <w:jc w:val="center"/>
              <w:rPr>
                <w:rFonts w:cs="Arial"/>
                <w:i/>
                <w:sz w:val="14"/>
                <w:szCs w:val="16"/>
                <w:lang w:eastAsia="en-US"/>
              </w:rPr>
            </w:pPr>
            <w:r>
              <w:rPr>
                <w:rFonts w:cs="Arial"/>
                <w:i/>
                <w:sz w:val="14"/>
                <w:szCs w:val="16"/>
                <w:lang w:eastAsia="en-US"/>
              </w:rPr>
              <w:t>60 / 4,747</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23DC5ADE" w14:textId="77777777" w:rsidR="008E1127" w:rsidRPr="005114F4" w:rsidRDefault="008E1127" w:rsidP="00A7163A">
            <w:pPr>
              <w:jc w:val="center"/>
              <w:rPr>
                <w:rFonts w:cs="Arial"/>
                <w:i/>
                <w:sz w:val="14"/>
                <w:szCs w:val="16"/>
                <w:lang w:eastAsia="en-US"/>
              </w:rPr>
            </w:pPr>
            <w:r>
              <w:rPr>
                <w:rFonts w:cs="Arial"/>
                <w:i/>
                <w:sz w:val="14"/>
                <w:szCs w:val="16"/>
                <w:lang w:eastAsia="en-US"/>
              </w:rPr>
              <w:t>35 / 1,633</w:t>
            </w:r>
          </w:p>
        </w:tc>
        <w:tc>
          <w:tcPr>
            <w:tcW w:w="1559" w:type="dxa"/>
            <w:tcBorders>
              <w:top w:val="nil"/>
              <w:left w:val="nil"/>
              <w:bottom w:val="nil"/>
              <w:right w:val="nil"/>
            </w:tcBorders>
            <w:shd w:val="clear" w:color="auto" w:fill="FFFFFF" w:themeFill="background1"/>
            <w:vAlign w:val="center"/>
          </w:tcPr>
          <w:p w14:paraId="5796AF98" w14:textId="77777777" w:rsidR="008E1127" w:rsidRPr="005114F4" w:rsidRDefault="008E1127" w:rsidP="00A7163A">
            <w:pPr>
              <w:jc w:val="center"/>
              <w:rPr>
                <w:rFonts w:cs="Arial"/>
                <w:i/>
                <w:sz w:val="14"/>
                <w:szCs w:val="16"/>
                <w:lang w:eastAsia="en-US"/>
              </w:rPr>
            </w:pPr>
            <w:r>
              <w:rPr>
                <w:rFonts w:cs="Arial"/>
                <w:i/>
                <w:sz w:val="14"/>
                <w:szCs w:val="16"/>
                <w:lang w:eastAsia="en-US"/>
              </w:rPr>
              <w:t>29 / 1,886</w:t>
            </w:r>
          </w:p>
        </w:tc>
        <w:tc>
          <w:tcPr>
            <w:tcW w:w="1843" w:type="dxa"/>
            <w:tcBorders>
              <w:top w:val="nil"/>
              <w:left w:val="nil"/>
              <w:bottom w:val="nil"/>
              <w:right w:val="nil"/>
            </w:tcBorders>
            <w:shd w:val="clear" w:color="auto" w:fill="D9D9D9" w:themeFill="background1" w:themeFillShade="D9"/>
            <w:vAlign w:val="center"/>
          </w:tcPr>
          <w:p w14:paraId="4ADB35DB" w14:textId="77777777" w:rsidR="008E1127" w:rsidRDefault="008E1127" w:rsidP="00A7163A">
            <w:pPr>
              <w:jc w:val="center"/>
              <w:rPr>
                <w:rFonts w:cs="Arial"/>
                <w:i/>
                <w:sz w:val="14"/>
                <w:szCs w:val="16"/>
                <w:lang w:eastAsia="en-US"/>
              </w:rPr>
            </w:pPr>
            <w:r>
              <w:rPr>
                <w:rFonts w:cs="Arial"/>
                <w:i/>
                <w:sz w:val="14"/>
                <w:szCs w:val="16"/>
                <w:lang w:eastAsia="en-US"/>
              </w:rPr>
              <w:t>33 / 685</w:t>
            </w:r>
          </w:p>
        </w:tc>
      </w:tr>
      <w:tr w:rsidR="008E1127" w:rsidRPr="00FC3F4B" w14:paraId="1A526F1A"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hideMark/>
          </w:tcPr>
          <w:p w14:paraId="6A2A6D06" w14:textId="77777777" w:rsidR="008E1127" w:rsidRPr="00FC3F4B" w:rsidRDefault="008E1127" w:rsidP="00A7163A">
            <w:pPr>
              <w:jc w:val="left"/>
              <w:rPr>
                <w:rFonts w:cs="Arial"/>
                <w:sz w:val="14"/>
                <w:szCs w:val="16"/>
                <w:lang w:eastAsia="en-US"/>
              </w:rPr>
            </w:pPr>
            <w:r w:rsidRPr="00FC3F4B">
              <w:rPr>
                <w:rFonts w:cs="Arial"/>
                <w:sz w:val="14"/>
                <w:szCs w:val="16"/>
                <w:lang w:eastAsia="en-US"/>
              </w:rPr>
              <w:t>Basic adjustment*</w:t>
            </w:r>
          </w:p>
        </w:tc>
        <w:tc>
          <w:tcPr>
            <w:tcW w:w="1559" w:type="dxa"/>
            <w:tcBorders>
              <w:top w:val="nil"/>
              <w:left w:val="nil"/>
              <w:bottom w:val="nil"/>
              <w:right w:val="nil"/>
            </w:tcBorders>
            <w:shd w:val="clear" w:color="auto" w:fill="D9D9D9" w:themeFill="background1" w:themeFillShade="D9"/>
            <w:vAlign w:val="center"/>
          </w:tcPr>
          <w:p w14:paraId="78A57CC2" w14:textId="77777777" w:rsidR="008E1127" w:rsidRPr="00FC3F4B" w:rsidRDefault="008E1127" w:rsidP="00A7163A">
            <w:pPr>
              <w:jc w:val="center"/>
              <w:rPr>
                <w:rFonts w:cs="Arial"/>
                <w:sz w:val="14"/>
                <w:szCs w:val="16"/>
                <w:lang w:eastAsia="en-US"/>
              </w:rPr>
            </w:pPr>
            <w:r>
              <w:rPr>
                <w:rFonts w:cs="Arial"/>
                <w:sz w:val="14"/>
                <w:szCs w:val="16"/>
                <w:lang w:eastAsia="en-US"/>
              </w:rPr>
              <w:t>1.17 (1.10, 1.25</w:t>
            </w:r>
            <w:r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FB008CC" w14:textId="77777777" w:rsidR="008E1127" w:rsidRPr="00FC3F4B" w:rsidRDefault="008E1127" w:rsidP="00A7163A">
            <w:pPr>
              <w:jc w:val="center"/>
              <w:rPr>
                <w:rFonts w:cs="Arial"/>
                <w:b/>
                <w:sz w:val="14"/>
                <w:szCs w:val="16"/>
                <w:lang w:eastAsia="en-US"/>
              </w:rPr>
            </w:pPr>
            <w:r>
              <w:rPr>
                <w:rFonts w:cs="Arial"/>
                <w:sz w:val="14"/>
                <w:szCs w:val="16"/>
                <w:lang w:eastAsia="en-US"/>
              </w:rPr>
              <w:t>0.91 (0.86, 0.97)</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F4E70B9" w14:textId="77777777" w:rsidR="008E1127" w:rsidRPr="00FC3F4B" w:rsidRDefault="008E1127" w:rsidP="00A7163A">
            <w:pPr>
              <w:jc w:val="center"/>
              <w:rPr>
                <w:rFonts w:cs="Arial"/>
                <w:b/>
                <w:sz w:val="14"/>
                <w:szCs w:val="16"/>
                <w:lang w:eastAsia="en-US"/>
              </w:rPr>
            </w:pPr>
            <w:r>
              <w:rPr>
                <w:rFonts w:cs="Arial"/>
                <w:sz w:val="14"/>
                <w:szCs w:val="16"/>
                <w:lang w:eastAsia="en-US"/>
              </w:rPr>
              <w:t>1.08 (0.97, 1.19)</w:t>
            </w:r>
          </w:p>
        </w:tc>
        <w:tc>
          <w:tcPr>
            <w:tcW w:w="1559" w:type="dxa"/>
            <w:tcBorders>
              <w:top w:val="nil"/>
              <w:left w:val="nil"/>
              <w:bottom w:val="nil"/>
              <w:right w:val="nil"/>
            </w:tcBorders>
            <w:shd w:val="clear" w:color="auto" w:fill="FFFFFF" w:themeFill="background1"/>
            <w:vAlign w:val="center"/>
          </w:tcPr>
          <w:p w14:paraId="1F47315E" w14:textId="77777777" w:rsidR="008E1127" w:rsidRPr="00FC3F4B" w:rsidRDefault="008E1127" w:rsidP="00A7163A">
            <w:pPr>
              <w:jc w:val="center"/>
              <w:rPr>
                <w:rFonts w:cs="Arial"/>
                <w:sz w:val="14"/>
                <w:szCs w:val="16"/>
                <w:lang w:eastAsia="en-US"/>
              </w:rPr>
            </w:pPr>
            <w:r>
              <w:rPr>
                <w:rFonts w:cs="Arial"/>
                <w:sz w:val="14"/>
                <w:szCs w:val="16"/>
                <w:lang w:eastAsia="en-US"/>
              </w:rPr>
              <w:t>1.08 (1.00, 1.18)</w:t>
            </w:r>
          </w:p>
        </w:tc>
        <w:tc>
          <w:tcPr>
            <w:tcW w:w="1843" w:type="dxa"/>
            <w:tcBorders>
              <w:top w:val="nil"/>
              <w:left w:val="nil"/>
              <w:bottom w:val="nil"/>
              <w:right w:val="nil"/>
            </w:tcBorders>
            <w:shd w:val="clear" w:color="auto" w:fill="D9D9D9" w:themeFill="background1" w:themeFillShade="D9"/>
            <w:vAlign w:val="center"/>
          </w:tcPr>
          <w:p w14:paraId="093D938E" w14:textId="77777777" w:rsidR="008E1127" w:rsidRDefault="008E1127" w:rsidP="00A7163A">
            <w:pPr>
              <w:jc w:val="center"/>
              <w:rPr>
                <w:rFonts w:cs="Arial"/>
                <w:sz w:val="14"/>
                <w:szCs w:val="16"/>
                <w:lang w:eastAsia="en-US"/>
              </w:rPr>
            </w:pPr>
            <w:r>
              <w:rPr>
                <w:rFonts w:cs="Arial"/>
                <w:sz w:val="14"/>
                <w:szCs w:val="16"/>
                <w:lang w:eastAsia="en-US"/>
              </w:rPr>
              <w:t>1.21 (1.06, 1.37)</w:t>
            </w:r>
          </w:p>
        </w:tc>
      </w:tr>
      <w:tr w:rsidR="008E1127" w:rsidRPr="00FC3F4B" w14:paraId="0B9CB158"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hideMark/>
          </w:tcPr>
          <w:p w14:paraId="677CFAFB" w14:textId="77777777" w:rsidR="008E1127" w:rsidRPr="00FC3F4B" w:rsidRDefault="008E1127" w:rsidP="00A7163A">
            <w:pPr>
              <w:jc w:val="left"/>
              <w:rPr>
                <w:rFonts w:cs="Arial"/>
                <w:sz w:val="14"/>
                <w:szCs w:val="16"/>
                <w:lang w:eastAsia="en-US"/>
              </w:rPr>
            </w:pPr>
            <w:r w:rsidRPr="00FC3F4B">
              <w:rPr>
                <w:rFonts w:cs="Arial"/>
                <w:sz w:val="14"/>
                <w:szCs w:val="16"/>
                <w:lang w:eastAsia="en-US"/>
              </w:rPr>
              <w:t>+ plus HDL cholesterol</w:t>
            </w:r>
          </w:p>
        </w:tc>
        <w:tc>
          <w:tcPr>
            <w:tcW w:w="1559" w:type="dxa"/>
            <w:tcBorders>
              <w:top w:val="nil"/>
              <w:left w:val="nil"/>
              <w:bottom w:val="nil"/>
              <w:right w:val="nil"/>
            </w:tcBorders>
            <w:shd w:val="clear" w:color="auto" w:fill="D9D9D9" w:themeFill="background1" w:themeFillShade="D9"/>
            <w:vAlign w:val="center"/>
          </w:tcPr>
          <w:p w14:paraId="40B55469" w14:textId="77777777" w:rsidR="008E1127" w:rsidRPr="00FC3F4B" w:rsidRDefault="008E1127" w:rsidP="00A7163A">
            <w:pPr>
              <w:jc w:val="center"/>
              <w:rPr>
                <w:rFonts w:cs="Arial"/>
                <w:sz w:val="14"/>
                <w:szCs w:val="16"/>
                <w:lang w:eastAsia="en-US"/>
              </w:rPr>
            </w:pPr>
            <w:r>
              <w:rPr>
                <w:rFonts w:cs="Arial"/>
                <w:sz w:val="14"/>
                <w:szCs w:val="16"/>
                <w:lang w:eastAsia="en-US"/>
              </w:rPr>
              <w:t>1.18 (1.11, 1.25</w:t>
            </w:r>
            <w:r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7742933" w14:textId="77777777" w:rsidR="008E1127" w:rsidRPr="00FC3F4B" w:rsidRDefault="008E1127" w:rsidP="00A7163A">
            <w:pPr>
              <w:jc w:val="center"/>
              <w:rPr>
                <w:rFonts w:cs="Arial"/>
                <w:b/>
                <w:sz w:val="14"/>
                <w:szCs w:val="16"/>
                <w:lang w:eastAsia="en-US"/>
              </w:rPr>
            </w:pPr>
            <w:r>
              <w:rPr>
                <w:rFonts w:cs="Arial"/>
                <w:sz w:val="14"/>
                <w:szCs w:val="16"/>
                <w:lang w:eastAsia="en-US"/>
              </w:rPr>
              <w:t>1.00 (0.95, 1.05)</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0E5D2FF8" w14:textId="77777777" w:rsidR="008E1127" w:rsidRPr="00FC3F4B" w:rsidRDefault="008E1127" w:rsidP="00A7163A">
            <w:pPr>
              <w:jc w:val="center"/>
              <w:rPr>
                <w:rFonts w:cs="Arial"/>
                <w:b/>
                <w:sz w:val="14"/>
                <w:szCs w:val="16"/>
                <w:lang w:eastAsia="en-US"/>
              </w:rPr>
            </w:pPr>
            <w:r>
              <w:rPr>
                <w:rFonts w:cs="Arial"/>
                <w:sz w:val="14"/>
                <w:szCs w:val="16"/>
                <w:lang w:eastAsia="en-US"/>
              </w:rPr>
              <w:t>1.15 (1.06, 1.26)</w:t>
            </w:r>
          </w:p>
        </w:tc>
        <w:tc>
          <w:tcPr>
            <w:tcW w:w="1559" w:type="dxa"/>
            <w:tcBorders>
              <w:top w:val="nil"/>
              <w:left w:val="nil"/>
              <w:bottom w:val="nil"/>
              <w:right w:val="nil"/>
            </w:tcBorders>
            <w:shd w:val="clear" w:color="auto" w:fill="FFFFFF" w:themeFill="background1"/>
            <w:vAlign w:val="center"/>
          </w:tcPr>
          <w:p w14:paraId="2805F78A" w14:textId="77777777" w:rsidR="008E1127" w:rsidRPr="00FC3F4B" w:rsidRDefault="008E1127" w:rsidP="00A7163A">
            <w:pPr>
              <w:jc w:val="center"/>
              <w:rPr>
                <w:rFonts w:cs="Arial"/>
                <w:sz w:val="14"/>
                <w:szCs w:val="16"/>
                <w:lang w:eastAsia="en-US"/>
              </w:rPr>
            </w:pPr>
            <w:r>
              <w:rPr>
                <w:rFonts w:cs="Arial"/>
                <w:sz w:val="14"/>
                <w:szCs w:val="16"/>
                <w:lang w:eastAsia="en-US"/>
              </w:rPr>
              <w:t>1.14 (1.01, 1.27)</w:t>
            </w:r>
          </w:p>
        </w:tc>
        <w:tc>
          <w:tcPr>
            <w:tcW w:w="1843" w:type="dxa"/>
            <w:tcBorders>
              <w:top w:val="nil"/>
              <w:left w:val="nil"/>
              <w:bottom w:val="nil"/>
              <w:right w:val="nil"/>
            </w:tcBorders>
            <w:shd w:val="clear" w:color="auto" w:fill="D9D9D9" w:themeFill="background1" w:themeFillShade="D9"/>
            <w:vAlign w:val="center"/>
          </w:tcPr>
          <w:p w14:paraId="07F636B0" w14:textId="77777777" w:rsidR="008E1127" w:rsidRDefault="008E1127" w:rsidP="00A7163A">
            <w:pPr>
              <w:jc w:val="center"/>
              <w:rPr>
                <w:rFonts w:cs="Arial"/>
                <w:sz w:val="14"/>
                <w:szCs w:val="16"/>
                <w:lang w:eastAsia="en-US"/>
              </w:rPr>
            </w:pPr>
            <w:r>
              <w:rPr>
                <w:rFonts w:cs="Arial"/>
                <w:sz w:val="14"/>
                <w:szCs w:val="16"/>
                <w:lang w:eastAsia="en-US"/>
              </w:rPr>
              <w:t>1.23 (1.07, 1.41)</w:t>
            </w:r>
          </w:p>
        </w:tc>
      </w:tr>
      <w:tr w:rsidR="008E1127" w:rsidRPr="00FC3F4B" w14:paraId="0C7DA40D"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54C2150" w14:textId="77777777" w:rsidR="008E1127" w:rsidRPr="00FC3F4B" w:rsidRDefault="008E1127" w:rsidP="00A7163A">
            <w:pPr>
              <w:jc w:val="left"/>
              <w:rPr>
                <w:rFonts w:cs="Arial"/>
                <w:sz w:val="14"/>
                <w:szCs w:val="16"/>
                <w:lang w:eastAsia="en-US"/>
              </w:rPr>
            </w:pPr>
          </w:p>
        </w:tc>
        <w:tc>
          <w:tcPr>
            <w:tcW w:w="1559" w:type="dxa"/>
            <w:tcBorders>
              <w:top w:val="nil"/>
              <w:left w:val="nil"/>
              <w:bottom w:val="nil"/>
              <w:right w:val="nil"/>
            </w:tcBorders>
            <w:shd w:val="clear" w:color="auto" w:fill="D9D9D9" w:themeFill="background1" w:themeFillShade="D9"/>
            <w:vAlign w:val="center"/>
          </w:tcPr>
          <w:p w14:paraId="24A6B136" w14:textId="77777777" w:rsidR="008E1127" w:rsidRPr="00FC3F4B" w:rsidRDefault="008E1127" w:rsidP="00A7163A">
            <w:pPr>
              <w:jc w:val="center"/>
              <w:rPr>
                <w:rFonts w:cs="Arial"/>
                <w:sz w:val="14"/>
                <w:szCs w:val="16"/>
                <w:lang w:eastAsia="en-US"/>
              </w:rPr>
            </w:pP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29E93278" w14:textId="77777777" w:rsidR="008E1127" w:rsidRPr="00FC3F4B" w:rsidRDefault="008E1127" w:rsidP="00A7163A">
            <w:pPr>
              <w:jc w:val="center"/>
              <w:rPr>
                <w:rFonts w:cs="Arial"/>
                <w:sz w:val="14"/>
                <w:szCs w:val="16"/>
                <w:lang w:eastAsia="en-US"/>
              </w:rPr>
            </w:pP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7241F4DD" w14:textId="77777777" w:rsidR="008E1127" w:rsidRDefault="008E1127" w:rsidP="00A7163A">
            <w:pPr>
              <w:jc w:val="center"/>
              <w:rPr>
                <w:rFonts w:cs="Arial"/>
                <w:sz w:val="14"/>
                <w:szCs w:val="16"/>
                <w:lang w:eastAsia="en-US"/>
              </w:rPr>
            </w:pPr>
          </w:p>
        </w:tc>
        <w:tc>
          <w:tcPr>
            <w:tcW w:w="1559" w:type="dxa"/>
            <w:tcBorders>
              <w:top w:val="nil"/>
              <w:left w:val="nil"/>
              <w:bottom w:val="nil"/>
              <w:right w:val="nil"/>
            </w:tcBorders>
            <w:shd w:val="clear" w:color="auto" w:fill="FFFFFF" w:themeFill="background1"/>
            <w:vAlign w:val="center"/>
          </w:tcPr>
          <w:p w14:paraId="675BC93B" w14:textId="77777777" w:rsidR="008E1127" w:rsidRDefault="008E1127" w:rsidP="00A7163A">
            <w:pPr>
              <w:jc w:val="center"/>
              <w:rPr>
                <w:rFonts w:cs="Arial"/>
                <w:sz w:val="14"/>
                <w:szCs w:val="16"/>
                <w:lang w:eastAsia="en-US"/>
              </w:rPr>
            </w:pPr>
          </w:p>
        </w:tc>
        <w:tc>
          <w:tcPr>
            <w:tcW w:w="1843" w:type="dxa"/>
            <w:tcBorders>
              <w:top w:val="nil"/>
              <w:left w:val="nil"/>
              <w:bottom w:val="nil"/>
              <w:right w:val="nil"/>
            </w:tcBorders>
            <w:shd w:val="clear" w:color="auto" w:fill="D9D9D9" w:themeFill="background1" w:themeFillShade="D9"/>
            <w:vAlign w:val="center"/>
          </w:tcPr>
          <w:p w14:paraId="4743BB84" w14:textId="77777777" w:rsidR="008E1127" w:rsidRDefault="008E1127" w:rsidP="00A7163A">
            <w:pPr>
              <w:jc w:val="center"/>
              <w:rPr>
                <w:rFonts w:cs="Arial"/>
                <w:sz w:val="14"/>
                <w:szCs w:val="16"/>
                <w:lang w:eastAsia="en-US"/>
              </w:rPr>
            </w:pPr>
          </w:p>
        </w:tc>
      </w:tr>
      <w:tr w:rsidR="008E1127" w:rsidRPr="00FC3F4B" w14:paraId="63284C4B"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4B0B4C2E" w14:textId="77777777" w:rsidR="008E1127" w:rsidRPr="00FC3F4B" w:rsidRDefault="008E1127" w:rsidP="00A7163A">
            <w:pPr>
              <w:jc w:val="left"/>
              <w:rPr>
                <w:rFonts w:cs="Arial"/>
                <w:sz w:val="14"/>
                <w:szCs w:val="16"/>
                <w:lang w:eastAsia="en-US"/>
              </w:rPr>
            </w:pPr>
            <w:r>
              <w:rPr>
                <w:rFonts w:cs="Arial"/>
                <w:i/>
                <w:sz w:val="14"/>
                <w:szCs w:val="16"/>
                <w:lang w:eastAsia="en-US"/>
              </w:rPr>
              <w:t>No. of cohorts / events</w:t>
            </w:r>
          </w:p>
        </w:tc>
        <w:tc>
          <w:tcPr>
            <w:tcW w:w="1559" w:type="dxa"/>
            <w:tcBorders>
              <w:top w:val="nil"/>
              <w:left w:val="nil"/>
              <w:bottom w:val="nil"/>
              <w:right w:val="nil"/>
            </w:tcBorders>
            <w:shd w:val="clear" w:color="auto" w:fill="D9D9D9" w:themeFill="background1" w:themeFillShade="D9"/>
            <w:vAlign w:val="center"/>
          </w:tcPr>
          <w:p w14:paraId="0B76692A" w14:textId="77777777" w:rsidR="008E1127" w:rsidRPr="00FC3F4B" w:rsidRDefault="008E1127" w:rsidP="00A7163A">
            <w:pPr>
              <w:jc w:val="center"/>
              <w:rPr>
                <w:rFonts w:cs="Arial"/>
                <w:sz w:val="14"/>
                <w:szCs w:val="16"/>
                <w:lang w:eastAsia="en-US"/>
              </w:rPr>
            </w:pPr>
            <w:r>
              <w:rPr>
                <w:rFonts w:cs="Arial"/>
                <w:i/>
                <w:sz w:val="14"/>
                <w:szCs w:val="16"/>
                <w:lang w:eastAsia="en-US"/>
              </w:rPr>
              <w:t>67 / 6,249</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8AD2BAD" w14:textId="77777777" w:rsidR="008E1127" w:rsidRPr="00FC3F4B" w:rsidRDefault="008E1127" w:rsidP="00A7163A">
            <w:pPr>
              <w:jc w:val="center"/>
              <w:rPr>
                <w:rFonts w:cs="Arial"/>
                <w:sz w:val="14"/>
                <w:szCs w:val="16"/>
                <w:lang w:eastAsia="en-US"/>
              </w:rPr>
            </w:pPr>
            <w:r>
              <w:rPr>
                <w:rFonts w:cs="Arial"/>
                <w:i/>
                <w:sz w:val="14"/>
                <w:szCs w:val="16"/>
                <w:lang w:eastAsia="en-US"/>
              </w:rPr>
              <w:t>69 / 8,311</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06716744" w14:textId="77777777" w:rsidR="008E1127" w:rsidRDefault="008E1127" w:rsidP="00A7163A">
            <w:pPr>
              <w:jc w:val="center"/>
              <w:rPr>
                <w:rFonts w:cs="Arial"/>
                <w:sz w:val="14"/>
                <w:szCs w:val="16"/>
                <w:lang w:eastAsia="en-US"/>
              </w:rPr>
            </w:pPr>
            <w:r>
              <w:rPr>
                <w:rFonts w:cs="Arial"/>
                <w:i/>
                <w:sz w:val="14"/>
                <w:szCs w:val="16"/>
                <w:lang w:eastAsia="en-US"/>
              </w:rPr>
              <w:t>42 / 5,722</w:t>
            </w:r>
          </w:p>
        </w:tc>
        <w:tc>
          <w:tcPr>
            <w:tcW w:w="1559" w:type="dxa"/>
            <w:tcBorders>
              <w:top w:val="nil"/>
              <w:left w:val="nil"/>
              <w:bottom w:val="nil"/>
              <w:right w:val="nil"/>
            </w:tcBorders>
            <w:shd w:val="clear" w:color="auto" w:fill="FFFFFF" w:themeFill="background1"/>
            <w:vAlign w:val="center"/>
          </w:tcPr>
          <w:p w14:paraId="47933FE5" w14:textId="77777777" w:rsidR="008E1127" w:rsidRDefault="008E1127" w:rsidP="00A7163A">
            <w:pPr>
              <w:jc w:val="center"/>
              <w:rPr>
                <w:rFonts w:cs="Arial"/>
                <w:sz w:val="14"/>
                <w:szCs w:val="16"/>
                <w:lang w:eastAsia="en-US"/>
              </w:rPr>
            </w:pPr>
            <w:r>
              <w:rPr>
                <w:rFonts w:cs="Arial"/>
                <w:i/>
                <w:sz w:val="14"/>
                <w:szCs w:val="16"/>
                <w:lang w:eastAsia="en-US"/>
              </w:rPr>
              <w:t>37 / 2,551</w:t>
            </w:r>
          </w:p>
        </w:tc>
        <w:tc>
          <w:tcPr>
            <w:tcW w:w="1843" w:type="dxa"/>
            <w:tcBorders>
              <w:top w:val="nil"/>
              <w:left w:val="nil"/>
              <w:bottom w:val="nil"/>
              <w:right w:val="nil"/>
            </w:tcBorders>
            <w:shd w:val="clear" w:color="auto" w:fill="D9D9D9" w:themeFill="background1" w:themeFillShade="D9"/>
            <w:vAlign w:val="center"/>
          </w:tcPr>
          <w:p w14:paraId="770703C3" w14:textId="77777777" w:rsidR="008E1127" w:rsidRDefault="008E1127" w:rsidP="00A7163A">
            <w:pPr>
              <w:jc w:val="center"/>
              <w:rPr>
                <w:rFonts w:cs="Arial"/>
                <w:sz w:val="14"/>
                <w:szCs w:val="16"/>
                <w:lang w:eastAsia="en-US"/>
              </w:rPr>
            </w:pPr>
            <w:r>
              <w:rPr>
                <w:rFonts w:cs="Arial"/>
                <w:sz w:val="14"/>
                <w:szCs w:val="16"/>
                <w:lang w:eastAsia="en-US"/>
              </w:rPr>
              <w:t>41 / 1,035</w:t>
            </w:r>
          </w:p>
        </w:tc>
      </w:tr>
      <w:tr w:rsidR="008E1127" w:rsidRPr="00FC3F4B" w14:paraId="07771D50"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C03CE36" w14:textId="77777777" w:rsidR="008E1127" w:rsidRPr="00FC3F4B" w:rsidRDefault="008E1127" w:rsidP="00A7163A">
            <w:pPr>
              <w:jc w:val="left"/>
              <w:rPr>
                <w:rFonts w:cs="Arial"/>
                <w:sz w:val="14"/>
                <w:szCs w:val="16"/>
                <w:lang w:eastAsia="en-US"/>
              </w:rPr>
            </w:pPr>
            <w:r w:rsidRPr="00FC3F4B">
              <w:rPr>
                <w:rFonts w:cs="Arial"/>
                <w:sz w:val="14"/>
                <w:szCs w:val="16"/>
                <w:lang w:eastAsia="en-US"/>
              </w:rPr>
              <w:t>Basic adjustment*</w:t>
            </w:r>
          </w:p>
        </w:tc>
        <w:tc>
          <w:tcPr>
            <w:tcW w:w="1559" w:type="dxa"/>
            <w:tcBorders>
              <w:top w:val="nil"/>
              <w:left w:val="nil"/>
              <w:bottom w:val="nil"/>
              <w:right w:val="nil"/>
            </w:tcBorders>
            <w:shd w:val="clear" w:color="auto" w:fill="D9D9D9" w:themeFill="background1" w:themeFillShade="D9"/>
            <w:vAlign w:val="center"/>
          </w:tcPr>
          <w:p w14:paraId="590AB5D9" w14:textId="77777777" w:rsidR="008E1127" w:rsidRPr="00FC3F4B" w:rsidRDefault="008E1127" w:rsidP="00A7163A">
            <w:pPr>
              <w:jc w:val="center"/>
              <w:rPr>
                <w:rFonts w:cs="Arial"/>
                <w:sz w:val="14"/>
                <w:szCs w:val="16"/>
                <w:lang w:eastAsia="en-US"/>
              </w:rPr>
            </w:pPr>
            <w:r>
              <w:rPr>
                <w:rFonts w:cs="Arial"/>
                <w:sz w:val="14"/>
                <w:szCs w:val="16"/>
                <w:lang w:eastAsia="en-US"/>
              </w:rPr>
              <w:t>1.15 (1.10, 1.20</w:t>
            </w:r>
            <w:r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AEF2392" w14:textId="77777777" w:rsidR="008E1127" w:rsidRPr="00FC3F4B" w:rsidRDefault="008E1127" w:rsidP="00A7163A">
            <w:pPr>
              <w:jc w:val="center"/>
              <w:rPr>
                <w:rFonts w:cs="Arial"/>
                <w:sz w:val="14"/>
                <w:szCs w:val="16"/>
                <w:lang w:eastAsia="en-US"/>
              </w:rPr>
            </w:pPr>
            <w:r>
              <w:rPr>
                <w:rFonts w:cs="Arial"/>
                <w:sz w:val="14"/>
                <w:szCs w:val="16"/>
                <w:lang w:eastAsia="en-US"/>
              </w:rPr>
              <w:t>0.94 (0.90, 0.98)</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334546F" w14:textId="77777777" w:rsidR="008E1127" w:rsidRDefault="008E1127" w:rsidP="00A7163A">
            <w:pPr>
              <w:jc w:val="center"/>
              <w:rPr>
                <w:rFonts w:cs="Arial"/>
                <w:sz w:val="14"/>
                <w:szCs w:val="16"/>
                <w:lang w:eastAsia="en-US"/>
              </w:rPr>
            </w:pPr>
            <w:r>
              <w:rPr>
                <w:rFonts w:cs="Arial"/>
                <w:sz w:val="14"/>
                <w:szCs w:val="16"/>
                <w:lang w:eastAsia="en-US"/>
              </w:rPr>
              <w:t>1.07 (1.00, 1.14)</w:t>
            </w:r>
          </w:p>
        </w:tc>
        <w:tc>
          <w:tcPr>
            <w:tcW w:w="1559" w:type="dxa"/>
            <w:tcBorders>
              <w:top w:val="nil"/>
              <w:left w:val="nil"/>
              <w:bottom w:val="nil"/>
              <w:right w:val="nil"/>
            </w:tcBorders>
            <w:shd w:val="clear" w:color="auto" w:fill="FFFFFF" w:themeFill="background1"/>
            <w:vAlign w:val="center"/>
          </w:tcPr>
          <w:p w14:paraId="5997E93C" w14:textId="77777777" w:rsidR="008E1127" w:rsidRDefault="008E1127" w:rsidP="00A7163A">
            <w:pPr>
              <w:jc w:val="center"/>
              <w:rPr>
                <w:rFonts w:cs="Arial"/>
                <w:sz w:val="14"/>
                <w:szCs w:val="16"/>
                <w:lang w:eastAsia="en-US"/>
              </w:rPr>
            </w:pPr>
            <w:r>
              <w:rPr>
                <w:rFonts w:cs="Arial"/>
                <w:sz w:val="14"/>
                <w:szCs w:val="16"/>
                <w:lang w:eastAsia="en-US"/>
              </w:rPr>
              <w:t>1.10 (1.03, 1.18)</w:t>
            </w:r>
          </w:p>
        </w:tc>
        <w:tc>
          <w:tcPr>
            <w:tcW w:w="1843" w:type="dxa"/>
            <w:tcBorders>
              <w:top w:val="nil"/>
              <w:left w:val="nil"/>
              <w:bottom w:val="nil"/>
              <w:right w:val="nil"/>
            </w:tcBorders>
            <w:shd w:val="clear" w:color="auto" w:fill="D9D9D9" w:themeFill="background1" w:themeFillShade="D9"/>
            <w:vAlign w:val="center"/>
          </w:tcPr>
          <w:p w14:paraId="33DB8481" w14:textId="77777777" w:rsidR="008E1127" w:rsidRDefault="008E1127" w:rsidP="00A7163A">
            <w:pPr>
              <w:jc w:val="center"/>
              <w:rPr>
                <w:rFonts w:cs="Arial"/>
                <w:sz w:val="14"/>
                <w:szCs w:val="16"/>
                <w:lang w:eastAsia="en-US"/>
              </w:rPr>
            </w:pPr>
            <w:r>
              <w:rPr>
                <w:rFonts w:cs="Arial"/>
                <w:sz w:val="14"/>
                <w:szCs w:val="16"/>
                <w:lang w:eastAsia="en-US"/>
              </w:rPr>
              <w:t>1.17 (1.08, 1.25)</w:t>
            </w:r>
          </w:p>
        </w:tc>
      </w:tr>
      <w:tr w:rsidR="008E1127" w:rsidRPr="00FC3F4B" w14:paraId="52A3C714" w14:textId="77777777" w:rsidTr="00A7163A">
        <w:trPr>
          <w:gridAfter w:val="1"/>
          <w:wAfter w:w="20" w:type="dxa"/>
          <w:trHeight w:hRule="exact" w:val="227"/>
          <w:jc w:val="center"/>
        </w:trPr>
        <w:tc>
          <w:tcPr>
            <w:tcW w:w="184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FAC2E5F" w14:textId="77777777" w:rsidR="008E1127" w:rsidRPr="00FC3F4B" w:rsidRDefault="008E1127" w:rsidP="00A7163A">
            <w:pPr>
              <w:jc w:val="left"/>
              <w:rPr>
                <w:rFonts w:cs="Arial"/>
                <w:sz w:val="14"/>
                <w:szCs w:val="16"/>
                <w:lang w:eastAsia="en-US"/>
              </w:rPr>
            </w:pPr>
            <w:r w:rsidRPr="00FC3F4B">
              <w:rPr>
                <w:rFonts w:cs="Arial"/>
                <w:sz w:val="14"/>
                <w:szCs w:val="16"/>
                <w:lang w:eastAsia="en-US"/>
              </w:rPr>
              <w:t>+ body mass index</w:t>
            </w:r>
          </w:p>
        </w:tc>
        <w:tc>
          <w:tcPr>
            <w:tcW w:w="1559" w:type="dxa"/>
            <w:tcBorders>
              <w:top w:val="nil"/>
              <w:left w:val="nil"/>
              <w:bottom w:val="nil"/>
              <w:right w:val="nil"/>
            </w:tcBorders>
            <w:shd w:val="clear" w:color="auto" w:fill="D9D9D9" w:themeFill="background1" w:themeFillShade="D9"/>
            <w:vAlign w:val="center"/>
          </w:tcPr>
          <w:p w14:paraId="0B7BE814" w14:textId="7342549C" w:rsidR="008E1127" w:rsidRPr="00FC3F4B" w:rsidRDefault="007066CE" w:rsidP="00A7163A">
            <w:pPr>
              <w:jc w:val="center"/>
              <w:rPr>
                <w:rFonts w:cs="Arial"/>
                <w:sz w:val="14"/>
                <w:szCs w:val="16"/>
                <w:lang w:eastAsia="en-US"/>
              </w:rPr>
            </w:pPr>
            <w:r>
              <w:rPr>
                <w:rFonts w:cs="Arial"/>
                <w:sz w:val="14"/>
                <w:szCs w:val="16"/>
                <w:lang w:eastAsia="en-US"/>
              </w:rPr>
              <w:t>1.16 (1.11, 1.21</w:t>
            </w:r>
            <w:r w:rsidR="008E1127" w:rsidRPr="00FC3F4B">
              <w:rPr>
                <w:rFonts w:cs="Arial"/>
                <w:sz w:val="14"/>
                <w:szCs w:val="16"/>
                <w:lang w:eastAsia="en-US"/>
              </w:rPr>
              <w:t>)</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2B82FA98" w14:textId="77777777" w:rsidR="008E1127" w:rsidRPr="00FC3F4B" w:rsidRDefault="008E1127" w:rsidP="00A7163A">
            <w:pPr>
              <w:jc w:val="center"/>
              <w:rPr>
                <w:rFonts w:cs="Arial"/>
                <w:sz w:val="14"/>
                <w:szCs w:val="16"/>
                <w:lang w:eastAsia="en-US"/>
              </w:rPr>
            </w:pPr>
            <w:r>
              <w:rPr>
                <w:rFonts w:cs="Arial"/>
                <w:sz w:val="14"/>
                <w:szCs w:val="16"/>
                <w:lang w:eastAsia="en-US"/>
              </w:rPr>
              <w:t>0.94 (0.91, 0.98)</w:t>
            </w:r>
          </w:p>
        </w:tc>
        <w:tc>
          <w:tcPr>
            <w:tcW w:w="1559"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5AD45CF4" w14:textId="77777777" w:rsidR="008E1127" w:rsidRDefault="008E1127" w:rsidP="00A7163A">
            <w:pPr>
              <w:jc w:val="center"/>
              <w:rPr>
                <w:rFonts w:cs="Arial"/>
                <w:sz w:val="14"/>
                <w:szCs w:val="16"/>
                <w:lang w:eastAsia="en-US"/>
              </w:rPr>
            </w:pPr>
            <w:r>
              <w:rPr>
                <w:rFonts w:cs="Arial"/>
                <w:sz w:val="14"/>
                <w:szCs w:val="16"/>
                <w:lang w:eastAsia="en-US"/>
              </w:rPr>
              <w:t>1.08 (1.01, 1.15)</w:t>
            </w:r>
          </w:p>
        </w:tc>
        <w:tc>
          <w:tcPr>
            <w:tcW w:w="1559" w:type="dxa"/>
            <w:tcBorders>
              <w:top w:val="nil"/>
              <w:left w:val="nil"/>
              <w:bottom w:val="nil"/>
              <w:right w:val="nil"/>
            </w:tcBorders>
            <w:shd w:val="clear" w:color="auto" w:fill="FFFFFF" w:themeFill="background1"/>
            <w:vAlign w:val="center"/>
          </w:tcPr>
          <w:p w14:paraId="1FFEDE46" w14:textId="77777777" w:rsidR="008E1127" w:rsidRDefault="008E1127" w:rsidP="00A7163A">
            <w:pPr>
              <w:jc w:val="center"/>
              <w:rPr>
                <w:rFonts w:cs="Arial"/>
                <w:sz w:val="14"/>
                <w:szCs w:val="16"/>
                <w:lang w:eastAsia="en-US"/>
              </w:rPr>
            </w:pPr>
            <w:r>
              <w:rPr>
                <w:rFonts w:cs="Arial"/>
                <w:sz w:val="14"/>
                <w:szCs w:val="16"/>
                <w:lang w:eastAsia="en-US"/>
              </w:rPr>
              <w:t>1.09 (1.03, 1.16)</w:t>
            </w:r>
          </w:p>
        </w:tc>
        <w:tc>
          <w:tcPr>
            <w:tcW w:w="1843" w:type="dxa"/>
            <w:tcBorders>
              <w:top w:val="nil"/>
              <w:left w:val="nil"/>
              <w:bottom w:val="nil"/>
              <w:right w:val="nil"/>
            </w:tcBorders>
            <w:shd w:val="clear" w:color="auto" w:fill="D9D9D9" w:themeFill="background1" w:themeFillShade="D9"/>
            <w:vAlign w:val="center"/>
          </w:tcPr>
          <w:p w14:paraId="0FA1F0E9" w14:textId="77777777" w:rsidR="008E1127" w:rsidRDefault="008E1127" w:rsidP="00A7163A">
            <w:pPr>
              <w:jc w:val="center"/>
              <w:rPr>
                <w:rFonts w:cs="Arial"/>
                <w:sz w:val="14"/>
                <w:szCs w:val="16"/>
                <w:lang w:eastAsia="en-US"/>
              </w:rPr>
            </w:pPr>
            <w:r>
              <w:rPr>
                <w:rFonts w:cs="Arial"/>
                <w:sz w:val="14"/>
                <w:szCs w:val="16"/>
                <w:lang w:eastAsia="en-US"/>
              </w:rPr>
              <w:t>1.17 (1.11, 1.23)</w:t>
            </w:r>
          </w:p>
        </w:tc>
      </w:tr>
      <w:tr w:rsidR="008E1127" w:rsidRPr="00903B82" w14:paraId="5D0A6FE8" w14:textId="77777777" w:rsidTr="00A7163A">
        <w:trPr>
          <w:trHeight w:hRule="exact" w:val="79"/>
          <w:jc w:val="center"/>
        </w:trPr>
        <w:tc>
          <w:tcPr>
            <w:tcW w:w="1843" w:type="dxa"/>
            <w:tcBorders>
              <w:top w:val="single" w:sz="4" w:space="0" w:color="auto"/>
              <w:left w:val="nil"/>
              <w:bottom w:val="nil"/>
              <w:right w:val="nil"/>
            </w:tcBorders>
            <w:shd w:val="clear" w:color="auto" w:fill="auto"/>
            <w:tcMar>
              <w:top w:w="0" w:type="dxa"/>
              <w:left w:w="0" w:type="dxa"/>
              <w:bottom w:w="0" w:type="dxa"/>
              <w:right w:w="0" w:type="dxa"/>
            </w:tcMar>
            <w:vAlign w:val="center"/>
          </w:tcPr>
          <w:p w14:paraId="70191916" w14:textId="77777777" w:rsidR="008E1127" w:rsidRDefault="008E1127" w:rsidP="00A7163A">
            <w:pPr>
              <w:spacing w:line="240" w:lineRule="auto"/>
              <w:rPr>
                <w:rFonts w:cs="Arial"/>
                <w:sz w:val="14"/>
                <w:szCs w:val="16"/>
                <w:lang w:eastAsia="en-US"/>
              </w:rPr>
            </w:pPr>
          </w:p>
        </w:tc>
        <w:tc>
          <w:tcPr>
            <w:tcW w:w="1559" w:type="dxa"/>
            <w:tcBorders>
              <w:top w:val="single" w:sz="4" w:space="0" w:color="auto"/>
              <w:left w:val="nil"/>
              <w:bottom w:val="nil"/>
              <w:right w:val="nil"/>
            </w:tcBorders>
            <w:vAlign w:val="center"/>
          </w:tcPr>
          <w:p w14:paraId="0DE4647F" w14:textId="77777777" w:rsidR="008E1127" w:rsidRPr="00903B82" w:rsidRDefault="008E1127" w:rsidP="00A7163A">
            <w:pPr>
              <w:spacing w:line="240" w:lineRule="auto"/>
              <w:jc w:val="center"/>
              <w:rPr>
                <w:rFonts w:cs="Arial"/>
                <w:sz w:val="14"/>
                <w:szCs w:val="16"/>
                <w:lang w:eastAsia="en-US"/>
              </w:rPr>
            </w:pPr>
          </w:p>
        </w:tc>
        <w:tc>
          <w:tcPr>
            <w:tcW w:w="1418" w:type="dxa"/>
            <w:tcBorders>
              <w:top w:val="single" w:sz="4" w:space="0" w:color="auto"/>
              <w:left w:val="nil"/>
              <w:bottom w:val="nil"/>
              <w:right w:val="nil"/>
            </w:tcBorders>
            <w:shd w:val="clear" w:color="auto" w:fill="auto"/>
            <w:tcMar>
              <w:top w:w="0" w:type="dxa"/>
              <w:left w:w="0" w:type="dxa"/>
              <w:bottom w:w="0" w:type="dxa"/>
              <w:right w:w="0" w:type="dxa"/>
            </w:tcMar>
            <w:vAlign w:val="center"/>
          </w:tcPr>
          <w:p w14:paraId="0DF00739" w14:textId="77777777" w:rsidR="008E1127" w:rsidRPr="00903B82" w:rsidRDefault="008E1127" w:rsidP="00A7163A">
            <w:pPr>
              <w:spacing w:line="240" w:lineRule="auto"/>
              <w:jc w:val="center"/>
              <w:rPr>
                <w:rFonts w:cs="Arial"/>
                <w:sz w:val="14"/>
                <w:szCs w:val="16"/>
                <w:lang w:eastAsia="en-US"/>
              </w:rPr>
            </w:pPr>
          </w:p>
        </w:tc>
        <w:tc>
          <w:tcPr>
            <w:tcW w:w="1559" w:type="dxa"/>
            <w:tcBorders>
              <w:top w:val="single" w:sz="4" w:space="0" w:color="auto"/>
              <w:left w:val="nil"/>
              <w:bottom w:val="nil"/>
              <w:right w:val="nil"/>
            </w:tcBorders>
            <w:shd w:val="clear" w:color="auto" w:fill="auto"/>
            <w:tcMar>
              <w:top w:w="0" w:type="dxa"/>
              <w:left w:w="0" w:type="dxa"/>
              <w:bottom w:w="0" w:type="dxa"/>
              <w:right w:w="0" w:type="dxa"/>
            </w:tcMar>
            <w:vAlign w:val="center"/>
          </w:tcPr>
          <w:p w14:paraId="4C51DA31" w14:textId="77777777" w:rsidR="008E1127" w:rsidRPr="00903B82" w:rsidRDefault="008E1127" w:rsidP="00A7163A">
            <w:pPr>
              <w:spacing w:line="240" w:lineRule="auto"/>
              <w:jc w:val="center"/>
              <w:rPr>
                <w:rFonts w:cs="Arial"/>
                <w:sz w:val="14"/>
                <w:szCs w:val="16"/>
                <w:lang w:eastAsia="en-US"/>
              </w:rPr>
            </w:pPr>
          </w:p>
        </w:tc>
        <w:tc>
          <w:tcPr>
            <w:tcW w:w="1559" w:type="dxa"/>
            <w:tcBorders>
              <w:top w:val="single" w:sz="4" w:space="0" w:color="auto"/>
              <w:left w:val="nil"/>
              <w:bottom w:val="nil"/>
              <w:right w:val="nil"/>
            </w:tcBorders>
            <w:shd w:val="clear" w:color="auto" w:fill="auto"/>
            <w:vAlign w:val="center"/>
          </w:tcPr>
          <w:p w14:paraId="7B2C6463" w14:textId="77777777" w:rsidR="008E1127" w:rsidRPr="00903B82" w:rsidRDefault="008E1127" w:rsidP="00A7163A">
            <w:pPr>
              <w:spacing w:line="240" w:lineRule="auto"/>
              <w:jc w:val="center"/>
              <w:rPr>
                <w:rFonts w:cs="Arial"/>
                <w:sz w:val="14"/>
                <w:szCs w:val="16"/>
                <w:lang w:eastAsia="en-US"/>
              </w:rPr>
            </w:pPr>
          </w:p>
        </w:tc>
        <w:tc>
          <w:tcPr>
            <w:tcW w:w="1843" w:type="dxa"/>
            <w:tcBorders>
              <w:top w:val="single" w:sz="4" w:space="0" w:color="auto"/>
              <w:left w:val="nil"/>
              <w:bottom w:val="nil"/>
              <w:right w:val="nil"/>
            </w:tcBorders>
          </w:tcPr>
          <w:p w14:paraId="71141AF4" w14:textId="77777777" w:rsidR="008E1127" w:rsidRPr="00903B82" w:rsidRDefault="008E1127" w:rsidP="00A7163A">
            <w:pPr>
              <w:spacing w:line="240" w:lineRule="auto"/>
              <w:jc w:val="center"/>
              <w:rPr>
                <w:rFonts w:cs="Arial"/>
                <w:sz w:val="14"/>
                <w:szCs w:val="16"/>
                <w:lang w:eastAsia="en-US"/>
              </w:rPr>
            </w:pPr>
          </w:p>
        </w:tc>
        <w:tc>
          <w:tcPr>
            <w:tcW w:w="20" w:type="dxa"/>
            <w:tcBorders>
              <w:top w:val="nil"/>
              <w:left w:val="nil"/>
              <w:bottom w:val="nil"/>
              <w:right w:val="nil"/>
            </w:tcBorders>
            <w:shd w:val="clear" w:color="auto" w:fill="auto"/>
            <w:tcMar>
              <w:top w:w="0" w:type="dxa"/>
              <w:left w:w="0" w:type="dxa"/>
              <w:bottom w:w="0" w:type="dxa"/>
              <w:right w:w="0" w:type="dxa"/>
            </w:tcMar>
            <w:vAlign w:val="center"/>
          </w:tcPr>
          <w:p w14:paraId="2B5AFF8C" w14:textId="77777777" w:rsidR="008E1127" w:rsidRPr="00903B82" w:rsidRDefault="008E1127" w:rsidP="00A7163A">
            <w:pPr>
              <w:spacing w:line="240" w:lineRule="auto"/>
              <w:jc w:val="center"/>
              <w:rPr>
                <w:rFonts w:cs="Arial"/>
                <w:sz w:val="14"/>
                <w:szCs w:val="16"/>
                <w:lang w:eastAsia="en-US"/>
              </w:rPr>
            </w:pPr>
          </w:p>
        </w:tc>
      </w:tr>
    </w:tbl>
    <w:p w14:paraId="7473ED25" w14:textId="77777777" w:rsidR="008E1127" w:rsidRDefault="008E1127" w:rsidP="008E1127">
      <w:pPr>
        <w:spacing w:line="240" w:lineRule="auto"/>
        <w:rPr>
          <w:rFonts w:cs="Calibri"/>
          <w:sz w:val="16"/>
          <w:szCs w:val="20"/>
        </w:rPr>
      </w:pPr>
    </w:p>
    <w:p w14:paraId="1E5DAACA" w14:textId="77777777" w:rsidR="008E1127" w:rsidRPr="00586F91" w:rsidRDefault="008E1127" w:rsidP="008E1127">
      <w:pPr>
        <w:rPr>
          <w:color w:val="000000" w:themeColor="text1"/>
          <w:sz w:val="18"/>
          <w:szCs w:val="20"/>
        </w:rPr>
      </w:pPr>
      <w:r w:rsidRPr="00586F91">
        <w:rPr>
          <w:color w:val="000000" w:themeColor="text1"/>
          <w:sz w:val="18"/>
          <w:szCs w:val="20"/>
        </w:rPr>
        <w:t xml:space="preserve">Analyses restricted to individuals with basic adjustment variables plus the additional variable. Studies with fewer than five events were excluded from the analysis of each outcome. *Basic adjustment includes age, smoking and history of diabetes, and stratified by sex and EPIC centre.   </w:t>
      </w:r>
    </w:p>
    <w:p w14:paraId="0A6DD516" w14:textId="77777777" w:rsidR="008E1127" w:rsidRPr="00586F91" w:rsidRDefault="008E1127" w:rsidP="008E1127">
      <w:pPr>
        <w:rPr>
          <w:color w:val="000000" w:themeColor="text1"/>
          <w:sz w:val="18"/>
          <w:szCs w:val="20"/>
        </w:rPr>
      </w:pPr>
    </w:p>
    <w:p w14:paraId="32946E55" w14:textId="77777777" w:rsidR="008E1127" w:rsidRDefault="008E1127" w:rsidP="008E1127">
      <w:pPr>
        <w:spacing w:line="240" w:lineRule="auto"/>
        <w:rPr>
          <w:color w:val="000000" w:themeColor="text1"/>
          <w:sz w:val="16"/>
          <w:szCs w:val="20"/>
        </w:rPr>
      </w:pPr>
    </w:p>
    <w:p w14:paraId="03597558" w14:textId="77777777" w:rsidR="008E1127" w:rsidRDefault="008E1127" w:rsidP="008E1127">
      <w:pPr>
        <w:spacing w:line="240" w:lineRule="auto"/>
        <w:rPr>
          <w:color w:val="000000" w:themeColor="text1"/>
          <w:sz w:val="16"/>
          <w:szCs w:val="20"/>
        </w:rPr>
      </w:pPr>
    </w:p>
    <w:p w14:paraId="19F768DE" w14:textId="77777777" w:rsidR="008E1127" w:rsidRDefault="008E1127" w:rsidP="008E1127">
      <w:pPr>
        <w:spacing w:line="240" w:lineRule="auto"/>
        <w:rPr>
          <w:color w:val="000000" w:themeColor="text1"/>
          <w:sz w:val="16"/>
          <w:szCs w:val="20"/>
        </w:rPr>
      </w:pPr>
    </w:p>
    <w:p w14:paraId="437ED375" w14:textId="77777777" w:rsidR="008E1127" w:rsidRDefault="008E1127" w:rsidP="008E1127">
      <w:pPr>
        <w:spacing w:line="240" w:lineRule="auto"/>
        <w:rPr>
          <w:color w:val="000000" w:themeColor="text1"/>
          <w:sz w:val="16"/>
          <w:szCs w:val="20"/>
        </w:rPr>
      </w:pPr>
    </w:p>
    <w:p w14:paraId="7382FBEE" w14:textId="29566632" w:rsidR="008E1127" w:rsidRDefault="008E1127" w:rsidP="008E1127">
      <w:pPr>
        <w:spacing w:after="200" w:line="276" w:lineRule="auto"/>
        <w:jc w:val="left"/>
        <w:rPr>
          <w:rFonts w:cs="Calibri"/>
          <w:b/>
          <w:szCs w:val="20"/>
        </w:rPr>
      </w:pPr>
    </w:p>
    <w:p w14:paraId="21963BB9" w14:textId="77777777" w:rsidR="008E1127" w:rsidRDefault="008E1127" w:rsidP="008E1127">
      <w:pPr>
        <w:spacing w:after="200" w:line="276" w:lineRule="auto"/>
        <w:jc w:val="left"/>
        <w:rPr>
          <w:rFonts w:cstheme="minorHAnsi"/>
          <w:b/>
          <w:color w:val="000000" w:themeColor="text1"/>
          <w:szCs w:val="20"/>
        </w:rPr>
      </w:pPr>
      <w:r>
        <w:rPr>
          <w:rFonts w:cstheme="minorHAnsi"/>
          <w:b/>
          <w:color w:val="000000" w:themeColor="text1"/>
          <w:szCs w:val="20"/>
        </w:rPr>
        <w:lastRenderedPageBreak/>
        <w:br w:type="page"/>
      </w:r>
    </w:p>
    <w:p w14:paraId="4020BA1C" w14:textId="105F18A6" w:rsidR="00E24FF1" w:rsidRPr="00A131D5" w:rsidRDefault="00BD37FD" w:rsidP="00E51CBB">
      <w:pPr>
        <w:rPr>
          <w:rFonts w:cstheme="minorHAnsi"/>
          <w:noProof/>
          <w:color w:val="000000" w:themeColor="text1"/>
          <w:szCs w:val="20"/>
        </w:rPr>
      </w:pPr>
      <w:r w:rsidRPr="00A131D5">
        <w:rPr>
          <w:rFonts w:cstheme="minorHAnsi"/>
          <w:b/>
          <w:color w:val="000000" w:themeColor="text1"/>
          <w:szCs w:val="20"/>
        </w:rPr>
        <w:lastRenderedPageBreak/>
        <w:t xml:space="preserve">Figure 1. </w:t>
      </w:r>
      <w:r w:rsidRPr="00A131D5">
        <w:rPr>
          <w:rFonts w:cstheme="minorHAnsi"/>
          <w:color w:val="000000" w:themeColor="text1"/>
          <w:szCs w:val="20"/>
        </w:rPr>
        <w:t xml:space="preserve">Shape of association </w:t>
      </w:r>
      <w:r w:rsidR="001B314F">
        <w:rPr>
          <w:rFonts w:cstheme="minorHAnsi"/>
          <w:color w:val="000000" w:themeColor="text1"/>
          <w:szCs w:val="20"/>
        </w:rPr>
        <w:t xml:space="preserve">of </w:t>
      </w:r>
      <w:r w:rsidR="009C5F97">
        <w:rPr>
          <w:rFonts w:cstheme="minorHAnsi"/>
          <w:color w:val="000000" w:themeColor="text1"/>
          <w:szCs w:val="20"/>
        </w:rPr>
        <w:t>baseline</w:t>
      </w:r>
      <w:r w:rsidR="009C5F97" w:rsidRPr="00A131D5">
        <w:rPr>
          <w:rFonts w:cstheme="minorHAnsi"/>
          <w:color w:val="000000" w:themeColor="text1"/>
          <w:szCs w:val="20"/>
        </w:rPr>
        <w:t xml:space="preserve"> </w:t>
      </w:r>
      <w:r w:rsidRPr="00A131D5">
        <w:rPr>
          <w:rFonts w:cstheme="minorHAnsi"/>
          <w:color w:val="000000" w:themeColor="text1"/>
          <w:szCs w:val="20"/>
        </w:rPr>
        <w:t>alcohol consumption with all-cause mortality</w:t>
      </w:r>
      <w:r w:rsidR="00F71C87" w:rsidRPr="00A131D5">
        <w:rPr>
          <w:rFonts w:cstheme="minorHAnsi"/>
          <w:color w:val="000000" w:themeColor="text1"/>
          <w:szCs w:val="20"/>
        </w:rPr>
        <w:t xml:space="preserve"> and </w:t>
      </w:r>
      <w:r w:rsidR="00EB53E3">
        <w:rPr>
          <w:rFonts w:cstheme="minorHAnsi"/>
          <w:color w:val="000000" w:themeColor="text1"/>
          <w:szCs w:val="20"/>
        </w:rPr>
        <w:t>the aggregate of cardiovascular disease</w:t>
      </w:r>
      <w:r w:rsidR="00CA31F1">
        <w:rPr>
          <w:rFonts w:cstheme="minorHAnsi"/>
          <w:color w:val="000000" w:themeColor="text1"/>
          <w:szCs w:val="20"/>
        </w:rPr>
        <w:t xml:space="preserve"> </w:t>
      </w:r>
      <w:r w:rsidR="00CA31F1" w:rsidRPr="004150E8">
        <w:rPr>
          <w:rFonts w:cstheme="minorHAnsi"/>
          <w:color w:val="000000" w:themeColor="text1"/>
          <w:szCs w:val="20"/>
        </w:rPr>
        <w:t>amongst current drinkers</w:t>
      </w:r>
      <w:r w:rsidRPr="00A131D5">
        <w:rPr>
          <w:rFonts w:cstheme="minorHAnsi"/>
          <w:noProof/>
          <w:color w:val="000000" w:themeColor="text1"/>
          <w:szCs w:val="20"/>
        </w:rPr>
        <w:t>.</w:t>
      </w:r>
    </w:p>
    <w:p w14:paraId="42908B5B" w14:textId="2B4144E3" w:rsidR="00F71C87" w:rsidRPr="00A131D5" w:rsidRDefault="00F71C87" w:rsidP="008765CD">
      <w:pPr>
        <w:spacing w:line="240" w:lineRule="auto"/>
        <w:rPr>
          <w:rFonts w:cstheme="minorHAnsi"/>
          <w:noProof/>
          <w:color w:val="000000" w:themeColor="text1"/>
          <w:szCs w:val="20"/>
        </w:rPr>
      </w:pPr>
    </w:p>
    <w:p w14:paraId="3E3EEAF7" w14:textId="7B46BEFB" w:rsidR="00C1700E" w:rsidRDefault="00252E39" w:rsidP="008765CD">
      <w:pPr>
        <w:tabs>
          <w:tab w:val="left" w:pos="330"/>
          <w:tab w:val="center" w:pos="4513"/>
        </w:tabs>
        <w:spacing w:line="240" w:lineRule="auto"/>
        <w:jc w:val="left"/>
        <w:rPr>
          <w:rFonts w:cstheme="minorHAnsi"/>
          <w:b/>
          <w:color w:val="000000" w:themeColor="text1"/>
          <w:szCs w:val="20"/>
        </w:rPr>
      </w:pPr>
      <w:r>
        <w:rPr>
          <w:rFonts w:cstheme="minorHAnsi"/>
          <w:b/>
          <w:color w:val="000000" w:themeColor="text1"/>
          <w:szCs w:val="20"/>
        </w:rPr>
        <w:tab/>
      </w:r>
      <w:r w:rsidR="008443EA" w:rsidRPr="00756D0F">
        <w:rPr>
          <w:rFonts w:cstheme="minorHAnsi"/>
          <w:b/>
          <w:noProof/>
          <w:color w:val="000000" w:themeColor="text1"/>
          <w:szCs w:val="20"/>
        </w:rPr>
        <w:drawing>
          <wp:inline distT="0" distB="0" distL="0" distR="0" wp14:anchorId="5796CBEB" wp14:editId="514F8A41">
            <wp:extent cx="5222687" cy="3190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5070" cy="3192331"/>
                    </a:xfrm>
                    <a:prstGeom prst="rect">
                      <a:avLst/>
                    </a:prstGeom>
                    <a:noFill/>
                  </pic:spPr>
                </pic:pic>
              </a:graphicData>
            </a:graphic>
          </wp:inline>
        </w:drawing>
      </w:r>
    </w:p>
    <w:p w14:paraId="0EC8D575" w14:textId="77777777" w:rsidR="00C1700E" w:rsidRDefault="00C1700E" w:rsidP="008765CD">
      <w:pPr>
        <w:tabs>
          <w:tab w:val="left" w:pos="330"/>
          <w:tab w:val="center" w:pos="4513"/>
        </w:tabs>
        <w:spacing w:line="240" w:lineRule="auto"/>
        <w:jc w:val="left"/>
        <w:rPr>
          <w:rFonts w:cstheme="minorHAnsi"/>
          <w:b/>
          <w:color w:val="000000" w:themeColor="text1"/>
          <w:szCs w:val="20"/>
        </w:rPr>
      </w:pPr>
    </w:p>
    <w:p w14:paraId="6EDB5E13" w14:textId="6F366120" w:rsidR="00BD37FD" w:rsidRPr="00D34DB8" w:rsidRDefault="0072578A" w:rsidP="006F1A80">
      <w:pPr>
        <w:tabs>
          <w:tab w:val="left" w:pos="330"/>
          <w:tab w:val="center" w:pos="4513"/>
        </w:tabs>
        <w:jc w:val="left"/>
        <w:rPr>
          <w:color w:val="000000" w:themeColor="text1"/>
          <w:szCs w:val="20"/>
        </w:rPr>
      </w:pPr>
      <w:r w:rsidRPr="00D34DB8">
        <w:rPr>
          <w:color w:val="000000" w:themeColor="text1"/>
          <w:szCs w:val="20"/>
        </w:rPr>
        <w:t>Cardiovascular disease was defined as an aggregat</w:t>
      </w:r>
      <w:r w:rsidR="00F17179" w:rsidRPr="00D34DB8">
        <w:rPr>
          <w:color w:val="000000" w:themeColor="text1"/>
          <w:szCs w:val="20"/>
        </w:rPr>
        <w:t xml:space="preserve">e of MI, coronary </w:t>
      </w:r>
      <w:r w:rsidR="009C5F97" w:rsidRPr="00D34DB8">
        <w:rPr>
          <w:color w:val="000000" w:themeColor="text1"/>
          <w:szCs w:val="20"/>
        </w:rPr>
        <w:t xml:space="preserve">heart </w:t>
      </w:r>
      <w:r w:rsidR="00F17179" w:rsidRPr="00D34DB8">
        <w:rPr>
          <w:color w:val="000000" w:themeColor="text1"/>
          <w:szCs w:val="20"/>
        </w:rPr>
        <w:t>disease, and stroke</w:t>
      </w:r>
      <w:r w:rsidRPr="00D34DB8">
        <w:rPr>
          <w:color w:val="000000" w:themeColor="text1"/>
          <w:szCs w:val="20"/>
        </w:rPr>
        <w:t xml:space="preserve">. </w:t>
      </w:r>
      <w:r w:rsidR="00BD37FD" w:rsidRPr="00D34DB8">
        <w:rPr>
          <w:color w:val="000000" w:themeColor="text1"/>
          <w:szCs w:val="20"/>
        </w:rPr>
        <w:t xml:space="preserve">Adjusted for age, smoking and </w:t>
      </w:r>
      <w:r w:rsidR="00541658" w:rsidRPr="00D34DB8">
        <w:rPr>
          <w:color w:val="000000" w:themeColor="text1"/>
          <w:szCs w:val="20"/>
        </w:rPr>
        <w:t xml:space="preserve">history of </w:t>
      </w:r>
      <w:r w:rsidR="00BD37FD" w:rsidRPr="00D34DB8">
        <w:rPr>
          <w:color w:val="000000" w:themeColor="text1"/>
          <w:szCs w:val="20"/>
        </w:rPr>
        <w:t>diabetes</w:t>
      </w:r>
      <w:r w:rsidR="00F71C87" w:rsidRPr="00D34DB8">
        <w:rPr>
          <w:color w:val="000000" w:themeColor="text1"/>
          <w:szCs w:val="20"/>
        </w:rPr>
        <w:t>, and stratified by sex</w:t>
      </w:r>
      <w:r w:rsidR="00E51047" w:rsidRPr="00D34DB8">
        <w:rPr>
          <w:color w:val="000000" w:themeColor="text1"/>
          <w:szCs w:val="20"/>
        </w:rPr>
        <w:t xml:space="preserve"> and EPIC centre</w:t>
      </w:r>
      <w:r w:rsidR="00BD37FD" w:rsidRPr="00D34DB8">
        <w:rPr>
          <w:color w:val="000000" w:themeColor="text1"/>
          <w:szCs w:val="20"/>
        </w:rPr>
        <w:t xml:space="preserve">. </w:t>
      </w:r>
      <w:r w:rsidR="00894E53" w:rsidRPr="00D34DB8">
        <w:rPr>
          <w:color w:val="000000" w:themeColor="text1"/>
          <w:szCs w:val="20"/>
        </w:rPr>
        <w:t>The reference category is the lowest alcohol consumption category</w:t>
      </w:r>
      <w:r w:rsidR="0009048D">
        <w:rPr>
          <w:color w:val="000000" w:themeColor="text1"/>
          <w:szCs w:val="20"/>
        </w:rPr>
        <w:t xml:space="preserve"> (&gt;0 and </w:t>
      </w:r>
      <w:r w:rsidR="00AD71E4" w:rsidRPr="00D34DB8">
        <w:rPr>
          <w:color w:val="000000" w:themeColor="text1"/>
          <w:szCs w:val="20"/>
        </w:rPr>
        <w:t>&lt;25</w:t>
      </w:r>
      <w:r w:rsidR="00832563" w:rsidRPr="00D34DB8">
        <w:rPr>
          <w:color w:val="000000" w:themeColor="text1"/>
          <w:szCs w:val="20"/>
        </w:rPr>
        <w:t>g/week)</w:t>
      </w:r>
      <w:r w:rsidR="00894E53" w:rsidRPr="00D34DB8">
        <w:rPr>
          <w:color w:val="000000" w:themeColor="text1"/>
          <w:szCs w:val="20"/>
        </w:rPr>
        <w:t xml:space="preserve">. </w:t>
      </w:r>
      <w:r w:rsidR="00F71C87" w:rsidRPr="00D34DB8">
        <w:rPr>
          <w:color w:val="000000" w:themeColor="text1"/>
          <w:szCs w:val="20"/>
        </w:rPr>
        <w:t>S</w:t>
      </w:r>
      <w:r w:rsidR="00BD37FD" w:rsidRPr="00D34DB8">
        <w:rPr>
          <w:color w:val="000000" w:themeColor="text1"/>
          <w:szCs w:val="20"/>
        </w:rPr>
        <w:t xml:space="preserve">izes of the boxes are proportional to the inverse of the variance of the </w:t>
      </w:r>
      <w:r w:rsidR="00484D9A" w:rsidRPr="00D34DB8">
        <w:rPr>
          <w:color w:val="000000" w:themeColor="text1"/>
          <w:szCs w:val="20"/>
        </w:rPr>
        <w:t xml:space="preserve">log-transformed </w:t>
      </w:r>
      <w:r w:rsidR="005A2F75" w:rsidRPr="00D34DB8">
        <w:rPr>
          <w:color w:val="000000" w:themeColor="text1"/>
          <w:szCs w:val="20"/>
        </w:rPr>
        <w:t>hazard</w:t>
      </w:r>
      <w:r w:rsidR="00BD37FD" w:rsidRPr="00D34DB8">
        <w:rPr>
          <w:color w:val="000000" w:themeColor="text1"/>
          <w:szCs w:val="20"/>
        </w:rPr>
        <w:t xml:space="preserve"> ratios.</w:t>
      </w:r>
    </w:p>
    <w:p w14:paraId="70B50013" w14:textId="39AC9BFB" w:rsidR="001E37FE" w:rsidRPr="00D34DB8" w:rsidRDefault="001E37FE" w:rsidP="006F1A80">
      <w:pPr>
        <w:rPr>
          <w:color w:val="000000" w:themeColor="text1"/>
          <w:szCs w:val="20"/>
        </w:rPr>
      </w:pPr>
      <w:r w:rsidRPr="00D34DB8">
        <w:rPr>
          <w:color w:val="000000" w:themeColor="text1"/>
          <w:szCs w:val="20"/>
        </w:rPr>
        <w:t xml:space="preserve">Best fitting fractional polynomial Cox models on the log scale were: </w:t>
      </w:r>
      <w:r w:rsidR="00FF3F48" w:rsidRPr="00D34DB8">
        <w:rPr>
          <w:color w:val="000000" w:themeColor="text1"/>
          <w:szCs w:val="20"/>
        </w:rPr>
        <w:t>all-cause mortality</w:t>
      </w:r>
      <w:r w:rsidR="00EA1301" w:rsidRPr="00D34DB8">
        <w:rPr>
          <w:color w:val="000000" w:themeColor="text1"/>
          <w:szCs w:val="20"/>
        </w:rPr>
        <w:t>, non-</w:t>
      </w:r>
      <w:r w:rsidR="00EB53E3" w:rsidRPr="00D34DB8">
        <w:rPr>
          <w:color w:val="000000" w:themeColor="text1"/>
          <w:szCs w:val="20"/>
        </w:rPr>
        <w:t xml:space="preserve">linear (ie </w:t>
      </w:r>
      <w:r w:rsidR="00FF3F48" w:rsidRPr="00D34DB8">
        <w:rPr>
          <w:color w:val="000000" w:themeColor="text1"/>
          <w:szCs w:val="20"/>
        </w:rPr>
        <w:t xml:space="preserve">powers </w:t>
      </w:r>
      <w:r w:rsidR="00BF1414" w:rsidRPr="00D34DB8">
        <w:rPr>
          <w:color w:val="000000" w:themeColor="text1"/>
          <w:szCs w:val="20"/>
        </w:rPr>
        <w:t>0.5 and 1</w:t>
      </w:r>
      <w:r w:rsidR="00EB53E3" w:rsidRPr="00D34DB8">
        <w:rPr>
          <w:color w:val="000000" w:themeColor="text1"/>
          <w:szCs w:val="20"/>
        </w:rPr>
        <w:t>)</w:t>
      </w:r>
      <w:r w:rsidR="00FF3F48" w:rsidRPr="00D34DB8">
        <w:rPr>
          <w:color w:val="000000" w:themeColor="text1"/>
          <w:szCs w:val="20"/>
        </w:rPr>
        <w:t xml:space="preserve">; </w:t>
      </w:r>
      <w:r w:rsidRPr="00D34DB8">
        <w:rPr>
          <w:color w:val="000000" w:themeColor="text1"/>
          <w:szCs w:val="20"/>
        </w:rPr>
        <w:t xml:space="preserve">cardiovascular disease, </w:t>
      </w:r>
      <w:r w:rsidR="00EA1301" w:rsidRPr="00D34DB8">
        <w:rPr>
          <w:color w:val="000000" w:themeColor="text1"/>
          <w:szCs w:val="20"/>
        </w:rPr>
        <w:t xml:space="preserve">non-linear (ie </w:t>
      </w:r>
      <w:r w:rsidRPr="00D34DB8">
        <w:rPr>
          <w:color w:val="000000" w:themeColor="text1"/>
          <w:szCs w:val="20"/>
        </w:rPr>
        <w:t xml:space="preserve">powers </w:t>
      </w:r>
      <w:r w:rsidR="00BF1414" w:rsidRPr="00D34DB8">
        <w:rPr>
          <w:color w:val="000000" w:themeColor="text1"/>
          <w:szCs w:val="20"/>
        </w:rPr>
        <w:t>0</w:t>
      </w:r>
      <w:r w:rsidR="003C04C3" w:rsidRPr="00D34DB8">
        <w:rPr>
          <w:color w:val="000000" w:themeColor="text1"/>
          <w:szCs w:val="20"/>
        </w:rPr>
        <w:t xml:space="preserve"> and</w:t>
      </w:r>
      <w:r w:rsidRPr="00D34DB8">
        <w:rPr>
          <w:color w:val="000000" w:themeColor="text1"/>
          <w:szCs w:val="20"/>
        </w:rPr>
        <w:t xml:space="preserve"> </w:t>
      </w:r>
      <w:r w:rsidR="00BF1414" w:rsidRPr="00D34DB8">
        <w:rPr>
          <w:color w:val="000000" w:themeColor="text1"/>
          <w:szCs w:val="20"/>
        </w:rPr>
        <w:t>0</w:t>
      </w:r>
      <w:r w:rsidR="00EA1301" w:rsidRPr="00D34DB8">
        <w:rPr>
          <w:color w:val="000000" w:themeColor="text1"/>
          <w:szCs w:val="20"/>
        </w:rPr>
        <w:t>)</w:t>
      </w:r>
      <w:r w:rsidRPr="00D34DB8">
        <w:rPr>
          <w:color w:val="000000" w:themeColor="text1"/>
          <w:szCs w:val="20"/>
        </w:rPr>
        <w:t>.</w:t>
      </w:r>
    </w:p>
    <w:p w14:paraId="6AD0DECC" w14:textId="77777777" w:rsidR="00BD37FD" w:rsidRPr="00A131D5" w:rsidRDefault="00BD37FD" w:rsidP="006F1A80">
      <w:pPr>
        <w:jc w:val="left"/>
        <w:rPr>
          <w:color w:val="000000" w:themeColor="text1"/>
          <w:szCs w:val="20"/>
        </w:rPr>
      </w:pPr>
      <w:r w:rsidRPr="00A131D5">
        <w:rPr>
          <w:color w:val="000000" w:themeColor="text1"/>
          <w:szCs w:val="20"/>
        </w:rPr>
        <w:br w:type="page"/>
      </w:r>
    </w:p>
    <w:p w14:paraId="232741B6" w14:textId="0F0F510C" w:rsidR="00CA31F1" w:rsidRDefault="00263321" w:rsidP="00D34DB8">
      <w:pPr>
        <w:rPr>
          <w:rFonts w:cstheme="minorHAnsi"/>
          <w:b/>
          <w:color w:val="000000" w:themeColor="text1"/>
          <w:szCs w:val="20"/>
        </w:rPr>
      </w:pPr>
      <w:r w:rsidRPr="00A131D5">
        <w:rPr>
          <w:rFonts w:cstheme="minorHAnsi"/>
          <w:b/>
          <w:color w:val="000000" w:themeColor="text1"/>
          <w:szCs w:val="20"/>
        </w:rPr>
        <w:lastRenderedPageBreak/>
        <w:t xml:space="preserve">Figure </w:t>
      </w:r>
      <w:r w:rsidR="00BD37FD" w:rsidRPr="00A131D5">
        <w:rPr>
          <w:rFonts w:cstheme="minorHAnsi"/>
          <w:b/>
          <w:color w:val="000000" w:themeColor="text1"/>
          <w:szCs w:val="20"/>
        </w:rPr>
        <w:t>2.</w:t>
      </w:r>
      <w:r w:rsidRPr="00A131D5">
        <w:rPr>
          <w:rFonts w:cstheme="minorHAnsi"/>
          <w:color w:val="000000" w:themeColor="text1"/>
          <w:szCs w:val="20"/>
        </w:rPr>
        <w:t xml:space="preserve"> Shape</w:t>
      </w:r>
      <w:r w:rsidR="00A8114A" w:rsidRPr="00A131D5">
        <w:rPr>
          <w:rFonts w:cstheme="minorHAnsi"/>
          <w:color w:val="000000" w:themeColor="text1"/>
          <w:szCs w:val="20"/>
        </w:rPr>
        <w:t>s</w:t>
      </w:r>
      <w:r w:rsidRPr="00A131D5">
        <w:rPr>
          <w:rFonts w:cstheme="minorHAnsi"/>
          <w:color w:val="000000" w:themeColor="text1"/>
          <w:szCs w:val="20"/>
        </w:rPr>
        <w:t xml:space="preserve"> of association</w:t>
      </w:r>
      <w:r w:rsidR="00A8114A" w:rsidRPr="00A131D5">
        <w:rPr>
          <w:rFonts w:cstheme="minorHAnsi"/>
          <w:color w:val="000000" w:themeColor="text1"/>
          <w:szCs w:val="20"/>
        </w:rPr>
        <w:t>s</w:t>
      </w:r>
      <w:r w:rsidRPr="00A131D5">
        <w:rPr>
          <w:rFonts w:cstheme="minorHAnsi"/>
          <w:color w:val="000000" w:themeColor="text1"/>
          <w:szCs w:val="20"/>
        </w:rPr>
        <w:t xml:space="preserve"> </w:t>
      </w:r>
      <w:r w:rsidR="001B314F">
        <w:rPr>
          <w:rFonts w:cstheme="minorHAnsi"/>
          <w:color w:val="000000" w:themeColor="text1"/>
          <w:szCs w:val="20"/>
        </w:rPr>
        <w:t>of</w:t>
      </w:r>
      <w:r w:rsidR="001B314F" w:rsidRPr="00A131D5">
        <w:rPr>
          <w:rFonts w:cstheme="minorHAnsi"/>
          <w:color w:val="000000" w:themeColor="text1"/>
          <w:szCs w:val="20"/>
        </w:rPr>
        <w:t xml:space="preserve"> </w:t>
      </w:r>
      <w:r w:rsidR="00EA21C7">
        <w:rPr>
          <w:rFonts w:cstheme="minorHAnsi"/>
          <w:color w:val="000000" w:themeColor="text1"/>
          <w:szCs w:val="20"/>
        </w:rPr>
        <w:t>baseline</w:t>
      </w:r>
      <w:r w:rsidR="001B314F">
        <w:rPr>
          <w:rFonts w:cstheme="minorHAnsi"/>
          <w:color w:val="000000" w:themeColor="text1"/>
          <w:szCs w:val="20"/>
        </w:rPr>
        <w:t xml:space="preserve"> </w:t>
      </w:r>
      <w:r w:rsidRPr="00A131D5">
        <w:rPr>
          <w:rFonts w:cstheme="minorHAnsi"/>
          <w:color w:val="000000" w:themeColor="text1"/>
          <w:szCs w:val="20"/>
        </w:rPr>
        <w:t xml:space="preserve">alcohol consumption with </w:t>
      </w:r>
      <w:r w:rsidR="00EB53E3">
        <w:rPr>
          <w:rFonts w:cstheme="minorHAnsi"/>
          <w:color w:val="000000" w:themeColor="text1"/>
          <w:szCs w:val="20"/>
        </w:rPr>
        <w:t>cardiovascular subtypes</w:t>
      </w:r>
      <w:r w:rsidR="00CA31F1">
        <w:rPr>
          <w:rFonts w:cstheme="minorHAnsi"/>
          <w:color w:val="000000" w:themeColor="text1"/>
          <w:szCs w:val="20"/>
        </w:rPr>
        <w:t xml:space="preserve"> </w:t>
      </w:r>
      <w:r w:rsidR="00CA31F1" w:rsidRPr="004150E8">
        <w:rPr>
          <w:rFonts w:cstheme="minorHAnsi"/>
          <w:color w:val="000000" w:themeColor="text1"/>
          <w:szCs w:val="20"/>
        </w:rPr>
        <w:t xml:space="preserve">amongst </w:t>
      </w:r>
      <w:r w:rsidR="00E36CBC">
        <w:rPr>
          <w:rFonts w:cstheme="minorHAnsi"/>
          <w:color w:val="000000" w:themeColor="text1"/>
          <w:szCs w:val="20"/>
        </w:rPr>
        <w:t>alcohol</w:t>
      </w:r>
      <w:r w:rsidR="00CA31F1" w:rsidRPr="004150E8">
        <w:rPr>
          <w:rFonts w:cstheme="minorHAnsi"/>
          <w:color w:val="000000" w:themeColor="text1"/>
          <w:szCs w:val="20"/>
        </w:rPr>
        <w:t xml:space="preserve"> drinkers</w:t>
      </w:r>
      <w:r w:rsidR="00CA31F1">
        <w:rPr>
          <w:rFonts w:cstheme="minorHAnsi"/>
          <w:color w:val="000000" w:themeColor="text1"/>
          <w:szCs w:val="20"/>
        </w:rPr>
        <w:t xml:space="preserve">. </w:t>
      </w:r>
    </w:p>
    <w:p w14:paraId="3410AA4D" w14:textId="44315A47" w:rsidR="00CA31F1" w:rsidRPr="00A131D5" w:rsidRDefault="008443EA" w:rsidP="008765CD">
      <w:pPr>
        <w:spacing w:line="240" w:lineRule="auto"/>
        <w:jc w:val="center"/>
        <w:rPr>
          <w:rFonts w:cstheme="minorHAnsi"/>
          <w:b/>
          <w:color w:val="000000" w:themeColor="text1"/>
          <w:szCs w:val="20"/>
        </w:rPr>
      </w:pPr>
      <w:r w:rsidRPr="00756D0F">
        <w:rPr>
          <w:rFonts w:cstheme="minorHAnsi"/>
          <w:b/>
          <w:noProof/>
          <w:color w:val="000000" w:themeColor="text1"/>
          <w:szCs w:val="20"/>
        </w:rPr>
        <w:drawing>
          <wp:inline distT="0" distB="0" distL="0" distR="0" wp14:anchorId="2BA6F12A" wp14:editId="6BE694A0">
            <wp:extent cx="5632450" cy="4506988"/>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9128" cy="4512331"/>
                    </a:xfrm>
                    <a:prstGeom prst="rect">
                      <a:avLst/>
                    </a:prstGeom>
                    <a:noFill/>
                  </pic:spPr>
                </pic:pic>
              </a:graphicData>
            </a:graphic>
          </wp:inline>
        </w:drawing>
      </w:r>
      <w:r w:rsidR="001D1679">
        <w:rPr>
          <w:rFonts w:cstheme="minorHAnsi"/>
          <w:b/>
          <w:noProof/>
          <w:color w:val="000000" w:themeColor="text1"/>
          <w:szCs w:val="20"/>
        </w:rPr>
        <w:t xml:space="preserve"> </w:t>
      </w:r>
      <w:r w:rsidR="00DF3B5C">
        <w:rPr>
          <w:rFonts w:cstheme="minorHAnsi"/>
          <w:b/>
          <w:color w:val="000000" w:themeColor="text1"/>
          <w:szCs w:val="20"/>
        </w:rPr>
        <w:t xml:space="preserve"> </w:t>
      </w:r>
    </w:p>
    <w:p w14:paraId="72D551E5" w14:textId="7C70360F" w:rsidR="00EA21C7" w:rsidRPr="006B0062" w:rsidRDefault="00EA21C7" w:rsidP="006F1A80">
      <w:pPr>
        <w:rPr>
          <w:color w:val="000000" w:themeColor="text1"/>
          <w:sz w:val="16"/>
          <w:szCs w:val="16"/>
        </w:rPr>
      </w:pPr>
      <w:r w:rsidRPr="006B0062">
        <w:rPr>
          <w:color w:val="000000" w:themeColor="text1"/>
          <w:sz w:val="16"/>
          <w:szCs w:val="16"/>
        </w:rPr>
        <w:t xml:space="preserve">Adjusted for age, smoking and </w:t>
      </w:r>
      <w:r w:rsidR="00541658" w:rsidRPr="006B0062">
        <w:rPr>
          <w:color w:val="000000" w:themeColor="text1"/>
          <w:sz w:val="16"/>
          <w:szCs w:val="16"/>
        </w:rPr>
        <w:t xml:space="preserve">history of </w:t>
      </w:r>
      <w:r w:rsidRPr="006B0062">
        <w:rPr>
          <w:color w:val="000000" w:themeColor="text1"/>
          <w:sz w:val="16"/>
          <w:szCs w:val="16"/>
        </w:rPr>
        <w:t xml:space="preserve">diabetes, and stratified by sex and EPIC centre. </w:t>
      </w:r>
      <w:r w:rsidR="00AD71E4" w:rsidRPr="006B0062">
        <w:rPr>
          <w:color w:val="000000" w:themeColor="text1"/>
          <w:sz w:val="16"/>
          <w:szCs w:val="16"/>
        </w:rPr>
        <w:t>The reference category is the lowest alcohol consumption category (&gt;0 and &lt;25g/week)</w:t>
      </w:r>
      <w:r w:rsidRPr="006B0062">
        <w:rPr>
          <w:color w:val="000000" w:themeColor="text1"/>
          <w:sz w:val="16"/>
          <w:szCs w:val="16"/>
        </w:rPr>
        <w:t>. Studies with fewer than five events of any outcome were excluded from the analysis of that outcome. Sizes of the boxes are proportional to the inverse of the variance of the log-transformed hazard ratios. Deaths from other cardiovascular disease include the following outcomes: cardiac dysrhythmia, hypertensive disease, sudden</w:t>
      </w:r>
      <w:r w:rsidR="000C600A" w:rsidRPr="006B0062">
        <w:rPr>
          <w:color w:val="000000" w:themeColor="text1"/>
          <w:sz w:val="16"/>
          <w:szCs w:val="16"/>
        </w:rPr>
        <w:t xml:space="preserve"> death and</w:t>
      </w:r>
      <w:r w:rsidRPr="006B0062">
        <w:rPr>
          <w:color w:val="000000" w:themeColor="text1"/>
          <w:sz w:val="16"/>
          <w:szCs w:val="16"/>
        </w:rPr>
        <w:t xml:space="preserve"> aortic aneurysm. </w:t>
      </w:r>
    </w:p>
    <w:p w14:paraId="7CB3AAD6" w14:textId="69A0947A" w:rsidR="007A4DEB" w:rsidRPr="006B0062" w:rsidRDefault="007A4DEB" w:rsidP="006F1A80">
      <w:pPr>
        <w:rPr>
          <w:color w:val="000000" w:themeColor="text1"/>
          <w:sz w:val="16"/>
          <w:szCs w:val="16"/>
        </w:rPr>
      </w:pPr>
      <w:r w:rsidRPr="006B0062">
        <w:rPr>
          <w:color w:val="000000" w:themeColor="text1"/>
          <w:sz w:val="16"/>
          <w:szCs w:val="16"/>
        </w:rPr>
        <w:t xml:space="preserve">Best fitting fractional polynomial Cox models on the log scale were: </w:t>
      </w:r>
      <w:r w:rsidR="00FF3F48" w:rsidRPr="006B0062">
        <w:rPr>
          <w:color w:val="000000" w:themeColor="text1"/>
          <w:sz w:val="16"/>
          <w:szCs w:val="16"/>
        </w:rPr>
        <w:t xml:space="preserve">all </w:t>
      </w:r>
      <w:r w:rsidR="003C04C3" w:rsidRPr="006B0062">
        <w:rPr>
          <w:color w:val="000000" w:themeColor="text1"/>
          <w:sz w:val="16"/>
          <w:szCs w:val="16"/>
        </w:rPr>
        <w:t>stroke</w:t>
      </w:r>
      <w:r w:rsidR="00A0055C" w:rsidRPr="006B0062">
        <w:rPr>
          <w:color w:val="000000" w:themeColor="text1"/>
          <w:sz w:val="16"/>
          <w:szCs w:val="16"/>
        </w:rPr>
        <w:t xml:space="preserve">, </w:t>
      </w:r>
      <w:r w:rsidR="00EA1301" w:rsidRPr="006B0062">
        <w:rPr>
          <w:color w:val="000000" w:themeColor="text1"/>
          <w:sz w:val="16"/>
          <w:szCs w:val="16"/>
        </w:rPr>
        <w:t xml:space="preserve">linear (ie, </w:t>
      </w:r>
      <w:r w:rsidR="00A0055C" w:rsidRPr="006B0062">
        <w:rPr>
          <w:color w:val="000000" w:themeColor="text1"/>
          <w:sz w:val="16"/>
          <w:szCs w:val="16"/>
        </w:rPr>
        <w:t>powers 1</w:t>
      </w:r>
      <w:r w:rsidR="00EA1301" w:rsidRPr="006B0062">
        <w:rPr>
          <w:color w:val="000000" w:themeColor="text1"/>
          <w:sz w:val="16"/>
          <w:szCs w:val="16"/>
        </w:rPr>
        <w:t>);</w:t>
      </w:r>
      <w:r w:rsidR="00A0055C" w:rsidRPr="006B0062">
        <w:rPr>
          <w:color w:val="000000" w:themeColor="text1"/>
          <w:sz w:val="16"/>
          <w:szCs w:val="16"/>
        </w:rPr>
        <w:t xml:space="preserve"> </w:t>
      </w:r>
      <w:r w:rsidR="00EA1301" w:rsidRPr="006B0062">
        <w:rPr>
          <w:color w:val="000000" w:themeColor="text1"/>
          <w:sz w:val="16"/>
          <w:szCs w:val="16"/>
        </w:rPr>
        <w:t>MI, log-linear (</w:t>
      </w:r>
      <w:r w:rsidR="009C5F97" w:rsidRPr="006B0062">
        <w:rPr>
          <w:color w:val="000000" w:themeColor="text1"/>
          <w:sz w:val="16"/>
          <w:szCs w:val="16"/>
        </w:rPr>
        <w:t>powers 0</w:t>
      </w:r>
      <w:r w:rsidR="00EA1301" w:rsidRPr="006B0062">
        <w:rPr>
          <w:color w:val="000000" w:themeColor="text1"/>
          <w:sz w:val="16"/>
          <w:szCs w:val="16"/>
        </w:rPr>
        <w:t xml:space="preserve">); </w:t>
      </w:r>
      <w:r w:rsidR="00790470" w:rsidRPr="006B0062">
        <w:rPr>
          <w:color w:val="000000" w:themeColor="text1"/>
          <w:sz w:val="16"/>
          <w:szCs w:val="16"/>
        </w:rPr>
        <w:t>coronary di</w:t>
      </w:r>
      <w:r w:rsidR="000C600A" w:rsidRPr="006B0062">
        <w:rPr>
          <w:color w:val="000000" w:themeColor="text1"/>
          <w:sz w:val="16"/>
          <w:szCs w:val="16"/>
        </w:rPr>
        <w:t>s</w:t>
      </w:r>
      <w:r w:rsidR="00790470" w:rsidRPr="006B0062">
        <w:rPr>
          <w:color w:val="000000" w:themeColor="text1"/>
          <w:sz w:val="16"/>
          <w:szCs w:val="16"/>
        </w:rPr>
        <w:t xml:space="preserve">ease </w:t>
      </w:r>
      <w:r w:rsidR="000C600A" w:rsidRPr="006B0062">
        <w:rPr>
          <w:color w:val="000000" w:themeColor="text1"/>
          <w:sz w:val="16"/>
          <w:szCs w:val="16"/>
        </w:rPr>
        <w:t>n</w:t>
      </w:r>
      <w:r w:rsidR="00790470" w:rsidRPr="006B0062">
        <w:rPr>
          <w:color w:val="000000" w:themeColor="text1"/>
          <w:sz w:val="16"/>
          <w:szCs w:val="16"/>
        </w:rPr>
        <w:t xml:space="preserve">on-MI, </w:t>
      </w:r>
      <w:r w:rsidR="00EA1301" w:rsidRPr="006B0062">
        <w:rPr>
          <w:color w:val="000000" w:themeColor="text1"/>
          <w:sz w:val="16"/>
          <w:szCs w:val="16"/>
        </w:rPr>
        <w:t xml:space="preserve">linear (ie, </w:t>
      </w:r>
      <w:r w:rsidR="00790470" w:rsidRPr="006B0062">
        <w:rPr>
          <w:color w:val="000000" w:themeColor="text1"/>
          <w:sz w:val="16"/>
          <w:szCs w:val="16"/>
        </w:rPr>
        <w:t>powers</w:t>
      </w:r>
      <w:r w:rsidR="00BF1414" w:rsidRPr="006B0062">
        <w:rPr>
          <w:color w:val="000000" w:themeColor="text1"/>
          <w:sz w:val="16"/>
          <w:szCs w:val="16"/>
        </w:rPr>
        <w:t xml:space="preserve"> 1</w:t>
      </w:r>
      <w:r w:rsidR="00EA1301" w:rsidRPr="006B0062">
        <w:rPr>
          <w:color w:val="000000" w:themeColor="text1"/>
          <w:sz w:val="16"/>
          <w:szCs w:val="16"/>
        </w:rPr>
        <w:t>)</w:t>
      </w:r>
      <w:r w:rsidR="00790470" w:rsidRPr="006B0062">
        <w:rPr>
          <w:color w:val="000000" w:themeColor="text1"/>
          <w:sz w:val="16"/>
          <w:szCs w:val="16"/>
        </w:rPr>
        <w:t xml:space="preserve">; </w:t>
      </w:r>
      <w:r w:rsidR="00FF3F48" w:rsidRPr="006B0062">
        <w:rPr>
          <w:color w:val="000000" w:themeColor="text1"/>
          <w:sz w:val="16"/>
          <w:szCs w:val="16"/>
        </w:rPr>
        <w:t xml:space="preserve">heart failure, </w:t>
      </w:r>
      <w:r w:rsidR="00EA1301" w:rsidRPr="006B0062">
        <w:rPr>
          <w:color w:val="000000" w:themeColor="text1"/>
          <w:sz w:val="16"/>
          <w:szCs w:val="16"/>
        </w:rPr>
        <w:t>linear (ie, powers 1</w:t>
      </w:r>
      <w:r w:rsidR="00790470" w:rsidRPr="006B0062">
        <w:rPr>
          <w:color w:val="000000" w:themeColor="text1"/>
          <w:sz w:val="16"/>
          <w:szCs w:val="16"/>
        </w:rPr>
        <w:t>)</w:t>
      </w:r>
      <w:r w:rsidR="00FF3F48" w:rsidRPr="006B0062">
        <w:rPr>
          <w:color w:val="000000" w:themeColor="text1"/>
          <w:sz w:val="16"/>
          <w:szCs w:val="16"/>
        </w:rPr>
        <w:t xml:space="preserve">; and </w:t>
      </w:r>
      <w:r w:rsidRPr="006B0062">
        <w:rPr>
          <w:color w:val="000000" w:themeColor="text1"/>
          <w:sz w:val="16"/>
          <w:szCs w:val="16"/>
        </w:rPr>
        <w:t xml:space="preserve">deaths from other </w:t>
      </w:r>
      <w:r w:rsidR="00EA1301" w:rsidRPr="006B0062">
        <w:rPr>
          <w:color w:val="000000" w:themeColor="text1"/>
          <w:sz w:val="16"/>
          <w:szCs w:val="16"/>
        </w:rPr>
        <w:t>cardiovascular disease, linear (ie, powers 1</w:t>
      </w:r>
      <w:r w:rsidR="00FF3F48" w:rsidRPr="006B0062">
        <w:rPr>
          <w:color w:val="000000" w:themeColor="text1"/>
          <w:sz w:val="16"/>
          <w:szCs w:val="16"/>
        </w:rPr>
        <w:t>)</w:t>
      </w:r>
      <w:r w:rsidRPr="006B0062">
        <w:rPr>
          <w:color w:val="000000" w:themeColor="text1"/>
          <w:sz w:val="16"/>
          <w:szCs w:val="16"/>
        </w:rPr>
        <w:t xml:space="preserve">.  </w:t>
      </w:r>
    </w:p>
    <w:p w14:paraId="39C5E7C6" w14:textId="77777777" w:rsidR="006B0062" w:rsidRDefault="006B0062">
      <w:pPr>
        <w:spacing w:after="200" w:line="276" w:lineRule="auto"/>
        <w:jc w:val="left"/>
        <w:rPr>
          <w:rFonts w:cstheme="minorHAnsi"/>
          <w:b/>
          <w:color w:val="000000" w:themeColor="text1"/>
          <w:szCs w:val="20"/>
        </w:rPr>
      </w:pPr>
      <w:r>
        <w:rPr>
          <w:rFonts w:cstheme="minorHAnsi"/>
          <w:b/>
          <w:color w:val="000000" w:themeColor="text1"/>
          <w:szCs w:val="20"/>
        </w:rPr>
        <w:lastRenderedPageBreak/>
        <w:br w:type="page"/>
      </w:r>
    </w:p>
    <w:p w14:paraId="65D124FA" w14:textId="6E356857" w:rsidR="00B1237F" w:rsidRPr="00B64C83" w:rsidRDefault="00322808" w:rsidP="006F1A80">
      <w:pPr>
        <w:rPr>
          <w:rFonts w:cstheme="minorHAnsi"/>
          <w:color w:val="000000" w:themeColor="text1"/>
          <w:szCs w:val="20"/>
        </w:rPr>
      </w:pPr>
      <w:r w:rsidRPr="00A131D5">
        <w:rPr>
          <w:rFonts w:cstheme="minorHAnsi"/>
          <w:b/>
          <w:color w:val="000000" w:themeColor="text1"/>
          <w:szCs w:val="20"/>
        </w:rPr>
        <w:lastRenderedPageBreak/>
        <w:t xml:space="preserve">Figure </w:t>
      </w:r>
      <w:r w:rsidR="000B4E71">
        <w:rPr>
          <w:rFonts w:cstheme="minorHAnsi"/>
          <w:b/>
          <w:color w:val="000000" w:themeColor="text1"/>
          <w:szCs w:val="20"/>
        </w:rPr>
        <w:t>3</w:t>
      </w:r>
      <w:r w:rsidR="00BD37FD" w:rsidRPr="00A131D5">
        <w:rPr>
          <w:rFonts w:cstheme="minorHAnsi"/>
          <w:b/>
          <w:color w:val="000000" w:themeColor="text1"/>
          <w:szCs w:val="20"/>
        </w:rPr>
        <w:t>.</w:t>
      </w:r>
      <w:r w:rsidR="00CA31F1">
        <w:rPr>
          <w:rFonts w:cstheme="minorHAnsi"/>
          <w:b/>
          <w:color w:val="000000" w:themeColor="text1"/>
          <w:szCs w:val="20"/>
        </w:rPr>
        <w:t xml:space="preserve"> </w:t>
      </w:r>
      <w:r w:rsidR="000D648B">
        <w:rPr>
          <w:rFonts w:cstheme="minorHAnsi"/>
          <w:color w:val="000000" w:themeColor="text1"/>
          <w:szCs w:val="20"/>
        </w:rPr>
        <w:t>Hazard</w:t>
      </w:r>
      <w:r w:rsidR="00EA21C7" w:rsidRPr="00A131D5">
        <w:rPr>
          <w:rFonts w:cstheme="minorHAnsi"/>
          <w:color w:val="000000" w:themeColor="text1"/>
          <w:szCs w:val="20"/>
        </w:rPr>
        <w:t xml:space="preserve"> ratios for </w:t>
      </w:r>
      <w:r w:rsidR="00E47F29">
        <w:rPr>
          <w:rFonts w:cstheme="minorHAnsi"/>
          <w:color w:val="000000" w:themeColor="text1"/>
          <w:szCs w:val="20"/>
        </w:rPr>
        <w:t xml:space="preserve">subtypes of </w:t>
      </w:r>
      <w:r w:rsidR="00EA21C7">
        <w:rPr>
          <w:rFonts w:cstheme="minorHAnsi"/>
          <w:color w:val="000000" w:themeColor="text1"/>
          <w:szCs w:val="20"/>
        </w:rPr>
        <w:t>cardio</w:t>
      </w:r>
      <w:r w:rsidR="00EA21C7" w:rsidRPr="00A131D5">
        <w:rPr>
          <w:rFonts w:cstheme="minorHAnsi"/>
          <w:color w:val="000000" w:themeColor="text1"/>
          <w:szCs w:val="20"/>
        </w:rPr>
        <w:t>vascular outcomes amongst current drinkers, per 1</w:t>
      </w:r>
      <w:r w:rsidR="00EA21C7">
        <w:rPr>
          <w:rFonts w:cstheme="minorHAnsi"/>
          <w:color w:val="000000" w:themeColor="text1"/>
          <w:szCs w:val="20"/>
        </w:rPr>
        <w:t>0</w:t>
      </w:r>
      <w:r w:rsidR="00EA21C7" w:rsidRPr="00A131D5">
        <w:rPr>
          <w:rFonts w:cstheme="minorHAnsi"/>
          <w:color w:val="000000" w:themeColor="text1"/>
          <w:szCs w:val="20"/>
        </w:rPr>
        <w:t xml:space="preserve">0 grams/week </w:t>
      </w:r>
      <w:r w:rsidR="00EA21C7">
        <w:rPr>
          <w:rFonts w:cstheme="minorHAnsi"/>
          <w:color w:val="000000" w:themeColor="text1"/>
          <w:szCs w:val="20"/>
        </w:rPr>
        <w:t>higher</w:t>
      </w:r>
      <w:r w:rsidR="00EA21C7" w:rsidRPr="00A131D5">
        <w:rPr>
          <w:rFonts w:cstheme="minorHAnsi"/>
          <w:color w:val="000000" w:themeColor="text1"/>
          <w:szCs w:val="20"/>
        </w:rPr>
        <w:t xml:space="preserve"> </w:t>
      </w:r>
      <w:r w:rsidR="008F0C20">
        <w:rPr>
          <w:rFonts w:cstheme="minorHAnsi"/>
          <w:color w:val="000000" w:themeColor="text1"/>
          <w:szCs w:val="20"/>
        </w:rPr>
        <w:t xml:space="preserve">average </w:t>
      </w:r>
      <w:r w:rsidR="00EA21C7" w:rsidRPr="00A131D5">
        <w:rPr>
          <w:rFonts w:cstheme="minorHAnsi"/>
          <w:color w:val="000000" w:themeColor="text1"/>
          <w:szCs w:val="20"/>
        </w:rPr>
        <w:t>alcohol consumption</w:t>
      </w:r>
      <w:r w:rsidR="00EA21C7" w:rsidRPr="00A131D5">
        <w:rPr>
          <w:color w:val="000000" w:themeColor="text1"/>
          <w:szCs w:val="20"/>
        </w:rPr>
        <w:t>.</w:t>
      </w:r>
    </w:p>
    <w:p w14:paraId="23846CFA" w14:textId="789490D7" w:rsidR="00A8649D" w:rsidRDefault="00B64C83" w:rsidP="007D4F2A">
      <w:pPr>
        <w:spacing w:line="240" w:lineRule="auto"/>
        <w:rPr>
          <w:rFonts w:cstheme="minorHAnsi"/>
          <w:b/>
          <w:color w:val="000000" w:themeColor="text1"/>
          <w:szCs w:val="20"/>
        </w:rPr>
      </w:pPr>
      <w:r w:rsidRPr="00756D0F">
        <w:rPr>
          <w:rFonts w:cstheme="minorHAnsi"/>
          <w:b/>
          <w:noProof/>
          <w:color w:val="000000" w:themeColor="text1"/>
          <w:szCs w:val="20"/>
        </w:rPr>
        <w:drawing>
          <wp:inline distT="0" distB="0" distL="0" distR="0" wp14:anchorId="1A72B65C" wp14:editId="637273B8">
            <wp:extent cx="6326140" cy="5358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3473" cy="5364436"/>
                    </a:xfrm>
                    <a:prstGeom prst="rect">
                      <a:avLst/>
                    </a:prstGeom>
                    <a:noFill/>
                  </pic:spPr>
                </pic:pic>
              </a:graphicData>
            </a:graphic>
          </wp:inline>
        </w:drawing>
      </w:r>
    </w:p>
    <w:p w14:paraId="5C40EE12" w14:textId="77777777" w:rsidR="00750955" w:rsidRDefault="00750955" w:rsidP="00D34DB8">
      <w:pPr>
        <w:rPr>
          <w:color w:val="000000" w:themeColor="text1"/>
          <w:sz w:val="16"/>
          <w:szCs w:val="16"/>
        </w:rPr>
      </w:pPr>
    </w:p>
    <w:p w14:paraId="2A558AB6" w14:textId="72164ACF" w:rsidR="0013494C" w:rsidRPr="006B0062" w:rsidRDefault="00A8649D" w:rsidP="00D34DB8">
      <w:pPr>
        <w:rPr>
          <w:color w:val="000000" w:themeColor="text1"/>
          <w:sz w:val="16"/>
          <w:szCs w:val="16"/>
        </w:rPr>
      </w:pPr>
      <w:r w:rsidRPr="006B0062">
        <w:rPr>
          <w:color w:val="000000" w:themeColor="text1"/>
          <w:sz w:val="16"/>
          <w:szCs w:val="16"/>
        </w:rPr>
        <w:lastRenderedPageBreak/>
        <w:t>A</w:t>
      </w:r>
      <w:r w:rsidR="00E03FC0" w:rsidRPr="006B0062">
        <w:rPr>
          <w:color w:val="000000" w:themeColor="text1"/>
          <w:sz w:val="16"/>
          <w:szCs w:val="16"/>
        </w:rPr>
        <w:t>djusted</w:t>
      </w:r>
      <w:r w:rsidR="003C1F0B" w:rsidRPr="006B0062">
        <w:rPr>
          <w:color w:val="000000" w:themeColor="text1"/>
          <w:sz w:val="16"/>
          <w:szCs w:val="16"/>
        </w:rPr>
        <w:t xml:space="preserve"> for age, </w:t>
      </w:r>
      <w:r w:rsidR="00E03FC0" w:rsidRPr="006B0062">
        <w:rPr>
          <w:color w:val="000000" w:themeColor="text1"/>
          <w:sz w:val="16"/>
          <w:szCs w:val="16"/>
        </w:rPr>
        <w:t xml:space="preserve">smoking and </w:t>
      </w:r>
      <w:r w:rsidR="00541658" w:rsidRPr="006B0062">
        <w:rPr>
          <w:color w:val="000000" w:themeColor="text1"/>
          <w:sz w:val="16"/>
          <w:szCs w:val="16"/>
        </w:rPr>
        <w:t xml:space="preserve">history of </w:t>
      </w:r>
      <w:r w:rsidR="00E03FC0" w:rsidRPr="006B0062">
        <w:rPr>
          <w:color w:val="000000" w:themeColor="text1"/>
          <w:sz w:val="16"/>
          <w:szCs w:val="16"/>
        </w:rPr>
        <w:t>diabetes</w:t>
      </w:r>
      <w:r w:rsidRPr="006B0062">
        <w:rPr>
          <w:color w:val="000000" w:themeColor="text1"/>
          <w:sz w:val="16"/>
          <w:szCs w:val="16"/>
        </w:rPr>
        <w:t>, and stratified by sex</w:t>
      </w:r>
      <w:r w:rsidR="00EA21C7" w:rsidRPr="006B0062">
        <w:rPr>
          <w:color w:val="000000" w:themeColor="text1"/>
          <w:sz w:val="16"/>
          <w:szCs w:val="16"/>
        </w:rPr>
        <w:t xml:space="preserve"> and EPIC centre</w:t>
      </w:r>
      <w:r w:rsidR="003C1F0B" w:rsidRPr="006B0062">
        <w:rPr>
          <w:color w:val="000000" w:themeColor="text1"/>
          <w:sz w:val="16"/>
          <w:szCs w:val="16"/>
        </w:rPr>
        <w:t xml:space="preserve">. Studies with fewer than </w:t>
      </w:r>
      <w:r w:rsidR="00247B53" w:rsidRPr="006B0062">
        <w:rPr>
          <w:color w:val="000000" w:themeColor="text1"/>
          <w:sz w:val="16"/>
          <w:szCs w:val="16"/>
        </w:rPr>
        <w:t>five</w:t>
      </w:r>
      <w:r w:rsidR="003C1F0B" w:rsidRPr="006B0062">
        <w:rPr>
          <w:color w:val="000000" w:themeColor="text1"/>
          <w:sz w:val="16"/>
          <w:szCs w:val="16"/>
        </w:rPr>
        <w:t xml:space="preserve"> </w:t>
      </w:r>
      <w:r w:rsidRPr="006B0062">
        <w:rPr>
          <w:color w:val="000000" w:themeColor="text1"/>
          <w:sz w:val="16"/>
          <w:szCs w:val="16"/>
        </w:rPr>
        <w:t xml:space="preserve">events </w:t>
      </w:r>
      <w:r w:rsidR="003C1F0B" w:rsidRPr="006B0062">
        <w:rPr>
          <w:color w:val="000000" w:themeColor="text1"/>
          <w:sz w:val="16"/>
          <w:szCs w:val="16"/>
        </w:rPr>
        <w:t>of any outcome were excluded from the analysis of that outcome.</w:t>
      </w:r>
      <w:r w:rsidR="00E03FC0" w:rsidRPr="006B0062">
        <w:rPr>
          <w:color w:val="000000" w:themeColor="text1"/>
          <w:sz w:val="16"/>
          <w:szCs w:val="16"/>
        </w:rPr>
        <w:t xml:space="preserve"> </w:t>
      </w:r>
    </w:p>
    <w:p w14:paraId="2EB7446E" w14:textId="59A502A3" w:rsidR="00067C97" w:rsidRDefault="0035307C" w:rsidP="00D34DB8">
      <w:pPr>
        <w:rPr>
          <w:color w:val="000000" w:themeColor="text1"/>
          <w:sz w:val="16"/>
          <w:szCs w:val="20"/>
        </w:rPr>
      </w:pPr>
      <w:r w:rsidRPr="006B0062">
        <w:rPr>
          <w:color w:val="000000" w:themeColor="text1"/>
          <w:sz w:val="16"/>
          <w:szCs w:val="16"/>
        </w:rPr>
        <w:t>Numbers of events for disease subtypes, including fatal and non-fatal events, may not add up to totals due to unknown information.</w:t>
      </w:r>
      <w:r w:rsidRPr="00D34DB8">
        <w:rPr>
          <w:color w:val="000000" w:themeColor="text1"/>
          <w:szCs w:val="20"/>
        </w:rPr>
        <w:t xml:space="preserve">  </w:t>
      </w:r>
      <w:r w:rsidR="00067C97">
        <w:rPr>
          <w:color w:val="000000" w:themeColor="text1"/>
          <w:sz w:val="16"/>
          <w:szCs w:val="20"/>
        </w:rPr>
        <w:br w:type="page"/>
      </w:r>
    </w:p>
    <w:p w14:paraId="102890BD" w14:textId="4F826F23" w:rsidR="00B036AA" w:rsidRDefault="0013494C" w:rsidP="006F1A80">
      <w:pPr>
        <w:rPr>
          <w:rFonts w:cstheme="minorHAnsi"/>
          <w:b/>
          <w:color w:val="000000" w:themeColor="text1"/>
          <w:szCs w:val="20"/>
        </w:rPr>
      </w:pPr>
      <w:r w:rsidRPr="008765CD">
        <w:rPr>
          <w:rFonts w:cs="Arial"/>
          <w:b/>
          <w:color w:val="000000" w:themeColor="text1"/>
          <w:szCs w:val="20"/>
        </w:rPr>
        <w:lastRenderedPageBreak/>
        <w:t xml:space="preserve">Figure </w:t>
      </w:r>
      <w:r w:rsidR="00C13D97" w:rsidRPr="008765CD">
        <w:rPr>
          <w:rFonts w:cs="Arial"/>
          <w:b/>
          <w:color w:val="000000" w:themeColor="text1"/>
          <w:szCs w:val="20"/>
        </w:rPr>
        <w:t>4</w:t>
      </w:r>
      <w:r w:rsidRPr="008765CD">
        <w:rPr>
          <w:rFonts w:cs="Arial"/>
          <w:b/>
          <w:color w:val="000000" w:themeColor="text1"/>
          <w:szCs w:val="20"/>
        </w:rPr>
        <w:t>.</w:t>
      </w:r>
      <w:r>
        <w:rPr>
          <w:rFonts w:cs="Arial"/>
          <w:color w:val="000000" w:themeColor="text1"/>
          <w:szCs w:val="20"/>
        </w:rPr>
        <w:t xml:space="preserve"> </w:t>
      </w:r>
      <w:r w:rsidRPr="00A131D5">
        <w:rPr>
          <w:rFonts w:cs="Arial"/>
          <w:color w:val="000000" w:themeColor="text1"/>
          <w:szCs w:val="20"/>
        </w:rPr>
        <w:t xml:space="preserve">Estimated future years of life lost </w:t>
      </w:r>
      <w:r>
        <w:rPr>
          <w:rFonts w:cs="Arial"/>
          <w:color w:val="000000" w:themeColor="text1"/>
          <w:szCs w:val="20"/>
        </w:rPr>
        <w:t xml:space="preserve">by </w:t>
      </w:r>
      <w:r w:rsidR="004802DE">
        <w:rPr>
          <w:rFonts w:cs="Arial"/>
          <w:color w:val="000000" w:themeColor="text1"/>
          <w:szCs w:val="20"/>
        </w:rPr>
        <w:t>extent</w:t>
      </w:r>
      <w:r>
        <w:rPr>
          <w:rFonts w:cs="Arial"/>
          <w:color w:val="000000" w:themeColor="text1"/>
          <w:szCs w:val="20"/>
        </w:rPr>
        <w:t xml:space="preserve"> of </w:t>
      </w:r>
      <w:r w:rsidR="002E66CD">
        <w:rPr>
          <w:rFonts w:cs="Arial"/>
          <w:color w:val="000000" w:themeColor="text1"/>
          <w:szCs w:val="20"/>
        </w:rPr>
        <w:t xml:space="preserve">baseline </w:t>
      </w:r>
      <w:r w:rsidRPr="00A131D5">
        <w:rPr>
          <w:rFonts w:cs="Arial"/>
          <w:color w:val="000000" w:themeColor="text1"/>
          <w:szCs w:val="20"/>
        </w:rPr>
        <w:t>alcohol consumption</w:t>
      </w:r>
      <w:r>
        <w:rPr>
          <w:rFonts w:cs="Arial"/>
          <w:color w:val="000000" w:themeColor="text1"/>
          <w:szCs w:val="20"/>
        </w:rPr>
        <w:t xml:space="preserve"> compared to </w:t>
      </w:r>
      <w:r w:rsidR="00EB53E3">
        <w:rPr>
          <w:rFonts w:cs="Arial"/>
          <w:color w:val="000000" w:themeColor="text1"/>
          <w:szCs w:val="20"/>
        </w:rPr>
        <w:t>those</w:t>
      </w:r>
      <w:r>
        <w:rPr>
          <w:rFonts w:cs="Arial"/>
          <w:color w:val="000000" w:themeColor="text1"/>
          <w:szCs w:val="20"/>
        </w:rPr>
        <w:t xml:space="preserve"> who consume </w:t>
      </w:r>
      <w:r w:rsidR="008D0BDA">
        <w:rPr>
          <w:rFonts w:cs="Arial"/>
          <w:color w:val="000000" w:themeColor="text1"/>
          <w:szCs w:val="20"/>
        </w:rPr>
        <w:t xml:space="preserve">&gt;0- </w:t>
      </w:r>
      <w:r w:rsidR="002E66CD">
        <w:rPr>
          <w:rFonts w:cs="Arial"/>
          <w:color w:val="000000" w:themeColor="text1"/>
          <w:szCs w:val="20"/>
        </w:rPr>
        <w:t>≤</w:t>
      </w:r>
      <w:r w:rsidR="001007E1">
        <w:rPr>
          <w:rFonts w:cs="Arial"/>
          <w:color w:val="000000" w:themeColor="text1"/>
          <w:szCs w:val="20"/>
        </w:rPr>
        <w:t>10</w:t>
      </w:r>
      <w:r w:rsidR="002E66CD">
        <w:rPr>
          <w:rFonts w:cs="Arial"/>
          <w:color w:val="000000" w:themeColor="text1"/>
          <w:szCs w:val="20"/>
        </w:rPr>
        <w:t>0 g</w:t>
      </w:r>
      <w:r w:rsidR="0009048D">
        <w:rPr>
          <w:rFonts w:cs="Arial"/>
          <w:color w:val="000000" w:themeColor="text1"/>
          <w:szCs w:val="20"/>
        </w:rPr>
        <w:t>rams</w:t>
      </w:r>
      <w:r w:rsidR="002E66CD">
        <w:rPr>
          <w:rFonts w:cs="Arial"/>
          <w:color w:val="000000" w:themeColor="text1"/>
          <w:szCs w:val="20"/>
        </w:rPr>
        <w:t>/w</w:t>
      </w:r>
      <w:r w:rsidR="0009048D">
        <w:rPr>
          <w:rFonts w:cs="Arial"/>
          <w:color w:val="000000" w:themeColor="text1"/>
          <w:szCs w:val="20"/>
        </w:rPr>
        <w:t>ee</w:t>
      </w:r>
      <w:r w:rsidR="002E66CD">
        <w:rPr>
          <w:rFonts w:cs="Arial"/>
          <w:color w:val="000000" w:themeColor="text1"/>
          <w:szCs w:val="20"/>
        </w:rPr>
        <w:t xml:space="preserve">k. </w:t>
      </w:r>
      <w:r w:rsidR="004802DE">
        <w:rPr>
          <w:rFonts w:cs="Arial"/>
          <w:color w:val="000000" w:themeColor="text1"/>
          <w:szCs w:val="20"/>
        </w:rPr>
        <w:t xml:space="preserve"> </w:t>
      </w:r>
      <w:r w:rsidRPr="00A131D5">
        <w:rPr>
          <w:rFonts w:cs="Arial"/>
          <w:color w:val="000000" w:themeColor="text1"/>
          <w:szCs w:val="20"/>
        </w:rPr>
        <w:t xml:space="preserve"> </w:t>
      </w:r>
    </w:p>
    <w:p w14:paraId="2C4FBB6A" w14:textId="59EE790A" w:rsidR="005A3E15" w:rsidRDefault="005A3E15" w:rsidP="006F1A80">
      <w:pPr>
        <w:rPr>
          <w:rFonts w:cs="Arial"/>
          <w:color w:val="000000" w:themeColor="text1"/>
          <w:szCs w:val="20"/>
        </w:rPr>
      </w:pPr>
      <w:r w:rsidRPr="00756D0F">
        <w:rPr>
          <w:rFonts w:cs="Arial"/>
          <w:noProof/>
          <w:color w:val="000000" w:themeColor="text1"/>
          <w:szCs w:val="20"/>
        </w:rPr>
        <w:drawing>
          <wp:inline distT="0" distB="0" distL="0" distR="0" wp14:anchorId="3219B969" wp14:editId="1FEAB21C">
            <wp:extent cx="5746815" cy="3314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5897" cy="3343010"/>
                    </a:xfrm>
                    <a:prstGeom prst="rect">
                      <a:avLst/>
                    </a:prstGeom>
                    <a:noFill/>
                  </pic:spPr>
                </pic:pic>
              </a:graphicData>
            </a:graphic>
          </wp:inline>
        </w:drawing>
      </w:r>
    </w:p>
    <w:p w14:paraId="09D58A02" w14:textId="77777777" w:rsidR="005A3E15" w:rsidRDefault="005A3E15" w:rsidP="005A3E15">
      <w:pPr>
        <w:tabs>
          <w:tab w:val="left" w:pos="7050"/>
        </w:tabs>
        <w:rPr>
          <w:rFonts w:cstheme="minorHAnsi"/>
          <w:b/>
          <w:color w:val="000000" w:themeColor="text1"/>
          <w:szCs w:val="20"/>
        </w:rPr>
      </w:pPr>
      <w:r>
        <w:rPr>
          <w:rFonts w:cstheme="minorHAnsi"/>
          <w:b/>
          <w:color w:val="000000" w:themeColor="text1"/>
          <w:szCs w:val="20"/>
        </w:rPr>
        <w:tab/>
      </w:r>
    </w:p>
    <w:p w14:paraId="601C208D" w14:textId="77777777" w:rsidR="00B036AA" w:rsidRDefault="00B036AA" w:rsidP="002E66CD">
      <w:pPr>
        <w:spacing w:line="240" w:lineRule="auto"/>
        <w:rPr>
          <w:rFonts w:cstheme="minorHAnsi"/>
          <w:b/>
          <w:color w:val="000000" w:themeColor="text1"/>
          <w:szCs w:val="20"/>
        </w:rPr>
      </w:pPr>
    </w:p>
    <w:p w14:paraId="20D87BF8" w14:textId="5CF594B4" w:rsidR="005245A3" w:rsidRDefault="005245A3" w:rsidP="006F1A80">
      <w:pPr>
        <w:rPr>
          <w:rFonts w:ascii="Arial" w:hAnsi="Arial" w:cs="Arial"/>
          <w:szCs w:val="20"/>
          <w:lang w:val="en"/>
        </w:rPr>
      </w:pPr>
      <w:r>
        <w:rPr>
          <w:rFonts w:ascii="Arial" w:hAnsi="Arial" w:cs="Arial"/>
          <w:szCs w:val="20"/>
          <w:lang w:val="en"/>
        </w:rPr>
        <w:t xml:space="preserve">The estimates of cumulative survival from 40 years of age onward among the drinking groups were calculated by applying hazard ratios (specific to age at risk) for all-cause mortality associated with </w:t>
      </w:r>
      <w:r w:rsidR="0057408D">
        <w:rPr>
          <w:rFonts w:ascii="Arial" w:hAnsi="Arial" w:cs="Arial"/>
          <w:szCs w:val="20"/>
          <w:lang w:val="en"/>
        </w:rPr>
        <w:t xml:space="preserve">categorized </w:t>
      </w:r>
      <w:r>
        <w:rPr>
          <w:rFonts w:ascii="Arial" w:hAnsi="Arial" w:cs="Arial"/>
          <w:szCs w:val="20"/>
          <w:lang w:val="en"/>
        </w:rPr>
        <w:t>baseline alcohol consumption to US death rates at the age of 40 years or older.</w:t>
      </w:r>
    </w:p>
    <w:p w14:paraId="2C1896E9" w14:textId="77777777" w:rsidR="005245A3" w:rsidRDefault="005245A3" w:rsidP="006F1A80">
      <w:pPr>
        <w:rPr>
          <w:rFonts w:ascii="Arial" w:hAnsi="Arial" w:cs="Arial"/>
          <w:szCs w:val="20"/>
          <w:lang w:val="en"/>
        </w:rPr>
      </w:pPr>
    </w:p>
    <w:p w14:paraId="46623CDD" w14:textId="77777777" w:rsidR="005245A3" w:rsidRDefault="005245A3" w:rsidP="006F1A80">
      <w:pPr>
        <w:rPr>
          <w:rFonts w:ascii="Arial" w:hAnsi="Arial" w:cs="Arial"/>
          <w:szCs w:val="20"/>
          <w:lang w:val="en"/>
        </w:rPr>
      </w:pPr>
    </w:p>
    <w:p w14:paraId="41C5CA6B" w14:textId="77777777" w:rsidR="005245A3" w:rsidRPr="00A131D5" w:rsidRDefault="005245A3" w:rsidP="006F1A80">
      <w:pPr>
        <w:rPr>
          <w:rFonts w:cstheme="minorHAnsi"/>
          <w:b/>
          <w:color w:val="000000" w:themeColor="text1"/>
          <w:szCs w:val="20"/>
        </w:rPr>
      </w:pPr>
    </w:p>
    <w:sectPr w:rsidR="005245A3" w:rsidRPr="00A131D5" w:rsidSect="00DE0AF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BFEF7" w14:textId="77777777" w:rsidR="00F45092" w:rsidRDefault="00F45092" w:rsidP="00252D12">
      <w:pPr>
        <w:spacing w:line="240" w:lineRule="auto"/>
      </w:pPr>
      <w:r>
        <w:separator/>
      </w:r>
    </w:p>
  </w:endnote>
  <w:endnote w:type="continuationSeparator" w:id="0">
    <w:p w14:paraId="465B5E55" w14:textId="77777777" w:rsidR="00F45092" w:rsidRDefault="00F45092" w:rsidP="00252D12">
      <w:pPr>
        <w:spacing w:line="240" w:lineRule="auto"/>
      </w:pPr>
      <w:r>
        <w:continuationSeparator/>
      </w:r>
    </w:p>
  </w:endnote>
  <w:endnote w:type="continuationNotice" w:id="1">
    <w:p w14:paraId="112E8F4C" w14:textId="77777777" w:rsidR="00F45092" w:rsidRDefault="00F45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rriweather-Regular">
    <w:panose1 w:val="00000000000000000000"/>
    <w:charset w:val="00"/>
    <w:family w:val="auto"/>
    <w:notTrueType/>
    <w:pitch w:val="default"/>
    <w:sig w:usb0="00000003" w:usb1="00000000" w:usb2="00000000" w:usb3="00000000" w:csb0="00000001" w:csb1="00000000"/>
  </w:font>
  <w:font w:name="GuardianTextEgypGR-Regular">
    <w:altName w:val="MS Mincho"/>
    <w:panose1 w:val="00000000000000000000"/>
    <w:charset w:val="80"/>
    <w:family w:val="auto"/>
    <w:notTrueType/>
    <w:pitch w:val="default"/>
    <w:sig w:usb0="00000000" w:usb1="08070000" w:usb2="00000010" w:usb3="00000000" w:csb0="00020000" w:csb1="00000000"/>
  </w:font>
  <w:font w:name="font000000001f1ea23b">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7D09">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746964"/>
      <w:docPartObj>
        <w:docPartGallery w:val="Page Numbers (Bottom of Page)"/>
        <w:docPartUnique/>
      </w:docPartObj>
    </w:sdtPr>
    <w:sdtEndPr>
      <w:rPr>
        <w:noProof/>
      </w:rPr>
    </w:sdtEndPr>
    <w:sdtContent>
      <w:p w14:paraId="6A140E22" w14:textId="23660D65" w:rsidR="00557AAE" w:rsidRDefault="00557AAE">
        <w:pPr>
          <w:pStyle w:val="Footer"/>
          <w:jc w:val="right"/>
        </w:pPr>
        <w:r>
          <w:fldChar w:fldCharType="begin"/>
        </w:r>
        <w:r>
          <w:instrText xml:space="preserve"> PAGE   \* MERGEFORMAT </w:instrText>
        </w:r>
        <w:r>
          <w:fldChar w:fldCharType="separate"/>
        </w:r>
        <w:r w:rsidR="00F02D68">
          <w:rPr>
            <w:noProof/>
          </w:rPr>
          <w:t>1</w:t>
        </w:r>
        <w:r>
          <w:rPr>
            <w:noProof/>
          </w:rPr>
          <w:fldChar w:fldCharType="end"/>
        </w:r>
      </w:p>
    </w:sdtContent>
  </w:sdt>
  <w:p w14:paraId="1E6F15D4" w14:textId="77777777" w:rsidR="00557AAE" w:rsidRDefault="00557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5B56" w14:textId="77777777" w:rsidR="00F45092" w:rsidRDefault="00F45092" w:rsidP="00252D12">
      <w:pPr>
        <w:spacing w:line="240" w:lineRule="auto"/>
      </w:pPr>
      <w:r>
        <w:separator/>
      </w:r>
    </w:p>
  </w:footnote>
  <w:footnote w:type="continuationSeparator" w:id="0">
    <w:p w14:paraId="4DC0F858" w14:textId="77777777" w:rsidR="00F45092" w:rsidRDefault="00F45092" w:rsidP="00252D12">
      <w:pPr>
        <w:spacing w:line="240" w:lineRule="auto"/>
      </w:pPr>
      <w:r>
        <w:continuationSeparator/>
      </w:r>
    </w:p>
  </w:footnote>
  <w:footnote w:type="continuationNotice" w:id="1">
    <w:p w14:paraId="5D97681A" w14:textId="77777777" w:rsidR="00F45092" w:rsidRDefault="00F4509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48A4"/>
    <w:multiLevelType w:val="multilevel"/>
    <w:tmpl w:val="F794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5000E"/>
    <w:multiLevelType w:val="hybridMultilevel"/>
    <w:tmpl w:val="694E5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63C25"/>
    <w:multiLevelType w:val="multilevel"/>
    <w:tmpl w:val="3F28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1E38D7"/>
    <w:multiLevelType w:val="hybridMultilevel"/>
    <w:tmpl w:val="9C2C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F482C"/>
    <w:multiLevelType w:val="multilevel"/>
    <w:tmpl w:val="1D3E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0C17B6"/>
    <w:multiLevelType w:val="multilevel"/>
    <w:tmpl w:val="A97E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1MTUzMzY1NzcyM7ZU0lEKTi0uzszPAykwrAUAllqK7CwAAAA="/>
  </w:docVars>
  <w:rsids>
    <w:rsidRoot w:val="00091DCB"/>
    <w:rsid w:val="00000AD4"/>
    <w:rsid w:val="00001D88"/>
    <w:rsid w:val="0000263E"/>
    <w:rsid w:val="00004FAD"/>
    <w:rsid w:val="00005F15"/>
    <w:rsid w:val="0000650C"/>
    <w:rsid w:val="00007E96"/>
    <w:rsid w:val="00007F11"/>
    <w:rsid w:val="000107B9"/>
    <w:rsid w:val="000109E3"/>
    <w:rsid w:val="0001123D"/>
    <w:rsid w:val="00011B2B"/>
    <w:rsid w:val="00011EA3"/>
    <w:rsid w:val="00012041"/>
    <w:rsid w:val="0001219A"/>
    <w:rsid w:val="0001238A"/>
    <w:rsid w:val="00013482"/>
    <w:rsid w:val="00013F84"/>
    <w:rsid w:val="00015268"/>
    <w:rsid w:val="00015EEC"/>
    <w:rsid w:val="000164EA"/>
    <w:rsid w:val="00016835"/>
    <w:rsid w:val="00017DD1"/>
    <w:rsid w:val="00021940"/>
    <w:rsid w:val="000227B4"/>
    <w:rsid w:val="000231E1"/>
    <w:rsid w:val="00023579"/>
    <w:rsid w:val="00024512"/>
    <w:rsid w:val="00024E2E"/>
    <w:rsid w:val="0003192A"/>
    <w:rsid w:val="00033931"/>
    <w:rsid w:val="00034D0F"/>
    <w:rsid w:val="00035248"/>
    <w:rsid w:val="00037173"/>
    <w:rsid w:val="000411A0"/>
    <w:rsid w:val="000411B6"/>
    <w:rsid w:val="00041231"/>
    <w:rsid w:val="00041A05"/>
    <w:rsid w:val="00042104"/>
    <w:rsid w:val="00042AD3"/>
    <w:rsid w:val="00044238"/>
    <w:rsid w:val="00046C44"/>
    <w:rsid w:val="00047E7E"/>
    <w:rsid w:val="000503B7"/>
    <w:rsid w:val="000528B1"/>
    <w:rsid w:val="00054338"/>
    <w:rsid w:val="000559A9"/>
    <w:rsid w:val="00055E36"/>
    <w:rsid w:val="00055F17"/>
    <w:rsid w:val="000572FA"/>
    <w:rsid w:val="000615D0"/>
    <w:rsid w:val="000617A6"/>
    <w:rsid w:val="00061BB2"/>
    <w:rsid w:val="00062144"/>
    <w:rsid w:val="00062267"/>
    <w:rsid w:val="00063518"/>
    <w:rsid w:val="00064B70"/>
    <w:rsid w:val="00065484"/>
    <w:rsid w:val="0006697D"/>
    <w:rsid w:val="00067C97"/>
    <w:rsid w:val="00070E74"/>
    <w:rsid w:val="000715D9"/>
    <w:rsid w:val="00072413"/>
    <w:rsid w:val="00072450"/>
    <w:rsid w:val="00073087"/>
    <w:rsid w:val="00073232"/>
    <w:rsid w:val="000753D9"/>
    <w:rsid w:val="00075BA4"/>
    <w:rsid w:val="00076836"/>
    <w:rsid w:val="000771FC"/>
    <w:rsid w:val="0007741C"/>
    <w:rsid w:val="00077FBF"/>
    <w:rsid w:val="00081827"/>
    <w:rsid w:val="000819FC"/>
    <w:rsid w:val="00082AFB"/>
    <w:rsid w:val="00083314"/>
    <w:rsid w:val="000842C8"/>
    <w:rsid w:val="00084868"/>
    <w:rsid w:val="00084E54"/>
    <w:rsid w:val="00085CEC"/>
    <w:rsid w:val="000866AD"/>
    <w:rsid w:val="00086F8E"/>
    <w:rsid w:val="00087844"/>
    <w:rsid w:val="0008790B"/>
    <w:rsid w:val="00087B7A"/>
    <w:rsid w:val="0009028A"/>
    <w:rsid w:val="0009048D"/>
    <w:rsid w:val="00091DCB"/>
    <w:rsid w:val="00092F94"/>
    <w:rsid w:val="000932A9"/>
    <w:rsid w:val="0009505D"/>
    <w:rsid w:val="000951AD"/>
    <w:rsid w:val="00096DD2"/>
    <w:rsid w:val="000979B8"/>
    <w:rsid w:val="000A10A7"/>
    <w:rsid w:val="000A13FA"/>
    <w:rsid w:val="000A14AF"/>
    <w:rsid w:val="000A27E1"/>
    <w:rsid w:val="000A28FF"/>
    <w:rsid w:val="000A2B44"/>
    <w:rsid w:val="000A3077"/>
    <w:rsid w:val="000A5958"/>
    <w:rsid w:val="000A5B81"/>
    <w:rsid w:val="000A66A5"/>
    <w:rsid w:val="000A7C87"/>
    <w:rsid w:val="000B0317"/>
    <w:rsid w:val="000B1162"/>
    <w:rsid w:val="000B3494"/>
    <w:rsid w:val="000B3583"/>
    <w:rsid w:val="000B386D"/>
    <w:rsid w:val="000B3FE5"/>
    <w:rsid w:val="000B4E71"/>
    <w:rsid w:val="000B61F1"/>
    <w:rsid w:val="000B6378"/>
    <w:rsid w:val="000B7697"/>
    <w:rsid w:val="000C1350"/>
    <w:rsid w:val="000C1692"/>
    <w:rsid w:val="000C2227"/>
    <w:rsid w:val="000C3008"/>
    <w:rsid w:val="000C4E1A"/>
    <w:rsid w:val="000C5F27"/>
    <w:rsid w:val="000C600A"/>
    <w:rsid w:val="000C685F"/>
    <w:rsid w:val="000D4761"/>
    <w:rsid w:val="000D648B"/>
    <w:rsid w:val="000D6998"/>
    <w:rsid w:val="000D7F76"/>
    <w:rsid w:val="000E0ACE"/>
    <w:rsid w:val="000E0EEC"/>
    <w:rsid w:val="000E3240"/>
    <w:rsid w:val="000E50A6"/>
    <w:rsid w:val="000E69D0"/>
    <w:rsid w:val="000E7A3E"/>
    <w:rsid w:val="000F15A6"/>
    <w:rsid w:val="000F1B8D"/>
    <w:rsid w:val="000F28B6"/>
    <w:rsid w:val="000F34BE"/>
    <w:rsid w:val="000F3861"/>
    <w:rsid w:val="000F46CD"/>
    <w:rsid w:val="000F5A33"/>
    <w:rsid w:val="000F799A"/>
    <w:rsid w:val="0010023B"/>
    <w:rsid w:val="00100487"/>
    <w:rsid w:val="001007E1"/>
    <w:rsid w:val="001008B5"/>
    <w:rsid w:val="00100BA5"/>
    <w:rsid w:val="0010164B"/>
    <w:rsid w:val="00103110"/>
    <w:rsid w:val="00104335"/>
    <w:rsid w:val="00105847"/>
    <w:rsid w:val="00107CE8"/>
    <w:rsid w:val="00111472"/>
    <w:rsid w:val="00113858"/>
    <w:rsid w:val="00115C20"/>
    <w:rsid w:val="0011629C"/>
    <w:rsid w:val="00117A24"/>
    <w:rsid w:val="00117C5D"/>
    <w:rsid w:val="001207DC"/>
    <w:rsid w:val="00120F32"/>
    <w:rsid w:val="00121E45"/>
    <w:rsid w:val="00121EB9"/>
    <w:rsid w:val="00122C83"/>
    <w:rsid w:val="00124A68"/>
    <w:rsid w:val="00124FEB"/>
    <w:rsid w:val="001250D0"/>
    <w:rsid w:val="0012516E"/>
    <w:rsid w:val="00126623"/>
    <w:rsid w:val="00126932"/>
    <w:rsid w:val="00126CC0"/>
    <w:rsid w:val="001335CD"/>
    <w:rsid w:val="00133CA5"/>
    <w:rsid w:val="0013494C"/>
    <w:rsid w:val="001355A2"/>
    <w:rsid w:val="001366E8"/>
    <w:rsid w:val="001370B7"/>
    <w:rsid w:val="00140C6C"/>
    <w:rsid w:val="00140E07"/>
    <w:rsid w:val="001415C3"/>
    <w:rsid w:val="00142EB8"/>
    <w:rsid w:val="00144951"/>
    <w:rsid w:val="00145C7D"/>
    <w:rsid w:val="001502FC"/>
    <w:rsid w:val="00151B25"/>
    <w:rsid w:val="0015292D"/>
    <w:rsid w:val="001538DE"/>
    <w:rsid w:val="00153BA5"/>
    <w:rsid w:val="00154E84"/>
    <w:rsid w:val="001556B6"/>
    <w:rsid w:val="00155A41"/>
    <w:rsid w:val="00156A29"/>
    <w:rsid w:val="0015769D"/>
    <w:rsid w:val="0016203A"/>
    <w:rsid w:val="00162F46"/>
    <w:rsid w:val="00163103"/>
    <w:rsid w:val="001632CD"/>
    <w:rsid w:val="00163FEE"/>
    <w:rsid w:val="001656F8"/>
    <w:rsid w:val="0016672A"/>
    <w:rsid w:val="00167724"/>
    <w:rsid w:val="00167D50"/>
    <w:rsid w:val="001700FB"/>
    <w:rsid w:val="00170857"/>
    <w:rsid w:val="00170E90"/>
    <w:rsid w:val="0017110C"/>
    <w:rsid w:val="001711F5"/>
    <w:rsid w:val="00173577"/>
    <w:rsid w:val="0017520E"/>
    <w:rsid w:val="001813B0"/>
    <w:rsid w:val="0018183E"/>
    <w:rsid w:val="00181B42"/>
    <w:rsid w:val="001834E0"/>
    <w:rsid w:val="00183540"/>
    <w:rsid w:val="001839B9"/>
    <w:rsid w:val="0018434E"/>
    <w:rsid w:val="00184555"/>
    <w:rsid w:val="00184CB9"/>
    <w:rsid w:val="00184E82"/>
    <w:rsid w:val="00186068"/>
    <w:rsid w:val="00186C3E"/>
    <w:rsid w:val="001904CF"/>
    <w:rsid w:val="00190C7F"/>
    <w:rsid w:val="00191583"/>
    <w:rsid w:val="0019414A"/>
    <w:rsid w:val="001957FB"/>
    <w:rsid w:val="001965E5"/>
    <w:rsid w:val="001A02B4"/>
    <w:rsid w:val="001A02FE"/>
    <w:rsid w:val="001A1258"/>
    <w:rsid w:val="001A1464"/>
    <w:rsid w:val="001A1FCC"/>
    <w:rsid w:val="001A1FD7"/>
    <w:rsid w:val="001A2095"/>
    <w:rsid w:val="001A290D"/>
    <w:rsid w:val="001A4888"/>
    <w:rsid w:val="001A5348"/>
    <w:rsid w:val="001A593E"/>
    <w:rsid w:val="001A5AFD"/>
    <w:rsid w:val="001A7409"/>
    <w:rsid w:val="001B1096"/>
    <w:rsid w:val="001B2043"/>
    <w:rsid w:val="001B2377"/>
    <w:rsid w:val="001B2B2E"/>
    <w:rsid w:val="001B314F"/>
    <w:rsid w:val="001B3807"/>
    <w:rsid w:val="001B4268"/>
    <w:rsid w:val="001B45AA"/>
    <w:rsid w:val="001B47BE"/>
    <w:rsid w:val="001B5400"/>
    <w:rsid w:val="001B576B"/>
    <w:rsid w:val="001B6BC5"/>
    <w:rsid w:val="001B7C99"/>
    <w:rsid w:val="001B7E09"/>
    <w:rsid w:val="001C0E8E"/>
    <w:rsid w:val="001C18F5"/>
    <w:rsid w:val="001C2304"/>
    <w:rsid w:val="001C3205"/>
    <w:rsid w:val="001C342F"/>
    <w:rsid w:val="001C3AC2"/>
    <w:rsid w:val="001C5ACF"/>
    <w:rsid w:val="001C5AE5"/>
    <w:rsid w:val="001C600C"/>
    <w:rsid w:val="001C6061"/>
    <w:rsid w:val="001C6551"/>
    <w:rsid w:val="001C692C"/>
    <w:rsid w:val="001D02E0"/>
    <w:rsid w:val="001D1679"/>
    <w:rsid w:val="001D1FD8"/>
    <w:rsid w:val="001D45E1"/>
    <w:rsid w:val="001D4DEF"/>
    <w:rsid w:val="001E205A"/>
    <w:rsid w:val="001E2638"/>
    <w:rsid w:val="001E2C97"/>
    <w:rsid w:val="001E3010"/>
    <w:rsid w:val="001E37FE"/>
    <w:rsid w:val="001E3E17"/>
    <w:rsid w:val="001E4939"/>
    <w:rsid w:val="001E6692"/>
    <w:rsid w:val="001E7B7C"/>
    <w:rsid w:val="001F0038"/>
    <w:rsid w:val="001F23A6"/>
    <w:rsid w:val="001F3007"/>
    <w:rsid w:val="001F660E"/>
    <w:rsid w:val="00200ECE"/>
    <w:rsid w:val="00202760"/>
    <w:rsid w:val="0020295A"/>
    <w:rsid w:val="00202B51"/>
    <w:rsid w:val="002041B2"/>
    <w:rsid w:val="0020499C"/>
    <w:rsid w:val="0020600C"/>
    <w:rsid w:val="00206830"/>
    <w:rsid w:val="00206C6A"/>
    <w:rsid w:val="0021028F"/>
    <w:rsid w:val="002113A7"/>
    <w:rsid w:val="002123F7"/>
    <w:rsid w:val="00212566"/>
    <w:rsid w:val="0021268A"/>
    <w:rsid w:val="00213470"/>
    <w:rsid w:val="002136D2"/>
    <w:rsid w:val="00213FBA"/>
    <w:rsid w:val="00214CDC"/>
    <w:rsid w:val="002168F8"/>
    <w:rsid w:val="00216AAF"/>
    <w:rsid w:val="00220B31"/>
    <w:rsid w:val="00221C59"/>
    <w:rsid w:val="00223F95"/>
    <w:rsid w:val="00224196"/>
    <w:rsid w:val="0022448E"/>
    <w:rsid w:val="002245FD"/>
    <w:rsid w:val="00226739"/>
    <w:rsid w:val="00226A0E"/>
    <w:rsid w:val="00230003"/>
    <w:rsid w:val="00230455"/>
    <w:rsid w:val="002306B9"/>
    <w:rsid w:val="00230DE7"/>
    <w:rsid w:val="00231758"/>
    <w:rsid w:val="002326B3"/>
    <w:rsid w:val="002327C2"/>
    <w:rsid w:val="00234991"/>
    <w:rsid w:val="00234B3C"/>
    <w:rsid w:val="00235408"/>
    <w:rsid w:val="00235547"/>
    <w:rsid w:val="00236471"/>
    <w:rsid w:val="00236711"/>
    <w:rsid w:val="00236EDA"/>
    <w:rsid w:val="002403B2"/>
    <w:rsid w:val="0024070D"/>
    <w:rsid w:val="00240BB4"/>
    <w:rsid w:val="00243E13"/>
    <w:rsid w:val="00245A7E"/>
    <w:rsid w:val="00246368"/>
    <w:rsid w:val="00246867"/>
    <w:rsid w:val="00247B53"/>
    <w:rsid w:val="00250108"/>
    <w:rsid w:val="0025038E"/>
    <w:rsid w:val="00251930"/>
    <w:rsid w:val="002523EF"/>
    <w:rsid w:val="00252D12"/>
    <w:rsid w:val="00252E39"/>
    <w:rsid w:val="00253813"/>
    <w:rsid w:val="0025441E"/>
    <w:rsid w:val="002554F6"/>
    <w:rsid w:val="00255708"/>
    <w:rsid w:val="00256484"/>
    <w:rsid w:val="00256545"/>
    <w:rsid w:val="00257A3C"/>
    <w:rsid w:val="00260423"/>
    <w:rsid w:val="00261F0B"/>
    <w:rsid w:val="00262D54"/>
    <w:rsid w:val="0026331F"/>
    <w:rsid w:val="00263321"/>
    <w:rsid w:val="00264B67"/>
    <w:rsid w:val="00264DFF"/>
    <w:rsid w:val="00265BAB"/>
    <w:rsid w:val="00265EBA"/>
    <w:rsid w:val="002663EA"/>
    <w:rsid w:val="00266F80"/>
    <w:rsid w:val="0027388B"/>
    <w:rsid w:val="00274E03"/>
    <w:rsid w:val="0027500E"/>
    <w:rsid w:val="00277042"/>
    <w:rsid w:val="00277ADD"/>
    <w:rsid w:val="00280204"/>
    <w:rsid w:val="002829F4"/>
    <w:rsid w:val="002836D8"/>
    <w:rsid w:val="00283DAF"/>
    <w:rsid w:val="0028472A"/>
    <w:rsid w:val="00284830"/>
    <w:rsid w:val="002866CD"/>
    <w:rsid w:val="0029241B"/>
    <w:rsid w:val="002933CF"/>
    <w:rsid w:val="0029366C"/>
    <w:rsid w:val="00294286"/>
    <w:rsid w:val="002942E1"/>
    <w:rsid w:val="00294990"/>
    <w:rsid w:val="002A0369"/>
    <w:rsid w:val="002A19D3"/>
    <w:rsid w:val="002A20EB"/>
    <w:rsid w:val="002A23D3"/>
    <w:rsid w:val="002A313D"/>
    <w:rsid w:val="002A41D7"/>
    <w:rsid w:val="002A4F65"/>
    <w:rsid w:val="002A5C8D"/>
    <w:rsid w:val="002A6339"/>
    <w:rsid w:val="002A754A"/>
    <w:rsid w:val="002A7AF4"/>
    <w:rsid w:val="002B07DD"/>
    <w:rsid w:val="002B3674"/>
    <w:rsid w:val="002B4181"/>
    <w:rsid w:val="002B5699"/>
    <w:rsid w:val="002B584F"/>
    <w:rsid w:val="002B5D24"/>
    <w:rsid w:val="002C035A"/>
    <w:rsid w:val="002C0503"/>
    <w:rsid w:val="002C1F5C"/>
    <w:rsid w:val="002C335F"/>
    <w:rsid w:val="002C38E5"/>
    <w:rsid w:val="002C5108"/>
    <w:rsid w:val="002D05CB"/>
    <w:rsid w:val="002D1D7E"/>
    <w:rsid w:val="002D4280"/>
    <w:rsid w:val="002D489E"/>
    <w:rsid w:val="002E03F9"/>
    <w:rsid w:val="002E0ABD"/>
    <w:rsid w:val="002E0B50"/>
    <w:rsid w:val="002E3202"/>
    <w:rsid w:val="002E66CD"/>
    <w:rsid w:val="002E7E35"/>
    <w:rsid w:val="002F09C8"/>
    <w:rsid w:val="002F10F1"/>
    <w:rsid w:val="002F2C0C"/>
    <w:rsid w:val="002F3808"/>
    <w:rsid w:val="002F3F6F"/>
    <w:rsid w:val="002F4FBD"/>
    <w:rsid w:val="002F5CCF"/>
    <w:rsid w:val="002F5CD2"/>
    <w:rsid w:val="00302407"/>
    <w:rsid w:val="00303883"/>
    <w:rsid w:val="00306457"/>
    <w:rsid w:val="00307E96"/>
    <w:rsid w:val="00310223"/>
    <w:rsid w:val="0031098D"/>
    <w:rsid w:val="003130C7"/>
    <w:rsid w:val="00313370"/>
    <w:rsid w:val="003146E3"/>
    <w:rsid w:val="00317040"/>
    <w:rsid w:val="003171C5"/>
    <w:rsid w:val="00317CDC"/>
    <w:rsid w:val="003200BF"/>
    <w:rsid w:val="003202FF"/>
    <w:rsid w:val="00320EE5"/>
    <w:rsid w:val="00322808"/>
    <w:rsid w:val="003238D5"/>
    <w:rsid w:val="0032468D"/>
    <w:rsid w:val="00325103"/>
    <w:rsid w:val="00325F33"/>
    <w:rsid w:val="003265D9"/>
    <w:rsid w:val="00327337"/>
    <w:rsid w:val="003301B4"/>
    <w:rsid w:val="0033035E"/>
    <w:rsid w:val="00340111"/>
    <w:rsid w:val="00342610"/>
    <w:rsid w:val="00344081"/>
    <w:rsid w:val="00351C9C"/>
    <w:rsid w:val="00352E96"/>
    <w:rsid w:val="0035307C"/>
    <w:rsid w:val="0035315E"/>
    <w:rsid w:val="003536DF"/>
    <w:rsid w:val="00353796"/>
    <w:rsid w:val="00354D8C"/>
    <w:rsid w:val="003565CC"/>
    <w:rsid w:val="00364054"/>
    <w:rsid w:val="00365098"/>
    <w:rsid w:val="00366D78"/>
    <w:rsid w:val="00366F59"/>
    <w:rsid w:val="003672E7"/>
    <w:rsid w:val="00367A9B"/>
    <w:rsid w:val="003701F2"/>
    <w:rsid w:val="0037263F"/>
    <w:rsid w:val="00372803"/>
    <w:rsid w:val="0037545B"/>
    <w:rsid w:val="00375FB1"/>
    <w:rsid w:val="00375FD6"/>
    <w:rsid w:val="00376D51"/>
    <w:rsid w:val="00376E07"/>
    <w:rsid w:val="00381432"/>
    <w:rsid w:val="00381977"/>
    <w:rsid w:val="003819CA"/>
    <w:rsid w:val="00383596"/>
    <w:rsid w:val="00383BE5"/>
    <w:rsid w:val="003905D5"/>
    <w:rsid w:val="00392CDD"/>
    <w:rsid w:val="00393F22"/>
    <w:rsid w:val="003945CE"/>
    <w:rsid w:val="00394660"/>
    <w:rsid w:val="003951B4"/>
    <w:rsid w:val="00395847"/>
    <w:rsid w:val="00396FEB"/>
    <w:rsid w:val="003A0ACD"/>
    <w:rsid w:val="003A46DB"/>
    <w:rsid w:val="003A48FF"/>
    <w:rsid w:val="003A4D23"/>
    <w:rsid w:val="003A6FF0"/>
    <w:rsid w:val="003A7E5B"/>
    <w:rsid w:val="003B0807"/>
    <w:rsid w:val="003B1777"/>
    <w:rsid w:val="003B2E91"/>
    <w:rsid w:val="003B372B"/>
    <w:rsid w:val="003B435E"/>
    <w:rsid w:val="003B5E77"/>
    <w:rsid w:val="003B6229"/>
    <w:rsid w:val="003B6241"/>
    <w:rsid w:val="003C04C3"/>
    <w:rsid w:val="003C16F4"/>
    <w:rsid w:val="003C1F0B"/>
    <w:rsid w:val="003D013C"/>
    <w:rsid w:val="003D3476"/>
    <w:rsid w:val="003D4057"/>
    <w:rsid w:val="003D5272"/>
    <w:rsid w:val="003D7704"/>
    <w:rsid w:val="003E4031"/>
    <w:rsid w:val="003E4260"/>
    <w:rsid w:val="003E6FCA"/>
    <w:rsid w:val="003F0F1E"/>
    <w:rsid w:val="003F107F"/>
    <w:rsid w:val="003F2EE3"/>
    <w:rsid w:val="003F32CF"/>
    <w:rsid w:val="003F377F"/>
    <w:rsid w:val="003F37E5"/>
    <w:rsid w:val="003F5643"/>
    <w:rsid w:val="003F6174"/>
    <w:rsid w:val="003F6811"/>
    <w:rsid w:val="003F74FA"/>
    <w:rsid w:val="00400336"/>
    <w:rsid w:val="00400A95"/>
    <w:rsid w:val="004030F4"/>
    <w:rsid w:val="00404B2F"/>
    <w:rsid w:val="00405652"/>
    <w:rsid w:val="0041010F"/>
    <w:rsid w:val="00410976"/>
    <w:rsid w:val="00410AB5"/>
    <w:rsid w:val="00410D9B"/>
    <w:rsid w:val="00413101"/>
    <w:rsid w:val="00413951"/>
    <w:rsid w:val="00415B6B"/>
    <w:rsid w:val="00416435"/>
    <w:rsid w:val="0042337D"/>
    <w:rsid w:val="0042489A"/>
    <w:rsid w:val="00424CD3"/>
    <w:rsid w:val="0042521B"/>
    <w:rsid w:val="004259AF"/>
    <w:rsid w:val="004274D7"/>
    <w:rsid w:val="00431A13"/>
    <w:rsid w:val="004324E6"/>
    <w:rsid w:val="00434639"/>
    <w:rsid w:val="0043696A"/>
    <w:rsid w:val="00440C0E"/>
    <w:rsid w:val="00441ACA"/>
    <w:rsid w:val="00443453"/>
    <w:rsid w:val="00443651"/>
    <w:rsid w:val="00443FB6"/>
    <w:rsid w:val="00444273"/>
    <w:rsid w:val="004446E5"/>
    <w:rsid w:val="004459C7"/>
    <w:rsid w:val="00445A8F"/>
    <w:rsid w:val="00445B31"/>
    <w:rsid w:val="0044616D"/>
    <w:rsid w:val="00446265"/>
    <w:rsid w:val="00446B04"/>
    <w:rsid w:val="00446FD1"/>
    <w:rsid w:val="004501B0"/>
    <w:rsid w:val="00450763"/>
    <w:rsid w:val="004531D2"/>
    <w:rsid w:val="00456DEF"/>
    <w:rsid w:val="00460357"/>
    <w:rsid w:val="004608E1"/>
    <w:rsid w:val="0046253D"/>
    <w:rsid w:val="00462AFE"/>
    <w:rsid w:val="00462D13"/>
    <w:rsid w:val="0046322F"/>
    <w:rsid w:val="00463398"/>
    <w:rsid w:val="00463D5F"/>
    <w:rsid w:val="00466EBD"/>
    <w:rsid w:val="00467606"/>
    <w:rsid w:val="00467E7F"/>
    <w:rsid w:val="004701BF"/>
    <w:rsid w:val="00472292"/>
    <w:rsid w:val="004729D9"/>
    <w:rsid w:val="00472F89"/>
    <w:rsid w:val="00473CE3"/>
    <w:rsid w:val="00474809"/>
    <w:rsid w:val="00476D20"/>
    <w:rsid w:val="004802DE"/>
    <w:rsid w:val="004804EB"/>
    <w:rsid w:val="00481DA5"/>
    <w:rsid w:val="004826B3"/>
    <w:rsid w:val="00482B4A"/>
    <w:rsid w:val="00484A87"/>
    <w:rsid w:val="00484D9A"/>
    <w:rsid w:val="00484EEC"/>
    <w:rsid w:val="00486AB4"/>
    <w:rsid w:val="004872FA"/>
    <w:rsid w:val="00490127"/>
    <w:rsid w:val="00490BFB"/>
    <w:rsid w:val="00490CCF"/>
    <w:rsid w:val="0049109C"/>
    <w:rsid w:val="004924F0"/>
    <w:rsid w:val="004934F6"/>
    <w:rsid w:val="00494C17"/>
    <w:rsid w:val="004973A7"/>
    <w:rsid w:val="00497C63"/>
    <w:rsid w:val="004A00D4"/>
    <w:rsid w:val="004A0632"/>
    <w:rsid w:val="004A07D7"/>
    <w:rsid w:val="004A0D9D"/>
    <w:rsid w:val="004A12D0"/>
    <w:rsid w:val="004A2F1C"/>
    <w:rsid w:val="004A501F"/>
    <w:rsid w:val="004A5FF7"/>
    <w:rsid w:val="004A6AB5"/>
    <w:rsid w:val="004B0E1F"/>
    <w:rsid w:val="004B0EC1"/>
    <w:rsid w:val="004B1E67"/>
    <w:rsid w:val="004B2E25"/>
    <w:rsid w:val="004B3CC6"/>
    <w:rsid w:val="004B516F"/>
    <w:rsid w:val="004B5A9F"/>
    <w:rsid w:val="004B7CE3"/>
    <w:rsid w:val="004C089E"/>
    <w:rsid w:val="004C1836"/>
    <w:rsid w:val="004C2EC6"/>
    <w:rsid w:val="004C2F34"/>
    <w:rsid w:val="004C3C3E"/>
    <w:rsid w:val="004C49CE"/>
    <w:rsid w:val="004C5348"/>
    <w:rsid w:val="004C7A60"/>
    <w:rsid w:val="004C7C95"/>
    <w:rsid w:val="004D1280"/>
    <w:rsid w:val="004D19CE"/>
    <w:rsid w:val="004D213B"/>
    <w:rsid w:val="004D3B7F"/>
    <w:rsid w:val="004D540E"/>
    <w:rsid w:val="004D5736"/>
    <w:rsid w:val="004D62B1"/>
    <w:rsid w:val="004E0A90"/>
    <w:rsid w:val="004E150C"/>
    <w:rsid w:val="004E38F5"/>
    <w:rsid w:val="004E4FFF"/>
    <w:rsid w:val="004F0ADD"/>
    <w:rsid w:val="004F1151"/>
    <w:rsid w:val="004F32F9"/>
    <w:rsid w:val="004F4A61"/>
    <w:rsid w:val="004F67A6"/>
    <w:rsid w:val="004F691D"/>
    <w:rsid w:val="004F6A61"/>
    <w:rsid w:val="004F7F1F"/>
    <w:rsid w:val="00501D46"/>
    <w:rsid w:val="00503835"/>
    <w:rsid w:val="00505869"/>
    <w:rsid w:val="00507ED8"/>
    <w:rsid w:val="0051071D"/>
    <w:rsid w:val="005114F4"/>
    <w:rsid w:val="00511D84"/>
    <w:rsid w:val="005128D6"/>
    <w:rsid w:val="00513B8C"/>
    <w:rsid w:val="00514478"/>
    <w:rsid w:val="0051467D"/>
    <w:rsid w:val="00514858"/>
    <w:rsid w:val="00516C9F"/>
    <w:rsid w:val="00520265"/>
    <w:rsid w:val="00520BCA"/>
    <w:rsid w:val="00522FD6"/>
    <w:rsid w:val="005232E6"/>
    <w:rsid w:val="005236EE"/>
    <w:rsid w:val="005237FD"/>
    <w:rsid w:val="005242EB"/>
    <w:rsid w:val="005245A3"/>
    <w:rsid w:val="00526C81"/>
    <w:rsid w:val="005276B4"/>
    <w:rsid w:val="00527A6F"/>
    <w:rsid w:val="00530D4C"/>
    <w:rsid w:val="00532D1E"/>
    <w:rsid w:val="00532F5E"/>
    <w:rsid w:val="00533968"/>
    <w:rsid w:val="005342C9"/>
    <w:rsid w:val="0053502B"/>
    <w:rsid w:val="00535E8E"/>
    <w:rsid w:val="00536661"/>
    <w:rsid w:val="005378AD"/>
    <w:rsid w:val="00537BA1"/>
    <w:rsid w:val="00540788"/>
    <w:rsid w:val="00540A3E"/>
    <w:rsid w:val="00540A4B"/>
    <w:rsid w:val="00540B28"/>
    <w:rsid w:val="00541658"/>
    <w:rsid w:val="00544A5B"/>
    <w:rsid w:val="00544CE4"/>
    <w:rsid w:val="00544E16"/>
    <w:rsid w:val="00546AF2"/>
    <w:rsid w:val="005502B3"/>
    <w:rsid w:val="005509DD"/>
    <w:rsid w:val="00551DD7"/>
    <w:rsid w:val="00553ADD"/>
    <w:rsid w:val="00554DD4"/>
    <w:rsid w:val="0055558E"/>
    <w:rsid w:val="00555FBC"/>
    <w:rsid w:val="00557AAE"/>
    <w:rsid w:val="00557B65"/>
    <w:rsid w:val="0056054A"/>
    <w:rsid w:val="005612BA"/>
    <w:rsid w:val="00563279"/>
    <w:rsid w:val="00565758"/>
    <w:rsid w:val="00566440"/>
    <w:rsid w:val="0056750A"/>
    <w:rsid w:val="00570BDA"/>
    <w:rsid w:val="005715F8"/>
    <w:rsid w:val="00573998"/>
    <w:rsid w:val="0057408D"/>
    <w:rsid w:val="00574ED7"/>
    <w:rsid w:val="0058060F"/>
    <w:rsid w:val="00581374"/>
    <w:rsid w:val="00581516"/>
    <w:rsid w:val="005817C7"/>
    <w:rsid w:val="00584539"/>
    <w:rsid w:val="00585086"/>
    <w:rsid w:val="00586CB6"/>
    <w:rsid w:val="00586F91"/>
    <w:rsid w:val="00590261"/>
    <w:rsid w:val="0059058D"/>
    <w:rsid w:val="005909AD"/>
    <w:rsid w:val="00590A6B"/>
    <w:rsid w:val="00590C3A"/>
    <w:rsid w:val="0059148A"/>
    <w:rsid w:val="00592801"/>
    <w:rsid w:val="00592867"/>
    <w:rsid w:val="00592936"/>
    <w:rsid w:val="00592B25"/>
    <w:rsid w:val="00594653"/>
    <w:rsid w:val="00594BE9"/>
    <w:rsid w:val="005951A5"/>
    <w:rsid w:val="00596892"/>
    <w:rsid w:val="00597072"/>
    <w:rsid w:val="005A01CB"/>
    <w:rsid w:val="005A0AC2"/>
    <w:rsid w:val="005A2F75"/>
    <w:rsid w:val="005A3E15"/>
    <w:rsid w:val="005A4A22"/>
    <w:rsid w:val="005A5E09"/>
    <w:rsid w:val="005A7DBD"/>
    <w:rsid w:val="005B02DA"/>
    <w:rsid w:val="005B0462"/>
    <w:rsid w:val="005B056C"/>
    <w:rsid w:val="005B069B"/>
    <w:rsid w:val="005B257D"/>
    <w:rsid w:val="005B2ECE"/>
    <w:rsid w:val="005B5F9F"/>
    <w:rsid w:val="005B6F06"/>
    <w:rsid w:val="005C183B"/>
    <w:rsid w:val="005C1AD1"/>
    <w:rsid w:val="005C1CA2"/>
    <w:rsid w:val="005C234C"/>
    <w:rsid w:val="005C297F"/>
    <w:rsid w:val="005C2FC9"/>
    <w:rsid w:val="005C3FCE"/>
    <w:rsid w:val="005C40A7"/>
    <w:rsid w:val="005D1D2F"/>
    <w:rsid w:val="005D1FA9"/>
    <w:rsid w:val="005D31C8"/>
    <w:rsid w:val="005D377B"/>
    <w:rsid w:val="005D379E"/>
    <w:rsid w:val="005D4F8E"/>
    <w:rsid w:val="005D687B"/>
    <w:rsid w:val="005D6F53"/>
    <w:rsid w:val="005E12B6"/>
    <w:rsid w:val="005E1704"/>
    <w:rsid w:val="005E1720"/>
    <w:rsid w:val="005E2E7F"/>
    <w:rsid w:val="005E3B39"/>
    <w:rsid w:val="005E5C2C"/>
    <w:rsid w:val="005E62F1"/>
    <w:rsid w:val="005E739D"/>
    <w:rsid w:val="005F120F"/>
    <w:rsid w:val="005F171E"/>
    <w:rsid w:val="005F28A1"/>
    <w:rsid w:val="005F3F68"/>
    <w:rsid w:val="005F44F8"/>
    <w:rsid w:val="005F49AE"/>
    <w:rsid w:val="005F5AE0"/>
    <w:rsid w:val="005F68F7"/>
    <w:rsid w:val="006014D3"/>
    <w:rsid w:val="00602207"/>
    <w:rsid w:val="00603206"/>
    <w:rsid w:val="006048F6"/>
    <w:rsid w:val="006059DC"/>
    <w:rsid w:val="00606067"/>
    <w:rsid w:val="00606546"/>
    <w:rsid w:val="00610003"/>
    <w:rsid w:val="00611028"/>
    <w:rsid w:val="00611CDE"/>
    <w:rsid w:val="00613CDE"/>
    <w:rsid w:val="006158FE"/>
    <w:rsid w:val="00621C43"/>
    <w:rsid w:val="00623431"/>
    <w:rsid w:val="006261C1"/>
    <w:rsid w:val="00626A9B"/>
    <w:rsid w:val="00630AA9"/>
    <w:rsid w:val="00630B9E"/>
    <w:rsid w:val="00631DAF"/>
    <w:rsid w:val="00633BBD"/>
    <w:rsid w:val="00634C32"/>
    <w:rsid w:val="00636651"/>
    <w:rsid w:val="0063788B"/>
    <w:rsid w:val="006379EA"/>
    <w:rsid w:val="00641F0B"/>
    <w:rsid w:val="00642FA0"/>
    <w:rsid w:val="00652960"/>
    <w:rsid w:val="0065332A"/>
    <w:rsid w:val="0065466A"/>
    <w:rsid w:val="0065557B"/>
    <w:rsid w:val="00655BF1"/>
    <w:rsid w:val="00656E99"/>
    <w:rsid w:val="0066121B"/>
    <w:rsid w:val="00664F49"/>
    <w:rsid w:val="00665C06"/>
    <w:rsid w:val="0066773D"/>
    <w:rsid w:val="006714EE"/>
    <w:rsid w:val="00671D53"/>
    <w:rsid w:val="006725BF"/>
    <w:rsid w:val="00673BD7"/>
    <w:rsid w:val="00673F03"/>
    <w:rsid w:val="00674529"/>
    <w:rsid w:val="006747A9"/>
    <w:rsid w:val="0067618B"/>
    <w:rsid w:val="00676DF2"/>
    <w:rsid w:val="00676F5B"/>
    <w:rsid w:val="00677727"/>
    <w:rsid w:val="00677989"/>
    <w:rsid w:val="00677A35"/>
    <w:rsid w:val="006818F9"/>
    <w:rsid w:val="00681FDF"/>
    <w:rsid w:val="006843D6"/>
    <w:rsid w:val="006875F4"/>
    <w:rsid w:val="00687D3F"/>
    <w:rsid w:val="006904C6"/>
    <w:rsid w:val="00690652"/>
    <w:rsid w:val="00693247"/>
    <w:rsid w:val="00693D26"/>
    <w:rsid w:val="0069429E"/>
    <w:rsid w:val="00694417"/>
    <w:rsid w:val="00695815"/>
    <w:rsid w:val="00695DA3"/>
    <w:rsid w:val="006A1483"/>
    <w:rsid w:val="006A2A6E"/>
    <w:rsid w:val="006A551E"/>
    <w:rsid w:val="006A57FB"/>
    <w:rsid w:val="006B005E"/>
    <w:rsid w:val="006B0062"/>
    <w:rsid w:val="006B0108"/>
    <w:rsid w:val="006B23BE"/>
    <w:rsid w:val="006B7247"/>
    <w:rsid w:val="006B724C"/>
    <w:rsid w:val="006C067F"/>
    <w:rsid w:val="006C151D"/>
    <w:rsid w:val="006C1907"/>
    <w:rsid w:val="006C1D51"/>
    <w:rsid w:val="006C2534"/>
    <w:rsid w:val="006C290B"/>
    <w:rsid w:val="006C45C0"/>
    <w:rsid w:val="006C4B2C"/>
    <w:rsid w:val="006C4F9B"/>
    <w:rsid w:val="006C588F"/>
    <w:rsid w:val="006C5E0C"/>
    <w:rsid w:val="006D0D74"/>
    <w:rsid w:val="006D1AF0"/>
    <w:rsid w:val="006D444F"/>
    <w:rsid w:val="006D5E4A"/>
    <w:rsid w:val="006D65EB"/>
    <w:rsid w:val="006D7E9F"/>
    <w:rsid w:val="006E0034"/>
    <w:rsid w:val="006E0665"/>
    <w:rsid w:val="006E4921"/>
    <w:rsid w:val="006E6931"/>
    <w:rsid w:val="006E7B80"/>
    <w:rsid w:val="006E7F02"/>
    <w:rsid w:val="006F1A80"/>
    <w:rsid w:val="006F2165"/>
    <w:rsid w:val="006F2F96"/>
    <w:rsid w:val="006F3109"/>
    <w:rsid w:val="006F4AF6"/>
    <w:rsid w:val="006F6C6A"/>
    <w:rsid w:val="006F72F2"/>
    <w:rsid w:val="007013C8"/>
    <w:rsid w:val="00702378"/>
    <w:rsid w:val="0070393F"/>
    <w:rsid w:val="00703A46"/>
    <w:rsid w:val="007042B4"/>
    <w:rsid w:val="00705132"/>
    <w:rsid w:val="00705205"/>
    <w:rsid w:val="00705520"/>
    <w:rsid w:val="00705633"/>
    <w:rsid w:val="007066CE"/>
    <w:rsid w:val="00706708"/>
    <w:rsid w:val="0070691B"/>
    <w:rsid w:val="0071073F"/>
    <w:rsid w:val="007122AF"/>
    <w:rsid w:val="0071330D"/>
    <w:rsid w:val="007140C9"/>
    <w:rsid w:val="00714D31"/>
    <w:rsid w:val="00716074"/>
    <w:rsid w:val="0071661A"/>
    <w:rsid w:val="007174DA"/>
    <w:rsid w:val="0071786C"/>
    <w:rsid w:val="00717BC9"/>
    <w:rsid w:val="00721C8C"/>
    <w:rsid w:val="00723947"/>
    <w:rsid w:val="00723EDD"/>
    <w:rsid w:val="00724B48"/>
    <w:rsid w:val="00724CD9"/>
    <w:rsid w:val="00724F1E"/>
    <w:rsid w:val="007250E7"/>
    <w:rsid w:val="00725481"/>
    <w:rsid w:val="0072578A"/>
    <w:rsid w:val="00730566"/>
    <w:rsid w:val="00730ACF"/>
    <w:rsid w:val="00730FAC"/>
    <w:rsid w:val="007311BC"/>
    <w:rsid w:val="00732079"/>
    <w:rsid w:val="00733AA1"/>
    <w:rsid w:val="0073641D"/>
    <w:rsid w:val="007411CD"/>
    <w:rsid w:val="00742842"/>
    <w:rsid w:val="00742D8C"/>
    <w:rsid w:val="00744867"/>
    <w:rsid w:val="007448C8"/>
    <w:rsid w:val="007469FC"/>
    <w:rsid w:val="0075065D"/>
    <w:rsid w:val="0075080A"/>
    <w:rsid w:val="00750955"/>
    <w:rsid w:val="00750ADE"/>
    <w:rsid w:val="0075111A"/>
    <w:rsid w:val="00751391"/>
    <w:rsid w:val="00751802"/>
    <w:rsid w:val="00753EE8"/>
    <w:rsid w:val="00754E1E"/>
    <w:rsid w:val="0075631B"/>
    <w:rsid w:val="00756D0F"/>
    <w:rsid w:val="00760294"/>
    <w:rsid w:val="00760CE9"/>
    <w:rsid w:val="00762414"/>
    <w:rsid w:val="007626A0"/>
    <w:rsid w:val="00762E42"/>
    <w:rsid w:val="00763697"/>
    <w:rsid w:val="0076605F"/>
    <w:rsid w:val="00766484"/>
    <w:rsid w:val="00766B46"/>
    <w:rsid w:val="00767933"/>
    <w:rsid w:val="00770D8A"/>
    <w:rsid w:val="00771A22"/>
    <w:rsid w:val="0077226F"/>
    <w:rsid w:val="0077435A"/>
    <w:rsid w:val="00774C3C"/>
    <w:rsid w:val="0077756B"/>
    <w:rsid w:val="0078186E"/>
    <w:rsid w:val="00781C63"/>
    <w:rsid w:val="007821F8"/>
    <w:rsid w:val="007838ED"/>
    <w:rsid w:val="00783A30"/>
    <w:rsid w:val="00790470"/>
    <w:rsid w:val="007904B3"/>
    <w:rsid w:val="00790783"/>
    <w:rsid w:val="007910A9"/>
    <w:rsid w:val="0079121F"/>
    <w:rsid w:val="007948D6"/>
    <w:rsid w:val="0079492B"/>
    <w:rsid w:val="00795047"/>
    <w:rsid w:val="00795ACF"/>
    <w:rsid w:val="00795D30"/>
    <w:rsid w:val="00796784"/>
    <w:rsid w:val="007A087E"/>
    <w:rsid w:val="007A1894"/>
    <w:rsid w:val="007A1974"/>
    <w:rsid w:val="007A2DA3"/>
    <w:rsid w:val="007A3AFE"/>
    <w:rsid w:val="007A3D44"/>
    <w:rsid w:val="007A4054"/>
    <w:rsid w:val="007A4DEB"/>
    <w:rsid w:val="007A574B"/>
    <w:rsid w:val="007A6FF9"/>
    <w:rsid w:val="007B0F64"/>
    <w:rsid w:val="007B2C08"/>
    <w:rsid w:val="007B32FC"/>
    <w:rsid w:val="007B3D38"/>
    <w:rsid w:val="007C0A57"/>
    <w:rsid w:val="007C2C6B"/>
    <w:rsid w:val="007C7803"/>
    <w:rsid w:val="007D1AEC"/>
    <w:rsid w:val="007D2812"/>
    <w:rsid w:val="007D2DB1"/>
    <w:rsid w:val="007D2FEC"/>
    <w:rsid w:val="007D3888"/>
    <w:rsid w:val="007D47A4"/>
    <w:rsid w:val="007D4899"/>
    <w:rsid w:val="007D4C1C"/>
    <w:rsid w:val="007D4DE5"/>
    <w:rsid w:val="007D4F2A"/>
    <w:rsid w:val="007D5566"/>
    <w:rsid w:val="007D56D4"/>
    <w:rsid w:val="007D662D"/>
    <w:rsid w:val="007D6C26"/>
    <w:rsid w:val="007D7E51"/>
    <w:rsid w:val="007E0FF8"/>
    <w:rsid w:val="007E15FE"/>
    <w:rsid w:val="007E1A1D"/>
    <w:rsid w:val="007E3317"/>
    <w:rsid w:val="007E39CE"/>
    <w:rsid w:val="007E419D"/>
    <w:rsid w:val="007E428B"/>
    <w:rsid w:val="007E4C98"/>
    <w:rsid w:val="007E6E5A"/>
    <w:rsid w:val="007F2A70"/>
    <w:rsid w:val="007F3347"/>
    <w:rsid w:val="007F7F37"/>
    <w:rsid w:val="0080051B"/>
    <w:rsid w:val="008009DA"/>
    <w:rsid w:val="00802B1D"/>
    <w:rsid w:val="00802FC2"/>
    <w:rsid w:val="00803418"/>
    <w:rsid w:val="00804539"/>
    <w:rsid w:val="00804772"/>
    <w:rsid w:val="00804918"/>
    <w:rsid w:val="00804AFD"/>
    <w:rsid w:val="00805813"/>
    <w:rsid w:val="008077B1"/>
    <w:rsid w:val="00812D57"/>
    <w:rsid w:val="00813124"/>
    <w:rsid w:val="00814FFE"/>
    <w:rsid w:val="008167EB"/>
    <w:rsid w:val="00820082"/>
    <w:rsid w:val="00821857"/>
    <w:rsid w:val="0082283F"/>
    <w:rsid w:val="00822D82"/>
    <w:rsid w:val="008244D8"/>
    <w:rsid w:val="00824A88"/>
    <w:rsid w:val="00824D36"/>
    <w:rsid w:val="0082584F"/>
    <w:rsid w:val="00825A74"/>
    <w:rsid w:val="0082681F"/>
    <w:rsid w:val="0083021B"/>
    <w:rsid w:val="00830294"/>
    <w:rsid w:val="00830E1C"/>
    <w:rsid w:val="00830E2D"/>
    <w:rsid w:val="00831034"/>
    <w:rsid w:val="0083154D"/>
    <w:rsid w:val="00831586"/>
    <w:rsid w:val="008316B5"/>
    <w:rsid w:val="00832563"/>
    <w:rsid w:val="00832D52"/>
    <w:rsid w:val="00836B73"/>
    <w:rsid w:val="00837EA3"/>
    <w:rsid w:val="00840D06"/>
    <w:rsid w:val="0084190C"/>
    <w:rsid w:val="00842EA5"/>
    <w:rsid w:val="008440D4"/>
    <w:rsid w:val="00844209"/>
    <w:rsid w:val="008443EA"/>
    <w:rsid w:val="0084645F"/>
    <w:rsid w:val="0084731B"/>
    <w:rsid w:val="0085026D"/>
    <w:rsid w:val="00850D93"/>
    <w:rsid w:val="008522A8"/>
    <w:rsid w:val="00853AB9"/>
    <w:rsid w:val="00854D17"/>
    <w:rsid w:val="00860C86"/>
    <w:rsid w:val="00861F1C"/>
    <w:rsid w:val="00864DD4"/>
    <w:rsid w:val="00865F1C"/>
    <w:rsid w:val="008672BB"/>
    <w:rsid w:val="008704A8"/>
    <w:rsid w:val="00872521"/>
    <w:rsid w:val="00872B9C"/>
    <w:rsid w:val="00872F4B"/>
    <w:rsid w:val="00875D04"/>
    <w:rsid w:val="008765CD"/>
    <w:rsid w:val="00877962"/>
    <w:rsid w:val="0088075D"/>
    <w:rsid w:val="00883CF2"/>
    <w:rsid w:val="00885968"/>
    <w:rsid w:val="008862BF"/>
    <w:rsid w:val="008868C9"/>
    <w:rsid w:val="00886C65"/>
    <w:rsid w:val="00887954"/>
    <w:rsid w:val="00887B4E"/>
    <w:rsid w:val="00887FCB"/>
    <w:rsid w:val="00892EF0"/>
    <w:rsid w:val="00893735"/>
    <w:rsid w:val="008948CA"/>
    <w:rsid w:val="00894E53"/>
    <w:rsid w:val="00895ED8"/>
    <w:rsid w:val="00895F95"/>
    <w:rsid w:val="00896AD1"/>
    <w:rsid w:val="00896EED"/>
    <w:rsid w:val="008A0337"/>
    <w:rsid w:val="008A0E81"/>
    <w:rsid w:val="008A1143"/>
    <w:rsid w:val="008A1D10"/>
    <w:rsid w:val="008A274E"/>
    <w:rsid w:val="008A3021"/>
    <w:rsid w:val="008A4221"/>
    <w:rsid w:val="008A5432"/>
    <w:rsid w:val="008A72C1"/>
    <w:rsid w:val="008B0165"/>
    <w:rsid w:val="008B2BD8"/>
    <w:rsid w:val="008B2E3F"/>
    <w:rsid w:val="008B3267"/>
    <w:rsid w:val="008B342C"/>
    <w:rsid w:val="008B61A5"/>
    <w:rsid w:val="008B6981"/>
    <w:rsid w:val="008B6F9B"/>
    <w:rsid w:val="008B7751"/>
    <w:rsid w:val="008C05EC"/>
    <w:rsid w:val="008C1CCF"/>
    <w:rsid w:val="008C2D4A"/>
    <w:rsid w:val="008C6596"/>
    <w:rsid w:val="008C6F86"/>
    <w:rsid w:val="008D02C5"/>
    <w:rsid w:val="008D07F8"/>
    <w:rsid w:val="008D0BDA"/>
    <w:rsid w:val="008D1977"/>
    <w:rsid w:val="008D248F"/>
    <w:rsid w:val="008D2975"/>
    <w:rsid w:val="008D3895"/>
    <w:rsid w:val="008D3DC0"/>
    <w:rsid w:val="008D513A"/>
    <w:rsid w:val="008D6C73"/>
    <w:rsid w:val="008D744D"/>
    <w:rsid w:val="008E0BC4"/>
    <w:rsid w:val="008E1127"/>
    <w:rsid w:val="008E2FAF"/>
    <w:rsid w:val="008E418C"/>
    <w:rsid w:val="008E564E"/>
    <w:rsid w:val="008E5796"/>
    <w:rsid w:val="008E6BF8"/>
    <w:rsid w:val="008E7463"/>
    <w:rsid w:val="008E78E3"/>
    <w:rsid w:val="008E7C59"/>
    <w:rsid w:val="008F0C20"/>
    <w:rsid w:val="008F1456"/>
    <w:rsid w:val="008F1C14"/>
    <w:rsid w:val="008F27EB"/>
    <w:rsid w:val="008F2CA3"/>
    <w:rsid w:val="008F2F34"/>
    <w:rsid w:val="008F4FC1"/>
    <w:rsid w:val="008F58CB"/>
    <w:rsid w:val="008F631E"/>
    <w:rsid w:val="008F6714"/>
    <w:rsid w:val="008F6958"/>
    <w:rsid w:val="008F7193"/>
    <w:rsid w:val="008F751F"/>
    <w:rsid w:val="008F77D5"/>
    <w:rsid w:val="009035B1"/>
    <w:rsid w:val="00903B82"/>
    <w:rsid w:val="00905598"/>
    <w:rsid w:val="00905C80"/>
    <w:rsid w:val="00905EB3"/>
    <w:rsid w:val="00906B61"/>
    <w:rsid w:val="00906C72"/>
    <w:rsid w:val="00907F6C"/>
    <w:rsid w:val="00907F80"/>
    <w:rsid w:val="00911BBC"/>
    <w:rsid w:val="00911C9E"/>
    <w:rsid w:val="00913D28"/>
    <w:rsid w:val="00914D08"/>
    <w:rsid w:val="00915A38"/>
    <w:rsid w:val="00915DA8"/>
    <w:rsid w:val="009169A3"/>
    <w:rsid w:val="009169FC"/>
    <w:rsid w:val="00916CFF"/>
    <w:rsid w:val="009238C4"/>
    <w:rsid w:val="009244D3"/>
    <w:rsid w:val="00925640"/>
    <w:rsid w:val="009267C5"/>
    <w:rsid w:val="00926C1B"/>
    <w:rsid w:val="00927B5F"/>
    <w:rsid w:val="00927DD0"/>
    <w:rsid w:val="00930D71"/>
    <w:rsid w:val="00934867"/>
    <w:rsid w:val="009361E5"/>
    <w:rsid w:val="00936220"/>
    <w:rsid w:val="0093717B"/>
    <w:rsid w:val="00937353"/>
    <w:rsid w:val="009412DB"/>
    <w:rsid w:val="0094164E"/>
    <w:rsid w:val="00945A7F"/>
    <w:rsid w:val="00945E22"/>
    <w:rsid w:val="00947135"/>
    <w:rsid w:val="00947CFF"/>
    <w:rsid w:val="009508F3"/>
    <w:rsid w:val="00953494"/>
    <w:rsid w:val="00955E7F"/>
    <w:rsid w:val="009565CE"/>
    <w:rsid w:val="009572D1"/>
    <w:rsid w:val="009573FE"/>
    <w:rsid w:val="00957BAD"/>
    <w:rsid w:val="00960020"/>
    <w:rsid w:val="009608BF"/>
    <w:rsid w:val="009609C5"/>
    <w:rsid w:val="00960AF1"/>
    <w:rsid w:val="009621F2"/>
    <w:rsid w:val="0096263A"/>
    <w:rsid w:val="00964035"/>
    <w:rsid w:val="00965248"/>
    <w:rsid w:val="0096572E"/>
    <w:rsid w:val="00966014"/>
    <w:rsid w:val="00967495"/>
    <w:rsid w:val="0096765B"/>
    <w:rsid w:val="00967710"/>
    <w:rsid w:val="009708A7"/>
    <w:rsid w:val="0097656D"/>
    <w:rsid w:val="00976E73"/>
    <w:rsid w:val="00981D9C"/>
    <w:rsid w:val="00981F56"/>
    <w:rsid w:val="009822AE"/>
    <w:rsid w:val="00984438"/>
    <w:rsid w:val="00984E55"/>
    <w:rsid w:val="00985A75"/>
    <w:rsid w:val="00986AE0"/>
    <w:rsid w:val="00987A42"/>
    <w:rsid w:val="009900B3"/>
    <w:rsid w:val="009903E9"/>
    <w:rsid w:val="00990509"/>
    <w:rsid w:val="00992133"/>
    <w:rsid w:val="0099214E"/>
    <w:rsid w:val="00992613"/>
    <w:rsid w:val="00992E0B"/>
    <w:rsid w:val="009935CA"/>
    <w:rsid w:val="009A009C"/>
    <w:rsid w:val="009A0735"/>
    <w:rsid w:val="009A178F"/>
    <w:rsid w:val="009A19CC"/>
    <w:rsid w:val="009A234A"/>
    <w:rsid w:val="009A2866"/>
    <w:rsid w:val="009A2CB0"/>
    <w:rsid w:val="009A3B78"/>
    <w:rsid w:val="009A3C3E"/>
    <w:rsid w:val="009A6B28"/>
    <w:rsid w:val="009B196D"/>
    <w:rsid w:val="009B348E"/>
    <w:rsid w:val="009B3A83"/>
    <w:rsid w:val="009B608F"/>
    <w:rsid w:val="009B70A5"/>
    <w:rsid w:val="009C00F4"/>
    <w:rsid w:val="009C0AD9"/>
    <w:rsid w:val="009C0C7B"/>
    <w:rsid w:val="009C10DD"/>
    <w:rsid w:val="009C3315"/>
    <w:rsid w:val="009C5F97"/>
    <w:rsid w:val="009C60AA"/>
    <w:rsid w:val="009D2C99"/>
    <w:rsid w:val="009D400A"/>
    <w:rsid w:val="009D422D"/>
    <w:rsid w:val="009D7AA2"/>
    <w:rsid w:val="009E0453"/>
    <w:rsid w:val="009E3D96"/>
    <w:rsid w:val="009E58E8"/>
    <w:rsid w:val="009E6407"/>
    <w:rsid w:val="009E6462"/>
    <w:rsid w:val="009E6599"/>
    <w:rsid w:val="009E6A58"/>
    <w:rsid w:val="009F0867"/>
    <w:rsid w:val="009F16B5"/>
    <w:rsid w:val="009F23C7"/>
    <w:rsid w:val="009F2952"/>
    <w:rsid w:val="009F32D1"/>
    <w:rsid w:val="009F3841"/>
    <w:rsid w:val="009F4668"/>
    <w:rsid w:val="009F4FE8"/>
    <w:rsid w:val="009F60F6"/>
    <w:rsid w:val="009F6157"/>
    <w:rsid w:val="009F6B90"/>
    <w:rsid w:val="009F6DF8"/>
    <w:rsid w:val="009F7E86"/>
    <w:rsid w:val="009F7EA0"/>
    <w:rsid w:val="00A0006C"/>
    <w:rsid w:val="00A0055C"/>
    <w:rsid w:val="00A00707"/>
    <w:rsid w:val="00A00DD9"/>
    <w:rsid w:val="00A02CA6"/>
    <w:rsid w:val="00A045E4"/>
    <w:rsid w:val="00A07F98"/>
    <w:rsid w:val="00A10FA9"/>
    <w:rsid w:val="00A131D5"/>
    <w:rsid w:val="00A13909"/>
    <w:rsid w:val="00A200EC"/>
    <w:rsid w:val="00A20F5B"/>
    <w:rsid w:val="00A2383F"/>
    <w:rsid w:val="00A23FF5"/>
    <w:rsid w:val="00A24001"/>
    <w:rsid w:val="00A24E54"/>
    <w:rsid w:val="00A254D2"/>
    <w:rsid w:val="00A267A6"/>
    <w:rsid w:val="00A27017"/>
    <w:rsid w:val="00A304AD"/>
    <w:rsid w:val="00A30A6B"/>
    <w:rsid w:val="00A310C8"/>
    <w:rsid w:val="00A33919"/>
    <w:rsid w:val="00A35660"/>
    <w:rsid w:val="00A411F4"/>
    <w:rsid w:val="00A43025"/>
    <w:rsid w:val="00A4311F"/>
    <w:rsid w:val="00A43D4C"/>
    <w:rsid w:val="00A44A91"/>
    <w:rsid w:val="00A471D5"/>
    <w:rsid w:val="00A51526"/>
    <w:rsid w:val="00A518D6"/>
    <w:rsid w:val="00A5200D"/>
    <w:rsid w:val="00A52353"/>
    <w:rsid w:val="00A52F0B"/>
    <w:rsid w:val="00A5509F"/>
    <w:rsid w:val="00A56A06"/>
    <w:rsid w:val="00A57B86"/>
    <w:rsid w:val="00A615D2"/>
    <w:rsid w:val="00A63383"/>
    <w:rsid w:val="00A65C0B"/>
    <w:rsid w:val="00A669A2"/>
    <w:rsid w:val="00A669C7"/>
    <w:rsid w:val="00A67ADA"/>
    <w:rsid w:val="00A70691"/>
    <w:rsid w:val="00A71438"/>
    <w:rsid w:val="00A7163A"/>
    <w:rsid w:val="00A720E8"/>
    <w:rsid w:val="00A743A2"/>
    <w:rsid w:val="00A74F29"/>
    <w:rsid w:val="00A75B12"/>
    <w:rsid w:val="00A75CBF"/>
    <w:rsid w:val="00A75E86"/>
    <w:rsid w:val="00A76897"/>
    <w:rsid w:val="00A76DFF"/>
    <w:rsid w:val="00A77994"/>
    <w:rsid w:val="00A8114A"/>
    <w:rsid w:val="00A82424"/>
    <w:rsid w:val="00A83EA4"/>
    <w:rsid w:val="00A8497E"/>
    <w:rsid w:val="00A849D2"/>
    <w:rsid w:val="00A85C49"/>
    <w:rsid w:val="00A85C8F"/>
    <w:rsid w:val="00A8649D"/>
    <w:rsid w:val="00A86763"/>
    <w:rsid w:val="00A86A31"/>
    <w:rsid w:val="00A879EC"/>
    <w:rsid w:val="00A87C12"/>
    <w:rsid w:val="00A9013E"/>
    <w:rsid w:val="00A9023E"/>
    <w:rsid w:val="00A90CBD"/>
    <w:rsid w:val="00A93200"/>
    <w:rsid w:val="00A939B1"/>
    <w:rsid w:val="00A947CC"/>
    <w:rsid w:val="00A949E8"/>
    <w:rsid w:val="00A95A7C"/>
    <w:rsid w:val="00A95CC8"/>
    <w:rsid w:val="00A963DA"/>
    <w:rsid w:val="00AA0F19"/>
    <w:rsid w:val="00AA1A63"/>
    <w:rsid w:val="00AA2D13"/>
    <w:rsid w:val="00AA337F"/>
    <w:rsid w:val="00AA3863"/>
    <w:rsid w:val="00AA4284"/>
    <w:rsid w:val="00AA440A"/>
    <w:rsid w:val="00AA6169"/>
    <w:rsid w:val="00AB1A45"/>
    <w:rsid w:val="00AB1F04"/>
    <w:rsid w:val="00AB20E8"/>
    <w:rsid w:val="00AB386E"/>
    <w:rsid w:val="00AB3DA7"/>
    <w:rsid w:val="00AB7374"/>
    <w:rsid w:val="00AB764C"/>
    <w:rsid w:val="00AC0013"/>
    <w:rsid w:val="00AC0BCD"/>
    <w:rsid w:val="00AC0C03"/>
    <w:rsid w:val="00AC2664"/>
    <w:rsid w:val="00AC2A13"/>
    <w:rsid w:val="00AC364A"/>
    <w:rsid w:val="00AC3BF8"/>
    <w:rsid w:val="00AC54B9"/>
    <w:rsid w:val="00AC6F01"/>
    <w:rsid w:val="00AD162C"/>
    <w:rsid w:val="00AD1F05"/>
    <w:rsid w:val="00AD358A"/>
    <w:rsid w:val="00AD3BFD"/>
    <w:rsid w:val="00AD5218"/>
    <w:rsid w:val="00AD71E4"/>
    <w:rsid w:val="00AE07AC"/>
    <w:rsid w:val="00AE0B76"/>
    <w:rsid w:val="00AE0BBF"/>
    <w:rsid w:val="00AE0E47"/>
    <w:rsid w:val="00AE10F3"/>
    <w:rsid w:val="00AE1BE9"/>
    <w:rsid w:val="00AE2112"/>
    <w:rsid w:val="00AE25C3"/>
    <w:rsid w:val="00AE2BCB"/>
    <w:rsid w:val="00AE36A0"/>
    <w:rsid w:val="00AE37AD"/>
    <w:rsid w:val="00AE3A7E"/>
    <w:rsid w:val="00AE5BEA"/>
    <w:rsid w:val="00AE62CC"/>
    <w:rsid w:val="00AF3647"/>
    <w:rsid w:val="00AF3B39"/>
    <w:rsid w:val="00AF44CB"/>
    <w:rsid w:val="00AF45B8"/>
    <w:rsid w:val="00B01EEE"/>
    <w:rsid w:val="00B036AA"/>
    <w:rsid w:val="00B05AE9"/>
    <w:rsid w:val="00B0731E"/>
    <w:rsid w:val="00B1237F"/>
    <w:rsid w:val="00B1389B"/>
    <w:rsid w:val="00B13A34"/>
    <w:rsid w:val="00B13F68"/>
    <w:rsid w:val="00B13FD0"/>
    <w:rsid w:val="00B15ADD"/>
    <w:rsid w:val="00B16E33"/>
    <w:rsid w:val="00B16E74"/>
    <w:rsid w:val="00B20811"/>
    <w:rsid w:val="00B20E71"/>
    <w:rsid w:val="00B213DC"/>
    <w:rsid w:val="00B222A6"/>
    <w:rsid w:val="00B22668"/>
    <w:rsid w:val="00B22CAE"/>
    <w:rsid w:val="00B2700B"/>
    <w:rsid w:val="00B3109C"/>
    <w:rsid w:val="00B3220E"/>
    <w:rsid w:val="00B3464E"/>
    <w:rsid w:val="00B3471B"/>
    <w:rsid w:val="00B357EC"/>
    <w:rsid w:val="00B42547"/>
    <w:rsid w:val="00B42623"/>
    <w:rsid w:val="00B43959"/>
    <w:rsid w:val="00B43ADA"/>
    <w:rsid w:val="00B43BD8"/>
    <w:rsid w:val="00B44423"/>
    <w:rsid w:val="00B4690E"/>
    <w:rsid w:val="00B50100"/>
    <w:rsid w:val="00B5142F"/>
    <w:rsid w:val="00B518B6"/>
    <w:rsid w:val="00B51D00"/>
    <w:rsid w:val="00B51F88"/>
    <w:rsid w:val="00B52A29"/>
    <w:rsid w:val="00B52D06"/>
    <w:rsid w:val="00B5334F"/>
    <w:rsid w:val="00B57F89"/>
    <w:rsid w:val="00B601C7"/>
    <w:rsid w:val="00B607DA"/>
    <w:rsid w:val="00B61124"/>
    <w:rsid w:val="00B614FE"/>
    <w:rsid w:val="00B62AC8"/>
    <w:rsid w:val="00B63C73"/>
    <w:rsid w:val="00B64338"/>
    <w:rsid w:val="00B64C83"/>
    <w:rsid w:val="00B67332"/>
    <w:rsid w:val="00B67428"/>
    <w:rsid w:val="00B67C92"/>
    <w:rsid w:val="00B67CB2"/>
    <w:rsid w:val="00B71176"/>
    <w:rsid w:val="00B71FB9"/>
    <w:rsid w:val="00B71FD5"/>
    <w:rsid w:val="00B74B0B"/>
    <w:rsid w:val="00B7577B"/>
    <w:rsid w:val="00B76A54"/>
    <w:rsid w:val="00B76F68"/>
    <w:rsid w:val="00B82946"/>
    <w:rsid w:val="00B82F5C"/>
    <w:rsid w:val="00B83DEA"/>
    <w:rsid w:val="00B847C1"/>
    <w:rsid w:val="00B86254"/>
    <w:rsid w:val="00B875DD"/>
    <w:rsid w:val="00B8798A"/>
    <w:rsid w:val="00B90A36"/>
    <w:rsid w:val="00B914D7"/>
    <w:rsid w:val="00B93A3F"/>
    <w:rsid w:val="00B95059"/>
    <w:rsid w:val="00B95EC4"/>
    <w:rsid w:val="00B96299"/>
    <w:rsid w:val="00BA19AD"/>
    <w:rsid w:val="00BA21D5"/>
    <w:rsid w:val="00BA2A11"/>
    <w:rsid w:val="00BA3092"/>
    <w:rsid w:val="00BA3D33"/>
    <w:rsid w:val="00BA412C"/>
    <w:rsid w:val="00BA4DAC"/>
    <w:rsid w:val="00BA5759"/>
    <w:rsid w:val="00BA793E"/>
    <w:rsid w:val="00BB045B"/>
    <w:rsid w:val="00BB08EC"/>
    <w:rsid w:val="00BB0A68"/>
    <w:rsid w:val="00BB1952"/>
    <w:rsid w:val="00BB1DCC"/>
    <w:rsid w:val="00BB20AA"/>
    <w:rsid w:val="00BB40C0"/>
    <w:rsid w:val="00BB6626"/>
    <w:rsid w:val="00BB6DC8"/>
    <w:rsid w:val="00BB778F"/>
    <w:rsid w:val="00BB7A95"/>
    <w:rsid w:val="00BB7F6A"/>
    <w:rsid w:val="00BC067C"/>
    <w:rsid w:val="00BC1FA2"/>
    <w:rsid w:val="00BC468B"/>
    <w:rsid w:val="00BC4E9F"/>
    <w:rsid w:val="00BC5E34"/>
    <w:rsid w:val="00BC651C"/>
    <w:rsid w:val="00BC6A2D"/>
    <w:rsid w:val="00BD01E3"/>
    <w:rsid w:val="00BD0604"/>
    <w:rsid w:val="00BD0E70"/>
    <w:rsid w:val="00BD13E2"/>
    <w:rsid w:val="00BD1F89"/>
    <w:rsid w:val="00BD2B16"/>
    <w:rsid w:val="00BD37FD"/>
    <w:rsid w:val="00BD383D"/>
    <w:rsid w:val="00BD467E"/>
    <w:rsid w:val="00BD4859"/>
    <w:rsid w:val="00BD50E5"/>
    <w:rsid w:val="00BD7AE8"/>
    <w:rsid w:val="00BD7DBB"/>
    <w:rsid w:val="00BE14AE"/>
    <w:rsid w:val="00BE15DF"/>
    <w:rsid w:val="00BE1B84"/>
    <w:rsid w:val="00BE2184"/>
    <w:rsid w:val="00BE2C58"/>
    <w:rsid w:val="00BE30E1"/>
    <w:rsid w:val="00BE4E19"/>
    <w:rsid w:val="00BE5E99"/>
    <w:rsid w:val="00BE6FF7"/>
    <w:rsid w:val="00BE7366"/>
    <w:rsid w:val="00BF1414"/>
    <w:rsid w:val="00BF1896"/>
    <w:rsid w:val="00BF3D18"/>
    <w:rsid w:val="00BF7A3C"/>
    <w:rsid w:val="00C01238"/>
    <w:rsid w:val="00C02768"/>
    <w:rsid w:val="00C039C1"/>
    <w:rsid w:val="00C05C2A"/>
    <w:rsid w:val="00C0666F"/>
    <w:rsid w:val="00C0770D"/>
    <w:rsid w:val="00C07BBD"/>
    <w:rsid w:val="00C07F3B"/>
    <w:rsid w:val="00C100FB"/>
    <w:rsid w:val="00C11E65"/>
    <w:rsid w:val="00C11E67"/>
    <w:rsid w:val="00C124BB"/>
    <w:rsid w:val="00C13AFA"/>
    <w:rsid w:val="00C13D97"/>
    <w:rsid w:val="00C1451F"/>
    <w:rsid w:val="00C145BE"/>
    <w:rsid w:val="00C1700E"/>
    <w:rsid w:val="00C17DA4"/>
    <w:rsid w:val="00C205EA"/>
    <w:rsid w:val="00C20B2D"/>
    <w:rsid w:val="00C228B5"/>
    <w:rsid w:val="00C24426"/>
    <w:rsid w:val="00C24473"/>
    <w:rsid w:val="00C24E94"/>
    <w:rsid w:val="00C3008C"/>
    <w:rsid w:val="00C30D16"/>
    <w:rsid w:val="00C32417"/>
    <w:rsid w:val="00C3267D"/>
    <w:rsid w:val="00C344B0"/>
    <w:rsid w:val="00C345A4"/>
    <w:rsid w:val="00C35815"/>
    <w:rsid w:val="00C364F6"/>
    <w:rsid w:val="00C36610"/>
    <w:rsid w:val="00C4055B"/>
    <w:rsid w:val="00C41794"/>
    <w:rsid w:val="00C41C45"/>
    <w:rsid w:val="00C42CA9"/>
    <w:rsid w:val="00C42E9F"/>
    <w:rsid w:val="00C4385B"/>
    <w:rsid w:val="00C443BE"/>
    <w:rsid w:val="00C44A5D"/>
    <w:rsid w:val="00C4543C"/>
    <w:rsid w:val="00C46142"/>
    <w:rsid w:val="00C469E8"/>
    <w:rsid w:val="00C4790F"/>
    <w:rsid w:val="00C47C16"/>
    <w:rsid w:val="00C51992"/>
    <w:rsid w:val="00C5308C"/>
    <w:rsid w:val="00C54FC8"/>
    <w:rsid w:val="00C55C85"/>
    <w:rsid w:val="00C565FE"/>
    <w:rsid w:val="00C56978"/>
    <w:rsid w:val="00C579D5"/>
    <w:rsid w:val="00C6114C"/>
    <w:rsid w:val="00C61290"/>
    <w:rsid w:val="00C627F9"/>
    <w:rsid w:val="00C640C1"/>
    <w:rsid w:val="00C64CDC"/>
    <w:rsid w:val="00C664D1"/>
    <w:rsid w:val="00C706B5"/>
    <w:rsid w:val="00C70929"/>
    <w:rsid w:val="00C729D2"/>
    <w:rsid w:val="00C74E2A"/>
    <w:rsid w:val="00C75068"/>
    <w:rsid w:val="00C77831"/>
    <w:rsid w:val="00C77DD1"/>
    <w:rsid w:val="00C8127B"/>
    <w:rsid w:val="00C81423"/>
    <w:rsid w:val="00C82104"/>
    <w:rsid w:val="00C83D68"/>
    <w:rsid w:val="00C8574B"/>
    <w:rsid w:val="00C86005"/>
    <w:rsid w:val="00C86571"/>
    <w:rsid w:val="00C867A7"/>
    <w:rsid w:val="00C86829"/>
    <w:rsid w:val="00C868AC"/>
    <w:rsid w:val="00C86F43"/>
    <w:rsid w:val="00C925B7"/>
    <w:rsid w:val="00C92C0D"/>
    <w:rsid w:val="00C92E66"/>
    <w:rsid w:val="00C930F3"/>
    <w:rsid w:val="00C9359F"/>
    <w:rsid w:val="00C93AEF"/>
    <w:rsid w:val="00C946B5"/>
    <w:rsid w:val="00C953A0"/>
    <w:rsid w:val="00C9545D"/>
    <w:rsid w:val="00C96842"/>
    <w:rsid w:val="00C97596"/>
    <w:rsid w:val="00CA012A"/>
    <w:rsid w:val="00CA2828"/>
    <w:rsid w:val="00CA31F1"/>
    <w:rsid w:val="00CA49D7"/>
    <w:rsid w:val="00CA74B8"/>
    <w:rsid w:val="00CB29FA"/>
    <w:rsid w:val="00CB364F"/>
    <w:rsid w:val="00CB3A5A"/>
    <w:rsid w:val="00CB3A66"/>
    <w:rsid w:val="00CB4949"/>
    <w:rsid w:val="00CB5A05"/>
    <w:rsid w:val="00CB6605"/>
    <w:rsid w:val="00CB7D7B"/>
    <w:rsid w:val="00CC0909"/>
    <w:rsid w:val="00CC2384"/>
    <w:rsid w:val="00CC2473"/>
    <w:rsid w:val="00CC24A7"/>
    <w:rsid w:val="00CC35F9"/>
    <w:rsid w:val="00CC398D"/>
    <w:rsid w:val="00CC46DA"/>
    <w:rsid w:val="00CC5CA7"/>
    <w:rsid w:val="00CC5E76"/>
    <w:rsid w:val="00CC6D36"/>
    <w:rsid w:val="00CC71C6"/>
    <w:rsid w:val="00CC774F"/>
    <w:rsid w:val="00CD07B7"/>
    <w:rsid w:val="00CD1C05"/>
    <w:rsid w:val="00CD27BE"/>
    <w:rsid w:val="00CD2B1F"/>
    <w:rsid w:val="00CD2C51"/>
    <w:rsid w:val="00CD3CF1"/>
    <w:rsid w:val="00CD7056"/>
    <w:rsid w:val="00CE377F"/>
    <w:rsid w:val="00CE5C00"/>
    <w:rsid w:val="00CE6C62"/>
    <w:rsid w:val="00CF058C"/>
    <w:rsid w:val="00CF0D09"/>
    <w:rsid w:val="00CF16D5"/>
    <w:rsid w:val="00CF358B"/>
    <w:rsid w:val="00CF3EE6"/>
    <w:rsid w:val="00CF3F64"/>
    <w:rsid w:val="00CF4E73"/>
    <w:rsid w:val="00CF664D"/>
    <w:rsid w:val="00CF6D16"/>
    <w:rsid w:val="00CF7093"/>
    <w:rsid w:val="00D00183"/>
    <w:rsid w:val="00D015D9"/>
    <w:rsid w:val="00D037B6"/>
    <w:rsid w:val="00D03C75"/>
    <w:rsid w:val="00D05E3A"/>
    <w:rsid w:val="00D07543"/>
    <w:rsid w:val="00D07FD1"/>
    <w:rsid w:val="00D10423"/>
    <w:rsid w:val="00D130C5"/>
    <w:rsid w:val="00D1367B"/>
    <w:rsid w:val="00D15011"/>
    <w:rsid w:val="00D16409"/>
    <w:rsid w:val="00D16728"/>
    <w:rsid w:val="00D177C3"/>
    <w:rsid w:val="00D17DBD"/>
    <w:rsid w:val="00D208F4"/>
    <w:rsid w:val="00D246A3"/>
    <w:rsid w:val="00D2576E"/>
    <w:rsid w:val="00D302FA"/>
    <w:rsid w:val="00D303E3"/>
    <w:rsid w:val="00D311F9"/>
    <w:rsid w:val="00D31D7B"/>
    <w:rsid w:val="00D320F3"/>
    <w:rsid w:val="00D33D02"/>
    <w:rsid w:val="00D347B8"/>
    <w:rsid w:val="00D3488F"/>
    <w:rsid w:val="00D34BF2"/>
    <w:rsid w:val="00D34DB8"/>
    <w:rsid w:val="00D35C09"/>
    <w:rsid w:val="00D3649E"/>
    <w:rsid w:val="00D37E8E"/>
    <w:rsid w:val="00D4072B"/>
    <w:rsid w:val="00D422F2"/>
    <w:rsid w:val="00D42AF8"/>
    <w:rsid w:val="00D440FF"/>
    <w:rsid w:val="00D4491B"/>
    <w:rsid w:val="00D44C42"/>
    <w:rsid w:val="00D452AE"/>
    <w:rsid w:val="00D47937"/>
    <w:rsid w:val="00D47E35"/>
    <w:rsid w:val="00D50751"/>
    <w:rsid w:val="00D5093E"/>
    <w:rsid w:val="00D51E7D"/>
    <w:rsid w:val="00D53700"/>
    <w:rsid w:val="00D54C61"/>
    <w:rsid w:val="00D55F3A"/>
    <w:rsid w:val="00D56B5E"/>
    <w:rsid w:val="00D57515"/>
    <w:rsid w:val="00D60245"/>
    <w:rsid w:val="00D617F4"/>
    <w:rsid w:val="00D6351E"/>
    <w:rsid w:val="00D63851"/>
    <w:rsid w:val="00D64A34"/>
    <w:rsid w:val="00D64F09"/>
    <w:rsid w:val="00D65348"/>
    <w:rsid w:val="00D65E19"/>
    <w:rsid w:val="00D663AB"/>
    <w:rsid w:val="00D664E8"/>
    <w:rsid w:val="00D66701"/>
    <w:rsid w:val="00D66D90"/>
    <w:rsid w:val="00D76527"/>
    <w:rsid w:val="00D76780"/>
    <w:rsid w:val="00D769B7"/>
    <w:rsid w:val="00D77022"/>
    <w:rsid w:val="00D777F1"/>
    <w:rsid w:val="00D80585"/>
    <w:rsid w:val="00D80683"/>
    <w:rsid w:val="00D823B1"/>
    <w:rsid w:val="00D825B1"/>
    <w:rsid w:val="00D83C17"/>
    <w:rsid w:val="00D84322"/>
    <w:rsid w:val="00D84CB1"/>
    <w:rsid w:val="00D868ED"/>
    <w:rsid w:val="00D86AD9"/>
    <w:rsid w:val="00D87DD6"/>
    <w:rsid w:val="00D9237E"/>
    <w:rsid w:val="00D949DB"/>
    <w:rsid w:val="00D94C10"/>
    <w:rsid w:val="00D96511"/>
    <w:rsid w:val="00D96697"/>
    <w:rsid w:val="00D96EA9"/>
    <w:rsid w:val="00D975DA"/>
    <w:rsid w:val="00D9768D"/>
    <w:rsid w:val="00DA2F23"/>
    <w:rsid w:val="00DA46CA"/>
    <w:rsid w:val="00DA5824"/>
    <w:rsid w:val="00DA6DD5"/>
    <w:rsid w:val="00DA792E"/>
    <w:rsid w:val="00DB3559"/>
    <w:rsid w:val="00DB4C5C"/>
    <w:rsid w:val="00DB5844"/>
    <w:rsid w:val="00DB7527"/>
    <w:rsid w:val="00DC0CA2"/>
    <w:rsid w:val="00DC0FB5"/>
    <w:rsid w:val="00DC1201"/>
    <w:rsid w:val="00DC3054"/>
    <w:rsid w:val="00DC4DFB"/>
    <w:rsid w:val="00DC56BA"/>
    <w:rsid w:val="00DC6330"/>
    <w:rsid w:val="00DC730D"/>
    <w:rsid w:val="00DD36D3"/>
    <w:rsid w:val="00DD4DC1"/>
    <w:rsid w:val="00DD527A"/>
    <w:rsid w:val="00DD67AA"/>
    <w:rsid w:val="00DE0284"/>
    <w:rsid w:val="00DE08A7"/>
    <w:rsid w:val="00DE0AF3"/>
    <w:rsid w:val="00DE0C80"/>
    <w:rsid w:val="00DE0F57"/>
    <w:rsid w:val="00DE1A8E"/>
    <w:rsid w:val="00DE5055"/>
    <w:rsid w:val="00DE5162"/>
    <w:rsid w:val="00DE5673"/>
    <w:rsid w:val="00DE6AA9"/>
    <w:rsid w:val="00DF059C"/>
    <w:rsid w:val="00DF06C5"/>
    <w:rsid w:val="00DF3B5C"/>
    <w:rsid w:val="00DF608E"/>
    <w:rsid w:val="00DF74FD"/>
    <w:rsid w:val="00E00882"/>
    <w:rsid w:val="00E0105E"/>
    <w:rsid w:val="00E01BCD"/>
    <w:rsid w:val="00E029DA"/>
    <w:rsid w:val="00E02E99"/>
    <w:rsid w:val="00E03D6E"/>
    <w:rsid w:val="00E03FC0"/>
    <w:rsid w:val="00E0445F"/>
    <w:rsid w:val="00E051AC"/>
    <w:rsid w:val="00E06E8A"/>
    <w:rsid w:val="00E07E82"/>
    <w:rsid w:val="00E11707"/>
    <w:rsid w:val="00E148D6"/>
    <w:rsid w:val="00E14FDD"/>
    <w:rsid w:val="00E15501"/>
    <w:rsid w:val="00E15620"/>
    <w:rsid w:val="00E157C6"/>
    <w:rsid w:val="00E1678C"/>
    <w:rsid w:val="00E16A4C"/>
    <w:rsid w:val="00E16BC3"/>
    <w:rsid w:val="00E171B4"/>
    <w:rsid w:val="00E17C10"/>
    <w:rsid w:val="00E214B8"/>
    <w:rsid w:val="00E215B2"/>
    <w:rsid w:val="00E21CAC"/>
    <w:rsid w:val="00E2332E"/>
    <w:rsid w:val="00E2445C"/>
    <w:rsid w:val="00E24FF1"/>
    <w:rsid w:val="00E273B2"/>
    <w:rsid w:val="00E30F07"/>
    <w:rsid w:val="00E31C79"/>
    <w:rsid w:val="00E31F68"/>
    <w:rsid w:val="00E351F1"/>
    <w:rsid w:val="00E35785"/>
    <w:rsid w:val="00E36CBC"/>
    <w:rsid w:val="00E400C1"/>
    <w:rsid w:val="00E40377"/>
    <w:rsid w:val="00E4121B"/>
    <w:rsid w:val="00E42199"/>
    <w:rsid w:val="00E425EE"/>
    <w:rsid w:val="00E426C7"/>
    <w:rsid w:val="00E431B4"/>
    <w:rsid w:val="00E44535"/>
    <w:rsid w:val="00E46253"/>
    <w:rsid w:val="00E46D87"/>
    <w:rsid w:val="00E47DCB"/>
    <w:rsid w:val="00E47F29"/>
    <w:rsid w:val="00E50B13"/>
    <w:rsid w:val="00E51047"/>
    <w:rsid w:val="00E513B3"/>
    <w:rsid w:val="00E51CBB"/>
    <w:rsid w:val="00E54309"/>
    <w:rsid w:val="00E54FD3"/>
    <w:rsid w:val="00E56639"/>
    <w:rsid w:val="00E60725"/>
    <w:rsid w:val="00E61D68"/>
    <w:rsid w:val="00E62BFD"/>
    <w:rsid w:val="00E62EAF"/>
    <w:rsid w:val="00E63A0E"/>
    <w:rsid w:val="00E63D33"/>
    <w:rsid w:val="00E65975"/>
    <w:rsid w:val="00E65A10"/>
    <w:rsid w:val="00E660E7"/>
    <w:rsid w:val="00E66F9A"/>
    <w:rsid w:val="00E673E7"/>
    <w:rsid w:val="00E67D96"/>
    <w:rsid w:val="00E70E8E"/>
    <w:rsid w:val="00E714EC"/>
    <w:rsid w:val="00E7328E"/>
    <w:rsid w:val="00E749A8"/>
    <w:rsid w:val="00E755D9"/>
    <w:rsid w:val="00E773D6"/>
    <w:rsid w:val="00E8002D"/>
    <w:rsid w:val="00E80710"/>
    <w:rsid w:val="00E82758"/>
    <w:rsid w:val="00E8288A"/>
    <w:rsid w:val="00E82BB5"/>
    <w:rsid w:val="00E839E7"/>
    <w:rsid w:val="00E84077"/>
    <w:rsid w:val="00E858DD"/>
    <w:rsid w:val="00E90E60"/>
    <w:rsid w:val="00E916C4"/>
    <w:rsid w:val="00E919EA"/>
    <w:rsid w:val="00E93B84"/>
    <w:rsid w:val="00E9486F"/>
    <w:rsid w:val="00E950A1"/>
    <w:rsid w:val="00E95B64"/>
    <w:rsid w:val="00E95D4A"/>
    <w:rsid w:val="00E95E6D"/>
    <w:rsid w:val="00E96582"/>
    <w:rsid w:val="00EA1301"/>
    <w:rsid w:val="00EA21C7"/>
    <w:rsid w:val="00EA45E2"/>
    <w:rsid w:val="00EA4945"/>
    <w:rsid w:val="00EA49ED"/>
    <w:rsid w:val="00EA50E5"/>
    <w:rsid w:val="00EA61A1"/>
    <w:rsid w:val="00EA64DD"/>
    <w:rsid w:val="00EB1908"/>
    <w:rsid w:val="00EB1D20"/>
    <w:rsid w:val="00EB20CB"/>
    <w:rsid w:val="00EB3BF6"/>
    <w:rsid w:val="00EB475A"/>
    <w:rsid w:val="00EB501A"/>
    <w:rsid w:val="00EB53E3"/>
    <w:rsid w:val="00EB5719"/>
    <w:rsid w:val="00EB589A"/>
    <w:rsid w:val="00EB6F9F"/>
    <w:rsid w:val="00EB730E"/>
    <w:rsid w:val="00EB7864"/>
    <w:rsid w:val="00EC3C2E"/>
    <w:rsid w:val="00EC47A2"/>
    <w:rsid w:val="00EC49FF"/>
    <w:rsid w:val="00EC4BD3"/>
    <w:rsid w:val="00EC6AD5"/>
    <w:rsid w:val="00EC77F5"/>
    <w:rsid w:val="00ED177A"/>
    <w:rsid w:val="00ED1E12"/>
    <w:rsid w:val="00ED2932"/>
    <w:rsid w:val="00ED2B7D"/>
    <w:rsid w:val="00ED4106"/>
    <w:rsid w:val="00EE1087"/>
    <w:rsid w:val="00EE169D"/>
    <w:rsid w:val="00EE1733"/>
    <w:rsid w:val="00EE1995"/>
    <w:rsid w:val="00EE3DC8"/>
    <w:rsid w:val="00EE5A33"/>
    <w:rsid w:val="00EE7994"/>
    <w:rsid w:val="00EE7C7A"/>
    <w:rsid w:val="00EE7D9B"/>
    <w:rsid w:val="00EF1323"/>
    <w:rsid w:val="00EF191B"/>
    <w:rsid w:val="00EF446C"/>
    <w:rsid w:val="00EF485A"/>
    <w:rsid w:val="00EF4F57"/>
    <w:rsid w:val="00EF560A"/>
    <w:rsid w:val="00EF7E3E"/>
    <w:rsid w:val="00F00633"/>
    <w:rsid w:val="00F00F6A"/>
    <w:rsid w:val="00F0186D"/>
    <w:rsid w:val="00F02D68"/>
    <w:rsid w:val="00F03547"/>
    <w:rsid w:val="00F05278"/>
    <w:rsid w:val="00F076AC"/>
    <w:rsid w:val="00F135A3"/>
    <w:rsid w:val="00F14180"/>
    <w:rsid w:val="00F14C1D"/>
    <w:rsid w:val="00F17179"/>
    <w:rsid w:val="00F1722D"/>
    <w:rsid w:val="00F200C2"/>
    <w:rsid w:val="00F20D19"/>
    <w:rsid w:val="00F234DA"/>
    <w:rsid w:val="00F23DBE"/>
    <w:rsid w:val="00F243EC"/>
    <w:rsid w:val="00F24DC3"/>
    <w:rsid w:val="00F2536B"/>
    <w:rsid w:val="00F2742D"/>
    <w:rsid w:val="00F307F5"/>
    <w:rsid w:val="00F334FF"/>
    <w:rsid w:val="00F3361E"/>
    <w:rsid w:val="00F35B36"/>
    <w:rsid w:val="00F35FD7"/>
    <w:rsid w:val="00F3673D"/>
    <w:rsid w:val="00F37688"/>
    <w:rsid w:val="00F37E62"/>
    <w:rsid w:val="00F404DB"/>
    <w:rsid w:val="00F41B61"/>
    <w:rsid w:val="00F43CC8"/>
    <w:rsid w:val="00F45092"/>
    <w:rsid w:val="00F451DE"/>
    <w:rsid w:val="00F466DF"/>
    <w:rsid w:val="00F4697C"/>
    <w:rsid w:val="00F5220F"/>
    <w:rsid w:val="00F52E4A"/>
    <w:rsid w:val="00F55DD0"/>
    <w:rsid w:val="00F564F7"/>
    <w:rsid w:val="00F619FB"/>
    <w:rsid w:val="00F63207"/>
    <w:rsid w:val="00F6422A"/>
    <w:rsid w:val="00F643FB"/>
    <w:rsid w:val="00F6741F"/>
    <w:rsid w:val="00F70746"/>
    <w:rsid w:val="00F70F8D"/>
    <w:rsid w:val="00F71C87"/>
    <w:rsid w:val="00F73017"/>
    <w:rsid w:val="00F737BF"/>
    <w:rsid w:val="00F73C47"/>
    <w:rsid w:val="00F7592B"/>
    <w:rsid w:val="00F7750F"/>
    <w:rsid w:val="00F77E99"/>
    <w:rsid w:val="00F80317"/>
    <w:rsid w:val="00F809B8"/>
    <w:rsid w:val="00F833F4"/>
    <w:rsid w:val="00F8369F"/>
    <w:rsid w:val="00F83B39"/>
    <w:rsid w:val="00F84D9B"/>
    <w:rsid w:val="00F85313"/>
    <w:rsid w:val="00F85A85"/>
    <w:rsid w:val="00F9067D"/>
    <w:rsid w:val="00F913F9"/>
    <w:rsid w:val="00F93C4B"/>
    <w:rsid w:val="00F93E33"/>
    <w:rsid w:val="00F94A08"/>
    <w:rsid w:val="00F94F61"/>
    <w:rsid w:val="00F952D7"/>
    <w:rsid w:val="00F97923"/>
    <w:rsid w:val="00F97A6C"/>
    <w:rsid w:val="00FA0876"/>
    <w:rsid w:val="00FA16F4"/>
    <w:rsid w:val="00FA26D7"/>
    <w:rsid w:val="00FA2FB0"/>
    <w:rsid w:val="00FA5844"/>
    <w:rsid w:val="00FB0900"/>
    <w:rsid w:val="00FB191A"/>
    <w:rsid w:val="00FB2153"/>
    <w:rsid w:val="00FB38EA"/>
    <w:rsid w:val="00FB48A0"/>
    <w:rsid w:val="00FB566C"/>
    <w:rsid w:val="00FC0FC0"/>
    <w:rsid w:val="00FC1143"/>
    <w:rsid w:val="00FC2976"/>
    <w:rsid w:val="00FC301E"/>
    <w:rsid w:val="00FC31F4"/>
    <w:rsid w:val="00FC48BF"/>
    <w:rsid w:val="00FC5162"/>
    <w:rsid w:val="00FC5530"/>
    <w:rsid w:val="00FC557A"/>
    <w:rsid w:val="00FD2D62"/>
    <w:rsid w:val="00FD3407"/>
    <w:rsid w:val="00FD3524"/>
    <w:rsid w:val="00FD35D5"/>
    <w:rsid w:val="00FD4561"/>
    <w:rsid w:val="00FD4634"/>
    <w:rsid w:val="00FD6C88"/>
    <w:rsid w:val="00FD734C"/>
    <w:rsid w:val="00FE1622"/>
    <w:rsid w:val="00FE3675"/>
    <w:rsid w:val="00FE452D"/>
    <w:rsid w:val="00FE4745"/>
    <w:rsid w:val="00FE7DA0"/>
    <w:rsid w:val="00FF0061"/>
    <w:rsid w:val="00FF15AD"/>
    <w:rsid w:val="00FF1CA7"/>
    <w:rsid w:val="00FF2325"/>
    <w:rsid w:val="00FF3F48"/>
    <w:rsid w:val="00FF54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2C1758"/>
  <w15:docId w15:val="{DD508094-BDB8-4259-AA17-6E3D65E5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26"/>
    <w:pPr>
      <w:spacing w:after="0" w:line="480" w:lineRule="auto"/>
      <w:jc w:val="both"/>
    </w:pPr>
    <w:rPr>
      <w:rFonts w:ascii="Verdana" w:eastAsia="Times New Roman" w:hAnsi="Verdana" w:cs="Times New Roman"/>
      <w:sz w:val="20"/>
      <w:szCs w:val="24"/>
      <w:lang w:eastAsia="en-GB"/>
    </w:rPr>
  </w:style>
  <w:style w:type="paragraph" w:styleId="Heading1">
    <w:name w:val="heading 1"/>
    <w:basedOn w:val="Normal"/>
    <w:next w:val="Normal"/>
    <w:link w:val="Heading1Char"/>
    <w:uiPriority w:val="9"/>
    <w:qFormat/>
    <w:rsid w:val="00804AFD"/>
    <w:pPr>
      <w:keepNext/>
      <w:keepLines/>
      <w:spacing w:before="720" w:after="36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804AFD"/>
    <w:pPr>
      <w:keepNext/>
      <w:keepLines/>
      <w:spacing w:before="360"/>
      <w:outlineLvl w:val="1"/>
    </w:pPr>
    <w:rPr>
      <w:rFonts w:eastAsiaTheme="majorEastAsia" w:cstheme="majorBidi"/>
      <w:bCs/>
      <w:i/>
      <w:color w:val="000000" w:themeColor="text1"/>
      <w:szCs w:val="26"/>
    </w:rPr>
  </w:style>
  <w:style w:type="paragraph" w:styleId="Heading4">
    <w:name w:val="heading 4"/>
    <w:basedOn w:val="Normal"/>
    <w:link w:val="Heading4Char"/>
    <w:uiPriority w:val="9"/>
    <w:qFormat/>
    <w:rsid w:val="00091DCB"/>
    <w:pPr>
      <w:spacing w:before="332" w:after="166"/>
      <w:outlineLvl w:val="3"/>
    </w:pPr>
    <w:rPr>
      <w:rFonts w:ascii="Times New Roman" w:hAnsi="Times New Roman"/>
      <w:b/>
      <w:bCs/>
      <w:color w:val="5933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1DCB"/>
    <w:rPr>
      <w:rFonts w:ascii="Times New Roman" w:eastAsia="Times New Roman" w:hAnsi="Times New Roman" w:cs="Times New Roman"/>
      <w:b/>
      <w:bCs/>
      <w:color w:val="59331F"/>
      <w:sz w:val="24"/>
      <w:szCs w:val="24"/>
      <w:lang w:eastAsia="en-GB"/>
    </w:rPr>
  </w:style>
  <w:style w:type="paragraph" w:styleId="NormalWeb">
    <w:name w:val="Normal (Web)"/>
    <w:basedOn w:val="Normal"/>
    <w:uiPriority w:val="99"/>
    <w:semiHidden/>
    <w:unhideWhenUsed/>
    <w:rsid w:val="00091DCB"/>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4A00D4"/>
    <w:rPr>
      <w:rFonts w:ascii="Tahoma" w:hAnsi="Tahoma" w:cs="Tahoma"/>
      <w:sz w:val="16"/>
      <w:szCs w:val="16"/>
    </w:rPr>
  </w:style>
  <w:style w:type="character" w:customStyle="1" w:styleId="BalloonTextChar">
    <w:name w:val="Balloon Text Char"/>
    <w:basedOn w:val="DefaultParagraphFont"/>
    <w:link w:val="BalloonText"/>
    <w:uiPriority w:val="99"/>
    <w:semiHidden/>
    <w:rsid w:val="004A00D4"/>
    <w:rPr>
      <w:rFonts w:ascii="Tahoma" w:eastAsia="Times New Roman" w:hAnsi="Tahoma" w:cs="Tahoma"/>
      <w:sz w:val="16"/>
      <w:szCs w:val="16"/>
      <w:lang w:eastAsia="en-GB"/>
    </w:rPr>
  </w:style>
  <w:style w:type="paragraph" w:styleId="Title">
    <w:name w:val="Title"/>
    <w:basedOn w:val="Normal"/>
    <w:link w:val="TitleChar"/>
    <w:qFormat/>
    <w:rsid w:val="00F619FB"/>
    <w:pPr>
      <w:jc w:val="center"/>
    </w:pPr>
    <w:rPr>
      <w:b/>
      <w:szCs w:val="20"/>
      <w:lang w:eastAsia="en-US"/>
    </w:rPr>
  </w:style>
  <w:style w:type="character" w:customStyle="1" w:styleId="TitleChar">
    <w:name w:val="Title Char"/>
    <w:basedOn w:val="DefaultParagraphFont"/>
    <w:link w:val="Title"/>
    <w:rsid w:val="00F619FB"/>
    <w:rPr>
      <w:rFonts w:ascii="Verdana" w:eastAsia="Times New Roman" w:hAnsi="Verdana" w:cs="Times New Roman"/>
      <w:b/>
      <w:sz w:val="20"/>
      <w:szCs w:val="20"/>
    </w:rPr>
  </w:style>
  <w:style w:type="character" w:styleId="CommentReference">
    <w:name w:val="annotation reference"/>
    <w:basedOn w:val="DefaultParagraphFont"/>
    <w:uiPriority w:val="99"/>
    <w:rsid w:val="003A46DB"/>
    <w:rPr>
      <w:sz w:val="16"/>
      <w:szCs w:val="16"/>
    </w:rPr>
  </w:style>
  <w:style w:type="paragraph" w:styleId="CommentText">
    <w:name w:val="annotation text"/>
    <w:basedOn w:val="Normal"/>
    <w:link w:val="CommentTextChar"/>
    <w:uiPriority w:val="99"/>
    <w:rsid w:val="003A46DB"/>
    <w:rPr>
      <w:rFonts w:ascii="Times New Roman" w:hAnsi="Times New Roman"/>
      <w:szCs w:val="20"/>
      <w:lang w:val="en-US" w:eastAsia="en-US"/>
    </w:rPr>
  </w:style>
  <w:style w:type="character" w:customStyle="1" w:styleId="CommentTextChar">
    <w:name w:val="Comment Text Char"/>
    <w:basedOn w:val="DefaultParagraphFont"/>
    <w:link w:val="CommentText"/>
    <w:uiPriority w:val="99"/>
    <w:rsid w:val="003A46D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32E6"/>
    <w:rPr>
      <w:rFonts w:ascii="Verdana" w:hAnsi="Verdana"/>
      <w:b/>
      <w:bCs/>
      <w:lang w:val="en-GB" w:eastAsia="en-GB"/>
    </w:rPr>
  </w:style>
  <w:style w:type="character" w:customStyle="1" w:styleId="CommentSubjectChar">
    <w:name w:val="Comment Subject Char"/>
    <w:basedOn w:val="CommentTextChar"/>
    <w:link w:val="CommentSubject"/>
    <w:uiPriority w:val="99"/>
    <w:semiHidden/>
    <w:rsid w:val="005232E6"/>
    <w:rPr>
      <w:rFonts w:ascii="Verdana" w:eastAsia="Times New Roman" w:hAnsi="Verdana" w:cs="Times New Roman"/>
      <w:b/>
      <w:bCs/>
      <w:sz w:val="20"/>
      <w:szCs w:val="20"/>
      <w:lang w:val="en-US" w:eastAsia="en-GB"/>
    </w:rPr>
  </w:style>
  <w:style w:type="paragraph" w:styleId="ListParagraph">
    <w:name w:val="List Paragraph"/>
    <w:basedOn w:val="Normal"/>
    <w:uiPriority w:val="34"/>
    <w:qFormat/>
    <w:rsid w:val="00122C83"/>
    <w:pPr>
      <w:ind w:left="720"/>
      <w:contextualSpacing/>
    </w:pPr>
  </w:style>
  <w:style w:type="character" w:customStyle="1" w:styleId="Heading2Char">
    <w:name w:val="Heading 2 Char"/>
    <w:basedOn w:val="DefaultParagraphFont"/>
    <w:link w:val="Heading2"/>
    <w:uiPriority w:val="9"/>
    <w:rsid w:val="00804AFD"/>
    <w:rPr>
      <w:rFonts w:ascii="Verdana" w:eastAsiaTheme="majorEastAsia" w:hAnsi="Verdana" w:cstheme="majorBidi"/>
      <w:bCs/>
      <w:i/>
      <w:color w:val="000000" w:themeColor="text1"/>
      <w:sz w:val="20"/>
      <w:szCs w:val="26"/>
      <w:lang w:eastAsia="en-GB"/>
    </w:rPr>
  </w:style>
  <w:style w:type="character" w:customStyle="1" w:styleId="Heading1Char">
    <w:name w:val="Heading 1 Char"/>
    <w:basedOn w:val="DefaultParagraphFont"/>
    <w:link w:val="Heading1"/>
    <w:uiPriority w:val="9"/>
    <w:rsid w:val="00804AFD"/>
    <w:rPr>
      <w:rFonts w:ascii="Verdana" w:eastAsiaTheme="majorEastAsia" w:hAnsi="Verdana" w:cstheme="majorBidi"/>
      <w:b/>
      <w:bCs/>
      <w:color w:val="000000" w:themeColor="text1"/>
      <w:sz w:val="20"/>
      <w:szCs w:val="28"/>
      <w:lang w:eastAsia="en-GB"/>
    </w:rPr>
  </w:style>
  <w:style w:type="character" w:styleId="Emphasis">
    <w:name w:val="Emphasis"/>
    <w:basedOn w:val="DefaultParagraphFont"/>
    <w:uiPriority w:val="20"/>
    <w:qFormat/>
    <w:rsid w:val="00E03FC0"/>
    <w:rPr>
      <w:i/>
      <w:iCs/>
      <w:sz w:val="24"/>
      <w:szCs w:val="24"/>
      <w:bdr w:val="none" w:sz="0" w:space="0" w:color="auto" w:frame="1"/>
      <w:vertAlign w:val="baseline"/>
    </w:rPr>
  </w:style>
  <w:style w:type="table" w:styleId="TableGrid">
    <w:name w:val="Table Grid"/>
    <w:basedOn w:val="TableNormal"/>
    <w:uiPriority w:val="39"/>
    <w:rsid w:val="00DF0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A0E"/>
    <w:pPr>
      <w:spacing w:after="0" w:line="240" w:lineRule="auto"/>
    </w:pPr>
    <w:rPr>
      <w:rFonts w:ascii="Verdana" w:eastAsia="Times New Roman" w:hAnsi="Verdana" w:cs="Times New Roman"/>
      <w:sz w:val="20"/>
      <w:szCs w:val="24"/>
      <w:lang w:eastAsia="en-GB"/>
    </w:rPr>
  </w:style>
  <w:style w:type="paragraph" w:styleId="Header">
    <w:name w:val="header"/>
    <w:basedOn w:val="Normal"/>
    <w:link w:val="HeaderChar"/>
    <w:uiPriority w:val="99"/>
    <w:unhideWhenUsed/>
    <w:rsid w:val="00252D12"/>
    <w:pPr>
      <w:tabs>
        <w:tab w:val="center" w:pos="4513"/>
        <w:tab w:val="right" w:pos="9026"/>
      </w:tabs>
      <w:spacing w:line="240" w:lineRule="auto"/>
    </w:pPr>
  </w:style>
  <w:style w:type="character" w:customStyle="1" w:styleId="HeaderChar">
    <w:name w:val="Header Char"/>
    <w:basedOn w:val="DefaultParagraphFont"/>
    <w:link w:val="Header"/>
    <w:uiPriority w:val="99"/>
    <w:rsid w:val="00252D12"/>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252D12"/>
    <w:pPr>
      <w:tabs>
        <w:tab w:val="center" w:pos="4513"/>
        <w:tab w:val="right" w:pos="9026"/>
      </w:tabs>
      <w:spacing w:line="240" w:lineRule="auto"/>
    </w:pPr>
  </w:style>
  <w:style w:type="character" w:customStyle="1" w:styleId="FooterChar">
    <w:name w:val="Footer Char"/>
    <w:basedOn w:val="DefaultParagraphFont"/>
    <w:link w:val="Footer"/>
    <w:uiPriority w:val="99"/>
    <w:rsid w:val="00252D12"/>
    <w:rPr>
      <w:rFonts w:ascii="Verdana" w:eastAsia="Times New Roman" w:hAnsi="Verdana" w:cs="Times New Roman"/>
      <w:sz w:val="20"/>
      <w:szCs w:val="24"/>
      <w:lang w:eastAsia="en-GB"/>
    </w:rPr>
  </w:style>
  <w:style w:type="character" w:styleId="Hyperlink">
    <w:name w:val="Hyperlink"/>
    <w:basedOn w:val="DefaultParagraphFont"/>
    <w:uiPriority w:val="99"/>
    <w:unhideWhenUsed/>
    <w:rsid w:val="007D1AEC"/>
    <w:rPr>
      <w:color w:val="0000FF"/>
      <w:u w:val="single"/>
    </w:rPr>
  </w:style>
  <w:style w:type="character" w:customStyle="1" w:styleId="slug-vol">
    <w:name w:val="slug-vol"/>
    <w:basedOn w:val="DefaultParagraphFont"/>
    <w:rsid w:val="00456DEF"/>
  </w:style>
  <w:style w:type="character" w:customStyle="1" w:styleId="slug-issue">
    <w:name w:val="slug-issue"/>
    <w:basedOn w:val="DefaultParagraphFont"/>
    <w:rsid w:val="00456DEF"/>
  </w:style>
  <w:style w:type="character" w:customStyle="1" w:styleId="hidden1">
    <w:name w:val="hidden1"/>
    <w:basedOn w:val="DefaultParagraphFont"/>
    <w:rsid w:val="003D7704"/>
  </w:style>
  <w:style w:type="paragraph" w:styleId="FootnoteText">
    <w:name w:val="footnote text"/>
    <w:basedOn w:val="Normal"/>
    <w:link w:val="FootnoteTextChar"/>
    <w:uiPriority w:val="99"/>
    <w:semiHidden/>
    <w:unhideWhenUsed/>
    <w:rsid w:val="003B2E91"/>
    <w:pPr>
      <w:spacing w:line="240" w:lineRule="auto"/>
    </w:pPr>
    <w:rPr>
      <w:szCs w:val="20"/>
    </w:rPr>
  </w:style>
  <w:style w:type="character" w:customStyle="1" w:styleId="FootnoteTextChar">
    <w:name w:val="Footnote Text Char"/>
    <w:basedOn w:val="DefaultParagraphFont"/>
    <w:link w:val="FootnoteText"/>
    <w:uiPriority w:val="99"/>
    <w:semiHidden/>
    <w:rsid w:val="003B2E91"/>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3B2E91"/>
    <w:rPr>
      <w:vertAlign w:val="superscript"/>
    </w:rPr>
  </w:style>
  <w:style w:type="character" w:styleId="PlaceholderText">
    <w:name w:val="Placeholder Text"/>
    <w:basedOn w:val="DefaultParagraphFont"/>
    <w:uiPriority w:val="99"/>
    <w:semiHidden/>
    <w:rsid w:val="00B43ADA"/>
    <w:rPr>
      <w:color w:val="808080"/>
    </w:rPr>
  </w:style>
  <w:style w:type="character" w:styleId="LineNumber">
    <w:name w:val="line number"/>
    <w:basedOn w:val="DefaultParagraphFont"/>
    <w:uiPriority w:val="99"/>
    <w:semiHidden/>
    <w:unhideWhenUsed/>
    <w:rsid w:val="00DE0AF3"/>
  </w:style>
  <w:style w:type="character" w:customStyle="1" w:styleId="label1">
    <w:name w:val="label1"/>
    <w:basedOn w:val="DefaultParagraphFont"/>
    <w:rsid w:val="00CB5A0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270">
      <w:bodyDiv w:val="1"/>
      <w:marLeft w:val="0"/>
      <w:marRight w:val="0"/>
      <w:marTop w:val="0"/>
      <w:marBottom w:val="0"/>
      <w:divBdr>
        <w:top w:val="none" w:sz="0" w:space="0" w:color="auto"/>
        <w:left w:val="none" w:sz="0" w:space="0" w:color="auto"/>
        <w:bottom w:val="none" w:sz="0" w:space="0" w:color="auto"/>
        <w:right w:val="none" w:sz="0" w:space="0" w:color="auto"/>
      </w:divBdr>
    </w:div>
    <w:div w:id="369645139">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sChild>
        <w:div w:id="1905411851">
          <w:marLeft w:val="0"/>
          <w:marRight w:val="0"/>
          <w:marTop w:val="0"/>
          <w:marBottom w:val="0"/>
          <w:divBdr>
            <w:top w:val="none" w:sz="0" w:space="0" w:color="auto"/>
            <w:left w:val="none" w:sz="0" w:space="0" w:color="auto"/>
            <w:bottom w:val="none" w:sz="0" w:space="0" w:color="auto"/>
            <w:right w:val="none" w:sz="0" w:space="0" w:color="auto"/>
          </w:divBdr>
          <w:divsChild>
            <w:div w:id="1257136338">
              <w:marLeft w:val="0"/>
              <w:marRight w:val="0"/>
              <w:marTop w:val="0"/>
              <w:marBottom w:val="0"/>
              <w:divBdr>
                <w:top w:val="none" w:sz="0" w:space="0" w:color="auto"/>
                <w:left w:val="none" w:sz="0" w:space="0" w:color="auto"/>
                <w:bottom w:val="none" w:sz="0" w:space="0" w:color="auto"/>
                <w:right w:val="none" w:sz="0" w:space="0" w:color="auto"/>
              </w:divBdr>
              <w:divsChild>
                <w:div w:id="298388496">
                  <w:marLeft w:val="0"/>
                  <w:marRight w:val="0"/>
                  <w:marTop w:val="0"/>
                  <w:marBottom w:val="0"/>
                  <w:divBdr>
                    <w:top w:val="none" w:sz="0" w:space="0" w:color="auto"/>
                    <w:left w:val="none" w:sz="0" w:space="0" w:color="auto"/>
                    <w:bottom w:val="none" w:sz="0" w:space="0" w:color="auto"/>
                    <w:right w:val="none" w:sz="0" w:space="0" w:color="auto"/>
                  </w:divBdr>
                  <w:divsChild>
                    <w:div w:id="735126090">
                      <w:marLeft w:val="0"/>
                      <w:marRight w:val="0"/>
                      <w:marTop w:val="0"/>
                      <w:marBottom w:val="0"/>
                      <w:divBdr>
                        <w:top w:val="none" w:sz="0" w:space="0" w:color="auto"/>
                        <w:left w:val="none" w:sz="0" w:space="0" w:color="auto"/>
                        <w:bottom w:val="none" w:sz="0" w:space="0" w:color="auto"/>
                        <w:right w:val="none" w:sz="0" w:space="0" w:color="auto"/>
                      </w:divBdr>
                      <w:divsChild>
                        <w:div w:id="581372536">
                          <w:marLeft w:val="0"/>
                          <w:marRight w:val="0"/>
                          <w:marTop w:val="0"/>
                          <w:marBottom w:val="0"/>
                          <w:divBdr>
                            <w:top w:val="none" w:sz="0" w:space="0" w:color="auto"/>
                            <w:left w:val="none" w:sz="0" w:space="0" w:color="auto"/>
                            <w:bottom w:val="none" w:sz="0" w:space="0" w:color="auto"/>
                            <w:right w:val="none" w:sz="0" w:space="0" w:color="auto"/>
                          </w:divBdr>
                          <w:divsChild>
                            <w:div w:id="1260287916">
                              <w:marLeft w:val="0"/>
                              <w:marRight w:val="0"/>
                              <w:marTop w:val="0"/>
                              <w:marBottom w:val="0"/>
                              <w:divBdr>
                                <w:top w:val="none" w:sz="0" w:space="0" w:color="auto"/>
                                <w:left w:val="none" w:sz="0" w:space="0" w:color="auto"/>
                                <w:bottom w:val="none" w:sz="0" w:space="0" w:color="auto"/>
                                <w:right w:val="none" w:sz="0" w:space="0" w:color="auto"/>
                              </w:divBdr>
                              <w:divsChild>
                                <w:div w:id="5598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739036">
      <w:bodyDiv w:val="1"/>
      <w:marLeft w:val="0"/>
      <w:marRight w:val="0"/>
      <w:marTop w:val="0"/>
      <w:marBottom w:val="0"/>
      <w:divBdr>
        <w:top w:val="none" w:sz="0" w:space="0" w:color="auto"/>
        <w:left w:val="none" w:sz="0" w:space="0" w:color="auto"/>
        <w:bottom w:val="none" w:sz="0" w:space="0" w:color="auto"/>
        <w:right w:val="none" w:sz="0" w:space="0" w:color="auto"/>
      </w:divBdr>
    </w:div>
    <w:div w:id="576596216">
      <w:bodyDiv w:val="1"/>
      <w:marLeft w:val="0"/>
      <w:marRight w:val="0"/>
      <w:marTop w:val="0"/>
      <w:marBottom w:val="0"/>
      <w:divBdr>
        <w:top w:val="none" w:sz="0" w:space="0" w:color="auto"/>
        <w:left w:val="none" w:sz="0" w:space="0" w:color="auto"/>
        <w:bottom w:val="none" w:sz="0" w:space="0" w:color="auto"/>
        <w:right w:val="none" w:sz="0" w:space="0" w:color="auto"/>
      </w:divBdr>
      <w:divsChild>
        <w:div w:id="1841853292">
          <w:marLeft w:val="0"/>
          <w:marRight w:val="0"/>
          <w:marTop w:val="0"/>
          <w:marBottom w:val="0"/>
          <w:divBdr>
            <w:top w:val="none" w:sz="0" w:space="0" w:color="auto"/>
            <w:left w:val="none" w:sz="0" w:space="0" w:color="auto"/>
            <w:bottom w:val="none" w:sz="0" w:space="0" w:color="auto"/>
            <w:right w:val="none" w:sz="0" w:space="0" w:color="auto"/>
          </w:divBdr>
          <w:divsChild>
            <w:div w:id="640042118">
              <w:marLeft w:val="0"/>
              <w:marRight w:val="0"/>
              <w:marTop w:val="0"/>
              <w:marBottom w:val="0"/>
              <w:divBdr>
                <w:top w:val="none" w:sz="0" w:space="0" w:color="auto"/>
                <w:left w:val="none" w:sz="0" w:space="0" w:color="auto"/>
                <w:bottom w:val="none" w:sz="0" w:space="0" w:color="auto"/>
                <w:right w:val="none" w:sz="0" w:space="0" w:color="auto"/>
              </w:divBdr>
              <w:divsChild>
                <w:div w:id="84225795">
                  <w:marLeft w:val="0"/>
                  <w:marRight w:val="0"/>
                  <w:marTop w:val="0"/>
                  <w:marBottom w:val="0"/>
                  <w:divBdr>
                    <w:top w:val="none" w:sz="0" w:space="0" w:color="auto"/>
                    <w:left w:val="none" w:sz="0" w:space="0" w:color="auto"/>
                    <w:bottom w:val="none" w:sz="0" w:space="0" w:color="auto"/>
                    <w:right w:val="none" w:sz="0" w:space="0" w:color="auto"/>
                  </w:divBdr>
                  <w:divsChild>
                    <w:div w:id="1527061012">
                      <w:marLeft w:val="0"/>
                      <w:marRight w:val="0"/>
                      <w:marTop w:val="0"/>
                      <w:marBottom w:val="0"/>
                      <w:divBdr>
                        <w:top w:val="none" w:sz="0" w:space="0" w:color="auto"/>
                        <w:left w:val="none" w:sz="0" w:space="0" w:color="auto"/>
                        <w:bottom w:val="none" w:sz="0" w:space="0" w:color="auto"/>
                        <w:right w:val="none" w:sz="0" w:space="0" w:color="auto"/>
                      </w:divBdr>
                      <w:divsChild>
                        <w:div w:id="2001813594">
                          <w:marLeft w:val="0"/>
                          <w:marRight w:val="0"/>
                          <w:marTop w:val="0"/>
                          <w:marBottom w:val="0"/>
                          <w:divBdr>
                            <w:top w:val="none" w:sz="0" w:space="0" w:color="auto"/>
                            <w:left w:val="none" w:sz="0" w:space="0" w:color="auto"/>
                            <w:bottom w:val="none" w:sz="0" w:space="0" w:color="auto"/>
                            <w:right w:val="none" w:sz="0" w:space="0" w:color="auto"/>
                          </w:divBdr>
                          <w:divsChild>
                            <w:div w:id="1817799627">
                              <w:marLeft w:val="0"/>
                              <w:marRight w:val="0"/>
                              <w:marTop w:val="0"/>
                              <w:marBottom w:val="0"/>
                              <w:divBdr>
                                <w:top w:val="none" w:sz="0" w:space="0" w:color="auto"/>
                                <w:left w:val="none" w:sz="0" w:space="0" w:color="auto"/>
                                <w:bottom w:val="none" w:sz="0" w:space="0" w:color="auto"/>
                                <w:right w:val="none" w:sz="0" w:space="0" w:color="auto"/>
                              </w:divBdr>
                              <w:divsChild>
                                <w:div w:id="13256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125665">
      <w:bodyDiv w:val="1"/>
      <w:marLeft w:val="0"/>
      <w:marRight w:val="0"/>
      <w:marTop w:val="0"/>
      <w:marBottom w:val="0"/>
      <w:divBdr>
        <w:top w:val="none" w:sz="0" w:space="0" w:color="auto"/>
        <w:left w:val="none" w:sz="0" w:space="0" w:color="auto"/>
        <w:bottom w:val="none" w:sz="0" w:space="0" w:color="auto"/>
        <w:right w:val="none" w:sz="0" w:space="0" w:color="auto"/>
      </w:divBdr>
      <w:divsChild>
        <w:div w:id="1220440580">
          <w:marLeft w:val="0"/>
          <w:marRight w:val="0"/>
          <w:marTop w:val="0"/>
          <w:marBottom w:val="0"/>
          <w:divBdr>
            <w:top w:val="none" w:sz="0" w:space="0" w:color="auto"/>
            <w:left w:val="none" w:sz="0" w:space="0" w:color="auto"/>
            <w:bottom w:val="none" w:sz="0" w:space="0" w:color="auto"/>
            <w:right w:val="none" w:sz="0" w:space="0" w:color="auto"/>
          </w:divBdr>
          <w:divsChild>
            <w:div w:id="887959007">
              <w:marLeft w:val="0"/>
              <w:marRight w:val="0"/>
              <w:marTop w:val="0"/>
              <w:marBottom w:val="0"/>
              <w:divBdr>
                <w:top w:val="none" w:sz="0" w:space="0" w:color="auto"/>
                <w:left w:val="none" w:sz="0" w:space="0" w:color="auto"/>
                <w:bottom w:val="none" w:sz="0" w:space="0" w:color="auto"/>
                <w:right w:val="none" w:sz="0" w:space="0" w:color="auto"/>
              </w:divBdr>
              <w:divsChild>
                <w:div w:id="802843800">
                  <w:marLeft w:val="0"/>
                  <w:marRight w:val="0"/>
                  <w:marTop w:val="0"/>
                  <w:marBottom w:val="0"/>
                  <w:divBdr>
                    <w:top w:val="none" w:sz="0" w:space="0" w:color="auto"/>
                    <w:left w:val="none" w:sz="0" w:space="0" w:color="auto"/>
                    <w:bottom w:val="none" w:sz="0" w:space="0" w:color="auto"/>
                    <w:right w:val="none" w:sz="0" w:space="0" w:color="auto"/>
                  </w:divBdr>
                  <w:divsChild>
                    <w:div w:id="1081682338">
                      <w:marLeft w:val="0"/>
                      <w:marRight w:val="0"/>
                      <w:marTop w:val="0"/>
                      <w:marBottom w:val="0"/>
                      <w:divBdr>
                        <w:top w:val="none" w:sz="0" w:space="0" w:color="auto"/>
                        <w:left w:val="none" w:sz="0" w:space="0" w:color="auto"/>
                        <w:bottom w:val="none" w:sz="0" w:space="0" w:color="auto"/>
                        <w:right w:val="none" w:sz="0" w:space="0" w:color="auto"/>
                      </w:divBdr>
                      <w:divsChild>
                        <w:div w:id="1121191307">
                          <w:marLeft w:val="0"/>
                          <w:marRight w:val="0"/>
                          <w:marTop w:val="0"/>
                          <w:marBottom w:val="0"/>
                          <w:divBdr>
                            <w:top w:val="none" w:sz="0" w:space="0" w:color="auto"/>
                            <w:left w:val="none" w:sz="0" w:space="0" w:color="auto"/>
                            <w:bottom w:val="none" w:sz="0" w:space="0" w:color="auto"/>
                            <w:right w:val="none" w:sz="0" w:space="0" w:color="auto"/>
                          </w:divBdr>
                          <w:divsChild>
                            <w:div w:id="1409763395">
                              <w:marLeft w:val="0"/>
                              <w:marRight w:val="0"/>
                              <w:marTop w:val="0"/>
                              <w:marBottom w:val="0"/>
                              <w:divBdr>
                                <w:top w:val="none" w:sz="0" w:space="0" w:color="auto"/>
                                <w:left w:val="none" w:sz="0" w:space="0" w:color="auto"/>
                                <w:bottom w:val="none" w:sz="0" w:space="0" w:color="auto"/>
                                <w:right w:val="none" w:sz="0" w:space="0" w:color="auto"/>
                              </w:divBdr>
                              <w:divsChild>
                                <w:div w:id="4394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083817">
      <w:bodyDiv w:val="1"/>
      <w:marLeft w:val="0"/>
      <w:marRight w:val="0"/>
      <w:marTop w:val="0"/>
      <w:marBottom w:val="0"/>
      <w:divBdr>
        <w:top w:val="none" w:sz="0" w:space="0" w:color="auto"/>
        <w:left w:val="none" w:sz="0" w:space="0" w:color="auto"/>
        <w:bottom w:val="none" w:sz="0" w:space="0" w:color="auto"/>
        <w:right w:val="none" w:sz="0" w:space="0" w:color="auto"/>
      </w:divBdr>
    </w:div>
    <w:div w:id="635992570">
      <w:bodyDiv w:val="1"/>
      <w:marLeft w:val="0"/>
      <w:marRight w:val="0"/>
      <w:marTop w:val="0"/>
      <w:marBottom w:val="0"/>
      <w:divBdr>
        <w:top w:val="none" w:sz="0" w:space="0" w:color="auto"/>
        <w:left w:val="none" w:sz="0" w:space="0" w:color="auto"/>
        <w:bottom w:val="none" w:sz="0" w:space="0" w:color="auto"/>
        <w:right w:val="none" w:sz="0" w:space="0" w:color="auto"/>
      </w:divBdr>
    </w:div>
    <w:div w:id="702487961">
      <w:bodyDiv w:val="1"/>
      <w:marLeft w:val="0"/>
      <w:marRight w:val="0"/>
      <w:marTop w:val="0"/>
      <w:marBottom w:val="0"/>
      <w:divBdr>
        <w:top w:val="none" w:sz="0" w:space="0" w:color="auto"/>
        <w:left w:val="none" w:sz="0" w:space="0" w:color="auto"/>
        <w:bottom w:val="none" w:sz="0" w:space="0" w:color="auto"/>
        <w:right w:val="none" w:sz="0" w:space="0" w:color="auto"/>
      </w:divBdr>
    </w:div>
    <w:div w:id="729115016">
      <w:bodyDiv w:val="1"/>
      <w:marLeft w:val="0"/>
      <w:marRight w:val="0"/>
      <w:marTop w:val="0"/>
      <w:marBottom w:val="0"/>
      <w:divBdr>
        <w:top w:val="none" w:sz="0" w:space="0" w:color="auto"/>
        <w:left w:val="none" w:sz="0" w:space="0" w:color="auto"/>
        <w:bottom w:val="none" w:sz="0" w:space="0" w:color="auto"/>
        <w:right w:val="none" w:sz="0" w:space="0" w:color="auto"/>
      </w:divBdr>
      <w:divsChild>
        <w:div w:id="534774171">
          <w:marLeft w:val="0"/>
          <w:marRight w:val="0"/>
          <w:marTop w:val="0"/>
          <w:marBottom w:val="0"/>
          <w:divBdr>
            <w:top w:val="none" w:sz="0" w:space="0" w:color="auto"/>
            <w:left w:val="none" w:sz="0" w:space="0" w:color="auto"/>
            <w:bottom w:val="none" w:sz="0" w:space="0" w:color="auto"/>
            <w:right w:val="none" w:sz="0" w:space="0" w:color="auto"/>
          </w:divBdr>
          <w:divsChild>
            <w:div w:id="213929133">
              <w:marLeft w:val="0"/>
              <w:marRight w:val="0"/>
              <w:marTop w:val="0"/>
              <w:marBottom w:val="0"/>
              <w:divBdr>
                <w:top w:val="none" w:sz="0" w:space="0" w:color="auto"/>
                <w:left w:val="none" w:sz="0" w:space="0" w:color="auto"/>
                <w:bottom w:val="none" w:sz="0" w:space="0" w:color="auto"/>
                <w:right w:val="none" w:sz="0" w:space="0" w:color="auto"/>
              </w:divBdr>
              <w:divsChild>
                <w:div w:id="497886775">
                  <w:marLeft w:val="0"/>
                  <w:marRight w:val="0"/>
                  <w:marTop w:val="0"/>
                  <w:marBottom w:val="0"/>
                  <w:divBdr>
                    <w:top w:val="none" w:sz="0" w:space="0" w:color="auto"/>
                    <w:left w:val="none" w:sz="0" w:space="0" w:color="auto"/>
                    <w:bottom w:val="none" w:sz="0" w:space="0" w:color="auto"/>
                    <w:right w:val="none" w:sz="0" w:space="0" w:color="auto"/>
                  </w:divBdr>
                  <w:divsChild>
                    <w:div w:id="267541441">
                      <w:marLeft w:val="0"/>
                      <w:marRight w:val="0"/>
                      <w:marTop w:val="0"/>
                      <w:marBottom w:val="0"/>
                      <w:divBdr>
                        <w:top w:val="none" w:sz="0" w:space="0" w:color="auto"/>
                        <w:left w:val="none" w:sz="0" w:space="0" w:color="auto"/>
                        <w:bottom w:val="none" w:sz="0" w:space="0" w:color="auto"/>
                        <w:right w:val="none" w:sz="0" w:space="0" w:color="auto"/>
                      </w:divBdr>
                      <w:divsChild>
                        <w:div w:id="1701007373">
                          <w:marLeft w:val="0"/>
                          <w:marRight w:val="0"/>
                          <w:marTop w:val="0"/>
                          <w:marBottom w:val="0"/>
                          <w:divBdr>
                            <w:top w:val="none" w:sz="0" w:space="0" w:color="auto"/>
                            <w:left w:val="none" w:sz="0" w:space="0" w:color="auto"/>
                            <w:bottom w:val="none" w:sz="0" w:space="0" w:color="auto"/>
                            <w:right w:val="none" w:sz="0" w:space="0" w:color="auto"/>
                          </w:divBdr>
                          <w:divsChild>
                            <w:div w:id="1396271611">
                              <w:marLeft w:val="0"/>
                              <w:marRight w:val="0"/>
                              <w:marTop w:val="0"/>
                              <w:marBottom w:val="0"/>
                              <w:divBdr>
                                <w:top w:val="none" w:sz="0" w:space="0" w:color="auto"/>
                                <w:left w:val="none" w:sz="0" w:space="0" w:color="auto"/>
                                <w:bottom w:val="none" w:sz="0" w:space="0" w:color="auto"/>
                                <w:right w:val="none" w:sz="0" w:space="0" w:color="auto"/>
                              </w:divBdr>
                              <w:divsChild>
                                <w:div w:id="18867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695938">
      <w:bodyDiv w:val="1"/>
      <w:marLeft w:val="0"/>
      <w:marRight w:val="0"/>
      <w:marTop w:val="0"/>
      <w:marBottom w:val="0"/>
      <w:divBdr>
        <w:top w:val="none" w:sz="0" w:space="0" w:color="auto"/>
        <w:left w:val="none" w:sz="0" w:space="0" w:color="auto"/>
        <w:bottom w:val="none" w:sz="0" w:space="0" w:color="auto"/>
        <w:right w:val="none" w:sz="0" w:space="0" w:color="auto"/>
      </w:divBdr>
    </w:div>
    <w:div w:id="863056299">
      <w:bodyDiv w:val="1"/>
      <w:marLeft w:val="0"/>
      <w:marRight w:val="0"/>
      <w:marTop w:val="0"/>
      <w:marBottom w:val="0"/>
      <w:divBdr>
        <w:top w:val="none" w:sz="0" w:space="0" w:color="auto"/>
        <w:left w:val="none" w:sz="0" w:space="0" w:color="auto"/>
        <w:bottom w:val="none" w:sz="0" w:space="0" w:color="auto"/>
        <w:right w:val="none" w:sz="0" w:space="0" w:color="auto"/>
      </w:divBdr>
      <w:divsChild>
        <w:div w:id="1699551799">
          <w:marLeft w:val="0"/>
          <w:marRight w:val="0"/>
          <w:marTop w:val="0"/>
          <w:marBottom w:val="0"/>
          <w:divBdr>
            <w:top w:val="single" w:sz="2" w:space="0" w:color="2E2E2E"/>
            <w:left w:val="single" w:sz="2" w:space="0" w:color="2E2E2E"/>
            <w:bottom w:val="single" w:sz="2" w:space="0" w:color="2E2E2E"/>
            <w:right w:val="single" w:sz="2" w:space="0" w:color="2E2E2E"/>
          </w:divBdr>
          <w:divsChild>
            <w:div w:id="320551305">
              <w:marLeft w:val="0"/>
              <w:marRight w:val="0"/>
              <w:marTop w:val="0"/>
              <w:marBottom w:val="0"/>
              <w:divBdr>
                <w:top w:val="single" w:sz="6" w:space="0" w:color="C9C9C9"/>
                <w:left w:val="none" w:sz="0" w:space="0" w:color="auto"/>
                <w:bottom w:val="none" w:sz="0" w:space="0" w:color="auto"/>
                <w:right w:val="none" w:sz="0" w:space="0" w:color="auto"/>
              </w:divBdr>
              <w:divsChild>
                <w:div w:id="262736460">
                  <w:marLeft w:val="0"/>
                  <w:marRight w:val="0"/>
                  <w:marTop w:val="0"/>
                  <w:marBottom w:val="0"/>
                  <w:divBdr>
                    <w:top w:val="none" w:sz="0" w:space="0" w:color="auto"/>
                    <w:left w:val="none" w:sz="0" w:space="0" w:color="auto"/>
                    <w:bottom w:val="none" w:sz="0" w:space="0" w:color="auto"/>
                    <w:right w:val="none" w:sz="0" w:space="0" w:color="auto"/>
                  </w:divBdr>
                  <w:divsChild>
                    <w:div w:id="2109622287">
                      <w:marLeft w:val="0"/>
                      <w:marRight w:val="0"/>
                      <w:marTop w:val="0"/>
                      <w:marBottom w:val="0"/>
                      <w:divBdr>
                        <w:top w:val="none" w:sz="0" w:space="0" w:color="auto"/>
                        <w:left w:val="none" w:sz="0" w:space="0" w:color="auto"/>
                        <w:bottom w:val="none" w:sz="0" w:space="0" w:color="auto"/>
                        <w:right w:val="none" w:sz="0" w:space="0" w:color="auto"/>
                      </w:divBdr>
                      <w:divsChild>
                        <w:div w:id="591671316">
                          <w:marLeft w:val="0"/>
                          <w:marRight w:val="0"/>
                          <w:marTop w:val="0"/>
                          <w:marBottom w:val="0"/>
                          <w:divBdr>
                            <w:top w:val="none" w:sz="0" w:space="0" w:color="auto"/>
                            <w:left w:val="none" w:sz="0" w:space="0" w:color="auto"/>
                            <w:bottom w:val="none" w:sz="0" w:space="0" w:color="auto"/>
                            <w:right w:val="none" w:sz="0" w:space="0" w:color="auto"/>
                          </w:divBdr>
                          <w:divsChild>
                            <w:div w:id="1578055708">
                              <w:marLeft w:val="0"/>
                              <w:marRight w:val="0"/>
                              <w:marTop w:val="0"/>
                              <w:marBottom w:val="0"/>
                              <w:divBdr>
                                <w:top w:val="none" w:sz="0" w:space="0" w:color="auto"/>
                                <w:left w:val="none" w:sz="0" w:space="0" w:color="auto"/>
                                <w:bottom w:val="none" w:sz="0" w:space="0" w:color="auto"/>
                                <w:right w:val="none" w:sz="0" w:space="0" w:color="auto"/>
                              </w:divBdr>
                              <w:divsChild>
                                <w:div w:id="1216312380">
                                  <w:marLeft w:val="0"/>
                                  <w:marRight w:val="0"/>
                                  <w:marTop w:val="0"/>
                                  <w:marBottom w:val="0"/>
                                  <w:divBdr>
                                    <w:top w:val="none" w:sz="0" w:space="0" w:color="auto"/>
                                    <w:left w:val="none" w:sz="0" w:space="0" w:color="auto"/>
                                    <w:bottom w:val="none" w:sz="0" w:space="0" w:color="auto"/>
                                    <w:right w:val="none" w:sz="0" w:space="0" w:color="auto"/>
                                  </w:divBdr>
                                  <w:divsChild>
                                    <w:div w:id="16380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97517">
      <w:bodyDiv w:val="1"/>
      <w:marLeft w:val="0"/>
      <w:marRight w:val="0"/>
      <w:marTop w:val="0"/>
      <w:marBottom w:val="0"/>
      <w:divBdr>
        <w:top w:val="none" w:sz="0" w:space="0" w:color="auto"/>
        <w:left w:val="none" w:sz="0" w:space="0" w:color="auto"/>
        <w:bottom w:val="none" w:sz="0" w:space="0" w:color="auto"/>
        <w:right w:val="none" w:sz="0" w:space="0" w:color="auto"/>
      </w:divBdr>
    </w:div>
    <w:div w:id="985552701">
      <w:bodyDiv w:val="1"/>
      <w:marLeft w:val="0"/>
      <w:marRight w:val="0"/>
      <w:marTop w:val="0"/>
      <w:marBottom w:val="0"/>
      <w:divBdr>
        <w:top w:val="none" w:sz="0" w:space="0" w:color="auto"/>
        <w:left w:val="none" w:sz="0" w:space="0" w:color="auto"/>
        <w:bottom w:val="none" w:sz="0" w:space="0" w:color="auto"/>
        <w:right w:val="none" w:sz="0" w:space="0" w:color="auto"/>
      </w:divBdr>
    </w:div>
    <w:div w:id="1026904748">
      <w:bodyDiv w:val="1"/>
      <w:marLeft w:val="0"/>
      <w:marRight w:val="0"/>
      <w:marTop w:val="0"/>
      <w:marBottom w:val="0"/>
      <w:divBdr>
        <w:top w:val="none" w:sz="0" w:space="0" w:color="auto"/>
        <w:left w:val="none" w:sz="0" w:space="0" w:color="auto"/>
        <w:bottom w:val="none" w:sz="0" w:space="0" w:color="auto"/>
        <w:right w:val="none" w:sz="0" w:space="0" w:color="auto"/>
      </w:divBdr>
    </w:div>
    <w:div w:id="1121802282">
      <w:bodyDiv w:val="1"/>
      <w:marLeft w:val="0"/>
      <w:marRight w:val="0"/>
      <w:marTop w:val="0"/>
      <w:marBottom w:val="0"/>
      <w:divBdr>
        <w:top w:val="none" w:sz="0" w:space="0" w:color="auto"/>
        <w:left w:val="none" w:sz="0" w:space="0" w:color="auto"/>
        <w:bottom w:val="none" w:sz="0" w:space="0" w:color="auto"/>
        <w:right w:val="none" w:sz="0" w:space="0" w:color="auto"/>
      </w:divBdr>
      <w:divsChild>
        <w:div w:id="1207134564">
          <w:marLeft w:val="0"/>
          <w:marRight w:val="1"/>
          <w:marTop w:val="0"/>
          <w:marBottom w:val="0"/>
          <w:divBdr>
            <w:top w:val="none" w:sz="0" w:space="0" w:color="auto"/>
            <w:left w:val="none" w:sz="0" w:space="0" w:color="auto"/>
            <w:bottom w:val="none" w:sz="0" w:space="0" w:color="auto"/>
            <w:right w:val="none" w:sz="0" w:space="0" w:color="auto"/>
          </w:divBdr>
          <w:divsChild>
            <w:div w:id="100345757">
              <w:marLeft w:val="0"/>
              <w:marRight w:val="0"/>
              <w:marTop w:val="0"/>
              <w:marBottom w:val="0"/>
              <w:divBdr>
                <w:top w:val="none" w:sz="0" w:space="0" w:color="auto"/>
                <w:left w:val="none" w:sz="0" w:space="0" w:color="auto"/>
                <w:bottom w:val="none" w:sz="0" w:space="0" w:color="auto"/>
                <w:right w:val="none" w:sz="0" w:space="0" w:color="auto"/>
              </w:divBdr>
              <w:divsChild>
                <w:div w:id="166681129">
                  <w:marLeft w:val="0"/>
                  <w:marRight w:val="1"/>
                  <w:marTop w:val="0"/>
                  <w:marBottom w:val="0"/>
                  <w:divBdr>
                    <w:top w:val="none" w:sz="0" w:space="0" w:color="auto"/>
                    <w:left w:val="none" w:sz="0" w:space="0" w:color="auto"/>
                    <w:bottom w:val="none" w:sz="0" w:space="0" w:color="auto"/>
                    <w:right w:val="none" w:sz="0" w:space="0" w:color="auto"/>
                  </w:divBdr>
                  <w:divsChild>
                    <w:div w:id="102655857">
                      <w:marLeft w:val="0"/>
                      <w:marRight w:val="0"/>
                      <w:marTop w:val="0"/>
                      <w:marBottom w:val="0"/>
                      <w:divBdr>
                        <w:top w:val="none" w:sz="0" w:space="0" w:color="auto"/>
                        <w:left w:val="none" w:sz="0" w:space="0" w:color="auto"/>
                        <w:bottom w:val="none" w:sz="0" w:space="0" w:color="auto"/>
                        <w:right w:val="none" w:sz="0" w:space="0" w:color="auto"/>
                      </w:divBdr>
                      <w:divsChild>
                        <w:div w:id="646789835">
                          <w:marLeft w:val="0"/>
                          <w:marRight w:val="0"/>
                          <w:marTop w:val="0"/>
                          <w:marBottom w:val="0"/>
                          <w:divBdr>
                            <w:top w:val="none" w:sz="0" w:space="0" w:color="auto"/>
                            <w:left w:val="none" w:sz="0" w:space="0" w:color="auto"/>
                            <w:bottom w:val="none" w:sz="0" w:space="0" w:color="auto"/>
                            <w:right w:val="none" w:sz="0" w:space="0" w:color="auto"/>
                          </w:divBdr>
                          <w:divsChild>
                            <w:div w:id="1182086048">
                              <w:marLeft w:val="0"/>
                              <w:marRight w:val="0"/>
                              <w:marTop w:val="0"/>
                              <w:marBottom w:val="0"/>
                              <w:divBdr>
                                <w:top w:val="none" w:sz="0" w:space="0" w:color="auto"/>
                                <w:left w:val="none" w:sz="0" w:space="0" w:color="auto"/>
                                <w:bottom w:val="none" w:sz="0" w:space="0" w:color="auto"/>
                                <w:right w:val="none" w:sz="0" w:space="0" w:color="auto"/>
                              </w:divBdr>
                            </w:div>
                          </w:divsChild>
                        </w:div>
                        <w:div w:id="668097149">
                          <w:marLeft w:val="0"/>
                          <w:marRight w:val="0"/>
                          <w:marTop w:val="0"/>
                          <w:marBottom w:val="0"/>
                          <w:divBdr>
                            <w:top w:val="none" w:sz="0" w:space="0" w:color="auto"/>
                            <w:left w:val="none" w:sz="0" w:space="0" w:color="auto"/>
                            <w:bottom w:val="none" w:sz="0" w:space="0" w:color="auto"/>
                            <w:right w:val="none" w:sz="0" w:space="0" w:color="auto"/>
                          </w:divBdr>
                          <w:divsChild>
                            <w:div w:id="1840270626">
                              <w:marLeft w:val="0"/>
                              <w:marRight w:val="0"/>
                              <w:marTop w:val="120"/>
                              <w:marBottom w:val="360"/>
                              <w:divBdr>
                                <w:top w:val="none" w:sz="0" w:space="0" w:color="auto"/>
                                <w:left w:val="none" w:sz="0" w:space="0" w:color="auto"/>
                                <w:bottom w:val="none" w:sz="0" w:space="0" w:color="auto"/>
                                <w:right w:val="none" w:sz="0" w:space="0" w:color="auto"/>
                              </w:divBdr>
                              <w:divsChild>
                                <w:div w:id="455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292432">
      <w:bodyDiv w:val="1"/>
      <w:marLeft w:val="0"/>
      <w:marRight w:val="0"/>
      <w:marTop w:val="0"/>
      <w:marBottom w:val="0"/>
      <w:divBdr>
        <w:top w:val="none" w:sz="0" w:space="0" w:color="auto"/>
        <w:left w:val="none" w:sz="0" w:space="0" w:color="auto"/>
        <w:bottom w:val="none" w:sz="0" w:space="0" w:color="auto"/>
        <w:right w:val="none" w:sz="0" w:space="0" w:color="auto"/>
      </w:divBdr>
    </w:div>
    <w:div w:id="1446584104">
      <w:bodyDiv w:val="1"/>
      <w:marLeft w:val="0"/>
      <w:marRight w:val="0"/>
      <w:marTop w:val="0"/>
      <w:marBottom w:val="0"/>
      <w:divBdr>
        <w:top w:val="none" w:sz="0" w:space="0" w:color="auto"/>
        <w:left w:val="none" w:sz="0" w:space="0" w:color="auto"/>
        <w:bottom w:val="none" w:sz="0" w:space="0" w:color="auto"/>
        <w:right w:val="none" w:sz="0" w:space="0" w:color="auto"/>
      </w:divBdr>
    </w:div>
    <w:div w:id="1457337601">
      <w:bodyDiv w:val="1"/>
      <w:marLeft w:val="0"/>
      <w:marRight w:val="0"/>
      <w:marTop w:val="0"/>
      <w:marBottom w:val="0"/>
      <w:divBdr>
        <w:top w:val="none" w:sz="0" w:space="0" w:color="auto"/>
        <w:left w:val="none" w:sz="0" w:space="0" w:color="auto"/>
        <w:bottom w:val="none" w:sz="0" w:space="0" w:color="auto"/>
        <w:right w:val="none" w:sz="0" w:space="0" w:color="auto"/>
      </w:divBdr>
    </w:div>
    <w:div w:id="1554349860">
      <w:bodyDiv w:val="1"/>
      <w:marLeft w:val="0"/>
      <w:marRight w:val="0"/>
      <w:marTop w:val="0"/>
      <w:marBottom w:val="0"/>
      <w:divBdr>
        <w:top w:val="none" w:sz="0" w:space="0" w:color="auto"/>
        <w:left w:val="none" w:sz="0" w:space="0" w:color="auto"/>
        <w:bottom w:val="none" w:sz="0" w:space="0" w:color="auto"/>
        <w:right w:val="none" w:sz="0" w:space="0" w:color="auto"/>
      </w:divBdr>
    </w:div>
    <w:div w:id="1841190069">
      <w:bodyDiv w:val="1"/>
      <w:marLeft w:val="0"/>
      <w:marRight w:val="0"/>
      <w:marTop w:val="0"/>
      <w:marBottom w:val="0"/>
      <w:divBdr>
        <w:top w:val="none" w:sz="0" w:space="0" w:color="auto"/>
        <w:left w:val="none" w:sz="0" w:space="0" w:color="auto"/>
        <w:bottom w:val="none" w:sz="0" w:space="0" w:color="auto"/>
        <w:right w:val="none" w:sz="0" w:space="0" w:color="auto"/>
      </w:divBdr>
    </w:div>
    <w:div w:id="1873876759">
      <w:bodyDiv w:val="1"/>
      <w:marLeft w:val="0"/>
      <w:marRight w:val="0"/>
      <w:marTop w:val="0"/>
      <w:marBottom w:val="0"/>
      <w:divBdr>
        <w:top w:val="none" w:sz="0" w:space="0" w:color="auto"/>
        <w:left w:val="none" w:sz="0" w:space="0" w:color="auto"/>
        <w:bottom w:val="none" w:sz="0" w:space="0" w:color="auto"/>
        <w:right w:val="none" w:sz="0" w:space="0" w:color="auto"/>
      </w:divBdr>
    </w:div>
    <w:div w:id="1952004268">
      <w:bodyDiv w:val="1"/>
      <w:marLeft w:val="0"/>
      <w:marRight w:val="0"/>
      <w:marTop w:val="0"/>
      <w:marBottom w:val="0"/>
      <w:divBdr>
        <w:top w:val="none" w:sz="0" w:space="0" w:color="auto"/>
        <w:left w:val="none" w:sz="0" w:space="0" w:color="auto"/>
        <w:bottom w:val="none" w:sz="0" w:space="0" w:color="auto"/>
        <w:right w:val="none" w:sz="0" w:space="0" w:color="auto"/>
      </w:divBdr>
    </w:div>
    <w:div w:id="2067757307">
      <w:bodyDiv w:val="1"/>
      <w:marLeft w:val="0"/>
      <w:marRight w:val="0"/>
      <w:marTop w:val="0"/>
      <w:marBottom w:val="0"/>
      <w:divBdr>
        <w:top w:val="none" w:sz="0" w:space="0" w:color="auto"/>
        <w:left w:val="none" w:sz="0" w:space="0" w:color="auto"/>
        <w:bottom w:val="none" w:sz="0" w:space="0" w:color="auto"/>
        <w:right w:val="none" w:sz="0" w:space="0" w:color="auto"/>
      </w:divBdr>
    </w:div>
    <w:div w:id="2094082879">
      <w:bodyDiv w:val="1"/>
      <w:marLeft w:val="0"/>
      <w:marRight w:val="0"/>
      <w:marTop w:val="0"/>
      <w:marBottom w:val="0"/>
      <w:divBdr>
        <w:top w:val="none" w:sz="0" w:space="0" w:color="auto"/>
        <w:left w:val="none" w:sz="0" w:space="0" w:color="auto"/>
        <w:bottom w:val="none" w:sz="0" w:space="0" w:color="auto"/>
        <w:right w:val="none" w:sz="0" w:space="0" w:color="auto"/>
      </w:divBdr>
      <w:divsChild>
        <w:div w:id="826088463">
          <w:marLeft w:val="0"/>
          <w:marRight w:val="1"/>
          <w:marTop w:val="0"/>
          <w:marBottom w:val="0"/>
          <w:divBdr>
            <w:top w:val="none" w:sz="0" w:space="0" w:color="auto"/>
            <w:left w:val="none" w:sz="0" w:space="0" w:color="auto"/>
            <w:bottom w:val="none" w:sz="0" w:space="0" w:color="auto"/>
            <w:right w:val="none" w:sz="0" w:space="0" w:color="auto"/>
          </w:divBdr>
          <w:divsChild>
            <w:div w:id="2100637197">
              <w:marLeft w:val="0"/>
              <w:marRight w:val="0"/>
              <w:marTop w:val="0"/>
              <w:marBottom w:val="0"/>
              <w:divBdr>
                <w:top w:val="none" w:sz="0" w:space="0" w:color="auto"/>
                <w:left w:val="none" w:sz="0" w:space="0" w:color="auto"/>
                <w:bottom w:val="none" w:sz="0" w:space="0" w:color="auto"/>
                <w:right w:val="none" w:sz="0" w:space="0" w:color="auto"/>
              </w:divBdr>
              <w:divsChild>
                <w:div w:id="1883012371">
                  <w:marLeft w:val="0"/>
                  <w:marRight w:val="1"/>
                  <w:marTop w:val="0"/>
                  <w:marBottom w:val="0"/>
                  <w:divBdr>
                    <w:top w:val="none" w:sz="0" w:space="0" w:color="auto"/>
                    <w:left w:val="none" w:sz="0" w:space="0" w:color="auto"/>
                    <w:bottom w:val="none" w:sz="0" w:space="0" w:color="auto"/>
                    <w:right w:val="none" w:sz="0" w:space="0" w:color="auto"/>
                  </w:divBdr>
                  <w:divsChild>
                    <w:div w:id="529804721">
                      <w:marLeft w:val="0"/>
                      <w:marRight w:val="0"/>
                      <w:marTop w:val="0"/>
                      <w:marBottom w:val="0"/>
                      <w:divBdr>
                        <w:top w:val="none" w:sz="0" w:space="0" w:color="auto"/>
                        <w:left w:val="none" w:sz="0" w:space="0" w:color="auto"/>
                        <w:bottom w:val="none" w:sz="0" w:space="0" w:color="auto"/>
                        <w:right w:val="none" w:sz="0" w:space="0" w:color="auto"/>
                      </w:divBdr>
                      <w:divsChild>
                        <w:div w:id="2062706863">
                          <w:marLeft w:val="0"/>
                          <w:marRight w:val="0"/>
                          <w:marTop w:val="0"/>
                          <w:marBottom w:val="0"/>
                          <w:divBdr>
                            <w:top w:val="none" w:sz="0" w:space="0" w:color="auto"/>
                            <w:left w:val="none" w:sz="0" w:space="0" w:color="auto"/>
                            <w:bottom w:val="none" w:sz="0" w:space="0" w:color="auto"/>
                            <w:right w:val="none" w:sz="0" w:space="0" w:color="auto"/>
                          </w:divBdr>
                          <w:divsChild>
                            <w:div w:id="56436298">
                              <w:marLeft w:val="0"/>
                              <w:marRight w:val="0"/>
                              <w:marTop w:val="120"/>
                              <w:marBottom w:val="360"/>
                              <w:divBdr>
                                <w:top w:val="none" w:sz="0" w:space="0" w:color="auto"/>
                                <w:left w:val="none" w:sz="0" w:space="0" w:color="auto"/>
                                <w:bottom w:val="none" w:sz="0" w:space="0" w:color="auto"/>
                                <w:right w:val="none" w:sz="0" w:space="0" w:color="auto"/>
                              </w:divBdr>
                              <w:divsChild>
                                <w:div w:id="642395109">
                                  <w:marLeft w:val="0"/>
                                  <w:marRight w:val="0"/>
                                  <w:marTop w:val="0"/>
                                  <w:marBottom w:val="0"/>
                                  <w:divBdr>
                                    <w:top w:val="none" w:sz="0" w:space="0" w:color="auto"/>
                                    <w:left w:val="none" w:sz="0" w:space="0" w:color="auto"/>
                                    <w:bottom w:val="none" w:sz="0" w:space="0" w:color="auto"/>
                                    <w:right w:val="none" w:sz="0" w:space="0" w:color="auto"/>
                                  </w:divBdr>
                                  <w:divsChild>
                                    <w:div w:id="17365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89129">
      <w:bodyDiv w:val="1"/>
      <w:marLeft w:val="0"/>
      <w:marRight w:val="0"/>
      <w:marTop w:val="0"/>
      <w:marBottom w:val="0"/>
      <w:divBdr>
        <w:top w:val="none" w:sz="0" w:space="0" w:color="auto"/>
        <w:left w:val="none" w:sz="0" w:space="0" w:color="auto"/>
        <w:bottom w:val="none" w:sz="0" w:space="0" w:color="auto"/>
        <w:right w:val="none" w:sz="0" w:space="0" w:color="auto"/>
      </w:divBdr>
      <w:divsChild>
        <w:div w:id="315838893">
          <w:marLeft w:val="0"/>
          <w:marRight w:val="1"/>
          <w:marTop w:val="0"/>
          <w:marBottom w:val="0"/>
          <w:divBdr>
            <w:top w:val="none" w:sz="0" w:space="0" w:color="auto"/>
            <w:left w:val="none" w:sz="0" w:space="0" w:color="auto"/>
            <w:bottom w:val="none" w:sz="0" w:space="0" w:color="auto"/>
            <w:right w:val="none" w:sz="0" w:space="0" w:color="auto"/>
          </w:divBdr>
          <w:divsChild>
            <w:div w:id="223762432">
              <w:marLeft w:val="0"/>
              <w:marRight w:val="0"/>
              <w:marTop w:val="0"/>
              <w:marBottom w:val="0"/>
              <w:divBdr>
                <w:top w:val="none" w:sz="0" w:space="0" w:color="auto"/>
                <w:left w:val="none" w:sz="0" w:space="0" w:color="auto"/>
                <w:bottom w:val="none" w:sz="0" w:space="0" w:color="auto"/>
                <w:right w:val="none" w:sz="0" w:space="0" w:color="auto"/>
              </w:divBdr>
              <w:divsChild>
                <w:div w:id="1449080626">
                  <w:marLeft w:val="0"/>
                  <w:marRight w:val="1"/>
                  <w:marTop w:val="0"/>
                  <w:marBottom w:val="0"/>
                  <w:divBdr>
                    <w:top w:val="none" w:sz="0" w:space="0" w:color="auto"/>
                    <w:left w:val="none" w:sz="0" w:space="0" w:color="auto"/>
                    <w:bottom w:val="none" w:sz="0" w:space="0" w:color="auto"/>
                    <w:right w:val="none" w:sz="0" w:space="0" w:color="auto"/>
                  </w:divBdr>
                  <w:divsChild>
                    <w:div w:id="1485969318">
                      <w:marLeft w:val="0"/>
                      <w:marRight w:val="0"/>
                      <w:marTop w:val="0"/>
                      <w:marBottom w:val="0"/>
                      <w:divBdr>
                        <w:top w:val="none" w:sz="0" w:space="0" w:color="auto"/>
                        <w:left w:val="none" w:sz="0" w:space="0" w:color="auto"/>
                        <w:bottom w:val="none" w:sz="0" w:space="0" w:color="auto"/>
                        <w:right w:val="none" w:sz="0" w:space="0" w:color="auto"/>
                      </w:divBdr>
                      <w:divsChild>
                        <w:div w:id="270624017">
                          <w:marLeft w:val="0"/>
                          <w:marRight w:val="0"/>
                          <w:marTop w:val="0"/>
                          <w:marBottom w:val="0"/>
                          <w:divBdr>
                            <w:top w:val="none" w:sz="0" w:space="0" w:color="auto"/>
                            <w:left w:val="none" w:sz="0" w:space="0" w:color="auto"/>
                            <w:bottom w:val="none" w:sz="0" w:space="0" w:color="auto"/>
                            <w:right w:val="none" w:sz="0" w:space="0" w:color="auto"/>
                          </w:divBdr>
                          <w:divsChild>
                            <w:div w:id="797649146">
                              <w:marLeft w:val="0"/>
                              <w:marRight w:val="0"/>
                              <w:marTop w:val="120"/>
                              <w:marBottom w:val="360"/>
                              <w:divBdr>
                                <w:top w:val="none" w:sz="0" w:space="0" w:color="auto"/>
                                <w:left w:val="none" w:sz="0" w:space="0" w:color="auto"/>
                                <w:bottom w:val="none" w:sz="0" w:space="0" w:color="auto"/>
                                <w:right w:val="none" w:sz="0" w:space="0" w:color="auto"/>
                              </w:divBdr>
                              <w:divsChild>
                                <w:div w:id="18683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7157">
                          <w:marLeft w:val="0"/>
                          <w:marRight w:val="0"/>
                          <w:marTop w:val="0"/>
                          <w:marBottom w:val="0"/>
                          <w:divBdr>
                            <w:top w:val="none" w:sz="0" w:space="0" w:color="auto"/>
                            <w:left w:val="none" w:sz="0" w:space="0" w:color="auto"/>
                            <w:bottom w:val="none" w:sz="0" w:space="0" w:color="auto"/>
                            <w:right w:val="none" w:sz="0" w:space="0" w:color="auto"/>
                          </w:divBdr>
                          <w:divsChild>
                            <w:div w:id="13638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4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c@phpc.cam.ac.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hpc.cam.ac.uk/ceu/erfc/list-of-studi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BCC74-5F57-4115-B5C9-B71AED87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59728</Words>
  <Characters>340456</Characters>
  <Application>Microsoft Office Word</Application>
  <DocSecurity>4</DocSecurity>
  <Lines>2837</Lines>
  <Paragraphs>798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399386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Wood</dc:creator>
  <cp:lastModifiedBy>Karen Drake</cp:lastModifiedBy>
  <cp:revision>2</cp:revision>
  <cp:lastPrinted>2017-11-03T17:57:00Z</cp:lastPrinted>
  <dcterms:created xsi:type="dcterms:W3CDTF">2018-06-05T09:41:00Z</dcterms:created>
  <dcterms:modified xsi:type="dcterms:W3CDTF">2018-06-05T09:41:00Z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http://www.zotero.org/styles/the-new-england-journal-of-medicine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http://www.zotero.org/styles/the-new-england-journal-of-medicine</vt:lpwstr>
  </property>
  <property fmtid="{D5CDD505-2E9C-101B-9397-08002B2CF9AE}" pid="23" name="Mendeley Recent Style Name 9_1">
    <vt:lpwstr>The New England Journal of Medicine</vt:lpwstr>
  </property>
  <property fmtid="{D5CDD505-2E9C-101B-9397-08002B2CF9AE}" pid="24" name="BIBSTYLE">
    <vt:lpwstr>lancet/nsa].s,^[c</vt:lpwstr>
  </property>
  <property fmtid="{D5CDD505-2E9C-101B-9397-08002B2CF9AE}" pid="25" name="BIBDISP">
    <vt:lpwstr>ref</vt:lpwstr>
  </property>
  <property fmtid="{D5CDD505-2E9C-101B-9397-08002B2CF9AE}" pid="26" name="BIBFILE">
    <vt:lpwstr>C:\Users\Peter\SkyDrive\References\References.bib</vt:lpwstr>
  </property>
  <property fmtid="{D5CDD505-2E9C-101B-9397-08002B2CF9AE}" pid="27" name="Mendeley Unique User Id_1">
    <vt:lpwstr>4d1e9778-ee38-361d-9406-1a638a9187f9</vt:lpwstr>
  </property>
</Properties>
</file>