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EBA5D" w14:textId="2E03550C" w:rsidR="00131404" w:rsidRDefault="009E0234">
      <w:pPr>
        <w:rPr>
          <w:rFonts w:asciiTheme="majorHAnsi" w:hAnsiTheme="majorHAnsi" w:cstheme="majorHAnsi"/>
          <w:b/>
          <w:sz w:val="24"/>
          <w:szCs w:val="24"/>
        </w:rPr>
      </w:pPr>
      <w:bookmarkStart w:id="0" w:name="_GoBack"/>
      <w:bookmarkEnd w:id="0"/>
      <w:r w:rsidRPr="0093600A">
        <w:rPr>
          <w:rFonts w:asciiTheme="majorHAnsi" w:hAnsiTheme="majorHAnsi" w:cstheme="majorHAnsi"/>
          <w:b/>
          <w:sz w:val="24"/>
          <w:szCs w:val="24"/>
        </w:rPr>
        <w:t xml:space="preserve">The </w:t>
      </w:r>
      <w:r w:rsidR="00783C76" w:rsidRPr="0093600A">
        <w:rPr>
          <w:rFonts w:asciiTheme="majorHAnsi" w:hAnsiTheme="majorHAnsi" w:cstheme="majorHAnsi"/>
          <w:b/>
          <w:sz w:val="24"/>
          <w:szCs w:val="24"/>
        </w:rPr>
        <w:t>Hyperandrogenism controversy in elite women’s sport</w:t>
      </w:r>
      <w:r w:rsidR="00D22A27">
        <w:rPr>
          <w:rFonts w:asciiTheme="majorHAnsi" w:hAnsiTheme="majorHAnsi" w:cstheme="majorHAnsi"/>
          <w:b/>
          <w:sz w:val="24"/>
          <w:szCs w:val="24"/>
        </w:rPr>
        <w:t xml:space="preserve">: </w:t>
      </w:r>
      <w:r w:rsidR="00605895">
        <w:rPr>
          <w:rFonts w:asciiTheme="majorHAnsi" w:hAnsiTheme="majorHAnsi" w:cstheme="majorHAnsi"/>
          <w:b/>
          <w:sz w:val="24"/>
          <w:szCs w:val="24"/>
        </w:rPr>
        <w:t>An examination and critique of recent evidence</w:t>
      </w:r>
    </w:p>
    <w:p w14:paraId="740EBA5E" w14:textId="77777777" w:rsidR="00665EEC" w:rsidRDefault="00665EEC">
      <w:pPr>
        <w:rPr>
          <w:rFonts w:asciiTheme="majorHAnsi" w:hAnsiTheme="majorHAnsi" w:cstheme="majorHAnsi"/>
          <w:b/>
          <w:sz w:val="24"/>
          <w:szCs w:val="24"/>
        </w:rPr>
      </w:pPr>
    </w:p>
    <w:tbl>
      <w:tblPr>
        <w:tblStyle w:val="TableNormal1"/>
        <w:tblW w:w="5000" w:type="pct"/>
        <w:tblCellSpacing w:w="0" w:type="dxa"/>
        <w:tblInd w:w="0" w:type="dxa"/>
        <w:tblCellMar>
          <w:top w:w="45" w:type="dxa"/>
          <w:left w:w="45" w:type="dxa"/>
          <w:bottom w:w="45" w:type="dxa"/>
          <w:right w:w="45" w:type="dxa"/>
        </w:tblCellMar>
        <w:tblLook w:val="04A0" w:firstRow="1" w:lastRow="0" w:firstColumn="1" w:lastColumn="0" w:noHBand="0" w:noVBand="1"/>
      </w:tblPr>
      <w:tblGrid>
        <w:gridCol w:w="5157"/>
        <w:gridCol w:w="1349"/>
        <w:gridCol w:w="2520"/>
      </w:tblGrid>
      <w:tr w:rsidR="00665EEC" w:rsidRPr="0031577B" w14:paraId="740EBA62" w14:textId="77777777" w:rsidTr="00665EEC">
        <w:trPr>
          <w:gridAfter w:val="1"/>
          <w:wAfter w:w="2550" w:type="dxa"/>
          <w:tblCellSpacing w:w="0" w:type="dxa"/>
        </w:trPr>
        <w:tc>
          <w:tcPr>
            <w:tcW w:w="6566" w:type="dxa"/>
            <w:gridSpan w:val="2"/>
            <w:hideMark/>
          </w:tcPr>
          <w:p w14:paraId="740EBA5F"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Sőnksen, Peter H</w:t>
            </w:r>
            <w:r w:rsidRPr="00F423D2">
              <w:rPr>
                <w:rFonts w:eastAsia="Times New Roman" w:cstheme="minorHAnsi"/>
                <w:color w:val="333333"/>
                <w:sz w:val="24"/>
                <w:szCs w:val="24"/>
                <w:lang w:val="en-US"/>
              </w:rPr>
              <w:br/>
            </w:r>
            <w:r w:rsidRPr="00F423D2">
              <w:rPr>
                <w:rFonts w:eastAsia="Times New Roman" w:cstheme="minorHAnsi"/>
                <w:i/>
                <w:iCs/>
                <w:vanish/>
                <w:color w:val="808080"/>
                <w:sz w:val="24"/>
                <w:szCs w:val="24"/>
                <w:lang w:val="en-US"/>
              </w:rPr>
              <w:t>Corresponding Author</w:t>
            </w:r>
            <w:r w:rsidRPr="00F423D2">
              <w:rPr>
                <w:rFonts w:eastAsia="Times New Roman" w:cstheme="minorHAnsi"/>
                <w:color w:val="000000"/>
                <w:sz w:val="24"/>
                <w:szCs w:val="24"/>
                <w:lang w:val="en-US"/>
              </w:rPr>
              <w:t xml:space="preserve"> </w:t>
            </w:r>
          </w:p>
          <w:p w14:paraId="740EBA60" w14:textId="77777777" w:rsidR="00665EEC" w:rsidRPr="00F423D2" w:rsidRDefault="00665EEC" w:rsidP="00665EEC">
            <w:pPr>
              <w:rPr>
                <w:rFonts w:cstheme="minorHAnsi"/>
                <w:sz w:val="24"/>
                <w:szCs w:val="24"/>
              </w:rPr>
            </w:pPr>
            <w:r w:rsidRPr="00F423D2">
              <w:rPr>
                <w:rFonts w:cstheme="minorHAnsi"/>
                <w:sz w:val="24"/>
                <w:szCs w:val="24"/>
              </w:rPr>
              <w:t> </w:t>
            </w:r>
          </w:p>
          <w:p w14:paraId="740EBA61" w14:textId="704489EE"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University of Southampton - Human Development and Health Academic Unit, Faculty of Medicine</w:t>
            </w:r>
            <w:r w:rsidRPr="00F423D2">
              <w:rPr>
                <w:rFonts w:eastAsia="Times New Roman" w:cstheme="minorHAnsi"/>
                <w:color w:val="000000"/>
                <w:sz w:val="24"/>
                <w:szCs w:val="24"/>
                <w:lang w:val="en-US"/>
              </w:rPr>
              <w:br/>
              <w:t xml:space="preserve">Southampton, </w:t>
            </w:r>
            <w:r w:rsidR="0004121D" w:rsidRPr="00F423D2">
              <w:rPr>
                <w:rFonts w:eastAsia="Times New Roman" w:cstheme="minorHAnsi"/>
                <w:color w:val="000000"/>
                <w:sz w:val="24"/>
                <w:szCs w:val="24"/>
                <w:lang w:val="en-US"/>
              </w:rPr>
              <w:t>H</w:t>
            </w:r>
            <w:r w:rsidRPr="00F423D2">
              <w:rPr>
                <w:rFonts w:eastAsia="Times New Roman" w:cstheme="minorHAnsi"/>
                <w:color w:val="000000"/>
                <w:sz w:val="24"/>
                <w:szCs w:val="24"/>
                <w:lang w:val="en-US"/>
              </w:rPr>
              <w:t xml:space="preserve">ampshire </w:t>
            </w:r>
            <w:r w:rsidRPr="00F423D2">
              <w:rPr>
                <w:rFonts w:eastAsia="Times New Roman" w:cstheme="minorHAnsi"/>
                <w:color w:val="000000"/>
                <w:sz w:val="24"/>
                <w:szCs w:val="24"/>
                <w:lang w:val="en-US"/>
              </w:rPr>
              <w:br/>
              <w:t>United Kingdom of Great Britain and Northern Ireland</w:t>
            </w:r>
          </w:p>
        </w:tc>
      </w:tr>
      <w:tr w:rsidR="00665EEC" w:rsidRPr="0031577B" w14:paraId="740EBA66" w14:textId="77777777" w:rsidTr="00665EEC">
        <w:trPr>
          <w:tblCellSpacing w:w="0" w:type="dxa"/>
        </w:trPr>
        <w:tc>
          <w:tcPr>
            <w:tcW w:w="5202" w:type="dxa"/>
            <w:hideMark/>
          </w:tcPr>
          <w:p w14:paraId="740EBA63"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St Thomas' Hospital &amp; King's College - Endocrinology</w:t>
            </w:r>
            <w:r w:rsidRPr="00F423D2">
              <w:rPr>
                <w:rFonts w:eastAsia="Times New Roman" w:cstheme="minorHAnsi"/>
                <w:color w:val="000000"/>
                <w:sz w:val="24"/>
                <w:szCs w:val="24"/>
                <w:lang w:val="en-US"/>
              </w:rPr>
              <w:br/>
              <w:t>London SE1 7EH</w:t>
            </w:r>
            <w:r w:rsidRPr="00F423D2">
              <w:rPr>
                <w:rFonts w:eastAsia="Times New Roman" w:cstheme="minorHAnsi"/>
                <w:color w:val="000000"/>
                <w:sz w:val="24"/>
                <w:szCs w:val="24"/>
                <w:lang w:val="en-US"/>
              </w:rPr>
              <w:br/>
              <w:t>United Kingdom of Great Britain and Northern Ireland</w:t>
            </w:r>
          </w:p>
        </w:tc>
        <w:tc>
          <w:tcPr>
            <w:tcW w:w="1364" w:type="dxa"/>
            <w:hideMark/>
          </w:tcPr>
          <w:p w14:paraId="740EBA64" w14:textId="77777777" w:rsidR="00665EEC" w:rsidRPr="00F423D2" w:rsidRDefault="00665EEC" w:rsidP="00665EEC">
            <w:pPr>
              <w:rPr>
                <w:rFonts w:cstheme="minorHAnsi"/>
                <w:sz w:val="24"/>
                <w:szCs w:val="24"/>
              </w:rPr>
            </w:pPr>
            <w:r w:rsidRPr="00F423D2">
              <w:rPr>
                <w:rFonts w:cstheme="minorHAnsi"/>
                <w:sz w:val="24"/>
                <w:szCs w:val="24"/>
              </w:rPr>
              <w:t> </w:t>
            </w:r>
          </w:p>
        </w:tc>
        <w:tc>
          <w:tcPr>
            <w:tcW w:w="2550" w:type="dxa"/>
            <w:hideMark/>
          </w:tcPr>
          <w:p w14:paraId="740EBA65" w14:textId="77777777" w:rsidR="00665EEC" w:rsidRPr="00F423D2" w:rsidRDefault="00665EEC" w:rsidP="00665EEC">
            <w:pPr>
              <w:spacing w:after="0"/>
              <w:rPr>
                <w:rFonts w:cstheme="minorHAnsi"/>
                <w:sz w:val="24"/>
                <w:szCs w:val="24"/>
              </w:rPr>
            </w:pPr>
          </w:p>
        </w:tc>
      </w:tr>
      <w:tr w:rsidR="00665EEC" w:rsidRPr="0031577B" w14:paraId="740EBA6C"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68" w14:textId="77777777">
              <w:trPr>
                <w:tblCellSpacing w:w="0" w:type="dxa"/>
              </w:trPr>
              <w:tc>
                <w:tcPr>
                  <w:tcW w:w="0" w:type="auto"/>
                  <w:vAlign w:val="center"/>
                  <w:hideMark/>
                </w:tcPr>
                <w:p w14:paraId="740EBA67" w14:textId="77777777" w:rsidR="00665EEC" w:rsidRPr="00F423D2" w:rsidRDefault="00665EEC" w:rsidP="00665EEC">
                  <w:pPr>
                    <w:rPr>
                      <w:rFonts w:cstheme="minorHAnsi"/>
                      <w:sz w:val="24"/>
                      <w:szCs w:val="24"/>
                    </w:rPr>
                  </w:pPr>
                </w:p>
              </w:tc>
            </w:tr>
          </w:tbl>
          <w:p w14:paraId="740EBA69" w14:textId="77777777" w:rsidR="00665EEC" w:rsidRPr="00F423D2" w:rsidRDefault="00665EEC" w:rsidP="00665EEC">
            <w:pPr>
              <w:spacing w:after="0"/>
              <w:rPr>
                <w:rFonts w:eastAsia="Times New Roman" w:cstheme="minorHAnsi"/>
                <w:color w:val="000000"/>
                <w:sz w:val="24"/>
                <w:szCs w:val="24"/>
                <w:lang w:val="en-US"/>
              </w:rPr>
            </w:pPr>
          </w:p>
          <w:p w14:paraId="740EBA6A" w14:textId="4779BCFA" w:rsidR="00665EEC" w:rsidRPr="00F423D2" w:rsidRDefault="00665EEC" w:rsidP="00665EEC">
            <w:pPr>
              <w:spacing w:after="0"/>
              <w:rPr>
                <w:rFonts w:eastAsia="Times New Roman" w:cstheme="minorHAnsi"/>
                <w:color w:val="000000"/>
                <w:sz w:val="24"/>
                <w:szCs w:val="24"/>
                <w:lang w:val="en-US"/>
              </w:rPr>
            </w:pPr>
            <w:proofErr w:type="spellStart"/>
            <w:r w:rsidRPr="00F423D2">
              <w:rPr>
                <w:rFonts w:eastAsia="Times New Roman" w:cstheme="minorHAnsi"/>
                <w:color w:val="000000"/>
                <w:sz w:val="24"/>
                <w:szCs w:val="24"/>
                <w:lang w:val="en-US"/>
              </w:rPr>
              <w:t>Bavington</w:t>
            </w:r>
            <w:proofErr w:type="spellEnd"/>
            <w:r w:rsidRPr="00F423D2">
              <w:rPr>
                <w:rFonts w:eastAsia="Times New Roman" w:cstheme="minorHAnsi"/>
                <w:color w:val="000000"/>
                <w:sz w:val="24"/>
                <w:szCs w:val="24"/>
                <w:lang w:val="en-US"/>
              </w:rPr>
              <w:t>, L</w:t>
            </w:r>
            <w:r w:rsidR="00605895" w:rsidRPr="00F423D2">
              <w:rPr>
                <w:rFonts w:eastAsia="Times New Roman" w:cstheme="minorHAnsi"/>
                <w:color w:val="000000"/>
                <w:sz w:val="24"/>
                <w:szCs w:val="24"/>
                <w:lang w:val="en-US"/>
              </w:rPr>
              <w:t>.</w:t>
            </w:r>
            <w:r w:rsidRPr="00F423D2">
              <w:rPr>
                <w:rFonts w:eastAsia="Times New Roman" w:cstheme="minorHAnsi"/>
                <w:color w:val="000000"/>
                <w:sz w:val="24"/>
                <w:szCs w:val="24"/>
                <w:lang w:val="en-US"/>
              </w:rPr>
              <w:t xml:space="preserve"> D</w:t>
            </w:r>
            <w:r w:rsidR="0004121D" w:rsidRPr="00F423D2">
              <w:rPr>
                <w:rFonts w:eastAsia="Times New Roman" w:cstheme="minorHAnsi"/>
                <w:color w:val="000000"/>
                <w:sz w:val="24"/>
                <w:szCs w:val="24"/>
                <w:lang w:val="en-US"/>
              </w:rPr>
              <w:t>awn</w:t>
            </w:r>
            <w:r w:rsidRPr="00F423D2">
              <w:rPr>
                <w:rFonts w:eastAsia="Times New Roman" w:cstheme="minorHAnsi"/>
                <w:color w:val="000000"/>
                <w:sz w:val="24"/>
                <w:szCs w:val="24"/>
                <w:lang w:val="en-US"/>
              </w:rPr>
              <w:t> </w:t>
            </w:r>
          </w:p>
          <w:p w14:paraId="740EBA6B"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University of Otago - School of Physical Education</w:t>
            </w:r>
            <w:r w:rsidRPr="00F423D2">
              <w:rPr>
                <w:rFonts w:eastAsia="Times New Roman" w:cstheme="minorHAnsi"/>
                <w:color w:val="000000"/>
                <w:sz w:val="24"/>
                <w:szCs w:val="24"/>
                <w:lang w:val="en-US"/>
              </w:rPr>
              <w:br/>
              <w:t>Dunedin</w:t>
            </w:r>
            <w:r w:rsidRPr="00F423D2">
              <w:rPr>
                <w:rFonts w:eastAsia="Times New Roman" w:cstheme="minorHAnsi"/>
                <w:color w:val="000000"/>
                <w:sz w:val="24"/>
                <w:szCs w:val="24"/>
                <w:lang w:val="en-US"/>
              </w:rPr>
              <w:br/>
              <w:t>New Zealand</w:t>
            </w:r>
          </w:p>
        </w:tc>
      </w:tr>
      <w:tr w:rsidR="00665EEC" w:rsidRPr="0031577B" w14:paraId="740EBA71" w14:textId="77777777" w:rsidTr="00665EEC">
        <w:trPr>
          <w:tblCellSpacing w:w="0" w:type="dxa"/>
        </w:trPr>
        <w:tc>
          <w:tcPr>
            <w:tcW w:w="9116" w:type="dxa"/>
            <w:gridSpan w:val="3"/>
            <w:hideMark/>
          </w:tcPr>
          <w:tbl>
            <w:tblPr>
              <w:tblStyle w:val="TableNormal1"/>
              <w:tblW w:w="0" w:type="dxa"/>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6E" w14:textId="77777777">
              <w:trPr>
                <w:trHeight w:val="298"/>
                <w:tblCellSpacing w:w="0" w:type="dxa"/>
              </w:trPr>
              <w:tc>
                <w:tcPr>
                  <w:tcW w:w="0" w:type="auto"/>
                  <w:vAlign w:val="center"/>
                  <w:hideMark/>
                </w:tcPr>
                <w:p w14:paraId="740EBA6D" w14:textId="77777777" w:rsidR="00665EEC" w:rsidRPr="00F423D2" w:rsidRDefault="00665EEC" w:rsidP="00665EEC">
                  <w:pPr>
                    <w:rPr>
                      <w:rFonts w:cstheme="minorHAnsi"/>
                      <w:sz w:val="24"/>
                      <w:szCs w:val="24"/>
                    </w:rPr>
                  </w:pPr>
                </w:p>
              </w:tc>
            </w:tr>
          </w:tbl>
          <w:p w14:paraId="740EBA6F"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lastRenderedPageBreak/>
              <w:t>Boehning, Tan</w:t>
            </w:r>
          </w:p>
          <w:p w14:paraId="740EBA70"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University of Southampton - Human Development and Health Academic Unit, Faculty of Medicine</w:t>
            </w:r>
            <w:r w:rsidRPr="00F423D2">
              <w:rPr>
                <w:rFonts w:eastAsia="Times New Roman" w:cstheme="minorHAnsi"/>
                <w:color w:val="000000"/>
                <w:sz w:val="24"/>
                <w:szCs w:val="24"/>
                <w:lang w:val="en-US"/>
              </w:rPr>
              <w:br/>
              <w:t>Southampton, Hampshire</w:t>
            </w:r>
            <w:r w:rsidRPr="00F423D2">
              <w:rPr>
                <w:rFonts w:eastAsia="Times New Roman" w:cstheme="minorHAnsi"/>
                <w:color w:val="000000"/>
                <w:sz w:val="24"/>
                <w:szCs w:val="24"/>
                <w:lang w:val="en-US"/>
              </w:rPr>
              <w:br/>
              <w:t>United Kingdom of Great Britain and Northern Ireland</w:t>
            </w:r>
          </w:p>
        </w:tc>
      </w:tr>
      <w:tr w:rsidR="00665EEC" w:rsidRPr="0031577B" w14:paraId="740EBA77"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73" w14:textId="77777777">
              <w:trPr>
                <w:tblCellSpacing w:w="0" w:type="dxa"/>
              </w:trPr>
              <w:tc>
                <w:tcPr>
                  <w:tcW w:w="0" w:type="auto"/>
                  <w:vAlign w:val="center"/>
                  <w:hideMark/>
                </w:tcPr>
                <w:p w14:paraId="740EBA72" w14:textId="77777777" w:rsidR="00665EEC" w:rsidRPr="00F423D2" w:rsidRDefault="00665EEC" w:rsidP="00665EEC">
                  <w:pPr>
                    <w:rPr>
                      <w:rFonts w:cstheme="minorHAnsi"/>
                      <w:sz w:val="24"/>
                      <w:szCs w:val="24"/>
                    </w:rPr>
                  </w:pPr>
                </w:p>
              </w:tc>
            </w:tr>
          </w:tbl>
          <w:p w14:paraId="740EBA74" w14:textId="77777777" w:rsidR="00665EEC" w:rsidRPr="00F423D2" w:rsidRDefault="00665EEC" w:rsidP="00665EEC">
            <w:pPr>
              <w:rPr>
                <w:rFonts w:cstheme="minorHAnsi"/>
                <w:sz w:val="24"/>
                <w:szCs w:val="24"/>
              </w:rPr>
            </w:pPr>
          </w:p>
          <w:p w14:paraId="740EBA75"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Cowan, David</w:t>
            </w:r>
          </w:p>
          <w:p w14:paraId="740EBA76" w14:textId="77777777" w:rsidR="00665EEC" w:rsidRPr="00F423D2" w:rsidRDefault="00665EEC" w:rsidP="00665EEC">
            <w:pPr>
              <w:rPr>
                <w:rFonts w:cstheme="minorHAnsi"/>
                <w:sz w:val="24"/>
                <w:szCs w:val="24"/>
                <w:lang w:val="en-US"/>
              </w:rPr>
            </w:pPr>
            <w:r w:rsidRPr="00F423D2">
              <w:rPr>
                <w:rFonts w:cstheme="minorHAnsi"/>
                <w:sz w:val="24"/>
                <w:szCs w:val="24"/>
              </w:rPr>
              <w:t> </w:t>
            </w:r>
            <w:r w:rsidRPr="00F423D2">
              <w:rPr>
                <w:rFonts w:cstheme="minorHAnsi"/>
                <w:sz w:val="24"/>
                <w:szCs w:val="24"/>
                <w:lang w:val="en-US"/>
              </w:rPr>
              <w:t xml:space="preserve">King's College London </w:t>
            </w:r>
            <w:r w:rsidRPr="00F423D2">
              <w:rPr>
                <w:rFonts w:cstheme="minorHAnsi"/>
                <w:noProof/>
                <w:sz w:val="24"/>
                <w:szCs w:val="24"/>
                <w:lang w:eastAsia="en-GB"/>
              </w:rPr>
              <w:drawing>
                <wp:inline distT="0" distB="0" distL="0" distR="0" wp14:anchorId="740EBAB9" wp14:editId="740EBABA">
                  <wp:extent cx="104775" cy="104775"/>
                  <wp:effectExtent l="19050" t="0" r="9525" b="0"/>
                  <wp:docPr id="1" name="Afbeelding 10" descr="Description: Ringgold standard i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Description: Ringgold standard institution"/>
                          <pic:cNvPicPr>
                            <a:picLocks noChangeAspect="1" noChangeArrowheads="1"/>
                          </pic:cNvPicPr>
                        </pic:nvPicPr>
                        <pic:blipFill>
                          <a:blip r:embed="rId5"/>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F423D2">
              <w:rPr>
                <w:rFonts w:cstheme="minorHAnsi"/>
                <w:sz w:val="24"/>
                <w:szCs w:val="24"/>
                <w:lang w:val="en-US"/>
              </w:rPr>
              <w:t>- Drug Control Centre, Pharmacy and Forensic Science</w:t>
            </w:r>
            <w:r w:rsidRPr="00F423D2">
              <w:rPr>
                <w:rFonts w:cstheme="minorHAnsi"/>
                <w:sz w:val="24"/>
                <w:szCs w:val="24"/>
                <w:lang w:val="en-US"/>
              </w:rPr>
              <w:br/>
              <w:t>London SE1 9NH, London</w:t>
            </w:r>
            <w:r w:rsidRPr="00F423D2">
              <w:rPr>
                <w:rFonts w:cstheme="minorHAnsi"/>
                <w:sz w:val="24"/>
                <w:szCs w:val="24"/>
                <w:lang w:val="en-US"/>
              </w:rPr>
              <w:br/>
              <w:t>United Kingdom of Great Britain and Northern Ireland</w:t>
            </w:r>
          </w:p>
        </w:tc>
      </w:tr>
      <w:tr w:rsidR="00665EEC" w:rsidRPr="0031577B" w14:paraId="740EBA7D"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79" w14:textId="77777777">
              <w:trPr>
                <w:tblCellSpacing w:w="0" w:type="dxa"/>
              </w:trPr>
              <w:tc>
                <w:tcPr>
                  <w:tcW w:w="0" w:type="auto"/>
                  <w:vAlign w:val="center"/>
                  <w:hideMark/>
                </w:tcPr>
                <w:p w14:paraId="740EBA78" w14:textId="77777777" w:rsidR="00665EEC" w:rsidRPr="00F423D2" w:rsidRDefault="00665EEC" w:rsidP="00665EEC">
                  <w:pPr>
                    <w:rPr>
                      <w:rFonts w:cstheme="minorHAnsi"/>
                      <w:sz w:val="24"/>
                      <w:szCs w:val="24"/>
                    </w:rPr>
                  </w:pPr>
                </w:p>
              </w:tc>
            </w:tr>
          </w:tbl>
          <w:p w14:paraId="740EBA7A" w14:textId="77777777" w:rsidR="00665EEC" w:rsidRPr="00F423D2" w:rsidRDefault="00665EEC" w:rsidP="00665EEC">
            <w:pPr>
              <w:rPr>
                <w:rFonts w:cstheme="minorHAnsi"/>
                <w:sz w:val="24"/>
                <w:szCs w:val="24"/>
              </w:rPr>
            </w:pPr>
          </w:p>
          <w:p w14:paraId="740EBA7B"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Guha, Nishan</w:t>
            </w:r>
          </w:p>
          <w:p w14:paraId="740EBA7C" w14:textId="77777777" w:rsidR="00665EEC" w:rsidRPr="00F423D2" w:rsidRDefault="00665EEC" w:rsidP="00665EEC">
            <w:pPr>
              <w:rPr>
                <w:rFonts w:cstheme="minorHAnsi"/>
                <w:sz w:val="24"/>
                <w:szCs w:val="24"/>
                <w:lang w:val="en-US"/>
              </w:rPr>
            </w:pPr>
            <w:r w:rsidRPr="00F423D2">
              <w:rPr>
                <w:rFonts w:cstheme="minorHAnsi"/>
                <w:sz w:val="24"/>
                <w:szCs w:val="24"/>
              </w:rPr>
              <w:t> </w:t>
            </w:r>
            <w:r w:rsidRPr="00F423D2">
              <w:rPr>
                <w:rFonts w:cstheme="minorHAnsi"/>
                <w:sz w:val="24"/>
                <w:szCs w:val="24"/>
                <w:lang w:val="en-US"/>
              </w:rPr>
              <w:t>Oxford University Hospitals NHS Trust - Clinical Biochemistry</w:t>
            </w:r>
            <w:r w:rsidRPr="00F423D2">
              <w:rPr>
                <w:rFonts w:cstheme="minorHAnsi"/>
                <w:sz w:val="24"/>
                <w:szCs w:val="24"/>
                <w:lang w:val="en-US"/>
              </w:rPr>
              <w:br/>
              <w:t>Level 4, John Radcliffe Hospital Headley Way Headington, Oxford OX3 9DU</w:t>
            </w:r>
            <w:r w:rsidRPr="00F423D2">
              <w:rPr>
                <w:rFonts w:cstheme="minorHAnsi"/>
                <w:sz w:val="24"/>
                <w:szCs w:val="24"/>
                <w:lang w:val="en-US"/>
              </w:rPr>
              <w:br/>
              <w:t>United Kingdom of Great Britain and Northern Ireland</w:t>
            </w:r>
          </w:p>
        </w:tc>
      </w:tr>
      <w:tr w:rsidR="00665EEC" w:rsidRPr="0031577B" w14:paraId="740EBA82" w14:textId="77777777" w:rsidTr="00665EEC">
        <w:trPr>
          <w:tblCellSpacing w:w="0" w:type="dxa"/>
        </w:trPr>
        <w:tc>
          <w:tcPr>
            <w:tcW w:w="9116" w:type="dxa"/>
            <w:gridSpan w:val="3"/>
            <w:hideMark/>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7F" w14:textId="77777777">
              <w:trPr>
                <w:tblCellSpacing w:w="0" w:type="dxa"/>
              </w:trPr>
              <w:tc>
                <w:tcPr>
                  <w:tcW w:w="0" w:type="auto"/>
                  <w:vAlign w:val="center"/>
                  <w:hideMark/>
                </w:tcPr>
                <w:p w14:paraId="740EBA7E" w14:textId="77777777" w:rsidR="00665EEC" w:rsidRPr="00F423D2" w:rsidRDefault="00665EEC" w:rsidP="00665EEC">
                  <w:pPr>
                    <w:rPr>
                      <w:rFonts w:cstheme="minorHAnsi"/>
                      <w:sz w:val="24"/>
                      <w:szCs w:val="24"/>
                    </w:rPr>
                  </w:pPr>
                </w:p>
              </w:tc>
            </w:tr>
          </w:tbl>
          <w:p w14:paraId="740EBA80"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Holt, Richard</w:t>
            </w:r>
          </w:p>
          <w:p w14:paraId="740EBA81" w14:textId="77777777" w:rsidR="00665EEC" w:rsidRPr="00F423D2" w:rsidRDefault="00665EEC" w:rsidP="00665EEC">
            <w:pPr>
              <w:rPr>
                <w:rFonts w:cstheme="minorHAnsi"/>
                <w:sz w:val="24"/>
                <w:szCs w:val="24"/>
                <w:lang w:val="en-US"/>
              </w:rPr>
            </w:pPr>
            <w:r w:rsidRPr="00F423D2">
              <w:rPr>
                <w:rFonts w:cstheme="minorHAnsi"/>
                <w:sz w:val="24"/>
                <w:szCs w:val="24"/>
              </w:rPr>
              <w:t> </w:t>
            </w:r>
            <w:r w:rsidRPr="00F423D2">
              <w:rPr>
                <w:rFonts w:cstheme="minorHAnsi"/>
                <w:sz w:val="24"/>
                <w:szCs w:val="24"/>
                <w:lang w:val="en-US"/>
              </w:rPr>
              <w:t>University of Southampton - Human Development and Health Academic Unit, Faculty of Medicine</w:t>
            </w:r>
            <w:r w:rsidRPr="00F423D2">
              <w:rPr>
                <w:rFonts w:cstheme="minorHAnsi"/>
                <w:sz w:val="24"/>
                <w:szCs w:val="24"/>
                <w:lang w:val="en-US"/>
              </w:rPr>
              <w:br/>
              <w:t>Southampton, Hampshire</w:t>
            </w:r>
            <w:r w:rsidRPr="00F423D2">
              <w:rPr>
                <w:rFonts w:cstheme="minorHAnsi"/>
                <w:sz w:val="24"/>
                <w:szCs w:val="24"/>
                <w:lang w:val="en-US"/>
              </w:rPr>
              <w:br/>
              <w:t>United Kingdom of Great Britain and Northern Ireland</w:t>
            </w:r>
          </w:p>
        </w:tc>
      </w:tr>
      <w:tr w:rsidR="00665EEC" w:rsidRPr="0031577B" w14:paraId="740EBA88"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84" w14:textId="77777777">
              <w:trPr>
                <w:tblCellSpacing w:w="0" w:type="dxa"/>
              </w:trPr>
              <w:tc>
                <w:tcPr>
                  <w:tcW w:w="0" w:type="auto"/>
                  <w:vAlign w:val="center"/>
                  <w:hideMark/>
                </w:tcPr>
                <w:p w14:paraId="740EBA83" w14:textId="77777777" w:rsidR="00665EEC" w:rsidRPr="00F423D2" w:rsidRDefault="00665EEC" w:rsidP="00665EEC">
                  <w:pPr>
                    <w:rPr>
                      <w:rFonts w:cstheme="minorHAnsi"/>
                      <w:sz w:val="24"/>
                      <w:szCs w:val="24"/>
                    </w:rPr>
                  </w:pPr>
                </w:p>
              </w:tc>
            </w:tr>
          </w:tbl>
          <w:p w14:paraId="740EBA85" w14:textId="77777777" w:rsidR="00665EEC" w:rsidRPr="00F423D2" w:rsidRDefault="00665EEC" w:rsidP="00665EEC">
            <w:pPr>
              <w:rPr>
                <w:rFonts w:cstheme="minorHAnsi"/>
                <w:sz w:val="24"/>
                <w:szCs w:val="24"/>
              </w:rPr>
            </w:pPr>
          </w:p>
          <w:p w14:paraId="740EBA86"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Karkazis, Katrina</w:t>
            </w:r>
          </w:p>
          <w:p w14:paraId="740EBA87" w14:textId="77777777" w:rsidR="00665EEC" w:rsidRPr="00F423D2" w:rsidRDefault="00665EEC" w:rsidP="00665EEC">
            <w:pPr>
              <w:rPr>
                <w:rFonts w:cstheme="minorHAnsi"/>
                <w:sz w:val="24"/>
                <w:szCs w:val="24"/>
                <w:lang w:val="en-US"/>
              </w:rPr>
            </w:pPr>
            <w:r w:rsidRPr="00F423D2">
              <w:rPr>
                <w:rFonts w:cstheme="minorHAnsi"/>
                <w:sz w:val="24"/>
                <w:szCs w:val="24"/>
              </w:rPr>
              <w:t> </w:t>
            </w:r>
            <w:r w:rsidRPr="00F423D2">
              <w:rPr>
                <w:rFonts w:cstheme="minorHAnsi"/>
                <w:sz w:val="24"/>
                <w:szCs w:val="24"/>
                <w:lang w:val="en-US"/>
              </w:rPr>
              <w:t>Stanford University - Center for Biomedical Ethics</w:t>
            </w:r>
            <w:r w:rsidRPr="00F423D2">
              <w:rPr>
                <w:rFonts w:cstheme="minorHAnsi"/>
                <w:sz w:val="24"/>
                <w:szCs w:val="24"/>
                <w:lang w:val="en-US"/>
              </w:rPr>
              <w:br/>
              <w:t>Stanford CA 94305-5417, California</w:t>
            </w:r>
            <w:r w:rsidRPr="00F423D2">
              <w:rPr>
                <w:rFonts w:cstheme="minorHAnsi"/>
                <w:sz w:val="24"/>
                <w:szCs w:val="24"/>
                <w:lang w:val="en-US"/>
              </w:rPr>
              <w:br/>
              <w:t>United States</w:t>
            </w:r>
          </w:p>
        </w:tc>
      </w:tr>
      <w:tr w:rsidR="00665EEC" w:rsidRPr="0031577B" w14:paraId="740EBA8E"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8A" w14:textId="77777777">
              <w:trPr>
                <w:tblCellSpacing w:w="0" w:type="dxa"/>
              </w:trPr>
              <w:tc>
                <w:tcPr>
                  <w:tcW w:w="0" w:type="auto"/>
                  <w:vAlign w:val="center"/>
                  <w:hideMark/>
                </w:tcPr>
                <w:p w14:paraId="740EBA89" w14:textId="77777777" w:rsidR="00665EEC" w:rsidRPr="00F423D2" w:rsidRDefault="00665EEC" w:rsidP="00665EEC">
                  <w:pPr>
                    <w:rPr>
                      <w:rFonts w:cstheme="minorHAnsi"/>
                      <w:sz w:val="24"/>
                      <w:szCs w:val="24"/>
                    </w:rPr>
                  </w:pPr>
                </w:p>
              </w:tc>
            </w:tr>
          </w:tbl>
          <w:p w14:paraId="740EBA8B" w14:textId="77777777" w:rsidR="00665EEC" w:rsidRPr="00F423D2" w:rsidRDefault="00665EEC" w:rsidP="00665EEC">
            <w:pPr>
              <w:rPr>
                <w:rFonts w:cstheme="minorHAnsi"/>
                <w:sz w:val="24"/>
                <w:szCs w:val="24"/>
              </w:rPr>
            </w:pPr>
          </w:p>
          <w:p w14:paraId="740EBA8C"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Ferguson-Smith, Malcolm Andrew</w:t>
            </w:r>
          </w:p>
          <w:p w14:paraId="740EBA8D" w14:textId="77777777" w:rsidR="00665EEC" w:rsidRPr="00F423D2" w:rsidRDefault="00665EEC" w:rsidP="00665EEC">
            <w:pPr>
              <w:rPr>
                <w:rFonts w:cstheme="minorHAnsi"/>
                <w:sz w:val="24"/>
                <w:szCs w:val="24"/>
                <w:lang w:val="en-US"/>
              </w:rPr>
            </w:pPr>
            <w:r w:rsidRPr="00F423D2">
              <w:rPr>
                <w:rFonts w:cstheme="minorHAnsi"/>
                <w:sz w:val="24"/>
                <w:szCs w:val="24"/>
              </w:rPr>
              <w:t> </w:t>
            </w:r>
            <w:r w:rsidRPr="00F423D2">
              <w:rPr>
                <w:rFonts w:cstheme="minorHAnsi"/>
                <w:sz w:val="24"/>
                <w:szCs w:val="24"/>
                <w:lang w:val="en-US"/>
              </w:rPr>
              <w:t>University of Cambridge - Veterinary Medicine</w:t>
            </w:r>
            <w:r w:rsidRPr="00F423D2">
              <w:rPr>
                <w:rFonts w:cstheme="minorHAnsi"/>
                <w:sz w:val="24"/>
                <w:szCs w:val="24"/>
                <w:lang w:val="en-US"/>
              </w:rPr>
              <w:br/>
              <w:t>Madingley Road , Cambridge CB3 0ES</w:t>
            </w:r>
            <w:r w:rsidRPr="00F423D2">
              <w:rPr>
                <w:rFonts w:cstheme="minorHAnsi"/>
                <w:sz w:val="24"/>
                <w:szCs w:val="24"/>
                <w:lang w:val="en-US"/>
              </w:rPr>
              <w:br/>
              <w:t>United Kingdom of Great Britain and Northern Ireland</w:t>
            </w:r>
          </w:p>
        </w:tc>
      </w:tr>
      <w:tr w:rsidR="00665EEC" w:rsidRPr="0031577B" w14:paraId="740EBA94"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90" w14:textId="77777777">
              <w:trPr>
                <w:tblCellSpacing w:w="0" w:type="dxa"/>
              </w:trPr>
              <w:tc>
                <w:tcPr>
                  <w:tcW w:w="0" w:type="auto"/>
                  <w:vAlign w:val="center"/>
                  <w:hideMark/>
                </w:tcPr>
                <w:p w14:paraId="740EBA8F" w14:textId="77777777" w:rsidR="00665EEC" w:rsidRPr="00F423D2" w:rsidRDefault="00665EEC" w:rsidP="00665EEC">
                  <w:pPr>
                    <w:rPr>
                      <w:rFonts w:cstheme="minorHAnsi"/>
                      <w:sz w:val="24"/>
                      <w:szCs w:val="24"/>
                    </w:rPr>
                  </w:pPr>
                </w:p>
              </w:tc>
            </w:tr>
          </w:tbl>
          <w:p w14:paraId="740EBA91" w14:textId="77777777" w:rsidR="00665EEC" w:rsidRPr="00F423D2" w:rsidRDefault="00665EEC" w:rsidP="00665EEC">
            <w:pPr>
              <w:rPr>
                <w:rFonts w:cstheme="minorHAnsi"/>
                <w:sz w:val="24"/>
                <w:szCs w:val="24"/>
              </w:rPr>
            </w:pPr>
          </w:p>
          <w:p w14:paraId="740EBA92"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Mircetic, Jovan</w:t>
            </w:r>
          </w:p>
          <w:p w14:paraId="740EBA93" w14:textId="77777777" w:rsidR="00665EEC" w:rsidRPr="00F423D2" w:rsidRDefault="00665EEC" w:rsidP="00665EEC">
            <w:pPr>
              <w:rPr>
                <w:rFonts w:cstheme="minorHAnsi"/>
                <w:sz w:val="24"/>
                <w:szCs w:val="24"/>
                <w:lang w:val="en-US"/>
              </w:rPr>
            </w:pPr>
            <w:r w:rsidRPr="00F423D2">
              <w:rPr>
                <w:rFonts w:cstheme="minorHAnsi"/>
                <w:sz w:val="24"/>
                <w:szCs w:val="24"/>
              </w:rPr>
              <w:t> </w:t>
            </w:r>
            <w:r w:rsidRPr="00F423D2">
              <w:rPr>
                <w:rFonts w:cstheme="minorHAnsi"/>
                <w:sz w:val="24"/>
                <w:szCs w:val="24"/>
                <w:lang w:val="en-US"/>
              </w:rPr>
              <w:t>Technical University, Dresden, Germany - Medical Faculty Carl Gustav Carus</w:t>
            </w:r>
            <w:r w:rsidRPr="00F423D2">
              <w:rPr>
                <w:rFonts w:cstheme="minorHAnsi"/>
                <w:sz w:val="24"/>
                <w:szCs w:val="24"/>
                <w:lang w:val="en-US"/>
              </w:rPr>
              <w:br/>
              <w:t>Dresden, Saxony</w:t>
            </w:r>
            <w:r w:rsidRPr="00F423D2">
              <w:rPr>
                <w:rFonts w:cstheme="minorHAnsi"/>
                <w:sz w:val="24"/>
                <w:szCs w:val="24"/>
                <w:lang w:val="en-US"/>
              </w:rPr>
              <w:br/>
              <w:t>Germany</w:t>
            </w:r>
          </w:p>
        </w:tc>
      </w:tr>
      <w:tr w:rsidR="00665EEC" w:rsidRPr="0031577B" w14:paraId="740EBA9A" w14:textId="77777777" w:rsidTr="00665EEC">
        <w:trPr>
          <w:tblCellSpacing w:w="0" w:type="dxa"/>
        </w:trPr>
        <w:tc>
          <w:tcPr>
            <w:tcW w:w="9116" w:type="dxa"/>
            <w:gridSpan w:val="3"/>
          </w:tcPr>
          <w:tbl>
            <w:tblPr>
              <w:tblStyle w:val="TableNormal1"/>
              <w:tblW w:w="0" w:type="auto"/>
              <w:tblCellSpacing w:w="0" w:type="dxa"/>
              <w:tblInd w:w="0" w:type="dxa"/>
              <w:tblCellMar>
                <w:left w:w="0" w:type="dxa"/>
                <w:right w:w="0" w:type="dxa"/>
              </w:tblCellMar>
              <w:tblLook w:val="04A0" w:firstRow="1" w:lastRow="0" w:firstColumn="1" w:lastColumn="0" w:noHBand="0" w:noVBand="1"/>
            </w:tblPr>
            <w:tblGrid>
              <w:gridCol w:w="6"/>
            </w:tblGrid>
            <w:tr w:rsidR="00665EEC" w:rsidRPr="0031577B" w14:paraId="740EBA96" w14:textId="77777777">
              <w:trPr>
                <w:tblCellSpacing w:w="0" w:type="dxa"/>
              </w:trPr>
              <w:tc>
                <w:tcPr>
                  <w:tcW w:w="0" w:type="auto"/>
                  <w:vAlign w:val="center"/>
                  <w:hideMark/>
                </w:tcPr>
                <w:p w14:paraId="740EBA95" w14:textId="77777777" w:rsidR="00665EEC" w:rsidRPr="00F423D2" w:rsidRDefault="00665EEC" w:rsidP="00665EEC">
                  <w:pPr>
                    <w:rPr>
                      <w:rFonts w:cstheme="minorHAnsi"/>
                      <w:sz w:val="24"/>
                      <w:szCs w:val="24"/>
                    </w:rPr>
                  </w:pPr>
                </w:p>
              </w:tc>
            </w:tr>
          </w:tbl>
          <w:p w14:paraId="740EBA97" w14:textId="77777777" w:rsidR="00665EEC" w:rsidRPr="00F423D2" w:rsidRDefault="00665EEC" w:rsidP="00665EEC">
            <w:pPr>
              <w:rPr>
                <w:rFonts w:cstheme="minorHAnsi"/>
                <w:sz w:val="24"/>
                <w:szCs w:val="24"/>
              </w:rPr>
            </w:pPr>
          </w:p>
          <w:p w14:paraId="740EBA98" w14:textId="77777777" w:rsidR="00665EEC" w:rsidRPr="00F423D2" w:rsidRDefault="00665EEC" w:rsidP="00665EEC">
            <w:pPr>
              <w:spacing w:after="0"/>
              <w:rPr>
                <w:rFonts w:eastAsia="Times New Roman" w:cstheme="minorHAnsi"/>
                <w:color w:val="000000"/>
                <w:sz w:val="24"/>
                <w:szCs w:val="24"/>
                <w:lang w:val="en-US"/>
              </w:rPr>
            </w:pPr>
            <w:r w:rsidRPr="00F423D2">
              <w:rPr>
                <w:rFonts w:eastAsia="Times New Roman" w:cstheme="minorHAnsi"/>
                <w:color w:val="000000"/>
                <w:sz w:val="24"/>
                <w:szCs w:val="24"/>
                <w:lang w:val="en-US"/>
              </w:rPr>
              <w:t>Bőhning, Dankmar</w:t>
            </w:r>
          </w:p>
          <w:p w14:paraId="740EBA99" w14:textId="77777777" w:rsidR="00665EEC" w:rsidRPr="00F423D2" w:rsidRDefault="00665EEC" w:rsidP="00665EEC">
            <w:pPr>
              <w:rPr>
                <w:rFonts w:cstheme="minorHAnsi"/>
                <w:sz w:val="24"/>
                <w:szCs w:val="24"/>
                <w:lang w:val="en-US"/>
              </w:rPr>
            </w:pPr>
            <w:r w:rsidRPr="00F423D2">
              <w:rPr>
                <w:rFonts w:cstheme="minorHAnsi"/>
                <w:sz w:val="24"/>
                <w:szCs w:val="24"/>
              </w:rPr>
              <w:lastRenderedPageBreak/>
              <w:t> </w:t>
            </w:r>
            <w:r w:rsidRPr="00F423D2">
              <w:rPr>
                <w:rFonts w:cstheme="minorHAnsi"/>
                <w:sz w:val="24"/>
                <w:szCs w:val="24"/>
                <w:lang w:val="en-US"/>
              </w:rPr>
              <w:t>University of Southampton - Southampton Statistical Sciences Research Institute</w:t>
            </w:r>
            <w:r w:rsidRPr="00F423D2">
              <w:rPr>
                <w:rFonts w:cstheme="minorHAnsi"/>
                <w:sz w:val="24"/>
                <w:szCs w:val="24"/>
                <w:lang w:val="en-US"/>
              </w:rPr>
              <w:br/>
              <w:t>Southampton</w:t>
            </w:r>
            <w:r w:rsidRPr="00F423D2">
              <w:rPr>
                <w:rFonts w:cstheme="minorHAnsi"/>
                <w:sz w:val="24"/>
                <w:szCs w:val="24"/>
                <w:lang w:val="en-US"/>
              </w:rPr>
              <w:br/>
              <w:t xml:space="preserve">United Kingdom of Great Britain </w:t>
            </w:r>
          </w:p>
        </w:tc>
      </w:tr>
    </w:tbl>
    <w:p w14:paraId="740EBA9B" w14:textId="77777777" w:rsidR="00665EEC" w:rsidRPr="00F423D2" w:rsidRDefault="00665EEC" w:rsidP="00665EEC">
      <w:pPr>
        <w:spacing w:before="100" w:beforeAutospacing="1" w:after="100" w:afterAutospacing="1" w:line="240" w:lineRule="auto"/>
        <w:rPr>
          <w:rFonts w:cstheme="minorHAnsi"/>
          <w:sz w:val="24"/>
          <w:szCs w:val="24"/>
          <w:lang w:eastAsia="nl-NL"/>
        </w:rPr>
      </w:pPr>
    </w:p>
    <w:p w14:paraId="740EBA9C" w14:textId="77777777" w:rsidR="00665EEC" w:rsidRPr="00665EEC" w:rsidRDefault="00665EEC" w:rsidP="00665EEC">
      <w:pPr>
        <w:spacing w:before="100" w:beforeAutospacing="1" w:after="100" w:afterAutospacing="1" w:line="240" w:lineRule="auto"/>
        <w:rPr>
          <w:rFonts w:ascii="Calibri" w:hAnsi="Calibri" w:cs="Calibri"/>
          <w:lang w:eastAsia="nl-NL"/>
        </w:rPr>
      </w:pPr>
    </w:p>
    <w:p w14:paraId="2855C8AF" w14:textId="77777777" w:rsidR="00605895" w:rsidRPr="00605895" w:rsidRDefault="00605895" w:rsidP="00605895">
      <w:pPr>
        <w:rPr>
          <w:rFonts w:asciiTheme="majorHAnsi" w:hAnsiTheme="majorHAnsi" w:cstheme="majorHAnsi"/>
          <w:b/>
          <w:sz w:val="24"/>
          <w:szCs w:val="24"/>
        </w:rPr>
      </w:pPr>
      <w:r w:rsidRPr="00605895">
        <w:rPr>
          <w:rFonts w:asciiTheme="majorHAnsi" w:hAnsiTheme="majorHAnsi" w:cstheme="majorHAnsi"/>
          <w:b/>
          <w:sz w:val="24"/>
          <w:szCs w:val="24"/>
        </w:rPr>
        <w:t>The limitations of cross-sectional study design</w:t>
      </w:r>
      <w:r w:rsidRPr="00605895" w:rsidDel="00E14A21">
        <w:rPr>
          <w:rFonts w:asciiTheme="majorHAnsi" w:hAnsiTheme="majorHAnsi" w:cstheme="majorHAnsi"/>
          <w:b/>
          <w:sz w:val="24"/>
          <w:szCs w:val="24"/>
        </w:rPr>
        <w:t xml:space="preserve"> </w:t>
      </w:r>
    </w:p>
    <w:p w14:paraId="740EBA9E" w14:textId="233A2EC2" w:rsidR="00660E97" w:rsidRPr="0093600A" w:rsidRDefault="00476AA7" w:rsidP="003A43F5">
      <w:pPr>
        <w:spacing w:before="100" w:beforeAutospacing="1" w:after="100" w:afterAutospacing="1" w:line="240" w:lineRule="auto"/>
      </w:pPr>
      <w:r w:rsidRPr="0093600A">
        <w:t>In</w:t>
      </w:r>
      <w:r w:rsidR="003A43F5">
        <w:t xml:space="preserve"> </w:t>
      </w:r>
      <w:r w:rsidR="00E408AD">
        <w:t>July</w:t>
      </w:r>
      <w:r w:rsidRPr="0093600A">
        <w:t xml:space="preserve"> 2017, t</w:t>
      </w:r>
      <w:r w:rsidR="003D475A" w:rsidRPr="0093600A">
        <w:t xml:space="preserve">he </w:t>
      </w:r>
      <w:r w:rsidRPr="0093600A">
        <w:t>International Association of Athletics Federations (</w:t>
      </w:r>
      <w:r w:rsidR="003D475A" w:rsidRPr="0093600A">
        <w:t>IAAF</w:t>
      </w:r>
      <w:r w:rsidRPr="0093600A">
        <w:t>)</w:t>
      </w:r>
      <w:r w:rsidR="003D475A" w:rsidRPr="0093600A">
        <w:t xml:space="preserve"> </w:t>
      </w:r>
      <w:r w:rsidR="00AC7A64" w:rsidRPr="0093600A">
        <w:t>was</w:t>
      </w:r>
      <w:r w:rsidRPr="0093600A">
        <w:t xml:space="preserve"> </w:t>
      </w:r>
      <w:r w:rsidR="00A92D61" w:rsidRPr="0093600A">
        <w:t>expected</w:t>
      </w:r>
      <w:r w:rsidR="003D475A" w:rsidRPr="0093600A">
        <w:t xml:space="preserve"> to return to the Court </w:t>
      </w:r>
      <w:r w:rsidR="001D4A76" w:rsidRPr="0093600A">
        <w:t xml:space="preserve">of </w:t>
      </w:r>
      <w:r w:rsidR="003D475A" w:rsidRPr="0093600A">
        <w:t xml:space="preserve">Arbitration for Sport (CAS) with evidence to justify reinstatement of their controversial </w:t>
      </w:r>
      <w:r w:rsidRPr="0093600A">
        <w:t>h</w:t>
      </w:r>
      <w:r w:rsidR="003D475A" w:rsidRPr="0093600A">
        <w:t>yperandrogenism rule</w:t>
      </w:r>
      <w:r w:rsidRPr="0093600A">
        <w:t xml:space="preserve">. </w:t>
      </w:r>
      <w:r w:rsidR="003A43F5" w:rsidRPr="0093600A">
        <w:rPr>
          <w:rFonts w:ascii="Calibri" w:eastAsia="Times New Roman" w:hAnsi="Calibri" w:cs="Calibri"/>
          <w:lang w:eastAsia="en-GB"/>
        </w:rPr>
        <w:t xml:space="preserve">CAS has granted IAAF a two month extension for their response which was due by the end of September. </w:t>
      </w:r>
      <w:r w:rsidRPr="0093600A">
        <w:t>CAS</w:t>
      </w:r>
      <w:r w:rsidR="00AD3ED4" w:rsidRPr="0093600A">
        <w:t xml:space="preserve"> </w:t>
      </w:r>
      <w:r w:rsidR="003D475A" w:rsidRPr="0093600A">
        <w:t xml:space="preserve">suspended </w:t>
      </w:r>
      <w:r w:rsidRPr="0093600A">
        <w:t xml:space="preserve">the IAAF Hyperandrogenism Regulations </w:t>
      </w:r>
      <w:r w:rsidR="00BF0BCD" w:rsidRPr="0093600A">
        <w:fldChar w:fldCharType="begin" w:fldLock="1"/>
      </w:r>
      <w:r w:rsidR="00B97EB1" w:rsidRPr="0093600A">
        <w:instrText>ADDIN CSL_CITATION { "citationItems" : [ { "id" : "ITEM-1", "itemData" : { "id" : "ITEM-1", "issued" : { "date-parts" : [ [ "0" ] ] }, "page" : "-", "title" : "International Association of Athletics Federations. (IAAF). (2011). IAAF regulations governing eligibility of females with hyperandrogenism to compete in women's competitions. ", "type" : "article" }, "uris" : [ "http://www.mendeley.com/documents/?uuid=9c6a1f9d-7e2a-4f01-a73b-b4a7b006c48f" ] } ], "mendeley" : { "formattedCitation" : "[1]", "plainTextFormattedCitation" : "[1]", "previouslyFormattedCitation" : "[1]" }, "properties" : { "noteIndex" : 0 }, "schema" : "https://github.com/citation-style-language/schema/raw/master/csl-citation.json" }</w:instrText>
      </w:r>
      <w:r w:rsidR="00BF0BCD" w:rsidRPr="0093600A">
        <w:fldChar w:fldCharType="separate"/>
      </w:r>
      <w:r w:rsidR="005960DE" w:rsidRPr="0093600A">
        <w:rPr>
          <w:noProof/>
        </w:rPr>
        <w:t>[1]</w:t>
      </w:r>
      <w:r w:rsidR="00BF0BCD" w:rsidRPr="0093600A">
        <w:fldChar w:fldCharType="end"/>
      </w:r>
      <w:r w:rsidR="00A92D61" w:rsidRPr="0093600A">
        <w:t xml:space="preserve"> </w:t>
      </w:r>
      <w:r w:rsidR="003D475A" w:rsidRPr="0093600A">
        <w:t xml:space="preserve">two years </w:t>
      </w:r>
      <w:r w:rsidRPr="0093600A">
        <w:t>earlier</w:t>
      </w:r>
      <w:r w:rsidR="003D475A" w:rsidRPr="0093600A">
        <w:t xml:space="preserve"> following the successful appeal </w:t>
      </w:r>
      <w:r w:rsidR="00D22A27">
        <w:t>by</w:t>
      </w:r>
      <w:r w:rsidR="00D22A27" w:rsidRPr="0093600A">
        <w:t xml:space="preserve"> </w:t>
      </w:r>
      <w:r w:rsidR="003A0BF5" w:rsidRPr="0093600A">
        <w:t>the</w:t>
      </w:r>
      <w:r w:rsidR="003D475A" w:rsidRPr="0093600A">
        <w:t xml:space="preserve"> Indian </w:t>
      </w:r>
      <w:r w:rsidR="00A92D61" w:rsidRPr="0093600A">
        <w:t>runner</w:t>
      </w:r>
      <w:r w:rsidR="003D475A" w:rsidRPr="0093600A">
        <w:t xml:space="preserve"> Dutee Chand</w:t>
      </w:r>
      <w:r w:rsidR="008F36FC" w:rsidRPr="0093600A">
        <w:t xml:space="preserve"> </w:t>
      </w:r>
      <w:r w:rsidR="00BF0BCD" w:rsidRPr="0093600A">
        <w:fldChar w:fldCharType="begin" w:fldLock="1"/>
      </w:r>
      <w:r w:rsidR="00B97EB1" w:rsidRPr="0093600A">
        <w:instrText>ADDIN CSL_CITATION { "citationItems" : [ { "id" : "ITEM-1", "itemData" : { "abstract" : "The Court of Arbitration for Sport rules that:\r\nI. The appeal filed by Ms Dutee Chand on 26 September 2014 against the Athletics\r\nFederation of India's letter of29 Augnst 2014 declaring Ms Chand ineligible to compete\r\nunder the IAAF Regnlation Governing Eligibility of Females with Hyperandrogenism\r\nto Compete in Women's Competition (the \"Hyperandrogenism Regulations\") is\r\npartially upheld.\r\n2. The Hyperandrogenism Regnlations are suspended for a period of no longer than two\r\nyears from the date of this Interim Award. In the interim, Ms Dutee Chand is permitted\r\nto compete in both national and international-level athletics events.\r\n3. The International Association of Athletics Federations may, at any time within two\r\nyears of the date of this Interim Award, submit further written evidence and expe1t\r\nreports to this Panel addressing the Panel's concerns concerning the Hyperandrogenism\r\nRegulations as set forth in this Interim Award and, in particular, the actual degree of\r\nathletic performance advantage sustained by hyperandrogenic female athletes as\r\ncompared to non-hyperandrogenic female athletes by reason of their high levels of\r\ntestosterone.\r\n4. To the extent the International Association of Athletics Federations submits further\r\nwritten evidence and expert reports in accordance with paragraph 3 above, the Panel\r\nshall issue further procedural instructions to the parties, including the opportunity for\r\nMs Chand to file written evidence and submissions in response to the submissions filed\r\nby the International Association of Athletics Federations, prior to determining whether\r\nthe new evidence establishes the validity of the Hyperandrogenism Regulations. The\r\nPanel will then decide whether any further oral hearing shall take place and notify the\r\nparties accordingly.\r\n5. In the event that no evidence is filed in accordance with paragraph 3 above, or in the\r\nevent that the International Association of Athletics Federations confirms in writing to\r\nthe CAS Court Office that it does not intend to file any such evidence, the\r\nHyperandrogenism Regulations shall be declared void.\r\n6. ( ... ).\r\n7. ( ... ).\r\n8. All other motions or prayers for relief are dismissed.", "author" : [ { "dropping-particle" : "", "family" : "Court of Arbitration for Sport", "given" : "", "non-dropping-particle" : "", "parse-names" : false, "suffix" : "" } ], "container-title" : "Interim Arbitral Award", "id" : "ITEM-1", "issued" : { "date-parts" : [ [ "2015" ] ] }, "page" : "16", "title" : "CAS 2014/A/3759 Dntee Chand v. Athletics Federation oflndia (AFI) &amp;amp; The International Association of Athletics Federations (IAAF)", "type" : "legislation" }, "uris" : [ "http://www.mendeley.com/documents/?uuid=fa11ae15-6cc2-3749-809f-67f583661350" ] } ], "mendeley" : { "formattedCitation" : "[2]", "plainTextFormattedCitation" : "[2]", "previouslyFormattedCitation" : "[2]" }, "properties" : { "noteIndex" : 0 }, "schema" : "https://github.com/citation-style-language/schema/raw/master/csl-citation.json" }</w:instrText>
      </w:r>
      <w:r w:rsidR="00BF0BCD" w:rsidRPr="0093600A">
        <w:fldChar w:fldCharType="separate"/>
      </w:r>
      <w:r w:rsidR="005960DE" w:rsidRPr="0093600A">
        <w:rPr>
          <w:noProof/>
        </w:rPr>
        <w:t>[2]</w:t>
      </w:r>
      <w:r w:rsidR="00BF0BCD" w:rsidRPr="0093600A">
        <w:fldChar w:fldCharType="end"/>
      </w:r>
      <w:r w:rsidR="003D475A" w:rsidRPr="0093600A">
        <w:t>.</w:t>
      </w:r>
      <w:r w:rsidR="00783C76" w:rsidRPr="0093600A">
        <w:t xml:space="preserve"> </w:t>
      </w:r>
      <w:r w:rsidRPr="0093600A">
        <w:t xml:space="preserve">IAAF </w:t>
      </w:r>
      <w:r w:rsidR="00AD7723" w:rsidRPr="0093600A">
        <w:t xml:space="preserve">advisors </w:t>
      </w:r>
      <w:r w:rsidRPr="0093600A">
        <w:t>have published t</w:t>
      </w:r>
      <w:r w:rsidR="003D475A" w:rsidRPr="0093600A">
        <w:t>wo recent articles in this journal</w:t>
      </w:r>
      <w:r w:rsidR="009E17E7" w:rsidRPr="0093600A">
        <w:t xml:space="preserve"> </w:t>
      </w:r>
      <w:r w:rsidR="00BF0BCD" w:rsidRPr="0093600A">
        <w:fldChar w:fldCharType="begin" w:fldLock="1"/>
      </w:r>
      <w:r w:rsidR="00B97EB1" w:rsidRPr="0093600A">
        <w:instrText>ADDIN CSL_CITATION { "citationItems" : [ { "id" : "ITEM-1", "itemData" : { "DOI" : "10.1136/bjsports-2017-097582", "ISSN" : "0306-3674", "author" : [ { "dropping-particle" : "", "family" : "Eklund", "given" : "Emma", "non-dropping-particle" : "", "parse-names" : false, "suffix" : "" }, { "dropping-particle" : "", "family" : "Berglund", "given" : "Bo", "non-dropping-particle" : "", "parse-names" : false, "suffix" : "" }, { "dropping-particle" : "", "family" : "Labrie", "given" : "Fernand", "non-dropping-particle" : "", "parse-names" : false, "suffix" : "" }, { "dropping-particle" : "", "family" : "Carlstr?m", "given" : "Kjell", "non-dropping-particle" : "", "parse-names" : false, "suffix" : "" }, { "dropping-particle" : "", "family" : "Ekstr?m", "given" : "Lena", "non-dropping-particle" : "", "parse-names" : false, "suffix" : "" }, { "dropping-particle" : "", "family" : "Hirschberg", "given" : "Angelica Lind?n", "non-dropping-particle" : "", "parse-names" : false, "suffix" : "" } ], "container-title" : "British Journal of Sports Medicine", "id" : "ITEM-1", "issued" : { "date-parts" : [ [ "2017", "6", "23" ] ] }, "page" : "bjsports-2017-097582", "title" : "Serum androgen profile and physical performance in women Olympic athletes", "type" : "article-journal" }, "uris" : [ "http://www.mendeley.com/documents/?uuid=d9a91db9-17cf-388d-85d6-a5b846c45cb4" ] } ], "mendeley" : { "formattedCitation" : "[3]", "plainTextFormattedCitation" : "[3]", "previouslyFormattedCitation" : "[3]" }, "properties" : { "noteIndex" : 0 }, "schema" : "https://github.com/citation-style-language/schema/raw/master/csl-citation.json" }</w:instrText>
      </w:r>
      <w:r w:rsidR="00BF0BCD" w:rsidRPr="0093600A">
        <w:fldChar w:fldCharType="separate"/>
      </w:r>
      <w:r w:rsidR="005960DE" w:rsidRPr="0093600A">
        <w:rPr>
          <w:noProof/>
        </w:rPr>
        <w:t>[3]</w:t>
      </w:r>
      <w:r w:rsidR="00BF0BCD" w:rsidRPr="0093600A">
        <w:fldChar w:fldCharType="end"/>
      </w:r>
      <w:r w:rsidR="00BF0BCD" w:rsidRPr="0093600A">
        <w:fldChar w:fldCharType="begin" w:fldLock="1"/>
      </w:r>
      <w:r w:rsidR="00B97EB1" w:rsidRPr="0093600A">
        <w:instrText>ADDIN CSL_CITATION { "citationItems" : [ { "id" : "ITEM-1", "itemData" : { "DOI" : "10.1136/bjsports-2017-097792", "ISSN" : "0306-3674", "author" : [ { "dropping-particle" : "", "family" : "Bermon", "given" : "St\u00e9phane", "non-dropping-particle" : "", "parse-names" : false, "suffix" : "" }, { "dropping-particle" : "", "family" : "Garnier", "given" : "Pierre-Yves", "non-dropping-particle" : "", "parse-names" : false, "suffix" : "" } ], "container-title" : "British Journal of Sports Medicine", "id" : "ITEM-1", "issued" : { "date-parts" : [ [ "2017", "7", "3" ] ] }, "page" : "bjsports-2017-097792", "title" : "Serum androgen levels and their relation to performance in track and field: mass spectrometry results from 2127 observations in male and female elite athletes", "type" : "article-journal" }, "uris" : [ "http://www.mendeley.com/documents/?uuid=9e7fdd82-3908-3f6f-ac88-5aed3a937fde" ] } ], "mendeley" : { "formattedCitation" : "[4]", "plainTextFormattedCitation" : "[4]", "previouslyFormattedCitation" : "[4]" }, "properties" : { "noteIndex" : 0 }, "schema" : "https://github.com/citation-style-language/schema/raw/master/csl-citation.json" }</w:instrText>
      </w:r>
      <w:r w:rsidR="00BF0BCD" w:rsidRPr="0093600A">
        <w:fldChar w:fldCharType="separate"/>
      </w:r>
      <w:r w:rsidR="005960DE" w:rsidRPr="0093600A">
        <w:rPr>
          <w:noProof/>
        </w:rPr>
        <w:t>[4]</w:t>
      </w:r>
      <w:r w:rsidR="00BF0BCD" w:rsidRPr="0093600A">
        <w:fldChar w:fldCharType="end"/>
      </w:r>
      <w:r w:rsidR="00740DB0" w:rsidRPr="0093600A">
        <w:t xml:space="preserve"> </w:t>
      </w:r>
      <w:r w:rsidR="00296240" w:rsidRPr="0093600A">
        <w:t xml:space="preserve">to </w:t>
      </w:r>
      <w:r w:rsidR="00660E97" w:rsidRPr="0093600A">
        <w:t>support</w:t>
      </w:r>
      <w:r w:rsidR="00733D98" w:rsidRPr="0093600A">
        <w:t xml:space="preserve"> the</w:t>
      </w:r>
      <w:r w:rsidRPr="0093600A">
        <w:t>ir</w:t>
      </w:r>
      <w:r w:rsidR="00733D98" w:rsidRPr="0093600A">
        <w:t xml:space="preserve"> </w:t>
      </w:r>
      <w:r w:rsidR="00740DB0" w:rsidRPr="0093600A">
        <w:t>c</w:t>
      </w:r>
      <w:r w:rsidRPr="0093600A">
        <w:t>laims</w:t>
      </w:r>
      <w:r w:rsidR="00740DB0" w:rsidRPr="0093600A">
        <w:t xml:space="preserve"> that </w:t>
      </w:r>
      <w:r w:rsidRPr="0093600A">
        <w:t xml:space="preserve">women with high </w:t>
      </w:r>
      <w:r w:rsidR="00740DB0" w:rsidRPr="0093600A">
        <w:t xml:space="preserve">endogenous testosterone levels </w:t>
      </w:r>
      <w:r w:rsidR="008D789F" w:rsidRPr="0093600A">
        <w:t>have</w:t>
      </w:r>
      <w:r w:rsidRPr="0093600A">
        <w:t xml:space="preserve"> such a significant performance advantage over women with lower levels that it is necessary to exclude them from competing in the female category.</w:t>
      </w:r>
    </w:p>
    <w:p w14:paraId="740EBA9F" w14:textId="58B83755" w:rsidR="00296240" w:rsidRPr="0093600A" w:rsidRDefault="00236EF0">
      <w:r w:rsidRPr="0093600A">
        <w:lastRenderedPageBreak/>
        <w:t>Both papers have examined the relationship between blood testosterone concentration and athletic performance</w:t>
      </w:r>
      <w:r w:rsidR="00AC7A64" w:rsidRPr="0093600A">
        <w:t xml:space="preserve"> using a cross-sectional design</w:t>
      </w:r>
      <w:r w:rsidRPr="0093600A">
        <w:t xml:space="preserve">. </w:t>
      </w:r>
      <w:r w:rsidR="00AC7A64" w:rsidRPr="0093600A">
        <w:t>While such studies can show the presence of association, they do not prove causality</w:t>
      </w:r>
      <w:r w:rsidR="00C86DD1" w:rsidRPr="0093600A">
        <w:t xml:space="preserve"> and no mention is made of the possible impor</w:t>
      </w:r>
      <w:r w:rsidR="002C4F0E">
        <w:t>tance of associated androgen insensitivity</w:t>
      </w:r>
      <w:r w:rsidR="0090196A">
        <w:t xml:space="preserve"> while in some there may be a contribution from </w:t>
      </w:r>
      <w:r w:rsidR="00C064AB">
        <w:t>exogenous testosterone</w:t>
      </w:r>
      <w:r w:rsidR="00AC7A64" w:rsidRPr="0093600A">
        <w:t xml:space="preserve">. </w:t>
      </w:r>
      <w:r w:rsidR="00733D98" w:rsidRPr="0093600A">
        <w:t xml:space="preserve">The paper </w:t>
      </w:r>
      <w:r w:rsidR="007A0AC3">
        <w:t xml:space="preserve">by Eklund </w:t>
      </w:r>
      <w:r w:rsidR="0004121D">
        <w:t xml:space="preserve">et al. </w:t>
      </w:r>
      <w:r w:rsidR="00733D98" w:rsidRPr="0093600A">
        <w:t xml:space="preserve">compared </w:t>
      </w:r>
      <w:r w:rsidR="00131404" w:rsidRPr="0093600A">
        <w:t xml:space="preserve">a spectrum of androgen-related </w:t>
      </w:r>
      <w:r w:rsidR="00733D98" w:rsidRPr="0093600A">
        <w:t xml:space="preserve">endocrine variables in a group of 106 elite </w:t>
      </w:r>
      <w:r w:rsidRPr="0093600A">
        <w:t xml:space="preserve">Swedish </w:t>
      </w:r>
      <w:r w:rsidR="00523A23" w:rsidRPr="0093600A">
        <w:t>female</w:t>
      </w:r>
      <w:r w:rsidR="00994E0D" w:rsidRPr="0093600A">
        <w:t xml:space="preserve"> </w:t>
      </w:r>
      <w:r w:rsidR="00733D98" w:rsidRPr="0093600A">
        <w:t>athlete</w:t>
      </w:r>
      <w:r w:rsidR="00131404" w:rsidRPr="0093600A">
        <w:t>s with 117 sedent</w:t>
      </w:r>
      <w:r w:rsidR="00296240" w:rsidRPr="0093600A">
        <w:t>ary controls</w:t>
      </w:r>
      <w:r w:rsidRPr="0093600A">
        <w:t xml:space="preserve"> </w:t>
      </w:r>
      <w:r w:rsidR="00BF0BCD" w:rsidRPr="0093600A">
        <w:fldChar w:fldCharType="begin" w:fldLock="1"/>
      </w:r>
      <w:r w:rsidR="00B97EB1" w:rsidRPr="0093600A">
        <w:instrText>ADDIN CSL_CITATION { "citationItems" : [ { "id" : "ITEM-1", "itemData" : { "DOI" : "10.1136/bjsports-2017-097582", "ISSN" : "0306-3674", "author" : [ { "dropping-particle" : "", "family" : "Eklund", "given" : "Emma", "non-dropping-particle" : "", "parse-names" : false, "suffix" : "" }, { "dropping-particle" : "", "family" : "Berglund", "given" : "Bo", "non-dropping-particle" : "", "parse-names" : false, "suffix" : "" }, { "dropping-particle" : "", "family" : "Labrie", "given" : "Fernand", "non-dropping-particle" : "", "parse-names" : false, "suffix" : "" }, { "dropping-particle" : "", "family" : "Carlstr?m", "given" : "Kjell", "non-dropping-particle" : "", "parse-names" : false, "suffix" : "" }, { "dropping-particle" : "", "family" : "Ekstr?m", "given" : "Lena", "non-dropping-particle" : "", "parse-names" : false, "suffix" : "" }, { "dropping-particle" : "", "family" : "Hirschberg", "given" : "Angelica Lind?n", "non-dropping-particle" : "", "parse-names" : false, "suffix" : "" } ], "container-title" : "British Journal of Sports Medicine", "id" : "ITEM-1", "issued" : { "date-parts" : [ [ "2017", "6", "23" ] ] }, "page" : "bjsports-2017-097582", "title" : "Serum androgen profile and physical performance in women Olympic athletes", "type" : "article-journal" }, "uris" : [ "http://www.mendeley.com/documents/?uuid=d9a91db9-17cf-388d-85d6-a5b846c45cb4" ] } ], "mendeley" : { "formattedCitation" : "[3]", "plainTextFormattedCitation" : "[3]", "previouslyFormattedCitation" : "[3]" }, "properties" : { "noteIndex" : 0 }, "schema" : "https://github.com/citation-style-language/schema/raw/master/csl-citation.json" }</w:instrText>
      </w:r>
      <w:r w:rsidR="00BF0BCD" w:rsidRPr="0093600A">
        <w:fldChar w:fldCharType="separate"/>
      </w:r>
      <w:r w:rsidR="005960DE" w:rsidRPr="0093600A">
        <w:rPr>
          <w:noProof/>
        </w:rPr>
        <w:t>[3]</w:t>
      </w:r>
      <w:r w:rsidR="00BF0BCD" w:rsidRPr="0093600A">
        <w:fldChar w:fldCharType="end"/>
      </w:r>
      <w:r w:rsidR="00296240" w:rsidRPr="0093600A">
        <w:t xml:space="preserve">. </w:t>
      </w:r>
      <w:r w:rsidR="00C23A25" w:rsidRPr="0093600A">
        <w:t xml:space="preserve">They </w:t>
      </w:r>
      <w:r w:rsidR="00733D98" w:rsidRPr="0093600A">
        <w:t xml:space="preserve">found no difference in testosterone </w:t>
      </w:r>
      <w:r w:rsidR="00AD7723" w:rsidRPr="0093600A">
        <w:t>concentrations</w:t>
      </w:r>
      <w:r w:rsidR="000A4624" w:rsidRPr="0093600A">
        <w:t xml:space="preserve"> </w:t>
      </w:r>
      <w:r w:rsidR="00733D98" w:rsidRPr="0093600A">
        <w:t xml:space="preserve">between the two groups </w:t>
      </w:r>
      <w:r w:rsidR="00296240" w:rsidRPr="0093600A">
        <w:t xml:space="preserve">and most importantly, </w:t>
      </w:r>
      <w:r w:rsidR="00C4181A" w:rsidRPr="0093600A">
        <w:t xml:space="preserve">no correlation between testosterone </w:t>
      </w:r>
      <w:r w:rsidR="00AD7723" w:rsidRPr="0093600A">
        <w:t>concentration</w:t>
      </w:r>
      <w:r w:rsidR="00C4181A" w:rsidRPr="0093600A">
        <w:t xml:space="preserve"> and indices of performance </w:t>
      </w:r>
      <w:r w:rsidR="00F04136" w:rsidRPr="0093600A">
        <w:t>in</w:t>
      </w:r>
      <w:r w:rsidR="000A4624" w:rsidRPr="0093600A">
        <w:t xml:space="preserve"> the</w:t>
      </w:r>
      <w:r w:rsidR="00C4181A" w:rsidRPr="0093600A">
        <w:t xml:space="preserve"> elite female athletes.</w:t>
      </w:r>
      <w:r w:rsidR="00660E97" w:rsidRPr="0093600A">
        <w:t xml:space="preserve"> </w:t>
      </w:r>
    </w:p>
    <w:p w14:paraId="740EBAA0" w14:textId="6456A791" w:rsidR="008F36FC" w:rsidRPr="0093600A" w:rsidRDefault="00067108">
      <w:r w:rsidRPr="0093600A">
        <w:t>The paper</w:t>
      </w:r>
      <w:r w:rsidR="007A0AC3">
        <w:t xml:space="preserve"> by Bermon</w:t>
      </w:r>
      <w:r w:rsidR="0004121D">
        <w:t xml:space="preserve"> and Garnier</w:t>
      </w:r>
      <w:r w:rsidRPr="0093600A">
        <w:t xml:space="preserve"> </w:t>
      </w:r>
      <w:r w:rsidR="00994E0D" w:rsidRPr="0093600A">
        <w:t>(</w:t>
      </w:r>
      <w:r w:rsidR="001D4A76" w:rsidRPr="0093600A">
        <w:t>funded by the IAAF</w:t>
      </w:r>
      <w:r w:rsidR="00C23A25" w:rsidRPr="0093600A">
        <w:t xml:space="preserve"> and WADA</w:t>
      </w:r>
      <w:r w:rsidR="00994E0D" w:rsidRPr="0093600A">
        <w:t>)</w:t>
      </w:r>
      <w:r w:rsidR="00AD7723" w:rsidRPr="0093600A">
        <w:t xml:space="preserve"> </w:t>
      </w:r>
      <w:r w:rsidR="00C4181A" w:rsidRPr="0093600A">
        <w:t xml:space="preserve">examined </w:t>
      </w:r>
      <w:r w:rsidR="00EF44D1">
        <w:t xml:space="preserve">the </w:t>
      </w:r>
      <w:r w:rsidR="00C4181A" w:rsidRPr="0093600A">
        <w:t>results of endocrine variables in</w:t>
      </w:r>
      <w:r w:rsidR="00DD10AF" w:rsidRPr="0093600A">
        <w:t xml:space="preserve"> 1332</w:t>
      </w:r>
      <w:r w:rsidR="00C4181A" w:rsidRPr="0093600A">
        <w:t xml:space="preserve"> </w:t>
      </w:r>
      <w:r w:rsidR="00DD10AF" w:rsidRPr="0093600A">
        <w:t>blood samples from</w:t>
      </w:r>
      <w:r w:rsidR="00C4181A" w:rsidRPr="0093600A">
        <w:t xml:space="preserve"> elite female athletes </w:t>
      </w:r>
      <w:r w:rsidR="007A0AC3">
        <w:t>who took</w:t>
      </w:r>
      <w:r w:rsidR="007A0AC3" w:rsidRPr="0093600A">
        <w:t xml:space="preserve"> </w:t>
      </w:r>
      <w:r w:rsidR="00C4181A" w:rsidRPr="0093600A">
        <w:t>part in the 2011 and 2013 IAAF World A</w:t>
      </w:r>
      <w:r w:rsidR="00296240" w:rsidRPr="0093600A">
        <w:t>thletic Championships</w:t>
      </w:r>
      <w:r w:rsidR="007A0AC3">
        <w:t xml:space="preserve">; </w:t>
      </w:r>
      <w:r w:rsidR="00A50616" w:rsidRPr="0093600A">
        <w:t xml:space="preserve">17.3% of </w:t>
      </w:r>
      <w:r w:rsidR="007A0AC3">
        <w:t>these athletes</w:t>
      </w:r>
      <w:r w:rsidR="007A0AC3" w:rsidRPr="0093600A">
        <w:t xml:space="preserve"> </w:t>
      </w:r>
      <w:r w:rsidR="00A50616" w:rsidRPr="0093600A">
        <w:t xml:space="preserve">were sampled at both events </w:t>
      </w:r>
      <w:r w:rsidR="00BF0BCD" w:rsidRPr="0093600A">
        <w:fldChar w:fldCharType="begin" w:fldLock="1"/>
      </w:r>
      <w:r w:rsidR="00B97EB1" w:rsidRPr="0093600A">
        <w:instrText>ADDIN CSL_CITATION { "citationItems" : [ { "id" : "ITEM-1", "itemData" : { "DOI" : "10.1136/bjsports-2017-097792", "ISSN" : "0306-3674", "author" : [ { "dropping-particle" : "", "family" : "Bermon", "given" : "St\u00e9phane", "non-dropping-particle" : "", "parse-names" : false, "suffix" : "" }, { "dropping-particle" : "", "family" : "Garnier", "given" : "Pierre-Yves", "non-dropping-particle" : "", "parse-names" : false, "suffix" : "" } ], "container-title" : "British Journal of Sports Medicine", "id" : "ITEM-1", "issued" : { "date-parts" : [ [ "2017", "7", "3" ] ] }, "page" : "bjsports-2017-097792", "title" : "Serum androgen levels and their relation to performance in track and field: mass spectrometry results from 2127 observations in male and female elite athletes", "type" : "article-journal" }, "uris" : [ "http://www.mendeley.com/documents/?uuid=9e7fdd82-3908-3f6f-ac88-5aed3a937fde" ] } ], "mendeley" : { "formattedCitation" : "[4]", "plainTextFormattedCitation" : "[4]", "previouslyFormattedCitation" : "[4]" }, "properties" : { "noteIndex" : 0 }, "schema" : "https://github.com/citation-style-language/schema/raw/master/csl-citation.json" }</w:instrText>
      </w:r>
      <w:r w:rsidR="00BF0BCD" w:rsidRPr="0093600A">
        <w:fldChar w:fldCharType="separate"/>
      </w:r>
      <w:r w:rsidR="005960DE" w:rsidRPr="0093600A">
        <w:rPr>
          <w:noProof/>
        </w:rPr>
        <w:t>[4]</w:t>
      </w:r>
      <w:r w:rsidR="00BF0BCD" w:rsidRPr="0093600A">
        <w:fldChar w:fldCharType="end"/>
      </w:r>
      <w:r w:rsidR="00A50616" w:rsidRPr="0093600A">
        <w:t xml:space="preserve">. </w:t>
      </w:r>
    </w:p>
    <w:p w14:paraId="740EBAA1" w14:textId="7FC85AE9" w:rsidR="001C11D6" w:rsidRPr="0093600A" w:rsidRDefault="002C4F0E" w:rsidP="001C11D6">
      <w:pPr>
        <w:spacing w:after="0" w:line="240" w:lineRule="auto"/>
        <w:rPr>
          <w:rFonts w:ascii="Calibri" w:eastAsia="Times New Roman" w:hAnsi="Calibri" w:cs="Times New Roman"/>
          <w:lang w:val="en-US"/>
        </w:rPr>
      </w:pPr>
      <w:r>
        <w:rPr>
          <w:rFonts w:ascii="Calibri" w:eastAsia="Times New Roman" w:hAnsi="Calibri" w:cs="Times New Roman"/>
          <w:lang w:val="en-US"/>
        </w:rPr>
        <w:t>The hyperandrogenism rule</w:t>
      </w:r>
      <w:r w:rsidR="001C11D6" w:rsidRPr="0093600A">
        <w:rPr>
          <w:rFonts w:ascii="Calibri" w:eastAsia="Times New Roman" w:hAnsi="Calibri" w:cs="Times New Roman"/>
          <w:lang w:val="en-US"/>
        </w:rPr>
        <w:t xml:space="preserve"> concerns total</w:t>
      </w:r>
      <w:r w:rsidR="00AC7A64" w:rsidRPr="0093600A">
        <w:rPr>
          <w:rFonts w:ascii="Calibri" w:eastAsia="Times New Roman" w:hAnsi="Calibri" w:cs="Times New Roman"/>
          <w:lang w:val="en-US"/>
        </w:rPr>
        <w:t xml:space="preserve"> endogenous</w:t>
      </w:r>
      <w:r w:rsidR="001C11D6" w:rsidRPr="0093600A">
        <w:rPr>
          <w:rFonts w:ascii="Calibri" w:eastAsia="Times New Roman" w:hAnsi="Calibri" w:cs="Times New Roman"/>
          <w:lang w:val="en-US"/>
        </w:rPr>
        <w:t xml:space="preserve"> blood testosterone</w:t>
      </w:r>
      <w:r w:rsidR="00EF44D1">
        <w:rPr>
          <w:rFonts w:ascii="Calibri" w:eastAsia="Times New Roman" w:hAnsi="Calibri" w:cs="Times New Roman"/>
          <w:lang w:val="en-US"/>
        </w:rPr>
        <w:t xml:space="preserve"> but</w:t>
      </w:r>
      <w:r w:rsidR="001C11D6" w:rsidRPr="0093600A">
        <w:rPr>
          <w:rFonts w:ascii="Calibri" w:eastAsia="Times New Roman" w:hAnsi="Calibri" w:cs="Times New Roman"/>
          <w:lang w:val="en-US"/>
        </w:rPr>
        <w:t xml:space="preserve"> Bermon and Garnier concentrate</w:t>
      </w:r>
      <w:r w:rsidR="007A0AC3">
        <w:rPr>
          <w:rFonts w:ascii="Calibri" w:eastAsia="Times New Roman" w:hAnsi="Calibri" w:cs="Times New Roman"/>
          <w:lang w:val="en-US"/>
        </w:rPr>
        <w:t>d</w:t>
      </w:r>
      <w:r w:rsidR="001C11D6" w:rsidRPr="0093600A">
        <w:rPr>
          <w:rFonts w:ascii="Calibri" w:eastAsia="Times New Roman" w:hAnsi="Calibri" w:cs="Times New Roman"/>
          <w:lang w:val="en-US"/>
        </w:rPr>
        <w:t xml:space="preserve"> on the derived ‘free testosterone’ </w:t>
      </w:r>
      <w:r w:rsidR="00074F15" w:rsidRPr="0093600A">
        <w:rPr>
          <w:rFonts w:ascii="Calibri" w:eastAsia="Times New Roman" w:hAnsi="Calibri" w:cs="Times New Roman"/>
          <w:lang w:val="en-US"/>
        </w:rPr>
        <w:t>(fT)</w:t>
      </w:r>
      <w:r w:rsidR="001C11D6" w:rsidRPr="0093600A">
        <w:rPr>
          <w:rFonts w:ascii="Calibri" w:eastAsia="Times New Roman" w:hAnsi="Calibri" w:cs="Times New Roman"/>
          <w:lang w:val="en-US"/>
        </w:rPr>
        <w:t xml:space="preserve"> and f</w:t>
      </w:r>
      <w:r w:rsidR="00EF44D1">
        <w:rPr>
          <w:rFonts w:ascii="Calibri" w:eastAsia="Times New Roman" w:hAnsi="Calibri" w:cs="Times New Roman"/>
          <w:lang w:val="en-US"/>
        </w:rPr>
        <w:t>ou</w:t>
      </w:r>
      <w:r w:rsidR="001C11D6" w:rsidRPr="0093600A">
        <w:rPr>
          <w:rFonts w:ascii="Calibri" w:eastAsia="Times New Roman" w:hAnsi="Calibri" w:cs="Times New Roman"/>
          <w:lang w:val="en-US"/>
        </w:rPr>
        <w:t xml:space="preserve">nd that there </w:t>
      </w:r>
      <w:r w:rsidR="007A0AC3">
        <w:rPr>
          <w:rFonts w:ascii="Calibri" w:eastAsia="Times New Roman" w:hAnsi="Calibri" w:cs="Times New Roman"/>
          <w:lang w:val="en-US"/>
        </w:rPr>
        <w:t>were</w:t>
      </w:r>
      <w:r w:rsidR="007A0AC3" w:rsidRPr="0093600A">
        <w:rPr>
          <w:rFonts w:ascii="Calibri" w:eastAsia="Times New Roman" w:hAnsi="Calibri" w:cs="Times New Roman"/>
          <w:lang w:val="en-US"/>
        </w:rPr>
        <w:t xml:space="preserve"> </w:t>
      </w:r>
      <w:r w:rsidR="001C11D6" w:rsidRPr="0093600A">
        <w:rPr>
          <w:rFonts w:ascii="Calibri" w:eastAsia="Times New Roman" w:hAnsi="Calibri" w:cs="Times New Roman"/>
          <w:lang w:val="en-US"/>
        </w:rPr>
        <w:t xml:space="preserve">five (of twenty one) events where </w:t>
      </w:r>
      <w:r w:rsidR="007A0AC3">
        <w:rPr>
          <w:rFonts w:ascii="Calibri" w:eastAsia="Times New Roman" w:hAnsi="Calibri" w:cs="Times New Roman"/>
          <w:lang w:val="en-US"/>
        </w:rPr>
        <w:t>athletes</w:t>
      </w:r>
      <w:r w:rsidR="007A0AC3" w:rsidRPr="0093600A">
        <w:rPr>
          <w:rFonts w:ascii="Calibri" w:eastAsia="Times New Roman" w:hAnsi="Calibri" w:cs="Times New Roman"/>
          <w:lang w:val="en-US"/>
        </w:rPr>
        <w:t xml:space="preserve"> </w:t>
      </w:r>
      <w:r w:rsidR="001C11D6" w:rsidRPr="0093600A">
        <w:rPr>
          <w:rFonts w:ascii="Calibri" w:eastAsia="Times New Roman" w:hAnsi="Calibri" w:cs="Times New Roman"/>
          <w:lang w:val="en-US"/>
        </w:rPr>
        <w:t xml:space="preserve">whose fT </w:t>
      </w:r>
      <w:r w:rsidR="007A0AC3">
        <w:rPr>
          <w:rFonts w:ascii="Calibri" w:eastAsia="Times New Roman" w:hAnsi="Calibri" w:cs="Times New Roman"/>
          <w:lang w:val="en-US"/>
        </w:rPr>
        <w:t>was</w:t>
      </w:r>
      <w:r w:rsidR="007A0AC3" w:rsidRPr="0093600A">
        <w:rPr>
          <w:rFonts w:ascii="Calibri" w:eastAsia="Times New Roman" w:hAnsi="Calibri" w:cs="Times New Roman"/>
          <w:lang w:val="en-US"/>
        </w:rPr>
        <w:t xml:space="preserve"> </w:t>
      </w:r>
      <w:r w:rsidR="001C11D6" w:rsidRPr="0093600A">
        <w:rPr>
          <w:rFonts w:ascii="Calibri" w:eastAsia="Times New Roman" w:hAnsi="Calibri" w:cs="Times New Roman"/>
          <w:lang w:val="en-US"/>
        </w:rPr>
        <w:t>in the highest tertile appear</w:t>
      </w:r>
      <w:r w:rsidR="007A0AC3">
        <w:rPr>
          <w:rFonts w:ascii="Calibri" w:eastAsia="Times New Roman" w:hAnsi="Calibri" w:cs="Times New Roman"/>
          <w:lang w:val="en-US"/>
        </w:rPr>
        <w:t>ed</w:t>
      </w:r>
      <w:r w:rsidR="001C11D6" w:rsidRPr="0093600A">
        <w:rPr>
          <w:rFonts w:ascii="Calibri" w:eastAsia="Times New Roman" w:hAnsi="Calibri" w:cs="Times New Roman"/>
          <w:lang w:val="en-US"/>
        </w:rPr>
        <w:t xml:space="preserve"> to do better than those whose </w:t>
      </w:r>
      <w:proofErr w:type="spellStart"/>
      <w:r w:rsidR="001C11D6" w:rsidRPr="0093600A">
        <w:rPr>
          <w:rFonts w:ascii="Calibri" w:eastAsia="Times New Roman" w:hAnsi="Calibri" w:cs="Times New Roman"/>
          <w:lang w:val="en-US"/>
        </w:rPr>
        <w:t>fT</w:t>
      </w:r>
      <w:proofErr w:type="spellEnd"/>
      <w:r w:rsidR="001C11D6" w:rsidRPr="0093600A">
        <w:rPr>
          <w:rFonts w:ascii="Calibri" w:eastAsia="Times New Roman" w:hAnsi="Calibri" w:cs="Times New Roman"/>
          <w:lang w:val="en-US"/>
        </w:rPr>
        <w:t xml:space="preserve"> </w:t>
      </w:r>
      <w:r w:rsidR="007A0AC3">
        <w:rPr>
          <w:rFonts w:ascii="Calibri" w:eastAsia="Times New Roman" w:hAnsi="Calibri" w:cs="Times New Roman"/>
          <w:lang w:val="en-US"/>
        </w:rPr>
        <w:t>was</w:t>
      </w:r>
      <w:r w:rsidR="007A0AC3" w:rsidRPr="0093600A">
        <w:rPr>
          <w:rFonts w:ascii="Calibri" w:eastAsia="Times New Roman" w:hAnsi="Calibri" w:cs="Times New Roman"/>
          <w:lang w:val="en-US"/>
        </w:rPr>
        <w:t xml:space="preserve"> </w:t>
      </w:r>
      <w:r w:rsidR="001C11D6" w:rsidRPr="0093600A">
        <w:rPr>
          <w:rFonts w:ascii="Calibri" w:eastAsia="Times New Roman" w:hAnsi="Calibri" w:cs="Times New Roman"/>
          <w:lang w:val="en-US"/>
        </w:rPr>
        <w:t>in the</w:t>
      </w:r>
      <w:r w:rsidR="00994E0D" w:rsidRPr="0093600A">
        <w:rPr>
          <w:rFonts w:ascii="Calibri" w:eastAsia="Times New Roman" w:hAnsi="Calibri" w:cs="Times New Roman"/>
          <w:lang w:val="en-US"/>
        </w:rPr>
        <w:t xml:space="preserve"> lowest </w:t>
      </w:r>
      <w:proofErr w:type="spellStart"/>
      <w:r w:rsidR="00994E0D" w:rsidRPr="0093600A">
        <w:rPr>
          <w:rFonts w:ascii="Calibri" w:eastAsia="Times New Roman" w:hAnsi="Calibri" w:cs="Times New Roman"/>
          <w:lang w:val="en-US"/>
        </w:rPr>
        <w:t>tertile</w:t>
      </w:r>
      <w:proofErr w:type="spellEnd"/>
      <w:r w:rsidR="00067108" w:rsidRPr="0093600A">
        <w:rPr>
          <w:rFonts w:ascii="Calibri" w:eastAsia="Times New Roman" w:hAnsi="Calibri" w:cs="Times New Roman"/>
          <w:lang w:val="en-US"/>
        </w:rPr>
        <w:t xml:space="preserve"> </w:t>
      </w:r>
      <w:r w:rsidR="00BF0BCD" w:rsidRPr="0093600A">
        <w:rPr>
          <w:rFonts w:ascii="Calibri" w:eastAsia="Times New Roman" w:hAnsi="Calibri" w:cs="Times New Roman"/>
          <w:lang w:val="en-US"/>
        </w:rPr>
        <w:fldChar w:fldCharType="begin" w:fldLock="1"/>
      </w:r>
      <w:r w:rsidR="00067108" w:rsidRPr="0093600A">
        <w:rPr>
          <w:rFonts w:ascii="Calibri" w:eastAsia="Times New Roman" w:hAnsi="Calibri" w:cs="Times New Roman"/>
          <w:lang w:val="en-US"/>
        </w:rPr>
        <w:instrText>ADDIN CSL_CITATION { "citationItems" : [ { "id" : "ITEM-1", "itemData" : { "DOI" : "10.1136/bjsports-2017-097792", "ISSN" : "0306-3674", "author" : [ { "dropping-particle" : "", "family" : "Bermon", "given" : "St\u00e9phane", "non-dropping-particle" : "", "parse-names" : false, "suffix" : "" }, { "dropping-particle" : "", "family" : "Garnier", "given" : "Pierre-Yves", "non-dropping-particle" : "", "parse-names" : false, "suffix" : "" } ], "container-title" : "British Journal of Sports Medicine", "id" : "ITEM-1", "issued" : { "date-parts" : [ [ "2017", "7", "3" ] ] }, "page" : "bjsports-2017-097792", "title" : "Serum androgen levels and their relation to performance in track and field: mass spectrometry results from 2127 observations in male and female elite athletes", "type" : "article-journal" }, "uris" : [ "http://www.mendeley.com/documents/?uuid=9e7fdd82-3908-3f6f-ac88-5aed3a937fde" ] } ], "mendeley" : { "formattedCitation" : "[4]", "plainTextFormattedCitation" : "[4]", "previouslyFormattedCitation" : "[4]" }, "properties" : { "noteIndex" : 1 }, "schema" : "https://github.com/citation-style-language/schema/raw/master/csl-citation.json" }</w:instrText>
      </w:r>
      <w:r w:rsidR="00BF0BCD" w:rsidRPr="0093600A">
        <w:rPr>
          <w:rFonts w:ascii="Calibri" w:eastAsia="Times New Roman" w:hAnsi="Calibri" w:cs="Times New Roman"/>
          <w:lang w:val="en-US"/>
        </w:rPr>
        <w:fldChar w:fldCharType="separate"/>
      </w:r>
      <w:r w:rsidR="00067108" w:rsidRPr="0093600A">
        <w:rPr>
          <w:rFonts w:ascii="Calibri" w:eastAsia="Times New Roman" w:hAnsi="Calibri" w:cs="Times New Roman"/>
          <w:noProof/>
          <w:lang w:val="en-US"/>
        </w:rPr>
        <w:t>[4]</w:t>
      </w:r>
      <w:r w:rsidR="00BF0BCD" w:rsidRPr="0093600A">
        <w:rPr>
          <w:rFonts w:ascii="Calibri" w:eastAsia="Times New Roman" w:hAnsi="Calibri" w:cs="Times New Roman"/>
          <w:lang w:val="en-US"/>
        </w:rPr>
        <w:fldChar w:fldCharType="end"/>
      </w:r>
      <w:r w:rsidR="00994E0D" w:rsidRPr="0093600A">
        <w:rPr>
          <w:rFonts w:ascii="Calibri" w:eastAsia="Times New Roman" w:hAnsi="Calibri" w:cs="Times New Roman"/>
          <w:lang w:val="en-US"/>
        </w:rPr>
        <w:t>. On the other hand</w:t>
      </w:r>
      <w:r w:rsidR="007A0AC3">
        <w:rPr>
          <w:rFonts w:ascii="Calibri" w:eastAsia="Times New Roman" w:hAnsi="Calibri" w:cs="Times New Roman"/>
          <w:lang w:val="en-US"/>
        </w:rPr>
        <w:t>,</w:t>
      </w:r>
      <w:r w:rsidR="001C11D6" w:rsidRPr="0093600A">
        <w:rPr>
          <w:rFonts w:ascii="Calibri" w:eastAsia="Times New Roman" w:hAnsi="Calibri" w:cs="Times New Roman"/>
          <w:lang w:val="en-US"/>
        </w:rPr>
        <w:t xml:space="preserve"> </w:t>
      </w:r>
      <w:r w:rsidR="00074F15" w:rsidRPr="0093600A">
        <w:rPr>
          <w:rFonts w:ascii="Calibri" w:eastAsia="Times New Roman" w:hAnsi="Calibri" w:cs="Times New Roman"/>
          <w:lang w:val="en-US"/>
        </w:rPr>
        <w:t>al</w:t>
      </w:r>
      <w:r w:rsidR="001C11D6" w:rsidRPr="0093600A">
        <w:rPr>
          <w:rFonts w:ascii="Calibri" w:eastAsia="Times New Roman" w:hAnsi="Calibri" w:cs="Times New Roman"/>
          <w:lang w:val="en-US"/>
        </w:rPr>
        <w:t>tho</w:t>
      </w:r>
      <w:r w:rsidR="00074F15" w:rsidRPr="0093600A">
        <w:rPr>
          <w:rFonts w:ascii="Calibri" w:eastAsia="Times New Roman" w:hAnsi="Calibri" w:cs="Times New Roman"/>
          <w:lang w:val="en-US"/>
        </w:rPr>
        <w:t>ugh not statistically significant, tho</w:t>
      </w:r>
      <w:r w:rsidR="001C11D6" w:rsidRPr="0093600A">
        <w:rPr>
          <w:rFonts w:ascii="Calibri" w:eastAsia="Times New Roman" w:hAnsi="Calibri" w:cs="Times New Roman"/>
          <w:lang w:val="en-US"/>
        </w:rPr>
        <w:t xml:space="preserve">se with fT in the lowest </w:t>
      </w:r>
      <w:proofErr w:type="spellStart"/>
      <w:r w:rsidR="001C11D6" w:rsidRPr="0093600A">
        <w:rPr>
          <w:rFonts w:ascii="Calibri" w:eastAsia="Times New Roman" w:hAnsi="Calibri" w:cs="Times New Roman"/>
          <w:lang w:val="en-US"/>
        </w:rPr>
        <w:t>tertile</w:t>
      </w:r>
      <w:proofErr w:type="spellEnd"/>
      <w:r w:rsidR="001C11D6" w:rsidRPr="0093600A">
        <w:rPr>
          <w:rFonts w:ascii="Calibri" w:eastAsia="Times New Roman" w:hAnsi="Calibri" w:cs="Times New Roman"/>
          <w:lang w:val="en-US"/>
        </w:rPr>
        <w:t xml:space="preserve"> appear</w:t>
      </w:r>
      <w:r w:rsidR="007A0AC3">
        <w:rPr>
          <w:rFonts w:ascii="Calibri" w:eastAsia="Times New Roman" w:hAnsi="Calibri" w:cs="Times New Roman"/>
          <w:lang w:val="en-US"/>
        </w:rPr>
        <w:t>ed</w:t>
      </w:r>
      <w:r w:rsidR="001C11D6" w:rsidRPr="0093600A">
        <w:rPr>
          <w:rFonts w:ascii="Calibri" w:eastAsia="Times New Roman" w:hAnsi="Calibri" w:cs="Times New Roman"/>
          <w:lang w:val="en-US"/>
        </w:rPr>
        <w:t xml:space="preserve"> to </w:t>
      </w:r>
      <w:r w:rsidR="007A0AC3">
        <w:rPr>
          <w:rFonts w:ascii="Calibri" w:eastAsia="Times New Roman" w:hAnsi="Calibri" w:cs="Times New Roman"/>
          <w:lang w:val="en-US"/>
        </w:rPr>
        <w:t>perform</w:t>
      </w:r>
      <w:r w:rsidR="007A0AC3" w:rsidRPr="0093600A">
        <w:rPr>
          <w:rFonts w:ascii="Calibri" w:eastAsia="Times New Roman" w:hAnsi="Calibri" w:cs="Times New Roman"/>
          <w:lang w:val="en-US"/>
        </w:rPr>
        <w:t xml:space="preserve"> </w:t>
      </w:r>
      <w:r w:rsidR="001C11D6" w:rsidRPr="0093600A">
        <w:rPr>
          <w:rFonts w:ascii="Calibri" w:eastAsia="Times New Roman" w:hAnsi="Calibri" w:cs="Times New Roman"/>
          <w:lang w:val="en-US"/>
        </w:rPr>
        <w:t xml:space="preserve">better than those in the highest tertile in </w:t>
      </w:r>
      <w:r w:rsidR="008066F1" w:rsidRPr="0093600A">
        <w:rPr>
          <w:rFonts w:ascii="Calibri" w:eastAsia="Times New Roman" w:hAnsi="Calibri" w:cs="Times New Roman"/>
          <w:lang w:val="en-US"/>
        </w:rPr>
        <w:t>9</w:t>
      </w:r>
      <w:r w:rsidR="000B3924" w:rsidRPr="0093600A">
        <w:rPr>
          <w:rFonts w:ascii="Calibri" w:eastAsia="Times New Roman" w:hAnsi="Calibri" w:cs="Times New Roman"/>
          <w:lang w:val="en-US"/>
        </w:rPr>
        <w:t xml:space="preserve"> </w:t>
      </w:r>
      <w:r w:rsidR="001C11D6" w:rsidRPr="0093600A">
        <w:rPr>
          <w:rFonts w:ascii="Calibri" w:eastAsia="Times New Roman" w:hAnsi="Calibri" w:cs="Times New Roman"/>
          <w:lang w:val="en-US"/>
        </w:rPr>
        <w:t>events.</w:t>
      </w:r>
      <w:r w:rsidR="00D65BB4" w:rsidRPr="0093600A">
        <w:rPr>
          <w:rFonts w:ascii="Calibri" w:eastAsia="Times New Roman" w:hAnsi="Calibri" w:cs="Times New Roman"/>
          <w:lang w:val="en-US"/>
        </w:rPr>
        <w:t xml:space="preserve"> Furthermore, </w:t>
      </w:r>
      <w:r w:rsidR="001C11D6" w:rsidRPr="0093600A">
        <w:rPr>
          <w:rFonts w:ascii="Calibri" w:eastAsia="Times New Roman" w:hAnsi="Calibri" w:cs="Times New Roman"/>
          <w:lang w:val="en-US"/>
        </w:rPr>
        <w:t>for the total</w:t>
      </w:r>
      <w:r w:rsidR="00D65BB4" w:rsidRPr="0093600A">
        <w:rPr>
          <w:rFonts w:ascii="Calibri" w:eastAsia="Times New Roman" w:hAnsi="Calibri" w:cs="Times New Roman"/>
          <w:lang w:val="en-US"/>
        </w:rPr>
        <w:t xml:space="preserve"> endogenous testosterone </w:t>
      </w:r>
      <w:r w:rsidR="00D65BB4" w:rsidRPr="0093600A">
        <w:rPr>
          <w:rFonts w:ascii="Calibri" w:eastAsia="Times New Roman" w:hAnsi="Calibri" w:cs="Times New Roman"/>
          <w:lang w:val="en-US"/>
        </w:rPr>
        <w:lastRenderedPageBreak/>
        <w:t>levels,</w:t>
      </w:r>
      <w:r w:rsidR="001C11D6" w:rsidRPr="0093600A">
        <w:rPr>
          <w:rFonts w:ascii="Calibri" w:eastAsia="Times New Roman" w:hAnsi="Calibri" w:cs="Times New Roman"/>
          <w:lang w:val="en-US"/>
        </w:rPr>
        <w:t xml:space="preserve"> only three running events show</w:t>
      </w:r>
      <w:r w:rsidR="007A0AC3">
        <w:rPr>
          <w:rFonts w:ascii="Calibri" w:eastAsia="Times New Roman" w:hAnsi="Calibri" w:cs="Times New Roman"/>
          <w:lang w:val="en-US"/>
        </w:rPr>
        <w:t>ed</w:t>
      </w:r>
      <w:r w:rsidR="001C11D6" w:rsidRPr="0093600A">
        <w:rPr>
          <w:rFonts w:ascii="Calibri" w:eastAsia="Times New Roman" w:hAnsi="Calibri" w:cs="Times New Roman"/>
          <w:lang w:val="en-US"/>
        </w:rPr>
        <w:t xml:space="preserve"> significant differences in performance between high and low </w:t>
      </w:r>
      <w:r w:rsidR="008E3757">
        <w:rPr>
          <w:rFonts w:ascii="Calibri" w:eastAsia="Times New Roman" w:hAnsi="Calibri" w:cs="Times New Roman"/>
          <w:lang w:val="en-US"/>
        </w:rPr>
        <w:t>t</w:t>
      </w:r>
      <w:r w:rsidR="0031577B">
        <w:rPr>
          <w:rFonts w:ascii="Calibri" w:eastAsia="Times New Roman" w:hAnsi="Calibri" w:cs="Times New Roman"/>
          <w:lang w:val="en-US"/>
        </w:rPr>
        <w:t>estosterone</w:t>
      </w:r>
      <w:r w:rsidR="001C11D6" w:rsidRPr="0093600A">
        <w:rPr>
          <w:rFonts w:ascii="Calibri" w:eastAsia="Times New Roman" w:hAnsi="Calibri" w:cs="Times New Roman"/>
          <w:lang w:val="en-US"/>
        </w:rPr>
        <w:t xml:space="preserve"> </w:t>
      </w:r>
      <w:proofErr w:type="spellStart"/>
      <w:r w:rsidR="001C11D6" w:rsidRPr="0093600A">
        <w:rPr>
          <w:rFonts w:ascii="Calibri" w:eastAsia="Times New Roman" w:hAnsi="Calibri" w:cs="Times New Roman"/>
          <w:lang w:val="en-US"/>
        </w:rPr>
        <w:t>tertiles</w:t>
      </w:r>
      <w:proofErr w:type="spellEnd"/>
      <w:r w:rsidR="001C11D6" w:rsidRPr="0093600A">
        <w:rPr>
          <w:rFonts w:ascii="Calibri" w:eastAsia="Times New Roman" w:hAnsi="Calibri" w:cs="Times New Roman"/>
          <w:lang w:val="en-US"/>
        </w:rPr>
        <w:t xml:space="preserve">. </w:t>
      </w:r>
    </w:p>
    <w:p w14:paraId="740EBAA2" w14:textId="77777777" w:rsidR="001C11D6" w:rsidRPr="0093600A" w:rsidRDefault="001C11D6" w:rsidP="001C11D6">
      <w:pPr>
        <w:spacing w:after="0" w:line="240" w:lineRule="auto"/>
        <w:rPr>
          <w:rFonts w:ascii="Calibri" w:eastAsia="Times New Roman" w:hAnsi="Calibri" w:cs="Times New Roman"/>
          <w:lang w:val="en-US"/>
        </w:rPr>
      </w:pPr>
    </w:p>
    <w:p w14:paraId="740EBAA3" w14:textId="57A6C7A8" w:rsidR="0007321D" w:rsidRPr="0093600A" w:rsidRDefault="00994E0D" w:rsidP="0007321D">
      <w:pPr>
        <w:rPr>
          <w:rFonts w:eastAsia="Times New Roman" w:cstheme="minorHAnsi"/>
          <w:sz w:val="24"/>
          <w:szCs w:val="24"/>
          <w:lang w:val="en-US"/>
        </w:rPr>
      </w:pPr>
      <w:r w:rsidRPr="0093600A">
        <w:t>W</w:t>
      </w:r>
      <w:r w:rsidR="00DF53A9" w:rsidRPr="0093600A">
        <w:t>e view the comparison between the ‘tertile groups’ using the unpaired t test as statistically</w:t>
      </w:r>
      <w:r w:rsidR="00CF077E" w:rsidRPr="0093600A">
        <w:t xml:space="preserve"> inappropriate and the lack of adjustment for multiple comparisons a major flaw of the analysis.</w:t>
      </w:r>
      <w:r w:rsidR="00DF53A9" w:rsidRPr="0093600A">
        <w:t xml:space="preserve"> </w:t>
      </w:r>
      <w:r w:rsidR="00DF53A9" w:rsidRPr="0093600A">
        <w:rPr>
          <w:rFonts w:eastAsia="Times New Roman" w:cstheme="minorHAnsi"/>
          <w:lang w:val="en-US"/>
        </w:rPr>
        <w:t>A</w:t>
      </w:r>
      <w:r w:rsidR="00067108" w:rsidRPr="0093600A">
        <w:rPr>
          <w:rFonts w:eastAsia="Times New Roman" w:cstheme="minorHAnsi"/>
          <w:lang w:val="en-US"/>
        </w:rPr>
        <w:t xml:space="preserve"> better approach </w:t>
      </w:r>
      <w:r w:rsidR="00DF53A9" w:rsidRPr="0093600A">
        <w:rPr>
          <w:rFonts w:eastAsia="Times New Roman" w:cstheme="minorHAnsi"/>
          <w:lang w:val="en-US"/>
        </w:rPr>
        <w:t>would have been to look for a direct and statistically significant correlation</w:t>
      </w:r>
      <w:r w:rsidR="00067108" w:rsidRPr="0093600A">
        <w:rPr>
          <w:rFonts w:eastAsia="Times New Roman" w:cstheme="minorHAnsi"/>
          <w:lang w:val="en-US"/>
        </w:rPr>
        <w:t xml:space="preserve"> between</w:t>
      </w:r>
      <w:r w:rsidR="00D65BB4" w:rsidRPr="0093600A">
        <w:rPr>
          <w:rFonts w:eastAsia="Times New Roman" w:cstheme="minorHAnsi"/>
          <w:lang w:val="en-US"/>
        </w:rPr>
        <w:t xml:space="preserve"> endogenous </w:t>
      </w:r>
      <w:r w:rsidR="00067108" w:rsidRPr="0093600A">
        <w:rPr>
          <w:rFonts w:eastAsia="Times New Roman" w:cstheme="minorHAnsi"/>
          <w:lang w:val="en-US"/>
        </w:rPr>
        <w:t xml:space="preserve"> testosterone and performance as in</w:t>
      </w:r>
      <w:r w:rsidR="007A0AC3">
        <w:rPr>
          <w:rFonts w:eastAsia="Times New Roman" w:cstheme="minorHAnsi"/>
          <w:lang w:val="en-US"/>
        </w:rPr>
        <w:t xml:space="preserve"> the study by Eklund</w:t>
      </w:r>
      <w:r w:rsidR="008E3757">
        <w:rPr>
          <w:rFonts w:eastAsia="Times New Roman" w:cstheme="minorHAnsi"/>
          <w:lang w:val="en-US"/>
        </w:rPr>
        <w:t xml:space="preserve"> et al.</w:t>
      </w:r>
      <w:r w:rsidR="00067108" w:rsidRPr="0093600A">
        <w:rPr>
          <w:rFonts w:eastAsia="Times New Roman" w:cstheme="minorHAnsi"/>
          <w:lang w:val="en-US"/>
        </w:rPr>
        <w:t xml:space="preserve"> </w:t>
      </w:r>
      <w:r w:rsidR="00BF0BCD" w:rsidRPr="0093600A">
        <w:rPr>
          <w:rFonts w:eastAsia="Times New Roman" w:cstheme="minorHAnsi"/>
          <w:lang w:val="en-US"/>
        </w:rPr>
        <w:fldChar w:fldCharType="begin" w:fldLock="1"/>
      </w:r>
      <w:r w:rsidR="00E95CD7" w:rsidRPr="0093600A">
        <w:rPr>
          <w:rFonts w:eastAsia="Times New Roman" w:cstheme="minorHAnsi"/>
          <w:lang w:val="en-US"/>
        </w:rPr>
        <w:instrText>ADDIN CSL_CITATION { "citationItems" : [ { "id" : "ITEM-1", "itemData" : { "DOI" : "10.1136/bjsports-2017-097582", "ISSN" : "0306-3674", "author" : [ { "dropping-particle" : "", "family" : "Eklund", "given" : "Emma", "non-dropping-particle" : "", "parse-names" : false, "suffix" : "" }, { "dropping-particle" : "", "family" : "Berglund", "given" : "Bo", "non-dropping-particle" : "", "parse-names" : false, "suffix" : "" }, { "dropping-particle" : "", "family" : "Labrie", "given" : "Fernand", "non-dropping-particle" : "", "parse-names" : false, "suffix" : "" }, { "dropping-particle" : "", "family" : "Carlstr?m", "given" : "Kjell", "non-dropping-particle" : "", "parse-names" : false, "suffix" : "" }, { "dropping-particle" : "", "family" : "Ekstr?m", "given" : "Lena", "non-dropping-particle" : "", "parse-names" : false, "suffix" : "" }, { "dropping-particle" : "", "family" : "Hirschberg", "given" : "Angelica Lind?n", "non-dropping-particle" : "", "parse-names" : false, "suffix" : "" } ], "container-title" : "British Journal of Sports Medicine", "id" : "ITEM-1", "issued" : { "date-parts" : [ [ "2017", "6", "23" ] ] }, "page" : "bjsports-2017-097582", "title" : "Serum androgen profile and physical performance in women Olympic athletes", "type" : "article-journal" }, "uris" : [ "http://www.mendeley.com/documents/?uuid=d9a91db9-17cf-388d-85d6-a5b846c45cb4" ] } ], "mendeley" : { "formattedCitation" : "[3]", "plainTextFormattedCitation" : "[3]", "previouslyFormattedCitation" : "[3]" }, "properties" : { "noteIndex" : 1 }, "schema" : "https://github.com/citation-style-language/schema/raw/master/csl-citation.json" }</w:instrText>
      </w:r>
      <w:r w:rsidR="00BF0BCD" w:rsidRPr="0093600A">
        <w:rPr>
          <w:rFonts w:eastAsia="Times New Roman" w:cstheme="minorHAnsi"/>
          <w:lang w:val="en-US"/>
        </w:rPr>
        <w:fldChar w:fldCharType="separate"/>
      </w:r>
      <w:r w:rsidR="00067108" w:rsidRPr="0093600A">
        <w:rPr>
          <w:rFonts w:eastAsia="Times New Roman" w:cstheme="minorHAnsi"/>
          <w:noProof/>
          <w:lang w:val="en-US"/>
        </w:rPr>
        <w:t>[3]</w:t>
      </w:r>
      <w:r w:rsidR="00BF0BCD" w:rsidRPr="0093600A">
        <w:rPr>
          <w:rFonts w:eastAsia="Times New Roman" w:cstheme="minorHAnsi"/>
          <w:lang w:val="en-US"/>
        </w:rPr>
        <w:fldChar w:fldCharType="end"/>
      </w:r>
      <w:r w:rsidR="007A0AC3">
        <w:rPr>
          <w:rFonts w:eastAsia="Times New Roman" w:cstheme="minorHAnsi"/>
          <w:lang w:val="en-US"/>
        </w:rPr>
        <w:t>; in that case there was</w:t>
      </w:r>
      <w:r w:rsidR="00067108" w:rsidRPr="0093600A">
        <w:rPr>
          <w:rFonts w:eastAsia="Times New Roman" w:cstheme="minorHAnsi"/>
          <w:lang w:val="en-US"/>
        </w:rPr>
        <w:t xml:space="preserve"> no correlation</w:t>
      </w:r>
      <w:r w:rsidR="00DF53A9" w:rsidRPr="0093600A">
        <w:rPr>
          <w:rFonts w:eastAsia="Times New Roman" w:cstheme="minorHAnsi"/>
          <w:lang w:val="en-US"/>
        </w:rPr>
        <w:t>.</w:t>
      </w:r>
      <w:r w:rsidR="00CF077E" w:rsidRPr="0093600A">
        <w:rPr>
          <w:rFonts w:eastAsia="Times New Roman" w:cstheme="minorHAnsi"/>
          <w:lang w:val="en-US"/>
        </w:rPr>
        <w:t xml:space="preserve"> Correlation analysis is the appropriate analysis tool, particular</w:t>
      </w:r>
      <w:r w:rsidR="007A0AC3">
        <w:rPr>
          <w:rFonts w:eastAsia="Times New Roman" w:cstheme="minorHAnsi"/>
          <w:lang w:val="en-US"/>
        </w:rPr>
        <w:t>ly</w:t>
      </w:r>
      <w:r w:rsidR="00CF077E" w:rsidRPr="0093600A">
        <w:rPr>
          <w:rFonts w:eastAsia="Times New Roman" w:cstheme="minorHAnsi"/>
          <w:lang w:val="en-US"/>
        </w:rPr>
        <w:t xml:space="preserve"> for a cross-sectional study such as this where causal inference is not possible</w:t>
      </w:r>
      <w:r w:rsidR="00C95169" w:rsidRPr="0093600A">
        <w:rPr>
          <w:rFonts w:eastAsia="Times New Roman" w:cstheme="minorHAnsi"/>
          <w:lang w:val="en-US"/>
        </w:rPr>
        <w:t>.</w:t>
      </w:r>
    </w:p>
    <w:p w14:paraId="740EBAA4" w14:textId="353AFF79" w:rsidR="00AC79F9" w:rsidRPr="0093600A" w:rsidRDefault="00A97F14" w:rsidP="00AC79F9">
      <w:pPr>
        <w:rPr>
          <w:rFonts w:ascii="Calibri" w:hAnsi="Calibri"/>
          <w:sz w:val="24"/>
        </w:rPr>
      </w:pPr>
      <w:r w:rsidRPr="0093600A">
        <w:t xml:space="preserve">In the absence of </w:t>
      </w:r>
      <w:r w:rsidR="00A92D61" w:rsidRPr="0093600A">
        <w:t xml:space="preserve">a </w:t>
      </w:r>
      <w:r w:rsidR="001C11D6" w:rsidRPr="0093600A">
        <w:t xml:space="preserve">statistically significant </w:t>
      </w:r>
      <w:r w:rsidR="00A50616" w:rsidRPr="0093600A">
        <w:t>correlation between androgens and performance</w:t>
      </w:r>
      <w:r w:rsidRPr="0093600A">
        <w:t>,</w:t>
      </w:r>
      <w:r w:rsidR="00A50616" w:rsidRPr="0093600A">
        <w:t xml:space="preserve"> the</w:t>
      </w:r>
      <w:r w:rsidRPr="0093600A">
        <w:t xml:space="preserve"> evidence that </w:t>
      </w:r>
      <w:r w:rsidR="0007321D" w:rsidRPr="0093600A">
        <w:t xml:space="preserve">either total </w:t>
      </w:r>
      <w:r w:rsidR="008E3757">
        <w:t>t</w:t>
      </w:r>
      <w:r w:rsidR="00D22A27">
        <w:t>estosterone</w:t>
      </w:r>
      <w:r w:rsidR="0007321D" w:rsidRPr="0093600A">
        <w:t xml:space="preserve"> or </w:t>
      </w:r>
      <w:r w:rsidRPr="0093600A">
        <w:t>f</w:t>
      </w:r>
      <w:r w:rsidR="00D22A27">
        <w:t xml:space="preserve">ree </w:t>
      </w:r>
      <w:r w:rsidR="008E3757">
        <w:t>t</w:t>
      </w:r>
      <w:r w:rsidR="00D22A27">
        <w:t>estosterone</w:t>
      </w:r>
      <w:r w:rsidRPr="0093600A">
        <w:t xml:space="preserve"> predicts performance in </w:t>
      </w:r>
      <w:r w:rsidR="00A92D61" w:rsidRPr="0093600A">
        <w:t>women</w:t>
      </w:r>
      <w:r w:rsidRPr="0093600A">
        <w:t xml:space="preserve"> is not </w:t>
      </w:r>
      <w:r w:rsidR="00075351" w:rsidRPr="0093600A">
        <w:t>supported</w:t>
      </w:r>
      <w:r w:rsidRPr="0093600A">
        <w:t>.</w:t>
      </w:r>
      <w:r w:rsidR="00AA47FD" w:rsidRPr="0093600A">
        <w:t xml:space="preserve"> </w:t>
      </w:r>
      <w:r w:rsidR="001D4A76" w:rsidRPr="0093600A">
        <w:t>A further criticism of the paper is the</w:t>
      </w:r>
      <w:r w:rsidR="005960DE" w:rsidRPr="0093600A">
        <w:t xml:space="preserve"> considerable controversy and concerns about </w:t>
      </w:r>
      <w:r w:rsidR="003A0BF5" w:rsidRPr="0093600A">
        <w:t xml:space="preserve">the </w:t>
      </w:r>
      <w:r w:rsidR="005960DE" w:rsidRPr="0093600A">
        <w:t>validity of various methods of calculating</w:t>
      </w:r>
      <w:r w:rsidR="003A0BF5" w:rsidRPr="0093600A">
        <w:t xml:space="preserve"> (rather than measuring)</w:t>
      </w:r>
      <w:r w:rsidR="005960DE" w:rsidRPr="0093600A">
        <w:t xml:space="preserve"> fT </w:t>
      </w:r>
      <w:r w:rsidR="00BF0BCD" w:rsidRPr="0093600A">
        <w:fldChar w:fldCharType="begin" w:fldLock="1"/>
      </w:r>
      <w:r w:rsidR="00B97EB1" w:rsidRPr="0093600A">
        <w:instrText>ADDIN CSL_CITATION { "citationItems" : [ { "id" : "ITEM-1", "itemData" : { "DOI" : "10.1016/j.steroids.2010.08.008", "ISSN" : "0039128X", "author" : [ { "dropping-particle" : "", "family" : "Hackbarth", "given" : "Jennifer S.", "non-dropping-particle" : "", "parse-names" : false, "suffix" : "" }, { "dropping-particle" : "", "family" : "Hoyne", "given" : "Jonathan B.", "non-dropping-particle" : "", "parse-names" : false, "suffix" : "" }, { "dropping-particle" : "", "family" : "Grebe", "given" : "Stefan K.", "non-dropping-particle" : "", "parse-names" : false, "suffix" : "" }, { "dropping-particle" : "", "family" : "Singh", "given" : "Ravinder J.", "non-dropping-particle" : "", "parse-names" : false, "suffix" : "" } ], "container-title" : "Steroids", "id" : "ITEM-1", "issue" : "1-2", "issued" : { "date-parts" : [ [ "2011", "1" ] ] }, "page" : "48-55", "title" : "Accuracy of calculated free testosterone differs between equations and depends on gender and SHBG concentration", "type" : "article-journal", "volume" : "76" }, "uris" : [ "http://www.mendeley.com/documents/?uuid=4ae49146-3126-303f-b049-883d7444252a" ] } ], "mendeley" : { "formattedCitation" : "[5]", "plainTextFormattedCitation" : "[5]", "previouslyFormattedCitation" : "[5]" }, "properties" : { "noteIndex" : 0 }, "schema" : "https://github.com/citation-style-language/schema/raw/master/csl-citation.json" }</w:instrText>
      </w:r>
      <w:r w:rsidR="00BF0BCD" w:rsidRPr="0093600A">
        <w:fldChar w:fldCharType="separate"/>
      </w:r>
      <w:r w:rsidR="005960DE" w:rsidRPr="0093600A">
        <w:rPr>
          <w:noProof/>
        </w:rPr>
        <w:t>[5]</w:t>
      </w:r>
      <w:r w:rsidR="00BF0BCD" w:rsidRPr="0093600A">
        <w:fldChar w:fldCharType="end"/>
      </w:r>
      <w:r w:rsidR="005960DE" w:rsidRPr="0093600A">
        <w:t>.</w:t>
      </w:r>
      <w:r w:rsidR="00AC79F9" w:rsidRPr="0093600A">
        <w:t xml:space="preserve"> </w:t>
      </w:r>
      <w:r w:rsidR="00AC79F9" w:rsidRPr="0093600A">
        <w:rPr>
          <w:rFonts w:ascii="Calibri" w:hAnsi="Calibri" w:cs="Arial"/>
          <w:szCs w:val="20"/>
        </w:rPr>
        <w:t xml:space="preserve">Both papers provide useful information about the association between androgens and athletic performance in women but do not come close to addressing the issue of causality. Furthermore, their findings cannot be extrapolated to the extraordinarily high </w:t>
      </w:r>
      <w:r w:rsidR="00EF44D1">
        <w:rPr>
          <w:rFonts w:ascii="Calibri" w:hAnsi="Calibri" w:cs="Arial"/>
          <w:szCs w:val="20"/>
        </w:rPr>
        <w:t xml:space="preserve">but largely non-functional </w:t>
      </w:r>
      <w:r w:rsidR="008E3757">
        <w:rPr>
          <w:rFonts w:ascii="Calibri" w:hAnsi="Calibri" w:cs="Arial"/>
          <w:szCs w:val="20"/>
        </w:rPr>
        <w:t>t</w:t>
      </w:r>
      <w:r w:rsidR="00D22A27">
        <w:rPr>
          <w:rFonts w:ascii="Calibri" w:hAnsi="Calibri" w:cs="Arial"/>
          <w:szCs w:val="20"/>
        </w:rPr>
        <w:t>estosterone</w:t>
      </w:r>
      <w:r w:rsidR="00AC79F9" w:rsidRPr="0093600A">
        <w:rPr>
          <w:rFonts w:ascii="Calibri" w:hAnsi="Calibri" w:cs="Arial"/>
          <w:szCs w:val="20"/>
        </w:rPr>
        <w:t xml:space="preserve"> levels that are seen i</w:t>
      </w:r>
      <w:r w:rsidR="0095482F">
        <w:rPr>
          <w:rFonts w:ascii="Calibri" w:hAnsi="Calibri" w:cs="Arial"/>
          <w:szCs w:val="20"/>
        </w:rPr>
        <w:t xml:space="preserve">n women with </w:t>
      </w:r>
      <w:r w:rsidR="0090196A">
        <w:rPr>
          <w:rFonts w:ascii="Calibri" w:hAnsi="Calibri" w:cs="Arial"/>
          <w:szCs w:val="20"/>
        </w:rPr>
        <w:t>the androgen insensitivity syndrome.</w:t>
      </w:r>
    </w:p>
    <w:p w14:paraId="1428DE08" w14:textId="77777777" w:rsidR="00605895" w:rsidRDefault="00605895" w:rsidP="00605895">
      <w:pPr>
        <w:rPr>
          <w:rFonts w:asciiTheme="majorHAnsi" w:hAnsiTheme="majorHAnsi" w:cstheme="majorHAnsi"/>
          <w:b/>
          <w:color w:val="000000"/>
          <w:sz w:val="24"/>
          <w:szCs w:val="24"/>
        </w:rPr>
      </w:pPr>
    </w:p>
    <w:p w14:paraId="306E377D" w14:textId="30D2703F" w:rsidR="00605895" w:rsidRPr="001D2CBB" w:rsidRDefault="00605895" w:rsidP="00605895">
      <w:pPr>
        <w:rPr>
          <w:rFonts w:asciiTheme="majorHAnsi" w:hAnsiTheme="majorHAnsi" w:cstheme="majorHAnsi"/>
          <w:b/>
          <w:sz w:val="24"/>
          <w:szCs w:val="24"/>
        </w:rPr>
      </w:pPr>
      <w:r>
        <w:rPr>
          <w:rFonts w:asciiTheme="majorHAnsi" w:hAnsiTheme="majorHAnsi" w:cstheme="majorHAnsi"/>
          <w:b/>
          <w:color w:val="000000"/>
          <w:sz w:val="24"/>
          <w:szCs w:val="24"/>
        </w:rPr>
        <w:t>Initial b</w:t>
      </w:r>
      <w:r w:rsidRPr="001D2CBB">
        <w:rPr>
          <w:rFonts w:asciiTheme="majorHAnsi" w:hAnsiTheme="majorHAnsi" w:cstheme="majorHAnsi"/>
          <w:b/>
          <w:color w:val="000000"/>
          <w:sz w:val="24"/>
          <w:szCs w:val="24"/>
        </w:rPr>
        <w:t xml:space="preserve">urden: Male </w:t>
      </w:r>
      <w:r>
        <w:rPr>
          <w:rFonts w:asciiTheme="majorHAnsi" w:hAnsiTheme="majorHAnsi" w:cstheme="majorHAnsi"/>
          <w:b/>
          <w:color w:val="000000"/>
          <w:sz w:val="24"/>
          <w:szCs w:val="24"/>
        </w:rPr>
        <w:t>t</w:t>
      </w:r>
      <w:r w:rsidRPr="001D2CBB">
        <w:rPr>
          <w:rFonts w:asciiTheme="majorHAnsi" w:hAnsiTheme="majorHAnsi" w:cstheme="majorHAnsi"/>
          <w:b/>
          <w:color w:val="000000"/>
          <w:sz w:val="24"/>
          <w:szCs w:val="24"/>
        </w:rPr>
        <w:t xml:space="preserve">ypical </w:t>
      </w:r>
      <w:r>
        <w:rPr>
          <w:rFonts w:asciiTheme="majorHAnsi" w:hAnsiTheme="majorHAnsi" w:cstheme="majorHAnsi"/>
          <w:b/>
          <w:color w:val="000000"/>
          <w:sz w:val="24"/>
          <w:szCs w:val="24"/>
        </w:rPr>
        <w:t>a</w:t>
      </w:r>
      <w:r w:rsidRPr="001D2CBB">
        <w:rPr>
          <w:rFonts w:asciiTheme="majorHAnsi" w:hAnsiTheme="majorHAnsi" w:cstheme="majorHAnsi"/>
          <w:b/>
          <w:color w:val="000000"/>
          <w:sz w:val="24"/>
          <w:szCs w:val="24"/>
        </w:rPr>
        <w:t>dvantage</w:t>
      </w:r>
    </w:p>
    <w:p w14:paraId="740EBAA6" w14:textId="77777777" w:rsidR="0074627E" w:rsidRPr="00F423D2" w:rsidRDefault="0074627E" w:rsidP="0074627E">
      <w:pPr>
        <w:rPr>
          <w:sz w:val="24"/>
          <w:szCs w:val="24"/>
        </w:rPr>
      </w:pPr>
      <w:r w:rsidRPr="00F423D2">
        <w:rPr>
          <w:sz w:val="24"/>
          <w:szCs w:val="24"/>
        </w:rPr>
        <w:t xml:space="preserve">The IAAF was tasked </w:t>
      </w:r>
      <w:r w:rsidR="00C16C9F" w:rsidRPr="00F423D2">
        <w:rPr>
          <w:sz w:val="24"/>
          <w:szCs w:val="24"/>
        </w:rPr>
        <w:t xml:space="preserve">by CAS </w:t>
      </w:r>
      <w:r w:rsidRPr="00F423D2">
        <w:rPr>
          <w:sz w:val="24"/>
          <w:szCs w:val="24"/>
        </w:rPr>
        <w:t>with providing sufficient evidence that female athletes with androgen levels in the</w:t>
      </w:r>
      <w:r w:rsidR="009C6A7A" w:rsidRPr="00F423D2">
        <w:rPr>
          <w:sz w:val="24"/>
          <w:szCs w:val="24"/>
        </w:rPr>
        <w:t xml:space="preserve"> so-called</w:t>
      </w:r>
      <w:r w:rsidRPr="00F423D2">
        <w:rPr>
          <w:sz w:val="24"/>
          <w:szCs w:val="24"/>
        </w:rPr>
        <w:t xml:space="preserve"> male range have a competitive advantage over their peers </w:t>
      </w:r>
      <w:r w:rsidR="007715EB" w:rsidRPr="00F423D2">
        <w:rPr>
          <w:b/>
          <w:sz w:val="24"/>
          <w:szCs w:val="24"/>
        </w:rPr>
        <w:t xml:space="preserve">comparable to </w:t>
      </w:r>
      <w:r w:rsidRPr="00F423D2">
        <w:rPr>
          <w:b/>
          <w:sz w:val="24"/>
          <w:szCs w:val="24"/>
        </w:rPr>
        <w:t xml:space="preserve">that men have over women, </w:t>
      </w:r>
      <w:r w:rsidR="001D4A76" w:rsidRPr="00F423D2">
        <w:rPr>
          <w:b/>
          <w:sz w:val="24"/>
          <w:szCs w:val="24"/>
        </w:rPr>
        <w:t xml:space="preserve">previously </w:t>
      </w:r>
      <w:r w:rsidRPr="00F423D2">
        <w:rPr>
          <w:b/>
          <w:sz w:val="24"/>
          <w:szCs w:val="24"/>
        </w:rPr>
        <w:t>identified as 10-12%</w:t>
      </w:r>
      <w:r w:rsidR="00937B78" w:rsidRPr="00F423D2">
        <w:rPr>
          <w:b/>
          <w:sz w:val="24"/>
          <w:szCs w:val="24"/>
        </w:rPr>
        <w:t xml:space="preserve"> </w:t>
      </w:r>
      <w:r w:rsidR="00BF0BCD" w:rsidRPr="00F423D2">
        <w:rPr>
          <w:b/>
          <w:sz w:val="24"/>
          <w:szCs w:val="24"/>
        </w:rPr>
        <w:fldChar w:fldCharType="begin" w:fldLock="1"/>
      </w:r>
      <w:r w:rsidR="00C64516" w:rsidRPr="00F423D2">
        <w:rPr>
          <w:b/>
          <w:sz w:val="24"/>
          <w:szCs w:val="24"/>
        </w:rPr>
        <w:instrText>ADDIN CSL_CITATION { "citationItems" : [ { "id" : "ITEM-1", "itemData" : { "abstract" : "The Court of Arbitration for Sport rules that:\r\nI. The appeal filed by Ms Dutee Chand on 26 September 2014 against the Athletics\r\nFederation of India's letter of29 Augnst 2014 declaring Ms Chand ineligible to compete\r\nunder the IAAF Regnlation Governing Eligibility of Females with Hyperandrogenism\r\nto Compete in Women's Competition (the \"Hyperandrogenism Regulations\") is\r\npartially upheld.\r\n2. The Hyperandrogenism Regnlations are suspended for a period of no longer than two\r\nyears from the date of this Interim Award. In the interim, Ms Dutee Chand is permitted\r\nto compete in both national and international-level athletics events.\r\n3. The International Association of Athletics Federations may, at any time within two\r\nyears of the date of this Interim Award, submit further written evidence and expe1t\r\nreports to this Panel addressing the Panel's concerns concerning the Hyperandrogenism\r\nRegulations as set forth in this Interim Award and, in particular, the actual degree of\r\nathletic performance advantage sustained by hyperandrogenic female athletes as\r\ncompared to non-hyperandrogenic female athletes by reason of their high levels of\r\ntestosterone.\r\n4. To the extent the International Association of Athletics Federations submits further\r\nwritten evidence and expert reports in accordance with paragraph 3 above, the Panel\r\nshall issue further procedural instructions to the parties, including the opportunity for\r\nMs Chand to file written evidence and submissions in response to the submissions filed\r\nby the International Association of Athletics Federations, prior to determining whether\r\nthe new evidence establishes the validity of the Hyperandrogenism Regulations. The\r\nPanel will then decide whether any further oral hearing shall take place and notify the\r\nparties accordingly.\r\n5. In the event that no evidence is filed in accordance with paragraph 3 above, or in the\r\nevent that the International Association of Athletics Federations confirms in writing to\r\nthe CAS Court Office that it does not intend to file any such evidence, the\r\nHyperandrogenism Regulations shall be declared void.\r\n6. ( ... ).\r\n7. ( ... ).\r\n8. All other motions or prayers for relief are dismissed.", "author" : [ { "dropping-particle" : "", "family" : "Court of Arbitration for Sport", "given" : "", "non-dropping-particle" : "", "parse-names" : false, "suffix" : "" } ], "container-title" : "Interim Arbitral Award", "id" : "ITEM-1", "issued" : { "date-parts" : [ [ "2015" ] ] }, "page" : "16", "title" : "CAS 2014/A/3759 Dntee Chand v. Athletics Federation oflndia (AFI) &amp;amp; The International Association of Athletics Federations (IAAF)", "type" : "legislation" }, "uris" : [ "http://www.mendeley.com/documents/?uuid=fa11ae15-6cc2-3749-809f-67f583661350" ] } ], "mendeley" : { "formattedCitation" : "[2]", "manualFormatting" : "[2 Para 526]", "plainTextFormattedCitation" : "[2]", "previouslyFormattedCitation" : "[2]" }, "properties" : { "noteIndex" : 0 }, "schema" : "https://github.com/citation-style-language/schema/raw/master/csl-citation.json" }</w:instrText>
      </w:r>
      <w:r w:rsidR="00BF0BCD" w:rsidRPr="00F423D2">
        <w:rPr>
          <w:b/>
          <w:sz w:val="24"/>
          <w:szCs w:val="24"/>
        </w:rPr>
        <w:fldChar w:fldCharType="separate"/>
      </w:r>
      <w:r w:rsidR="00937B78" w:rsidRPr="00F423D2">
        <w:rPr>
          <w:b/>
          <w:noProof/>
          <w:sz w:val="24"/>
          <w:szCs w:val="24"/>
        </w:rPr>
        <w:t>[2</w:t>
      </w:r>
      <w:r w:rsidR="00723CAA" w:rsidRPr="00F423D2">
        <w:rPr>
          <w:b/>
          <w:noProof/>
          <w:sz w:val="24"/>
          <w:szCs w:val="24"/>
        </w:rPr>
        <w:t>;</w:t>
      </w:r>
      <w:r w:rsidR="00C64516" w:rsidRPr="00F423D2">
        <w:rPr>
          <w:b/>
          <w:noProof/>
          <w:sz w:val="24"/>
          <w:szCs w:val="24"/>
        </w:rPr>
        <w:t xml:space="preserve"> Para 526</w:t>
      </w:r>
      <w:r w:rsidR="00937B78" w:rsidRPr="00F423D2">
        <w:rPr>
          <w:b/>
          <w:noProof/>
          <w:sz w:val="24"/>
          <w:szCs w:val="24"/>
        </w:rPr>
        <w:t>]</w:t>
      </w:r>
      <w:r w:rsidR="00BF0BCD" w:rsidRPr="00F423D2">
        <w:rPr>
          <w:b/>
          <w:sz w:val="24"/>
          <w:szCs w:val="24"/>
        </w:rPr>
        <w:fldChar w:fldCharType="end"/>
      </w:r>
      <w:r w:rsidRPr="00F423D2">
        <w:rPr>
          <w:sz w:val="24"/>
          <w:szCs w:val="24"/>
        </w:rPr>
        <w:t xml:space="preserve">. </w:t>
      </w:r>
      <w:r w:rsidR="00A92D61" w:rsidRPr="00F423D2">
        <w:rPr>
          <w:sz w:val="24"/>
          <w:szCs w:val="24"/>
        </w:rPr>
        <w:t xml:space="preserve">These studies do not provide this evidence. </w:t>
      </w:r>
      <w:r w:rsidR="00C95169" w:rsidRPr="00F423D2">
        <w:rPr>
          <w:sz w:val="24"/>
          <w:szCs w:val="24"/>
        </w:rPr>
        <w:t xml:space="preserve">Both papers provide </w:t>
      </w:r>
      <w:r w:rsidR="009C6A7A" w:rsidRPr="00F423D2">
        <w:rPr>
          <w:sz w:val="24"/>
          <w:szCs w:val="24"/>
        </w:rPr>
        <w:t xml:space="preserve">some new data </w:t>
      </w:r>
      <w:r w:rsidR="00C95169" w:rsidRPr="00F423D2">
        <w:rPr>
          <w:sz w:val="24"/>
          <w:szCs w:val="24"/>
        </w:rPr>
        <w:t xml:space="preserve">but do not </w:t>
      </w:r>
      <w:r w:rsidR="00EF44D1" w:rsidRPr="00F423D2">
        <w:rPr>
          <w:sz w:val="24"/>
          <w:szCs w:val="24"/>
        </w:rPr>
        <w:t>directly tackle</w:t>
      </w:r>
      <w:r w:rsidR="00C95169" w:rsidRPr="00F423D2">
        <w:rPr>
          <w:sz w:val="24"/>
          <w:szCs w:val="24"/>
        </w:rPr>
        <w:t xml:space="preserve"> the issue</w:t>
      </w:r>
      <w:r w:rsidR="009C6A7A" w:rsidRPr="00F423D2">
        <w:rPr>
          <w:sz w:val="24"/>
          <w:szCs w:val="24"/>
        </w:rPr>
        <w:t>s articulated by the CAS</w:t>
      </w:r>
      <w:r w:rsidR="00C95169" w:rsidRPr="00F423D2">
        <w:rPr>
          <w:sz w:val="24"/>
          <w:szCs w:val="24"/>
        </w:rPr>
        <w:t>.</w:t>
      </w:r>
    </w:p>
    <w:p w14:paraId="740EBAA7" w14:textId="34B987F5" w:rsidR="003902E3" w:rsidRPr="00F423D2" w:rsidRDefault="003902E3" w:rsidP="0075132F">
      <w:pPr>
        <w:tabs>
          <w:tab w:val="left" w:pos="3261"/>
        </w:tabs>
        <w:spacing w:before="100" w:beforeAutospacing="1" w:after="100" w:afterAutospacing="1" w:line="240" w:lineRule="auto"/>
        <w:rPr>
          <w:rFonts w:ascii="Calibri" w:eastAsia="Times New Roman" w:hAnsi="Calibri" w:cs="Calibri"/>
          <w:sz w:val="24"/>
          <w:szCs w:val="24"/>
          <w:lang w:eastAsia="en-GB"/>
        </w:rPr>
      </w:pPr>
      <w:r w:rsidRPr="00F423D2">
        <w:rPr>
          <w:rFonts w:ascii="Calibri" w:eastAsia="Times New Roman" w:hAnsi="Calibri" w:cs="Calibri"/>
          <w:sz w:val="24"/>
          <w:szCs w:val="24"/>
          <w:lang w:eastAsia="en-GB"/>
        </w:rPr>
        <w:t>As the CAS panel noted, a competitive advantage in the range of 1 - 3%</w:t>
      </w:r>
      <w:r w:rsidR="007E5E70" w:rsidRPr="00F423D2">
        <w:rPr>
          <w:rFonts w:ascii="Calibri" w:eastAsia="Times New Roman" w:hAnsi="Calibri" w:cs="Calibri"/>
          <w:sz w:val="24"/>
          <w:szCs w:val="24"/>
          <w:lang w:eastAsia="en-GB"/>
        </w:rPr>
        <w:t xml:space="preserve"> suggested by the IAAF advisors</w:t>
      </w:r>
      <w:r w:rsidRPr="00F423D2">
        <w:rPr>
          <w:rFonts w:ascii="Calibri" w:eastAsia="Times New Roman" w:hAnsi="Calibri" w:cs="Calibri"/>
          <w:sz w:val="24"/>
          <w:szCs w:val="24"/>
          <w:lang w:eastAsia="en-GB"/>
        </w:rPr>
        <w:t xml:space="preserve"> is a relatively marginal one "</w:t>
      </w:r>
      <w:r w:rsidR="0014436E" w:rsidRPr="00F423D2">
        <w:rPr>
          <w:rFonts w:ascii="Calibri" w:eastAsia="Times New Roman" w:hAnsi="Calibri" w:cs="Calibri"/>
          <w:sz w:val="24"/>
          <w:szCs w:val="24"/>
          <w:lang w:eastAsia="en-GB"/>
        </w:rPr>
        <w:t xml:space="preserve">… given </w:t>
      </w:r>
      <w:r w:rsidRPr="00F423D2">
        <w:rPr>
          <w:rFonts w:ascii="Calibri" w:eastAsia="Times New Roman" w:hAnsi="Calibri" w:cs="Calibri"/>
          <w:sz w:val="24"/>
          <w:szCs w:val="24"/>
          <w:lang w:eastAsia="en-GB"/>
        </w:rPr>
        <w:t xml:space="preserve">the many other </w:t>
      </w:r>
      <w:r w:rsidR="0014436E" w:rsidRPr="00F423D2">
        <w:rPr>
          <w:rFonts w:ascii="Calibri" w:eastAsia="Times New Roman" w:hAnsi="Calibri" w:cs="Calibri"/>
          <w:sz w:val="24"/>
          <w:szCs w:val="24"/>
          <w:lang w:eastAsia="en-GB"/>
        </w:rPr>
        <w:t xml:space="preserve">relevant </w:t>
      </w:r>
      <w:r w:rsidRPr="00F423D2">
        <w:rPr>
          <w:rFonts w:ascii="Calibri" w:eastAsia="Times New Roman" w:hAnsi="Calibri" w:cs="Calibri"/>
          <w:sz w:val="24"/>
          <w:szCs w:val="24"/>
          <w:lang w:eastAsia="en-GB"/>
        </w:rPr>
        <w:t xml:space="preserve">variables that </w:t>
      </w:r>
      <w:r w:rsidR="0014436E" w:rsidRPr="00F423D2">
        <w:rPr>
          <w:rFonts w:ascii="Calibri" w:eastAsia="Times New Roman" w:hAnsi="Calibri" w:cs="Calibri"/>
          <w:sz w:val="24"/>
          <w:szCs w:val="24"/>
          <w:lang w:eastAsia="en-GB"/>
        </w:rPr>
        <w:t xml:space="preserve">also legitimately affect </w:t>
      </w:r>
      <w:r w:rsidR="003F4135" w:rsidRPr="00F423D2">
        <w:rPr>
          <w:rFonts w:ascii="Calibri" w:eastAsia="Times New Roman" w:hAnsi="Calibri" w:cs="Calibri"/>
          <w:sz w:val="24"/>
          <w:szCs w:val="24"/>
          <w:lang w:eastAsia="en-GB"/>
        </w:rPr>
        <w:t>athletic performance" (</w:t>
      </w:r>
      <w:r w:rsidR="0014436E" w:rsidRPr="00F423D2">
        <w:rPr>
          <w:rFonts w:ascii="Calibri" w:eastAsia="Times New Roman" w:hAnsi="Calibri" w:cs="Calibri"/>
          <w:sz w:val="24"/>
          <w:szCs w:val="24"/>
          <w:lang w:eastAsia="en-GB"/>
        </w:rPr>
        <w:t>para 527</w:t>
      </w:r>
      <w:r w:rsidRPr="00F423D2">
        <w:rPr>
          <w:rFonts w:ascii="Calibri" w:eastAsia="Times New Roman" w:hAnsi="Calibri" w:cs="Calibri"/>
          <w:sz w:val="24"/>
          <w:szCs w:val="24"/>
          <w:lang w:eastAsia="en-GB"/>
        </w:rPr>
        <w:t>). One of the difficulties in quantifying the performance advantage that any individual athlete (male or female) derives from high endogenous testosterone levels is that it fails to account for these other variables. The IAAF acknowledged this fact in their previous study</w:t>
      </w:r>
      <w:r w:rsidR="004C4E3A" w:rsidRPr="00F423D2">
        <w:rPr>
          <w:rFonts w:ascii="Calibri" w:eastAsia="Times New Roman" w:hAnsi="Calibri" w:cs="Calibri"/>
          <w:sz w:val="24"/>
          <w:szCs w:val="24"/>
          <w:lang w:eastAsia="en-GB"/>
        </w:rPr>
        <w:t xml:space="preserve"> to determine whether unusually high levels of testosterone in women provide a competitive advantage, which used </w:t>
      </w:r>
      <w:r w:rsidRPr="00F423D2">
        <w:rPr>
          <w:rFonts w:ascii="Calibri" w:eastAsia="Times New Roman" w:hAnsi="Calibri" w:cs="Calibri"/>
          <w:sz w:val="24"/>
          <w:szCs w:val="24"/>
          <w:lang w:eastAsia="en-GB"/>
        </w:rPr>
        <w:lastRenderedPageBreak/>
        <w:t>the same data from the 2011 World Athletic Championship</w:t>
      </w:r>
      <w:r w:rsidR="00C64516" w:rsidRPr="00F423D2">
        <w:rPr>
          <w:rFonts w:ascii="Calibri" w:eastAsia="Times New Roman" w:hAnsi="Calibri" w:cs="Calibri"/>
          <w:sz w:val="24"/>
          <w:szCs w:val="24"/>
          <w:lang w:eastAsia="en-GB"/>
        </w:rPr>
        <w:t>s in Daegu</w:t>
      </w:r>
      <w:r w:rsidR="00BF0BCD" w:rsidRPr="00F423D2">
        <w:rPr>
          <w:rFonts w:ascii="Calibri" w:eastAsia="Times New Roman" w:hAnsi="Calibri" w:cs="Calibri"/>
          <w:sz w:val="24"/>
          <w:szCs w:val="24"/>
          <w:lang w:eastAsia="en-GB"/>
        </w:rPr>
        <w:fldChar w:fldCharType="begin" w:fldLock="1"/>
      </w:r>
      <w:r w:rsidR="0014436E" w:rsidRPr="00F423D2">
        <w:rPr>
          <w:rFonts w:ascii="Calibri" w:eastAsia="Times New Roman" w:hAnsi="Calibri" w:cs="Calibri"/>
          <w:sz w:val="24"/>
          <w:szCs w:val="24"/>
          <w:lang w:eastAsia="en-GB"/>
        </w:rPr>
        <w:instrText>ADDIN CSL_CITATION { "citationItems" : [ { "id" : "ITEM-1", "itemData" : { "PMID" : "25137421", "abstract" : "OBJECTIVE: Prior to the implementation of the blood steroidal module of the Athlete Biological Passport, we measured the serum androgen levels among a large population of high-level female athletes as well as the prevalence of biochemical hyperandrogenism and some disorders of sex development (DSD). METHODS AND RESULTS: In 849 elite female athletes, serum T, dehydroepiandrosterone sulphate, androstenedione, SHBG, and gonadotrophins were measured by liquid chromatography-mass spectrometry high resolution or immunoassay. Free T was calculated. The sampling hour, age, and type of athletic event only had a small influence on T concentration, whereas ethnicity had not. Among the 85.5% that did not use oral contraceptives, 168 of 717 athletes were oligo- or amenorrhoic. The oral contraceptive users showed the lowest serum androgen and gonadotrophin and the highest SHBG concentrations. After having removed five doped athletes and five DSD women from our population, median T and free T values were close to those reported in sedentary young women. The 99th percentile for T concentration was calculated at 3.08 nmol/L, which is below the 10 nmol/L threshold used for competition eligibility of hyperandrogenic women with normal androgen sensitivity. Prevalence of hyperandrogenic 46 XY DSD in our athletic population is approximately 7 per 1000, which is 140 times higher than expected in the general population. CONCLUSION: This is the first study to establish normative serum androgens values in elite female athletes, while taking into account the possible influence of menstrual status, oral contraceptive use, type of athletic event, and ethnicity. These findings should help to develop the blood steroidal module of the Athlete Biological Passport and to refine more evidence-based fair policies and recommendations concerning hyperandrogenism in female athletes", "author" : [ { "dropping-particle" : "", "family" : "Bermon", "given" : "S", "non-dropping-particle" : "", "parse-names" : false, "suffix" : "" }, { "dropping-particle" : "", "family" : "Garnier", "given" : "P Y", "non-dropping-particle" : "", "parse-names" : false, "suffix" : "" }, { "dropping-particle" : "", "family" : "Hirschberg", "given" : "A L", "non-dropping-particle" : "", "parse-names" : false, "suffix" : "" }, { "dropping-particle" : "", "family" : "Robinson", "given" : "N", "non-dropping-particle" : "", "parse-names" : false, "suffix" : "" }, { "dropping-particle" : "", "family" : "Giraud", "given" : "S", "non-dropping-particle" : "", "parse-names" : false, "suffix" : "" }, { "dropping-particle" : "", "family" : "Nicoli", "given" : "R", "non-dropping-particle" : "", "parse-names" : false, "suffix" : "" }, { "dropping-particle" : "", "family" : "Baume", "given" : "N", "non-dropping-particle" : "", "parse-names" : false, "suffix" : "" }, { "dropping-particle" : "", "family" : "Saugy", "given" : "M", "non-dropping-particle" : "", "parse-names" : false, "suffix" : "" }, { "dropping-particle" : "", "family" : "Fenichel", "given" : "P", "non-dropping-particle" : "", "parse-names" : false, "suffix" : "" }, { "dropping-particle" : "", "family" : "Bruce", "given" : "S J", "non-dropping-particle" : "", "parse-names" : false, "suffix" : "" }, { "dropping-particle" : "", "family" : "Henry", "given" : "H", "non-dropping-particle" : "", "parse-names" : false, "suffix" : "" }, { "dropping-particle" : "", "family" : "Dolle", "given" : "G", "non-dropping-particle" : "", "parse-names" : false, "suffix" : "" }, { "dropping-particle" : "", "family" : "Ritzen", "given" : "M", "non-dropping-particle" : "", "parse-names" : false, "suffix" : "" }, { "dropping-particle" : "", "family" : "Linden", "given" : "Hirschberg A", "non-dropping-particle" : "", "parse-names" : false, "suffix" : "" }, { "dropping-particle" : "", "family" : "Robinson", "given" : "N", "non-dropping-particle" : "", "parse-names" : false, "suffix" : "" }, { "dropping-particle" : "", "family" : "Giraud", "given" : "S", "non-dropping-particle" : "", "parse-names" : false, "suffix" : "" }, { "dropping-particle" : "", "family" : "Nicoli", "given" : "R", "non-dropping-particle" : "", "parse-names" : false, "suffix" : "" }, { "dropping-particle" : "", "family" : "Baume", "given" : "N", "non-dropping-particle" : "", "parse-names" : false, "suffix" : "" }, { "dropping-particle" : "", "family" : "Saugy", "given" : "M", "non-dropping-particle" : "", "parse-names" : false, "suffix" : "" }, { "dropping-particle" : "", "family" : "Fenichel", "given" : "P", "non-dropping-particle" : "", "parse-names" : false, "suffix" : "" }, { "dropping-particle" : "", "family" : "Bruce", "given" : "S J", "non-dropping-particle" : "", "parse-names" : false, "suffix" : "" }, { "dropping-particle" : "", "family" : "Henry", "given" : "H", "non-dropping-particle" : "", "parse-names" : false, "suffix" : "" }, { "dropping-particle" : "", "family" : "Dolle", "given" : "G", "non-dropping-particle" : "", "parse-names" : false, "suffix" : "" }, { "dropping-particle" : "", "family" : "Ritzen", "given" : "M", "non-dropping-particle" : "", "parse-names" : false, "suffix" : "" } ], "container-title" : "J.Clin.Endocrinol.Metab", "id" : "ITEM-1", "issue" : "11", "issued" : { "date-parts" : [ [ "0" ] ] }, "note" : "From Duplicate 1 (Serum Androgen Levels in Elite Female Athletes1 - Bermon, S; Garnier, P Y; Linden, Hirschberg A; Robinson, N; Giraud, S; Nicoli, R; Baume, N; Saugy, M; Fenichel, P; Bruce, S J; Henry, H; Dolle, G; Ritzen, M)\n\nDA - 20140819IS - 1945-7197 (Electronic)IS - 0021-972X (Linking)LA - ENGPT - JOURNAL ARTICLE\n\nFrom Duplicate 2 (Serum androgen levels in elite female athletes1 - Bermon, S; Garnier, P Y; Hirschberg, A L; Robinson, N; Giraud, S; Nicoli, R; Baume, N; Saugy, M; Fenichel, P; Bruce, S J; Henry, H; Dolle, G; Ritzen, M)\n\nDA - 20141106IS - 1945-7197 (Electronic)IS - 0021-972X (Linking)LA - engPT - Journal ArticleSB - AIMSB - IM", "page" : "jc20141391-", "title" : "Serum androgen levels in elite female athletes1", "type" : "article", "volume" : "99" }, "uris" : [ "http://www.mendeley.com/documents/?uuid=2b7345f6-01bd-4978-aa3f-9ccda1d7d30f" ] } ], "mendeley" : { "formattedCitation" : "[6]", "plainTextFormattedCitation" : "[6]", "previouslyFormattedCitation" : "[6]" }, "properties" : { "noteIndex" : 0 }, "schema" : "https://github.com/citation-style-language/schema/raw/master/csl-citation.json" }</w:instrText>
      </w:r>
      <w:r w:rsidR="00BF0BCD" w:rsidRPr="00F423D2">
        <w:rPr>
          <w:rFonts w:ascii="Calibri" w:eastAsia="Times New Roman" w:hAnsi="Calibri" w:cs="Calibri"/>
          <w:sz w:val="24"/>
          <w:szCs w:val="24"/>
          <w:lang w:eastAsia="en-GB"/>
        </w:rPr>
        <w:fldChar w:fldCharType="separate"/>
      </w:r>
      <w:r w:rsidR="0014436E" w:rsidRPr="00F423D2">
        <w:rPr>
          <w:rFonts w:ascii="Calibri" w:eastAsia="Times New Roman" w:hAnsi="Calibri" w:cs="Calibri"/>
          <w:noProof/>
          <w:sz w:val="24"/>
          <w:szCs w:val="24"/>
          <w:lang w:eastAsia="en-GB"/>
        </w:rPr>
        <w:t>[6]</w:t>
      </w:r>
      <w:r w:rsidR="00BF0BCD" w:rsidRPr="00F423D2">
        <w:rPr>
          <w:rFonts w:ascii="Calibri" w:eastAsia="Times New Roman" w:hAnsi="Calibri" w:cs="Calibri"/>
          <w:sz w:val="24"/>
          <w:szCs w:val="24"/>
          <w:lang w:eastAsia="en-GB"/>
        </w:rPr>
        <w:fldChar w:fldCharType="end"/>
      </w:r>
      <w:r w:rsidR="00D22A27" w:rsidRPr="00F423D2">
        <w:rPr>
          <w:rFonts w:ascii="Calibri" w:eastAsia="Times New Roman" w:hAnsi="Calibri" w:cs="Calibri"/>
          <w:sz w:val="24"/>
          <w:szCs w:val="24"/>
          <w:lang w:eastAsia="en-GB"/>
        </w:rPr>
        <w:t>.</w:t>
      </w:r>
      <w:r w:rsidR="00C64516" w:rsidRPr="00F423D2">
        <w:rPr>
          <w:rFonts w:ascii="Calibri" w:eastAsia="Times New Roman" w:hAnsi="Calibri" w:cs="Calibri"/>
          <w:sz w:val="24"/>
          <w:szCs w:val="24"/>
          <w:lang w:eastAsia="en-GB"/>
        </w:rPr>
        <w:t xml:space="preserve"> </w:t>
      </w:r>
      <w:r w:rsidR="00D22A27" w:rsidRPr="00F423D2">
        <w:rPr>
          <w:rFonts w:ascii="Calibri" w:eastAsia="Times New Roman" w:hAnsi="Calibri" w:cs="Calibri"/>
          <w:sz w:val="24"/>
          <w:szCs w:val="24"/>
          <w:lang w:eastAsia="en-GB"/>
        </w:rPr>
        <w:t xml:space="preserve">They </w:t>
      </w:r>
      <w:r w:rsidR="004C4E3A" w:rsidRPr="00F423D2">
        <w:rPr>
          <w:rFonts w:ascii="Calibri" w:eastAsia="Times New Roman" w:hAnsi="Calibri" w:cs="Calibri"/>
          <w:sz w:val="24"/>
          <w:szCs w:val="24"/>
          <w:lang w:eastAsia="en-GB"/>
        </w:rPr>
        <w:t>stat</w:t>
      </w:r>
      <w:r w:rsidR="00D22A27" w:rsidRPr="00F423D2">
        <w:rPr>
          <w:rFonts w:ascii="Calibri" w:eastAsia="Times New Roman" w:hAnsi="Calibri" w:cs="Calibri"/>
          <w:sz w:val="24"/>
          <w:szCs w:val="24"/>
          <w:lang w:eastAsia="en-GB"/>
        </w:rPr>
        <w:t>ed</w:t>
      </w:r>
      <w:r w:rsidR="004C4E3A" w:rsidRPr="00F423D2">
        <w:rPr>
          <w:rFonts w:ascii="Calibri" w:eastAsia="Times New Roman" w:hAnsi="Calibri" w:cs="Calibri"/>
          <w:sz w:val="24"/>
          <w:szCs w:val="24"/>
          <w:lang w:eastAsia="en-GB"/>
        </w:rPr>
        <w:t xml:space="preserve"> that </w:t>
      </w:r>
      <w:r w:rsidR="00C64516" w:rsidRPr="00F423D2">
        <w:rPr>
          <w:rFonts w:ascii="Calibri" w:eastAsia="Times New Roman" w:hAnsi="Calibri" w:cs="Calibri"/>
          <w:sz w:val="24"/>
          <w:szCs w:val="24"/>
          <w:lang w:eastAsia="en-GB"/>
        </w:rPr>
        <w:t>they</w:t>
      </w:r>
      <w:r w:rsidRPr="00F423D2">
        <w:rPr>
          <w:rFonts w:ascii="Calibri" w:eastAsia="Times New Roman" w:hAnsi="Calibri" w:cs="Calibri"/>
          <w:sz w:val="24"/>
          <w:szCs w:val="24"/>
          <w:lang w:eastAsia="en-GB"/>
        </w:rPr>
        <w:t xml:space="preserve"> were unable to exclude other variables that “</w:t>
      </w:r>
      <w:r w:rsidR="006C043F" w:rsidRPr="00F423D2">
        <w:rPr>
          <w:rFonts w:ascii="Calibri" w:eastAsia="Times New Roman" w:hAnsi="Calibri" w:cs="Calibri"/>
          <w:sz w:val="24"/>
          <w:szCs w:val="24"/>
          <w:lang w:eastAsia="en-GB"/>
        </w:rPr>
        <w:t xml:space="preserve">… </w:t>
      </w:r>
      <w:r w:rsidRPr="00F423D2">
        <w:rPr>
          <w:rFonts w:ascii="Calibri" w:eastAsia="Times New Roman" w:hAnsi="Calibri" w:cs="Calibri"/>
          <w:sz w:val="24"/>
          <w:szCs w:val="24"/>
          <w:lang w:eastAsia="en-GB"/>
        </w:rPr>
        <w:t>in some unknown way may bring a</w:t>
      </w:r>
      <w:r w:rsidR="0095482F" w:rsidRPr="00F423D2">
        <w:rPr>
          <w:rFonts w:ascii="Calibri" w:eastAsia="Times New Roman" w:hAnsi="Calibri" w:cs="Calibri"/>
          <w:sz w:val="24"/>
          <w:szCs w:val="24"/>
          <w:lang w:eastAsia="en-GB"/>
        </w:rPr>
        <w:t>n advantage to female athletes"</w:t>
      </w:r>
      <w:r w:rsidRPr="00F423D2">
        <w:rPr>
          <w:rFonts w:ascii="Calibri" w:eastAsia="Times New Roman" w:hAnsi="Calibri" w:cs="Calibri"/>
          <w:sz w:val="24"/>
          <w:szCs w:val="24"/>
          <w:lang w:eastAsia="en-GB"/>
        </w:rPr>
        <w:t>; see also</w:t>
      </w:r>
      <w:r w:rsidR="008E3757">
        <w:rPr>
          <w:rFonts w:ascii="Calibri" w:eastAsia="Times New Roman" w:hAnsi="Calibri" w:cs="Calibri"/>
          <w:sz w:val="24"/>
          <w:szCs w:val="24"/>
          <w:lang w:eastAsia="en-GB"/>
        </w:rPr>
        <w:t xml:space="preserve"> </w:t>
      </w:r>
      <w:r w:rsidR="00BF0BCD" w:rsidRPr="00F423D2">
        <w:rPr>
          <w:rFonts w:ascii="Calibri" w:eastAsia="Times New Roman" w:hAnsi="Calibri" w:cs="Calibri"/>
          <w:sz w:val="24"/>
          <w:szCs w:val="24"/>
          <w:lang w:eastAsia="en-GB"/>
        </w:rPr>
        <w:fldChar w:fldCharType="begin" w:fldLock="1"/>
      </w:r>
      <w:r w:rsidR="00133C06" w:rsidRPr="00F423D2">
        <w:rPr>
          <w:rFonts w:ascii="Calibri" w:eastAsia="Times New Roman" w:hAnsi="Calibri" w:cs="Calibri"/>
          <w:sz w:val="24"/>
          <w:szCs w:val="24"/>
          <w:lang w:eastAsia="en-GB"/>
        </w:rPr>
        <w:instrText>ADDIN CSL_CITATION { "citationItems" : [ { "id" : "ITEM-1", "itemData" : { "PMID" : "25160863", "abstract" : "At present, it is widely assumed that hyperandrogenism in female athletes confers an unfair competitive advantage. This view is perpetuated in current regulations governing eligibility of female athletes with hyperandrogenism to compete, which identify testosterone levels in the male range as the critical factor. Detailed evidence is presented here for the first time that genes for stature (and possibly other genes) on the Y chromosome are responsible for the increased frequency of 46,XY disorder of sex development (46,XY DSD) among elite female athletes identified by eligibility tests. In many cases, androgens are non-functional or, alternatively, absent and therefore testosterone cannot be responsible for their athletic success. Genetic variation has a major role in the selection of individuals for training and success in competition; however, this variation is not grounds for determining who should compete in athletic events. There is no convincing evidence to support the view that hyperandrogenism is associated with performance advantage in female athletes. Current time-consuming regulations may lead to the unwelcome resurgence of innuendo in the media and coercion of female athletes into accepting gonadectomy and other treatments to which they might otherwise not have been subjected. These regulations should be withdrawn on the grounds that they are not supported scientifically, are discriminatory towards women and place some female athletes at risk of unnecessary and potentially harmful investigations. Improved understanding about genetic factors that lead to selection in sport should offer reassurance that women with hyperandrogenism possess no physical attribute relevant to athletic performance that is neither attainable, nor present in other women", "author" : [ { "dropping-particle" : "", "family" : "Ferguson-Smith", "given" : "M A", "non-dropping-particle" : "", "parse-names" : false, "suffix" : "" }, { "dropping-particle" : "", "family" : "Bavington", "given" : "L D", "non-dropping-particle" : "", "parse-names" : false, "suffix" : "" } ], "container-title" : "Sports Med.", "id" : "ITEM-1", "issue" : "12", "issued" : { "date-parts" : [ [ "2014" ] ] }, "note" : "DA - 20141125IS - 1179-2035 (Electronic)IS - 0112-1642 (Linking)LA - engPT - Journal ArticleSB - IM", "page" : "1629-1634", "title" : "Natural Selection for Genetic Variants in Sport: The Role of Y Chromosome Genes in Elite Female Athletes with 46,XY DSD1", "type" : "article-journal", "volume" : "44" }, "uris" : [ "http://www.mendeley.com/documents/?uuid=4ef23ad3-0aec-49d8-b77b-23b827c2d353" ] } ], "mendeley" : { "formattedCitation" : "[7]", "plainTextFormattedCitation" : "[7]", "previouslyFormattedCitation" : "[7]" }, "properties" : { "noteIndex" : 0 }, "schema" : "https://github.com/citation-style-language/schema/raw/master/csl-citation.json" }</w:instrText>
      </w:r>
      <w:r w:rsidR="00BF0BCD" w:rsidRPr="00F423D2">
        <w:rPr>
          <w:rFonts w:ascii="Calibri" w:eastAsia="Times New Roman" w:hAnsi="Calibri" w:cs="Calibri"/>
          <w:sz w:val="24"/>
          <w:szCs w:val="24"/>
          <w:lang w:eastAsia="en-GB"/>
        </w:rPr>
        <w:fldChar w:fldCharType="separate"/>
      </w:r>
      <w:r w:rsidR="0014436E" w:rsidRPr="00F423D2">
        <w:rPr>
          <w:rFonts w:ascii="Calibri" w:eastAsia="Times New Roman" w:hAnsi="Calibri" w:cs="Calibri"/>
          <w:noProof/>
          <w:sz w:val="24"/>
          <w:szCs w:val="24"/>
          <w:lang w:eastAsia="en-GB"/>
        </w:rPr>
        <w:t>[7]</w:t>
      </w:r>
      <w:r w:rsidR="00BF0BCD" w:rsidRPr="00F423D2">
        <w:rPr>
          <w:rFonts w:ascii="Calibri" w:eastAsia="Times New Roman" w:hAnsi="Calibri" w:cs="Calibri"/>
          <w:sz w:val="24"/>
          <w:szCs w:val="24"/>
          <w:lang w:eastAsia="en-GB"/>
        </w:rPr>
        <w:fldChar w:fldCharType="end"/>
      </w:r>
      <w:r w:rsidRPr="00F423D2">
        <w:rPr>
          <w:rFonts w:ascii="Calibri" w:eastAsia="Times New Roman" w:hAnsi="Calibri" w:cs="Calibri"/>
          <w:sz w:val="24"/>
          <w:szCs w:val="24"/>
          <w:lang w:eastAsia="en-GB"/>
        </w:rPr>
        <w:t>.</w:t>
      </w:r>
    </w:p>
    <w:p w14:paraId="740EBAA8" w14:textId="77777777" w:rsidR="003E0C24" w:rsidRPr="00F423D2" w:rsidRDefault="0095482F" w:rsidP="003902E3">
      <w:pPr>
        <w:spacing w:before="100" w:beforeAutospacing="1" w:after="100" w:afterAutospacing="1" w:line="240" w:lineRule="auto"/>
        <w:rPr>
          <w:rFonts w:ascii="Calibri" w:eastAsia="Times New Roman" w:hAnsi="Calibri" w:cs="Calibri"/>
          <w:sz w:val="24"/>
          <w:szCs w:val="24"/>
          <w:lang w:eastAsia="en-GB"/>
        </w:rPr>
      </w:pPr>
      <w:r w:rsidRPr="00F423D2">
        <w:rPr>
          <w:rFonts w:ascii="Calibri" w:eastAsia="Times New Roman" w:hAnsi="Calibri" w:cs="Calibri"/>
          <w:sz w:val="24"/>
          <w:szCs w:val="24"/>
          <w:lang w:eastAsia="en-GB"/>
        </w:rPr>
        <w:t>E</w:t>
      </w:r>
      <w:r w:rsidR="003E0C24" w:rsidRPr="00F423D2">
        <w:rPr>
          <w:rFonts w:ascii="Calibri" w:eastAsia="Times New Roman" w:hAnsi="Calibri" w:cs="Calibri"/>
          <w:sz w:val="24"/>
          <w:szCs w:val="24"/>
          <w:lang w:eastAsia="en-GB"/>
        </w:rPr>
        <w:t>thicist</w:t>
      </w:r>
      <w:r w:rsidR="00EF44D1" w:rsidRPr="00F423D2">
        <w:rPr>
          <w:rFonts w:ascii="Calibri" w:eastAsia="Times New Roman" w:hAnsi="Calibri" w:cs="Calibri"/>
          <w:sz w:val="24"/>
          <w:szCs w:val="24"/>
          <w:lang w:eastAsia="en-GB"/>
        </w:rPr>
        <w:t>s</w:t>
      </w:r>
      <w:r w:rsidR="003E0C24" w:rsidRPr="00F423D2">
        <w:rPr>
          <w:rFonts w:ascii="Calibri" w:eastAsia="Times New Roman" w:hAnsi="Calibri" w:cs="Calibri"/>
          <w:sz w:val="24"/>
          <w:szCs w:val="24"/>
          <w:lang w:eastAsia="en-GB"/>
        </w:rPr>
        <w:t xml:space="preserve"> </w:t>
      </w:r>
      <w:r w:rsidR="00454FE4" w:rsidRPr="00F423D2">
        <w:rPr>
          <w:rFonts w:ascii="Calibri" w:eastAsia="Times New Roman" w:hAnsi="Calibri" w:cs="Calibri"/>
          <w:sz w:val="24"/>
          <w:szCs w:val="24"/>
          <w:lang w:eastAsia="en-GB"/>
        </w:rPr>
        <w:t>(including several</w:t>
      </w:r>
      <w:r w:rsidR="000D5457" w:rsidRPr="00F423D2">
        <w:rPr>
          <w:rFonts w:ascii="Calibri" w:eastAsia="Times New Roman" w:hAnsi="Calibri" w:cs="Calibri"/>
          <w:sz w:val="24"/>
          <w:szCs w:val="24"/>
          <w:lang w:eastAsia="en-GB"/>
        </w:rPr>
        <w:t xml:space="preserve"> authors of this editorial) </w:t>
      </w:r>
      <w:r w:rsidR="003E0C24" w:rsidRPr="00F423D2">
        <w:rPr>
          <w:rFonts w:ascii="Calibri" w:eastAsia="Times New Roman" w:hAnsi="Calibri" w:cs="Calibri"/>
          <w:sz w:val="24"/>
          <w:szCs w:val="24"/>
          <w:lang w:eastAsia="en-GB"/>
        </w:rPr>
        <w:t xml:space="preserve">have argued that even if </w:t>
      </w:r>
      <w:r w:rsidR="00EF44D1" w:rsidRPr="00F423D2">
        <w:rPr>
          <w:rFonts w:ascii="Calibri" w:eastAsia="Times New Roman" w:hAnsi="Calibri" w:cs="Calibri"/>
          <w:sz w:val="24"/>
          <w:szCs w:val="24"/>
          <w:lang w:eastAsia="en-GB"/>
        </w:rPr>
        <w:t xml:space="preserve">the </w:t>
      </w:r>
      <w:r w:rsidR="003E0C24" w:rsidRPr="00F423D2">
        <w:rPr>
          <w:rFonts w:ascii="Calibri" w:eastAsia="Times New Roman" w:hAnsi="Calibri" w:cs="Calibri"/>
          <w:sz w:val="24"/>
          <w:szCs w:val="24"/>
          <w:lang w:eastAsia="en-GB"/>
        </w:rPr>
        <w:t>IAAF were able to prove a performance advantage of a high endogenous testosterone in elite female athletes this would not be unfair</w:t>
      </w:r>
      <w:r w:rsidR="00D22A27" w:rsidRPr="00F423D2">
        <w:rPr>
          <w:rFonts w:ascii="Calibri" w:eastAsia="Times New Roman" w:hAnsi="Calibri" w:cs="Calibri"/>
          <w:sz w:val="24"/>
          <w:szCs w:val="24"/>
          <w:lang w:eastAsia="en-GB"/>
        </w:rPr>
        <w:t>.</w:t>
      </w:r>
      <w:r w:rsidR="009A78AF" w:rsidRPr="00F423D2">
        <w:rPr>
          <w:rFonts w:ascii="Calibri" w:eastAsia="Times New Roman" w:hAnsi="Calibri" w:cs="Calibri"/>
          <w:sz w:val="24"/>
          <w:szCs w:val="24"/>
          <w:lang w:eastAsia="en-GB"/>
        </w:rPr>
        <w:t xml:space="preserve"> </w:t>
      </w:r>
      <w:r w:rsidR="00BF0BCD" w:rsidRPr="00F423D2">
        <w:rPr>
          <w:rFonts w:ascii="Calibri" w:eastAsia="Times New Roman" w:hAnsi="Calibri" w:cs="Calibri"/>
          <w:sz w:val="24"/>
          <w:szCs w:val="24"/>
          <w:lang w:eastAsia="en-GB"/>
        </w:rPr>
        <w:fldChar w:fldCharType="begin" w:fldLock="1"/>
      </w:r>
      <w:r w:rsidR="00D0438F" w:rsidRPr="00F423D2">
        <w:rPr>
          <w:rFonts w:ascii="Calibri" w:eastAsia="Times New Roman" w:hAnsi="Calibri" w:cs="Calibri"/>
          <w:sz w:val="24"/>
          <w:szCs w:val="24"/>
          <w:lang w:eastAsia="en-GB"/>
        </w:rPr>
        <w:instrText>ADDIN CSL_CITATION { "citationItems" : [ { "id" : "ITEM-1", "itemData" : { "PMID" : "22694023", "abstract" : "In May 2011, more than a decade after the International Association of Athletics Federations (IAAF) and the International Olympic Committee (IOC) abandoned sex testing, they devised new policies in response to the IAAF's treatment of Caster Semenya, the South African runner whose sex was challenged because of her spectacular win and powerful physique that fueled an international frenzy questioning her sex and legitimacy to compete as female. These policies claim that atypically high levels of endogenous testosterone in women (caused by various medical conditions) create an unfair advantage and must be regulated. Against the backdrop of Semenya's case and the scientific and historical complexity of \"gender verification\" in elite sports, we question the new policies on three grounds: (1) the underlying scientific assumptions; (2) the policymaking process; and (3) the potential to achieve fairness for female athletes. We find the policies in each of these domains significantly flawed and therefore argue they should be withdrawn", "author" : [ { "dropping-particle" : "", "family" : "Karkazis", "given" : "K", "non-dropping-particle" : "", "parse-names" : false, "suffix" : "" }, { "dropping-particle" : "", "family" : "Jordan-Young", "given" : "R", "non-dropping-particle" : "", "parse-names" : false, "suffix" : "" }, { "dropping-particle" : "", "family" : "Davis", "given" : "G", "non-dropping-particle" : "", "parse-names" : false, "suffix" : "" }, { "dropping-particle" : "", "family" : "Camporesi", "given" : "S", "non-dropping-particle" : "", "parse-names" : false, "suffix" : "" } ], "container-title" : "Am.J.Bioeth.", "id" : "ITEM-1", "issue" : "7", "issued" : { "date-parts" : [ [ "2012" ] ] }, "note" : "DA - 20120614IS - 1536-0075 (Electronic)IS - 1526-5161 (Linking)LA - engPT - Historical ArticlePT - Journal ArticleRN - 0 (Androgens)RN - 3XMK78S47O (Testosterone)SB - ESB - IM", "page" : "3-16", "title" : "Out of bounds? A critique of the new policies on hyperandrogenism in elite female athletes", "type" : "article", "volume" : "12" }, "uris" : [ "http://www.mendeley.com/documents/?uuid=8f16b477-96da-46fd-bc67-338e66c5a690" ] } ], "mendeley" : { "formattedCitation" : "[8]", "plainTextFormattedCitation" : "[8]", "previouslyFormattedCitation" : "[9]" }, "properties" : { "noteIndex" : 2 }, "schema" : "https://github.com/citation-style-language/schema/raw/master/csl-citation.json" }</w:instrText>
      </w:r>
      <w:r w:rsidR="00BF0BCD" w:rsidRPr="00F423D2">
        <w:rPr>
          <w:rFonts w:ascii="Calibri" w:eastAsia="Times New Roman" w:hAnsi="Calibri" w:cs="Calibri"/>
          <w:sz w:val="24"/>
          <w:szCs w:val="24"/>
          <w:lang w:eastAsia="en-GB"/>
        </w:rPr>
        <w:fldChar w:fldCharType="separate"/>
      </w:r>
      <w:r w:rsidR="00D0438F" w:rsidRPr="00F423D2">
        <w:rPr>
          <w:rFonts w:ascii="Calibri" w:eastAsia="Times New Roman" w:hAnsi="Calibri" w:cs="Calibri"/>
          <w:noProof/>
          <w:sz w:val="24"/>
          <w:szCs w:val="24"/>
          <w:lang w:eastAsia="en-GB"/>
        </w:rPr>
        <w:t>[8]</w:t>
      </w:r>
      <w:r w:rsidR="00BF0BCD" w:rsidRPr="00F423D2">
        <w:rPr>
          <w:rFonts w:ascii="Calibri" w:eastAsia="Times New Roman" w:hAnsi="Calibri" w:cs="Calibri"/>
          <w:sz w:val="24"/>
          <w:szCs w:val="24"/>
          <w:lang w:eastAsia="en-GB"/>
        </w:rPr>
        <w:fldChar w:fldCharType="end"/>
      </w:r>
      <w:r w:rsidR="00E408AD" w:rsidRPr="00F423D2">
        <w:rPr>
          <w:rFonts w:ascii="Calibri" w:eastAsia="Times New Roman" w:hAnsi="Calibri" w:cs="Calibri"/>
          <w:sz w:val="24"/>
          <w:szCs w:val="24"/>
          <w:lang w:eastAsia="en-GB"/>
        </w:rPr>
        <w:t xml:space="preserve"> [9]</w:t>
      </w:r>
    </w:p>
    <w:p w14:paraId="7DEE0D84" w14:textId="4D77D365" w:rsidR="00605895" w:rsidRPr="00F423D2" w:rsidRDefault="0004121D">
      <w:pPr>
        <w:rPr>
          <w:rFonts w:cstheme="minorHAnsi"/>
          <w:color w:val="000000"/>
          <w:sz w:val="24"/>
          <w:szCs w:val="24"/>
        </w:rPr>
      </w:pPr>
      <w:r w:rsidRPr="00F423D2">
        <w:rPr>
          <w:rFonts w:cstheme="minorHAnsi"/>
          <w:color w:val="000000"/>
          <w:sz w:val="24"/>
          <w:szCs w:val="24"/>
        </w:rPr>
        <w:t xml:space="preserve">In conclusion, even </w:t>
      </w:r>
      <w:r w:rsidR="0031577B" w:rsidRPr="00F423D2">
        <w:rPr>
          <w:rFonts w:cstheme="minorHAnsi"/>
          <w:color w:val="000000"/>
          <w:sz w:val="24"/>
          <w:szCs w:val="24"/>
        </w:rPr>
        <w:t>considering</w:t>
      </w:r>
      <w:r w:rsidRPr="00F423D2">
        <w:rPr>
          <w:rFonts w:cstheme="minorHAnsi"/>
          <w:color w:val="000000"/>
          <w:sz w:val="24"/>
          <w:szCs w:val="24"/>
        </w:rPr>
        <w:t xml:space="preserve"> the methodical limitations, these two new papers present no </w:t>
      </w:r>
      <w:r w:rsidR="008E3757">
        <w:rPr>
          <w:rFonts w:cstheme="minorHAnsi"/>
          <w:color w:val="000000"/>
          <w:sz w:val="24"/>
          <w:szCs w:val="24"/>
        </w:rPr>
        <w:t xml:space="preserve">new </w:t>
      </w:r>
      <w:r w:rsidRPr="00F423D2">
        <w:rPr>
          <w:rFonts w:cstheme="minorHAnsi"/>
          <w:color w:val="000000"/>
          <w:sz w:val="24"/>
          <w:szCs w:val="24"/>
        </w:rPr>
        <w:t>evidence to support the regulation beyond what the CAS reviewed before reaching their decision on the Dutee Chand case</w:t>
      </w:r>
    </w:p>
    <w:p w14:paraId="740EBAAA" w14:textId="56E9561E" w:rsidR="005A3FA2" w:rsidRPr="00F423D2" w:rsidRDefault="0031577B">
      <w:pPr>
        <w:rPr>
          <w:rFonts w:cstheme="minorHAnsi"/>
          <w:sz w:val="24"/>
          <w:szCs w:val="24"/>
        </w:rPr>
      </w:pPr>
      <w:r w:rsidRPr="00F423D2">
        <w:rPr>
          <w:rFonts w:cstheme="minorHAnsi"/>
          <w:sz w:val="24"/>
          <w:szCs w:val="24"/>
        </w:rPr>
        <w:t>850</w:t>
      </w:r>
      <w:r w:rsidR="009762DE" w:rsidRPr="00F423D2">
        <w:rPr>
          <w:rFonts w:cstheme="minorHAnsi"/>
          <w:sz w:val="24"/>
          <w:szCs w:val="24"/>
        </w:rPr>
        <w:t xml:space="preserve"> words</w:t>
      </w:r>
    </w:p>
    <w:p w14:paraId="740EBAAB" w14:textId="77777777" w:rsidR="009762DE" w:rsidRPr="00F423D2" w:rsidRDefault="00182EBA">
      <w:pPr>
        <w:rPr>
          <w:sz w:val="24"/>
          <w:szCs w:val="24"/>
        </w:rPr>
      </w:pPr>
      <w:r w:rsidRPr="00F423D2">
        <w:rPr>
          <w:sz w:val="24"/>
          <w:szCs w:val="24"/>
        </w:rPr>
        <w:t>9</w:t>
      </w:r>
      <w:r w:rsidR="009762DE" w:rsidRPr="00F423D2">
        <w:rPr>
          <w:sz w:val="24"/>
          <w:szCs w:val="24"/>
        </w:rPr>
        <w:t xml:space="preserve"> references</w:t>
      </w:r>
    </w:p>
    <w:p w14:paraId="740EBAAC" w14:textId="77777777" w:rsidR="005A3FA2" w:rsidRPr="00F423D2" w:rsidRDefault="005A3FA2">
      <w:pPr>
        <w:rPr>
          <w:sz w:val="24"/>
          <w:szCs w:val="24"/>
        </w:rPr>
      </w:pPr>
    </w:p>
    <w:p w14:paraId="740EBAAD" w14:textId="77777777" w:rsidR="00E60EF9" w:rsidRPr="0093600A" w:rsidRDefault="00E60EF9">
      <w:pPr>
        <w:rPr>
          <w:rFonts w:ascii="Times New Roman" w:hAnsi="Times New Roman" w:cs="Times New Roman"/>
          <w:sz w:val="14"/>
          <w:szCs w:val="14"/>
          <w:lang w:val="en-US"/>
        </w:rPr>
      </w:pPr>
    </w:p>
    <w:p w14:paraId="740EBAAE" w14:textId="77777777" w:rsidR="000304BD" w:rsidRPr="0093600A" w:rsidRDefault="000304BD"/>
    <w:p w14:paraId="740EBAAF" w14:textId="77777777" w:rsidR="00E60EF9" w:rsidRPr="00F423D2" w:rsidRDefault="0047683E">
      <w:pPr>
        <w:rPr>
          <w:rFonts w:asciiTheme="majorHAnsi" w:hAnsiTheme="majorHAnsi" w:cstheme="majorHAnsi"/>
          <w:sz w:val="24"/>
          <w:szCs w:val="24"/>
        </w:rPr>
      </w:pPr>
      <w:r w:rsidRPr="00F423D2">
        <w:rPr>
          <w:rFonts w:asciiTheme="majorHAnsi" w:hAnsiTheme="majorHAnsi" w:cstheme="majorHAnsi"/>
          <w:sz w:val="24"/>
          <w:szCs w:val="24"/>
        </w:rPr>
        <w:t>Bibliography</w:t>
      </w:r>
    </w:p>
    <w:p w14:paraId="740EBAB0" w14:textId="77777777" w:rsidR="00D0438F" w:rsidRPr="0093600A" w:rsidRDefault="00BF0BCD" w:rsidP="00D0438F">
      <w:pPr>
        <w:widowControl w:val="0"/>
        <w:autoSpaceDE w:val="0"/>
        <w:autoSpaceDN w:val="0"/>
        <w:adjustRightInd w:val="0"/>
        <w:spacing w:line="240" w:lineRule="auto"/>
        <w:rPr>
          <w:rFonts w:ascii="Calibri" w:hAnsi="Calibri" w:cs="Calibri"/>
          <w:noProof/>
          <w:szCs w:val="24"/>
        </w:rPr>
      </w:pPr>
      <w:r w:rsidRPr="0093600A">
        <w:fldChar w:fldCharType="begin" w:fldLock="1"/>
      </w:r>
      <w:r w:rsidR="00A427FE" w:rsidRPr="0093600A">
        <w:instrText xml:space="preserve">ADDIN Mendeley Bibliography CSL_BIBLIOGRAPHY </w:instrText>
      </w:r>
      <w:r w:rsidRPr="0093600A">
        <w:fldChar w:fldCharType="separate"/>
      </w:r>
      <w:r w:rsidR="00D0438F" w:rsidRPr="0093600A">
        <w:rPr>
          <w:rFonts w:ascii="Calibri" w:hAnsi="Calibri" w:cs="Calibri"/>
          <w:noProof/>
          <w:szCs w:val="24"/>
        </w:rPr>
        <w:t>1. International Association of Athletics Federations. (IAAF). (2011). IAAF regulations governing eligibility of females with hyperandrogenism to compete in women’s competitions. . www.iaaf. org/about-iaaf/documents/medical.</w:t>
      </w:r>
    </w:p>
    <w:p w14:paraId="740EBAB1" w14:textId="77777777" w:rsidR="00D0438F" w:rsidRPr="0093600A" w:rsidRDefault="00D0438F" w:rsidP="00D0438F">
      <w:pPr>
        <w:widowControl w:val="0"/>
        <w:autoSpaceDE w:val="0"/>
        <w:autoSpaceDN w:val="0"/>
        <w:adjustRightInd w:val="0"/>
        <w:spacing w:line="240" w:lineRule="auto"/>
        <w:rPr>
          <w:rFonts w:ascii="Calibri" w:hAnsi="Calibri" w:cs="Calibri"/>
          <w:noProof/>
          <w:szCs w:val="24"/>
        </w:rPr>
      </w:pPr>
      <w:r w:rsidRPr="0093600A">
        <w:rPr>
          <w:rFonts w:ascii="Calibri" w:hAnsi="Calibri" w:cs="Calibri"/>
          <w:noProof/>
          <w:szCs w:val="24"/>
        </w:rPr>
        <w:t>2. Court of Arbitrati</w:t>
      </w:r>
      <w:r w:rsidR="00D65BB4" w:rsidRPr="0093600A">
        <w:rPr>
          <w:rFonts w:ascii="Calibri" w:hAnsi="Calibri" w:cs="Calibri"/>
          <w:noProof/>
          <w:szCs w:val="24"/>
        </w:rPr>
        <w:t>on for Sport. CAS 2014/A/3759 Du</w:t>
      </w:r>
      <w:r w:rsidRPr="0093600A">
        <w:rPr>
          <w:rFonts w:ascii="Calibri" w:hAnsi="Calibri" w:cs="Calibri"/>
          <w:noProof/>
          <w:szCs w:val="24"/>
        </w:rPr>
        <w:t>tee Chand v. Athletics Federation of</w:t>
      </w:r>
      <w:r w:rsidR="00D65BB4" w:rsidRPr="0093600A">
        <w:rPr>
          <w:rFonts w:ascii="Calibri" w:hAnsi="Calibri" w:cs="Calibri"/>
          <w:noProof/>
          <w:szCs w:val="24"/>
        </w:rPr>
        <w:t xml:space="preserve"> </w:t>
      </w:r>
      <w:r w:rsidRPr="0093600A">
        <w:rPr>
          <w:rFonts w:ascii="Calibri" w:hAnsi="Calibri" w:cs="Calibri"/>
          <w:noProof/>
          <w:szCs w:val="24"/>
        </w:rPr>
        <w:t>lndia (AFI) &amp;amp; The International Association of Athletics Federations (IAAF). 2015. http://www.tas-cas.org/fileadmin/user_upload/award_internet.pdf. Accessed 5 Jul 2017.</w:t>
      </w:r>
    </w:p>
    <w:p w14:paraId="740EBAB2" w14:textId="77777777" w:rsidR="00D0438F" w:rsidRPr="0093600A" w:rsidRDefault="00D0438F" w:rsidP="00D0438F">
      <w:pPr>
        <w:widowControl w:val="0"/>
        <w:autoSpaceDE w:val="0"/>
        <w:autoSpaceDN w:val="0"/>
        <w:adjustRightInd w:val="0"/>
        <w:spacing w:line="240" w:lineRule="auto"/>
        <w:rPr>
          <w:rFonts w:ascii="Calibri" w:hAnsi="Calibri" w:cs="Calibri"/>
          <w:noProof/>
          <w:szCs w:val="24"/>
        </w:rPr>
      </w:pPr>
      <w:r w:rsidRPr="00665EEC">
        <w:rPr>
          <w:rFonts w:ascii="Calibri" w:hAnsi="Calibri" w:cs="Calibri"/>
          <w:noProof/>
          <w:szCs w:val="24"/>
          <w:lang w:val="nl-NL"/>
        </w:rPr>
        <w:t>3. Eklund E</w:t>
      </w:r>
      <w:r w:rsidR="00D65BB4" w:rsidRPr="00665EEC">
        <w:rPr>
          <w:rFonts w:ascii="Calibri" w:hAnsi="Calibri" w:cs="Calibri"/>
          <w:noProof/>
          <w:szCs w:val="24"/>
          <w:lang w:val="nl-NL"/>
        </w:rPr>
        <w:t>, Berglund B, Labrie F, Carlstro</w:t>
      </w:r>
      <w:r w:rsidRPr="00665EEC">
        <w:rPr>
          <w:rFonts w:ascii="Calibri" w:hAnsi="Calibri" w:cs="Calibri"/>
          <w:noProof/>
          <w:szCs w:val="24"/>
          <w:lang w:val="nl-NL"/>
        </w:rPr>
        <w:t>m K, Ekstr</w:t>
      </w:r>
      <w:r w:rsidR="00D65BB4" w:rsidRPr="00665EEC">
        <w:rPr>
          <w:rFonts w:ascii="Calibri" w:hAnsi="Calibri" w:cs="Calibri"/>
          <w:noProof/>
          <w:szCs w:val="24"/>
          <w:lang w:val="nl-NL"/>
        </w:rPr>
        <w:t>o</w:t>
      </w:r>
      <w:r w:rsidRPr="00665EEC">
        <w:rPr>
          <w:rFonts w:ascii="Calibri" w:hAnsi="Calibri" w:cs="Calibri"/>
          <w:noProof/>
          <w:szCs w:val="24"/>
          <w:lang w:val="nl-NL"/>
        </w:rPr>
        <w:t xml:space="preserve">m L, Hirschberg AL. </w:t>
      </w:r>
      <w:r w:rsidRPr="0093600A">
        <w:rPr>
          <w:rFonts w:ascii="Calibri" w:hAnsi="Calibri" w:cs="Calibri"/>
          <w:noProof/>
          <w:szCs w:val="24"/>
        </w:rPr>
        <w:t>Serum androgen profile and physical performance in women Olympic athletes. Br J Sports Med. 2017;:bjsports-2017-097582. doi:10.1136/bjsports-2017-097582.</w:t>
      </w:r>
    </w:p>
    <w:p w14:paraId="740EBAB3" w14:textId="77777777" w:rsidR="00D0438F" w:rsidRPr="0093600A" w:rsidRDefault="00D0438F" w:rsidP="00D0438F">
      <w:pPr>
        <w:widowControl w:val="0"/>
        <w:autoSpaceDE w:val="0"/>
        <w:autoSpaceDN w:val="0"/>
        <w:adjustRightInd w:val="0"/>
        <w:spacing w:line="240" w:lineRule="auto"/>
        <w:rPr>
          <w:rFonts w:ascii="Calibri" w:hAnsi="Calibri" w:cs="Calibri"/>
          <w:noProof/>
          <w:szCs w:val="24"/>
        </w:rPr>
      </w:pPr>
      <w:r w:rsidRPr="0093600A">
        <w:rPr>
          <w:rFonts w:ascii="Calibri" w:hAnsi="Calibri" w:cs="Calibri"/>
          <w:noProof/>
          <w:szCs w:val="24"/>
        </w:rPr>
        <w:t>4. Bermon S, Garnier P-Y. Serum androgen levels and their relation to performance in track and field: mass spectrometry results from 2127 observations in male and female elite athletes. Br J Sports Med. 2017;:bjsports-2017-097792. doi:10.1136/bjsports-2017-097792.</w:t>
      </w:r>
    </w:p>
    <w:p w14:paraId="740EBAB4" w14:textId="77777777" w:rsidR="00D0438F" w:rsidRPr="0093600A" w:rsidRDefault="00D0438F" w:rsidP="00D0438F">
      <w:pPr>
        <w:widowControl w:val="0"/>
        <w:autoSpaceDE w:val="0"/>
        <w:autoSpaceDN w:val="0"/>
        <w:adjustRightInd w:val="0"/>
        <w:spacing w:line="240" w:lineRule="auto"/>
        <w:rPr>
          <w:rFonts w:ascii="Calibri" w:hAnsi="Calibri" w:cs="Calibri"/>
          <w:noProof/>
          <w:szCs w:val="24"/>
        </w:rPr>
      </w:pPr>
      <w:r w:rsidRPr="0093600A">
        <w:rPr>
          <w:rFonts w:ascii="Calibri" w:hAnsi="Calibri" w:cs="Calibri"/>
          <w:noProof/>
          <w:szCs w:val="24"/>
        </w:rPr>
        <w:t xml:space="preserve">5. Hackbarth JS, Hoyne JB, Grebe SK, Singh RJ. Accuracy of calculated free testosterone differs between </w:t>
      </w:r>
      <w:r w:rsidRPr="0093600A">
        <w:rPr>
          <w:rFonts w:ascii="Calibri" w:hAnsi="Calibri" w:cs="Calibri"/>
          <w:noProof/>
          <w:szCs w:val="24"/>
        </w:rPr>
        <w:lastRenderedPageBreak/>
        <w:t>equations and depends on gender and SHBG concentration. Steroids. 2011;76:48–55. doi:10.1016/j.steroids.2010.08.008.</w:t>
      </w:r>
    </w:p>
    <w:p w14:paraId="740EBAB5" w14:textId="77777777" w:rsidR="00D0438F" w:rsidRPr="0093600A" w:rsidRDefault="00D0438F" w:rsidP="00D0438F">
      <w:pPr>
        <w:widowControl w:val="0"/>
        <w:autoSpaceDE w:val="0"/>
        <w:autoSpaceDN w:val="0"/>
        <w:adjustRightInd w:val="0"/>
        <w:spacing w:line="240" w:lineRule="auto"/>
        <w:rPr>
          <w:rFonts w:ascii="Calibri" w:hAnsi="Calibri" w:cs="Calibri"/>
          <w:noProof/>
          <w:szCs w:val="24"/>
        </w:rPr>
      </w:pPr>
      <w:r w:rsidRPr="0093600A">
        <w:rPr>
          <w:rFonts w:ascii="Calibri" w:hAnsi="Calibri" w:cs="Calibri"/>
          <w:noProof/>
          <w:szCs w:val="24"/>
        </w:rPr>
        <w:t>6. Bermon S, Garnier PY, Hirschberg AL, Robinson N, Giraud S, Nicoli R, et al. Serum androgen levels in elite female athletes. J.Clin.Endocrinol.Metab. 99:jc20141391-.</w:t>
      </w:r>
    </w:p>
    <w:p w14:paraId="740EBAB6" w14:textId="77777777" w:rsidR="00D0438F" w:rsidRPr="0093600A" w:rsidRDefault="00D0438F" w:rsidP="00D0438F">
      <w:pPr>
        <w:widowControl w:val="0"/>
        <w:autoSpaceDE w:val="0"/>
        <w:autoSpaceDN w:val="0"/>
        <w:adjustRightInd w:val="0"/>
        <w:spacing w:line="240" w:lineRule="auto"/>
        <w:rPr>
          <w:rFonts w:ascii="Calibri" w:hAnsi="Calibri" w:cs="Calibri"/>
          <w:noProof/>
          <w:szCs w:val="24"/>
        </w:rPr>
      </w:pPr>
      <w:r w:rsidRPr="0093600A">
        <w:rPr>
          <w:rFonts w:ascii="Calibri" w:hAnsi="Calibri" w:cs="Calibri"/>
          <w:noProof/>
          <w:szCs w:val="24"/>
        </w:rPr>
        <w:t>7. Ferguson-Smith MA, Bavington LD. Natural Selection for Genetic Variants in Sport: The Role of Y Chromosome Genes in Elite Female Athletes with 46,XY DSD1. Sport Med. 2014;44:1629–34.</w:t>
      </w:r>
    </w:p>
    <w:p w14:paraId="740EBAB7" w14:textId="77777777" w:rsidR="00D0438F" w:rsidRPr="0093600A" w:rsidRDefault="00D0438F" w:rsidP="00D0438F">
      <w:pPr>
        <w:widowControl w:val="0"/>
        <w:autoSpaceDE w:val="0"/>
        <w:autoSpaceDN w:val="0"/>
        <w:adjustRightInd w:val="0"/>
        <w:spacing w:line="240" w:lineRule="auto"/>
        <w:rPr>
          <w:rFonts w:ascii="Calibri" w:hAnsi="Calibri" w:cs="Calibri"/>
          <w:noProof/>
        </w:rPr>
      </w:pPr>
      <w:r w:rsidRPr="0093600A">
        <w:rPr>
          <w:rFonts w:ascii="Calibri" w:hAnsi="Calibri" w:cs="Calibri"/>
          <w:noProof/>
          <w:szCs w:val="24"/>
        </w:rPr>
        <w:t>8. Karkazis K, Jordan-Young R, Davis G, Camporesi S. Out of bounds? A critique of the new policies on hyperandrogenism in elite female athletes. Am.J.Bioeth. 2012;12:3–16.</w:t>
      </w:r>
    </w:p>
    <w:p w14:paraId="740EBAB8" w14:textId="77777777" w:rsidR="00A427FE" w:rsidRPr="00182EBA" w:rsidRDefault="00BF0BCD" w:rsidP="00182EBA">
      <w:pPr>
        <w:widowControl w:val="0"/>
        <w:autoSpaceDE w:val="0"/>
        <w:autoSpaceDN w:val="0"/>
        <w:adjustRightInd w:val="0"/>
        <w:spacing w:after="0" w:line="240" w:lineRule="auto"/>
        <w:rPr>
          <w:rFonts w:cs="Times New Roman"/>
          <w:color w:val="000000"/>
          <w:lang w:val="en-US"/>
        </w:rPr>
      </w:pPr>
      <w:r w:rsidRPr="0093600A">
        <w:fldChar w:fldCharType="end"/>
      </w:r>
      <w:r w:rsidR="00E408AD" w:rsidRPr="00E408AD">
        <w:t xml:space="preserve">9. Sonksen P, Ferguson-Smith MA, Bavington LD, Holt RIG, Cowan DA, Caitlin DH, et al. </w:t>
      </w:r>
      <w:r w:rsidR="00E408AD" w:rsidRPr="00182EBA">
        <w:rPr>
          <w:rFonts w:cs="Times New Roman"/>
          <w:color w:val="000000"/>
          <w:lang w:val="en-US"/>
        </w:rPr>
        <w:t>Medical and ethical concerns regarding women with hyperandrogenism and elite sp</w:t>
      </w:r>
      <w:r w:rsidR="00E408AD" w:rsidRPr="00FB2A20">
        <w:rPr>
          <w:rFonts w:cs="Times New Roman"/>
          <w:lang w:val="en-US"/>
        </w:rPr>
        <w:t>ort. J Clin Endocrinol Metab 2015;100:825–7.</w:t>
      </w:r>
    </w:p>
    <w:sectPr w:rsidR="00A427FE" w:rsidRPr="00182EBA" w:rsidSect="00CF077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76"/>
    <w:rsid w:val="000304BD"/>
    <w:rsid w:val="0004121D"/>
    <w:rsid w:val="00067108"/>
    <w:rsid w:val="0007321D"/>
    <w:rsid w:val="00074F15"/>
    <w:rsid w:val="00075351"/>
    <w:rsid w:val="00096AC1"/>
    <w:rsid w:val="000A4624"/>
    <w:rsid w:val="000B3924"/>
    <w:rsid w:val="000C5D3E"/>
    <w:rsid w:val="000D5457"/>
    <w:rsid w:val="000F7507"/>
    <w:rsid w:val="00122BD3"/>
    <w:rsid w:val="00131404"/>
    <w:rsid w:val="00133C06"/>
    <w:rsid w:val="0014436E"/>
    <w:rsid w:val="00182EBA"/>
    <w:rsid w:val="001860BF"/>
    <w:rsid w:val="00192F19"/>
    <w:rsid w:val="001C11D6"/>
    <w:rsid w:val="001D4A76"/>
    <w:rsid w:val="001F5B04"/>
    <w:rsid w:val="002068C3"/>
    <w:rsid w:val="0020734C"/>
    <w:rsid w:val="00235559"/>
    <w:rsid w:val="00236EF0"/>
    <w:rsid w:val="00260379"/>
    <w:rsid w:val="00267A5B"/>
    <w:rsid w:val="00296240"/>
    <w:rsid w:val="002A6F0F"/>
    <w:rsid w:val="002B485D"/>
    <w:rsid w:val="002C4F0E"/>
    <w:rsid w:val="002E3021"/>
    <w:rsid w:val="002E723D"/>
    <w:rsid w:val="002F4728"/>
    <w:rsid w:val="0031577B"/>
    <w:rsid w:val="003661D9"/>
    <w:rsid w:val="003902E3"/>
    <w:rsid w:val="003A0BF5"/>
    <w:rsid w:val="003A43F5"/>
    <w:rsid w:val="003D2B32"/>
    <w:rsid w:val="003D475A"/>
    <w:rsid w:val="003E0C24"/>
    <w:rsid w:val="003F4135"/>
    <w:rsid w:val="00400215"/>
    <w:rsid w:val="004032FC"/>
    <w:rsid w:val="0041167A"/>
    <w:rsid w:val="00454FE4"/>
    <w:rsid w:val="0047683E"/>
    <w:rsid w:val="00476AA7"/>
    <w:rsid w:val="00482723"/>
    <w:rsid w:val="004C4E3A"/>
    <w:rsid w:val="004F6F5C"/>
    <w:rsid w:val="00523A23"/>
    <w:rsid w:val="005325A8"/>
    <w:rsid w:val="00556485"/>
    <w:rsid w:val="00564FE5"/>
    <w:rsid w:val="00576B94"/>
    <w:rsid w:val="00590429"/>
    <w:rsid w:val="005960DE"/>
    <w:rsid w:val="005A3FA2"/>
    <w:rsid w:val="005C5EA0"/>
    <w:rsid w:val="005F5205"/>
    <w:rsid w:val="00605895"/>
    <w:rsid w:val="00660E97"/>
    <w:rsid w:val="00665EEC"/>
    <w:rsid w:val="006A57AD"/>
    <w:rsid w:val="006C043F"/>
    <w:rsid w:val="006C4B11"/>
    <w:rsid w:val="006D42C5"/>
    <w:rsid w:val="00714888"/>
    <w:rsid w:val="00723CAA"/>
    <w:rsid w:val="00723E96"/>
    <w:rsid w:val="00733D98"/>
    <w:rsid w:val="00740DB0"/>
    <w:rsid w:val="0074627E"/>
    <w:rsid w:val="0075132F"/>
    <w:rsid w:val="007548AE"/>
    <w:rsid w:val="007715EB"/>
    <w:rsid w:val="00783C76"/>
    <w:rsid w:val="007A0AC3"/>
    <w:rsid w:val="007A1390"/>
    <w:rsid w:val="007B4899"/>
    <w:rsid w:val="007D3C66"/>
    <w:rsid w:val="007E5DD4"/>
    <w:rsid w:val="007E5E70"/>
    <w:rsid w:val="007F119B"/>
    <w:rsid w:val="00802F23"/>
    <w:rsid w:val="008066F1"/>
    <w:rsid w:val="008317E8"/>
    <w:rsid w:val="00836CCC"/>
    <w:rsid w:val="00853D6A"/>
    <w:rsid w:val="008C53D2"/>
    <w:rsid w:val="008D789F"/>
    <w:rsid w:val="008E3757"/>
    <w:rsid w:val="008F36FC"/>
    <w:rsid w:val="009014DF"/>
    <w:rsid w:val="0090196A"/>
    <w:rsid w:val="00903E68"/>
    <w:rsid w:val="00915374"/>
    <w:rsid w:val="0093600A"/>
    <w:rsid w:val="00937B78"/>
    <w:rsid w:val="0095482F"/>
    <w:rsid w:val="009706A9"/>
    <w:rsid w:val="009762DE"/>
    <w:rsid w:val="009832D2"/>
    <w:rsid w:val="00993E01"/>
    <w:rsid w:val="00994E0D"/>
    <w:rsid w:val="009A78AF"/>
    <w:rsid w:val="009C0559"/>
    <w:rsid w:val="009C6A7A"/>
    <w:rsid w:val="009D7DA3"/>
    <w:rsid w:val="009E0234"/>
    <w:rsid w:val="009E17E7"/>
    <w:rsid w:val="009E7595"/>
    <w:rsid w:val="00A255F8"/>
    <w:rsid w:val="00A40DE9"/>
    <w:rsid w:val="00A427FE"/>
    <w:rsid w:val="00A46D9D"/>
    <w:rsid w:val="00A50616"/>
    <w:rsid w:val="00A6135E"/>
    <w:rsid w:val="00A90ACD"/>
    <w:rsid w:val="00A92D61"/>
    <w:rsid w:val="00A97F14"/>
    <w:rsid w:val="00AA47FD"/>
    <w:rsid w:val="00AB5127"/>
    <w:rsid w:val="00AC79F9"/>
    <w:rsid w:val="00AC7A64"/>
    <w:rsid w:val="00AC7FC9"/>
    <w:rsid w:val="00AD3ED4"/>
    <w:rsid w:val="00AD7723"/>
    <w:rsid w:val="00B5473D"/>
    <w:rsid w:val="00B74606"/>
    <w:rsid w:val="00B910E2"/>
    <w:rsid w:val="00B96EAB"/>
    <w:rsid w:val="00B97EB1"/>
    <w:rsid w:val="00BF0BCD"/>
    <w:rsid w:val="00C064AB"/>
    <w:rsid w:val="00C135E4"/>
    <w:rsid w:val="00C16C9F"/>
    <w:rsid w:val="00C23A25"/>
    <w:rsid w:val="00C4181A"/>
    <w:rsid w:val="00C64516"/>
    <w:rsid w:val="00C671A1"/>
    <w:rsid w:val="00C72E24"/>
    <w:rsid w:val="00C86DD1"/>
    <w:rsid w:val="00C95169"/>
    <w:rsid w:val="00CB7B65"/>
    <w:rsid w:val="00CE4FA9"/>
    <w:rsid w:val="00CF077E"/>
    <w:rsid w:val="00D0438F"/>
    <w:rsid w:val="00D16F02"/>
    <w:rsid w:val="00D22A27"/>
    <w:rsid w:val="00D2532C"/>
    <w:rsid w:val="00D352B6"/>
    <w:rsid w:val="00D40FC8"/>
    <w:rsid w:val="00D65BB4"/>
    <w:rsid w:val="00D66E38"/>
    <w:rsid w:val="00DB7019"/>
    <w:rsid w:val="00DD10AF"/>
    <w:rsid w:val="00DF53A9"/>
    <w:rsid w:val="00E24A45"/>
    <w:rsid w:val="00E408AD"/>
    <w:rsid w:val="00E54DE1"/>
    <w:rsid w:val="00E60EF9"/>
    <w:rsid w:val="00E95CD7"/>
    <w:rsid w:val="00EA1A10"/>
    <w:rsid w:val="00EB2327"/>
    <w:rsid w:val="00EE340A"/>
    <w:rsid w:val="00EF44D1"/>
    <w:rsid w:val="00F04136"/>
    <w:rsid w:val="00F21694"/>
    <w:rsid w:val="00F21F1F"/>
    <w:rsid w:val="00F423D2"/>
    <w:rsid w:val="00F438CA"/>
    <w:rsid w:val="00F50DA7"/>
    <w:rsid w:val="00F700EE"/>
    <w:rsid w:val="00F7239E"/>
    <w:rsid w:val="00FB2A20"/>
    <w:rsid w:val="00FB71A9"/>
    <w:rsid w:val="00FF32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EBA5D"/>
  <w15:docId w15:val="{A2A4EFF1-E763-4D8C-84EA-4EC9E8CE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7F14"/>
    <w:rPr>
      <w:sz w:val="18"/>
      <w:szCs w:val="18"/>
    </w:rPr>
  </w:style>
  <w:style w:type="paragraph" w:styleId="CommentText">
    <w:name w:val="annotation text"/>
    <w:basedOn w:val="Normal"/>
    <w:link w:val="CommentTextChar"/>
    <w:uiPriority w:val="99"/>
    <w:semiHidden/>
    <w:unhideWhenUsed/>
    <w:rsid w:val="00A97F14"/>
    <w:pPr>
      <w:spacing w:line="240" w:lineRule="auto"/>
    </w:pPr>
    <w:rPr>
      <w:sz w:val="24"/>
      <w:szCs w:val="24"/>
    </w:rPr>
  </w:style>
  <w:style w:type="character" w:customStyle="1" w:styleId="CommentTextChar">
    <w:name w:val="Comment Text Char"/>
    <w:basedOn w:val="DefaultParagraphFont"/>
    <w:link w:val="CommentText"/>
    <w:uiPriority w:val="99"/>
    <w:semiHidden/>
    <w:rsid w:val="00A97F14"/>
    <w:rPr>
      <w:sz w:val="24"/>
      <w:szCs w:val="24"/>
    </w:rPr>
  </w:style>
  <w:style w:type="paragraph" w:styleId="CommentSubject">
    <w:name w:val="annotation subject"/>
    <w:basedOn w:val="CommentText"/>
    <w:next w:val="CommentText"/>
    <w:link w:val="CommentSubjectChar"/>
    <w:uiPriority w:val="99"/>
    <w:semiHidden/>
    <w:unhideWhenUsed/>
    <w:rsid w:val="00A97F14"/>
    <w:rPr>
      <w:b/>
      <w:bCs/>
      <w:sz w:val="20"/>
      <w:szCs w:val="20"/>
    </w:rPr>
  </w:style>
  <w:style w:type="character" w:customStyle="1" w:styleId="CommentSubjectChar">
    <w:name w:val="Comment Subject Char"/>
    <w:basedOn w:val="CommentTextChar"/>
    <w:link w:val="CommentSubject"/>
    <w:uiPriority w:val="99"/>
    <w:semiHidden/>
    <w:rsid w:val="00A97F14"/>
    <w:rPr>
      <w:b/>
      <w:bCs/>
      <w:sz w:val="20"/>
      <w:szCs w:val="20"/>
    </w:rPr>
  </w:style>
  <w:style w:type="paragraph" w:styleId="Revision">
    <w:name w:val="Revision"/>
    <w:hidden/>
    <w:uiPriority w:val="99"/>
    <w:semiHidden/>
    <w:rsid w:val="00A97F14"/>
    <w:pPr>
      <w:spacing w:after="0" w:line="240" w:lineRule="auto"/>
    </w:pPr>
  </w:style>
  <w:style w:type="paragraph" w:styleId="BalloonText">
    <w:name w:val="Balloon Text"/>
    <w:basedOn w:val="Normal"/>
    <w:link w:val="BalloonTextChar"/>
    <w:uiPriority w:val="99"/>
    <w:semiHidden/>
    <w:unhideWhenUsed/>
    <w:rsid w:val="00A97F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7F14"/>
    <w:rPr>
      <w:rFonts w:ascii="Lucida Grande" w:hAnsi="Lucida Grande" w:cs="Lucida Grande"/>
      <w:sz w:val="18"/>
      <w:szCs w:val="18"/>
    </w:rPr>
  </w:style>
  <w:style w:type="character" w:styleId="Hyperlink">
    <w:name w:val="Hyperlink"/>
    <w:basedOn w:val="DefaultParagraphFont"/>
    <w:uiPriority w:val="99"/>
    <w:unhideWhenUsed/>
    <w:rsid w:val="001D4A76"/>
    <w:rPr>
      <w:color w:val="0563C1" w:themeColor="hyperlink"/>
      <w:u w:val="single"/>
    </w:rPr>
  </w:style>
  <w:style w:type="character" w:styleId="LineNumber">
    <w:name w:val="line number"/>
    <w:basedOn w:val="DefaultParagraphFont"/>
    <w:uiPriority w:val="99"/>
    <w:semiHidden/>
    <w:unhideWhenUsed/>
    <w:rsid w:val="00CF077E"/>
  </w:style>
  <w:style w:type="paragraph" w:customStyle="1" w:styleId="pagecontents">
    <w:name w:val="pagecontents"/>
    <w:basedOn w:val="Normal"/>
    <w:rsid w:val="00665EEC"/>
    <w:pPr>
      <w:spacing w:after="0" w:line="240" w:lineRule="auto"/>
    </w:pPr>
    <w:rPr>
      <w:rFonts w:ascii="Verdana" w:eastAsia="Times New Roman" w:hAnsi="Verdana" w:cs="Times New Roman"/>
      <w:color w:val="000000"/>
      <w:sz w:val="17"/>
      <w:szCs w:val="17"/>
      <w:lang w:val="nl-NL" w:eastAsia="nl-NL"/>
    </w:rPr>
  </w:style>
  <w:style w:type="character" w:customStyle="1" w:styleId="footer1">
    <w:name w:val="footer1"/>
    <w:basedOn w:val="DefaultParagraphFont"/>
    <w:rsid w:val="00665EEC"/>
    <w:rPr>
      <w:rFonts w:ascii="Verdana" w:hAnsi="Verdana" w:hint="default"/>
      <w:vanish/>
      <w:webHidden w:val="0"/>
      <w:color w:val="333333"/>
      <w:sz w:val="15"/>
      <w:szCs w:val="15"/>
      <w:specVanish/>
    </w:rPr>
  </w:style>
  <w:style w:type="table" w:customStyle="1" w:styleId="TableNormal1">
    <w:name w:val="Table Normal1"/>
    <w:uiPriority w:val="99"/>
    <w:semiHidden/>
    <w:rsid w:val="00665EEC"/>
    <w:pPr>
      <w:spacing w:line="256" w:lineRule="auto"/>
    </w:pPr>
    <w:rPr>
      <w:lang w:eastAsia="nl-NL"/>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3172">
      <w:bodyDiv w:val="1"/>
      <w:marLeft w:val="0"/>
      <w:marRight w:val="0"/>
      <w:marTop w:val="0"/>
      <w:marBottom w:val="0"/>
      <w:divBdr>
        <w:top w:val="none" w:sz="0" w:space="0" w:color="auto"/>
        <w:left w:val="none" w:sz="0" w:space="0" w:color="auto"/>
        <w:bottom w:val="none" w:sz="0" w:space="0" w:color="auto"/>
        <w:right w:val="none" w:sz="0" w:space="0" w:color="auto"/>
      </w:divBdr>
    </w:div>
    <w:div w:id="1734691147">
      <w:bodyDiv w:val="1"/>
      <w:marLeft w:val="0"/>
      <w:marRight w:val="0"/>
      <w:marTop w:val="0"/>
      <w:marBottom w:val="0"/>
      <w:divBdr>
        <w:top w:val="none" w:sz="0" w:space="0" w:color="auto"/>
        <w:left w:val="none" w:sz="0" w:space="0" w:color="auto"/>
        <w:bottom w:val="none" w:sz="0" w:space="0" w:color="auto"/>
        <w:right w:val="none" w:sz="0" w:space="0" w:color="auto"/>
      </w:divBdr>
    </w:div>
    <w:div w:id="18840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8836-B5C9-4CF4-9AB7-A12A1F10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5716</Words>
  <Characters>32582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sonksen</dc:creator>
  <cp:lastModifiedBy>Jones K.M.</cp:lastModifiedBy>
  <cp:revision>2</cp:revision>
  <dcterms:created xsi:type="dcterms:W3CDTF">2018-05-18T19:33:00Z</dcterms:created>
  <dcterms:modified xsi:type="dcterms:W3CDTF">2018-05-18T19:33:00Z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55581cb0-59ff-3d96-bd0a-24e716ee7abd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http://www.zotero.org/styles/biomed-central</vt:lpwstr>
  </property>
  <property fmtid="{D5CDD505-2E9C-101B-9397-08002B2CF9AE}" pid="13" name="Mendeley Recent Style Name 4_1">
    <vt:lpwstr>BioMed Central</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16th edition (author-date)</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Citation Style_1">
    <vt:lpwstr>http://www.zotero.org/styles/biomed-central</vt:lpwstr>
  </property>
</Properties>
</file>