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E7D4E" w14:textId="77777777" w:rsidR="00C40539" w:rsidRDefault="00C40539" w:rsidP="00632CAA">
      <w:pPr>
        <w:spacing w:after="0" w:line="240" w:lineRule="auto"/>
        <w:jc w:val="center"/>
        <w:rPr>
          <w:rFonts w:ascii="Times New Roman" w:eastAsia="Times New Roman" w:hAnsi="Times New Roman" w:cs="Times New Roman"/>
          <w:b/>
          <w:sz w:val="28"/>
          <w:szCs w:val="28"/>
          <w:lang w:val="ms-MY"/>
        </w:rPr>
      </w:pPr>
      <w:bookmarkStart w:id="0" w:name="_GoBack"/>
      <w:bookmarkEnd w:id="0"/>
    </w:p>
    <w:p w14:paraId="3115A58F" w14:textId="5B44710E" w:rsidR="00632CAA" w:rsidRPr="00632CAA" w:rsidRDefault="00632CAA" w:rsidP="00632CAA">
      <w:pPr>
        <w:spacing w:after="0" w:line="240" w:lineRule="auto"/>
        <w:jc w:val="center"/>
        <w:rPr>
          <w:rFonts w:ascii="Times New Roman" w:eastAsia="Times New Roman" w:hAnsi="Times New Roman" w:cs="Times New Roman"/>
          <w:b/>
          <w:sz w:val="28"/>
          <w:szCs w:val="28"/>
          <w:lang w:val="ms-MY"/>
        </w:rPr>
      </w:pPr>
      <w:r w:rsidRPr="00632CAA">
        <w:rPr>
          <w:rFonts w:ascii="Times New Roman" w:eastAsia="Times New Roman" w:hAnsi="Times New Roman" w:cs="Times New Roman"/>
          <w:b/>
          <w:sz w:val="28"/>
          <w:szCs w:val="28"/>
          <w:lang w:val="ms-MY"/>
        </w:rPr>
        <w:t>CREDIT AND THE HOUSING BOOM IN MALAYSIA: A COMEBACK?</w:t>
      </w:r>
    </w:p>
    <w:p w14:paraId="267D37AB"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p>
    <w:p w14:paraId="2CCD50FF" w14:textId="77777777" w:rsidR="00632CAA" w:rsidRPr="00632CAA" w:rsidRDefault="00632CAA" w:rsidP="00632CAA">
      <w:pPr>
        <w:spacing w:after="0" w:line="240" w:lineRule="auto"/>
        <w:jc w:val="center"/>
        <w:rPr>
          <w:rFonts w:ascii="Times New Roman" w:eastAsia="Times New Roman" w:hAnsi="Times New Roman" w:cs="Times New Roman"/>
          <w:sz w:val="24"/>
          <w:szCs w:val="24"/>
          <w:vertAlign w:val="superscript"/>
          <w:lang w:val="ms-MY"/>
        </w:rPr>
      </w:pPr>
      <w:r w:rsidRPr="00632CAA">
        <w:rPr>
          <w:rFonts w:ascii="Times New Roman" w:eastAsia="Times New Roman" w:hAnsi="Times New Roman" w:cs="Times New Roman"/>
          <w:sz w:val="24"/>
          <w:szCs w:val="24"/>
          <w:lang w:val="ms-MY"/>
        </w:rPr>
        <w:t>Siti Nurazira Mohd Daud</w:t>
      </w:r>
      <w:r w:rsidRPr="00632CAA">
        <w:rPr>
          <w:rFonts w:ascii="Times New Roman" w:eastAsia="Times New Roman" w:hAnsi="Times New Roman" w:cs="Times New Roman"/>
          <w:sz w:val="24"/>
          <w:szCs w:val="24"/>
          <w:vertAlign w:val="superscript"/>
          <w:lang w:val="ms-MY"/>
        </w:rPr>
        <w:t>a</w:t>
      </w:r>
      <w:r w:rsidRPr="00632CAA">
        <w:rPr>
          <w:rFonts w:ascii="Times New Roman" w:eastAsia="Times New Roman" w:hAnsi="Times New Roman" w:cs="Times New Roman"/>
          <w:sz w:val="24"/>
          <w:szCs w:val="24"/>
          <w:lang w:val="ms-MY"/>
        </w:rPr>
        <w:t>, Abd Halim Ahmad</w:t>
      </w:r>
      <w:r w:rsidRPr="00632CAA">
        <w:rPr>
          <w:rFonts w:ascii="Times New Roman" w:eastAsia="Times New Roman" w:hAnsi="Times New Roman" w:cs="Times New Roman"/>
          <w:sz w:val="24"/>
          <w:szCs w:val="24"/>
          <w:vertAlign w:val="superscript"/>
          <w:lang w:val="ms-MY"/>
        </w:rPr>
        <w:t>b</w:t>
      </w:r>
      <w:r w:rsidRPr="00632CAA">
        <w:rPr>
          <w:rFonts w:ascii="Times New Roman" w:eastAsia="Times New Roman" w:hAnsi="Times New Roman" w:cs="Times New Roman"/>
          <w:sz w:val="24"/>
          <w:szCs w:val="24"/>
          <w:lang w:val="ms-MY"/>
        </w:rPr>
        <w:t>, Jan Podivinsky</w:t>
      </w:r>
      <w:r w:rsidRPr="00632CAA">
        <w:rPr>
          <w:rFonts w:ascii="Times New Roman" w:eastAsia="Times New Roman" w:hAnsi="Times New Roman" w:cs="Times New Roman"/>
          <w:sz w:val="24"/>
          <w:szCs w:val="24"/>
          <w:vertAlign w:val="superscript"/>
          <w:lang w:val="ms-MY"/>
        </w:rPr>
        <w:t>c</w:t>
      </w:r>
    </w:p>
    <w:p w14:paraId="5BA9111D"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p>
    <w:p w14:paraId="00027482"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vertAlign w:val="superscript"/>
          <w:lang w:val="ms-MY"/>
        </w:rPr>
        <w:t>a</w:t>
      </w:r>
      <w:r w:rsidRPr="00632CAA">
        <w:rPr>
          <w:rFonts w:ascii="Times New Roman" w:eastAsia="Times New Roman" w:hAnsi="Times New Roman" w:cs="Times New Roman"/>
          <w:sz w:val="24"/>
          <w:szCs w:val="24"/>
          <w:lang w:val="ms-MY"/>
        </w:rPr>
        <w:t>Faculty of Economics and Muamalat, Universiti Sains Islam Malaysia, 71800 Bandar Baru Nilai, Negeri Sembilan, Malaysia.</w:t>
      </w:r>
    </w:p>
    <w:p w14:paraId="793C5313"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vertAlign w:val="superscript"/>
          <w:lang w:val="ms-MY"/>
        </w:rPr>
        <w:t>b</w:t>
      </w:r>
      <w:r w:rsidRPr="00632CAA">
        <w:rPr>
          <w:rFonts w:ascii="Times New Roman" w:eastAsia="Times New Roman" w:hAnsi="Times New Roman" w:cs="Times New Roman"/>
          <w:sz w:val="24"/>
          <w:szCs w:val="24"/>
          <w:lang w:val="ms-MY"/>
        </w:rPr>
        <w:t>College of Business, Universiti Utara Malaysia, 06010 Sintok, Kedah, Malaysia.</w:t>
      </w:r>
    </w:p>
    <w:p w14:paraId="1A4BF46B"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vertAlign w:val="superscript"/>
          <w:lang w:val="ms-MY"/>
        </w:rPr>
        <w:t>c</w:t>
      </w:r>
      <w:r w:rsidRPr="00632CAA">
        <w:rPr>
          <w:rFonts w:ascii="Times New Roman" w:eastAsia="Times New Roman" w:hAnsi="Times New Roman" w:cs="Times New Roman"/>
          <w:sz w:val="24"/>
          <w:szCs w:val="24"/>
          <w:lang w:val="ms-MY"/>
        </w:rPr>
        <w:t>Economics Division, University of Southampton, SO17 1BJ Southampton, United Kingdom.</w:t>
      </w:r>
    </w:p>
    <w:p w14:paraId="6EEC7F84" w14:textId="77777777" w:rsidR="00632CAA" w:rsidRPr="00632CAA" w:rsidRDefault="00632CAA" w:rsidP="00632CAA">
      <w:pPr>
        <w:spacing w:after="0" w:line="240" w:lineRule="auto"/>
        <w:jc w:val="center"/>
        <w:rPr>
          <w:rFonts w:ascii="Times New Roman" w:eastAsia="Times New Roman" w:hAnsi="Times New Roman" w:cs="Times New Roman"/>
          <w:b/>
          <w:bCs/>
          <w:sz w:val="24"/>
          <w:szCs w:val="24"/>
          <w:lang w:val="ms-MY"/>
        </w:rPr>
      </w:pPr>
    </w:p>
    <w:p w14:paraId="01E4D235" w14:textId="77777777" w:rsidR="00632CAA" w:rsidRPr="00632CAA" w:rsidRDefault="00632CAA" w:rsidP="00632CAA">
      <w:pPr>
        <w:spacing w:after="0" w:line="240" w:lineRule="auto"/>
        <w:jc w:val="center"/>
        <w:rPr>
          <w:rFonts w:ascii="Times New Roman" w:eastAsia="Times New Roman" w:hAnsi="Times New Roman" w:cs="Times New Roman"/>
          <w:b/>
          <w:bCs/>
          <w:sz w:val="24"/>
          <w:szCs w:val="24"/>
          <w:lang w:val="ms-MY"/>
        </w:rPr>
      </w:pPr>
    </w:p>
    <w:p w14:paraId="4260FA6B" w14:textId="77777777" w:rsidR="00632CAA" w:rsidRPr="00632CAA" w:rsidRDefault="00632CAA" w:rsidP="00632CAA">
      <w:pPr>
        <w:spacing w:after="0" w:line="240" w:lineRule="auto"/>
        <w:jc w:val="center"/>
        <w:rPr>
          <w:rFonts w:ascii="Times New Roman" w:eastAsia="Times New Roman" w:hAnsi="Times New Roman" w:cs="Times New Roman"/>
          <w:b/>
          <w:bCs/>
          <w:sz w:val="24"/>
          <w:szCs w:val="24"/>
          <w:lang w:val="ms-MY"/>
        </w:rPr>
      </w:pPr>
    </w:p>
    <w:p w14:paraId="1D73B96F" w14:textId="77777777" w:rsidR="00632CAA" w:rsidRPr="00632CAA" w:rsidRDefault="00632CAA" w:rsidP="00632CAA">
      <w:pPr>
        <w:spacing w:after="0" w:line="240" w:lineRule="auto"/>
        <w:jc w:val="center"/>
        <w:rPr>
          <w:rFonts w:ascii="Times New Roman" w:eastAsia="Times New Roman" w:hAnsi="Times New Roman" w:cs="Times New Roman"/>
          <w:b/>
          <w:bCs/>
          <w:sz w:val="24"/>
          <w:szCs w:val="24"/>
          <w:lang w:val="ms-MY"/>
        </w:rPr>
      </w:pPr>
      <w:r w:rsidRPr="00632CAA">
        <w:rPr>
          <w:rFonts w:ascii="Times New Roman" w:eastAsia="Times New Roman" w:hAnsi="Times New Roman" w:cs="Times New Roman"/>
          <w:b/>
          <w:bCs/>
          <w:sz w:val="24"/>
          <w:szCs w:val="24"/>
          <w:lang w:val="ms-MY"/>
        </w:rPr>
        <w:t>ABSTRACT</w:t>
      </w:r>
    </w:p>
    <w:p w14:paraId="7B9DAAA4"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This article investigates the existence of credit and housing booms in the Malaysian economy, with high levels of household indebtedness. The results reveal that both the credit boom and the housing boom exist and imply the fragility of the financial sector of the economy.</w:t>
      </w:r>
    </w:p>
    <w:p w14:paraId="6AA8552E"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56D8AC70"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515C1FA6" w14:textId="77777777" w:rsidR="00632CAA" w:rsidRPr="00632CAA" w:rsidRDefault="00632CAA" w:rsidP="00632CAA">
      <w:pPr>
        <w:spacing w:after="0" w:line="240" w:lineRule="auto"/>
        <w:jc w:val="both"/>
        <w:rPr>
          <w:rFonts w:ascii="Times New Roman" w:eastAsia="Times New Roman" w:hAnsi="Times New Roman" w:cs="Times New Roman"/>
          <w:bCs/>
          <w:sz w:val="24"/>
          <w:szCs w:val="24"/>
          <w:lang w:val="ms-MY"/>
        </w:rPr>
      </w:pPr>
      <w:r w:rsidRPr="00632CAA">
        <w:rPr>
          <w:rFonts w:ascii="Times New Roman" w:eastAsia="Times New Roman" w:hAnsi="Times New Roman" w:cs="Times New Roman"/>
          <w:b/>
          <w:sz w:val="24"/>
          <w:szCs w:val="24"/>
          <w:lang w:val="ms-MY"/>
        </w:rPr>
        <w:t>Keywords</w:t>
      </w:r>
      <w:r w:rsidRPr="00632CAA">
        <w:rPr>
          <w:rFonts w:ascii="Times New Roman" w:eastAsia="Times New Roman" w:hAnsi="Times New Roman" w:cs="Times New Roman"/>
          <w:bCs/>
          <w:sz w:val="24"/>
          <w:szCs w:val="24"/>
          <w:lang w:val="ms-MY"/>
        </w:rPr>
        <w:t>: credit booms, housing prices, household indebtedness, risk, fragility</w:t>
      </w:r>
    </w:p>
    <w:p w14:paraId="563710C6" w14:textId="77777777" w:rsidR="00632CAA" w:rsidRPr="00632CAA" w:rsidRDefault="00632CAA" w:rsidP="00632CAA">
      <w:pPr>
        <w:spacing w:after="0" w:line="240" w:lineRule="auto"/>
        <w:jc w:val="both"/>
        <w:rPr>
          <w:rFonts w:ascii="Times New Roman" w:eastAsia="Times New Roman" w:hAnsi="Times New Roman" w:cs="Times New Roman"/>
          <w:bCs/>
          <w:sz w:val="24"/>
          <w:szCs w:val="24"/>
          <w:lang w:val="ms-MY"/>
        </w:rPr>
      </w:pPr>
    </w:p>
    <w:p w14:paraId="198B643C" w14:textId="77777777" w:rsidR="00632CAA" w:rsidRPr="00632CAA" w:rsidRDefault="00632CAA" w:rsidP="00632CAA">
      <w:pPr>
        <w:spacing w:after="0" w:line="240" w:lineRule="auto"/>
        <w:jc w:val="both"/>
        <w:rPr>
          <w:rFonts w:ascii="Times New Roman" w:eastAsia="Times New Roman" w:hAnsi="Times New Roman" w:cs="Times New Roman"/>
          <w:bCs/>
          <w:sz w:val="24"/>
          <w:szCs w:val="24"/>
          <w:lang w:val="ms-MY"/>
        </w:rPr>
      </w:pPr>
      <w:r w:rsidRPr="00632CAA">
        <w:rPr>
          <w:rFonts w:ascii="Times New Roman" w:eastAsia="Calibri" w:hAnsi="Times New Roman" w:cs="Times New Roman"/>
          <w:b/>
          <w:bCs/>
          <w:sz w:val="24"/>
          <w:szCs w:val="24"/>
          <w:lang w:val="ms-MY"/>
        </w:rPr>
        <w:t>JEL Classifications</w:t>
      </w:r>
      <w:r w:rsidRPr="00632CAA">
        <w:rPr>
          <w:rFonts w:ascii="Times New Roman" w:eastAsia="Calibri" w:hAnsi="Times New Roman" w:cs="Times New Roman"/>
          <w:sz w:val="24"/>
          <w:szCs w:val="24"/>
          <w:lang w:val="ms-MY"/>
        </w:rPr>
        <w:t>: E44; E51; G20; G21</w:t>
      </w:r>
    </w:p>
    <w:p w14:paraId="1390FF48" w14:textId="77777777" w:rsidR="00632CAA" w:rsidRPr="00632CAA" w:rsidRDefault="00632CAA" w:rsidP="00632CAA">
      <w:pPr>
        <w:spacing w:after="0" w:line="240" w:lineRule="auto"/>
        <w:jc w:val="both"/>
        <w:rPr>
          <w:rFonts w:ascii="Times New Roman" w:eastAsia="Calibri" w:hAnsi="Times New Roman" w:cs="Times New Roman"/>
          <w:sz w:val="24"/>
          <w:szCs w:val="24"/>
          <w:lang w:val="ms-MY"/>
        </w:rPr>
      </w:pPr>
    </w:p>
    <w:p w14:paraId="3C9E2A73" w14:textId="77777777" w:rsidR="00632CAA" w:rsidRPr="00632CAA" w:rsidRDefault="00632CAA" w:rsidP="00632CAA">
      <w:pPr>
        <w:spacing w:after="0" w:line="240" w:lineRule="auto"/>
        <w:jc w:val="both"/>
        <w:rPr>
          <w:rFonts w:ascii="Times New Roman" w:eastAsia="Calibri" w:hAnsi="Times New Roman" w:cs="Times New Roman"/>
          <w:sz w:val="24"/>
          <w:szCs w:val="24"/>
          <w:lang w:val="ms-MY"/>
        </w:rPr>
      </w:pPr>
    </w:p>
    <w:p w14:paraId="1ACF4796" w14:textId="77777777" w:rsidR="00632CAA" w:rsidRPr="00632CAA" w:rsidRDefault="00632CAA" w:rsidP="00632CAA">
      <w:pPr>
        <w:spacing w:after="0" w:line="240" w:lineRule="auto"/>
        <w:jc w:val="both"/>
        <w:rPr>
          <w:rFonts w:ascii="Times New Roman" w:eastAsia="Calibri" w:hAnsi="Times New Roman" w:cs="Times New Roman"/>
          <w:sz w:val="24"/>
          <w:szCs w:val="24"/>
          <w:lang w:val="ms-MY"/>
        </w:rPr>
      </w:pPr>
    </w:p>
    <w:p w14:paraId="1CF9F5C0" w14:textId="77777777" w:rsidR="00632CAA" w:rsidRPr="00632CAA" w:rsidRDefault="00632CAA" w:rsidP="00632CAA">
      <w:pPr>
        <w:numPr>
          <w:ilvl w:val="0"/>
          <w:numId w:val="2"/>
        </w:numPr>
        <w:spacing w:after="0" w:line="240" w:lineRule="auto"/>
        <w:ind w:left="180" w:hanging="180"/>
        <w:contextualSpacing/>
        <w:jc w:val="both"/>
        <w:rPr>
          <w:rFonts w:ascii="Times New Roman" w:eastAsia="Calibri" w:hAnsi="Times New Roman" w:cs="Times New Roman"/>
          <w:b/>
          <w:sz w:val="24"/>
          <w:szCs w:val="24"/>
        </w:rPr>
      </w:pPr>
      <w:r w:rsidRPr="00632CAA">
        <w:rPr>
          <w:rFonts w:ascii="Times New Roman" w:eastAsia="Calibri" w:hAnsi="Times New Roman" w:cs="Times New Roman"/>
          <w:b/>
          <w:sz w:val="24"/>
          <w:szCs w:val="24"/>
        </w:rPr>
        <w:t>Introduction</w:t>
      </w:r>
    </w:p>
    <w:p w14:paraId="3C557954" w14:textId="146FF256" w:rsidR="00632CAA" w:rsidRPr="00632CAA" w:rsidRDefault="00632CAA" w:rsidP="00EC3679">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Persistent house price hikes coupled with ease in credit access has elicited worries about a credit and housing boom in the world economy</w:t>
      </w:r>
      <w:r w:rsidR="00EC3679">
        <w:rPr>
          <w:rFonts w:ascii="Times New Roman" w:eastAsia="Times New Roman" w:hAnsi="Times New Roman" w:cs="Times New Roman"/>
          <w:sz w:val="24"/>
          <w:szCs w:val="24"/>
          <w:lang w:val="ms-MY"/>
        </w:rPr>
        <w:t xml:space="preserve">. </w:t>
      </w:r>
      <w:r w:rsidR="00EC3679" w:rsidRPr="00EC3679">
        <w:rPr>
          <w:rFonts w:ascii="Times New Roman" w:eastAsia="Times New Roman" w:hAnsi="Times New Roman" w:cs="Times New Roman"/>
          <w:color w:val="5B9BD5" w:themeColor="accent1"/>
          <w:sz w:val="24"/>
          <w:szCs w:val="24"/>
          <w:lang w:val="ms-MY"/>
        </w:rPr>
        <w:t xml:space="preserve">Concerns have also been raised </w:t>
      </w:r>
      <w:r w:rsidR="00EC3679">
        <w:rPr>
          <w:rFonts w:ascii="Times New Roman" w:eastAsia="Times New Roman" w:hAnsi="Times New Roman" w:cs="Times New Roman"/>
          <w:sz w:val="24"/>
          <w:szCs w:val="24"/>
          <w:lang w:val="ms-MY"/>
        </w:rPr>
        <w:t>a</w:t>
      </w:r>
      <w:r w:rsidRPr="00632CAA">
        <w:rPr>
          <w:rFonts w:ascii="Times New Roman" w:eastAsia="Times New Roman" w:hAnsi="Times New Roman" w:cs="Times New Roman"/>
          <w:sz w:val="24"/>
          <w:szCs w:val="24"/>
          <w:lang w:val="ms-MY"/>
        </w:rPr>
        <w:t>bout the probability of a crisis erupti</w:t>
      </w:r>
      <w:r w:rsidR="00D414F7">
        <w:rPr>
          <w:rFonts w:ascii="Times New Roman" w:eastAsia="Times New Roman" w:hAnsi="Times New Roman" w:cs="Times New Roman"/>
          <w:sz w:val="24"/>
          <w:szCs w:val="24"/>
          <w:lang w:val="ms-MY"/>
        </w:rPr>
        <w:t>ng at</w:t>
      </w:r>
      <w:r w:rsidRPr="00632CAA">
        <w:rPr>
          <w:rFonts w:ascii="Times New Roman" w:eastAsia="Times New Roman" w:hAnsi="Times New Roman" w:cs="Times New Roman"/>
          <w:sz w:val="24"/>
          <w:szCs w:val="24"/>
          <w:lang w:val="ms-MY"/>
        </w:rPr>
        <w:t xml:space="preserve"> a higher cost point (</w:t>
      </w:r>
      <w:r w:rsidRPr="00EC3679">
        <w:rPr>
          <w:rFonts w:ascii="Times New Roman" w:eastAsia="Times New Roman" w:hAnsi="Times New Roman" w:cs="Times New Roman"/>
          <w:color w:val="5B9BD5" w:themeColor="accent1"/>
          <w:sz w:val="24"/>
          <w:szCs w:val="24"/>
          <w:lang w:val="ms-MY"/>
        </w:rPr>
        <w:t>Jorda et al., 201</w:t>
      </w:r>
      <w:r w:rsidR="00FF5EA7" w:rsidRPr="00EC3679">
        <w:rPr>
          <w:rFonts w:ascii="Times New Roman" w:eastAsia="Times New Roman" w:hAnsi="Times New Roman" w:cs="Times New Roman"/>
          <w:color w:val="5B9BD5" w:themeColor="accent1"/>
          <w:sz w:val="24"/>
          <w:szCs w:val="24"/>
          <w:lang w:val="ms-MY"/>
        </w:rPr>
        <w:t>1</w:t>
      </w:r>
      <w:r w:rsidRPr="00632CAA">
        <w:rPr>
          <w:rFonts w:ascii="Times New Roman" w:eastAsia="Times New Roman" w:hAnsi="Times New Roman" w:cs="Times New Roman"/>
          <w:sz w:val="24"/>
          <w:szCs w:val="24"/>
          <w:lang w:val="ms-MY"/>
        </w:rPr>
        <w:t>).</w:t>
      </w:r>
      <w:r w:rsidRPr="00632CAA">
        <w:rPr>
          <w:rFonts w:ascii="Times New Roman" w:eastAsia="Times New Roman" w:hAnsi="Times New Roman" w:cs="Times New Roman"/>
          <w:sz w:val="24"/>
          <w:szCs w:val="24"/>
          <w:vertAlign w:val="superscript"/>
          <w:lang w:val="ms-MY"/>
        </w:rPr>
        <w:footnoteReference w:id="1"/>
      </w:r>
      <w:r w:rsidRPr="00632CAA">
        <w:rPr>
          <w:rFonts w:ascii="Times New Roman" w:eastAsia="Times New Roman" w:hAnsi="Times New Roman" w:cs="Times New Roman"/>
          <w:sz w:val="24"/>
          <w:szCs w:val="24"/>
          <w:lang w:val="ms-MY"/>
        </w:rPr>
        <w:t xml:space="preserve"> If crisis is a catalyst for change, then the 2008 sub-prime crisis that drowned the United States and dragged other economies around the world into an economic recession </w:t>
      </w:r>
      <w:r w:rsidR="001850A3">
        <w:rPr>
          <w:rFonts w:ascii="Times New Roman" w:eastAsia="Times New Roman" w:hAnsi="Times New Roman" w:cs="Times New Roman"/>
          <w:sz w:val="24"/>
          <w:szCs w:val="24"/>
          <w:lang w:val="ms-MY"/>
        </w:rPr>
        <w:t xml:space="preserve">has </w:t>
      </w:r>
      <w:r w:rsidRPr="00632CAA">
        <w:rPr>
          <w:rFonts w:ascii="Times New Roman" w:eastAsia="Times New Roman" w:hAnsi="Times New Roman" w:cs="Times New Roman"/>
          <w:sz w:val="24"/>
          <w:szCs w:val="24"/>
          <w:lang w:val="ms-MY"/>
        </w:rPr>
        <w:t>led to significant change. This change involve</w:t>
      </w:r>
      <w:r w:rsidR="001850A3">
        <w:rPr>
          <w:rFonts w:ascii="Times New Roman" w:eastAsia="Times New Roman" w:hAnsi="Times New Roman" w:cs="Times New Roman"/>
          <w:sz w:val="24"/>
          <w:szCs w:val="24"/>
          <w:lang w:val="ms-MY"/>
        </w:rPr>
        <w:t>s</w:t>
      </w:r>
      <w:r w:rsidRPr="00632CAA">
        <w:rPr>
          <w:rFonts w:ascii="Times New Roman" w:eastAsia="Times New Roman" w:hAnsi="Times New Roman" w:cs="Times New Roman"/>
          <w:sz w:val="24"/>
          <w:szCs w:val="24"/>
          <w:lang w:val="ms-MY"/>
        </w:rPr>
        <w:t xml:space="preserve"> escalating interest in monitoring the risk of household indebtedness. Rising house prices are inextricably associated with faster credit and higher leverage and</w:t>
      </w:r>
      <w:r w:rsidR="00D414F7">
        <w:rPr>
          <w:rFonts w:ascii="Times New Roman" w:eastAsia="Times New Roman" w:hAnsi="Times New Roman" w:cs="Times New Roman"/>
          <w:sz w:val="24"/>
          <w:szCs w:val="24"/>
          <w:lang w:val="ms-MY"/>
        </w:rPr>
        <w:t>,</w:t>
      </w:r>
      <w:r w:rsidRPr="00632CAA">
        <w:rPr>
          <w:rFonts w:ascii="Times New Roman" w:eastAsia="Times New Roman" w:hAnsi="Times New Roman" w:cs="Times New Roman"/>
          <w:sz w:val="24"/>
          <w:szCs w:val="24"/>
          <w:lang w:val="ms-MY"/>
        </w:rPr>
        <w:t xml:space="preserve"> thus</w:t>
      </w:r>
      <w:r w:rsidR="00D414F7">
        <w:rPr>
          <w:rFonts w:ascii="Times New Roman" w:eastAsia="Times New Roman" w:hAnsi="Times New Roman" w:cs="Times New Roman"/>
          <w:sz w:val="24"/>
          <w:szCs w:val="24"/>
          <w:lang w:val="ms-MY"/>
        </w:rPr>
        <w:t>,</w:t>
      </w:r>
      <w:r w:rsidRPr="00632CAA">
        <w:rPr>
          <w:rFonts w:ascii="Times New Roman" w:eastAsia="Times New Roman" w:hAnsi="Times New Roman" w:cs="Times New Roman"/>
          <w:sz w:val="24"/>
          <w:szCs w:val="24"/>
          <w:lang w:val="ms-MY"/>
        </w:rPr>
        <w:t xml:space="preserve"> connect at least four topics: the credit boom, the housing boom, household financial fragility, and the probability of a crisis.  </w:t>
      </w:r>
    </w:p>
    <w:p w14:paraId="361C564C"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78275FB9" w14:textId="1A75020E"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Credit works as a lubricant that enables consumption</w:t>
      </w:r>
      <w:r w:rsidR="00D414F7">
        <w:rPr>
          <w:rFonts w:ascii="Times New Roman" w:eastAsia="Times New Roman" w:hAnsi="Times New Roman" w:cs="Times New Roman"/>
          <w:sz w:val="24"/>
          <w:szCs w:val="24"/>
          <w:lang w:val="ms-MY"/>
        </w:rPr>
        <w:t>-</w:t>
      </w:r>
      <w:r w:rsidRPr="00632CAA">
        <w:rPr>
          <w:rFonts w:ascii="Times New Roman" w:eastAsia="Times New Roman" w:hAnsi="Times New Roman" w:cs="Times New Roman"/>
          <w:sz w:val="24"/>
          <w:szCs w:val="24"/>
          <w:lang w:val="ms-MY"/>
        </w:rPr>
        <w:t>smoothing for economic activities (Ando and Modigliani, 1963), while stable macroeconomic conditions, demographic structure, and asset price hikes contribute to an increase in household indebtedness (</w:t>
      </w:r>
      <w:r w:rsidRPr="00EC3679">
        <w:rPr>
          <w:rFonts w:ascii="Times New Roman" w:eastAsia="Times New Roman" w:hAnsi="Times New Roman" w:cs="Times New Roman"/>
          <w:color w:val="5B9BD5" w:themeColor="accent1"/>
          <w:sz w:val="24"/>
          <w:szCs w:val="24"/>
          <w:lang w:val="ms-MY"/>
        </w:rPr>
        <w:t>Kim, 201</w:t>
      </w:r>
      <w:r w:rsidR="00FF5EA7" w:rsidRPr="00EC3679">
        <w:rPr>
          <w:rFonts w:ascii="Times New Roman" w:eastAsia="Times New Roman" w:hAnsi="Times New Roman" w:cs="Times New Roman"/>
          <w:color w:val="5B9BD5" w:themeColor="accent1"/>
          <w:sz w:val="24"/>
          <w:szCs w:val="24"/>
          <w:lang w:val="ms-MY"/>
        </w:rPr>
        <w:t>6</w:t>
      </w:r>
      <w:r w:rsidRPr="00632CAA">
        <w:rPr>
          <w:rFonts w:ascii="Times New Roman" w:eastAsia="Times New Roman" w:hAnsi="Times New Roman" w:cs="Times New Roman"/>
          <w:sz w:val="24"/>
          <w:szCs w:val="24"/>
          <w:lang w:val="ms-MY"/>
        </w:rPr>
        <w:t xml:space="preserve">). Zooming in on financial factors that accelerate high growth in debt, </w:t>
      </w:r>
      <w:r w:rsidR="00D414F7">
        <w:rPr>
          <w:rFonts w:ascii="Times New Roman" w:eastAsia="Times New Roman" w:hAnsi="Times New Roman" w:cs="Times New Roman"/>
          <w:sz w:val="24"/>
          <w:szCs w:val="24"/>
          <w:lang w:val="ms-MY"/>
        </w:rPr>
        <w:t xml:space="preserve">the </w:t>
      </w:r>
      <w:r w:rsidRPr="00632CAA">
        <w:rPr>
          <w:rFonts w:ascii="Times New Roman" w:eastAsia="Times New Roman" w:hAnsi="Times New Roman" w:cs="Times New Roman"/>
          <w:sz w:val="24"/>
          <w:szCs w:val="24"/>
          <w:lang w:val="ms-MY"/>
        </w:rPr>
        <w:t>extant literature on the effect of financial development on economic growth is skewed toward a positive effect (Levine et al., 2000). However, Mishra and Narayan (2015) and Law and Singh (2014) suggest that an optimal level of financial development</w:t>
      </w:r>
      <w:r w:rsidR="00D414F7">
        <w:rPr>
          <w:rFonts w:ascii="Times New Roman" w:eastAsia="Times New Roman" w:hAnsi="Times New Roman" w:cs="Times New Roman"/>
          <w:sz w:val="24"/>
          <w:szCs w:val="24"/>
          <w:lang w:val="ms-MY"/>
        </w:rPr>
        <w:t xml:space="preserve"> exists</w:t>
      </w:r>
      <w:r w:rsidRPr="00632CAA">
        <w:rPr>
          <w:rFonts w:ascii="Times New Roman" w:eastAsia="Times New Roman" w:hAnsi="Times New Roman" w:cs="Times New Roman"/>
          <w:sz w:val="24"/>
          <w:szCs w:val="24"/>
          <w:lang w:val="ms-MY"/>
        </w:rPr>
        <w:t xml:space="preserve"> and conclude that more </w:t>
      </w:r>
      <w:r w:rsidR="00D414F7">
        <w:rPr>
          <w:rFonts w:ascii="Times New Roman" w:eastAsia="Times New Roman" w:hAnsi="Times New Roman" w:cs="Times New Roman"/>
          <w:sz w:val="24"/>
          <w:szCs w:val="24"/>
          <w:lang w:val="ms-MY"/>
        </w:rPr>
        <w:t>such development</w:t>
      </w:r>
      <w:r w:rsidR="00D414F7"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 xml:space="preserve">is not necessarily good for the economy. </w:t>
      </w:r>
    </w:p>
    <w:p w14:paraId="19902C4D"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4B00559F" w14:textId="72B5E072"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Despite its positive effect on growth, the rapid buildup of leverage </w:t>
      </w:r>
      <w:r w:rsidR="00D414F7">
        <w:rPr>
          <w:rFonts w:ascii="Times New Roman" w:eastAsia="Times New Roman" w:hAnsi="Times New Roman" w:cs="Times New Roman"/>
          <w:sz w:val="24"/>
          <w:szCs w:val="24"/>
          <w:lang w:val="ms-MY"/>
        </w:rPr>
        <w:t>may</w:t>
      </w:r>
      <w:r w:rsidR="00D414F7"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 xml:space="preserve">be a key symptom of </w:t>
      </w:r>
      <w:r w:rsidR="00D414F7">
        <w:rPr>
          <w:rFonts w:ascii="Times New Roman" w:eastAsia="Times New Roman" w:hAnsi="Times New Roman" w:cs="Times New Roman"/>
          <w:sz w:val="24"/>
          <w:szCs w:val="24"/>
          <w:lang w:val="ms-MY"/>
        </w:rPr>
        <w:t>the</w:t>
      </w:r>
      <w:r w:rsidR="00D414F7"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twentieth century financial crisis in emerging and advanced economies (Gourinchas and Obstfeld, 2011; Buyukkarabacak and Valev, 2010). Policy concerns in the credit-fueled housing price growth environment are centered on the availability of credit in the economy—either more or less credit supply or the high or low probability of a crisis erupti</w:t>
      </w:r>
      <w:r w:rsidR="00D414F7">
        <w:rPr>
          <w:rFonts w:ascii="Times New Roman" w:eastAsia="Times New Roman" w:hAnsi="Times New Roman" w:cs="Times New Roman"/>
          <w:sz w:val="24"/>
          <w:szCs w:val="24"/>
          <w:lang w:val="ms-MY"/>
        </w:rPr>
        <w:t>ng</w:t>
      </w:r>
      <w:r w:rsidRPr="00632CAA">
        <w:rPr>
          <w:rFonts w:ascii="Times New Roman" w:eastAsia="Times New Roman" w:hAnsi="Times New Roman" w:cs="Times New Roman"/>
          <w:sz w:val="24"/>
          <w:szCs w:val="24"/>
          <w:lang w:val="ms-MY"/>
        </w:rPr>
        <w:t xml:space="preserve">. This significantly contributes to policymakers’ conundrum. </w:t>
      </w:r>
    </w:p>
    <w:p w14:paraId="66E191D2"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76A4160E" w14:textId="46B8E332"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Recent developments show that Malaysia (as an emerging economy) is</w:t>
      </w:r>
      <w:r w:rsidR="001850A3">
        <w:rPr>
          <w:rFonts w:ascii="Times New Roman" w:eastAsia="Times New Roman" w:hAnsi="Times New Roman" w:cs="Times New Roman"/>
          <w:sz w:val="24"/>
          <w:szCs w:val="24"/>
          <w:lang w:val="ms-MY"/>
        </w:rPr>
        <w:t xml:space="preserve"> now</w:t>
      </w:r>
      <w:r w:rsidRPr="00632CAA">
        <w:rPr>
          <w:rFonts w:ascii="Times New Roman" w:eastAsia="Times New Roman" w:hAnsi="Times New Roman" w:cs="Times New Roman"/>
          <w:sz w:val="24"/>
          <w:szCs w:val="24"/>
          <w:lang w:val="ms-MY"/>
        </w:rPr>
        <w:t xml:space="preserve"> listed by the Bank of International Settlement</w:t>
      </w:r>
      <w:r w:rsidR="00D414F7">
        <w:rPr>
          <w:rFonts w:ascii="Times New Roman" w:eastAsia="Times New Roman" w:hAnsi="Times New Roman" w:cs="Times New Roman"/>
          <w:sz w:val="24"/>
          <w:szCs w:val="24"/>
          <w:lang w:val="ms-MY"/>
        </w:rPr>
        <w:t>s</w:t>
      </w:r>
      <w:r w:rsidRPr="00632CAA">
        <w:rPr>
          <w:rFonts w:ascii="Times New Roman" w:eastAsia="Times New Roman" w:hAnsi="Times New Roman" w:cs="Times New Roman"/>
          <w:sz w:val="24"/>
          <w:szCs w:val="24"/>
          <w:lang w:val="ms-MY"/>
        </w:rPr>
        <w:t xml:space="preserve"> (BIS) as </w:t>
      </w:r>
      <w:r w:rsidR="00D414F7">
        <w:rPr>
          <w:rFonts w:ascii="Times New Roman" w:eastAsia="Times New Roman" w:hAnsi="Times New Roman" w:cs="Times New Roman"/>
          <w:sz w:val="24"/>
          <w:szCs w:val="24"/>
          <w:lang w:val="ms-MY"/>
        </w:rPr>
        <w:t>one of</w:t>
      </w:r>
      <w:r w:rsidRPr="00632CAA">
        <w:rPr>
          <w:rFonts w:ascii="Times New Roman" w:eastAsia="Times New Roman" w:hAnsi="Times New Roman" w:cs="Times New Roman"/>
          <w:sz w:val="24"/>
          <w:szCs w:val="24"/>
          <w:lang w:val="ms-MY"/>
        </w:rPr>
        <w:t xml:space="preserve"> the top 15 countries with the highest household debt; others on the list include developed economies such as Canada, the United States, the United Kingdom, Australia, and Singapore. These economies have been increasing their household debt to record</w:t>
      </w:r>
      <w:r w:rsidR="004D2061">
        <w:rPr>
          <w:rFonts w:ascii="Times New Roman" w:eastAsia="Times New Roman" w:hAnsi="Times New Roman" w:cs="Times New Roman"/>
          <w:sz w:val="24"/>
          <w:szCs w:val="24"/>
          <w:lang w:val="ms-MY"/>
        </w:rPr>
        <w:t>-</w:t>
      </w:r>
      <w:r w:rsidRPr="00632CAA">
        <w:rPr>
          <w:rFonts w:ascii="Times New Roman" w:eastAsia="Times New Roman" w:hAnsi="Times New Roman" w:cs="Times New Roman"/>
          <w:sz w:val="24"/>
          <w:szCs w:val="24"/>
          <w:lang w:val="ms-MY"/>
        </w:rPr>
        <w:t xml:space="preserve">high levels, </w:t>
      </w:r>
      <w:r w:rsidR="00D414F7">
        <w:rPr>
          <w:rFonts w:ascii="Times New Roman" w:eastAsia="Times New Roman" w:hAnsi="Times New Roman" w:cs="Times New Roman"/>
          <w:sz w:val="24"/>
          <w:szCs w:val="24"/>
          <w:lang w:val="ms-MY"/>
        </w:rPr>
        <w:t>highlighting</w:t>
      </w:r>
      <w:r w:rsidR="00D414F7"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the urgency to further investigate the associated risk of high household debt. Consequently, this paper aims to examine the existence of a credit and/or housing boom in the Malaysian economy along with a lead–lag relationship between the credit market and the housing market.</w:t>
      </w:r>
    </w:p>
    <w:p w14:paraId="0FEEFF17"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5EBCCD53" w14:textId="3DF0CCC1"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However, defining a credit boom is difficult </w:t>
      </w:r>
      <w:r w:rsidR="00D414F7">
        <w:rPr>
          <w:rFonts w:ascii="Times New Roman" w:eastAsia="Times New Roman" w:hAnsi="Times New Roman" w:cs="Times New Roman"/>
          <w:sz w:val="24"/>
          <w:szCs w:val="24"/>
          <w:lang w:val="ms-MY"/>
        </w:rPr>
        <w:t>because</w:t>
      </w:r>
      <w:r w:rsidRPr="00632CAA">
        <w:rPr>
          <w:rFonts w:ascii="Times New Roman" w:eastAsia="Times New Roman" w:hAnsi="Times New Roman" w:cs="Times New Roman"/>
          <w:sz w:val="24"/>
          <w:szCs w:val="24"/>
          <w:lang w:val="ms-MY"/>
        </w:rPr>
        <w:t xml:space="preserve"> a variety of smoothing filters and approaches can be used to measure the deviation, threshold, real-nominal growth, and absolute-relative value of a gap when trying to identify boom episodes. In general, a boom period is associated with an abnormal and persistent increase in credit level or housing price based on historical behavior. Some might define an abnormal increase as being when the real growth rate of credit or house prices is between 5 percent and 15 percent. </w:t>
      </w:r>
    </w:p>
    <w:p w14:paraId="0C1DDD4B"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70BF4E8D" w14:textId="46FD7872" w:rsidR="00632CAA" w:rsidRPr="00632CAA" w:rsidRDefault="00D414F7" w:rsidP="00632CAA">
      <w:pPr>
        <w:spacing w:after="0" w:line="240" w:lineRule="auto"/>
        <w:jc w:val="both"/>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lang w:val="ms-MY"/>
        </w:rPr>
        <w:t>Thus</w:t>
      </w:r>
      <w:r w:rsidR="00632CAA" w:rsidRPr="00632CAA">
        <w:rPr>
          <w:rFonts w:ascii="Times New Roman" w:eastAsia="Times New Roman" w:hAnsi="Times New Roman" w:cs="Times New Roman"/>
          <w:sz w:val="24"/>
          <w:szCs w:val="24"/>
          <w:lang w:val="ms-MY"/>
        </w:rPr>
        <w:t>, the primary contribution of this paper is to add value to the literature on crisis predictions as early-warning systems.</w:t>
      </w:r>
      <w:r w:rsidR="00632CAA" w:rsidRPr="00632CAA">
        <w:rPr>
          <w:rFonts w:ascii="Times New Roman" w:eastAsia="Calibri" w:hAnsi="Times New Roman" w:cs="Times New Roman"/>
          <w:sz w:val="24"/>
          <w:szCs w:val="24"/>
          <w:lang w:val="ms-MY"/>
        </w:rPr>
        <w:t xml:space="preserve"> </w:t>
      </w:r>
      <w:r w:rsidR="00632CAA" w:rsidRPr="00632CAA">
        <w:rPr>
          <w:rFonts w:ascii="Times New Roman" w:eastAsia="Times New Roman" w:hAnsi="Times New Roman" w:cs="Times New Roman"/>
          <w:sz w:val="24"/>
          <w:szCs w:val="24"/>
          <w:lang w:val="ms-MY"/>
        </w:rPr>
        <w:t xml:space="preserve">The next section </w:t>
      </w:r>
      <w:r>
        <w:rPr>
          <w:rFonts w:ascii="Times New Roman" w:eastAsia="Times New Roman" w:hAnsi="Times New Roman" w:cs="Times New Roman"/>
          <w:sz w:val="24"/>
          <w:szCs w:val="24"/>
          <w:lang w:val="ms-MY"/>
        </w:rPr>
        <w:t>explains</w:t>
      </w:r>
      <w:r w:rsidR="00632CAA" w:rsidRPr="00632CAA">
        <w:rPr>
          <w:rFonts w:ascii="Times New Roman" w:eastAsia="Times New Roman" w:hAnsi="Times New Roman" w:cs="Times New Roman"/>
          <w:sz w:val="24"/>
          <w:szCs w:val="24"/>
          <w:lang w:val="ms-MY"/>
        </w:rPr>
        <w:t xml:space="preserve"> the methods and data used in the analysis. Section III presents the results. The final remarks are presented in Section IV.</w:t>
      </w:r>
    </w:p>
    <w:p w14:paraId="76355BEC"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781471BB"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435BFCA8" w14:textId="77777777" w:rsidR="00632CAA" w:rsidRPr="00632CAA" w:rsidRDefault="00632CAA" w:rsidP="00632CAA">
      <w:pPr>
        <w:numPr>
          <w:ilvl w:val="0"/>
          <w:numId w:val="2"/>
        </w:numPr>
        <w:spacing w:after="0" w:line="240" w:lineRule="auto"/>
        <w:ind w:left="270" w:hanging="270"/>
        <w:contextualSpacing/>
        <w:jc w:val="both"/>
        <w:rPr>
          <w:rFonts w:ascii="Times New Roman" w:eastAsia="Calibri" w:hAnsi="Times New Roman" w:cs="Times New Roman"/>
          <w:b/>
          <w:sz w:val="24"/>
          <w:szCs w:val="24"/>
        </w:rPr>
      </w:pPr>
      <w:r w:rsidRPr="00632CAA">
        <w:rPr>
          <w:rFonts w:ascii="Times New Roman" w:eastAsia="Calibri" w:hAnsi="Times New Roman" w:cs="Times New Roman"/>
          <w:b/>
          <w:sz w:val="24"/>
          <w:szCs w:val="24"/>
        </w:rPr>
        <w:t>Methods</w:t>
      </w:r>
    </w:p>
    <w:p w14:paraId="3AF89E43" w14:textId="36E4CF6B" w:rsidR="00632CAA" w:rsidRPr="00632CAA" w:rsidRDefault="00632CAA" w:rsidP="00D07227">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With the notion of measuring abnormal deviations of credit and house price growth through their own movement, this paper decomposes the trends and cycles. Two definitions of boom positions are employed. Boom 1 is detected when the cyclical </w:t>
      </w:r>
      <w:r w:rsidR="001850A3">
        <w:rPr>
          <w:rFonts w:ascii="Times New Roman" w:eastAsia="Times New Roman" w:hAnsi="Times New Roman" w:cs="Times New Roman"/>
          <w:sz w:val="24"/>
          <w:szCs w:val="24"/>
          <w:lang w:val="ms-MY"/>
        </w:rPr>
        <w:t>components</w:t>
      </w:r>
      <w:r w:rsidR="001850A3"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exceed 1.5 times the standard deviation of the cyclical components.</w:t>
      </w:r>
      <w:r w:rsidR="001B1D1B">
        <w:rPr>
          <w:rFonts w:ascii="Times New Roman" w:eastAsia="Times New Roman" w:hAnsi="Times New Roman" w:cs="Times New Roman"/>
          <w:sz w:val="24"/>
          <w:szCs w:val="24"/>
          <w:lang w:val="ms-MY"/>
        </w:rPr>
        <w:t xml:space="preserve"> </w:t>
      </w:r>
      <w:r w:rsidR="001850A3">
        <w:rPr>
          <w:rFonts w:ascii="Times New Roman" w:eastAsia="Times New Roman" w:hAnsi="Times New Roman" w:cs="Times New Roman"/>
          <w:sz w:val="24"/>
          <w:szCs w:val="24"/>
          <w:lang w:val="ms-MY"/>
        </w:rPr>
        <w:t>C</w:t>
      </w:r>
      <w:r w:rsidR="001B1D1B">
        <w:rPr>
          <w:rFonts w:ascii="Times New Roman" w:eastAsia="Times New Roman" w:hAnsi="Times New Roman" w:cs="Times New Roman"/>
          <w:sz w:val="24"/>
          <w:szCs w:val="24"/>
          <w:lang w:val="ms-MY"/>
        </w:rPr>
        <w:t xml:space="preserve">yclical </w:t>
      </w:r>
      <w:r w:rsidR="001850A3">
        <w:rPr>
          <w:rFonts w:ascii="Times New Roman" w:eastAsia="Times New Roman" w:hAnsi="Times New Roman" w:cs="Times New Roman"/>
          <w:sz w:val="24"/>
          <w:szCs w:val="24"/>
          <w:lang w:val="ms-MY"/>
        </w:rPr>
        <w:t xml:space="preserve">components </w:t>
      </w:r>
      <w:r w:rsidR="001B1D1B">
        <w:rPr>
          <w:rFonts w:ascii="Times New Roman" w:eastAsia="Times New Roman" w:hAnsi="Times New Roman" w:cs="Times New Roman"/>
          <w:sz w:val="24"/>
          <w:szCs w:val="24"/>
          <w:lang w:val="ms-MY"/>
        </w:rPr>
        <w:t xml:space="preserve">is extracted using the HP filter with a smooting parameter of 400,000. </w:t>
      </w:r>
      <w:r w:rsidR="001B1D1B" w:rsidRPr="00D07227">
        <w:rPr>
          <w:rFonts w:ascii="Times New Roman" w:eastAsia="Times New Roman" w:hAnsi="Times New Roman" w:cs="Times New Roman"/>
          <w:color w:val="0070C0"/>
          <w:sz w:val="24"/>
          <w:szCs w:val="24"/>
          <w:lang w:val="ms-MY"/>
        </w:rPr>
        <w:t>B</w:t>
      </w:r>
      <w:r w:rsidRPr="00D07227">
        <w:rPr>
          <w:rFonts w:ascii="Times New Roman" w:eastAsia="Times New Roman" w:hAnsi="Times New Roman" w:cs="Times New Roman"/>
          <w:color w:val="0070C0"/>
          <w:sz w:val="24"/>
          <w:szCs w:val="24"/>
          <w:lang w:val="ms-MY"/>
        </w:rPr>
        <w:t xml:space="preserve">oom 2 </w:t>
      </w:r>
      <w:r w:rsidR="001A3096">
        <w:rPr>
          <w:rFonts w:ascii="Times New Roman" w:eastAsia="Times New Roman" w:hAnsi="Times New Roman" w:cs="Times New Roman"/>
          <w:color w:val="0070C0"/>
          <w:sz w:val="24"/>
          <w:szCs w:val="24"/>
          <w:lang w:val="ms-MY"/>
        </w:rPr>
        <w:t>has</w:t>
      </w:r>
      <w:r w:rsidRPr="00D07227">
        <w:rPr>
          <w:rFonts w:ascii="Times New Roman" w:eastAsia="Times New Roman" w:hAnsi="Times New Roman" w:cs="Times New Roman"/>
          <w:color w:val="0070C0"/>
          <w:sz w:val="24"/>
          <w:szCs w:val="24"/>
          <w:lang w:val="ms-MY"/>
        </w:rPr>
        <w:t xml:space="preserve"> set criteria where the deviation in the credit-to-</w:t>
      </w:r>
      <w:r w:rsidR="001A3096">
        <w:rPr>
          <w:rFonts w:ascii="Times New Roman" w:eastAsia="Times New Roman" w:hAnsi="Times New Roman" w:cs="Times New Roman"/>
          <w:color w:val="0070C0"/>
          <w:sz w:val="24"/>
          <w:szCs w:val="24"/>
          <w:lang w:val="ms-MY"/>
        </w:rPr>
        <w:t>g</w:t>
      </w:r>
      <w:r w:rsidRPr="00D07227">
        <w:rPr>
          <w:rFonts w:ascii="Times New Roman" w:eastAsia="Times New Roman" w:hAnsi="Times New Roman" w:cs="Times New Roman"/>
          <w:color w:val="0070C0"/>
          <w:sz w:val="24"/>
          <w:szCs w:val="24"/>
          <w:lang w:val="ms-MY"/>
        </w:rPr>
        <w:t xml:space="preserve">ross </w:t>
      </w:r>
      <w:r w:rsidR="001A3096">
        <w:rPr>
          <w:rFonts w:ascii="Times New Roman" w:eastAsia="Times New Roman" w:hAnsi="Times New Roman" w:cs="Times New Roman"/>
          <w:color w:val="0070C0"/>
          <w:sz w:val="24"/>
          <w:szCs w:val="24"/>
          <w:lang w:val="ms-MY"/>
        </w:rPr>
        <w:t>d</w:t>
      </w:r>
      <w:r w:rsidRPr="00D07227">
        <w:rPr>
          <w:rFonts w:ascii="Times New Roman" w:eastAsia="Times New Roman" w:hAnsi="Times New Roman" w:cs="Times New Roman"/>
          <w:color w:val="0070C0"/>
          <w:sz w:val="24"/>
          <w:szCs w:val="24"/>
          <w:lang w:val="ms-MY"/>
        </w:rPr>
        <w:t xml:space="preserve">omestic </w:t>
      </w:r>
      <w:r w:rsidR="001A3096">
        <w:rPr>
          <w:rFonts w:ascii="Times New Roman" w:eastAsia="Times New Roman" w:hAnsi="Times New Roman" w:cs="Times New Roman"/>
          <w:color w:val="0070C0"/>
          <w:sz w:val="24"/>
          <w:szCs w:val="24"/>
          <w:lang w:val="ms-MY"/>
        </w:rPr>
        <w:t>p</w:t>
      </w:r>
      <w:r w:rsidRPr="00D07227">
        <w:rPr>
          <w:rFonts w:ascii="Times New Roman" w:eastAsia="Times New Roman" w:hAnsi="Times New Roman" w:cs="Times New Roman"/>
          <w:color w:val="0070C0"/>
          <w:sz w:val="24"/>
          <w:szCs w:val="24"/>
          <w:lang w:val="ms-MY"/>
        </w:rPr>
        <w:t>roduct</w:t>
      </w:r>
      <w:r w:rsidRPr="00D07227" w:rsidDel="00D6506F">
        <w:rPr>
          <w:rFonts w:ascii="Times New Roman" w:eastAsia="Times New Roman" w:hAnsi="Times New Roman" w:cs="Times New Roman"/>
          <w:color w:val="0070C0"/>
          <w:sz w:val="24"/>
          <w:szCs w:val="24"/>
          <w:lang w:val="ms-MY"/>
        </w:rPr>
        <w:t xml:space="preserve"> </w:t>
      </w:r>
      <w:r w:rsidRPr="00D07227">
        <w:rPr>
          <w:rFonts w:ascii="Times New Roman" w:eastAsia="Times New Roman" w:hAnsi="Times New Roman" w:cs="Times New Roman"/>
          <w:color w:val="0070C0"/>
          <w:sz w:val="24"/>
          <w:szCs w:val="24"/>
          <w:lang w:val="ms-MY"/>
        </w:rPr>
        <w:t>(GDP) and house price g</w:t>
      </w:r>
      <w:r w:rsidR="00485763" w:rsidRPr="00D07227">
        <w:rPr>
          <w:rFonts w:ascii="Times New Roman" w:eastAsia="Times New Roman" w:hAnsi="Times New Roman" w:cs="Times New Roman"/>
          <w:color w:val="0070C0"/>
          <w:sz w:val="24"/>
          <w:szCs w:val="24"/>
          <w:lang w:val="ms-MY"/>
        </w:rPr>
        <w:t xml:space="preserve">ap exceeds </w:t>
      </w:r>
      <w:r w:rsidR="004D2061">
        <w:rPr>
          <w:rFonts w:ascii="Times New Roman" w:eastAsia="Times New Roman" w:hAnsi="Times New Roman" w:cs="Times New Roman"/>
          <w:color w:val="0070C0"/>
          <w:sz w:val="24"/>
          <w:szCs w:val="24"/>
          <w:lang w:val="ms-MY"/>
        </w:rPr>
        <w:t>two</w:t>
      </w:r>
      <w:r w:rsidR="004D2061" w:rsidRPr="00D07227">
        <w:rPr>
          <w:rFonts w:ascii="Times New Roman" w:eastAsia="Times New Roman" w:hAnsi="Times New Roman" w:cs="Times New Roman"/>
          <w:color w:val="0070C0"/>
          <w:sz w:val="24"/>
          <w:szCs w:val="24"/>
          <w:lang w:val="ms-MY"/>
        </w:rPr>
        <w:t xml:space="preserve"> </w:t>
      </w:r>
      <w:r w:rsidR="00485763" w:rsidRPr="00D07227">
        <w:rPr>
          <w:rFonts w:ascii="Times New Roman" w:eastAsia="Times New Roman" w:hAnsi="Times New Roman" w:cs="Times New Roman"/>
          <w:color w:val="0070C0"/>
          <w:sz w:val="24"/>
          <w:szCs w:val="24"/>
          <w:lang w:val="ms-MY"/>
        </w:rPr>
        <w:t xml:space="preserve">percentage points. The credit-to-GDP gap (or </w:t>
      </w:r>
      <w:r w:rsidR="001A3096">
        <w:rPr>
          <w:rFonts w:ascii="Times New Roman" w:eastAsia="Times New Roman" w:hAnsi="Times New Roman" w:cs="Times New Roman"/>
          <w:color w:val="0070C0"/>
          <w:sz w:val="24"/>
          <w:szCs w:val="24"/>
          <w:lang w:val="ms-MY"/>
        </w:rPr>
        <w:t>h</w:t>
      </w:r>
      <w:r w:rsidR="00485763" w:rsidRPr="00D07227">
        <w:rPr>
          <w:rFonts w:ascii="Times New Roman" w:eastAsia="Times New Roman" w:hAnsi="Times New Roman" w:cs="Times New Roman"/>
          <w:color w:val="0070C0"/>
          <w:sz w:val="24"/>
          <w:szCs w:val="24"/>
          <w:lang w:val="ms-MY"/>
        </w:rPr>
        <w:t xml:space="preserve">ouse </w:t>
      </w:r>
      <w:r w:rsidR="001A3096">
        <w:rPr>
          <w:rFonts w:ascii="Times New Roman" w:eastAsia="Times New Roman" w:hAnsi="Times New Roman" w:cs="Times New Roman"/>
          <w:color w:val="0070C0"/>
          <w:sz w:val="24"/>
          <w:szCs w:val="24"/>
          <w:lang w:val="ms-MY"/>
        </w:rPr>
        <w:t>p</w:t>
      </w:r>
      <w:r w:rsidR="00485763" w:rsidRPr="00D07227">
        <w:rPr>
          <w:rFonts w:ascii="Times New Roman" w:eastAsia="Times New Roman" w:hAnsi="Times New Roman" w:cs="Times New Roman"/>
          <w:color w:val="0070C0"/>
          <w:sz w:val="24"/>
          <w:szCs w:val="24"/>
          <w:lang w:val="ms-MY"/>
        </w:rPr>
        <w:t xml:space="preserve">rice </w:t>
      </w:r>
      <w:r w:rsidR="001A3096">
        <w:rPr>
          <w:rFonts w:ascii="Times New Roman" w:eastAsia="Times New Roman" w:hAnsi="Times New Roman" w:cs="Times New Roman"/>
          <w:color w:val="0070C0"/>
          <w:sz w:val="24"/>
          <w:szCs w:val="24"/>
          <w:lang w:val="ms-MY"/>
        </w:rPr>
        <w:t>i</w:t>
      </w:r>
      <w:r w:rsidR="00485763" w:rsidRPr="00D07227">
        <w:rPr>
          <w:rFonts w:ascii="Times New Roman" w:eastAsia="Times New Roman" w:hAnsi="Times New Roman" w:cs="Times New Roman"/>
          <w:color w:val="0070C0"/>
          <w:sz w:val="24"/>
          <w:szCs w:val="24"/>
          <w:lang w:val="ms-MY"/>
        </w:rPr>
        <w:t xml:space="preserve">ndex) </w:t>
      </w:r>
      <w:r w:rsidR="001B1D1B" w:rsidRPr="00D07227">
        <w:rPr>
          <w:rFonts w:ascii="Times New Roman" w:eastAsia="Times New Roman" w:hAnsi="Times New Roman" w:cs="Times New Roman"/>
          <w:color w:val="0070C0"/>
          <w:sz w:val="24"/>
          <w:szCs w:val="24"/>
          <w:lang w:val="ms-MY"/>
        </w:rPr>
        <w:t xml:space="preserve"> is calculated as the percentage</w:t>
      </w:r>
      <w:r w:rsidR="00485763" w:rsidRPr="00D07227">
        <w:rPr>
          <w:rFonts w:ascii="Times New Roman" w:eastAsia="Times New Roman" w:hAnsi="Times New Roman" w:cs="Times New Roman"/>
          <w:color w:val="0070C0"/>
          <w:sz w:val="24"/>
          <w:szCs w:val="24"/>
          <w:lang w:val="ms-MY"/>
        </w:rPr>
        <w:t xml:space="preserve"> point difference between the credit-to-GDP</w:t>
      </w:r>
      <w:r w:rsidR="001B1D1B" w:rsidRPr="00D07227">
        <w:rPr>
          <w:rFonts w:ascii="Times New Roman" w:eastAsia="Times New Roman" w:hAnsi="Times New Roman" w:cs="Times New Roman"/>
          <w:color w:val="0070C0"/>
          <w:sz w:val="24"/>
          <w:szCs w:val="24"/>
          <w:lang w:val="ms-MY"/>
        </w:rPr>
        <w:t xml:space="preserve"> ratio</w:t>
      </w:r>
      <w:r w:rsidR="00485763" w:rsidRPr="00D07227">
        <w:rPr>
          <w:rFonts w:ascii="Times New Roman" w:eastAsia="Times New Roman" w:hAnsi="Times New Roman" w:cs="Times New Roman"/>
          <w:color w:val="0070C0"/>
          <w:sz w:val="24"/>
          <w:szCs w:val="24"/>
          <w:lang w:val="ms-MY"/>
        </w:rPr>
        <w:t xml:space="preserve"> (or </w:t>
      </w:r>
      <w:r w:rsidR="001A3096">
        <w:rPr>
          <w:rFonts w:ascii="Times New Roman" w:eastAsia="Times New Roman" w:hAnsi="Times New Roman" w:cs="Times New Roman"/>
          <w:color w:val="0070C0"/>
          <w:sz w:val="24"/>
          <w:szCs w:val="24"/>
          <w:lang w:val="ms-MY"/>
        </w:rPr>
        <w:t>h</w:t>
      </w:r>
      <w:r w:rsidR="00485763" w:rsidRPr="00D07227">
        <w:rPr>
          <w:rFonts w:ascii="Times New Roman" w:eastAsia="Times New Roman" w:hAnsi="Times New Roman" w:cs="Times New Roman"/>
          <w:color w:val="0070C0"/>
          <w:sz w:val="24"/>
          <w:szCs w:val="24"/>
          <w:lang w:val="ms-MY"/>
        </w:rPr>
        <w:t xml:space="preserve">ouse </w:t>
      </w:r>
      <w:r w:rsidR="001A3096">
        <w:rPr>
          <w:rFonts w:ascii="Times New Roman" w:eastAsia="Times New Roman" w:hAnsi="Times New Roman" w:cs="Times New Roman"/>
          <w:color w:val="0070C0"/>
          <w:sz w:val="24"/>
          <w:szCs w:val="24"/>
          <w:lang w:val="ms-MY"/>
        </w:rPr>
        <w:t>p</w:t>
      </w:r>
      <w:r w:rsidR="00485763" w:rsidRPr="00D07227">
        <w:rPr>
          <w:rFonts w:ascii="Times New Roman" w:eastAsia="Times New Roman" w:hAnsi="Times New Roman" w:cs="Times New Roman"/>
          <w:color w:val="0070C0"/>
          <w:sz w:val="24"/>
          <w:szCs w:val="24"/>
          <w:lang w:val="ms-MY"/>
        </w:rPr>
        <w:t xml:space="preserve">rice </w:t>
      </w:r>
      <w:r w:rsidR="001A3096">
        <w:rPr>
          <w:rFonts w:ascii="Times New Roman" w:eastAsia="Times New Roman" w:hAnsi="Times New Roman" w:cs="Times New Roman"/>
          <w:color w:val="0070C0"/>
          <w:sz w:val="24"/>
          <w:szCs w:val="24"/>
          <w:lang w:val="ms-MY"/>
        </w:rPr>
        <w:t>i</w:t>
      </w:r>
      <w:r w:rsidR="00485763" w:rsidRPr="00D07227">
        <w:rPr>
          <w:rFonts w:ascii="Times New Roman" w:eastAsia="Times New Roman" w:hAnsi="Times New Roman" w:cs="Times New Roman"/>
          <w:color w:val="0070C0"/>
          <w:sz w:val="24"/>
          <w:szCs w:val="24"/>
          <w:lang w:val="ms-MY"/>
        </w:rPr>
        <w:t>ndex) and its long-term trend where the trend is based on a two-sided HP filter with a smoothi</w:t>
      </w:r>
      <w:r w:rsidR="001B1D1B" w:rsidRPr="00D07227">
        <w:rPr>
          <w:rFonts w:ascii="Times New Roman" w:eastAsia="Times New Roman" w:hAnsi="Times New Roman" w:cs="Times New Roman"/>
          <w:color w:val="0070C0"/>
          <w:sz w:val="24"/>
          <w:szCs w:val="24"/>
          <w:lang w:val="ms-MY"/>
        </w:rPr>
        <w:t>ng parameter of 400,000</w:t>
      </w:r>
      <w:r w:rsidRPr="00632CAA">
        <w:rPr>
          <w:rFonts w:ascii="Times New Roman" w:eastAsia="Times New Roman" w:hAnsi="Times New Roman" w:cs="Times New Roman"/>
          <w:sz w:val="24"/>
          <w:szCs w:val="24"/>
          <w:lang w:val="ms-MY"/>
        </w:rPr>
        <w:t>.</w:t>
      </w:r>
      <w:r w:rsidRPr="00632CAA">
        <w:rPr>
          <w:rFonts w:ascii="Times New Roman" w:eastAsia="Times New Roman" w:hAnsi="Times New Roman" w:cs="Times New Roman"/>
          <w:sz w:val="24"/>
          <w:szCs w:val="24"/>
          <w:vertAlign w:val="superscript"/>
          <w:lang w:val="ms-MY"/>
        </w:rPr>
        <w:footnoteReference w:id="2"/>
      </w:r>
      <w:r w:rsidRPr="00632CAA">
        <w:rPr>
          <w:rFonts w:ascii="Times New Roman" w:eastAsia="Times New Roman" w:hAnsi="Times New Roman" w:cs="Times New Roman"/>
          <w:sz w:val="24"/>
          <w:szCs w:val="24"/>
          <w:lang w:val="ms-MY"/>
        </w:rPr>
        <w:t xml:space="preserve"> In its general form, each variable </w:t>
      </w:r>
      <w:r w:rsidR="001A3096">
        <w:rPr>
          <w:rFonts w:ascii="Times New Roman" w:eastAsia="Times New Roman" w:hAnsi="Times New Roman" w:cs="Times New Roman"/>
          <w:sz w:val="24"/>
          <w:szCs w:val="24"/>
          <w:lang w:val="ms-MY"/>
        </w:rPr>
        <w:t>can</w:t>
      </w:r>
      <w:r w:rsidR="001A3096"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 xml:space="preserve">be decomposed into unobserved components as:  </w:t>
      </w:r>
    </w:p>
    <w:p w14:paraId="6EDC3306"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109E6059" w14:textId="77777777" w:rsidR="00632CAA" w:rsidRPr="00632CAA" w:rsidRDefault="00451587" w:rsidP="008D5A42">
      <w:pPr>
        <w:spacing w:after="0" w:line="240" w:lineRule="auto"/>
        <w:jc w:val="both"/>
        <w:rPr>
          <w:rFonts w:ascii="Times New Roman" w:eastAsia="Times New Roman" w:hAnsi="Times New Roman" w:cs="Times New Roman"/>
          <w:sz w:val="24"/>
          <w:szCs w:val="24"/>
          <w:lang w:val="ms-MY"/>
        </w:rPr>
      </w:pPr>
      <m:oMath>
        <m:sSub>
          <m:sSubPr>
            <m:ctrlPr>
              <w:rPr>
                <w:rFonts w:ascii="Cambria Math" w:hAnsi="Cambria Math"/>
                <w:i/>
              </w:rPr>
            </m:ctrlPr>
          </m:sSubPr>
          <m:e>
            <m:r>
              <w:rPr>
                <w:rFonts w:ascii="Cambria Math" w:hAnsi="Cambria Math"/>
                <w:lang w:val="ms-MY"/>
              </w:rPr>
              <m:t>Credit_to_GDP</m:t>
            </m:r>
          </m:e>
          <m:sub>
            <m:r>
              <w:rPr>
                <w:rFonts w:ascii="Cambria Math" w:hAnsi="Cambria Math"/>
                <w:lang w:val="ms-MY"/>
              </w:rPr>
              <m:t>t</m:t>
            </m:r>
          </m:sub>
        </m:sSub>
        <m:r>
          <w:rPr>
            <w:rFonts w:ascii="Cambria Math" w:hAnsi="Cambria Math"/>
            <w:lang w:val="ms-MY"/>
          </w:rPr>
          <m:t>=</m:t>
        </m:r>
        <m:sSub>
          <m:sSubPr>
            <m:ctrlPr>
              <w:rPr>
                <w:rFonts w:ascii="Cambria Math" w:hAnsi="Cambria Math"/>
                <w:i/>
              </w:rPr>
            </m:ctrlPr>
          </m:sSubPr>
          <m:e>
            <m:r>
              <w:rPr>
                <w:rFonts w:ascii="Cambria Math" w:hAnsi="Cambria Math"/>
                <w:lang w:val="ms-MY"/>
              </w:rPr>
              <m:t>α</m:t>
            </m:r>
          </m:e>
          <m:sub>
            <m:r>
              <w:rPr>
                <w:rFonts w:ascii="Cambria Math" w:hAnsi="Cambria Math"/>
                <w:lang w:val="ms-MY"/>
              </w:rPr>
              <m:t>0</m:t>
            </m:r>
          </m:sub>
        </m:sSub>
        <m:r>
          <w:rPr>
            <w:rFonts w:ascii="Cambria Math" w:hAnsi="Cambria Math"/>
            <w:lang w:val="ms-MY"/>
          </w:rPr>
          <m:t>+</m:t>
        </m:r>
        <m:sSub>
          <m:sSubPr>
            <m:ctrlPr>
              <w:rPr>
                <w:rFonts w:ascii="Cambria Math" w:hAnsi="Cambria Math"/>
                <w:i/>
              </w:rPr>
            </m:ctrlPr>
          </m:sSubPr>
          <m:e>
            <m:r>
              <w:rPr>
                <w:rFonts w:ascii="Cambria Math" w:hAnsi="Cambria Math"/>
                <w:lang w:val="ms-MY"/>
              </w:rPr>
              <m:t>α</m:t>
            </m:r>
          </m:e>
          <m:sub>
            <m:r>
              <w:rPr>
                <w:rFonts w:ascii="Cambria Math" w:hAnsi="Cambria Math"/>
                <w:lang w:val="ms-MY"/>
              </w:rPr>
              <m:t>1</m:t>
            </m:r>
          </m:sub>
        </m:sSub>
        <m:sSub>
          <m:sSubPr>
            <m:ctrlPr>
              <w:rPr>
                <w:rFonts w:ascii="Cambria Math" w:hAnsi="Cambria Math"/>
                <w:i/>
              </w:rPr>
            </m:ctrlPr>
          </m:sSubPr>
          <m:e>
            <m:r>
              <w:rPr>
                <w:rFonts w:ascii="Cambria Math" w:hAnsi="Cambria Math"/>
                <w:lang w:val="ms-MY"/>
              </w:rPr>
              <m:t>trend</m:t>
            </m:r>
          </m:e>
          <m:sub>
            <m:r>
              <w:rPr>
                <w:rFonts w:ascii="Cambria Math" w:hAnsi="Cambria Math"/>
                <w:lang w:val="ms-MY"/>
              </w:rPr>
              <m:t>t</m:t>
            </m:r>
          </m:sub>
        </m:sSub>
        <m:r>
          <w:rPr>
            <w:rFonts w:ascii="Cambria Math" w:hAnsi="Cambria Math"/>
            <w:lang w:val="ms-MY"/>
          </w:rPr>
          <m:t>+</m:t>
        </m:r>
        <m:sSub>
          <m:sSubPr>
            <m:ctrlPr>
              <w:rPr>
                <w:rFonts w:ascii="Cambria Math" w:hAnsi="Cambria Math"/>
                <w:i/>
              </w:rPr>
            </m:ctrlPr>
          </m:sSubPr>
          <m:e>
            <m:r>
              <w:rPr>
                <w:rFonts w:ascii="Cambria Math" w:hAnsi="Cambria Math"/>
                <w:lang w:val="ms-MY"/>
              </w:rPr>
              <m:t>α</m:t>
            </m:r>
          </m:e>
          <m:sub>
            <m:r>
              <w:rPr>
                <w:rFonts w:ascii="Cambria Math" w:hAnsi="Cambria Math"/>
                <w:lang w:val="ms-MY"/>
              </w:rPr>
              <m:t>2</m:t>
            </m:r>
          </m:sub>
        </m:sSub>
        <m:sSub>
          <m:sSubPr>
            <m:ctrlPr>
              <w:rPr>
                <w:rFonts w:ascii="Cambria Math" w:hAnsi="Cambria Math"/>
                <w:i/>
              </w:rPr>
            </m:ctrlPr>
          </m:sSubPr>
          <m:e>
            <m:r>
              <w:rPr>
                <w:rFonts w:ascii="Cambria Math" w:hAnsi="Cambria Math"/>
                <w:lang w:val="ms-MY"/>
              </w:rPr>
              <m:t>cycle</m:t>
            </m:r>
          </m:e>
          <m:sub>
            <m:r>
              <w:rPr>
                <w:rFonts w:ascii="Cambria Math" w:hAnsi="Cambria Math"/>
                <w:lang w:val="ms-MY"/>
              </w:rPr>
              <m:t>t</m:t>
            </m:r>
          </m:sub>
        </m:sSub>
        <m:r>
          <w:rPr>
            <w:rFonts w:ascii="Cambria Math" w:hAnsi="Cambria Math"/>
            <w:lang w:val="ms-MY"/>
          </w:rPr>
          <m:t>+</m:t>
        </m:r>
        <m:sSub>
          <m:sSubPr>
            <m:ctrlPr>
              <w:rPr>
                <w:rFonts w:ascii="Cambria Math" w:hAnsi="Cambria Math"/>
                <w:i/>
              </w:rPr>
            </m:ctrlPr>
          </m:sSubPr>
          <m:e>
            <m:r>
              <w:rPr>
                <w:rFonts w:ascii="Cambria Math" w:hAnsi="Cambria Math"/>
                <w:lang w:val="ms-MY"/>
              </w:rPr>
              <m:t>ε</m:t>
            </m:r>
          </m:e>
          <m:sub>
            <m:r>
              <w:rPr>
                <w:rFonts w:ascii="Cambria Math" w:hAnsi="Cambria Math"/>
                <w:lang w:val="ms-MY"/>
              </w:rPr>
              <m:t>t</m:t>
            </m:r>
          </m:sub>
        </m:sSub>
      </m:oMath>
      <w:r w:rsidR="00632CAA" w:rsidRPr="00632CAA">
        <w:rPr>
          <w:rFonts w:ascii="Times New Roman" w:eastAsia="Times New Roman" w:hAnsi="Times New Roman" w:cs="Times New Roman"/>
          <w:sz w:val="24"/>
          <w:szCs w:val="24"/>
          <w:lang w:val="ms-MY"/>
        </w:rPr>
        <w:t xml:space="preserve">                                                              </w:t>
      </w:r>
      <w:r w:rsidR="008D5A42">
        <w:rPr>
          <w:rFonts w:ascii="Times New Roman" w:eastAsia="Times New Roman" w:hAnsi="Times New Roman" w:cs="Times New Roman"/>
          <w:sz w:val="24"/>
          <w:szCs w:val="24"/>
          <w:lang w:val="ms-MY"/>
        </w:rPr>
        <w:t xml:space="preserve">         </w:t>
      </w:r>
      <w:r w:rsidR="00632CAA" w:rsidRPr="00632CAA">
        <w:rPr>
          <w:rFonts w:ascii="Times New Roman" w:eastAsia="Times New Roman" w:hAnsi="Times New Roman" w:cs="Times New Roman"/>
          <w:sz w:val="24"/>
          <w:szCs w:val="24"/>
          <w:lang w:val="ms-MY"/>
        </w:rPr>
        <w:t xml:space="preserve">(1)        </w:t>
      </w:r>
    </w:p>
    <w:p w14:paraId="26E2F0DA"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             </w:t>
      </w:r>
    </w:p>
    <w:p w14:paraId="6B3EAFB6" w14:textId="77777777" w:rsidR="00632CAA" w:rsidRPr="00632CAA" w:rsidRDefault="00451587" w:rsidP="00632CAA">
      <w:pPr>
        <w:spacing w:after="0" w:line="240" w:lineRule="auto"/>
        <w:jc w:val="both"/>
        <w:rPr>
          <w:rFonts w:ascii="Times New Roman" w:eastAsia="Times New Roman" w:hAnsi="Times New Roman" w:cs="Times New Roman"/>
          <w:sz w:val="24"/>
          <w:szCs w:val="24"/>
          <w:lang w:val="ms-MY"/>
        </w:rPr>
      </w:pPr>
      <m:oMath>
        <m:sSub>
          <m:sSubPr>
            <m:ctrlPr>
              <w:rPr>
                <w:rFonts w:ascii="Cambria Math" w:hAnsi="Cambria Math"/>
                <w:i/>
              </w:rPr>
            </m:ctrlPr>
          </m:sSubPr>
          <m:e>
            <m:r>
              <w:rPr>
                <w:rFonts w:ascii="Cambria Math" w:hAnsi="Cambria Math"/>
                <w:lang w:val="ms-MY"/>
              </w:rPr>
              <m:t>Houseprice</m:t>
            </m:r>
          </m:e>
          <m:sub>
            <m:r>
              <w:rPr>
                <w:rFonts w:ascii="Cambria Math" w:hAnsi="Cambria Math"/>
                <w:lang w:val="ms-MY"/>
              </w:rPr>
              <m:t>t</m:t>
            </m:r>
          </m:sub>
        </m:sSub>
        <m:r>
          <w:rPr>
            <w:rFonts w:ascii="Cambria Math" w:hAnsi="Cambria Math"/>
            <w:lang w:val="ms-MY"/>
          </w:rPr>
          <m:t>=</m:t>
        </m:r>
        <m:sSub>
          <m:sSubPr>
            <m:ctrlPr>
              <w:rPr>
                <w:rFonts w:ascii="Cambria Math" w:hAnsi="Cambria Math"/>
                <w:i/>
              </w:rPr>
            </m:ctrlPr>
          </m:sSubPr>
          <m:e>
            <m:r>
              <w:rPr>
                <w:rFonts w:ascii="Cambria Math" w:hAnsi="Cambria Math"/>
                <w:lang w:val="ms-MY"/>
              </w:rPr>
              <m:t>α</m:t>
            </m:r>
          </m:e>
          <m:sub>
            <m:r>
              <w:rPr>
                <w:rFonts w:ascii="Cambria Math" w:hAnsi="Cambria Math"/>
                <w:lang w:val="ms-MY"/>
              </w:rPr>
              <m:t>0</m:t>
            </m:r>
          </m:sub>
        </m:sSub>
        <m:r>
          <w:rPr>
            <w:rFonts w:ascii="Cambria Math" w:hAnsi="Cambria Math"/>
            <w:lang w:val="ms-MY"/>
          </w:rPr>
          <m:t>+</m:t>
        </m:r>
        <m:sSub>
          <m:sSubPr>
            <m:ctrlPr>
              <w:rPr>
                <w:rFonts w:ascii="Cambria Math" w:hAnsi="Cambria Math"/>
                <w:i/>
              </w:rPr>
            </m:ctrlPr>
          </m:sSubPr>
          <m:e>
            <m:r>
              <w:rPr>
                <w:rFonts w:ascii="Cambria Math" w:hAnsi="Cambria Math"/>
                <w:lang w:val="ms-MY"/>
              </w:rPr>
              <m:t>α</m:t>
            </m:r>
          </m:e>
          <m:sub>
            <m:r>
              <w:rPr>
                <w:rFonts w:ascii="Cambria Math" w:hAnsi="Cambria Math"/>
                <w:lang w:val="ms-MY"/>
              </w:rPr>
              <m:t>1</m:t>
            </m:r>
          </m:sub>
        </m:sSub>
        <m:sSub>
          <m:sSubPr>
            <m:ctrlPr>
              <w:rPr>
                <w:rFonts w:ascii="Cambria Math" w:hAnsi="Cambria Math"/>
                <w:i/>
              </w:rPr>
            </m:ctrlPr>
          </m:sSubPr>
          <m:e>
            <m:r>
              <w:rPr>
                <w:rFonts w:ascii="Cambria Math" w:hAnsi="Cambria Math"/>
                <w:lang w:val="ms-MY"/>
              </w:rPr>
              <m:t>trend</m:t>
            </m:r>
          </m:e>
          <m:sub>
            <m:r>
              <w:rPr>
                <w:rFonts w:ascii="Cambria Math" w:hAnsi="Cambria Math"/>
                <w:lang w:val="ms-MY"/>
              </w:rPr>
              <m:t>t</m:t>
            </m:r>
          </m:sub>
        </m:sSub>
        <m:r>
          <w:rPr>
            <w:rFonts w:ascii="Cambria Math" w:hAnsi="Cambria Math"/>
            <w:lang w:val="ms-MY"/>
          </w:rPr>
          <m:t>+</m:t>
        </m:r>
        <m:sSub>
          <m:sSubPr>
            <m:ctrlPr>
              <w:rPr>
                <w:rFonts w:ascii="Cambria Math" w:hAnsi="Cambria Math"/>
                <w:i/>
              </w:rPr>
            </m:ctrlPr>
          </m:sSubPr>
          <m:e>
            <m:r>
              <w:rPr>
                <w:rFonts w:ascii="Cambria Math" w:hAnsi="Cambria Math"/>
                <w:lang w:val="ms-MY"/>
              </w:rPr>
              <m:t>α</m:t>
            </m:r>
          </m:e>
          <m:sub>
            <m:r>
              <w:rPr>
                <w:rFonts w:ascii="Cambria Math" w:hAnsi="Cambria Math"/>
                <w:lang w:val="ms-MY"/>
              </w:rPr>
              <m:t>2</m:t>
            </m:r>
          </m:sub>
        </m:sSub>
        <m:sSub>
          <m:sSubPr>
            <m:ctrlPr>
              <w:rPr>
                <w:rFonts w:ascii="Cambria Math" w:hAnsi="Cambria Math"/>
                <w:i/>
              </w:rPr>
            </m:ctrlPr>
          </m:sSubPr>
          <m:e>
            <m:r>
              <w:rPr>
                <w:rFonts w:ascii="Cambria Math" w:hAnsi="Cambria Math"/>
                <w:lang w:val="ms-MY"/>
              </w:rPr>
              <m:t>cycle</m:t>
            </m:r>
          </m:e>
          <m:sub>
            <m:r>
              <w:rPr>
                <w:rFonts w:ascii="Cambria Math" w:hAnsi="Cambria Math"/>
                <w:lang w:val="ms-MY"/>
              </w:rPr>
              <m:t>t</m:t>
            </m:r>
          </m:sub>
        </m:sSub>
        <m:r>
          <w:rPr>
            <w:rFonts w:ascii="Cambria Math" w:hAnsi="Cambria Math"/>
            <w:lang w:val="ms-MY"/>
          </w:rPr>
          <m:t>+</m:t>
        </m:r>
        <m:sSub>
          <m:sSubPr>
            <m:ctrlPr>
              <w:rPr>
                <w:rFonts w:ascii="Cambria Math" w:hAnsi="Cambria Math"/>
                <w:i/>
              </w:rPr>
            </m:ctrlPr>
          </m:sSubPr>
          <m:e>
            <m:r>
              <w:rPr>
                <w:rFonts w:ascii="Cambria Math" w:hAnsi="Cambria Math"/>
                <w:lang w:val="ms-MY"/>
              </w:rPr>
              <m:t>ε</m:t>
            </m:r>
          </m:e>
          <m:sub>
            <m:r>
              <w:rPr>
                <w:rFonts w:ascii="Cambria Math" w:hAnsi="Cambria Math"/>
                <w:lang w:val="ms-MY"/>
              </w:rPr>
              <m:t>t</m:t>
            </m:r>
          </m:sub>
        </m:sSub>
      </m:oMath>
      <w:r w:rsidR="00632CAA" w:rsidRPr="00632CAA">
        <w:rPr>
          <w:rFonts w:ascii="Times New Roman" w:eastAsia="Times New Roman" w:hAnsi="Times New Roman" w:cs="Times New Roman"/>
          <w:sz w:val="24"/>
          <w:szCs w:val="24"/>
          <w:lang w:val="ms-MY"/>
        </w:rPr>
        <w:t xml:space="preserve">                                                                    </w:t>
      </w:r>
      <w:r w:rsidR="008D5A42">
        <w:rPr>
          <w:rFonts w:ascii="Times New Roman" w:eastAsia="Times New Roman" w:hAnsi="Times New Roman" w:cs="Times New Roman"/>
          <w:sz w:val="24"/>
          <w:szCs w:val="24"/>
          <w:lang w:val="ms-MY"/>
        </w:rPr>
        <w:t xml:space="preserve">        </w:t>
      </w:r>
      <w:r w:rsidR="00632CAA" w:rsidRPr="00632CAA">
        <w:rPr>
          <w:rFonts w:ascii="Times New Roman" w:eastAsia="Times New Roman" w:hAnsi="Times New Roman" w:cs="Times New Roman"/>
          <w:sz w:val="24"/>
          <w:szCs w:val="24"/>
          <w:lang w:val="ms-MY"/>
        </w:rPr>
        <w:t xml:space="preserve">(2)          </w:t>
      </w:r>
    </w:p>
    <w:p w14:paraId="5EE7D51F"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  </w:t>
      </w:r>
    </w:p>
    <w:p w14:paraId="7EE7F7C6" w14:textId="77777777" w:rsidR="00D07227" w:rsidRDefault="00D07227" w:rsidP="00632CAA">
      <w:pPr>
        <w:spacing w:after="0" w:line="240" w:lineRule="auto"/>
        <w:jc w:val="both"/>
        <w:rPr>
          <w:rFonts w:ascii="Times New Roman" w:eastAsia="Times New Roman" w:hAnsi="Times New Roman" w:cs="Times New Roman"/>
          <w:sz w:val="24"/>
          <w:szCs w:val="24"/>
          <w:lang w:val="ms-MY"/>
        </w:rPr>
      </w:pPr>
    </w:p>
    <w:p w14:paraId="24196E41"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Boom 1 for credit and housing price growth can be defined as: </w:t>
      </w:r>
    </w:p>
    <w:p w14:paraId="7EA768E2"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776FABEC" w14:textId="77777777" w:rsidR="00632CAA" w:rsidRPr="00632CAA" w:rsidRDefault="00451587" w:rsidP="00632CAA">
      <w:pPr>
        <w:spacing w:after="0" w:line="240" w:lineRule="auto"/>
        <w:jc w:val="both"/>
        <w:rPr>
          <w:rFonts w:ascii="Times New Roman" w:eastAsia="Times New Roman" w:hAnsi="Times New Roman" w:cs="Times New Roman"/>
          <w:sz w:val="24"/>
          <w:szCs w:val="24"/>
          <w:lang w:val="ms-MY"/>
        </w:rPr>
      </w:pPr>
      <m:oMath>
        <m:sSub>
          <m:sSubPr>
            <m:ctrlPr>
              <w:rPr>
                <w:rFonts w:ascii="Cambria Math" w:hAnsi="Cambria Math"/>
                <w:i/>
              </w:rPr>
            </m:ctrlPr>
          </m:sSubPr>
          <m:e>
            <m:r>
              <w:rPr>
                <w:rFonts w:ascii="Cambria Math" w:hAnsi="Cambria Math"/>
                <w:lang w:val="ms-MY"/>
              </w:rPr>
              <m:t>Boom1credit</m:t>
            </m:r>
          </m:e>
          <m:sub>
            <m:r>
              <w:rPr>
                <w:rFonts w:ascii="Cambria Math" w:hAnsi="Cambria Math"/>
                <w:lang w:val="ms-MY"/>
              </w:rPr>
              <m:t>t</m:t>
            </m:r>
          </m:sub>
        </m:sSub>
        <m:r>
          <w:rPr>
            <w:rFonts w:ascii="Cambria Math" w:hAnsi="Cambria Math"/>
            <w:lang w:val="ms-MY"/>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ms-MY"/>
                  </w:rPr>
                  <m:t xml:space="preserve">1 if </m:t>
                </m:r>
                <m:sSub>
                  <m:sSubPr>
                    <m:ctrlPr>
                      <w:rPr>
                        <w:rFonts w:ascii="Cambria Math" w:hAnsi="Cambria Math"/>
                        <w:i/>
                      </w:rPr>
                    </m:ctrlPr>
                  </m:sSubPr>
                  <m:e>
                    <m:r>
                      <w:rPr>
                        <w:rFonts w:ascii="Cambria Math" w:hAnsi="Cambria Math"/>
                        <w:lang w:val="ms-MY"/>
                      </w:rPr>
                      <m:t>cycle</m:t>
                    </m:r>
                  </m:e>
                  <m:sub>
                    <m:r>
                      <w:rPr>
                        <w:rFonts w:ascii="Cambria Math" w:hAnsi="Cambria Math"/>
                        <w:lang w:val="ms-MY"/>
                      </w:rPr>
                      <m:t>t</m:t>
                    </m:r>
                  </m:sub>
                </m:sSub>
                <m:r>
                  <w:rPr>
                    <w:rFonts w:ascii="Cambria Math" w:hAnsi="Cambria Math"/>
                    <w:lang w:val="ms-MY"/>
                  </w:rPr>
                  <m:t>&gt;1.5*σcycle</m:t>
                </m:r>
              </m:e>
              <m:e>
                <m:r>
                  <w:rPr>
                    <w:rFonts w:ascii="Cambria Math" w:hAnsi="Cambria Math"/>
                    <w:lang w:val="ms-MY"/>
                  </w:rPr>
                  <m:t>0, otherwise</m:t>
                </m:r>
              </m:e>
            </m:eqArr>
          </m:e>
        </m:d>
      </m:oMath>
      <w:r w:rsidR="00632CAA" w:rsidRPr="00632CAA">
        <w:rPr>
          <w:rFonts w:ascii="Times New Roman" w:eastAsia="Times New Roman" w:hAnsi="Times New Roman" w:cs="Times New Roman"/>
          <w:sz w:val="24"/>
          <w:szCs w:val="24"/>
          <w:lang w:val="ms-MY"/>
        </w:rPr>
        <w:t xml:space="preserve">                                                                       </w:t>
      </w:r>
      <w:r w:rsidR="008D5A42">
        <w:rPr>
          <w:rFonts w:ascii="Times New Roman" w:eastAsia="Times New Roman" w:hAnsi="Times New Roman" w:cs="Times New Roman"/>
          <w:sz w:val="24"/>
          <w:szCs w:val="24"/>
          <w:lang w:val="ms-MY"/>
        </w:rPr>
        <w:t xml:space="preserve">  </w:t>
      </w:r>
      <w:r w:rsidR="00632CAA" w:rsidRPr="00632CAA">
        <w:rPr>
          <w:rFonts w:ascii="Times New Roman" w:eastAsia="Times New Roman" w:hAnsi="Times New Roman" w:cs="Times New Roman"/>
          <w:sz w:val="24"/>
          <w:szCs w:val="24"/>
          <w:lang w:val="ms-MY"/>
        </w:rPr>
        <w:t xml:space="preserve"> </w:t>
      </w:r>
      <w:r w:rsidR="008D5A42">
        <w:rPr>
          <w:rFonts w:ascii="Times New Roman" w:eastAsia="Times New Roman" w:hAnsi="Times New Roman" w:cs="Times New Roman"/>
          <w:sz w:val="24"/>
          <w:szCs w:val="24"/>
          <w:lang w:val="ms-MY"/>
        </w:rPr>
        <w:t xml:space="preserve">    </w:t>
      </w:r>
      <w:r w:rsidR="00632CAA" w:rsidRPr="00632CAA">
        <w:rPr>
          <w:rFonts w:ascii="Times New Roman" w:eastAsia="Times New Roman" w:hAnsi="Times New Roman" w:cs="Times New Roman"/>
          <w:sz w:val="24"/>
          <w:szCs w:val="24"/>
          <w:lang w:val="ms-MY"/>
        </w:rPr>
        <w:t xml:space="preserve">(3)  </w:t>
      </w:r>
    </w:p>
    <w:p w14:paraId="12236676" w14:textId="77777777" w:rsidR="00632CAA" w:rsidRPr="00632CAA" w:rsidRDefault="00451587" w:rsidP="00632CAA">
      <w:pPr>
        <w:spacing w:after="0" w:line="240" w:lineRule="auto"/>
        <w:jc w:val="both"/>
        <w:rPr>
          <w:rFonts w:ascii="Times New Roman" w:eastAsia="Times New Roman" w:hAnsi="Times New Roman" w:cs="Times New Roman"/>
          <w:sz w:val="24"/>
          <w:szCs w:val="24"/>
          <w:lang w:val="ms-MY"/>
        </w:rPr>
      </w:pPr>
      <m:oMath>
        <m:sSub>
          <m:sSubPr>
            <m:ctrlPr>
              <w:rPr>
                <w:rFonts w:ascii="Cambria Math" w:hAnsi="Cambria Math"/>
                <w:i/>
              </w:rPr>
            </m:ctrlPr>
          </m:sSubPr>
          <m:e>
            <m:r>
              <w:rPr>
                <w:rFonts w:ascii="Cambria Math" w:hAnsi="Cambria Math"/>
                <w:lang w:val="ms-MY"/>
              </w:rPr>
              <m:t>Boom1</m:t>
            </m:r>
            <m:r>
              <w:rPr>
                <w:rFonts w:ascii="Cambria Math" w:hAnsi="Cambria Math"/>
                <w:lang w:val="ms-MY"/>
              </w:rPr>
              <m:t>house</m:t>
            </m:r>
          </m:e>
          <m:sub>
            <m:r>
              <w:rPr>
                <w:rFonts w:ascii="Cambria Math" w:hAnsi="Cambria Math"/>
                <w:lang w:val="ms-MY"/>
              </w:rPr>
              <m:t>t</m:t>
            </m:r>
          </m:sub>
        </m:sSub>
        <m:r>
          <w:rPr>
            <w:rFonts w:ascii="Cambria Math" w:hAnsi="Cambria Math"/>
            <w:lang w:val="ms-MY"/>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ms-MY"/>
                  </w:rPr>
                  <m:t xml:space="preserve">1 if </m:t>
                </m:r>
                <m:sSub>
                  <m:sSubPr>
                    <m:ctrlPr>
                      <w:rPr>
                        <w:rFonts w:ascii="Cambria Math" w:hAnsi="Cambria Math"/>
                        <w:i/>
                      </w:rPr>
                    </m:ctrlPr>
                  </m:sSubPr>
                  <m:e>
                    <m:r>
                      <w:rPr>
                        <w:rFonts w:ascii="Cambria Math" w:hAnsi="Cambria Math"/>
                        <w:lang w:val="ms-MY"/>
                      </w:rPr>
                      <m:t>cycle</m:t>
                    </m:r>
                  </m:e>
                  <m:sub>
                    <m:r>
                      <w:rPr>
                        <w:rFonts w:ascii="Cambria Math" w:hAnsi="Cambria Math"/>
                        <w:lang w:val="ms-MY"/>
                      </w:rPr>
                      <m:t>t</m:t>
                    </m:r>
                  </m:sub>
                </m:sSub>
                <m:r>
                  <w:rPr>
                    <w:rFonts w:ascii="Cambria Math" w:hAnsi="Cambria Math"/>
                    <w:lang w:val="ms-MY"/>
                  </w:rPr>
                  <m:t>&gt;1.5*σcycle</m:t>
                </m:r>
              </m:e>
              <m:e>
                <m:r>
                  <w:rPr>
                    <w:rFonts w:ascii="Cambria Math" w:hAnsi="Cambria Math"/>
                    <w:lang w:val="ms-MY"/>
                  </w:rPr>
                  <m:t>0, otherwise</m:t>
                </m:r>
              </m:e>
            </m:eqArr>
          </m:e>
        </m:d>
      </m:oMath>
      <w:r w:rsidR="00632CAA" w:rsidRPr="00632CAA">
        <w:rPr>
          <w:rFonts w:ascii="Times New Roman" w:eastAsia="Times New Roman" w:hAnsi="Times New Roman" w:cs="Times New Roman"/>
          <w:sz w:val="24"/>
          <w:szCs w:val="24"/>
          <w:lang w:val="ms-MY"/>
        </w:rPr>
        <w:t xml:space="preserve">                                                                         </w:t>
      </w:r>
      <w:r w:rsidR="008D5A42">
        <w:rPr>
          <w:rFonts w:ascii="Times New Roman" w:eastAsia="Times New Roman" w:hAnsi="Times New Roman" w:cs="Times New Roman"/>
          <w:sz w:val="24"/>
          <w:szCs w:val="24"/>
          <w:lang w:val="ms-MY"/>
        </w:rPr>
        <w:t xml:space="preserve">     </w:t>
      </w:r>
      <w:r w:rsidR="00632CAA" w:rsidRPr="00632CAA">
        <w:rPr>
          <w:rFonts w:ascii="Times New Roman" w:eastAsia="Times New Roman" w:hAnsi="Times New Roman" w:cs="Times New Roman"/>
          <w:sz w:val="24"/>
          <w:szCs w:val="24"/>
          <w:lang w:val="ms-MY"/>
        </w:rPr>
        <w:t>(4)</w:t>
      </w:r>
    </w:p>
    <w:p w14:paraId="731E7BBB"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737D9DFB"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where </w:t>
      </w:r>
      <m:oMath>
        <m:r>
          <w:rPr>
            <w:rFonts w:ascii="Cambria Math" w:hAnsi="Cambria Math"/>
            <w:color w:val="0070C0"/>
          </w:rPr>
          <m:t>σcycle</m:t>
        </m:r>
      </m:oMath>
      <w:r w:rsidRPr="00D07227">
        <w:rPr>
          <w:rFonts w:ascii="Times New Roman" w:eastAsia="Times New Roman" w:hAnsi="Times New Roman" w:cs="Times New Roman"/>
          <w:color w:val="0070C0"/>
          <w:sz w:val="24"/>
          <w:szCs w:val="24"/>
          <w:lang w:val="ms-MY"/>
        </w:rPr>
        <w:t xml:space="preserve"> i</w:t>
      </w:r>
      <w:r w:rsidRPr="00632CAA">
        <w:rPr>
          <w:rFonts w:ascii="Times New Roman" w:eastAsia="Times New Roman" w:hAnsi="Times New Roman" w:cs="Times New Roman"/>
          <w:sz w:val="24"/>
          <w:szCs w:val="24"/>
          <w:lang w:val="ms-MY"/>
        </w:rPr>
        <w:t xml:space="preserve">s the standard deviation of the cycle movement. Boom 2 for credit and housing price growth can be defined as: </w:t>
      </w:r>
    </w:p>
    <w:p w14:paraId="35229980"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0B678BF6" w14:textId="77777777" w:rsidR="00632CAA" w:rsidRPr="00632CAA" w:rsidRDefault="00451587" w:rsidP="00632CAA">
      <w:pPr>
        <w:spacing w:after="0" w:line="240" w:lineRule="auto"/>
        <w:jc w:val="both"/>
        <w:rPr>
          <w:rFonts w:ascii="Times New Roman" w:eastAsia="Times New Roman" w:hAnsi="Times New Roman" w:cs="Times New Roman"/>
          <w:sz w:val="24"/>
          <w:szCs w:val="24"/>
          <w:lang w:val="ms-MY"/>
        </w:rPr>
      </w:pPr>
      <m:oMath>
        <m:sSub>
          <m:sSubPr>
            <m:ctrlPr>
              <w:rPr>
                <w:rFonts w:ascii="Cambria Math" w:hAnsi="Cambria Math"/>
                <w:i/>
              </w:rPr>
            </m:ctrlPr>
          </m:sSubPr>
          <m:e>
            <m:r>
              <w:rPr>
                <w:rFonts w:ascii="Cambria Math" w:hAnsi="Cambria Math"/>
                <w:lang w:val="ms-MY"/>
              </w:rPr>
              <m:t>Boom2credit</m:t>
            </m:r>
          </m:e>
          <m:sub>
            <m:r>
              <w:rPr>
                <w:rFonts w:ascii="Cambria Math" w:hAnsi="Cambria Math"/>
                <w:lang w:val="ms-MY"/>
              </w:rPr>
              <m:t>t</m:t>
            </m:r>
          </m:sub>
        </m:sSub>
        <m:r>
          <w:rPr>
            <w:rFonts w:ascii="Cambria Math" w:hAnsi="Cambria Math"/>
            <w:lang w:val="ms-MY"/>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ms-MY"/>
                  </w:rPr>
                  <m:t xml:space="preserve">1 if </m:t>
                </m:r>
                <m:sSub>
                  <m:sSubPr>
                    <m:ctrlPr>
                      <w:rPr>
                        <w:rFonts w:ascii="Cambria Math" w:hAnsi="Cambria Math"/>
                        <w:i/>
                      </w:rPr>
                    </m:ctrlPr>
                  </m:sSubPr>
                  <m:e>
                    <m:r>
                      <w:rPr>
                        <w:rFonts w:ascii="Cambria Math" w:hAnsi="Cambria Math"/>
                        <w:lang w:val="ms-MY"/>
                      </w:rPr>
                      <m:t>credit_to_GDPgaps</m:t>
                    </m:r>
                  </m:e>
                  <m:sub>
                    <m:r>
                      <w:rPr>
                        <w:rFonts w:ascii="Cambria Math" w:hAnsi="Cambria Math"/>
                        <w:lang w:val="ms-MY"/>
                      </w:rPr>
                      <m:t>t</m:t>
                    </m:r>
                  </m:sub>
                </m:sSub>
                <m:r>
                  <w:rPr>
                    <w:rFonts w:ascii="Cambria Math" w:hAnsi="Cambria Math"/>
                    <w:lang w:val="ms-MY"/>
                  </w:rPr>
                  <m:t>&gt;2</m:t>
                </m:r>
              </m:e>
              <m:e>
                <m:r>
                  <w:rPr>
                    <w:rFonts w:ascii="Cambria Math" w:hAnsi="Cambria Math"/>
                    <w:lang w:val="ms-MY"/>
                  </w:rPr>
                  <m:t>0, otherwise</m:t>
                </m:r>
              </m:e>
            </m:eqArr>
          </m:e>
        </m:d>
      </m:oMath>
      <w:r w:rsidR="00632CAA" w:rsidRPr="00632CAA">
        <w:rPr>
          <w:rFonts w:ascii="Times New Roman" w:eastAsia="Times New Roman" w:hAnsi="Times New Roman" w:cs="Times New Roman"/>
          <w:sz w:val="24"/>
          <w:szCs w:val="24"/>
          <w:lang w:val="ms-MY"/>
        </w:rPr>
        <w:t xml:space="preserve">                                                                </w:t>
      </w:r>
      <w:r w:rsidR="008D5A42">
        <w:rPr>
          <w:rFonts w:ascii="Times New Roman" w:eastAsia="Times New Roman" w:hAnsi="Times New Roman" w:cs="Times New Roman"/>
          <w:sz w:val="24"/>
          <w:szCs w:val="24"/>
          <w:lang w:val="ms-MY"/>
        </w:rPr>
        <w:t xml:space="preserve">       </w:t>
      </w:r>
      <w:r w:rsidR="00632CAA" w:rsidRPr="00632CAA">
        <w:rPr>
          <w:rFonts w:ascii="Times New Roman" w:eastAsia="Times New Roman" w:hAnsi="Times New Roman" w:cs="Times New Roman"/>
          <w:sz w:val="24"/>
          <w:szCs w:val="24"/>
          <w:lang w:val="ms-MY"/>
        </w:rPr>
        <w:t xml:space="preserve">(5)       </w:t>
      </w:r>
    </w:p>
    <w:p w14:paraId="1E710249"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 </w:t>
      </w:r>
      <m:oMath>
        <m:sSub>
          <m:sSubPr>
            <m:ctrlPr>
              <w:rPr>
                <w:rFonts w:ascii="Cambria Math" w:hAnsi="Cambria Math"/>
                <w:i/>
              </w:rPr>
            </m:ctrlPr>
          </m:sSubPr>
          <m:e>
            <m:r>
              <w:rPr>
                <w:rFonts w:ascii="Cambria Math" w:hAnsi="Cambria Math"/>
                <w:lang w:val="ms-MY"/>
              </w:rPr>
              <m:t>Boom2</m:t>
            </m:r>
            <m:r>
              <w:rPr>
                <w:rFonts w:ascii="Cambria Math" w:hAnsi="Cambria Math"/>
                <w:lang w:val="ms-MY"/>
              </w:rPr>
              <m:t>house</m:t>
            </m:r>
          </m:e>
          <m:sub>
            <m:r>
              <w:rPr>
                <w:rFonts w:ascii="Cambria Math" w:hAnsi="Cambria Math"/>
                <w:lang w:val="ms-MY"/>
              </w:rPr>
              <m:t>t</m:t>
            </m:r>
          </m:sub>
        </m:sSub>
        <m:r>
          <w:rPr>
            <w:rFonts w:ascii="Cambria Math" w:hAnsi="Cambria Math"/>
            <w:lang w:val="ms-MY"/>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ms-MY"/>
                  </w:rPr>
                  <m:t xml:space="preserve">1 if </m:t>
                </m:r>
                <m:sSub>
                  <m:sSubPr>
                    <m:ctrlPr>
                      <w:rPr>
                        <w:rFonts w:ascii="Cambria Math" w:hAnsi="Cambria Math"/>
                        <w:i/>
                      </w:rPr>
                    </m:ctrlPr>
                  </m:sSubPr>
                  <m:e>
                    <m:r>
                      <w:rPr>
                        <w:rFonts w:ascii="Cambria Math" w:hAnsi="Cambria Math"/>
                        <w:lang w:val="ms-MY"/>
                      </w:rPr>
                      <m:t>houseprice_ gaps</m:t>
                    </m:r>
                  </m:e>
                  <m:sub>
                    <m:r>
                      <w:rPr>
                        <w:rFonts w:ascii="Cambria Math" w:hAnsi="Cambria Math"/>
                        <w:lang w:val="ms-MY"/>
                      </w:rPr>
                      <m:t>t</m:t>
                    </m:r>
                  </m:sub>
                </m:sSub>
                <m:r>
                  <w:rPr>
                    <w:rFonts w:ascii="Cambria Math" w:hAnsi="Cambria Math"/>
                    <w:lang w:val="ms-MY"/>
                  </w:rPr>
                  <m:t>&gt;2</m:t>
                </m:r>
              </m:e>
              <m:e>
                <m:r>
                  <w:rPr>
                    <w:rFonts w:ascii="Cambria Math" w:hAnsi="Cambria Math"/>
                    <w:lang w:val="ms-MY"/>
                  </w:rPr>
                  <m:t>0, otherwise</m:t>
                </m:r>
              </m:e>
            </m:eqArr>
          </m:e>
        </m:d>
      </m:oMath>
      <w:r w:rsidRPr="00632CAA">
        <w:rPr>
          <w:rFonts w:ascii="Times New Roman" w:eastAsia="Times New Roman" w:hAnsi="Times New Roman" w:cs="Times New Roman"/>
          <w:sz w:val="24"/>
          <w:szCs w:val="24"/>
          <w:lang w:val="ms-MY"/>
        </w:rPr>
        <w:t xml:space="preserve">                                                                   </w:t>
      </w:r>
      <w:r w:rsidR="008D5A42">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(6)</w:t>
      </w:r>
    </w:p>
    <w:p w14:paraId="70715A8C" w14:textId="77777777" w:rsidR="00632CAA" w:rsidRDefault="00632CAA" w:rsidP="00632CAA">
      <w:pPr>
        <w:spacing w:after="0" w:line="240" w:lineRule="auto"/>
        <w:jc w:val="both"/>
        <w:rPr>
          <w:rFonts w:ascii="Times New Roman" w:eastAsia="Times New Roman" w:hAnsi="Times New Roman" w:cs="Times New Roman"/>
          <w:sz w:val="24"/>
          <w:szCs w:val="24"/>
          <w:lang w:val="ms-MY"/>
        </w:rPr>
      </w:pPr>
    </w:p>
    <w:p w14:paraId="47AB9742" w14:textId="77777777" w:rsidR="007D095B" w:rsidRPr="00632CAA" w:rsidRDefault="007D095B" w:rsidP="00632CAA">
      <w:pPr>
        <w:spacing w:after="0" w:line="240" w:lineRule="auto"/>
        <w:jc w:val="both"/>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lang w:val="ms-MY"/>
        </w:rPr>
        <w:t xml:space="preserve">In particular, </w:t>
      </w:r>
    </w:p>
    <w:p w14:paraId="1CD6961F"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6F49E040" w14:textId="02F61CAF" w:rsidR="00632CAA" w:rsidRPr="00632CAA" w:rsidRDefault="00632CAA" w:rsidP="00216FFB">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We also consider the lead–lag relationship between the housing and credit booms by employing a Granger causality analysis. </w:t>
      </w:r>
      <w:r w:rsidRPr="00216FFB">
        <w:rPr>
          <w:rFonts w:ascii="Times New Roman" w:eastAsia="Times New Roman" w:hAnsi="Times New Roman" w:cs="Times New Roman"/>
          <w:color w:val="5B9BD5" w:themeColor="accent1"/>
          <w:sz w:val="24"/>
          <w:szCs w:val="24"/>
          <w:lang w:val="ms-MY"/>
        </w:rPr>
        <w:t>The</w:t>
      </w:r>
      <w:r w:rsidR="00216FFB">
        <w:rPr>
          <w:rFonts w:ascii="Times New Roman" w:eastAsia="Times New Roman" w:hAnsi="Times New Roman" w:cs="Times New Roman"/>
          <w:color w:val="5B9BD5" w:themeColor="accent1"/>
          <w:sz w:val="24"/>
          <w:szCs w:val="24"/>
          <w:lang w:val="ms-MY"/>
        </w:rPr>
        <w:t xml:space="preserve"> </w:t>
      </w:r>
      <w:r w:rsidR="001A3096">
        <w:rPr>
          <w:rFonts w:ascii="Times New Roman" w:eastAsia="Times New Roman" w:hAnsi="Times New Roman" w:cs="Times New Roman"/>
          <w:color w:val="5B9BD5" w:themeColor="accent1"/>
          <w:sz w:val="24"/>
          <w:szCs w:val="24"/>
          <w:lang w:val="ms-MY"/>
        </w:rPr>
        <w:t>G</w:t>
      </w:r>
      <w:r w:rsidR="00216FFB">
        <w:rPr>
          <w:rFonts w:ascii="Times New Roman" w:eastAsia="Times New Roman" w:hAnsi="Times New Roman" w:cs="Times New Roman"/>
          <w:color w:val="5B9BD5" w:themeColor="accent1"/>
          <w:sz w:val="24"/>
          <w:szCs w:val="24"/>
          <w:lang w:val="ms-MY"/>
        </w:rPr>
        <w:t>ranger analysis test</w:t>
      </w:r>
      <w:r w:rsidR="001A3096">
        <w:rPr>
          <w:rFonts w:ascii="Times New Roman" w:eastAsia="Times New Roman" w:hAnsi="Times New Roman" w:cs="Times New Roman"/>
          <w:color w:val="5B9BD5" w:themeColor="accent1"/>
          <w:sz w:val="24"/>
          <w:szCs w:val="24"/>
          <w:lang w:val="ms-MY"/>
        </w:rPr>
        <w:t>s</w:t>
      </w:r>
      <w:r w:rsidR="00216FFB">
        <w:rPr>
          <w:rFonts w:ascii="Times New Roman" w:eastAsia="Times New Roman" w:hAnsi="Times New Roman" w:cs="Times New Roman"/>
          <w:color w:val="5B9BD5" w:themeColor="accent1"/>
          <w:sz w:val="24"/>
          <w:szCs w:val="24"/>
          <w:lang w:val="ms-MY"/>
        </w:rPr>
        <w:t xml:space="preserve"> the</w:t>
      </w:r>
      <w:r w:rsidRPr="00216FFB">
        <w:rPr>
          <w:rFonts w:ascii="Times New Roman" w:eastAsia="Times New Roman" w:hAnsi="Times New Roman" w:cs="Times New Roman"/>
          <w:color w:val="5B9BD5" w:themeColor="accent1"/>
          <w:sz w:val="24"/>
          <w:szCs w:val="24"/>
          <w:lang w:val="ms-MY"/>
        </w:rPr>
        <w:t xml:space="preserve"> null</w:t>
      </w:r>
      <w:r w:rsidR="00216FFB">
        <w:rPr>
          <w:rFonts w:ascii="Times New Roman" w:eastAsia="Times New Roman" w:hAnsi="Times New Roman" w:cs="Times New Roman"/>
          <w:color w:val="5B9BD5" w:themeColor="accent1"/>
          <w:sz w:val="24"/>
          <w:szCs w:val="24"/>
          <w:lang w:val="ms-MY"/>
        </w:rPr>
        <w:t xml:space="preserve"> hypothesis that</w:t>
      </w:r>
      <w:r w:rsidRPr="00216FFB">
        <w:rPr>
          <w:rFonts w:ascii="Times New Roman" w:eastAsia="Times New Roman" w:hAnsi="Times New Roman" w:cs="Times New Roman"/>
          <w:color w:val="5B9BD5" w:themeColor="accent1"/>
          <w:sz w:val="24"/>
          <w:szCs w:val="24"/>
          <w:lang w:val="ms-MY"/>
        </w:rPr>
        <w:t xml:space="preserve"> credit growth </w:t>
      </w:r>
      <w:r w:rsidR="00216FFB">
        <w:rPr>
          <w:rFonts w:ascii="Times New Roman" w:eastAsia="Times New Roman" w:hAnsi="Times New Roman" w:cs="Times New Roman"/>
          <w:color w:val="5B9BD5" w:themeColor="accent1"/>
          <w:sz w:val="24"/>
          <w:szCs w:val="24"/>
          <w:lang w:val="ms-MY"/>
        </w:rPr>
        <w:t xml:space="preserve">does not cause housing price growth and the null hypothesis that </w:t>
      </w:r>
      <w:r w:rsidR="00F827EE">
        <w:rPr>
          <w:rFonts w:ascii="Times New Roman" w:eastAsia="Times New Roman" w:hAnsi="Times New Roman" w:cs="Times New Roman"/>
          <w:color w:val="5B9BD5" w:themeColor="accent1"/>
          <w:sz w:val="24"/>
          <w:szCs w:val="24"/>
          <w:lang w:val="ms-MY"/>
        </w:rPr>
        <w:t>housing price g</w:t>
      </w:r>
      <w:r w:rsidR="00216FFB">
        <w:rPr>
          <w:rFonts w:ascii="Times New Roman" w:eastAsia="Times New Roman" w:hAnsi="Times New Roman" w:cs="Times New Roman"/>
          <w:color w:val="5B9BD5" w:themeColor="accent1"/>
          <w:sz w:val="24"/>
          <w:szCs w:val="24"/>
          <w:lang w:val="ms-MY"/>
        </w:rPr>
        <w:t>rowth does not cause credit growth.</w:t>
      </w:r>
      <w:r w:rsidRPr="00216FFB">
        <w:rPr>
          <w:rFonts w:ascii="Times New Roman" w:eastAsia="Times New Roman" w:hAnsi="Times New Roman" w:cs="Times New Roman"/>
          <w:color w:val="5B9BD5" w:themeColor="accent1"/>
          <w:sz w:val="24"/>
          <w:szCs w:val="24"/>
          <w:lang w:val="ms-MY"/>
        </w:rPr>
        <w:t xml:space="preserve"> </w:t>
      </w:r>
      <w:r w:rsidRPr="00632CAA">
        <w:rPr>
          <w:rFonts w:ascii="Times New Roman" w:eastAsia="Times New Roman" w:hAnsi="Times New Roman" w:cs="Times New Roman"/>
          <w:sz w:val="24"/>
          <w:szCs w:val="24"/>
          <w:lang w:val="ms-MY"/>
        </w:rPr>
        <w:t xml:space="preserve">This will be tested for up to four lag lengths. </w:t>
      </w:r>
    </w:p>
    <w:p w14:paraId="002CF1E9"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57493875"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2F07BEEB" w14:textId="77777777" w:rsidR="00632CAA" w:rsidRPr="00632CAA" w:rsidRDefault="00632CAA" w:rsidP="00632CAA">
      <w:pPr>
        <w:numPr>
          <w:ilvl w:val="0"/>
          <w:numId w:val="2"/>
        </w:numPr>
        <w:spacing w:after="0" w:line="240" w:lineRule="auto"/>
        <w:ind w:left="360" w:hanging="360"/>
        <w:contextualSpacing/>
        <w:jc w:val="both"/>
        <w:rPr>
          <w:rFonts w:ascii="Times New Roman" w:eastAsia="Calibri" w:hAnsi="Times New Roman" w:cs="Times New Roman"/>
          <w:b/>
          <w:bCs/>
          <w:sz w:val="24"/>
          <w:szCs w:val="24"/>
        </w:rPr>
      </w:pPr>
      <w:r w:rsidRPr="00632CAA">
        <w:rPr>
          <w:rFonts w:ascii="Times New Roman" w:eastAsia="Calibri" w:hAnsi="Times New Roman" w:cs="Times New Roman"/>
          <w:b/>
          <w:bCs/>
          <w:sz w:val="24"/>
          <w:szCs w:val="24"/>
        </w:rPr>
        <w:t>Data</w:t>
      </w:r>
    </w:p>
    <w:p w14:paraId="5733FA23" w14:textId="1B98F7E6"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Quarterly series data for 1988Q1 through 2016Q4 </w:t>
      </w:r>
      <w:r w:rsidR="001850A3">
        <w:rPr>
          <w:rFonts w:ascii="Times New Roman" w:eastAsia="Times New Roman" w:hAnsi="Times New Roman" w:cs="Times New Roman"/>
          <w:sz w:val="24"/>
          <w:szCs w:val="24"/>
          <w:lang w:val="ms-MY"/>
        </w:rPr>
        <w:t>are</w:t>
      </w:r>
      <w:r w:rsidR="001850A3"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 xml:space="preserve">gathered from the BIS. The total amount of credit in the private sector, as a percentage of the GDP and the credit-to-GDP gaps, represents the movement of credit. The Malaysian </w:t>
      </w:r>
      <w:r w:rsidR="001A3096">
        <w:rPr>
          <w:rFonts w:ascii="Times New Roman" w:eastAsia="Times New Roman" w:hAnsi="Times New Roman" w:cs="Times New Roman"/>
          <w:sz w:val="24"/>
          <w:szCs w:val="24"/>
          <w:lang w:val="ms-MY"/>
        </w:rPr>
        <w:t>h</w:t>
      </w:r>
      <w:r w:rsidRPr="00632CAA">
        <w:rPr>
          <w:rFonts w:ascii="Times New Roman" w:eastAsia="Times New Roman" w:hAnsi="Times New Roman" w:cs="Times New Roman"/>
          <w:sz w:val="24"/>
          <w:szCs w:val="24"/>
          <w:lang w:val="ms-MY"/>
        </w:rPr>
        <w:t xml:space="preserve">ouse </w:t>
      </w:r>
      <w:r w:rsidR="001A3096">
        <w:rPr>
          <w:rFonts w:ascii="Times New Roman" w:eastAsia="Times New Roman" w:hAnsi="Times New Roman" w:cs="Times New Roman"/>
          <w:sz w:val="24"/>
          <w:szCs w:val="24"/>
          <w:lang w:val="ms-MY"/>
        </w:rPr>
        <w:t>p</w:t>
      </w:r>
      <w:r w:rsidRPr="00632CAA">
        <w:rPr>
          <w:rFonts w:ascii="Times New Roman" w:eastAsia="Times New Roman" w:hAnsi="Times New Roman" w:cs="Times New Roman"/>
          <w:sz w:val="24"/>
          <w:szCs w:val="24"/>
          <w:lang w:val="ms-MY"/>
        </w:rPr>
        <w:t xml:space="preserve">rice </w:t>
      </w:r>
      <w:r w:rsidR="001A3096">
        <w:rPr>
          <w:rFonts w:ascii="Times New Roman" w:eastAsia="Times New Roman" w:hAnsi="Times New Roman" w:cs="Times New Roman"/>
          <w:sz w:val="24"/>
          <w:szCs w:val="24"/>
          <w:lang w:val="ms-MY"/>
        </w:rPr>
        <w:t>i</w:t>
      </w:r>
      <w:r w:rsidRPr="00632CAA">
        <w:rPr>
          <w:rFonts w:ascii="Times New Roman" w:eastAsia="Times New Roman" w:hAnsi="Times New Roman" w:cs="Times New Roman"/>
          <w:sz w:val="24"/>
          <w:szCs w:val="24"/>
          <w:lang w:val="ms-MY"/>
        </w:rPr>
        <w:t>ndex (HPI) and house prices gap signify the house price behavior.</w:t>
      </w:r>
      <w:r w:rsidRPr="00632CAA">
        <w:rPr>
          <w:rFonts w:ascii="Times New Roman" w:eastAsia="Times New Roman" w:hAnsi="Times New Roman" w:cs="Times New Roman"/>
          <w:sz w:val="24"/>
          <w:szCs w:val="24"/>
          <w:vertAlign w:val="superscript"/>
          <w:lang w:val="ms-MY"/>
        </w:rPr>
        <w:footnoteReference w:id="3"/>
      </w:r>
    </w:p>
    <w:p w14:paraId="000FF679" w14:textId="77777777" w:rsidR="00632CAA" w:rsidRPr="00632CAA" w:rsidRDefault="00632CAA" w:rsidP="00632CAA">
      <w:pPr>
        <w:spacing w:line="240" w:lineRule="auto"/>
        <w:contextualSpacing/>
        <w:jc w:val="both"/>
        <w:rPr>
          <w:rFonts w:ascii="Times New Roman" w:eastAsia="Calibri" w:hAnsi="Times New Roman" w:cs="Times New Roman"/>
          <w:b/>
          <w:bCs/>
          <w:sz w:val="24"/>
          <w:szCs w:val="24"/>
          <w:lang w:val="ms-MY"/>
        </w:rPr>
      </w:pPr>
    </w:p>
    <w:p w14:paraId="7F6F26B1" w14:textId="77777777" w:rsidR="00632CAA" w:rsidRPr="00632CAA" w:rsidRDefault="00632CAA" w:rsidP="00632CAA">
      <w:pPr>
        <w:spacing w:line="240" w:lineRule="auto"/>
        <w:contextualSpacing/>
        <w:jc w:val="both"/>
        <w:rPr>
          <w:rFonts w:ascii="Times New Roman" w:eastAsia="Calibri" w:hAnsi="Times New Roman" w:cs="Times New Roman"/>
          <w:b/>
          <w:bCs/>
          <w:sz w:val="24"/>
          <w:szCs w:val="24"/>
          <w:lang w:val="ms-MY"/>
        </w:rPr>
      </w:pPr>
    </w:p>
    <w:p w14:paraId="662C50FB" w14:textId="77777777" w:rsidR="00632CAA" w:rsidRPr="00632CAA" w:rsidRDefault="00632CAA" w:rsidP="00632CAA">
      <w:pPr>
        <w:numPr>
          <w:ilvl w:val="0"/>
          <w:numId w:val="2"/>
        </w:numPr>
        <w:spacing w:after="0" w:line="240" w:lineRule="auto"/>
        <w:ind w:left="360" w:hanging="360"/>
        <w:contextualSpacing/>
        <w:jc w:val="both"/>
        <w:rPr>
          <w:rFonts w:ascii="Times New Roman" w:eastAsia="Calibri" w:hAnsi="Times New Roman" w:cs="Times New Roman"/>
          <w:b/>
          <w:bCs/>
          <w:sz w:val="24"/>
          <w:szCs w:val="24"/>
        </w:rPr>
      </w:pPr>
      <w:r w:rsidRPr="00632CAA">
        <w:rPr>
          <w:rFonts w:ascii="Times New Roman" w:eastAsia="Calibri" w:hAnsi="Times New Roman" w:cs="Times New Roman"/>
          <w:b/>
          <w:bCs/>
          <w:sz w:val="24"/>
          <w:szCs w:val="24"/>
        </w:rPr>
        <w:t>Results</w:t>
      </w:r>
    </w:p>
    <w:p w14:paraId="4D2B9E66" w14:textId="621B03A2" w:rsidR="00632CAA" w:rsidRPr="00632CAA" w:rsidRDefault="00632CAA" w:rsidP="00632CAA">
      <w:pPr>
        <w:spacing w:after="0" w:line="240" w:lineRule="auto"/>
        <w:jc w:val="both"/>
        <w:rPr>
          <w:rFonts w:ascii="Times New Roman" w:eastAsia="Calibri" w:hAnsi="Times New Roman" w:cs="Times New Roman"/>
          <w:bCs/>
          <w:sz w:val="24"/>
          <w:szCs w:val="24"/>
          <w:lang w:val="ms-MY"/>
        </w:rPr>
      </w:pPr>
      <w:r w:rsidRPr="00632CAA">
        <w:rPr>
          <w:rFonts w:ascii="Times New Roman" w:eastAsia="Calibri" w:hAnsi="Times New Roman" w:cs="Times New Roman"/>
          <w:bCs/>
          <w:sz w:val="24"/>
          <w:szCs w:val="24"/>
          <w:lang w:val="ms-MY"/>
        </w:rPr>
        <w:t xml:space="preserve">Table 1 reports the descriptive statistics using the entire data sample. A variation in the credit-to-GDP and HPI gap for Malaysia exists, ranging from -32.60 (2008Q1) to 29.90 (in 1997Q3) percentage points and -23.42 </w:t>
      </w:r>
      <w:r w:rsidR="001850A3" w:rsidRPr="00906A0E">
        <w:rPr>
          <w:rFonts w:ascii="Times New Roman" w:eastAsia="Calibri" w:hAnsi="Times New Roman" w:cs="Times New Roman"/>
          <w:bCs/>
          <w:sz w:val="24"/>
          <w:szCs w:val="24"/>
          <w:lang w:val="ms-MY"/>
        </w:rPr>
        <w:t xml:space="preserve">to </w:t>
      </w:r>
      <w:r w:rsidRPr="00906A0E">
        <w:rPr>
          <w:rFonts w:ascii="Times New Roman" w:eastAsia="Calibri" w:hAnsi="Times New Roman" w:cs="Times New Roman"/>
          <w:bCs/>
          <w:sz w:val="24"/>
          <w:szCs w:val="24"/>
          <w:lang w:val="ms-MY"/>
        </w:rPr>
        <w:t>3</w:t>
      </w:r>
      <w:r w:rsidRPr="00632CAA">
        <w:rPr>
          <w:rFonts w:ascii="Times New Roman" w:eastAsia="Calibri" w:hAnsi="Times New Roman" w:cs="Times New Roman"/>
          <w:bCs/>
          <w:sz w:val="24"/>
          <w:szCs w:val="24"/>
          <w:lang w:val="ms-MY"/>
        </w:rPr>
        <w:t xml:space="preserve">8.15, respectively. The large gaps indicate </w:t>
      </w:r>
      <w:r w:rsidR="001A3096">
        <w:rPr>
          <w:rFonts w:ascii="Times New Roman" w:eastAsia="Calibri" w:hAnsi="Times New Roman" w:cs="Times New Roman"/>
          <w:bCs/>
          <w:sz w:val="24"/>
          <w:szCs w:val="24"/>
          <w:lang w:val="ms-MY"/>
        </w:rPr>
        <w:t xml:space="preserve">a </w:t>
      </w:r>
      <w:r w:rsidRPr="00632CAA">
        <w:rPr>
          <w:rFonts w:ascii="Times New Roman" w:eastAsia="Calibri" w:hAnsi="Times New Roman" w:cs="Times New Roman"/>
          <w:bCs/>
          <w:sz w:val="24"/>
          <w:szCs w:val="24"/>
          <w:lang w:val="ms-MY"/>
        </w:rPr>
        <w:t xml:space="preserve">wider divergence from the normal credit trend. The credit-to-GDP ratio shows a mean of 124.50. The mean of Malaysia’s HPI is 126.34. The maximum value is 262.76, achieved in 2016Q3. </w:t>
      </w:r>
    </w:p>
    <w:p w14:paraId="1D689A81" w14:textId="77777777" w:rsidR="00632CAA" w:rsidRPr="00632CAA" w:rsidRDefault="00632CAA" w:rsidP="00632CAA">
      <w:pPr>
        <w:spacing w:after="0" w:line="240" w:lineRule="auto"/>
        <w:jc w:val="both"/>
        <w:rPr>
          <w:rFonts w:ascii="Times New Roman" w:eastAsia="Calibri" w:hAnsi="Times New Roman" w:cs="Times New Roman"/>
          <w:bCs/>
          <w:sz w:val="24"/>
          <w:szCs w:val="24"/>
          <w:lang w:val="ms-MY"/>
        </w:rPr>
      </w:pPr>
    </w:p>
    <w:p w14:paraId="50FC0C79" w14:textId="77777777" w:rsidR="00632CAA" w:rsidRDefault="00632CAA" w:rsidP="00632CAA">
      <w:pPr>
        <w:spacing w:after="0" w:line="240" w:lineRule="auto"/>
        <w:jc w:val="both"/>
        <w:rPr>
          <w:rFonts w:ascii="Times New Roman" w:eastAsia="Calibri" w:hAnsi="Times New Roman" w:cs="Times New Roman"/>
          <w:bCs/>
          <w:sz w:val="24"/>
          <w:szCs w:val="24"/>
          <w:lang w:val="ms-MY"/>
        </w:rPr>
      </w:pPr>
    </w:p>
    <w:p w14:paraId="70774DFA" w14:textId="77777777" w:rsidR="00EB4CAA" w:rsidRDefault="00EB4CAA" w:rsidP="00632CAA">
      <w:pPr>
        <w:spacing w:after="0" w:line="240" w:lineRule="auto"/>
        <w:jc w:val="both"/>
        <w:rPr>
          <w:rFonts w:ascii="Times New Roman" w:eastAsia="Calibri" w:hAnsi="Times New Roman" w:cs="Times New Roman"/>
          <w:bCs/>
          <w:sz w:val="24"/>
          <w:szCs w:val="24"/>
          <w:lang w:val="ms-MY"/>
        </w:rPr>
      </w:pPr>
    </w:p>
    <w:p w14:paraId="2BF76FB9" w14:textId="77777777" w:rsidR="00EB4CAA" w:rsidRDefault="00EB4CAA" w:rsidP="00632CAA">
      <w:pPr>
        <w:spacing w:after="0" w:line="240" w:lineRule="auto"/>
        <w:jc w:val="both"/>
        <w:rPr>
          <w:rFonts w:ascii="Times New Roman" w:eastAsia="Calibri" w:hAnsi="Times New Roman" w:cs="Times New Roman"/>
          <w:bCs/>
          <w:sz w:val="24"/>
          <w:szCs w:val="24"/>
          <w:lang w:val="ms-MY"/>
        </w:rPr>
      </w:pPr>
    </w:p>
    <w:p w14:paraId="61E50224" w14:textId="77777777" w:rsidR="00906A0E" w:rsidRDefault="00906A0E" w:rsidP="00632CAA">
      <w:pPr>
        <w:spacing w:after="0" w:line="240" w:lineRule="auto"/>
        <w:jc w:val="both"/>
        <w:rPr>
          <w:rFonts w:ascii="Times New Roman" w:eastAsia="Calibri" w:hAnsi="Times New Roman" w:cs="Times New Roman"/>
          <w:bCs/>
          <w:sz w:val="24"/>
          <w:szCs w:val="24"/>
          <w:lang w:val="ms-MY"/>
        </w:rPr>
      </w:pPr>
    </w:p>
    <w:p w14:paraId="4E85E871" w14:textId="77777777" w:rsidR="00EB4CAA" w:rsidRDefault="00EB4CAA" w:rsidP="00632CAA">
      <w:pPr>
        <w:spacing w:after="0" w:line="240" w:lineRule="auto"/>
        <w:jc w:val="both"/>
        <w:rPr>
          <w:rFonts w:ascii="Times New Roman" w:eastAsia="Calibri" w:hAnsi="Times New Roman" w:cs="Times New Roman"/>
          <w:bCs/>
          <w:sz w:val="24"/>
          <w:szCs w:val="24"/>
          <w:lang w:val="ms-MY"/>
        </w:rPr>
      </w:pPr>
    </w:p>
    <w:p w14:paraId="023327E6" w14:textId="77777777" w:rsidR="00EB4CAA" w:rsidRPr="00632CAA" w:rsidRDefault="00EB4CAA" w:rsidP="00632CAA">
      <w:pPr>
        <w:spacing w:after="0" w:line="240" w:lineRule="auto"/>
        <w:jc w:val="both"/>
        <w:rPr>
          <w:rFonts w:ascii="Times New Roman" w:eastAsia="Calibri" w:hAnsi="Times New Roman" w:cs="Times New Roman"/>
          <w:bCs/>
          <w:sz w:val="24"/>
          <w:szCs w:val="24"/>
          <w:lang w:val="ms-MY"/>
        </w:rPr>
      </w:pPr>
    </w:p>
    <w:p w14:paraId="7F8E44CB" w14:textId="77777777" w:rsidR="00632CAA" w:rsidRPr="00632CAA" w:rsidRDefault="00632CAA" w:rsidP="00632CAA">
      <w:pPr>
        <w:spacing w:after="0" w:line="240" w:lineRule="auto"/>
        <w:jc w:val="both"/>
        <w:rPr>
          <w:rFonts w:ascii="Times New Roman" w:eastAsia="Calibri" w:hAnsi="Times New Roman" w:cs="Times New Roman"/>
          <w:bCs/>
          <w:sz w:val="24"/>
          <w:szCs w:val="24"/>
          <w:lang w:val="ms-MY"/>
        </w:rPr>
      </w:pPr>
    </w:p>
    <w:p w14:paraId="0FF22054" w14:textId="77777777" w:rsidR="00632CAA" w:rsidRPr="00632CAA" w:rsidRDefault="00632CAA" w:rsidP="00632CAA">
      <w:pPr>
        <w:spacing w:after="0" w:line="240" w:lineRule="auto"/>
        <w:jc w:val="both"/>
        <w:rPr>
          <w:rFonts w:ascii="Times New Roman" w:eastAsia="Calibri" w:hAnsi="Times New Roman" w:cs="Times New Roman"/>
          <w:sz w:val="24"/>
          <w:szCs w:val="24"/>
          <w:lang w:val="ms-MY"/>
        </w:rPr>
      </w:pPr>
      <w:r w:rsidRPr="00632CAA">
        <w:rPr>
          <w:rFonts w:ascii="Times New Roman" w:eastAsia="Calibri" w:hAnsi="Times New Roman" w:cs="Times New Roman"/>
          <w:b/>
          <w:bCs/>
          <w:sz w:val="24"/>
          <w:szCs w:val="24"/>
          <w:lang w:val="ms-MY"/>
        </w:rPr>
        <w:t>Table 1 Descriptive statistics</w:t>
      </w:r>
    </w:p>
    <w:tbl>
      <w:tblPr>
        <w:tblW w:w="8922" w:type="dxa"/>
        <w:tblInd w:w="108" w:type="dxa"/>
        <w:tblBorders>
          <w:top w:val="single" w:sz="12" w:space="0" w:color="auto"/>
        </w:tblBorders>
        <w:tblLook w:val="00A0" w:firstRow="1" w:lastRow="0" w:firstColumn="1" w:lastColumn="0" w:noHBand="0" w:noVBand="0"/>
      </w:tblPr>
      <w:tblGrid>
        <w:gridCol w:w="2413"/>
        <w:gridCol w:w="1511"/>
        <w:gridCol w:w="1779"/>
        <w:gridCol w:w="1726"/>
        <w:gridCol w:w="1493"/>
      </w:tblGrid>
      <w:tr w:rsidR="00632CAA" w:rsidRPr="00632CAA" w14:paraId="341CD6EF" w14:textId="77777777" w:rsidTr="00423B48">
        <w:trPr>
          <w:trHeight w:val="536"/>
        </w:trPr>
        <w:tc>
          <w:tcPr>
            <w:tcW w:w="2413" w:type="dxa"/>
            <w:tcBorders>
              <w:top w:val="single" w:sz="12" w:space="0" w:color="auto"/>
              <w:bottom w:val="single" w:sz="4" w:space="0" w:color="auto"/>
            </w:tcBorders>
            <w:noWrap/>
            <w:vAlign w:val="bottom"/>
          </w:tcPr>
          <w:p w14:paraId="56CEF561" w14:textId="77777777" w:rsidR="00632CAA" w:rsidRPr="00632CAA" w:rsidRDefault="00632CAA" w:rsidP="008D5A42">
            <w:pPr>
              <w:spacing w:after="0" w:line="240" w:lineRule="auto"/>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 </w:t>
            </w:r>
          </w:p>
        </w:tc>
        <w:tc>
          <w:tcPr>
            <w:tcW w:w="1511" w:type="dxa"/>
            <w:tcBorders>
              <w:top w:val="single" w:sz="12" w:space="0" w:color="auto"/>
              <w:bottom w:val="single" w:sz="4" w:space="0" w:color="auto"/>
            </w:tcBorders>
            <w:vAlign w:val="center"/>
          </w:tcPr>
          <w:p w14:paraId="5CA87349" w14:textId="77777777" w:rsidR="00632CAA" w:rsidRPr="00632CAA" w:rsidRDefault="00632CAA" w:rsidP="008D5A42">
            <w:pPr>
              <w:spacing w:after="0" w:line="240" w:lineRule="auto"/>
              <w:jc w:val="center"/>
              <w:rPr>
                <w:rFonts w:ascii="Times New Roman" w:eastAsia="Calibri" w:hAnsi="Times New Roman" w:cs="Times New Roman"/>
                <w:b/>
                <w:bCs/>
                <w:sz w:val="24"/>
                <w:szCs w:val="24"/>
                <w:lang w:val="ms-MY" w:eastAsia="ms-MY"/>
              </w:rPr>
            </w:pPr>
            <w:r w:rsidRPr="00632CAA">
              <w:rPr>
                <w:rFonts w:ascii="Times New Roman" w:eastAsia="Calibri" w:hAnsi="Times New Roman" w:cs="Times New Roman"/>
                <w:b/>
                <w:bCs/>
                <w:sz w:val="24"/>
                <w:szCs w:val="24"/>
                <w:lang w:val="ms-MY" w:eastAsia="ms-MY"/>
              </w:rPr>
              <w:t>Mean</w:t>
            </w:r>
          </w:p>
        </w:tc>
        <w:tc>
          <w:tcPr>
            <w:tcW w:w="1779" w:type="dxa"/>
            <w:tcBorders>
              <w:top w:val="single" w:sz="12" w:space="0" w:color="auto"/>
              <w:bottom w:val="single" w:sz="4" w:space="0" w:color="auto"/>
            </w:tcBorders>
            <w:vAlign w:val="center"/>
          </w:tcPr>
          <w:p w14:paraId="455BAAAF" w14:textId="77777777" w:rsidR="00632CAA" w:rsidRPr="00632CAA" w:rsidRDefault="00632CAA" w:rsidP="008D5A42">
            <w:pPr>
              <w:spacing w:after="0" w:line="240" w:lineRule="auto"/>
              <w:jc w:val="center"/>
              <w:rPr>
                <w:rFonts w:ascii="Times New Roman" w:eastAsia="Calibri" w:hAnsi="Times New Roman" w:cs="Times New Roman"/>
                <w:b/>
                <w:bCs/>
                <w:sz w:val="24"/>
                <w:szCs w:val="24"/>
                <w:lang w:val="ms-MY" w:eastAsia="ms-MY"/>
              </w:rPr>
            </w:pPr>
            <w:r w:rsidRPr="00632CAA">
              <w:rPr>
                <w:rFonts w:ascii="Times New Roman" w:eastAsia="Calibri" w:hAnsi="Times New Roman" w:cs="Times New Roman"/>
                <w:b/>
                <w:bCs/>
                <w:sz w:val="24"/>
                <w:szCs w:val="24"/>
                <w:lang w:val="ms-MY" w:eastAsia="ms-MY"/>
              </w:rPr>
              <w:t>Maximum</w:t>
            </w:r>
          </w:p>
        </w:tc>
        <w:tc>
          <w:tcPr>
            <w:tcW w:w="1726" w:type="dxa"/>
            <w:tcBorders>
              <w:top w:val="single" w:sz="12" w:space="0" w:color="auto"/>
              <w:bottom w:val="single" w:sz="4" w:space="0" w:color="auto"/>
            </w:tcBorders>
            <w:vAlign w:val="center"/>
          </w:tcPr>
          <w:p w14:paraId="68AFDC61" w14:textId="77777777" w:rsidR="00632CAA" w:rsidRPr="00632CAA" w:rsidRDefault="00632CAA" w:rsidP="008D5A42">
            <w:pPr>
              <w:spacing w:after="0" w:line="240" w:lineRule="auto"/>
              <w:jc w:val="center"/>
              <w:rPr>
                <w:rFonts w:ascii="Times New Roman" w:eastAsia="Calibri" w:hAnsi="Times New Roman" w:cs="Times New Roman"/>
                <w:b/>
                <w:bCs/>
                <w:sz w:val="24"/>
                <w:szCs w:val="24"/>
                <w:lang w:val="ms-MY" w:eastAsia="ms-MY"/>
              </w:rPr>
            </w:pPr>
            <w:r w:rsidRPr="00632CAA">
              <w:rPr>
                <w:rFonts w:ascii="Times New Roman" w:eastAsia="Calibri" w:hAnsi="Times New Roman" w:cs="Times New Roman"/>
                <w:b/>
                <w:bCs/>
                <w:sz w:val="24"/>
                <w:szCs w:val="24"/>
                <w:lang w:val="ms-MY" w:eastAsia="ms-MY"/>
              </w:rPr>
              <w:t>Minimum</w:t>
            </w:r>
          </w:p>
        </w:tc>
        <w:tc>
          <w:tcPr>
            <w:tcW w:w="1493" w:type="dxa"/>
            <w:tcBorders>
              <w:top w:val="single" w:sz="12" w:space="0" w:color="auto"/>
              <w:bottom w:val="single" w:sz="4" w:space="0" w:color="auto"/>
            </w:tcBorders>
            <w:vAlign w:val="center"/>
          </w:tcPr>
          <w:p w14:paraId="3DA66927" w14:textId="77777777" w:rsidR="00632CAA" w:rsidRPr="00632CAA" w:rsidRDefault="00632CAA" w:rsidP="008D5A42">
            <w:pPr>
              <w:spacing w:after="0" w:line="240" w:lineRule="auto"/>
              <w:jc w:val="center"/>
              <w:rPr>
                <w:rFonts w:ascii="Times New Roman" w:eastAsia="Calibri" w:hAnsi="Times New Roman" w:cs="Times New Roman"/>
                <w:b/>
                <w:bCs/>
                <w:sz w:val="24"/>
                <w:szCs w:val="24"/>
                <w:lang w:val="ms-MY" w:eastAsia="ms-MY"/>
              </w:rPr>
            </w:pPr>
            <w:r w:rsidRPr="00632CAA">
              <w:rPr>
                <w:rFonts w:ascii="Times New Roman" w:eastAsia="Calibri" w:hAnsi="Times New Roman" w:cs="Times New Roman"/>
                <w:b/>
                <w:bCs/>
                <w:sz w:val="24"/>
                <w:szCs w:val="24"/>
                <w:lang w:val="ms-MY" w:eastAsia="ms-MY"/>
              </w:rPr>
              <w:t>Std. Dev.</w:t>
            </w:r>
          </w:p>
        </w:tc>
      </w:tr>
      <w:tr w:rsidR="00632CAA" w:rsidRPr="00632CAA" w14:paraId="024AE74A" w14:textId="77777777" w:rsidTr="00423B48">
        <w:trPr>
          <w:trHeight w:val="341"/>
        </w:trPr>
        <w:tc>
          <w:tcPr>
            <w:tcW w:w="2413" w:type="dxa"/>
            <w:tcBorders>
              <w:top w:val="nil"/>
            </w:tcBorders>
            <w:vAlign w:val="center"/>
          </w:tcPr>
          <w:p w14:paraId="516E5987" w14:textId="77777777" w:rsidR="00632CAA" w:rsidRPr="00632CAA" w:rsidRDefault="00632CAA" w:rsidP="008D5A42">
            <w:pPr>
              <w:spacing w:after="0" w:line="240" w:lineRule="auto"/>
              <w:rPr>
                <w:rFonts w:ascii="Times New Roman" w:eastAsia="Calibri" w:hAnsi="Times New Roman" w:cs="Times New Roman"/>
                <w:bCs/>
                <w:sz w:val="24"/>
                <w:szCs w:val="24"/>
                <w:lang w:val="ms-MY"/>
              </w:rPr>
            </w:pPr>
            <w:r w:rsidRPr="00632CAA">
              <w:rPr>
                <w:rFonts w:ascii="Times New Roman" w:eastAsia="Calibri" w:hAnsi="Times New Roman" w:cs="Times New Roman"/>
                <w:bCs/>
                <w:sz w:val="24"/>
                <w:szCs w:val="24"/>
                <w:lang w:val="ms-MY"/>
              </w:rPr>
              <w:t>Credit-to-GDP ratio</w:t>
            </w:r>
          </w:p>
        </w:tc>
        <w:tc>
          <w:tcPr>
            <w:tcW w:w="1511" w:type="dxa"/>
            <w:tcBorders>
              <w:top w:val="nil"/>
            </w:tcBorders>
            <w:vAlign w:val="center"/>
          </w:tcPr>
          <w:p w14:paraId="116D6D8F"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124.50</w:t>
            </w:r>
          </w:p>
        </w:tc>
        <w:tc>
          <w:tcPr>
            <w:tcW w:w="1779" w:type="dxa"/>
            <w:tcBorders>
              <w:top w:val="nil"/>
            </w:tcBorders>
            <w:vAlign w:val="center"/>
          </w:tcPr>
          <w:p w14:paraId="2E10AE70"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167.20</w:t>
            </w:r>
          </w:p>
        </w:tc>
        <w:tc>
          <w:tcPr>
            <w:tcW w:w="1726" w:type="dxa"/>
            <w:tcBorders>
              <w:top w:val="nil"/>
            </w:tcBorders>
            <w:vAlign w:val="center"/>
          </w:tcPr>
          <w:p w14:paraId="5100CDF6"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89.80</w:t>
            </w:r>
          </w:p>
        </w:tc>
        <w:tc>
          <w:tcPr>
            <w:tcW w:w="1493" w:type="dxa"/>
            <w:tcBorders>
              <w:top w:val="nil"/>
            </w:tcBorders>
            <w:vAlign w:val="center"/>
          </w:tcPr>
          <w:p w14:paraId="26EA36F4"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18.67</w:t>
            </w:r>
          </w:p>
        </w:tc>
      </w:tr>
      <w:tr w:rsidR="00632CAA" w:rsidRPr="00632CAA" w14:paraId="3F8D7615" w14:textId="77777777" w:rsidTr="00423B48">
        <w:trPr>
          <w:trHeight w:val="341"/>
        </w:trPr>
        <w:tc>
          <w:tcPr>
            <w:tcW w:w="2413" w:type="dxa"/>
            <w:tcBorders>
              <w:top w:val="nil"/>
            </w:tcBorders>
            <w:vAlign w:val="center"/>
          </w:tcPr>
          <w:p w14:paraId="0E97C1A6" w14:textId="77777777" w:rsidR="00632CAA" w:rsidRPr="00632CAA" w:rsidRDefault="00632CAA" w:rsidP="008D5A42">
            <w:pPr>
              <w:spacing w:after="0" w:line="240" w:lineRule="auto"/>
              <w:rPr>
                <w:rFonts w:ascii="Times New Roman" w:eastAsia="Calibri" w:hAnsi="Times New Roman" w:cs="Times New Roman"/>
                <w:sz w:val="24"/>
                <w:szCs w:val="24"/>
                <w:lang w:val="ms-MY" w:eastAsia="ms-MY"/>
              </w:rPr>
            </w:pPr>
            <w:r w:rsidRPr="00632CAA">
              <w:rPr>
                <w:rFonts w:ascii="Times New Roman" w:eastAsia="Calibri" w:hAnsi="Times New Roman" w:cs="Times New Roman"/>
                <w:bCs/>
                <w:sz w:val="24"/>
                <w:szCs w:val="24"/>
                <w:lang w:val="ms-MY"/>
              </w:rPr>
              <w:t>Credit/GDP gap</w:t>
            </w:r>
          </w:p>
        </w:tc>
        <w:tc>
          <w:tcPr>
            <w:tcW w:w="1511" w:type="dxa"/>
            <w:tcBorders>
              <w:top w:val="nil"/>
            </w:tcBorders>
            <w:vAlign w:val="center"/>
          </w:tcPr>
          <w:p w14:paraId="6EECC6E2"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87340B">
              <w:rPr>
                <w:rFonts w:ascii="Times New Roman" w:eastAsia="Calibri" w:hAnsi="Times New Roman" w:cs="Times New Roman"/>
                <w:sz w:val="24"/>
                <w:szCs w:val="24"/>
                <w:lang w:val="ms-MY" w:eastAsia="ms-MY"/>
              </w:rPr>
              <w:t>-5.91</w:t>
            </w:r>
          </w:p>
        </w:tc>
        <w:tc>
          <w:tcPr>
            <w:tcW w:w="1779" w:type="dxa"/>
            <w:tcBorders>
              <w:top w:val="nil"/>
            </w:tcBorders>
            <w:vAlign w:val="center"/>
          </w:tcPr>
          <w:p w14:paraId="0C96CB2F"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29.90</w:t>
            </w:r>
          </w:p>
        </w:tc>
        <w:tc>
          <w:tcPr>
            <w:tcW w:w="1726" w:type="dxa"/>
            <w:tcBorders>
              <w:top w:val="nil"/>
            </w:tcBorders>
            <w:vAlign w:val="center"/>
          </w:tcPr>
          <w:p w14:paraId="0FFD7FF3"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-32.60</w:t>
            </w:r>
          </w:p>
        </w:tc>
        <w:tc>
          <w:tcPr>
            <w:tcW w:w="1493" w:type="dxa"/>
            <w:tcBorders>
              <w:top w:val="nil"/>
            </w:tcBorders>
            <w:vAlign w:val="center"/>
          </w:tcPr>
          <w:p w14:paraId="0B2257C2"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15.62</w:t>
            </w:r>
          </w:p>
        </w:tc>
      </w:tr>
      <w:tr w:rsidR="00632CAA" w:rsidRPr="00632CAA" w14:paraId="230782A3" w14:textId="77777777" w:rsidTr="00423B48">
        <w:trPr>
          <w:trHeight w:val="324"/>
        </w:trPr>
        <w:tc>
          <w:tcPr>
            <w:tcW w:w="2413" w:type="dxa"/>
            <w:tcBorders>
              <w:top w:val="nil"/>
              <w:bottom w:val="nil"/>
            </w:tcBorders>
            <w:vAlign w:val="center"/>
          </w:tcPr>
          <w:p w14:paraId="30F7DDD8" w14:textId="2FC7B35D" w:rsidR="00632CAA" w:rsidRPr="00632CAA" w:rsidRDefault="00632CAA" w:rsidP="008D5A42">
            <w:pPr>
              <w:spacing w:after="0" w:line="240" w:lineRule="auto"/>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House</w:t>
            </w:r>
            <w:r w:rsidR="001A3096">
              <w:rPr>
                <w:rFonts w:ascii="Times New Roman" w:eastAsia="Calibri" w:hAnsi="Times New Roman" w:cs="Times New Roman"/>
                <w:sz w:val="24"/>
                <w:szCs w:val="24"/>
                <w:lang w:val="ms-MY" w:eastAsia="ms-MY"/>
              </w:rPr>
              <w:t xml:space="preserve"> p</w:t>
            </w:r>
            <w:r w:rsidRPr="00632CAA">
              <w:rPr>
                <w:rFonts w:ascii="Times New Roman" w:eastAsia="Calibri" w:hAnsi="Times New Roman" w:cs="Times New Roman"/>
                <w:sz w:val="24"/>
                <w:szCs w:val="24"/>
                <w:lang w:val="ms-MY" w:eastAsia="ms-MY"/>
              </w:rPr>
              <w:t xml:space="preserve">rice </w:t>
            </w:r>
            <w:r w:rsidR="001A3096">
              <w:rPr>
                <w:rFonts w:ascii="Times New Roman" w:eastAsia="Calibri" w:hAnsi="Times New Roman" w:cs="Times New Roman"/>
                <w:sz w:val="24"/>
                <w:szCs w:val="24"/>
                <w:lang w:val="ms-MY" w:eastAsia="ms-MY"/>
              </w:rPr>
              <w:t>i</w:t>
            </w:r>
            <w:r w:rsidRPr="00632CAA">
              <w:rPr>
                <w:rFonts w:ascii="Times New Roman" w:eastAsia="Calibri" w:hAnsi="Times New Roman" w:cs="Times New Roman"/>
                <w:sz w:val="24"/>
                <w:szCs w:val="24"/>
                <w:lang w:val="ms-MY" w:eastAsia="ms-MY"/>
              </w:rPr>
              <w:t>ndex (1995=100)</w:t>
            </w:r>
          </w:p>
        </w:tc>
        <w:tc>
          <w:tcPr>
            <w:tcW w:w="1511" w:type="dxa"/>
            <w:tcBorders>
              <w:top w:val="nil"/>
              <w:bottom w:val="nil"/>
            </w:tcBorders>
            <w:vAlign w:val="center"/>
          </w:tcPr>
          <w:p w14:paraId="3006759F"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126.34</w:t>
            </w:r>
          </w:p>
        </w:tc>
        <w:tc>
          <w:tcPr>
            <w:tcW w:w="1779" w:type="dxa"/>
            <w:tcBorders>
              <w:top w:val="nil"/>
              <w:bottom w:val="nil"/>
            </w:tcBorders>
            <w:vAlign w:val="center"/>
          </w:tcPr>
          <w:p w14:paraId="02DB198D"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262.76</w:t>
            </w:r>
          </w:p>
        </w:tc>
        <w:tc>
          <w:tcPr>
            <w:tcW w:w="1726" w:type="dxa"/>
            <w:tcBorders>
              <w:top w:val="nil"/>
              <w:bottom w:val="nil"/>
            </w:tcBorders>
            <w:vAlign w:val="center"/>
          </w:tcPr>
          <w:p w14:paraId="2A6FDFF6"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47.72</w:t>
            </w:r>
          </w:p>
        </w:tc>
        <w:tc>
          <w:tcPr>
            <w:tcW w:w="1493" w:type="dxa"/>
            <w:tcBorders>
              <w:top w:val="nil"/>
              <w:bottom w:val="nil"/>
            </w:tcBorders>
            <w:vAlign w:val="center"/>
          </w:tcPr>
          <w:p w14:paraId="20EF9A84"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Times New Roman" w:hAnsi="Times New Roman" w:cs="Times New Roman"/>
                <w:sz w:val="24"/>
                <w:szCs w:val="24"/>
                <w:lang w:val="ms-MY"/>
              </w:rPr>
              <w:t>54.05</w:t>
            </w:r>
          </w:p>
        </w:tc>
      </w:tr>
      <w:tr w:rsidR="00632CAA" w:rsidRPr="00632CAA" w14:paraId="328C83B3" w14:textId="77777777" w:rsidTr="00423B48">
        <w:trPr>
          <w:trHeight w:val="324"/>
        </w:trPr>
        <w:tc>
          <w:tcPr>
            <w:tcW w:w="2413" w:type="dxa"/>
            <w:tcBorders>
              <w:top w:val="nil"/>
              <w:bottom w:val="single" w:sz="4" w:space="0" w:color="auto"/>
            </w:tcBorders>
            <w:vAlign w:val="center"/>
          </w:tcPr>
          <w:p w14:paraId="722B6208" w14:textId="69B1A972" w:rsidR="00632CAA" w:rsidRPr="00632CAA" w:rsidRDefault="00632CAA" w:rsidP="008D5A42">
            <w:pPr>
              <w:spacing w:after="0" w:line="240" w:lineRule="auto"/>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 xml:space="preserve">House </w:t>
            </w:r>
            <w:r w:rsidR="001A3096">
              <w:rPr>
                <w:rFonts w:ascii="Times New Roman" w:eastAsia="Calibri" w:hAnsi="Times New Roman" w:cs="Times New Roman"/>
                <w:sz w:val="24"/>
                <w:szCs w:val="24"/>
                <w:lang w:val="ms-MY" w:eastAsia="ms-MY"/>
              </w:rPr>
              <w:t>p</w:t>
            </w:r>
            <w:r w:rsidRPr="00632CAA">
              <w:rPr>
                <w:rFonts w:ascii="Times New Roman" w:eastAsia="Calibri" w:hAnsi="Times New Roman" w:cs="Times New Roman"/>
                <w:sz w:val="24"/>
                <w:szCs w:val="24"/>
                <w:lang w:val="ms-MY" w:eastAsia="ms-MY"/>
              </w:rPr>
              <w:t xml:space="preserve">rice </w:t>
            </w:r>
            <w:r w:rsidR="001A3096">
              <w:rPr>
                <w:rFonts w:ascii="Times New Roman" w:eastAsia="Calibri" w:hAnsi="Times New Roman" w:cs="Times New Roman"/>
                <w:sz w:val="24"/>
                <w:szCs w:val="24"/>
                <w:lang w:val="ms-MY" w:eastAsia="ms-MY"/>
              </w:rPr>
              <w:t>i</w:t>
            </w:r>
            <w:r w:rsidRPr="00632CAA">
              <w:rPr>
                <w:rFonts w:ascii="Times New Roman" w:eastAsia="Calibri" w:hAnsi="Times New Roman" w:cs="Times New Roman"/>
                <w:sz w:val="24"/>
                <w:szCs w:val="24"/>
                <w:lang w:val="ms-MY" w:eastAsia="ms-MY"/>
              </w:rPr>
              <w:t>ndex gaps</w:t>
            </w:r>
          </w:p>
        </w:tc>
        <w:tc>
          <w:tcPr>
            <w:tcW w:w="1511" w:type="dxa"/>
            <w:tcBorders>
              <w:top w:val="nil"/>
              <w:bottom w:val="single" w:sz="4" w:space="0" w:color="auto"/>
            </w:tcBorders>
            <w:vAlign w:val="center"/>
          </w:tcPr>
          <w:p w14:paraId="055CBD4D" w14:textId="77777777" w:rsidR="00632CAA" w:rsidRPr="0087340B" w:rsidRDefault="0087340B" w:rsidP="0087340B">
            <w:pPr>
              <w:spacing w:after="0" w:line="240" w:lineRule="auto"/>
              <w:jc w:val="center"/>
              <w:rPr>
                <w:rFonts w:ascii="Times New Roman" w:eastAsia="Calibri" w:hAnsi="Times New Roman" w:cs="Times New Roman"/>
                <w:sz w:val="24"/>
                <w:szCs w:val="24"/>
                <w:lang w:val="ms-MY" w:eastAsia="ms-MY"/>
              </w:rPr>
            </w:pPr>
            <w:r w:rsidRPr="0087340B">
              <w:rPr>
                <w:rFonts w:asciiTheme="majorBidi" w:hAnsiTheme="majorBidi" w:cstheme="majorBidi"/>
                <w:color w:val="0070C0"/>
              </w:rPr>
              <w:t>-3.59</w:t>
            </w:r>
            <w:r w:rsidRPr="0087340B">
              <w:rPr>
                <w:rFonts w:asciiTheme="majorBidi" w:hAnsiTheme="majorBidi" w:cstheme="majorBidi"/>
                <w:color w:val="0070C0"/>
                <w:vertAlign w:val="superscript"/>
              </w:rPr>
              <w:t>a</w:t>
            </w:r>
          </w:p>
        </w:tc>
        <w:tc>
          <w:tcPr>
            <w:tcW w:w="1779" w:type="dxa"/>
            <w:tcBorders>
              <w:top w:val="nil"/>
              <w:bottom w:val="single" w:sz="4" w:space="0" w:color="auto"/>
            </w:tcBorders>
            <w:vAlign w:val="center"/>
          </w:tcPr>
          <w:p w14:paraId="51D6F821"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38.15</w:t>
            </w:r>
          </w:p>
        </w:tc>
        <w:tc>
          <w:tcPr>
            <w:tcW w:w="1726" w:type="dxa"/>
            <w:tcBorders>
              <w:top w:val="nil"/>
              <w:bottom w:val="single" w:sz="4" w:space="0" w:color="auto"/>
            </w:tcBorders>
            <w:vAlign w:val="center"/>
          </w:tcPr>
          <w:p w14:paraId="3EF9FCEE" w14:textId="77777777" w:rsidR="00632CAA" w:rsidRPr="00632CAA" w:rsidRDefault="00632CAA" w:rsidP="008D5A42">
            <w:pPr>
              <w:spacing w:after="0" w:line="240" w:lineRule="auto"/>
              <w:jc w:val="center"/>
              <w:rPr>
                <w:rFonts w:ascii="Times New Roman" w:eastAsia="Calibri" w:hAnsi="Times New Roman" w:cs="Times New Roman"/>
                <w:sz w:val="24"/>
                <w:szCs w:val="24"/>
                <w:lang w:val="ms-MY" w:eastAsia="ms-MY"/>
              </w:rPr>
            </w:pPr>
            <w:r w:rsidRPr="00632CAA">
              <w:rPr>
                <w:rFonts w:ascii="Times New Roman" w:eastAsia="Calibri" w:hAnsi="Times New Roman" w:cs="Times New Roman"/>
                <w:sz w:val="24"/>
                <w:szCs w:val="24"/>
                <w:lang w:val="ms-MY" w:eastAsia="ms-MY"/>
              </w:rPr>
              <w:t>-23.42</w:t>
            </w:r>
          </w:p>
        </w:tc>
        <w:tc>
          <w:tcPr>
            <w:tcW w:w="1493" w:type="dxa"/>
            <w:tcBorders>
              <w:top w:val="nil"/>
              <w:bottom w:val="single" w:sz="4" w:space="0" w:color="auto"/>
            </w:tcBorders>
            <w:vAlign w:val="center"/>
          </w:tcPr>
          <w:p w14:paraId="1769025E" w14:textId="77777777" w:rsidR="00632CAA" w:rsidRPr="00632CAA" w:rsidRDefault="00632CAA" w:rsidP="008D5A42">
            <w:pPr>
              <w:spacing w:after="0" w:line="240" w:lineRule="auto"/>
              <w:jc w:val="center"/>
              <w:rPr>
                <w:rFonts w:ascii="Times New Roman" w:eastAsia="Times New Roman" w:hAnsi="Times New Roman" w:cs="Times New Roman"/>
                <w:sz w:val="24"/>
                <w:szCs w:val="24"/>
                <w:lang w:val="ms-MY"/>
              </w:rPr>
            </w:pPr>
            <w:r w:rsidRPr="00632CAA">
              <w:rPr>
                <w:rFonts w:ascii="Times New Roman" w:eastAsia="Calibri" w:hAnsi="Times New Roman" w:cs="Times New Roman"/>
                <w:sz w:val="24"/>
                <w:szCs w:val="24"/>
                <w:lang w:val="ms-MY" w:eastAsia="ms-MY"/>
              </w:rPr>
              <w:t>14.80</w:t>
            </w:r>
          </w:p>
        </w:tc>
      </w:tr>
    </w:tbl>
    <w:p w14:paraId="53A542AB" w14:textId="5FBE7718" w:rsidR="0087340B" w:rsidRPr="0087340B" w:rsidRDefault="0087340B" w:rsidP="00632CAA">
      <w:pPr>
        <w:spacing w:after="0" w:line="240" w:lineRule="auto"/>
        <w:jc w:val="both"/>
        <w:rPr>
          <w:rFonts w:ascii="Times New Roman" w:eastAsia="Calibri" w:hAnsi="Times New Roman" w:cs="Times New Roman"/>
          <w:bCs/>
          <w:color w:val="0070C0"/>
          <w:lang w:val="ms-MY"/>
        </w:rPr>
      </w:pPr>
      <w:r w:rsidRPr="0087340B">
        <w:rPr>
          <w:rFonts w:ascii="Times New Roman" w:eastAsia="Calibri" w:hAnsi="Times New Roman" w:cs="Times New Roman"/>
          <w:bCs/>
          <w:color w:val="0070C0"/>
          <w:lang w:val="ms-MY"/>
        </w:rPr>
        <w:t xml:space="preserve">Note: </w:t>
      </w:r>
      <w:r w:rsidRPr="0087340B">
        <w:rPr>
          <w:rFonts w:ascii="Times New Roman" w:eastAsia="Calibri" w:hAnsi="Times New Roman" w:cs="Times New Roman"/>
          <w:bCs/>
          <w:color w:val="0070C0"/>
          <w:vertAlign w:val="superscript"/>
          <w:lang w:val="ms-MY"/>
        </w:rPr>
        <w:t xml:space="preserve">a </w:t>
      </w:r>
      <w:r w:rsidR="001A3096">
        <w:rPr>
          <w:rFonts w:ascii="Times New Roman" w:eastAsia="Calibri" w:hAnsi="Times New Roman" w:cs="Times New Roman"/>
          <w:bCs/>
          <w:color w:val="0070C0"/>
          <w:lang w:val="ms-MY"/>
        </w:rPr>
        <w:t>R</w:t>
      </w:r>
      <w:r w:rsidRPr="0087340B">
        <w:rPr>
          <w:rFonts w:ascii="Times New Roman" w:eastAsia="Calibri" w:hAnsi="Times New Roman" w:cs="Times New Roman"/>
          <w:bCs/>
          <w:color w:val="0070C0"/>
          <w:lang w:val="ms-MY"/>
        </w:rPr>
        <w:t>efer to -3.59 x 10</w:t>
      </w:r>
      <w:r w:rsidRPr="0087340B">
        <w:rPr>
          <w:rFonts w:ascii="Times New Roman" w:eastAsia="Calibri" w:hAnsi="Times New Roman" w:cs="Times New Roman"/>
          <w:bCs/>
          <w:color w:val="0070C0"/>
          <w:vertAlign w:val="superscript"/>
          <w:lang w:val="ms-MY"/>
        </w:rPr>
        <w:t>-10</w:t>
      </w:r>
    </w:p>
    <w:p w14:paraId="05FB6F65" w14:textId="77777777" w:rsidR="0087340B" w:rsidRDefault="0087340B" w:rsidP="00632CAA">
      <w:pPr>
        <w:spacing w:after="0" w:line="240" w:lineRule="auto"/>
        <w:jc w:val="both"/>
        <w:rPr>
          <w:rFonts w:ascii="Times New Roman" w:eastAsia="Calibri" w:hAnsi="Times New Roman" w:cs="Times New Roman"/>
          <w:bCs/>
          <w:sz w:val="24"/>
          <w:szCs w:val="24"/>
          <w:lang w:val="ms-MY"/>
        </w:rPr>
      </w:pPr>
    </w:p>
    <w:p w14:paraId="19ED1DEE" w14:textId="75DE0810" w:rsidR="00632CAA" w:rsidRPr="00632CAA" w:rsidRDefault="00632CAA" w:rsidP="00632CAA">
      <w:pPr>
        <w:spacing w:after="0" w:line="240" w:lineRule="auto"/>
        <w:jc w:val="both"/>
        <w:rPr>
          <w:rFonts w:ascii="Times New Roman" w:eastAsia="Calibri" w:hAnsi="Times New Roman" w:cs="Times New Roman"/>
          <w:bCs/>
          <w:sz w:val="24"/>
          <w:szCs w:val="24"/>
          <w:lang w:val="ms-MY"/>
        </w:rPr>
      </w:pPr>
      <w:r w:rsidRPr="00632CAA">
        <w:rPr>
          <w:rFonts w:ascii="Times New Roman" w:eastAsia="Calibri" w:hAnsi="Times New Roman" w:cs="Times New Roman"/>
          <w:bCs/>
          <w:sz w:val="24"/>
          <w:szCs w:val="24"/>
          <w:lang w:val="ms-MY"/>
        </w:rPr>
        <w:t xml:space="preserve">Figure 1 plots the credit growth and the housing growth. The shaded area denotes the credit boom and housing boom periods, according to the definitions in  Eq.3 </w:t>
      </w:r>
      <w:r w:rsidR="001A3096">
        <w:rPr>
          <w:rFonts w:ascii="Times New Roman" w:eastAsia="Calibri" w:hAnsi="Times New Roman" w:cs="Times New Roman"/>
          <w:bCs/>
          <w:sz w:val="24"/>
          <w:szCs w:val="24"/>
          <w:lang w:val="ms-MY"/>
        </w:rPr>
        <w:t>through</w:t>
      </w:r>
      <w:r w:rsidR="001A3096" w:rsidRPr="00632CAA">
        <w:rPr>
          <w:rFonts w:ascii="Times New Roman" w:eastAsia="Calibri" w:hAnsi="Times New Roman" w:cs="Times New Roman"/>
          <w:bCs/>
          <w:sz w:val="24"/>
          <w:szCs w:val="24"/>
          <w:lang w:val="ms-MY"/>
        </w:rPr>
        <w:t xml:space="preserve"> </w:t>
      </w:r>
      <w:r w:rsidRPr="00632CAA">
        <w:rPr>
          <w:rFonts w:ascii="Times New Roman" w:eastAsia="Calibri" w:hAnsi="Times New Roman" w:cs="Times New Roman"/>
          <w:bCs/>
          <w:sz w:val="24"/>
          <w:szCs w:val="24"/>
          <w:lang w:val="ms-MY"/>
        </w:rPr>
        <w:t>Eq.6. Panel A plots the credit boom from when the credit growth reached its peak in 1995Q4.</w:t>
      </w:r>
      <w:r w:rsidRPr="00632CAA">
        <w:rPr>
          <w:rFonts w:ascii="Times New Roman" w:eastAsia="Calibri" w:hAnsi="Times New Roman" w:cs="Times New Roman"/>
          <w:bCs/>
          <w:sz w:val="24"/>
          <w:szCs w:val="24"/>
          <w:vertAlign w:val="superscript"/>
          <w:lang w:val="ms-MY"/>
        </w:rPr>
        <w:footnoteReference w:id="4"/>
      </w:r>
      <w:r w:rsidRPr="00632CAA">
        <w:rPr>
          <w:rFonts w:ascii="Times New Roman" w:eastAsia="Calibri" w:hAnsi="Times New Roman" w:cs="Times New Roman"/>
          <w:bCs/>
          <w:sz w:val="24"/>
          <w:szCs w:val="24"/>
          <w:lang w:val="ms-MY"/>
        </w:rPr>
        <w:t xml:space="preserve"> Credit Boom 1 (deviation of its cycle) is identified at one quarter after the credit growth peak. Credit Boom 2 (deviation from its trend) is identified simultaneously with the credit peak position.</w:t>
      </w:r>
      <w:r w:rsidRPr="00632CAA">
        <w:rPr>
          <w:rFonts w:ascii="Times New Roman" w:eastAsia="Calibri" w:hAnsi="Times New Roman" w:cs="Times New Roman"/>
          <w:bCs/>
          <w:sz w:val="24"/>
          <w:szCs w:val="24"/>
          <w:vertAlign w:val="superscript"/>
          <w:lang w:val="ms-MY"/>
        </w:rPr>
        <w:footnoteReference w:id="5"/>
      </w:r>
      <w:r w:rsidRPr="00632CAA">
        <w:rPr>
          <w:rFonts w:ascii="Times New Roman" w:eastAsia="Calibri" w:hAnsi="Times New Roman" w:cs="Times New Roman"/>
          <w:bCs/>
          <w:sz w:val="24"/>
          <w:szCs w:val="24"/>
          <w:lang w:val="ms-MY"/>
        </w:rPr>
        <w:t xml:space="preserve"> The time periods of 1990Q4 to 1992Q1 and 2013Q2 to 2016Q4 are also identified as Credit Boom 2. Intuitively, the credit-to-GDP gap, exceeding two percentage points, highlights the need for banks to start building a capital buffer to shelter future credit losses between 0</w:t>
      </w:r>
      <w:r w:rsidR="001A3096">
        <w:rPr>
          <w:rFonts w:ascii="Times New Roman" w:eastAsia="Calibri" w:hAnsi="Times New Roman" w:cs="Times New Roman"/>
          <w:bCs/>
          <w:sz w:val="24"/>
          <w:szCs w:val="24"/>
          <w:lang w:val="ms-MY"/>
        </w:rPr>
        <w:t xml:space="preserve"> percent and </w:t>
      </w:r>
      <w:r w:rsidRPr="00632CAA">
        <w:rPr>
          <w:rFonts w:ascii="Times New Roman" w:eastAsia="Calibri" w:hAnsi="Times New Roman" w:cs="Times New Roman"/>
          <w:bCs/>
          <w:sz w:val="24"/>
          <w:szCs w:val="24"/>
          <w:lang w:val="ms-MY"/>
        </w:rPr>
        <w:t>2.5 percent of the risk-weighted assets (RWA</w:t>
      </w:r>
      <w:r w:rsidR="001A3096">
        <w:rPr>
          <w:rFonts w:ascii="Times New Roman" w:eastAsia="Calibri" w:hAnsi="Times New Roman" w:cs="Times New Roman"/>
          <w:bCs/>
          <w:sz w:val="24"/>
          <w:szCs w:val="24"/>
          <w:lang w:val="ms-MY"/>
        </w:rPr>
        <w:t>s</w:t>
      </w:r>
      <w:r w:rsidRPr="00632CAA">
        <w:rPr>
          <w:rFonts w:ascii="Times New Roman" w:eastAsia="Calibri" w:hAnsi="Times New Roman" w:cs="Times New Roman"/>
          <w:bCs/>
          <w:sz w:val="24"/>
          <w:szCs w:val="24"/>
          <w:lang w:val="ms-MY"/>
        </w:rPr>
        <w:t xml:space="preserve">). </w:t>
      </w:r>
    </w:p>
    <w:p w14:paraId="38A1FBB1" w14:textId="77777777" w:rsidR="00632CAA" w:rsidRPr="00632CAA" w:rsidRDefault="00632CAA" w:rsidP="00632CAA">
      <w:pPr>
        <w:spacing w:after="0" w:line="240" w:lineRule="auto"/>
        <w:jc w:val="both"/>
        <w:rPr>
          <w:rFonts w:ascii="Times New Roman" w:eastAsia="Calibri" w:hAnsi="Times New Roman" w:cs="Times New Roman"/>
          <w:bCs/>
          <w:sz w:val="24"/>
          <w:szCs w:val="24"/>
          <w:lang w:val="ms-MY"/>
        </w:rPr>
      </w:pPr>
    </w:p>
    <w:p w14:paraId="39419309" w14:textId="2CCBD8AA"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Calibri" w:hAnsi="Times New Roman" w:cs="Times New Roman"/>
          <w:bCs/>
          <w:sz w:val="24"/>
          <w:szCs w:val="24"/>
          <w:lang w:val="ms-MY"/>
        </w:rPr>
        <w:t xml:space="preserve">Panel B shows that house price growth and </w:t>
      </w:r>
      <w:r w:rsidR="001A3096">
        <w:rPr>
          <w:rFonts w:ascii="Times New Roman" w:eastAsia="Calibri" w:hAnsi="Times New Roman" w:cs="Times New Roman"/>
          <w:bCs/>
          <w:sz w:val="24"/>
          <w:szCs w:val="24"/>
          <w:lang w:val="ms-MY"/>
        </w:rPr>
        <w:t xml:space="preserve">the </w:t>
      </w:r>
      <w:r w:rsidRPr="00632CAA">
        <w:rPr>
          <w:rFonts w:ascii="Times New Roman" w:eastAsia="Calibri" w:hAnsi="Times New Roman" w:cs="Times New Roman"/>
          <w:bCs/>
          <w:sz w:val="24"/>
          <w:szCs w:val="24"/>
          <w:lang w:val="ms-MY"/>
        </w:rPr>
        <w:t xml:space="preserve">housing boom do not vary significantly across </w:t>
      </w:r>
      <w:r w:rsidRPr="00423B48">
        <w:rPr>
          <w:rFonts w:ascii="Times New Roman" w:eastAsia="Calibri" w:hAnsi="Times New Roman" w:cs="Times New Roman"/>
          <w:bCs/>
          <w:sz w:val="24"/>
          <w:szCs w:val="24"/>
          <w:lang w:val="ms-MY"/>
        </w:rPr>
        <w:t>definition</w:t>
      </w:r>
      <w:r w:rsidR="00423B48" w:rsidRPr="00596012">
        <w:rPr>
          <w:rFonts w:ascii="Times New Roman" w:eastAsia="Calibri" w:hAnsi="Times New Roman" w:cs="Times New Roman"/>
          <w:bCs/>
          <w:sz w:val="24"/>
          <w:szCs w:val="24"/>
          <w:lang w:val="ms-MY"/>
        </w:rPr>
        <w:t>s</w:t>
      </w:r>
      <w:r w:rsidRPr="00423B48">
        <w:rPr>
          <w:rFonts w:ascii="Times New Roman" w:eastAsia="Calibri" w:hAnsi="Times New Roman" w:cs="Times New Roman"/>
          <w:bCs/>
          <w:sz w:val="24"/>
          <w:szCs w:val="24"/>
          <w:lang w:val="ms-MY"/>
        </w:rPr>
        <w:t>.</w:t>
      </w:r>
      <w:r w:rsidRPr="00632CAA">
        <w:rPr>
          <w:rFonts w:ascii="Times New Roman" w:eastAsia="Calibri" w:hAnsi="Times New Roman" w:cs="Times New Roman"/>
          <w:bCs/>
          <w:sz w:val="24"/>
          <w:szCs w:val="24"/>
          <w:lang w:val="ms-MY"/>
        </w:rPr>
        <w:t xml:space="preserve"> This is the case when the growth in price reaches its peak during Housing Boom 2: 1991Q3 to 1994Q1</w:t>
      </w:r>
      <w:r w:rsidR="001A3096">
        <w:rPr>
          <w:rFonts w:ascii="Times New Roman" w:eastAsia="Calibri" w:hAnsi="Times New Roman" w:cs="Times New Roman"/>
          <w:bCs/>
          <w:sz w:val="24"/>
          <w:szCs w:val="24"/>
          <w:lang w:val="ms-MY"/>
        </w:rPr>
        <w:t>,</w:t>
      </w:r>
      <w:r w:rsidRPr="00632CAA">
        <w:rPr>
          <w:rFonts w:ascii="Times New Roman" w:eastAsia="Calibri" w:hAnsi="Times New Roman" w:cs="Times New Roman"/>
          <w:bCs/>
          <w:sz w:val="24"/>
          <w:szCs w:val="24"/>
          <w:lang w:val="ms-MY"/>
        </w:rPr>
        <w:t xml:space="preserve"> 1994Q3 to 1998Q2</w:t>
      </w:r>
      <w:r w:rsidR="001A3096">
        <w:rPr>
          <w:rFonts w:ascii="Times New Roman" w:eastAsia="Calibri" w:hAnsi="Times New Roman" w:cs="Times New Roman"/>
          <w:bCs/>
          <w:sz w:val="24"/>
          <w:szCs w:val="24"/>
          <w:lang w:val="ms-MY"/>
        </w:rPr>
        <w:t>,</w:t>
      </w:r>
      <w:r w:rsidRPr="00632CAA">
        <w:rPr>
          <w:rFonts w:ascii="Times New Roman" w:eastAsia="Calibri" w:hAnsi="Times New Roman" w:cs="Times New Roman"/>
          <w:bCs/>
          <w:sz w:val="24"/>
          <w:szCs w:val="24"/>
          <w:lang w:val="ms-MY"/>
        </w:rPr>
        <w:t xml:space="preserve"> and 2013Q1 to 2016Q4. Both definitions illustrate that the Malaysian economy is experiencing a housing boom. While close monitoring of monetary policy </w:t>
      </w:r>
      <w:r w:rsidR="00423B48">
        <w:rPr>
          <w:rFonts w:ascii="Times New Roman" w:eastAsia="Calibri" w:hAnsi="Times New Roman" w:cs="Times New Roman"/>
          <w:bCs/>
          <w:sz w:val="24"/>
          <w:szCs w:val="24"/>
          <w:lang w:val="ms-MY"/>
        </w:rPr>
        <w:t>may</w:t>
      </w:r>
      <w:r w:rsidR="00423B48" w:rsidRPr="00632CAA">
        <w:rPr>
          <w:rFonts w:ascii="Times New Roman" w:eastAsia="Calibri" w:hAnsi="Times New Roman" w:cs="Times New Roman"/>
          <w:bCs/>
          <w:sz w:val="24"/>
          <w:szCs w:val="24"/>
          <w:lang w:val="ms-MY"/>
        </w:rPr>
        <w:t xml:space="preserve"> </w:t>
      </w:r>
      <w:r w:rsidRPr="00632CAA">
        <w:rPr>
          <w:rFonts w:ascii="Times New Roman" w:eastAsia="Calibri" w:hAnsi="Times New Roman" w:cs="Times New Roman"/>
          <w:bCs/>
          <w:sz w:val="24"/>
          <w:szCs w:val="24"/>
          <w:lang w:val="ms-MY"/>
        </w:rPr>
        <w:t xml:space="preserve">help </w:t>
      </w:r>
      <w:r w:rsidR="00423B48">
        <w:rPr>
          <w:rFonts w:ascii="Times New Roman" w:eastAsia="Calibri" w:hAnsi="Times New Roman" w:cs="Times New Roman"/>
          <w:bCs/>
          <w:sz w:val="24"/>
          <w:szCs w:val="24"/>
          <w:lang w:val="ms-MY"/>
        </w:rPr>
        <w:t>in</w:t>
      </w:r>
      <w:r w:rsidR="00423B48" w:rsidRPr="00632CAA">
        <w:rPr>
          <w:rFonts w:ascii="Times New Roman" w:eastAsia="Calibri" w:hAnsi="Times New Roman" w:cs="Times New Roman"/>
          <w:bCs/>
          <w:sz w:val="24"/>
          <w:szCs w:val="24"/>
          <w:lang w:val="ms-MY"/>
        </w:rPr>
        <w:t xml:space="preserve"> </w:t>
      </w:r>
      <w:r w:rsidRPr="00632CAA">
        <w:rPr>
          <w:rFonts w:ascii="Times New Roman" w:eastAsia="Calibri" w:hAnsi="Times New Roman" w:cs="Times New Roman"/>
          <w:bCs/>
          <w:sz w:val="24"/>
          <w:szCs w:val="24"/>
          <w:lang w:val="ms-MY"/>
        </w:rPr>
        <w:t>curb</w:t>
      </w:r>
      <w:r w:rsidR="00423B48">
        <w:rPr>
          <w:rFonts w:ascii="Times New Roman" w:eastAsia="Calibri" w:hAnsi="Times New Roman" w:cs="Times New Roman"/>
          <w:bCs/>
          <w:sz w:val="24"/>
          <w:szCs w:val="24"/>
          <w:lang w:val="ms-MY"/>
        </w:rPr>
        <w:t>ing</w:t>
      </w:r>
      <w:r w:rsidRPr="00632CAA">
        <w:rPr>
          <w:rFonts w:ascii="Times New Roman" w:eastAsia="Calibri" w:hAnsi="Times New Roman" w:cs="Times New Roman"/>
          <w:bCs/>
          <w:sz w:val="24"/>
          <w:szCs w:val="24"/>
          <w:lang w:val="ms-MY"/>
        </w:rPr>
        <w:t xml:space="preserve"> the risk, it is important to note that not every bubble ends in a recession.</w:t>
      </w:r>
    </w:p>
    <w:p w14:paraId="23B2A307" w14:textId="77777777" w:rsidR="00632CAA" w:rsidRPr="00632CAA" w:rsidRDefault="00632CAA" w:rsidP="00632CAA">
      <w:pPr>
        <w:spacing w:after="0" w:line="240" w:lineRule="auto"/>
        <w:jc w:val="both"/>
        <w:rPr>
          <w:rFonts w:ascii="Times New Roman" w:eastAsia="Calibri" w:hAnsi="Times New Roman" w:cs="Times New Roman"/>
          <w:bCs/>
          <w:sz w:val="24"/>
          <w:szCs w:val="24"/>
          <w:lang w:val="ms-MY"/>
        </w:rPr>
      </w:pPr>
    </w:p>
    <w:p w14:paraId="17250675" w14:textId="07B30D72" w:rsidR="00632CAA" w:rsidRPr="00632CAA" w:rsidRDefault="00632CAA" w:rsidP="00632CAA">
      <w:pPr>
        <w:spacing w:after="0" w:line="240" w:lineRule="auto"/>
        <w:jc w:val="both"/>
        <w:rPr>
          <w:rFonts w:ascii="Times New Roman" w:eastAsia="Times New Roman" w:hAnsi="Times New Roman" w:cs="Times New Roman"/>
          <w:bCs/>
          <w:sz w:val="24"/>
          <w:szCs w:val="24"/>
          <w:lang w:val="ms-MY"/>
        </w:rPr>
      </w:pPr>
      <w:r w:rsidRPr="00632CAA">
        <w:rPr>
          <w:rFonts w:ascii="Times New Roman" w:eastAsia="Times New Roman" w:hAnsi="Times New Roman" w:cs="Times New Roman"/>
          <w:sz w:val="24"/>
          <w:szCs w:val="24"/>
          <w:lang w:val="ms-MY"/>
        </w:rPr>
        <w:t xml:space="preserve">The credit boom </w:t>
      </w:r>
      <w:r w:rsidR="00423B48">
        <w:rPr>
          <w:rFonts w:ascii="Times New Roman" w:eastAsia="Times New Roman" w:hAnsi="Times New Roman" w:cs="Times New Roman"/>
          <w:sz w:val="24"/>
          <w:szCs w:val="24"/>
          <w:lang w:val="ms-MY"/>
        </w:rPr>
        <w:t>might</w:t>
      </w:r>
      <w:r w:rsidRPr="00632CAA">
        <w:rPr>
          <w:rFonts w:ascii="Times New Roman" w:eastAsia="Times New Roman" w:hAnsi="Times New Roman" w:cs="Times New Roman"/>
          <w:sz w:val="24"/>
          <w:szCs w:val="24"/>
          <w:lang w:val="ms-MY"/>
        </w:rPr>
        <w:t xml:space="preserve"> affect the economy by spreading into the housing market and creating a speculative bubble. We identif</w:t>
      </w:r>
      <w:r w:rsidR="004D2061">
        <w:rPr>
          <w:rFonts w:ascii="Times New Roman" w:eastAsia="Times New Roman" w:hAnsi="Times New Roman" w:cs="Times New Roman"/>
          <w:sz w:val="24"/>
          <w:szCs w:val="24"/>
          <w:lang w:val="ms-MY"/>
        </w:rPr>
        <w:t>y</w:t>
      </w:r>
      <w:r w:rsidRPr="00632CAA">
        <w:rPr>
          <w:rFonts w:ascii="Times New Roman" w:eastAsia="Times New Roman" w:hAnsi="Times New Roman" w:cs="Times New Roman"/>
          <w:sz w:val="24"/>
          <w:szCs w:val="24"/>
          <w:lang w:val="ms-MY"/>
        </w:rPr>
        <w:t xml:space="preserve"> a series of “twin-booms” for both definitions, which is when the credit and housing booms take place simultaneously. The first twin-boom point </w:t>
      </w:r>
      <w:r w:rsidR="00423B48">
        <w:rPr>
          <w:rFonts w:ascii="Times New Roman" w:eastAsia="Times New Roman" w:hAnsi="Times New Roman" w:cs="Times New Roman"/>
          <w:sz w:val="24"/>
          <w:szCs w:val="24"/>
          <w:lang w:val="ms-MY"/>
        </w:rPr>
        <w:t>can</w:t>
      </w:r>
      <w:r w:rsidR="00423B48"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 xml:space="preserve">be associated with the Asian 1997 financial crisis that heavily affected the Malaysian economy. The results also indicate that another twin-boom started in 2013Q2 and continued through 2016Q4. </w:t>
      </w:r>
      <w:r w:rsidR="00423B48">
        <w:rPr>
          <w:rFonts w:ascii="Times New Roman" w:eastAsia="Times New Roman" w:hAnsi="Times New Roman" w:cs="Times New Roman"/>
          <w:sz w:val="24"/>
          <w:szCs w:val="24"/>
          <w:lang w:val="ms-MY"/>
        </w:rPr>
        <w:t>These</w:t>
      </w:r>
      <w:r w:rsidR="00423B48"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data impl</w:t>
      </w:r>
      <w:r w:rsidR="00423B48">
        <w:rPr>
          <w:rFonts w:ascii="Times New Roman" w:eastAsia="Times New Roman" w:hAnsi="Times New Roman" w:cs="Times New Roman"/>
          <w:sz w:val="24"/>
          <w:szCs w:val="24"/>
          <w:lang w:val="ms-MY"/>
        </w:rPr>
        <w:t xml:space="preserve">y </w:t>
      </w:r>
      <w:r w:rsidRPr="00632CAA">
        <w:rPr>
          <w:rFonts w:ascii="Times New Roman" w:eastAsia="Times New Roman" w:hAnsi="Times New Roman" w:cs="Times New Roman"/>
          <w:sz w:val="24"/>
          <w:szCs w:val="24"/>
          <w:lang w:val="ms-MY"/>
        </w:rPr>
        <w:t xml:space="preserve">a warning sign for the Malaysian economy. </w:t>
      </w:r>
    </w:p>
    <w:p w14:paraId="027571DA" w14:textId="77777777" w:rsidR="00632CAA" w:rsidRPr="00632CAA" w:rsidRDefault="00632CAA" w:rsidP="00632CAA">
      <w:pPr>
        <w:spacing w:after="0" w:line="240" w:lineRule="auto"/>
        <w:jc w:val="both"/>
        <w:rPr>
          <w:rFonts w:ascii="Times New Roman" w:eastAsia="Calibri" w:hAnsi="Times New Roman" w:cs="Times New Roman"/>
          <w:b/>
          <w:bCs/>
          <w:sz w:val="24"/>
          <w:szCs w:val="24"/>
          <w:lang w:val="ms-MY"/>
        </w:rPr>
        <w:sectPr w:rsidR="00632CAA" w:rsidRPr="00632CAA">
          <w:footerReference w:type="default" r:id="rId8"/>
          <w:pgSz w:w="12240" w:h="15840"/>
          <w:pgMar w:top="1440" w:right="1440" w:bottom="1440" w:left="1440" w:header="708" w:footer="708" w:gutter="0"/>
          <w:cols w:space="708"/>
          <w:docGrid w:linePitch="360"/>
        </w:sectPr>
      </w:pPr>
    </w:p>
    <w:p w14:paraId="6E9D6646" w14:textId="77777777" w:rsidR="00632CAA" w:rsidRPr="00632CAA" w:rsidRDefault="00632CAA" w:rsidP="00632CAA">
      <w:pPr>
        <w:spacing w:after="0" w:line="240" w:lineRule="auto"/>
        <w:jc w:val="both"/>
        <w:rPr>
          <w:rFonts w:ascii="Times New Roman" w:eastAsia="Calibri" w:hAnsi="Times New Roman" w:cs="Times New Roman"/>
          <w:b/>
          <w:bCs/>
          <w:sz w:val="24"/>
          <w:szCs w:val="24"/>
          <w:lang w:val="ms-MY"/>
        </w:rPr>
      </w:pPr>
      <w:r w:rsidRPr="00632CAA">
        <w:rPr>
          <w:rFonts w:ascii="Times New Roman" w:eastAsia="Calibri" w:hAnsi="Times New Roman" w:cs="Times New Roman"/>
          <w:b/>
          <w:bCs/>
          <w:sz w:val="24"/>
          <w:szCs w:val="24"/>
          <w:lang w:val="ms-MY"/>
        </w:rPr>
        <w:t>Figure 1 Credit and housing booms</w:t>
      </w:r>
    </w:p>
    <w:p w14:paraId="27698079" w14:textId="77777777" w:rsidR="00632CAA" w:rsidRPr="00632CAA" w:rsidRDefault="00632CAA" w:rsidP="00632CAA">
      <w:pPr>
        <w:spacing w:after="0" w:line="240" w:lineRule="auto"/>
        <w:jc w:val="both"/>
        <w:rPr>
          <w:rFonts w:ascii="Times New Roman" w:eastAsia="Calibri" w:hAnsi="Times New Roman" w:cs="Times New Roman"/>
          <w:sz w:val="24"/>
          <w:szCs w:val="24"/>
          <w:lang w:val="ms-MY"/>
        </w:rPr>
      </w:pPr>
    </w:p>
    <w:p w14:paraId="157261E0" w14:textId="77777777" w:rsidR="00632CAA" w:rsidRPr="00632CAA" w:rsidRDefault="00632CAA" w:rsidP="00632CAA">
      <w:pPr>
        <w:spacing w:after="0" w:line="240" w:lineRule="auto"/>
        <w:jc w:val="both"/>
        <w:rPr>
          <w:rFonts w:ascii="Times New Roman" w:eastAsia="Calibri" w:hAnsi="Times New Roman" w:cs="Times New Roman"/>
          <w:bCs/>
          <w:sz w:val="24"/>
          <w:szCs w:val="24"/>
          <w:lang w:val="ms-MY"/>
        </w:rPr>
      </w:pPr>
      <w:r w:rsidRPr="00632CAA">
        <w:rPr>
          <w:rFonts w:ascii="Times New Roman" w:eastAsia="Calibri" w:hAnsi="Times New Roman" w:cs="Times New Roman"/>
          <w:bCs/>
          <w:sz w:val="24"/>
          <w:szCs w:val="24"/>
          <w:lang w:val="ms-MY"/>
        </w:rPr>
        <w:t>Panel A. Credit growth and credit boom.</w:t>
      </w:r>
    </w:p>
    <w:p w14:paraId="60217F87" w14:textId="77777777" w:rsidR="00632CAA" w:rsidRPr="00632CAA" w:rsidRDefault="00632CAA" w:rsidP="00632CAA">
      <w:pPr>
        <w:spacing w:after="0" w:line="240" w:lineRule="auto"/>
        <w:jc w:val="both"/>
        <w:rPr>
          <w:rFonts w:ascii="Times New Roman" w:eastAsia="Calibri" w:hAnsi="Times New Roman" w:cs="Times New Roman"/>
          <w:bCs/>
          <w:sz w:val="24"/>
          <w:szCs w:val="24"/>
          <w:lang w:val="ms-MY"/>
        </w:rPr>
      </w:pPr>
    </w:p>
    <w:p w14:paraId="00263DE1" w14:textId="77777777" w:rsidR="00632CAA" w:rsidRPr="00632CAA" w:rsidRDefault="00632CAA" w:rsidP="00632CAA">
      <w:pPr>
        <w:spacing w:after="0" w:line="240" w:lineRule="auto"/>
        <w:jc w:val="both"/>
        <w:rPr>
          <w:rFonts w:ascii="Times New Roman" w:eastAsia="Calibri" w:hAnsi="Times New Roman" w:cs="Times New Roman"/>
          <w:b/>
          <w:bCs/>
          <w:sz w:val="24"/>
          <w:szCs w:val="24"/>
          <w:lang w:val="ms-MY"/>
        </w:rPr>
      </w:pPr>
      <w:r w:rsidRPr="00632CAA">
        <w:rPr>
          <w:rFonts w:ascii="Times New Roman" w:eastAsia="Times New Roman" w:hAnsi="Times New Roman" w:cs="Times New Roman"/>
          <w:sz w:val="24"/>
          <w:szCs w:val="24"/>
          <w:lang w:val="ms-MY"/>
        </w:rPr>
        <w:object w:dxaOrig="7575" w:dyaOrig="4860" w14:anchorId="64275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45pt;height:253.55pt" o:ole="">
            <v:imagedata r:id="rId9" o:title=""/>
          </v:shape>
          <o:OLEObject Type="Embed" ProgID="EViews.Workfile.2" ShapeID="_x0000_i1025" DrawAspect="Content" ObjectID="_1588140376" r:id="rId10"/>
        </w:object>
      </w:r>
      <w:r w:rsidRPr="00632CAA">
        <w:rPr>
          <w:rFonts w:ascii="Times New Roman" w:eastAsia="Calibri" w:hAnsi="Times New Roman" w:cs="Times New Roman"/>
          <w:b/>
          <w:bCs/>
          <w:sz w:val="24"/>
          <w:szCs w:val="24"/>
          <w:lang w:val="ms-MY"/>
        </w:rPr>
        <w:br w:type="textWrapping" w:clear="all"/>
      </w:r>
    </w:p>
    <w:p w14:paraId="5620A06D" w14:textId="77777777" w:rsidR="00632CAA" w:rsidRPr="00632CAA" w:rsidRDefault="00632CAA" w:rsidP="00632CAA">
      <w:pPr>
        <w:spacing w:after="0" w:line="240" w:lineRule="auto"/>
        <w:jc w:val="both"/>
        <w:rPr>
          <w:rFonts w:ascii="Times New Roman" w:eastAsia="Calibri" w:hAnsi="Times New Roman" w:cs="Times New Roman"/>
          <w:b/>
          <w:bCs/>
          <w:sz w:val="24"/>
          <w:szCs w:val="24"/>
          <w:lang w:val="ms-MY"/>
        </w:rPr>
      </w:pPr>
      <w:r w:rsidRPr="00632CAA">
        <w:rPr>
          <w:rFonts w:ascii="Times New Roman" w:eastAsia="Times New Roman" w:hAnsi="Times New Roman" w:cs="Times New Roman"/>
          <w:sz w:val="24"/>
          <w:szCs w:val="24"/>
          <w:lang w:val="ms-MY"/>
        </w:rPr>
        <w:object w:dxaOrig="7575" w:dyaOrig="4845" w14:anchorId="55275D61">
          <v:shape id="_x0000_i1026" type="#_x0000_t75" style="width:394.45pt;height:251.7pt" o:ole="">
            <v:imagedata r:id="rId11" o:title=""/>
          </v:shape>
          <o:OLEObject Type="Embed" ProgID="EViews.Workfile.2" ShapeID="_x0000_i1026" DrawAspect="Content" ObjectID="_1588140377" r:id="rId12"/>
        </w:object>
      </w:r>
    </w:p>
    <w:p w14:paraId="3CB75E93" w14:textId="77777777" w:rsidR="00632CAA" w:rsidRPr="00632CAA" w:rsidRDefault="00632CAA" w:rsidP="00632CAA">
      <w:pPr>
        <w:tabs>
          <w:tab w:val="left" w:pos="4890"/>
        </w:tabs>
        <w:spacing w:after="0" w:line="240" w:lineRule="auto"/>
        <w:rPr>
          <w:rFonts w:ascii="Times New Roman" w:eastAsia="Calibri" w:hAnsi="Times New Roman" w:cs="Times New Roman"/>
          <w:bCs/>
          <w:sz w:val="24"/>
          <w:szCs w:val="24"/>
          <w:lang w:val="ms-MY"/>
        </w:rPr>
      </w:pPr>
    </w:p>
    <w:p w14:paraId="61B4019F" w14:textId="77777777" w:rsidR="00632CAA" w:rsidRPr="00632CAA" w:rsidRDefault="00632CAA" w:rsidP="00632CAA">
      <w:pPr>
        <w:tabs>
          <w:tab w:val="left" w:pos="4890"/>
        </w:tabs>
        <w:spacing w:after="0" w:line="240" w:lineRule="auto"/>
        <w:rPr>
          <w:rFonts w:ascii="Times New Roman" w:eastAsia="Calibri" w:hAnsi="Times New Roman" w:cs="Times New Roman"/>
          <w:bCs/>
          <w:sz w:val="24"/>
          <w:szCs w:val="24"/>
          <w:lang w:val="ms-MY"/>
        </w:rPr>
      </w:pPr>
    </w:p>
    <w:p w14:paraId="51AF10E5" w14:textId="77777777" w:rsidR="00632CAA" w:rsidRPr="00632CAA" w:rsidRDefault="00632CAA" w:rsidP="00632CAA">
      <w:pPr>
        <w:tabs>
          <w:tab w:val="left" w:pos="4890"/>
        </w:tabs>
        <w:spacing w:after="0" w:line="240" w:lineRule="auto"/>
        <w:rPr>
          <w:rFonts w:ascii="Times New Roman" w:eastAsia="Calibri" w:hAnsi="Times New Roman" w:cs="Times New Roman"/>
          <w:bCs/>
          <w:sz w:val="24"/>
          <w:szCs w:val="24"/>
          <w:lang w:val="ms-MY"/>
        </w:rPr>
      </w:pPr>
    </w:p>
    <w:p w14:paraId="4427FCC1" w14:textId="77777777" w:rsidR="00632CAA" w:rsidRPr="00632CAA" w:rsidRDefault="00632CAA" w:rsidP="00632CAA">
      <w:pPr>
        <w:tabs>
          <w:tab w:val="left" w:pos="4890"/>
        </w:tabs>
        <w:spacing w:after="0" w:line="240" w:lineRule="auto"/>
        <w:rPr>
          <w:rFonts w:ascii="Times New Roman" w:eastAsia="Calibri" w:hAnsi="Times New Roman" w:cs="Times New Roman"/>
          <w:bCs/>
          <w:sz w:val="24"/>
          <w:szCs w:val="24"/>
          <w:lang w:val="ms-MY"/>
        </w:rPr>
      </w:pPr>
    </w:p>
    <w:p w14:paraId="4D18509A" w14:textId="77777777" w:rsidR="00632CAA" w:rsidRPr="00632CAA" w:rsidRDefault="00632CAA" w:rsidP="00632CAA">
      <w:pPr>
        <w:tabs>
          <w:tab w:val="left" w:pos="4890"/>
        </w:tabs>
        <w:spacing w:after="0" w:line="240" w:lineRule="auto"/>
        <w:rPr>
          <w:rFonts w:ascii="Times New Roman" w:eastAsia="Calibri" w:hAnsi="Times New Roman" w:cs="Times New Roman"/>
          <w:bCs/>
          <w:sz w:val="24"/>
          <w:szCs w:val="24"/>
          <w:lang w:val="ms-MY"/>
        </w:rPr>
      </w:pPr>
    </w:p>
    <w:p w14:paraId="38D911A4" w14:textId="77777777" w:rsidR="008D5A42" w:rsidRDefault="008D5A42" w:rsidP="00632CAA">
      <w:pPr>
        <w:tabs>
          <w:tab w:val="left" w:pos="4890"/>
        </w:tabs>
        <w:spacing w:after="0" w:line="240" w:lineRule="auto"/>
        <w:rPr>
          <w:rFonts w:ascii="Times New Roman" w:eastAsia="Calibri" w:hAnsi="Times New Roman" w:cs="Times New Roman"/>
          <w:bCs/>
          <w:sz w:val="24"/>
          <w:szCs w:val="24"/>
          <w:lang w:val="ms-MY"/>
        </w:rPr>
      </w:pPr>
    </w:p>
    <w:p w14:paraId="7A86976B" w14:textId="77777777" w:rsidR="008D5A42" w:rsidRDefault="008D5A42" w:rsidP="00632CAA">
      <w:pPr>
        <w:tabs>
          <w:tab w:val="left" w:pos="4890"/>
        </w:tabs>
        <w:spacing w:after="0" w:line="240" w:lineRule="auto"/>
        <w:rPr>
          <w:rFonts w:ascii="Times New Roman" w:eastAsia="Calibri" w:hAnsi="Times New Roman" w:cs="Times New Roman"/>
          <w:bCs/>
          <w:sz w:val="24"/>
          <w:szCs w:val="24"/>
          <w:lang w:val="ms-MY"/>
        </w:rPr>
      </w:pPr>
    </w:p>
    <w:p w14:paraId="186BD1B8" w14:textId="77777777" w:rsidR="008D5A42" w:rsidRDefault="008D5A42" w:rsidP="00632CAA">
      <w:pPr>
        <w:tabs>
          <w:tab w:val="left" w:pos="4890"/>
        </w:tabs>
        <w:spacing w:after="0" w:line="240" w:lineRule="auto"/>
        <w:rPr>
          <w:rFonts w:ascii="Times New Roman" w:eastAsia="Calibri" w:hAnsi="Times New Roman" w:cs="Times New Roman"/>
          <w:bCs/>
          <w:sz w:val="24"/>
          <w:szCs w:val="24"/>
          <w:lang w:val="ms-MY"/>
        </w:rPr>
      </w:pPr>
    </w:p>
    <w:p w14:paraId="7B593E68" w14:textId="77777777" w:rsidR="008D5A42" w:rsidRDefault="008D5A42" w:rsidP="00632CAA">
      <w:pPr>
        <w:tabs>
          <w:tab w:val="left" w:pos="4890"/>
        </w:tabs>
        <w:spacing w:after="0" w:line="240" w:lineRule="auto"/>
        <w:rPr>
          <w:rFonts w:ascii="Times New Roman" w:eastAsia="Calibri" w:hAnsi="Times New Roman" w:cs="Times New Roman"/>
          <w:bCs/>
          <w:sz w:val="24"/>
          <w:szCs w:val="24"/>
          <w:lang w:val="ms-MY"/>
        </w:rPr>
      </w:pPr>
    </w:p>
    <w:p w14:paraId="29BC0F53" w14:textId="77777777" w:rsidR="00632CAA" w:rsidRPr="00632CAA" w:rsidRDefault="00632CAA" w:rsidP="00632CAA">
      <w:pPr>
        <w:tabs>
          <w:tab w:val="left" w:pos="4890"/>
        </w:tabs>
        <w:spacing w:after="0" w:line="240" w:lineRule="auto"/>
        <w:rPr>
          <w:rFonts w:ascii="Times New Roman" w:eastAsia="Calibri" w:hAnsi="Times New Roman" w:cs="Times New Roman"/>
          <w:bCs/>
          <w:sz w:val="24"/>
          <w:szCs w:val="24"/>
          <w:lang w:val="ms-MY"/>
        </w:rPr>
      </w:pPr>
      <w:r w:rsidRPr="00632CAA">
        <w:rPr>
          <w:rFonts w:ascii="Times New Roman" w:eastAsia="Calibri" w:hAnsi="Times New Roman" w:cs="Times New Roman"/>
          <w:bCs/>
          <w:sz w:val="24"/>
          <w:szCs w:val="24"/>
          <w:lang w:val="ms-MY"/>
        </w:rPr>
        <w:t>Panel B. House price growth and housing boom.</w:t>
      </w:r>
    </w:p>
    <w:p w14:paraId="2EA49A3A" w14:textId="77777777" w:rsidR="00632CAA" w:rsidRPr="00632CAA" w:rsidRDefault="00632CAA" w:rsidP="00632CAA">
      <w:pPr>
        <w:spacing w:after="0" w:line="240" w:lineRule="auto"/>
        <w:rPr>
          <w:rFonts w:ascii="Times New Roman" w:eastAsia="Calibri" w:hAnsi="Times New Roman" w:cs="Times New Roman"/>
          <w:b/>
          <w:bCs/>
          <w:sz w:val="24"/>
          <w:szCs w:val="24"/>
          <w:lang w:val="ms-MY"/>
        </w:rPr>
      </w:pPr>
    </w:p>
    <w:p w14:paraId="7BBD69F3"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object w:dxaOrig="7620" w:dyaOrig="4755" w14:anchorId="62363BA9">
          <v:shape id="_x0000_i1027" type="#_x0000_t75" style="width:402.55pt;height:250.45pt" o:ole="">
            <v:imagedata r:id="rId13" o:title=""/>
          </v:shape>
          <o:OLEObject Type="Embed" ProgID="EViews.Workfile.2" ShapeID="_x0000_i1027" DrawAspect="Content" ObjectID="_1588140378" r:id="rId14"/>
        </w:object>
      </w:r>
    </w:p>
    <w:p w14:paraId="2C96890A"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object w:dxaOrig="7665" w:dyaOrig="4785" w14:anchorId="559BB209">
          <v:shape id="_x0000_i1028" type="#_x0000_t75" style="width:408.2pt;height:252.95pt" o:ole="">
            <v:imagedata r:id="rId15" o:title=""/>
          </v:shape>
          <o:OLEObject Type="Embed" ProgID="EViews.Workfile.2" ShapeID="_x0000_i1028" DrawAspect="Content" ObjectID="_1588140379" r:id="rId16"/>
        </w:object>
      </w:r>
    </w:p>
    <w:p w14:paraId="2613FE8E"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681950B8" w14:textId="77777777" w:rsidR="00632CAA" w:rsidRPr="00632CAA" w:rsidRDefault="00632CAA" w:rsidP="00632CAA">
      <w:pPr>
        <w:spacing w:after="0" w:line="240" w:lineRule="auto"/>
        <w:jc w:val="both"/>
        <w:rPr>
          <w:rFonts w:ascii="Times New Roman" w:eastAsia="Times New Roman" w:hAnsi="Times New Roman" w:cs="Times New Roman"/>
          <w:sz w:val="24"/>
          <w:szCs w:val="24"/>
          <w:lang w:val="ms-MY"/>
        </w:rPr>
      </w:pPr>
    </w:p>
    <w:p w14:paraId="2E3A9975"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191DE596"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2AFD7B4B"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596FB0E1"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2CE19044"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64684316"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0EE2A0A6" w14:textId="77777777" w:rsidR="008D5A42" w:rsidRDefault="008D5A42" w:rsidP="00632CAA">
      <w:pPr>
        <w:spacing w:after="0" w:line="240" w:lineRule="auto"/>
        <w:jc w:val="both"/>
        <w:rPr>
          <w:rFonts w:ascii="Times New Roman" w:eastAsia="Times New Roman" w:hAnsi="Times New Roman" w:cs="Times New Roman"/>
          <w:bCs/>
          <w:sz w:val="24"/>
          <w:szCs w:val="24"/>
          <w:lang w:val="ms-MY"/>
        </w:rPr>
      </w:pPr>
    </w:p>
    <w:p w14:paraId="2739CB3C" w14:textId="77777777" w:rsidR="008D5A42" w:rsidRDefault="008D5A42" w:rsidP="00632CAA">
      <w:pPr>
        <w:spacing w:after="0" w:line="240" w:lineRule="auto"/>
        <w:jc w:val="both"/>
        <w:rPr>
          <w:rFonts w:ascii="Times New Roman" w:eastAsia="Times New Roman" w:hAnsi="Times New Roman" w:cs="Times New Roman"/>
          <w:bCs/>
          <w:sz w:val="24"/>
          <w:szCs w:val="24"/>
          <w:lang w:val="ms-MY"/>
        </w:rPr>
      </w:pPr>
    </w:p>
    <w:p w14:paraId="6F3688D9" w14:textId="77777777" w:rsidR="008D5A42" w:rsidRDefault="008D5A42" w:rsidP="00632CAA">
      <w:pPr>
        <w:spacing w:after="0" w:line="240" w:lineRule="auto"/>
        <w:jc w:val="both"/>
        <w:rPr>
          <w:rFonts w:ascii="Times New Roman" w:eastAsia="Times New Roman" w:hAnsi="Times New Roman" w:cs="Times New Roman"/>
          <w:bCs/>
          <w:sz w:val="24"/>
          <w:szCs w:val="24"/>
          <w:lang w:val="ms-MY"/>
        </w:rPr>
      </w:pPr>
    </w:p>
    <w:p w14:paraId="1A2CD4AF" w14:textId="77777777" w:rsidR="008D5A42" w:rsidRDefault="008D5A42" w:rsidP="00632CAA">
      <w:pPr>
        <w:spacing w:after="0" w:line="240" w:lineRule="auto"/>
        <w:jc w:val="both"/>
        <w:rPr>
          <w:rFonts w:ascii="Times New Roman" w:eastAsia="Times New Roman" w:hAnsi="Times New Roman" w:cs="Times New Roman"/>
          <w:bCs/>
          <w:sz w:val="24"/>
          <w:szCs w:val="24"/>
          <w:lang w:val="ms-MY"/>
        </w:rPr>
      </w:pPr>
    </w:p>
    <w:p w14:paraId="44E80E1F" w14:textId="53A06F6F" w:rsidR="00632CAA" w:rsidRPr="00632CAA" w:rsidRDefault="00423B48" w:rsidP="00632CAA">
      <w:pPr>
        <w:spacing w:after="0" w:line="240" w:lineRule="auto"/>
        <w:jc w:val="both"/>
        <w:rPr>
          <w:rFonts w:ascii="Times New Roman" w:eastAsia="Times New Roman" w:hAnsi="Times New Roman" w:cs="Times New Roman"/>
          <w:bCs/>
          <w:sz w:val="24"/>
          <w:szCs w:val="24"/>
          <w:lang w:val="ms-MY"/>
        </w:rPr>
      </w:pPr>
      <w:r>
        <w:rPr>
          <w:rFonts w:ascii="Times New Roman" w:eastAsia="Times New Roman" w:hAnsi="Times New Roman" w:cs="Times New Roman"/>
          <w:bCs/>
          <w:sz w:val="24"/>
          <w:szCs w:val="24"/>
          <w:lang w:val="ms-MY"/>
        </w:rPr>
        <w:t>T</w:t>
      </w:r>
      <w:r w:rsidR="00632CAA" w:rsidRPr="00632CAA">
        <w:rPr>
          <w:rFonts w:ascii="Times New Roman" w:eastAsia="Times New Roman" w:hAnsi="Times New Roman" w:cs="Times New Roman"/>
          <w:bCs/>
          <w:sz w:val="24"/>
          <w:szCs w:val="24"/>
          <w:lang w:val="ms-MY"/>
        </w:rPr>
        <w:t xml:space="preserve">able 2 shows that credit leverage leads the housing markets in Malaysia, which </w:t>
      </w:r>
      <w:r>
        <w:rPr>
          <w:rFonts w:ascii="Times New Roman" w:eastAsia="Times New Roman" w:hAnsi="Times New Roman" w:cs="Times New Roman"/>
          <w:bCs/>
          <w:sz w:val="24"/>
          <w:szCs w:val="24"/>
          <w:lang w:val="ms-MY"/>
        </w:rPr>
        <w:t>may</w:t>
      </w:r>
      <w:r w:rsidRPr="00632CAA">
        <w:rPr>
          <w:rFonts w:ascii="Times New Roman" w:eastAsia="Times New Roman" w:hAnsi="Times New Roman" w:cs="Times New Roman"/>
          <w:bCs/>
          <w:sz w:val="24"/>
          <w:szCs w:val="24"/>
          <w:lang w:val="ms-MY"/>
        </w:rPr>
        <w:t xml:space="preserve"> </w:t>
      </w:r>
      <w:r w:rsidR="00632CAA" w:rsidRPr="00632CAA">
        <w:rPr>
          <w:rFonts w:ascii="Times New Roman" w:eastAsia="Times New Roman" w:hAnsi="Times New Roman" w:cs="Times New Roman"/>
          <w:bCs/>
          <w:sz w:val="24"/>
          <w:szCs w:val="24"/>
          <w:lang w:val="ms-MY"/>
        </w:rPr>
        <w:t xml:space="preserve">mean that easy access to credit </w:t>
      </w:r>
      <w:r>
        <w:rPr>
          <w:rFonts w:ascii="Times New Roman" w:eastAsia="Times New Roman" w:hAnsi="Times New Roman" w:cs="Times New Roman"/>
          <w:bCs/>
          <w:sz w:val="24"/>
          <w:szCs w:val="24"/>
          <w:lang w:val="ms-MY"/>
        </w:rPr>
        <w:t>is</w:t>
      </w:r>
      <w:r w:rsidRPr="00632CAA">
        <w:rPr>
          <w:rFonts w:ascii="Times New Roman" w:eastAsia="Times New Roman" w:hAnsi="Times New Roman" w:cs="Times New Roman"/>
          <w:bCs/>
          <w:sz w:val="24"/>
          <w:szCs w:val="24"/>
          <w:lang w:val="ms-MY"/>
        </w:rPr>
        <w:t xml:space="preserve"> </w:t>
      </w:r>
      <w:r w:rsidR="00632CAA" w:rsidRPr="00632CAA">
        <w:rPr>
          <w:rFonts w:ascii="Times New Roman" w:eastAsia="Times New Roman" w:hAnsi="Times New Roman" w:cs="Times New Roman"/>
          <w:bCs/>
          <w:sz w:val="24"/>
          <w:szCs w:val="24"/>
          <w:lang w:val="ms-MY"/>
        </w:rPr>
        <w:t xml:space="preserve">the central factor fueling the boom in house prices. </w:t>
      </w:r>
      <w:r w:rsidR="00632CAA" w:rsidRPr="00632CAA">
        <w:rPr>
          <w:rFonts w:ascii="Times New Roman" w:eastAsia="Calibri" w:hAnsi="Times New Roman" w:cs="Times New Roman"/>
          <w:bCs/>
          <w:sz w:val="24"/>
          <w:szCs w:val="24"/>
          <w:lang w:val="ms-MY"/>
        </w:rPr>
        <w:t xml:space="preserve">The current position of the credit and housing booms in the economy indicates an early sign of financial fragility for the Malaysian economy, since the </w:t>
      </w:r>
      <w:r w:rsidR="00632CAA" w:rsidRPr="00632CAA">
        <w:rPr>
          <w:rFonts w:ascii="Times New Roman" w:eastAsia="Times New Roman" w:hAnsi="Times New Roman" w:cs="Times New Roman"/>
          <w:bCs/>
          <w:sz w:val="24"/>
          <w:szCs w:val="24"/>
          <w:lang w:val="ms-MY"/>
        </w:rPr>
        <w:t xml:space="preserve">housing bubble burst </w:t>
      </w:r>
      <w:r>
        <w:rPr>
          <w:rFonts w:ascii="Times New Roman" w:eastAsia="Times New Roman" w:hAnsi="Times New Roman" w:cs="Times New Roman"/>
          <w:bCs/>
          <w:sz w:val="24"/>
          <w:szCs w:val="24"/>
          <w:lang w:val="ms-MY"/>
        </w:rPr>
        <w:t>is</w:t>
      </w:r>
      <w:r w:rsidRPr="00632CAA">
        <w:rPr>
          <w:rFonts w:ascii="Times New Roman" w:eastAsia="Times New Roman" w:hAnsi="Times New Roman" w:cs="Times New Roman"/>
          <w:bCs/>
          <w:sz w:val="24"/>
          <w:szCs w:val="24"/>
          <w:lang w:val="ms-MY"/>
        </w:rPr>
        <w:t xml:space="preserve"> </w:t>
      </w:r>
      <w:r w:rsidR="00632CAA" w:rsidRPr="00632CAA">
        <w:rPr>
          <w:rFonts w:ascii="Times New Roman" w:eastAsia="Times New Roman" w:hAnsi="Times New Roman" w:cs="Times New Roman"/>
          <w:bCs/>
          <w:sz w:val="24"/>
          <w:szCs w:val="24"/>
          <w:lang w:val="ms-MY"/>
        </w:rPr>
        <w:t>fueled by excessive credit growth.</w:t>
      </w:r>
    </w:p>
    <w:p w14:paraId="15729F38"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6952E6A8"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p>
    <w:p w14:paraId="2C67A787" w14:textId="77777777" w:rsidR="00632CAA" w:rsidRPr="00632CAA" w:rsidRDefault="00632CAA" w:rsidP="00632CAA">
      <w:pPr>
        <w:spacing w:after="0" w:line="240" w:lineRule="auto"/>
        <w:rPr>
          <w:rFonts w:ascii="Times New Roman" w:eastAsia="Times New Roman" w:hAnsi="Times New Roman" w:cs="Times New Roman"/>
          <w:sz w:val="24"/>
          <w:szCs w:val="24"/>
          <w:lang w:val="ms-MY"/>
        </w:rPr>
      </w:pPr>
      <w:r w:rsidRPr="00632CAA">
        <w:rPr>
          <w:rFonts w:ascii="Times New Roman" w:eastAsia="Times New Roman" w:hAnsi="Times New Roman" w:cs="Times New Roman"/>
          <w:b/>
          <w:bCs/>
          <w:sz w:val="24"/>
          <w:szCs w:val="24"/>
          <w:lang w:val="ms-MY"/>
        </w:rPr>
        <w:t>Table 2 Causality between credit and house prices</w:t>
      </w:r>
    </w:p>
    <w:tbl>
      <w:tblPr>
        <w:tblW w:w="9576" w:type="dxa"/>
        <w:tblLook w:val="00A0" w:firstRow="1" w:lastRow="0" w:firstColumn="1" w:lastColumn="0" w:noHBand="0" w:noVBand="0"/>
      </w:tblPr>
      <w:tblGrid>
        <w:gridCol w:w="2532"/>
        <w:gridCol w:w="3610"/>
        <w:gridCol w:w="3434"/>
      </w:tblGrid>
      <w:tr w:rsidR="00632CAA" w:rsidRPr="00632CAA" w14:paraId="739C0CA2" w14:textId="77777777" w:rsidTr="00423B48">
        <w:trPr>
          <w:trHeight w:val="259"/>
        </w:trPr>
        <w:tc>
          <w:tcPr>
            <w:tcW w:w="2532" w:type="dxa"/>
            <w:tcBorders>
              <w:top w:val="single" w:sz="4" w:space="0" w:color="auto"/>
              <w:bottom w:val="single" w:sz="4" w:space="0" w:color="auto"/>
            </w:tcBorders>
          </w:tcPr>
          <w:p w14:paraId="1F92C07C"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Lag</w:t>
            </w:r>
          </w:p>
        </w:tc>
        <w:tc>
          <w:tcPr>
            <w:tcW w:w="3610" w:type="dxa"/>
            <w:tcBorders>
              <w:top w:val="single" w:sz="4" w:space="0" w:color="auto"/>
              <w:bottom w:val="single" w:sz="4" w:space="0" w:color="auto"/>
            </w:tcBorders>
          </w:tcPr>
          <w:p w14:paraId="5BEF11BD" w14:textId="4CDFE198"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Credit does not </w:t>
            </w:r>
            <w:r w:rsidR="00423B48">
              <w:rPr>
                <w:rFonts w:ascii="Times New Roman" w:eastAsia="Times New Roman" w:hAnsi="Times New Roman" w:cs="Times New Roman"/>
                <w:sz w:val="24"/>
                <w:szCs w:val="24"/>
                <w:lang w:val="ms-MY"/>
              </w:rPr>
              <w:t>G</w:t>
            </w:r>
            <w:r w:rsidRPr="00632CAA">
              <w:rPr>
                <w:rFonts w:ascii="Times New Roman" w:eastAsia="Times New Roman" w:hAnsi="Times New Roman" w:cs="Times New Roman"/>
                <w:sz w:val="24"/>
                <w:szCs w:val="24"/>
                <w:lang w:val="ms-MY"/>
              </w:rPr>
              <w:t>ranger cause the house price</w:t>
            </w:r>
          </w:p>
        </w:tc>
        <w:tc>
          <w:tcPr>
            <w:tcW w:w="3434" w:type="dxa"/>
            <w:tcBorders>
              <w:top w:val="single" w:sz="4" w:space="0" w:color="auto"/>
              <w:bottom w:val="single" w:sz="4" w:space="0" w:color="auto"/>
            </w:tcBorders>
          </w:tcPr>
          <w:p w14:paraId="7D885E71" w14:textId="43DE701E"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 xml:space="preserve">House price does not </w:t>
            </w:r>
            <w:r w:rsidR="00423B48">
              <w:rPr>
                <w:rFonts w:ascii="Times New Roman" w:eastAsia="Times New Roman" w:hAnsi="Times New Roman" w:cs="Times New Roman"/>
                <w:sz w:val="24"/>
                <w:szCs w:val="24"/>
                <w:lang w:val="ms-MY"/>
              </w:rPr>
              <w:t>G</w:t>
            </w:r>
            <w:r w:rsidRPr="00632CAA">
              <w:rPr>
                <w:rFonts w:ascii="Times New Roman" w:eastAsia="Times New Roman" w:hAnsi="Times New Roman" w:cs="Times New Roman"/>
                <w:sz w:val="24"/>
                <w:szCs w:val="24"/>
                <w:lang w:val="ms-MY"/>
              </w:rPr>
              <w:t>ranger cause the credit</w:t>
            </w:r>
          </w:p>
        </w:tc>
      </w:tr>
      <w:tr w:rsidR="00632CAA" w:rsidRPr="00632CAA" w14:paraId="23F47A5F" w14:textId="77777777" w:rsidTr="00423B48">
        <w:trPr>
          <w:trHeight w:val="259"/>
        </w:trPr>
        <w:tc>
          <w:tcPr>
            <w:tcW w:w="2532" w:type="dxa"/>
            <w:tcBorders>
              <w:top w:val="single" w:sz="4" w:space="0" w:color="auto"/>
            </w:tcBorders>
          </w:tcPr>
          <w:p w14:paraId="449D9F28"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1</w:t>
            </w:r>
          </w:p>
        </w:tc>
        <w:tc>
          <w:tcPr>
            <w:tcW w:w="3610" w:type="dxa"/>
            <w:tcBorders>
              <w:top w:val="single" w:sz="4" w:space="0" w:color="auto"/>
            </w:tcBorders>
          </w:tcPr>
          <w:p w14:paraId="6DEFA88E"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23.03[0.00]**</w:t>
            </w:r>
          </w:p>
        </w:tc>
        <w:tc>
          <w:tcPr>
            <w:tcW w:w="3434" w:type="dxa"/>
            <w:tcBorders>
              <w:top w:val="single" w:sz="4" w:space="0" w:color="auto"/>
            </w:tcBorders>
          </w:tcPr>
          <w:p w14:paraId="1E22466D"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0.55[0.46]</w:t>
            </w:r>
          </w:p>
        </w:tc>
      </w:tr>
      <w:tr w:rsidR="00632CAA" w:rsidRPr="00632CAA" w14:paraId="2E5A0E51" w14:textId="77777777" w:rsidTr="00423B48">
        <w:trPr>
          <w:trHeight w:val="259"/>
        </w:trPr>
        <w:tc>
          <w:tcPr>
            <w:tcW w:w="2532" w:type="dxa"/>
          </w:tcPr>
          <w:p w14:paraId="75075FE2"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2</w:t>
            </w:r>
          </w:p>
        </w:tc>
        <w:tc>
          <w:tcPr>
            <w:tcW w:w="3610" w:type="dxa"/>
          </w:tcPr>
          <w:p w14:paraId="36F644FB"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4.19[0.02]**</w:t>
            </w:r>
          </w:p>
        </w:tc>
        <w:tc>
          <w:tcPr>
            <w:tcW w:w="3434" w:type="dxa"/>
          </w:tcPr>
          <w:p w14:paraId="20C12FF8"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0.22[0.80]</w:t>
            </w:r>
          </w:p>
        </w:tc>
      </w:tr>
      <w:tr w:rsidR="00632CAA" w:rsidRPr="00632CAA" w14:paraId="7A3A7175" w14:textId="77777777" w:rsidTr="00423B48">
        <w:trPr>
          <w:trHeight w:val="259"/>
        </w:trPr>
        <w:tc>
          <w:tcPr>
            <w:tcW w:w="2532" w:type="dxa"/>
          </w:tcPr>
          <w:p w14:paraId="4FE40F5E"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3</w:t>
            </w:r>
          </w:p>
        </w:tc>
        <w:tc>
          <w:tcPr>
            <w:tcW w:w="3610" w:type="dxa"/>
          </w:tcPr>
          <w:p w14:paraId="7B2E7019"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2.28[0.08]*</w:t>
            </w:r>
          </w:p>
        </w:tc>
        <w:tc>
          <w:tcPr>
            <w:tcW w:w="3434" w:type="dxa"/>
          </w:tcPr>
          <w:p w14:paraId="3F8F5EF3"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1.01[0.39]</w:t>
            </w:r>
          </w:p>
        </w:tc>
      </w:tr>
      <w:tr w:rsidR="00632CAA" w:rsidRPr="00632CAA" w14:paraId="1709755B" w14:textId="77777777" w:rsidTr="00423B48">
        <w:trPr>
          <w:trHeight w:val="259"/>
        </w:trPr>
        <w:tc>
          <w:tcPr>
            <w:tcW w:w="2532" w:type="dxa"/>
            <w:tcBorders>
              <w:bottom w:val="single" w:sz="4" w:space="0" w:color="auto"/>
            </w:tcBorders>
          </w:tcPr>
          <w:p w14:paraId="2F1F85E6"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4</w:t>
            </w:r>
          </w:p>
        </w:tc>
        <w:tc>
          <w:tcPr>
            <w:tcW w:w="3610" w:type="dxa"/>
            <w:tcBorders>
              <w:bottom w:val="single" w:sz="4" w:space="0" w:color="auto"/>
            </w:tcBorders>
          </w:tcPr>
          <w:p w14:paraId="67608DB6"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1.47[0.21]</w:t>
            </w:r>
          </w:p>
        </w:tc>
        <w:tc>
          <w:tcPr>
            <w:tcW w:w="3434" w:type="dxa"/>
            <w:tcBorders>
              <w:bottom w:val="single" w:sz="4" w:space="0" w:color="auto"/>
            </w:tcBorders>
          </w:tcPr>
          <w:p w14:paraId="7E29720E" w14:textId="77777777" w:rsidR="00632CAA" w:rsidRPr="00632CAA" w:rsidRDefault="00632CAA" w:rsidP="00632CAA">
            <w:pPr>
              <w:spacing w:after="0" w:line="240" w:lineRule="auto"/>
              <w:jc w:val="center"/>
              <w:rPr>
                <w:rFonts w:ascii="Times New Roman" w:eastAsia="Times New Roman" w:hAnsi="Times New Roman" w:cs="Times New Roman"/>
                <w:sz w:val="24"/>
                <w:szCs w:val="24"/>
                <w:lang w:val="ms-MY"/>
              </w:rPr>
            </w:pPr>
            <w:r w:rsidRPr="00632CAA">
              <w:rPr>
                <w:rFonts w:ascii="Times New Roman" w:eastAsia="Times New Roman" w:hAnsi="Times New Roman" w:cs="Times New Roman"/>
                <w:sz w:val="24"/>
                <w:szCs w:val="24"/>
                <w:lang w:val="ms-MY"/>
              </w:rPr>
              <w:t>0.79[0.53]</w:t>
            </w:r>
          </w:p>
        </w:tc>
      </w:tr>
    </w:tbl>
    <w:p w14:paraId="60E7D7AF" w14:textId="77777777" w:rsidR="00632CAA" w:rsidRPr="00632CAA" w:rsidRDefault="00632CAA" w:rsidP="00632CAA">
      <w:pPr>
        <w:spacing w:after="0" w:line="240" w:lineRule="auto"/>
        <w:jc w:val="both"/>
        <w:rPr>
          <w:rFonts w:ascii="Times New Roman" w:eastAsia="Calibri" w:hAnsi="Times New Roman" w:cs="Times New Roman"/>
          <w:bCs/>
          <w:sz w:val="20"/>
          <w:szCs w:val="20"/>
          <w:lang w:val="ms-MY"/>
        </w:rPr>
      </w:pPr>
      <w:r w:rsidRPr="00632CAA">
        <w:rPr>
          <w:rFonts w:ascii="Times New Roman" w:eastAsia="Calibri" w:hAnsi="Times New Roman" w:cs="Times New Roman"/>
          <w:bCs/>
          <w:sz w:val="20"/>
          <w:szCs w:val="20"/>
          <w:lang w:val="ms-MY"/>
        </w:rPr>
        <w:t xml:space="preserve">Note: * and ** denote significance levels of 10 </w:t>
      </w:r>
      <w:r w:rsidR="00423B48">
        <w:rPr>
          <w:rFonts w:ascii="Times New Roman" w:eastAsia="Calibri" w:hAnsi="Times New Roman" w:cs="Times New Roman"/>
          <w:bCs/>
          <w:sz w:val="20"/>
          <w:szCs w:val="20"/>
          <w:lang w:val="ms-MY"/>
        </w:rPr>
        <w:t xml:space="preserve">percent </w:t>
      </w:r>
      <w:r w:rsidRPr="00632CAA">
        <w:rPr>
          <w:rFonts w:ascii="Times New Roman" w:eastAsia="Calibri" w:hAnsi="Times New Roman" w:cs="Times New Roman"/>
          <w:bCs/>
          <w:sz w:val="20"/>
          <w:szCs w:val="20"/>
          <w:lang w:val="ms-MY"/>
        </w:rPr>
        <w:t>and 5 percent</w:t>
      </w:r>
      <w:r w:rsidR="00423B48">
        <w:rPr>
          <w:rFonts w:ascii="Times New Roman" w:eastAsia="Calibri" w:hAnsi="Times New Roman" w:cs="Times New Roman"/>
          <w:bCs/>
          <w:sz w:val="20"/>
          <w:szCs w:val="20"/>
          <w:lang w:val="ms-MY"/>
        </w:rPr>
        <w:t>,</w:t>
      </w:r>
      <w:r w:rsidRPr="00632CAA">
        <w:rPr>
          <w:rFonts w:ascii="Times New Roman" w:eastAsia="Calibri" w:hAnsi="Times New Roman" w:cs="Times New Roman"/>
          <w:bCs/>
          <w:sz w:val="20"/>
          <w:szCs w:val="20"/>
          <w:lang w:val="ms-MY"/>
        </w:rPr>
        <w:t xml:space="preserve"> respectively.</w:t>
      </w:r>
      <w:r w:rsidRPr="00632CAA">
        <w:rPr>
          <w:rFonts w:ascii="Times New Roman" w:eastAsia="Times New Roman" w:hAnsi="Times New Roman" w:cs="Times New Roman"/>
          <w:sz w:val="20"/>
          <w:szCs w:val="20"/>
          <w:lang w:val="ms-MY"/>
        </w:rPr>
        <w:t xml:space="preserve"> Figures in brackets represent the </w:t>
      </w:r>
      <w:r w:rsidRPr="00632CAA">
        <w:rPr>
          <w:rFonts w:ascii="Times New Roman" w:eastAsia="Times New Roman" w:hAnsi="Times New Roman" w:cs="Times New Roman"/>
          <w:i/>
          <w:iCs/>
          <w:sz w:val="20"/>
          <w:szCs w:val="20"/>
          <w:lang w:val="ms-MY"/>
        </w:rPr>
        <w:t>p</w:t>
      </w:r>
      <w:r w:rsidRPr="00632CAA">
        <w:rPr>
          <w:rFonts w:ascii="Times New Roman" w:eastAsia="Times New Roman" w:hAnsi="Times New Roman" w:cs="Times New Roman"/>
          <w:sz w:val="20"/>
          <w:szCs w:val="20"/>
          <w:lang w:val="ms-MY"/>
        </w:rPr>
        <w:t>-value.</w:t>
      </w:r>
    </w:p>
    <w:p w14:paraId="394A342F" w14:textId="77777777" w:rsidR="00632CAA" w:rsidRPr="00632CAA" w:rsidRDefault="00632CAA" w:rsidP="00632CAA">
      <w:pPr>
        <w:spacing w:after="0" w:line="240" w:lineRule="auto"/>
        <w:jc w:val="both"/>
        <w:rPr>
          <w:rFonts w:ascii="Times New Roman" w:eastAsia="Times New Roman" w:hAnsi="Times New Roman" w:cs="Times New Roman"/>
          <w:bCs/>
          <w:sz w:val="24"/>
          <w:szCs w:val="24"/>
          <w:lang w:val="ms-MY"/>
        </w:rPr>
      </w:pPr>
    </w:p>
    <w:p w14:paraId="6EC0C038" w14:textId="77777777" w:rsidR="00632CAA" w:rsidRPr="00632CAA" w:rsidRDefault="00632CAA" w:rsidP="00632CAA">
      <w:pPr>
        <w:spacing w:after="0" w:line="240" w:lineRule="auto"/>
        <w:jc w:val="both"/>
        <w:rPr>
          <w:rFonts w:ascii="Times New Roman" w:eastAsia="Times New Roman" w:hAnsi="Times New Roman" w:cs="Times New Roman"/>
          <w:bCs/>
          <w:sz w:val="24"/>
          <w:szCs w:val="24"/>
          <w:lang w:val="ms-MY"/>
        </w:rPr>
      </w:pPr>
    </w:p>
    <w:p w14:paraId="739B19AE" w14:textId="77777777" w:rsidR="00632CAA" w:rsidRPr="00632CAA" w:rsidRDefault="00632CAA" w:rsidP="00632CAA">
      <w:pPr>
        <w:keepNext/>
        <w:numPr>
          <w:ilvl w:val="0"/>
          <w:numId w:val="2"/>
        </w:numPr>
        <w:spacing w:after="0" w:line="240" w:lineRule="auto"/>
        <w:ind w:left="360" w:hanging="360"/>
        <w:contextualSpacing/>
        <w:jc w:val="both"/>
        <w:rPr>
          <w:rFonts w:ascii="Times New Roman" w:eastAsia="Calibri" w:hAnsi="Times New Roman" w:cs="Times New Roman"/>
          <w:b/>
          <w:bCs/>
          <w:sz w:val="24"/>
          <w:szCs w:val="24"/>
        </w:rPr>
      </w:pPr>
      <w:r w:rsidRPr="00632CAA">
        <w:rPr>
          <w:rFonts w:ascii="Times New Roman" w:eastAsia="Calibri" w:hAnsi="Times New Roman" w:cs="Times New Roman"/>
          <w:b/>
          <w:bCs/>
          <w:sz w:val="24"/>
          <w:szCs w:val="24"/>
        </w:rPr>
        <w:t>Concluding Remarks</w:t>
      </w:r>
    </w:p>
    <w:p w14:paraId="20351370" w14:textId="294A4D03" w:rsidR="00632CAA" w:rsidRPr="00632CAA" w:rsidRDefault="00632CAA" w:rsidP="00632CAA">
      <w:pPr>
        <w:spacing w:line="240" w:lineRule="auto"/>
        <w:jc w:val="both"/>
        <w:rPr>
          <w:rFonts w:ascii="Times New Roman" w:eastAsia="Calibri" w:hAnsi="Times New Roman" w:cs="Times New Roman"/>
          <w:bCs/>
          <w:sz w:val="24"/>
          <w:szCs w:val="24"/>
          <w:lang w:val="ms-MY"/>
        </w:rPr>
      </w:pPr>
      <w:r w:rsidRPr="00632CAA">
        <w:rPr>
          <w:rFonts w:ascii="Times New Roman" w:eastAsia="Times New Roman" w:hAnsi="Times New Roman" w:cs="Times New Roman"/>
          <w:sz w:val="24"/>
          <w:szCs w:val="24"/>
          <w:lang w:val="ms-MY"/>
        </w:rPr>
        <w:t xml:space="preserve">In our analysis, we </w:t>
      </w:r>
      <w:r w:rsidR="00B0709C">
        <w:rPr>
          <w:rFonts w:ascii="Times New Roman" w:eastAsia="Times New Roman" w:hAnsi="Times New Roman" w:cs="Times New Roman"/>
          <w:sz w:val="24"/>
          <w:szCs w:val="24"/>
          <w:lang w:val="ms-MY"/>
        </w:rPr>
        <w:t>find</w:t>
      </w:r>
      <w:r w:rsidR="00B0709C" w:rsidRPr="00632CAA">
        <w:rPr>
          <w:rFonts w:ascii="Times New Roman" w:eastAsia="Times New Roman" w:hAnsi="Times New Roman" w:cs="Times New Roman"/>
          <w:sz w:val="24"/>
          <w:szCs w:val="24"/>
          <w:lang w:val="ms-MY"/>
        </w:rPr>
        <w:t xml:space="preserve"> </w:t>
      </w:r>
      <w:r w:rsidRPr="00632CAA">
        <w:rPr>
          <w:rFonts w:ascii="Times New Roman" w:eastAsia="Times New Roman" w:hAnsi="Times New Roman" w:cs="Times New Roman"/>
          <w:sz w:val="24"/>
          <w:szCs w:val="24"/>
          <w:lang w:val="ms-MY"/>
        </w:rPr>
        <w:t>signs of excessiveness</w:t>
      </w:r>
      <w:r w:rsidRPr="00632CAA">
        <w:rPr>
          <w:rFonts w:ascii="Times New Roman" w:eastAsia="Calibri" w:hAnsi="Times New Roman" w:cs="Times New Roman"/>
          <w:bCs/>
          <w:sz w:val="24"/>
          <w:szCs w:val="24"/>
          <w:lang w:val="ms-MY"/>
        </w:rPr>
        <w:t xml:space="preserve">. The credit and housing boom positions </w:t>
      </w:r>
      <w:r w:rsidR="00B0709C">
        <w:rPr>
          <w:rFonts w:ascii="Times New Roman" w:eastAsia="Calibri" w:hAnsi="Times New Roman" w:cs="Times New Roman"/>
          <w:bCs/>
          <w:sz w:val="24"/>
          <w:szCs w:val="24"/>
          <w:lang w:val="ms-MY"/>
        </w:rPr>
        <w:t>are</w:t>
      </w:r>
      <w:r w:rsidR="00B0709C" w:rsidRPr="00632CAA">
        <w:rPr>
          <w:rFonts w:ascii="Times New Roman" w:eastAsia="Calibri" w:hAnsi="Times New Roman" w:cs="Times New Roman"/>
          <w:bCs/>
          <w:sz w:val="24"/>
          <w:szCs w:val="24"/>
          <w:lang w:val="ms-MY"/>
        </w:rPr>
        <w:t xml:space="preserve"> </w:t>
      </w:r>
      <w:r w:rsidRPr="00632CAA">
        <w:rPr>
          <w:rFonts w:ascii="Times New Roman" w:eastAsia="Calibri" w:hAnsi="Times New Roman" w:cs="Times New Roman"/>
          <w:bCs/>
          <w:sz w:val="24"/>
          <w:szCs w:val="24"/>
          <w:lang w:val="ms-MY"/>
        </w:rPr>
        <w:t>detected in the current economic status, which is experiencing a twin-boom. Such findings highlight an early warning signal and the building of systematic risk toward financial instability. As Malaysia’s housing cycle is leverage-driven, t</w:t>
      </w:r>
      <w:r w:rsidRPr="00632CAA">
        <w:rPr>
          <w:rFonts w:ascii="Times New Roman" w:eastAsia="Times New Roman" w:hAnsi="Times New Roman" w:cs="Times New Roman"/>
          <w:sz w:val="24"/>
          <w:szCs w:val="24"/>
          <w:lang w:val="ms-MY"/>
        </w:rPr>
        <w:t xml:space="preserve">he risk is that since the domestic demand and real estate cycles are interrelated they are highly leveraged. </w:t>
      </w:r>
      <w:r w:rsidR="00423B48">
        <w:rPr>
          <w:rFonts w:ascii="Times New Roman" w:eastAsia="Times New Roman" w:hAnsi="Times New Roman" w:cs="Times New Roman"/>
          <w:sz w:val="24"/>
          <w:szCs w:val="24"/>
          <w:lang w:val="ms-MY"/>
        </w:rPr>
        <w:t>Thus</w:t>
      </w:r>
      <w:r w:rsidRPr="00632CAA">
        <w:rPr>
          <w:rFonts w:ascii="Times New Roman" w:eastAsia="Times New Roman" w:hAnsi="Times New Roman" w:cs="Times New Roman"/>
          <w:sz w:val="24"/>
          <w:szCs w:val="24"/>
          <w:lang w:val="ms-MY"/>
        </w:rPr>
        <w:t>, a housing correction could trigger a negative income effect that might exacerbate a downturn in consumption. G</w:t>
      </w:r>
      <w:r w:rsidRPr="00632CAA">
        <w:rPr>
          <w:rFonts w:ascii="Times New Roman" w:eastAsia="Calibri" w:hAnsi="Times New Roman" w:cs="Times New Roman"/>
          <w:bCs/>
          <w:sz w:val="24"/>
          <w:szCs w:val="24"/>
          <w:lang w:val="ms-MY"/>
        </w:rPr>
        <w:t>eneral credit-targeted policies, housing credit-targeted policies on financial deregulation, and interest rate policies targeted within the policy options are recommended before it is too late and too costly to deflate the crisis.</w:t>
      </w:r>
    </w:p>
    <w:p w14:paraId="2F376078" w14:textId="77777777" w:rsidR="00632CAA" w:rsidRPr="00632CAA" w:rsidRDefault="00632CAA" w:rsidP="00632CAA">
      <w:pPr>
        <w:spacing w:line="240" w:lineRule="auto"/>
        <w:jc w:val="both"/>
        <w:rPr>
          <w:rFonts w:ascii="Times New Roman" w:eastAsia="Calibri" w:hAnsi="Times New Roman" w:cs="Times New Roman"/>
          <w:bCs/>
          <w:sz w:val="24"/>
          <w:szCs w:val="24"/>
          <w:lang w:val="ms-MY"/>
        </w:rPr>
      </w:pPr>
    </w:p>
    <w:p w14:paraId="7A7C9895" w14:textId="22792FFA" w:rsidR="00632CAA" w:rsidRPr="00632CAA" w:rsidRDefault="00632CAA" w:rsidP="00632CAA">
      <w:pPr>
        <w:spacing w:after="0" w:line="240" w:lineRule="auto"/>
        <w:rPr>
          <w:rFonts w:ascii="Times New Roman" w:eastAsia="Calibri" w:hAnsi="Times New Roman" w:cs="Times New Roman"/>
          <w:b/>
          <w:sz w:val="24"/>
          <w:szCs w:val="24"/>
          <w:lang w:val="ms-MY"/>
        </w:rPr>
      </w:pPr>
      <w:r w:rsidRPr="00632CAA">
        <w:rPr>
          <w:rFonts w:ascii="Times New Roman" w:eastAsia="Calibri" w:hAnsi="Times New Roman" w:cs="Times New Roman"/>
          <w:b/>
          <w:sz w:val="24"/>
          <w:szCs w:val="24"/>
          <w:lang w:val="ms-MY"/>
        </w:rPr>
        <w:t>Acknowledgments</w:t>
      </w:r>
    </w:p>
    <w:p w14:paraId="18F686CA" w14:textId="77777777" w:rsidR="00632CAA" w:rsidRPr="00632CAA" w:rsidRDefault="00632CAA" w:rsidP="00632CAA">
      <w:pPr>
        <w:spacing w:after="0" w:line="240" w:lineRule="auto"/>
        <w:jc w:val="both"/>
        <w:rPr>
          <w:rFonts w:ascii="Times New Roman" w:eastAsia="Calibri" w:hAnsi="Times New Roman" w:cs="Times New Roman"/>
          <w:bCs/>
          <w:sz w:val="24"/>
          <w:szCs w:val="24"/>
          <w:lang w:val="ms-MY"/>
        </w:rPr>
      </w:pPr>
      <w:r w:rsidRPr="00632CAA">
        <w:rPr>
          <w:rFonts w:ascii="Times New Roman" w:eastAsia="Calibri" w:hAnsi="Times New Roman" w:cs="Times New Roman"/>
          <w:bCs/>
          <w:sz w:val="24"/>
          <w:szCs w:val="24"/>
          <w:lang w:val="ms-MY"/>
        </w:rPr>
        <w:t>This research was funded by a University Sains Islam Malaysia Research Grant (PPP-FEM-13615-00G00/10).</w:t>
      </w:r>
    </w:p>
    <w:p w14:paraId="449DB432" w14:textId="77777777" w:rsidR="00632CAA" w:rsidRPr="00632CAA" w:rsidRDefault="00632CAA" w:rsidP="00632CAA">
      <w:pPr>
        <w:spacing w:after="0" w:line="240" w:lineRule="auto"/>
        <w:jc w:val="both"/>
        <w:rPr>
          <w:rFonts w:ascii="Times New Roman" w:eastAsia="Calibri" w:hAnsi="Times New Roman" w:cs="Times New Roman"/>
          <w:b/>
          <w:sz w:val="24"/>
          <w:szCs w:val="24"/>
          <w:lang w:val="ms-MY"/>
        </w:rPr>
      </w:pPr>
    </w:p>
    <w:p w14:paraId="7116C092" w14:textId="77777777" w:rsidR="00632CAA" w:rsidRPr="00632CAA" w:rsidRDefault="00632CAA" w:rsidP="00632CAA">
      <w:pPr>
        <w:spacing w:after="0" w:line="240" w:lineRule="auto"/>
        <w:jc w:val="both"/>
        <w:rPr>
          <w:rFonts w:ascii="Times New Roman" w:eastAsia="Calibri" w:hAnsi="Times New Roman" w:cs="Times New Roman"/>
          <w:b/>
          <w:sz w:val="24"/>
          <w:szCs w:val="24"/>
          <w:lang w:val="ms-MY"/>
        </w:rPr>
      </w:pPr>
    </w:p>
    <w:p w14:paraId="10E69C26" w14:textId="77777777" w:rsidR="00632CAA" w:rsidRPr="00632CAA" w:rsidRDefault="00632CAA" w:rsidP="00632CAA">
      <w:pPr>
        <w:spacing w:after="0" w:line="240" w:lineRule="auto"/>
        <w:jc w:val="both"/>
        <w:rPr>
          <w:rFonts w:ascii="Times New Roman" w:eastAsia="Calibri" w:hAnsi="Times New Roman" w:cs="Times New Roman"/>
          <w:b/>
          <w:sz w:val="24"/>
          <w:szCs w:val="24"/>
          <w:lang w:val="ms-MY"/>
        </w:rPr>
      </w:pPr>
      <w:r w:rsidRPr="00632CAA">
        <w:rPr>
          <w:rFonts w:ascii="Times New Roman" w:eastAsia="Calibri" w:hAnsi="Times New Roman" w:cs="Times New Roman"/>
          <w:b/>
          <w:sz w:val="24"/>
          <w:szCs w:val="24"/>
          <w:lang w:val="ms-MY"/>
        </w:rPr>
        <w:t>References</w:t>
      </w:r>
    </w:p>
    <w:p w14:paraId="7A012210" w14:textId="77777777" w:rsidR="00632CAA" w:rsidRPr="00EA6A79" w:rsidRDefault="004D7CE9" w:rsidP="00632CAA">
      <w:pPr>
        <w:spacing w:after="0" w:line="240" w:lineRule="auto"/>
        <w:ind w:left="709" w:hanging="709"/>
        <w:jc w:val="both"/>
        <w:rPr>
          <w:rFonts w:ascii="Times New Roman" w:eastAsia="Calibri" w:hAnsi="Times New Roman" w:cs="Times New Roman"/>
          <w:sz w:val="24"/>
          <w:szCs w:val="24"/>
          <w:lang w:val="ms-MY"/>
        </w:rPr>
      </w:pPr>
      <w:r w:rsidRPr="00EA6A79">
        <w:rPr>
          <w:rFonts w:ascii="Times New Roman" w:eastAsia="Calibri" w:hAnsi="Times New Roman" w:cs="Times New Roman"/>
          <w:sz w:val="24"/>
          <w:szCs w:val="24"/>
          <w:lang w:val="ms-MY"/>
        </w:rPr>
        <w:t>Ando, A.</w:t>
      </w:r>
      <w:r w:rsidR="00632CAA" w:rsidRPr="00EA6A79">
        <w:rPr>
          <w:rFonts w:ascii="Times New Roman" w:eastAsia="Calibri" w:hAnsi="Times New Roman" w:cs="Times New Roman"/>
          <w:sz w:val="24"/>
          <w:szCs w:val="24"/>
          <w:lang w:val="ms-MY"/>
        </w:rPr>
        <w:t xml:space="preserve"> and Modigliani, F. (1963) The “life cycle" hypothesis of saving: Aggregate implications and tests, </w:t>
      </w:r>
      <w:r w:rsidR="00632CAA" w:rsidRPr="00EA6A79">
        <w:rPr>
          <w:rFonts w:ascii="Times New Roman" w:eastAsia="Calibri" w:hAnsi="Times New Roman" w:cs="Times New Roman"/>
          <w:i/>
          <w:iCs/>
          <w:sz w:val="24"/>
          <w:szCs w:val="24"/>
          <w:lang w:val="ms-MY"/>
        </w:rPr>
        <w:t>American Economic Review</w:t>
      </w:r>
      <w:r w:rsidR="00632CAA" w:rsidRPr="00EA6A79">
        <w:rPr>
          <w:rFonts w:ascii="Times New Roman" w:eastAsia="Calibri" w:hAnsi="Times New Roman" w:cs="Times New Roman"/>
          <w:sz w:val="24"/>
          <w:szCs w:val="24"/>
          <w:lang w:val="ms-MY"/>
        </w:rPr>
        <w:t>, </w:t>
      </w:r>
      <w:r w:rsidR="00632CAA" w:rsidRPr="00EA6A79">
        <w:rPr>
          <w:rFonts w:ascii="Times New Roman" w:eastAsia="Calibri" w:hAnsi="Times New Roman" w:cs="Times New Roman"/>
          <w:bCs/>
          <w:sz w:val="24"/>
          <w:szCs w:val="24"/>
          <w:lang w:val="ms-MY"/>
        </w:rPr>
        <w:t>53</w:t>
      </w:r>
      <w:r w:rsidRPr="00EA6A79">
        <w:rPr>
          <w:rFonts w:ascii="Times New Roman" w:eastAsia="Calibri" w:hAnsi="Times New Roman" w:cs="Times New Roman"/>
          <w:bCs/>
          <w:sz w:val="24"/>
          <w:szCs w:val="24"/>
          <w:lang w:val="ms-MY"/>
        </w:rPr>
        <w:t>(1)</w:t>
      </w:r>
      <w:r w:rsidR="00632CAA" w:rsidRPr="00EA6A79">
        <w:rPr>
          <w:rFonts w:ascii="Times New Roman" w:eastAsia="Calibri" w:hAnsi="Times New Roman" w:cs="Times New Roman"/>
          <w:sz w:val="24"/>
          <w:szCs w:val="24"/>
          <w:lang w:val="ms-MY"/>
        </w:rPr>
        <w:t>, 55-84.</w:t>
      </w:r>
    </w:p>
    <w:p w14:paraId="1884ABDD" w14:textId="77777777" w:rsidR="00632CAA" w:rsidRPr="00EA6A79" w:rsidRDefault="004D7CE9" w:rsidP="00632CAA">
      <w:pPr>
        <w:spacing w:after="0" w:line="240" w:lineRule="auto"/>
        <w:ind w:left="709" w:hanging="709"/>
        <w:jc w:val="both"/>
        <w:rPr>
          <w:rFonts w:ascii="Times New Roman" w:eastAsia="Times New Roman" w:hAnsi="Times New Roman" w:cs="Times New Roman"/>
          <w:noProof/>
          <w:sz w:val="24"/>
          <w:szCs w:val="24"/>
          <w:lang w:val="ms-MY" w:eastAsia="ms-MY"/>
        </w:rPr>
      </w:pPr>
      <w:r w:rsidRPr="00EA6A79">
        <w:rPr>
          <w:rFonts w:ascii="Times New Roman" w:eastAsia="Times New Roman" w:hAnsi="Times New Roman" w:cs="Times New Roman"/>
          <w:noProof/>
          <w:sz w:val="24"/>
          <w:szCs w:val="24"/>
          <w:lang w:val="ms-MY" w:eastAsia="ms-MY"/>
        </w:rPr>
        <w:t>Borio, C.</w:t>
      </w:r>
      <w:r w:rsidR="00632CAA" w:rsidRPr="00EA6A79">
        <w:rPr>
          <w:rFonts w:ascii="Times New Roman" w:eastAsia="Times New Roman" w:hAnsi="Times New Roman" w:cs="Times New Roman"/>
          <w:noProof/>
          <w:sz w:val="24"/>
          <w:szCs w:val="24"/>
          <w:lang w:val="ms-MY" w:eastAsia="ms-MY"/>
        </w:rPr>
        <w:t xml:space="preserve"> and Lowe, P. (2002) Assessing the risk of banking crises, </w:t>
      </w:r>
      <w:r w:rsidR="00632CAA" w:rsidRPr="00EA6A79">
        <w:rPr>
          <w:rFonts w:ascii="Times New Roman" w:eastAsia="Times New Roman" w:hAnsi="Times New Roman" w:cs="Times New Roman"/>
          <w:i/>
          <w:iCs/>
          <w:noProof/>
          <w:sz w:val="24"/>
          <w:szCs w:val="24"/>
          <w:lang w:val="ms-MY" w:eastAsia="ms-MY"/>
        </w:rPr>
        <w:t>BIS Quarterly Review</w:t>
      </w:r>
      <w:r w:rsidR="00632CAA" w:rsidRPr="00EA6A79">
        <w:rPr>
          <w:rFonts w:ascii="Times New Roman" w:eastAsia="Times New Roman" w:hAnsi="Times New Roman" w:cs="Times New Roman"/>
          <w:noProof/>
          <w:sz w:val="24"/>
          <w:szCs w:val="24"/>
          <w:lang w:val="ms-MY" w:eastAsia="ms-MY"/>
        </w:rPr>
        <w:t xml:space="preserve">, 43-54. </w:t>
      </w:r>
    </w:p>
    <w:p w14:paraId="34C1EE11" w14:textId="77777777" w:rsidR="00632CAA" w:rsidRPr="00EA6A79" w:rsidRDefault="004D7CE9" w:rsidP="00632CAA">
      <w:pPr>
        <w:spacing w:after="0" w:line="240" w:lineRule="auto"/>
        <w:ind w:left="709" w:hanging="709"/>
        <w:jc w:val="both"/>
        <w:rPr>
          <w:rFonts w:ascii="Times New Roman" w:eastAsia="Times New Roman" w:hAnsi="Times New Roman" w:cs="Times New Roman"/>
          <w:sz w:val="24"/>
          <w:szCs w:val="24"/>
          <w:lang w:val="ms-MY"/>
        </w:rPr>
      </w:pPr>
      <w:r w:rsidRPr="00EA6A79">
        <w:rPr>
          <w:rFonts w:ascii="Times New Roman" w:eastAsia="Times New Roman" w:hAnsi="Times New Roman" w:cs="Times New Roman"/>
          <w:sz w:val="24"/>
          <w:szCs w:val="24"/>
          <w:lang w:val="ms-MY"/>
        </w:rPr>
        <w:t>Buyukkarabacak, B.</w:t>
      </w:r>
      <w:r w:rsidR="00632CAA" w:rsidRPr="00EA6A79">
        <w:rPr>
          <w:rFonts w:ascii="Times New Roman" w:eastAsia="Times New Roman" w:hAnsi="Times New Roman" w:cs="Times New Roman"/>
          <w:sz w:val="24"/>
          <w:szCs w:val="24"/>
          <w:lang w:val="ms-MY"/>
        </w:rPr>
        <w:t xml:space="preserve"> and Valev, N.T. (2010) The role of household and business credit in banking crises, </w:t>
      </w:r>
      <w:r w:rsidR="00632CAA" w:rsidRPr="00EA6A79">
        <w:rPr>
          <w:rFonts w:ascii="Times New Roman" w:eastAsia="Times New Roman" w:hAnsi="Times New Roman" w:cs="Times New Roman"/>
          <w:i/>
          <w:iCs/>
          <w:sz w:val="24"/>
          <w:szCs w:val="24"/>
          <w:lang w:val="ms-MY"/>
        </w:rPr>
        <w:t>Journal of Banking and Finance</w:t>
      </w:r>
      <w:r w:rsidR="00632CAA" w:rsidRPr="00EA6A79">
        <w:rPr>
          <w:rFonts w:ascii="Times New Roman" w:eastAsia="Times New Roman" w:hAnsi="Times New Roman" w:cs="Times New Roman"/>
          <w:sz w:val="24"/>
          <w:szCs w:val="24"/>
          <w:lang w:val="ms-MY"/>
        </w:rPr>
        <w:t xml:space="preserve">, </w:t>
      </w:r>
      <w:r w:rsidR="00632CAA" w:rsidRPr="00EA6A79">
        <w:rPr>
          <w:rFonts w:ascii="Times New Roman" w:eastAsia="Times New Roman" w:hAnsi="Times New Roman" w:cs="Times New Roman"/>
          <w:bCs/>
          <w:sz w:val="24"/>
          <w:szCs w:val="24"/>
          <w:lang w:val="ms-MY"/>
        </w:rPr>
        <w:t>34</w:t>
      </w:r>
      <w:r w:rsidR="00872111" w:rsidRPr="00EA6A79">
        <w:rPr>
          <w:rFonts w:ascii="Times New Roman" w:eastAsia="Times New Roman" w:hAnsi="Times New Roman" w:cs="Times New Roman"/>
          <w:bCs/>
          <w:sz w:val="24"/>
          <w:szCs w:val="24"/>
          <w:lang w:val="ms-MY"/>
        </w:rPr>
        <w:t>(6)</w:t>
      </w:r>
      <w:r w:rsidR="00632CAA" w:rsidRPr="00EA6A79">
        <w:rPr>
          <w:rFonts w:ascii="Times New Roman" w:eastAsia="Times New Roman" w:hAnsi="Times New Roman" w:cs="Times New Roman"/>
          <w:sz w:val="24"/>
          <w:szCs w:val="24"/>
          <w:lang w:val="ms-MY"/>
        </w:rPr>
        <w:t xml:space="preserve">, 1247-1256. </w:t>
      </w:r>
    </w:p>
    <w:p w14:paraId="0ED6BF2C" w14:textId="1E325307" w:rsidR="00632CAA" w:rsidRPr="00EA6A79" w:rsidRDefault="004D7CE9" w:rsidP="00632CAA">
      <w:pPr>
        <w:spacing w:after="0" w:line="240" w:lineRule="auto"/>
        <w:ind w:left="709" w:hanging="709"/>
        <w:jc w:val="both"/>
        <w:rPr>
          <w:rFonts w:ascii="Times New Roman" w:eastAsia="Times New Roman" w:hAnsi="Times New Roman" w:cs="Times New Roman"/>
          <w:noProof/>
          <w:sz w:val="24"/>
          <w:szCs w:val="24"/>
          <w:lang w:val="ms-MY" w:eastAsia="ms-MY"/>
        </w:rPr>
      </w:pPr>
      <w:r w:rsidRPr="00EA6A79">
        <w:rPr>
          <w:rFonts w:ascii="Times New Roman" w:eastAsia="Times New Roman" w:hAnsi="Times New Roman" w:cs="Times New Roman"/>
          <w:noProof/>
          <w:sz w:val="24"/>
          <w:szCs w:val="24"/>
          <w:lang w:val="ms-MY" w:eastAsia="ms-MY"/>
        </w:rPr>
        <w:t>Drehman, M., Borio, C.</w:t>
      </w:r>
      <w:r w:rsidR="00632CAA" w:rsidRPr="00EA6A79">
        <w:rPr>
          <w:rFonts w:ascii="Times New Roman" w:eastAsia="Times New Roman" w:hAnsi="Times New Roman" w:cs="Times New Roman"/>
          <w:noProof/>
          <w:sz w:val="24"/>
          <w:szCs w:val="24"/>
          <w:lang w:val="ms-MY" w:eastAsia="ms-MY"/>
        </w:rPr>
        <w:t xml:space="preserve"> and Tsatsaronis, K. (2011) </w:t>
      </w:r>
      <w:r w:rsidR="00632CAA" w:rsidRPr="00EA6A79">
        <w:rPr>
          <w:rFonts w:ascii="Times New Roman" w:eastAsia="Times New Roman" w:hAnsi="Times New Roman" w:cs="Times New Roman"/>
          <w:i/>
          <w:noProof/>
          <w:sz w:val="24"/>
          <w:szCs w:val="24"/>
          <w:lang w:val="ms-MY" w:eastAsia="ms-MY"/>
        </w:rPr>
        <w:t xml:space="preserve">Anchoring countercyclical capital buffers: </w:t>
      </w:r>
      <w:r w:rsidR="00423B48">
        <w:rPr>
          <w:rFonts w:ascii="Times New Roman" w:eastAsia="Times New Roman" w:hAnsi="Times New Roman" w:cs="Times New Roman"/>
          <w:i/>
          <w:noProof/>
          <w:sz w:val="24"/>
          <w:szCs w:val="24"/>
          <w:lang w:val="ms-MY" w:eastAsia="ms-MY"/>
        </w:rPr>
        <w:t>The</w:t>
      </w:r>
      <w:r w:rsidR="00423B48" w:rsidRPr="00EA6A79">
        <w:rPr>
          <w:rFonts w:ascii="Times New Roman" w:eastAsia="Times New Roman" w:hAnsi="Times New Roman" w:cs="Times New Roman"/>
          <w:i/>
          <w:noProof/>
          <w:sz w:val="24"/>
          <w:szCs w:val="24"/>
          <w:lang w:val="ms-MY" w:eastAsia="ms-MY"/>
        </w:rPr>
        <w:t xml:space="preserve"> </w:t>
      </w:r>
      <w:r w:rsidR="00632CAA" w:rsidRPr="00EA6A79">
        <w:rPr>
          <w:rFonts w:ascii="Times New Roman" w:eastAsia="Times New Roman" w:hAnsi="Times New Roman" w:cs="Times New Roman"/>
          <w:i/>
          <w:noProof/>
          <w:sz w:val="24"/>
          <w:szCs w:val="24"/>
          <w:lang w:val="ms-MY" w:eastAsia="ms-MY"/>
        </w:rPr>
        <w:t>role of credit aggregates</w:t>
      </w:r>
      <w:r w:rsidR="00886056" w:rsidRPr="00EA6A79">
        <w:rPr>
          <w:rFonts w:ascii="Times New Roman" w:eastAsia="Times New Roman" w:hAnsi="Times New Roman" w:cs="Times New Roman"/>
          <w:noProof/>
          <w:sz w:val="24"/>
          <w:szCs w:val="24"/>
          <w:lang w:val="ms-MY" w:eastAsia="ms-MY"/>
        </w:rPr>
        <w:t>, BIS Working Papers No. 355.</w:t>
      </w:r>
      <w:r w:rsidR="00632CAA" w:rsidRPr="00EA6A79">
        <w:rPr>
          <w:rFonts w:ascii="Times New Roman" w:eastAsia="Times New Roman" w:hAnsi="Times New Roman" w:cs="Times New Roman"/>
          <w:noProof/>
          <w:sz w:val="24"/>
          <w:szCs w:val="24"/>
          <w:lang w:val="ms-MY" w:eastAsia="ms-MY"/>
        </w:rPr>
        <w:t xml:space="preserve"> Basel, Switzerland.</w:t>
      </w:r>
    </w:p>
    <w:p w14:paraId="5F70A8EA" w14:textId="77777777" w:rsidR="00632CAA" w:rsidRPr="00EA6A79" w:rsidRDefault="004D7CE9" w:rsidP="00632CAA">
      <w:pPr>
        <w:spacing w:after="0" w:line="240" w:lineRule="auto"/>
        <w:ind w:left="709" w:hanging="709"/>
        <w:jc w:val="both"/>
        <w:rPr>
          <w:rFonts w:ascii="Times New Roman" w:eastAsia="MS Mincho" w:hAnsi="Times New Roman" w:cs="Times New Roman"/>
          <w:sz w:val="24"/>
          <w:szCs w:val="24"/>
          <w:lang w:val="ms-MY" w:eastAsia="ja-JP"/>
        </w:rPr>
      </w:pPr>
      <w:r w:rsidRPr="00EA6A79">
        <w:rPr>
          <w:rFonts w:ascii="Times New Roman" w:eastAsia="Times New Roman" w:hAnsi="Times New Roman" w:cs="Times New Roman"/>
          <w:sz w:val="24"/>
          <w:szCs w:val="24"/>
          <w:lang w:val="ms-MY"/>
        </w:rPr>
        <w:t>Gourinchas P.</w:t>
      </w:r>
      <w:r w:rsidR="00632CAA" w:rsidRPr="00EA6A79">
        <w:rPr>
          <w:rFonts w:ascii="Times New Roman" w:eastAsia="Times New Roman" w:hAnsi="Times New Roman" w:cs="Times New Roman"/>
          <w:sz w:val="24"/>
          <w:szCs w:val="24"/>
          <w:lang w:val="ms-MY"/>
        </w:rPr>
        <w:t xml:space="preserve"> and Obstfeld, M. (2011) </w:t>
      </w:r>
      <w:r w:rsidR="00632CAA" w:rsidRPr="00EA6A79">
        <w:rPr>
          <w:rFonts w:ascii="Times New Roman" w:eastAsia="Times New Roman" w:hAnsi="Times New Roman" w:cs="Times New Roman"/>
          <w:i/>
          <w:sz w:val="24"/>
          <w:szCs w:val="24"/>
          <w:lang w:val="ms-MY"/>
        </w:rPr>
        <w:t>Stories of the twentieth century for the twenty-first</w:t>
      </w:r>
      <w:r w:rsidR="00886056" w:rsidRPr="00EA6A79">
        <w:rPr>
          <w:rFonts w:ascii="Times New Roman" w:eastAsia="Times New Roman" w:hAnsi="Times New Roman" w:cs="Times New Roman"/>
          <w:sz w:val="24"/>
          <w:szCs w:val="24"/>
          <w:lang w:val="ms-MY"/>
        </w:rPr>
        <w:t>, NBER Working Paper No. 17252.</w:t>
      </w:r>
      <w:r w:rsidR="00632CAA" w:rsidRPr="00EA6A79">
        <w:rPr>
          <w:rFonts w:ascii="Times New Roman" w:eastAsia="Times New Roman" w:hAnsi="Times New Roman" w:cs="Times New Roman"/>
          <w:sz w:val="24"/>
          <w:szCs w:val="24"/>
          <w:lang w:val="ms-MY"/>
        </w:rPr>
        <w:t xml:space="preserve"> </w:t>
      </w:r>
      <w:r w:rsidR="00632CAA" w:rsidRPr="00EA6A79">
        <w:rPr>
          <w:rFonts w:ascii="Times New Roman" w:eastAsia="MS Mincho" w:hAnsi="Times New Roman" w:cs="Times New Roman"/>
          <w:sz w:val="24"/>
          <w:szCs w:val="24"/>
          <w:lang w:val="ms-MY" w:eastAsia="ja-JP"/>
        </w:rPr>
        <w:t>Cambridge, MA.</w:t>
      </w:r>
    </w:p>
    <w:p w14:paraId="000D001D" w14:textId="77777777" w:rsidR="00632CAA" w:rsidRPr="00EA6A79" w:rsidRDefault="00632CAA" w:rsidP="00423B48">
      <w:pPr>
        <w:spacing w:after="0" w:line="240" w:lineRule="auto"/>
        <w:jc w:val="both"/>
        <w:rPr>
          <w:rFonts w:ascii="Times New Roman" w:eastAsia="Times New Roman" w:hAnsi="Times New Roman" w:cs="Times New Roman"/>
          <w:sz w:val="24"/>
          <w:szCs w:val="24"/>
          <w:lang w:val="ms-MY"/>
        </w:rPr>
      </w:pPr>
      <w:r w:rsidRPr="00EA6A79">
        <w:rPr>
          <w:rFonts w:ascii="Times New Roman" w:eastAsia="Times New Roman" w:hAnsi="Times New Roman" w:cs="Times New Roman"/>
          <w:sz w:val="24"/>
          <w:szCs w:val="24"/>
          <w:lang w:val="ms-MY"/>
        </w:rPr>
        <w:t>Hansen, B.</w:t>
      </w:r>
      <w:r w:rsidR="00872111" w:rsidRPr="00EA6A79">
        <w:rPr>
          <w:rFonts w:ascii="Times New Roman" w:eastAsia="Times New Roman" w:hAnsi="Times New Roman" w:cs="Times New Roman"/>
          <w:sz w:val="24"/>
          <w:szCs w:val="24"/>
          <w:lang w:val="ms-MY"/>
        </w:rPr>
        <w:t>H.</w:t>
      </w:r>
      <w:r w:rsidRPr="00EA6A79">
        <w:rPr>
          <w:rFonts w:ascii="Times New Roman" w:eastAsia="Times New Roman" w:hAnsi="Times New Roman" w:cs="Times New Roman"/>
          <w:sz w:val="24"/>
          <w:szCs w:val="24"/>
          <w:lang w:val="ms-MY"/>
        </w:rPr>
        <w:t xml:space="preserve"> (2000) Sample splitting and threshold estimation, </w:t>
      </w:r>
      <w:r w:rsidRPr="00EA6A79">
        <w:rPr>
          <w:rFonts w:ascii="Times New Roman" w:eastAsia="Times New Roman" w:hAnsi="Times New Roman" w:cs="Times New Roman"/>
          <w:i/>
          <w:iCs/>
          <w:sz w:val="24"/>
          <w:szCs w:val="24"/>
          <w:lang w:val="ms-MY"/>
        </w:rPr>
        <w:t>Econometrica</w:t>
      </w:r>
      <w:r w:rsidRPr="00EA6A79">
        <w:rPr>
          <w:rFonts w:ascii="Times New Roman" w:eastAsia="Times New Roman" w:hAnsi="Times New Roman" w:cs="Times New Roman"/>
          <w:sz w:val="24"/>
          <w:szCs w:val="24"/>
          <w:lang w:val="ms-MY"/>
        </w:rPr>
        <w:t xml:space="preserve">, </w:t>
      </w:r>
      <w:r w:rsidRPr="00EA6A79">
        <w:rPr>
          <w:rFonts w:ascii="Times New Roman" w:eastAsia="Times New Roman" w:hAnsi="Times New Roman" w:cs="Times New Roman"/>
          <w:bCs/>
          <w:sz w:val="24"/>
          <w:szCs w:val="24"/>
          <w:lang w:val="ms-MY"/>
        </w:rPr>
        <w:t>68</w:t>
      </w:r>
      <w:r w:rsidR="00872111" w:rsidRPr="00EA6A79">
        <w:rPr>
          <w:rFonts w:ascii="Times New Roman" w:eastAsia="Times New Roman" w:hAnsi="Times New Roman" w:cs="Times New Roman"/>
          <w:bCs/>
          <w:sz w:val="24"/>
          <w:szCs w:val="24"/>
          <w:lang w:val="ms-MY"/>
        </w:rPr>
        <w:t>(3)</w:t>
      </w:r>
      <w:r w:rsidRPr="00EA6A79">
        <w:rPr>
          <w:rFonts w:ascii="Times New Roman" w:eastAsia="Times New Roman" w:hAnsi="Times New Roman" w:cs="Times New Roman"/>
          <w:sz w:val="24"/>
          <w:szCs w:val="24"/>
          <w:lang w:val="ms-MY"/>
        </w:rPr>
        <w:t xml:space="preserve">, </w:t>
      </w:r>
      <w:r w:rsidR="00872111" w:rsidRPr="00EA6A79">
        <w:rPr>
          <w:rFonts w:ascii="Times New Roman" w:eastAsia="Times New Roman" w:hAnsi="Times New Roman" w:cs="Times New Roman"/>
          <w:sz w:val="24"/>
          <w:szCs w:val="24"/>
          <w:lang w:val="ms-MY"/>
        </w:rPr>
        <w:t>575</w:t>
      </w:r>
      <w:r w:rsidRPr="00EA6A79">
        <w:rPr>
          <w:rFonts w:ascii="Times New Roman" w:eastAsia="Times New Roman" w:hAnsi="Times New Roman" w:cs="Times New Roman"/>
          <w:sz w:val="24"/>
          <w:szCs w:val="24"/>
          <w:lang w:val="ms-MY"/>
        </w:rPr>
        <w:t>-</w:t>
      </w:r>
      <w:r w:rsidR="00872111" w:rsidRPr="00EA6A79">
        <w:rPr>
          <w:rFonts w:ascii="Times New Roman" w:eastAsia="Times New Roman" w:hAnsi="Times New Roman" w:cs="Times New Roman"/>
          <w:sz w:val="24"/>
          <w:szCs w:val="24"/>
          <w:lang w:val="ms-MY"/>
        </w:rPr>
        <w:t>603</w:t>
      </w:r>
      <w:r w:rsidRPr="00EA6A79">
        <w:rPr>
          <w:rFonts w:ascii="Times New Roman" w:eastAsia="Times New Roman" w:hAnsi="Times New Roman" w:cs="Times New Roman"/>
          <w:sz w:val="24"/>
          <w:szCs w:val="24"/>
          <w:lang w:val="ms-MY"/>
        </w:rPr>
        <w:t>.</w:t>
      </w:r>
    </w:p>
    <w:p w14:paraId="0DCA099E" w14:textId="77777777" w:rsidR="00632CAA" w:rsidRPr="00EA6A79" w:rsidRDefault="004D7CE9" w:rsidP="00632CAA">
      <w:pPr>
        <w:spacing w:after="0" w:line="240" w:lineRule="auto"/>
        <w:ind w:left="709" w:hanging="709"/>
        <w:jc w:val="both"/>
        <w:rPr>
          <w:rFonts w:ascii="Times New Roman" w:eastAsia="Times New Roman" w:hAnsi="Times New Roman" w:cs="Times New Roman"/>
          <w:sz w:val="24"/>
          <w:szCs w:val="24"/>
          <w:lang w:val="ms-MY"/>
        </w:rPr>
      </w:pPr>
      <w:r w:rsidRPr="00EA6A79">
        <w:rPr>
          <w:rFonts w:ascii="Times New Roman" w:eastAsia="Times New Roman" w:hAnsi="Times New Roman" w:cs="Times New Roman"/>
          <w:sz w:val="24"/>
          <w:szCs w:val="24"/>
          <w:lang w:val="ms-MY"/>
        </w:rPr>
        <w:t>Jorda, O., Scularick, M.</w:t>
      </w:r>
      <w:r w:rsidR="00632CAA" w:rsidRPr="00EA6A79">
        <w:rPr>
          <w:rFonts w:ascii="Times New Roman" w:eastAsia="Times New Roman" w:hAnsi="Times New Roman" w:cs="Times New Roman"/>
          <w:sz w:val="24"/>
          <w:szCs w:val="24"/>
          <w:lang w:val="ms-MY"/>
        </w:rPr>
        <w:t xml:space="preserve"> and Taylor, A.M. (</w:t>
      </w:r>
      <w:r w:rsidR="00632CAA" w:rsidRPr="00EC3679">
        <w:rPr>
          <w:rFonts w:ascii="Times New Roman" w:eastAsia="Times New Roman" w:hAnsi="Times New Roman" w:cs="Times New Roman"/>
          <w:color w:val="5B9BD5" w:themeColor="accent1"/>
          <w:sz w:val="24"/>
          <w:szCs w:val="24"/>
          <w:lang w:val="ms-MY"/>
        </w:rPr>
        <w:t>201</w:t>
      </w:r>
      <w:r w:rsidR="00FF5EA7" w:rsidRPr="00EA6A79">
        <w:rPr>
          <w:rFonts w:ascii="Times New Roman" w:eastAsia="Times New Roman" w:hAnsi="Times New Roman" w:cs="Times New Roman"/>
          <w:sz w:val="24"/>
          <w:szCs w:val="24"/>
          <w:lang w:val="ms-MY"/>
        </w:rPr>
        <w:t>1</w:t>
      </w:r>
      <w:r w:rsidR="00632CAA" w:rsidRPr="00EA6A79">
        <w:rPr>
          <w:rFonts w:ascii="Times New Roman" w:eastAsia="Times New Roman" w:hAnsi="Times New Roman" w:cs="Times New Roman"/>
          <w:sz w:val="24"/>
          <w:szCs w:val="24"/>
          <w:lang w:val="ms-MY"/>
        </w:rPr>
        <w:t xml:space="preserve">) Financial crises, credit booms and external imbalances: 140 years of lessons, </w:t>
      </w:r>
      <w:r w:rsidR="00632CAA" w:rsidRPr="00EA6A79">
        <w:rPr>
          <w:rFonts w:ascii="Times New Roman" w:eastAsia="Times New Roman" w:hAnsi="Times New Roman" w:cs="Times New Roman"/>
          <w:i/>
          <w:iCs/>
          <w:sz w:val="24"/>
          <w:szCs w:val="24"/>
          <w:lang w:val="ms-MY"/>
        </w:rPr>
        <w:t>IMF Economic Review</w:t>
      </w:r>
      <w:r w:rsidR="00632CAA" w:rsidRPr="00EA6A79">
        <w:rPr>
          <w:rFonts w:ascii="Times New Roman" w:eastAsia="Times New Roman" w:hAnsi="Times New Roman" w:cs="Times New Roman"/>
          <w:sz w:val="24"/>
          <w:szCs w:val="24"/>
          <w:lang w:val="ms-MY"/>
        </w:rPr>
        <w:t xml:space="preserve">, </w:t>
      </w:r>
      <w:r w:rsidR="00632CAA" w:rsidRPr="00EA6A79">
        <w:rPr>
          <w:rFonts w:ascii="Times New Roman" w:eastAsia="Times New Roman" w:hAnsi="Times New Roman" w:cs="Times New Roman"/>
          <w:bCs/>
          <w:sz w:val="24"/>
          <w:szCs w:val="24"/>
          <w:lang w:val="ms-MY"/>
        </w:rPr>
        <w:t>59</w:t>
      </w:r>
      <w:r w:rsidR="00872111" w:rsidRPr="00EA6A79">
        <w:rPr>
          <w:rFonts w:ascii="Times New Roman" w:eastAsia="Times New Roman" w:hAnsi="Times New Roman" w:cs="Times New Roman"/>
          <w:bCs/>
          <w:sz w:val="24"/>
          <w:szCs w:val="24"/>
          <w:lang w:val="ms-MY"/>
        </w:rPr>
        <w:t>(2)</w:t>
      </w:r>
      <w:r w:rsidR="00632CAA" w:rsidRPr="00EA6A79">
        <w:rPr>
          <w:rFonts w:ascii="Times New Roman" w:eastAsia="Times New Roman" w:hAnsi="Times New Roman" w:cs="Times New Roman"/>
          <w:sz w:val="24"/>
          <w:szCs w:val="24"/>
          <w:lang w:val="ms-MY"/>
        </w:rPr>
        <w:t>, 340-378.</w:t>
      </w:r>
    </w:p>
    <w:p w14:paraId="1ADFA4E7" w14:textId="77777777" w:rsidR="00632CAA" w:rsidRPr="00EA6A79" w:rsidRDefault="00632CAA" w:rsidP="00632CAA">
      <w:pPr>
        <w:spacing w:after="0" w:line="240" w:lineRule="auto"/>
        <w:ind w:left="709" w:hanging="709"/>
        <w:jc w:val="both"/>
        <w:rPr>
          <w:rFonts w:ascii="Times New Roman" w:eastAsia="Times New Roman" w:hAnsi="Times New Roman" w:cs="Times New Roman"/>
          <w:sz w:val="24"/>
          <w:szCs w:val="24"/>
          <w:lang w:val="ms-MY"/>
        </w:rPr>
      </w:pPr>
      <w:r w:rsidRPr="00EA6A79">
        <w:rPr>
          <w:rFonts w:ascii="Times New Roman" w:eastAsia="Times New Roman" w:hAnsi="Times New Roman" w:cs="Times New Roman"/>
          <w:sz w:val="24"/>
          <w:szCs w:val="24"/>
          <w:lang w:val="ms-MY"/>
        </w:rPr>
        <w:t>Kim, Y.</w:t>
      </w:r>
      <w:r w:rsidR="00872111" w:rsidRPr="00EA6A79">
        <w:rPr>
          <w:rFonts w:ascii="Times New Roman" w:eastAsia="Times New Roman" w:hAnsi="Times New Roman" w:cs="Times New Roman"/>
          <w:sz w:val="24"/>
          <w:szCs w:val="24"/>
          <w:lang w:val="ms-MY"/>
        </w:rPr>
        <w:t>K.</w:t>
      </w:r>
      <w:r w:rsidRPr="00EA6A79">
        <w:rPr>
          <w:rFonts w:ascii="Times New Roman" w:eastAsia="Times New Roman" w:hAnsi="Times New Roman" w:cs="Times New Roman"/>
          <w:sz w:val="24"/>
          <w:szCs w:val="24"/>
          <w:lang w:val="ms-MY"/>
        </w:rPr>
        <w:t xml:space="preserve"> (2016) Macroeconomic effects of household debt: An empirical analysis, </w:t>
      </w:r>
      <w:r w:rsidRPr="00EA6A79">
        <w:rPr>
          <w:rFonts w:ascii="Times New Roman" w:eastAsia="Times New Roman" w:hAnsi="Times New Roman" w:cs="Times New Roman"/>
          <w:i/>
          <w:iCs/>
          <w:sz w:val="24"/>
          <w:szCs w:val="24"/>
          <w:lang w:val="ms-MY"/>
        </w:rPr>
        <w:t>Review of Keynesian Economics</w:t>
      </w:r>
      <w:r w:rsidRPr="00EA6A79">
        <w:rPr>
          <w:rFonts w:ascii="Times New Roman" w:eastAsia="Times New Roman" w:hAnsi="Times New Roman" w:cs="Times New Roman"/>
          <w:sz w:val="24"/>
          <w:szCs w:val="24"/>
          <w:lang w:val="ms-MY"/>
        </w:rPr>
        <w:t xml:space="preserve">, </w:t>
      </w:r>
      <w:r w:rsidRPr="00EA6A79">
        <w:rPr>
          <w:rFonts w:ascii="Times New Roman" w:eastAsia="Times New Roman" w:hAnsi="Times New Roman" w:cs="Times New Roman"/>
          <w:bCs/>
          <w:sz w:val="24"/>
          <w:szCs w:val="24"/>
          <w:lang w:val="ms-MY"/>
        </w:rPr>
        <w:t>4</w:t>
      </w:r>
      <w:r w:rsidR="00872111" w:rsidRPr="00EA6A79">
        <w:rPr>
          <w:rFonts w:ascii="Times New Roman" w:eastAsia="Times New Roman" w:hAnsi="Times New Roman" w:cs="Times New Roman"/>
          <w:bCs/>
          <w:sz w:val="24"/>
          <w:szCs w:val="24"/>
          <w:lang w:val="ms-MY"/>
        </w:rPr>
        <w:t>(2)</w:t>
      </w:r>
      <w:r w:rsidRPr="00EA6A79">
        <w:rPr>
          <w:rFonts w:ascii="Times New Roman" w:eastAsia="Times New Roman" w:hAnsi="Times New Roman" w:cs="Times New Roman"/>
          <w:sz w:val="24"/>
          <w:szCs w:val="24"/>
          <w:lang w:val="ms-MY"/>
        </w:rPr>
        <w:t>, 127-150.</w:t>
      </w:r>
    </w:p>
    <w:p w14:paraId="10C60363" w14:textId="77777777" w:rsidR="00632CAA" w:rsidRPr="00EA6A79" w:rsidRDefault="00632CAA" w:rsidP="00632CAA">
      <w:pPr>
        <w:spacing w:after="0" w:line="240" w:lineRule="auto"/>
        <w:ind w:left="709" w:hanging="709"/>
        <w:jc w:val="both"/>
        <w:rPr>
          <w:rFonts w:ascii="Times New Roman" w:eastAsia="Times New Roman" w:hAnsi="Times New Roman" w:cs="Times New Roman"/>
          <w:sz w:val="24"/>
          <w:szCs w:val="24"/>
          <w:lang w:val="ms-MY"/>
        </w:rPr>
      </w:pPr>
      <w:r w:rsidRPr="00EA6A79">
        <w:rPr>
          <w:rFonts w:ascii="Times New Roman" w:eastAsia="Times New Roman" w:hAnsi="Times New Roman" w:cs="Times New Roman"/>
          <w:sz w:val="24"/>
          <w:szCs w:val="24"/>
          <w:lang w:val="ms-MY"/>
        </w:rPr>
        <w:t xml:space="preserve">Law, S.H. and Singh, N. (2014) Does too much finance harm economic growth? </w:t>
      </w:r>
      <w:r w:rsidRPr="00EA6A79">
        <w:rPr>
          <w:rFonts w:ascii="Times New Roman" w:eastAsia="Times New Roman" w:hAnsi="Times New Roman" w:cs="Times New Roman"/>
          <w:i/>
          <w:iCs/>
          <w:sz w:val="24"/>
          <w:szCs w:val="24"/>
          <w:lang w:val="ms-MY"/>
        </w:rPr>
        <w:t>Journal of Banking and Finance</w:t>
      </w:r>
      <w:r w:rsidRPr="00EA6A79">
        <w:rPr>
          <w:rFonts w:ascii="Times New Roman" w:eastAsia="Times New Roman" w:hAnsi="Times New Roman" w:cs="Times New Roman"/>
          <w:sz w:val="24"/>
          <w:szCs w:val="24"/>
          <w:lang w:val="ms-MY"/>
        </w:rPr>
        <w:t xml:space="preserve">, </w:t>
      </w:r>
      <w:r w:rsidRPr="00EA6A79">
        <w:rPr>
          <w:rFonts w:ascii="Times New Roman" w:eastAsia="Times New Roman" w:hAnsi="Times New Roman" w:cs="Times New Roman"/>
          <w:bCs/>
          <w:sz w:val="24"/>
          <w:szCs w:val="24"/>
          <w:lang w:val="ms-MY"/>
        </w:rPr>
        <w:t>41</w:t>
      </w:r>
      <w:r w:rsidRPr="00EA6A79">
        <w:rPr>
          <w:rFonts w:ascii="Times New Roman" w:eastAsia="Times New Roman" w:hAnsi="Times New Roman" w:cs="Times New Roman"/>
          <w:sz w:val="24"/>
          <w:szCs w:val="24"/>
          <w:lang w:val="ms-MY"/>
        </w:rPr>
        <w:t>, 36-44.</w:t>
      </w:r>
    </w:p>
    <w:p w14:paraId="177CA996" w14:textId="77777777" w:rsidR="00632CAA" w:rsidRPr="00EA6A79" w:rsidRDefault="00632CAA" w:rsidP="00632CAA">
      <w:pPr>
        <w:spacing w:after="0" w:line="240" w:lineRule="auto"/>
        <w:ind w:left="709" w:hanging="709"/>
        <w:jc w:val="both"/>
        <w:rPr>
          <w:rFonts w:ascii="Times New Roman" w:eastAsia="Times New Roman" w:hAnsi="Times New Roman" w:cs="Times New Roman"/>
          <w:sz w:val="24"/>
          <w:szCs w:val="24"/>
          <w:lang w:val="ms-MY"/>
        </w:rPr>
      </w:pPr>
      <w:r w:rsidRPr="00EA6A79">
        <w:rPr>
          <w:rFonts w:ascii="Times New Roman" w:eastAsia="Times New Roman" w:hAnsi="Times New Roman" w:cs="Times New Roman"/>
          <w:sz w:val="24"/>
          <w:szCs w:val="24"/>
          <w:lang w:val="ms-MY"/>
        </w:rPr>
        <w:t>Levine, R., Loay</w:t>
      </w:r>
      <w:r w:rsidR="004D7CE9" w:rsidRPr="00EA6A79">
        <w:rPr>
          <w:rFonts w:ascii="Times New Roman" w:eastAsia="Times New Roman" w:hAnsi="Times New Roman" w:cs="Times New Roman"/>
          <w:sz w:val="24"/>
          <w:szCs w:val="24"/>
          <w:lang w:val="ms-MY"/>
        </w:rPr>
        <w:t>za, N.</w:t>
      </w:r>
      <w:r w:rsidRPr="00EA6A79">
        <w:rPr>
          <w:rFonts w:ascii="Times New Roman" w:eastAsia="Times New Roman" w:hAnsi="Times New Roman" w:cs="Times New Roman"/>
          <w:sz w:val="24"/>
          <w:szCs w:val="24"/>
          <w:lang w:val="ms-MY"/>
        </w:rPr>
        <w:t xml:space="preserve"> and Beck, T. (2000) Financial intermediation and growth: Causality and causes, </w:t>
      </w:r>
      <w:r w:rsidRPr="00EA6A79">
        <w:rPr>
          <w:rFonts w:ascii="Times New Roman" w:eastAsia="Times New Roman" w:hAnsi="Times New Roman" w:cs="Times New Roman"/>
          <w:i/>
          <w:iCs/>
          <w:sz w:val="24"/>
          <w:szCs w:val="24"/>
          <w:lang w:val="ms-MY"/>
        </w:rPr>
        <w:t>Journal of Monetary Economics</w:t>
      </w:r>
      <w:r w:rsidRPr="00EA6A79">
        <w:rPr>
          <w:rFonts w:ascii="Times New Roman" w:eastAsia="Times New Roman" w:hAnsi="Times New Roman" w:cs="Times New Roman"/>
          <w:sz w:val="24"/>
          <w:szCs w:val="24"/>
          <w:lang w:val="ms-MY"/>
        </w:rPr>
        <w:t xml:space="preserve">, </w:t>
      </w:r>
      <w:r w:rsidR="00872111" w:rsidRPr="00EA6A79">
        <w:rPr>
          <w:rFonts w:ascii="Times New Roman" w:eastAsia="Times New Roman" w:hAnsi="Times New Roman" w:cs="Times New Roman"/>
          <w:bCs/>
          <w:sz w:val="24"/>
          <w:szCs w:val="24"/>
          <w:lang w:val="ms-MY"/>
        </w:rPr>
        <w:t>4</w:t>
      </w:r>
      <w:r w:rsidRPr="00EA6A79">
        <w:rPr>
          <w:rFonts w:ascii="Times New Roman" w:eastAsia="Times New Roman" w:hAnsi="Times New Roman" w:cs="Times New Roman"/>
          <w:bCs/>
          <w:sz w:val="24"/>
          <w:szCs w:val="24"/>
          <w:lang w:val="ms-MY"/>
        </w:rPr>
        <w:t>6</w:t>
      </w:r>
      <w:r w:rsidR="00872111" w:rsidRPr="00EA6A79">
        <w:rPr>
          <w:rFonts w:ascii="Times New Roman" w:eastAsia="Times New Roman" w:hAnsi="Times New Roman" w:cs="Times New Roman"/>
          <w:bCs/>
          <w:sz w:val="24"/>
          <w:szCs w:val="24"/>
          <w:lang w:val="ms-MY"/>
        </w:rPr>
        <w:t>(1)</w:t>
      </w:r>
      <w:r w:rsidRPr="00EA6A79">
        <w:rPr>
          <w:rFonts w:ascii="Times New Roman" w:eastAsia="Times New Roman" w:hAnsi="Times New Roman" w:cs="Times New Roman"/>
          <w:sz w:val="24"/>
          <w:szCs w:val="24"/>
          <w:lang w:val="ms-MY"/>
        </w:rPr>
        <w:t>, 31-77.</w:t>
      </w:r>
    </w:p>
    <w:p w14:paraId="248290F2" w14:textId="77777777" w:rsidR="00632CAA" w:rsidRPr="00EA6A79" w:rsidRDefault="00632CAA" w:rsidP="00632CAA">
      <w:pPr>
        <w:spacing w:after="0" w:line="240" w:lineRule="auto"/>
        <w:ind w:left="709" w:hanging="709"/>
        <w:jc w:val="both"/>
        <w:rPr>
          <w:rFonts w:ascii="Times New Roman" w:eastAsia="MS Mincho" w:hAnsi="Times New Roman" w:cs="Times New Roman"/>
          <w:sz w:val="24"/>
          <w:szCs w:val="24"/>
          <w:lang w:val="ms-MY" w:eastAsia="ja-JP"/>
        </w:rPr>
      </w:pPr>
      <w:r w:rsidRPr="00EA6A79">
        <w:rPr>
          <w:rFonts w:ascii="Times New Roman" w:eastAsia="Times New Roman" w:hAnsi="Times New Roman" w:cs="Times New Roman"/>
          <w:noProof/>
          <w:sz w:val="24"/>
          <w:szCs w:val="24"/>
          <w:lang w:val="ms-MY" w:eastAsia="ms-MY"/>
        </w:rPr>
        <w:t xml:space="preserve">Mendoza, E.G. and Terrones, M.E. (2008) </w:t>
      </w:r>
      <w:r w:rsidRPr="00EA6A79">
        <w:rPr>
          <w:rFonts w:ascii="Times New Roman" w:eastAsia="Times New Roman" w:hAnsi="Times New Roman" w:cs="Times New Roman"/>
          <w:i/>
          <w:noProof/>
          <w:sz w:val="24"/>
          <w:szCs w:val="24"/>
          <w:lang w:val="ms-MY" w:eastAsia="ms-MY"/>
        </w:rPr>
        <w:t>An anatomy of credit booms: Evidence from macro aggregates and micro data</w:t>
      </w:r>
      <w:r w:rsidR="00886056" w:rsidRPr="00EA6A79">
        <w:rPr>
          <w:rFonts w:ascii="Times New Roman" w:eastAsia="Times New Roman" w:hAnsi="Times New Roman" w:cs="Times New Roman"/>
          <w:noProof/>
          <w:sz w:val="24"/>
          <w:szCs w:val="24"/>
          <w:lang w:val="ms-MY" w:eastAsia="ms-MY"/>
        </w:rPr>
        <w:t>,</w:t>
      </w:r>
      <w:r w:rsidRPr="00EA6A79">
        <w:rPr>
          <w:rFonts w:ascii="Times New Roman" w:eastAsia="Times New Roman" w:hAnsi="Times New Roman" w:cs="Times New Roman"/>
          <w:noProof/>
          <w:sz w:val="24"/>
          <w:szCs w:val="24"/>
          <w:lang w:val="ms-MY" w:eastAsia="ms-MY"/>
        </w:rPr>
        <w:t xml:space="preserve"> NBER Working Paper No. 14049</w:t>
      </w:r>
      <w:r w:rsidR="00886056" w:rsidRPr="00EA6A79">
        <w:rPr>
          <w:rFonts w:ascii="Times New Roman" w:eastAsia="Times New Roman" w:hAnsi="Times New Roman" w:cs="Times New Roman"/>
          <w:noProof/>
          <w:sz w:val="24"/>
          <w:szCs w:val="24"/>
          <w:lang w:val="ms-MY" w:eastAsia="ms-MY"/>
        </w:rPr>
        <w:t>.</w:t>
      </w:r>
      <w:r w:rsidRPr="00EA6A79">
        <w:rPr>
          <w:rFonts w:ascii="Times New Roman" w:eastAsia="MS Mincho" w:hAnsi="Times New Roman" w:cs="Times New Roman"/>
          <w:sz w:val="24"/>
          <w:szCs w:val="24"/>
          <w:lang w:val="ms-MY" w:eastAsia="ja-JP"/>
        </w:rPr>
        <w:t xml:space="preserve"> Cambridge, MA.</w:t>
      </w:r>
    </w:p>
    <w:p w14:paraId="3FFF6942" w14:textId="77777777" w:rsidR="00632CAA" w:rsidRPr="00EA6A79" w:rsidRDefault="00632CAA" w:rsidP="00632CAA">
      <w:pPr>
        <w:spacing w:after="0" w:line="240" w:lineRule="auto"/>
        <w:ind w:left="709" w:hanging="709"/>
        <w:jc w:val="both"/>
        <w:rPr>
          <w:rFonts w:ascii="Times New Roman" w:eastAsia="Times New Roman" w:hAnsi="Times New Roman" w:cs="Times New Roman"/>
          <w:sz w:val="24"/>
          <w:szCs w:val="24"/>
          <w:lang w:val="ms-MY"/>
        </w:rPr>
      </w:pPr>
      <w:r w:rsidRPr="00EA6A79">
        <w:rPr>
          <w:rFonts w:ascii="Times New Roman" w:eastAsia="Times New Roman" w:hAnsi="Times New Roman" w:cs="Times New Roman"/>
          <w:sz w:val="24"/>
          <w:szCs w:val="24"/>
          <w:lang w:val="ms-MY"/>
        </w:rPr>
        <w:t xml:space="preserve">Mishra, S. and Narayan, P.K. (2015) A nonparametric model of financial system and economic growth. </w:t>
      </w:r>
      <w:r w:rsidRPr="00EA6A79">
        <w:rPr>
          <w:rFonts w:ascii="Times New Roman" w:eastAsia="Times New Roman" w:hAnsi="Times New Roman" w:cs="Times New Roman"/>
          <w:i/>
          <w:iCs/>
          <w:sz w:val="24"/>
          <w:szCs w:val="24"/>
          <w:lang w:val="ms-MY"/>
        </w:rPr>
        <w:t>International Review of Economic</w:t>
      </w:r>
      <w:r w:rsidR="00872111" w:rsidRPr="00EA6A79">
        <w:rPr>
          <w:rFonts w:ascii="Times New Roman" w:eastAsia="Times New Roman" w:hAnsi="Times New Roman" w:cs="Times New Roman"/>
          <w:i/>
          <w:iCs/>
          <w:sz w:val="24"/>
          <w:szCs w:val="24"/>
          <w:lang w:val="ms-MY"/>
        </w:rPr>
        <w:t>s</w:t>
      </w:r>
      <w:r w:rsidRPr="00EA6A79">
        <w:rPr>
          <w:rFonts w:ascii="Times New Roman" w:eastAsia="Times New Roman" w:hAnsi="Times New Roman" w:cs="Times New Roman"/>
          <w:i/>
          <w:iCs/>
          <w:sz w:val="24"/>
          <w:szCs w:val="24"/>
          <w:lang w:val="ms-MY"/>
        </w:rPr>
        <w:t xml:space="preserve"> and Finance</w:t>
      </w:r>
      <w:r w:rsidRPr="00EA6A79">
        <w:rPr>
          <w:rFonts w:ascii="Times New Roman" w:eastAsia="Times New Roman" w:hAnsi="Times New Roman" w:cs="Times New Roman"/>
          <w:sz w:val="24"/>
          <w:szCs w:val="24"/>
          <w:lang w:val="ms-MY"/>
        </w:rPr>
        <w:t xml:space="preserve">, </w:t>
      </w:r>
      <w:r w:rsidRPr="00EA6A79">
        <w:rPr>
          <w:rFonts w:ascii="Times New Roman" w:eastAsia="Times New Roman" w:hAnsi="Times New Roman" w:cs="Times New Roman"/>
          <w:bCs/>
          <w:sz w:val="24"/>
          <w:szCs w:val="24"/>
          <w:lang w:val="ms-MY"/>
        </w:rPr>
        <w:t>39</w:t>
      </w:r>
      <w:r w:rsidRPr="00EA6A79">
        <w:rPr>
          <w:rFonts w:ascii="Times New Roman" w:eastAsia="Times New Roman" w:hAnsi="Times New Roman" w:cs="Times New Roman"/>
          <w:sz w:val="24"/>
          <w:szCs w:val="24"/>
          <w:lang w:val="ms-MY"/>
        </w:rPr>
        <w:t xml:space="preserve">, 175-191. </w:t>
      </w:r>
    </w:p>
    <w:p w14:paraId="0F9F0FA1" w14:textId="03BF02C6" w:rsidR="00B325BE" w:rsidRPr="00632CAA" w:rsidRDefault="004D7CE9" w:rsidP="00B16A7B">
      <w:pPr>
        <w:spacing w:after="0" w:line="240" w:lineRule="auto"/>
        <w:ind w:left="709" w:hanging="709"/>
        <w:jc w:val="both"/>
        <w:rPr>
          <w:lang w:val="ms-MY"/>
        </w:rPr>
      </w:pPr>
      <w:r w:rsidRPr="00EA6A79">
        <w:rPr>
          <w:rFonts w:ascii="Times New Roman" w:eastAsia="Times New Roman" w:hAnsi="Times New Roman" w:cs="Times New Roman"/>
          <w:sz w:val="24"/>
          <w:szCs w:val="24"/>
          <w:lang w:val="ms-MY"/>
        </w:rPr>
        <w:t>Schularick, M.</w:t>
      </w:r>
      <w:r w:rsidR="00632CAA" w:rsidRPr="00EA6A79">
        <w:rPr>
          <w:rFonts w:ascii="Times New Roman" w:eastAsia="Times New Roman" w:hAnsi="Times New Roman" w:cs="Times New Roman"/>
          <w:sz w:val="24"/>
          <w:szCs w:val="24"/>
          <w:lang w:val="ms-MY"/>
        </w:rPr>
        <w:t xml:space="preserve"> and Taylor, A.M. (2012) Credit booms gone bust: Monetary policy, leverage cycles and financial crises, 1870-2008, </w:t>
      </w:r>
      <w:r w:rsidR="00632CAA" w:rsidRPr="00EA6A79">
        <w:rPr>
          <w:rFonts w:ascii="Times New Roman" w:eastAsia="Times New Roman" w:hAnsi="Times New Roman" w:cs="Times New Roman"/>
          <w:i/>
          <w:iCs/>
          <w:sz w:val="24"/>
          <w:szCs w:val="24"/>
          <w:lang w:val="ms-MY"/>
        </w:rPr>
        <w:t>American Economic Review</w:t>
      </w:r>
      <w:r w:rsidR="00632CAA" w:rsidRPr="00EA6A79">
        <w:rPr>
          <w:rFonts w:ascii="Times New Roman" w:eastAsia="Times New Roman" w:hAnsi="Times New Roman" w:cs="Times New Roman"/>
          <w:sz w:val="24"/>
          <w:szCs w:val="24"/>
          <w:lang w:val="ms-MY"/>
        </w:rPr>
        <w:t xml:space="preserve">, </w:t>
      </w:r>
      <w:r w:rsidR="00632CAA" w:rsidRPr="00EA6A79">
        <w:rPr>
          <w:rFonts w:ascii="Times New Roman" w:eastAsia="Times New Roman" w:hAnsi="Times New Roman" w:cs="Times New Roman"/>
          <w:bCs/>
          <w:sz w:val="24"/>
          <w:szCs w:val="24"/>
          <w:lang w:val="ms-MY"/>
        </w:rPr>
        <w:t>102</w:t>
      </w:r>
      <w:r w:rsidR="00872111" w:rsidRPr="00EA6A79">
        <w:rPr>
          <w:rFonts w:ascii="Times New Roman" w:eastAsia="Times New Roman" w:hAnsi="Times New Roman" w:cs="Times New Roman"/>
          <w:bCs/>
          <w:sz w:val="24"/>
          <w:szCs w:val="24"/>
          <w:lang w:val="ms-MY"/>
        </w:rPr>
        <w:t>(2)</w:t>
      </w:r>
      <w:r w:rsidR="00632CAA" w:rsidRPr="00EA6A79">
        <w:rPr>
          <w:rFonts w:ascii="Times New Roman" w:eastAsia="Times New Roman" w:hAnsi="Times New Roman" w:cs="Times New Roman"/>
          <w:sz w:val="24"/>
          <w:szCs w:val="24"/>
          <w:lang w:val="ms-MY"/>
        </w:rPr>
        <w:t>, 1029-</w:t>
      </w:r>
      <w:r w:rsidR="00632CAA" w:rsidRPr="00632CAA">
        <w:rPr>
          <w:rFonts w:ascii="Times New Roman" w:eastAsia="Times New Roman" w:hAnsi="Times New Roman" w:cs="Times New Roman"/>
          <w:sz w:val="24"/>
          <w:szCs w:val="24"/>
          <w:lang w:val="ms-MY"/>
        </w:rPr>
        <w:t>1061.</w:t>
      </w:r>
    </w:p>
    <w:sectPr w:rsidR="00B325BE" w:rsidRPr="00632CAA">
      <w:footerReference w:type="default" r:id="rId17"/>
      <w:pgSz w:w="11907" w:h="16840" w:code="9"/>
      <w:pgMar w:top="1418" w:right="1418" w:bottom="1418"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9D267" w16cid:durableId="1E315D82"/>
  <w16cid:commentId w16cid:paraId="4A41BE37" w16cid:durableId="1E315DA7"/>
  <w16cid:commentId w16cid:paraId="572B2F20" w16cid:durableId="1E315DD0"/>
  <w16cid:commentId w16cid:paraId="2EBBD517" w16cid:durableId="1E315DEB"/>
  <w16cid:commentId w16cid:paraId="71E97B74" w16cid:durableId="1E315CFF"/>
  <w16cid:commentId w16cid:paraId="253207AE" w16cid:durableId="1E315D16"/>
  <w16cid:commentId w16cid:paraId="0B5D5F7A" w16cid:durableId="1E315D36"/>
  <w16cid:commentId w16cid:paraId="182486D1" w16cid:durableId="1E315D52"/>
  <w16cid:commentId w16cid:paraId="4C54BBF1" w16cid:durableId="1E315D69"/>
  <w16cid:commentId w16cid:paraId="69BAF958" w16cid:durableId="1E316363"/>
  <w16cid:commentId w16cid:paraId="44FC9B48" w16cid:durableId="1E315D94"/>
  <w16cid:commentId w16cid:paraId="29DDEBBB" w16cid:durableId="1E316362"/>
  <w16cid:commentId w16cid:paraId="41A91EDA" w16cid:durableId="1E316361"/>
  <w16cid:commentId w16cid:paraId="10117AB3" w16cid:durableId="1E316360"/>
  <w16cid:commentId w16cid:paraId="099CCEEA" w16cid:durableId="1E315E1C"/>
  <w16cid:commentId w16cid:paraId="5FBAAF16" w16cid:durableId="1E315E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30D7" w14:textId="77777777" w:rsidR="00596012" w:rsidRDefault="00596012" w:rsidP="00632CAA">
      <w:pPr>
        <w:spacing w:after="0" w:line="240" w:lineRule="auto"/>
      </w:pPr>
      <w:r>
        <w:separator/>
      </w:r>
    </w:p>
  </w:endnote>
  <w:endnote w:type="continuationSeparator" w:id="0">
    <w:p w14:paraId="6665CF5A" w14:textId="77777777" w:rsidR="00596012" w:rsidRDefault="00596012" w:rsidP="0063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021849"/>
      <w:docPartObj>
        <w:docPartGallery w:val="Page Numbers (Bottom of Page)"/>
        <w:docPartUnique/>
      </w:docPartObj>
    </w:sdtPr>
    <w:sdtEndPr>
      <w:rPr>
        <w:noProof/>
      </w:rPr>
    </w:sdtEndPr>
    <w:sdtContent>
      <w:p w14:paraId="28DF626D" w14:textId="49580EB9" w:rsidR="00596012" w:rsidRDefault="00596012">
        <w:pPr>
          <w:pStyle w:val="Footer"/>
          <w:jc w:val="center"/>
        </w:pPr>
        <w:r>
          <w:fldChar w:fldCharType="begin"/>
        </w:r>
        <w:r>
          <w:instrText xml:space="preserve"> PAGE   \* MERGEFORMAT </w:instrText>
        </w:r>
        <w:r>
          <w:fldChar w:fldCharType="separate"/>
        </w:r>
        <w:r w:rsidR="00451587">
          <w:rPr>
            <w:noProof/>
          </w:rPr>
          <w:t>1</w:t>
        </w:r>
        <w:r>
          <w:rPr>
            <w:noProof/>
          </w:rPr>
          <w:fldChar w:fldCharType="end"/>
        </w:r>
      </w:p>
    </w:sdtContent>
  </w:sdt>
  <w:p w14:paraId="1CCFC578" w14:textId="77777777" w:rsidR="00596012" w:rsidRDefault="00596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099690"/>
      <w:docPartObj>
        <w:docPartGallery w:val="Page Numbers (Bottom of Page)"/>
        <w:docPartUnique/>
      </w:docPartObj>
    </w:sdtPr>
    <w:sdtEndPr>
      <w:rPr>
        <w:noProof/>
      </w:rPr>
    </w:sdtEndPr>
    <w:sdtContent>
      <w:p w14:paraId="02AD799C" w14:textId="7B019FE3" w:rsidR="00596012" w:rsidRDefault="00596012">
        <w:pPr>
          <w:pStyle w:val="Footer"/>
          <w:jc w:val="center"/>
        </w:pPr>
        <w:r>
          <w:fldChar w:fldCharType="begin"/>
        </w:r>
        <w:r>
          <w:instrText xml:space="preserve"> PAGE   \* MERGEFORMAT </w:instrText>
        </w:r>
        <w:r>
          <w:fldChar w:fldCharType="separate"/>
        </w:r>
        <w:r w:rsidR="00451587">
          <w:rPr>
            <w:noProof/>
          </w:rPr>
          <w:t>8</w:t>
        </w:r>
        <w:r>
          <w:rPr>
            <w:noProof/>
          </w:rPr>
          <w:fldChar w:fldCharType="end"/>
        </w:r>
      </w:p>
    </w:sdtContent>
  </w:sdt>
  <w:p w14:paraId="541F100A" w14:textId="77777777" w:rsidR="00596012" w:rsidRDefault="0059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C0931" w14:textId="77777777" w:rsidR="00596012" w:rsidRDefault="00596012" w:rsidP="00632CAA">
      <w:pPr>
        <w:spacing w:after="0" w:line="240" w:lineRule="auto"/>
      </w:pPr>
      <w:r>
        <w:separator/>
      </w:r>
    </w:p>
  </w:footnote>
  <w:footnote w:type="continuationSeparator" w:id="0">
    <w:p w14:paraId="36AFAAE2" w14:textId="77777777" w:rsidR="00596012" w:rsidRDefault="00596012" w:rsidP="00632CAA">
      <w:pPr>
        <w:spacing w:after="0" w:line="240" w:lineRule="auto"/>
      </w:pPr>
      <w:r>
        <w:continuationSeparator/>
      </w:r>
    </w:p>
  </w:footnote>
  <w:footnote w:id="1">
    <w:p w14:paraId="3F1F644B" w14:textId="77777777" w:rsidR="00596012" w:rsidRPr="00B32A51" w:rsidRDefault="00596012" w:rsidP="00632CAA">
      <w:pPr>
        <w:pStyle w:val="FootnoteText"/>
        <w:jc w:val="both"/>
        <w:rPr>
          <w:rFonts w:ascii="Times New Roman" w:hAnsi="Times New Roman" w:cs="Times New Roman"/>
        </w:rPr>
      </w:pPr>
      <w:r w:rsidRPr="00341CA5">
        <w:rPr>
          <w:rStyle w:val="FootnoteReference"/>
          <w:rFonts w:ascii="Times New Roman" w:hAnsi="Times New Roman" w:cs="Times New Roman"/>
        </w:rPr>
        <w:footnoteRef/>
      </w:r>
      <w:r w:rsidRPr="00341CA5">
        <w:rPr>
          <w:rFonts w:ascii="Times New Roman" w:hAnsi="Times New Roman" w:cs="Times New Roman"/>
        </w:rPr>
        <w:t xml:space="preserve"> Rapid growth in bank lending </w:t>
      </w:r>
      <w:r>
        <w:rPr>
          <w:rFonts w:ascii="Times New Roman" w:hAnsi="Times New Roman" w:cs="Times New Roman"/>
        </w:rPr>
        <w:t xml:space="preserve">is </w:t>
      </w:r>
      <w:r w:rsidRPr="00341CA5">
        <w:rPr>
          <w:rFonts w:ascii="Times New Roman" w:hAnsi="Times New Roman" w:cs="Times New Roman"/>
        </w:rPr>
        <w:t>associated with moral hazard</w:t>
      </w:r>
      <w:r>
        <w:rPr>
          <w:rFonts w:ascii="Times New Roman" w:hAnsi="Times New Roman" w:cs="Times New Roman"/>
        </w:rPr>
        <w:t>s</w:t>
      </w:r>
      <w:r w:rsidRPr="00341CA5">
        <w:rPr>
          <w:rFonts w:ascii="Times New Roman" w:hAnsi="Times New Roman" w:cs="Times New Roman"/>
        </w:rPr>
        <w:t xml:space="preserve"> and adverse selection problem</w:t>
      </w:r>
      <w:r>
        <w:rPr>
          <w:rFonts w:ascii="Times New Roman" w:hAnsi="Times New Roman" w:cs="Times New Roman"/>
        </w:rPr>
        <w:t>s that are</w:t>
      </w:r>
      <w:r w:rsidRPr="00341CA5">
        <w:rPr>
          <w:rFonts w:ascii="Times New Roman" w:hAnsi="Times New Roman" w:cs="Times New Roman"/>
        </w:rPr>
        <w:t xml:space="preserve"> associated with</w:t>
      </w:r>
      <w:r>
        <w:rPr>
          <w:rFonts w:ascii="Times New Roman" w:hAnsi="Times New Roman" w:cs="Times New Roman"/>
        </w:rPr>
        <w:t xml:space="preserve"> a</w:t>
      </w:r>
      <w:r w:rsidRPr="00341CA5">
        <w:rPr>
          <w:rFonts w:ascii="Times New Roman" w:hAnsi="Times New Roman" w:cs="Times New Roman"/>
        </w:rPr>
        <w:t xml:space="preserve"> higher pr</w:t>
      </w:r>
      <w:r>
        <w:rPr>
          <w:rFonts w:ascii="Times New Roman" w:hAnsi="Times New Roman" w:cs="Times New Roman"/>
        </w:rPr>
        <w:t>obability of crisis (Schularick and</w:t>
      </w:r>
      <w:r w:rsidRPr="00341CA5">
        <w:rPr>
          <w:rFonts w:ascii="Times New Roman" w:hAnsi="Times New Roman" w:cs="Times New Roman"/>
        </w:rPr>
        <w:t xml:space="preserve"> Taylor, 2012). </w:t>
      </w:r>
    </w:p>
  </w:footnote>
  <w:footnote w:id="2">
    <w:p w14:paraId="3257732E" w14:textId="77777777" w:rsidR="00596012" w:rsidRPr="004B637B" w:rsidRDefault="00596012" w:rsidP="00632CAA">
      <w:pPr>
        <w:pStyle w:val="FootnoteText"/>
        <w:jc w:val="both"/>
        <w:rPr>
          <w:rFonts w:ascii="Times New Roman" w:hAnsi="Times New Roman" w:cs="Times New Roman"/>
        </w:rPr>
      </w:pPr>
      <w:r w:rsidRPr="004B637B">
        <w:rPr>
          <w:rStyle w:val="FootnoteReference"/>
          <w:rFonts w:ascii="Times New Roman" w:hAnsi="Times New Roman" w:cs="Times New Roman"/>
        </w:rPr>
        <w:footnoteRef/>
      </w:r>
      <w:r w:rsidRPr="004B637B">
        <w:rPr>
          <w:rFonts w:ascii="Times New Roman" w:hAnsi="Times New Roman" w:cs="Times New Roman"/>
        </w:rPr>
        <w:t xml:space="preserve"> Boom 1 and Boom 2 cover the cycle and trend movements, respectively. Boom 1 is adopted from Mendoza and Terrones (2008), while Boom 2 follows Borio and Lowe (2002).</w:t>
      </w:r>
      <w:r w:rsidRPr="00D07227">
        <w:t xml:space="preserve"> </w:t>
      </w:r>
      <w:r w:rsidRPr="00D07227">
        <w:rPr>
          <w:rFonts w:ascii="Times New Roman" w:hAnsi="Times New Roman" w:cs="Times New Roman"/>
        </w:rPr>
        <w:t>The trend and cycle are then extracted using the HP filter with a smoothing coefficient, λ=400,000, as suggested in Borio and Lowe (2002) and Drehman et al. (2011).</w:t>
      </w:r>
    </w:p>
  </w:footnote>
  <w:footnote w:id="3">
    <w:p w14:paraId="5FEA6EB2" w14:textId="4BFCF8D0" w:rsidR="00596012" w:rsidRPr="004B637B" w:rsidRDefault="00596012" w:rsidP="00632CAA">
      <w:pPr>
        <w:pStyle w:val="FootnoteText"/>
        <w:jc w:val="both"/>
        <w:rPr>
          <w:rFonts w:ascii="Times New Roman" w:hAnsi="Times New Roman" w:cs="Times New Roman"/>
        </w:rPr>
      </w:pPr>
      <w:r w:rsidRPr="004B637B">
        <w:rPr>
          <w:rStyle w:val="FootnoteReference"/>
          <w:rFonts w:ascii="Times New Roman" w:hAnsi="Times New Roman" w:cs="Times New Roman"/>
        </w:rPr>
        <w:footnoteRef/>
      </w:r>
      <w:r w:rsidRPr="004B637B">
        <w:rPr>
          <w:rFonts w:ascii="Times New Roman" w:hAnsi="Times New Roman" w:cs="Times New Roman"/>
        </w:rPr>
        <w:t xml:space="preserve"> We follow the same procedure as BIS to derive the house price gap variable.</w:t>
      </w:r>
    </w:p>
  </w:footnote>
  <w:footnote w:id="4">
    <w:p w14:paraId="3FA58B57" w14:textId="42E214B6" w:rsidR="00596012" w:rsidRPr="004B637B" w:rsidRDefault="00596012" w:rsidP="00632CAA">
      <w:pPr>
        <w:pStyle w:val="FootnoteText"/>
        <w:rPr>
          <w:rFonts w:ascii="Times New Roman" w:hAnsi="Times New Roman" w:cs="Times New Roman"/>
        </w:rPr>
      </w:pPr>
      <w:r w:rsidRPr="004B637B">
        <w:rPr>
          <w:rStyle w:val="FootnoteReference"/>
          <w:rFonts w:ascii="Times New Roman" w:hAnsi="Times New Roman" w:cs="Times New Roman"/>
        </w:rPr>
        <w:footnoteRef/>
      </w:r>
      <w:r w:rsidRPr="004B637B">
        <w:rPr>
          <w:rFonts w:ascii="Times New Roman" w:hAnsi="Times New Roman" w:cs="Times New Roman"/>
        </w:rPr>
        <w:t xml:space="preserve"> We also perform the same procedure by using total credit in the private sector from the banking sector, and the results </w:t>
      </w:r>
      <w:r>
        <w:rPr>
          <w:rFonts w:ascii="Times New Roman" w:hAnsi="Times New Roman" w:cs="Times New Roman"/>
        </w:rPr>
        <w:t>so</w:t>
      </w:r>
      <w:r w:rsidRPr="004B637B">
        <w:rPr>
          <w:rFonts w:ascii="Times New Roman" w:hAnsi="Times New Roman" w:cs="Times New Roman"/>
        </w:rPr>
        <w:t xml:space="preserve"> not differ materially.</w:t>
      </w:r>
    </w:p>
  </w:footnote>
  <w:footnote w:id="5">
    <w:p w14:paraId="4CDF58EE" w14:textId="5395DC25" w:rsidR="00596012" w:rsidRDefault="00596012" w:rsidP="00632CAA">
      <w:pPr>
        <w:pStyle w:val="FootnoteText"/>
        <w:jc w:val="both"/>
      </w:pPr>
      <w:r w:rsidRPr="004B637B">
        <w:rPr>
          <w:rStyle w:val="FootnoteReference"/>
          <w:rFonts w:ascii="Times New Roman" w:hAnsi="Times New Roman" w:cs="Times New Roman"/>
        </w:rPr>
        <w:footnoteRef/>
      </w:r>
      <w:r w:rsidRPr="004B637B">
        <w:rPr>
          <w:rFonts w:ascii="Times New Roman" w:hAnsi="Times New Roman" w:cs="Times New Roman"/>
        </w:rPr>
        <w:t xml:space="preserve"> We also detect the threshold cycle’s estimates </w:t>
      </w:r>
      <w:r>
        <w:rPr>
          <w:rFonts w:ascii="Times New Roman" w:hAnsi="Times New Roman" w:cs="Times New Roman"/>
        </w:rPr>
        <w:t>using</w:t>
      </w:r>
      <w:r w:rsidRPr="004B637B">
        <w:rPr>
          <w:rFonts w:ascii="Times New Roman" w:hAnsi="Times New Roman" w:cs="Times New Roman"/>
        </w:rPr>
        <w:t xml:space="preserve"> Hansen (2000) and </w:t>
      </w:r>
      <w:r>
        <w:rPr>
          <w:rFonts w:ascii="Times New Roman" w:hAnsi="Times New Roman" w:cs="Times New Roman"/>
        </w:rPr>
        <w:t>find</w:t>
      </w:r>
      <w:r w:rsidRPr="004B637B">
        <w:rPr>
          <w:rFonts w:ascii="Times New Roman" w:hAnsi="Times New Roman" w:cs="Times New Roman"/>
        </w:rPr>
        <w:t xml:space="preserve"> that 1997Q1 to 1999Q3 </w:t>
      </w:r>
      <w:r>
        <w:rPr>
          <w:rFonts w:ascii="Times New Roman" w:hAnsi="Times New Roman" w:cs="Times New Roman"/>
        </w:rPr>
        <w:t>are</w:t>
      </w:r>
      <w:r w:rsidRPr="004B637B">
        <w:rPr>
          <w:rFonts w:ascii="Times New Roman" w:hAnsi="Times New Roman" w:cs="Times New Roman"/>
        </w:rPr>
        <w:t xml:space="preserve"> identified as credit boom periods, which </w:t>
      </w:r>
      <w:r>
        <w:rPr>
          <w:rFonts w:ascii="Times New Roman" w:hAnsi="Times New Roman" w:cs="Times New Roman"/>
        </w:rPr>
        <w:t>does</w:t>
      </w:r>
      <w:r w:rsidRPr="004B637B">
        <w:rPr>
          <w:rFonts w:ascii="Times New Roman" w:hAnsi="Times New Roman" w:cs="Times New Roman"/>
        </w:rPr>
        <w:t xml:space="preserve"> not diver</w:t>
      </w:r>
      <w:r>
        <w:rPr>
          <w:rFonts w:ascii="Times New Roman" w:hAnsi="Times New Roman" w:cs="Times New Roman"/>
        </w:rPr>
        <w:t>ge</w:t>
      </w:r>
      <w:r w:rsidRPr="004B637B">
        <w:rPr>
          <w:rFonts w:ascii="Times New Roman" w:hAnsi="Times New Roman" w:cs="Times New Roman"/>
        </w:rPr>
        <w:t xml:space="preserve"> significantly from our findings. For the sake of comparison, the model involve</w:t>
      </w:r>
      <w:r>
        <w:rPr>
          <w:rFonts w:ascii="Times New Roman" w:hAnsi="Times New Roman" w:cs="Times New Roman"/>
        </w:rPr>
        <w:t>s</w:t>
      </w:r>
      <w:r w:rsidRPr="004B637B">
        <w:rPr>
          <w:rFonts w:ascii="Times New Roman" w:hAnsi="Times New Roman" w:cs="Times New Roman"/>
        </w:rPr>
        <w:t xml:space="preserve"> the growth rate of real GDP as a dependent variable and credit-to-GDP and credit cycle as the explanatory variable</w:t>
      </w:r>
      <w:r>
        <w:rPr>
          <w:rFonts w:ascii="Times New Roman" w:hAnsi="Times New Roman" w:cs="Times New Roman"/>
        </w:rPr>
        <w:t>s</w:t>
      </w:r>
      <w:r w:rsidRPr="004B637B">
        <w:rPr>
          <w:rFonts w:ascii="Times New Roman" w:hAnsi="Times New Roman" w:cs="Times New Roman"/>
        </w:rPr>
        <w:t>, while credit cycle works as the threshold variable.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F1BF9"/>
    <w:multiLevelType w:val="hybridMultilevel"/>
    <w:tmpl w:val="AE26709E"/>
    <w:lvl w:ilvl="0" w:tplc="7EB0A350">
      <w:start w:val="1"/>
      <w:numFmt w:val="decimal"/>
      <w:lvlText w:val="%1)"/>
      <w:lvlJc w:val="left"/>
      <w:pPr>
        <w:ind w:left="1080" w:hanging="360"/>
      </w:pPr>
      <w:rPr>
        <w:rFonts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 w15:restartNumberingAfterBreak="0">
    <w:nsid w:val="36CB4CB0"/>
    <w:multiLevelType w:val="hybridMultilevel"/>
    <w:tmpl w:val="1E723CD2"/>
    <w:lvl w:ilvl="0" w:tplc="043E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D1EA6"/>
    <w:multiLevelType w:val="hybridMultilevel"/>
    <w:tmpl w:val="33140B4C"/>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601C6340"/>
    <w:multiLevelType w:val="hybridMultilevel"/>
    <w:tmpl w:val="C4268C7A"/>
    <w:lvl w:ilvl="0" w:tplc="F1E449C6">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6B531834"/>
    <w:multiLevelType w:val="hybridMultilevel"/>
    <w:tmpl w:val="B1E08AA8"/>
    <w:lvl w:ilvl="0" w:tplc="EC064E94">
      <w:start w:val="1"/>
      <w:numFmt w:val="decimal"/>
      <w:lvlText w:val="%1)"/>
      <w:lvlJc w:val="left"/>
      <w:pPr>
        <w:ind w:left="720" w:hanging="360"/>
      </w:pPr>
      <w:rPr>
        <w:rFonts w:hint="default"/>
        <w:b w:val="0"/>
        <w:bCs/>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AA"/>
    <w:rsid w:val="0002534C"/>
    <w:rsid w:val="00076F10"/>
    <w:rsid w:val="001850A3"/>
    <w:rsid w:val="001A3096"/>
    <w:rsid w:val="001B1D1B"/>
    <w:rsid w:val="001D6A1F"/>
    <w:rsid w:val="00216FFB"/>
    <w:rsid w:val="00423B48"/>
    <w:rsid w:val="00451587"/>
    <w:rsid w:val="00485763"/>
    <w:rsid w:val="004A323F"/>
    <w:rsid w:val="004D2061"/>
    <w:rsid w:val="004D7CE9"/>
    <w:rsid w:val="00596012"/>
    <w:rsid w:val="00632CAA"/>
    <w:rsid w:val="00667D69"/>
    <w:rsid w:val="006C2F1F"/>
    <w:rsid w:val="00746F77"/>
    <w:rsid w:val="007D095B"/>
    <w:rsid w:val="007F279B"/>
    <w:rsid w:val="00872111"/>
    <w:rsid w:val="0087340B"/>
    <w:rsid w:val="00886056"/>
    <w:rsid w:val="008D5A42"/>
    <w:rsid w:val="00906A0E"/>
    <w:rsid w:val="00924C1F"/>
    <w:rsid w:val="00937426"/>
    <w:rsid w:val="00973B57"/>
    <w:rsid w:val="0099302B"/>
    <w:rsid w:val="009A1ABF"/>
    <w:rsid w:val="00A413C5"/>
    <w:rsid w:val="00B0709C"/>
    <w:rsid w:val="00B16A7B"/>
    <w:rsid w:val="00B325BE"/>
    <w:rsid w:val="00B465A1"/>
    <w:rsid w:val="00B76117"/>
    <w:rsid w:val="00B80BE3"/>
    <w:rsid w:val="00C40539"/>
    <w:rsid w:val="00D07227"/>
    <w:rsid w:val="00D414F7"/>
    <w:rsid w:val="00EA6A79"/>
    <w:rsid w:val="00EB4CAA"/>
    <w:rsid w:val="00EC3679"/>
    <w:rsid w:val="00F827EE"/>
    <w:rsid w:val="00FF5EA7"/>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C2A7D1"/>
  <w15:docId w15:val="{01C18E76-3F65-49DB-8105-1D759057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632CAA"/>
    <w:pPr>
      <w:keepNext/>
      <w:spacing w:after="0" w:line="240" w:lineRule="auto"/>
      <w:outlineLvl w:val="0"/>
    </w:pPr>
    <w:rPr>
      <w:rFonts w:ascii="Times New Roman" w:eastAsia="Times New Roman" w:hAnsi="Times New Roman" w:cs="Times New Roman"/>
      <w:b/>
      <w:bCs/>
      <w:sz w:val="24"/>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CA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632CAA"/>
  </w:style>
  <w:style w:type="paragraph" w:styleId="BodyText">
    <w:name w:val="Body Text"/>
    <w:basedOn w:val="Normal"/>
    <w:link w:val="BodyTextChar"/>
    <w:rsid w:val="00632CAA"/>
    <w:pPr>
      <w:spacing w:after="0" w:line="240" w:lineRule="auto"/>
      <w:jc w:val="both"/>
    </w:pPr>
    <w:rPr>
      <w:rFonts w:ascii="Times New Roman" w:eastAsia="Times New Roman" w:hAnsi="Times New Roman" w:cs="Times New Roman"/>
      <w:b/>
      <w:bCs/>
      <w:sz w:val="24"/>
      <w:szCs w:val="24"/>
      <w:lang w:val="ms-MY"/>
    </w:rPr>
  </w:style>
  <w:style w:type="character" w:customStyle="1" w:styleId="BodyTextChar">
    <w:name w:val="Body Text Char"/>
    <w:basedOn w:val="DefaultParagraphFont"/>
    <w:link w:val="BodyText"/>
    <w:rsid w:val="00632CAA"/>
    <w:rPr>
      <w:rFonts w:ascii="Times New Roman" w:eastAsia="Times New Roman" w:hAnsi="Times New Roman" w:cs="Times New Roman"/>
      <w:b/>
      <w:bCs/>
      <w:sz w:val="24"/>
      <w:szCs w:val="24"/>
    </w:rPr>
  </w:style>
  <w:style w:type="character" w:styleId="Hyperlink">
    <w:name w:val="Hyperlink"/>
    <w:uiPriority w:val="99"/>
    <w:rsid w:val="00632CAA"/>
    <w:rPr>
      <w:color w:val="0000FF"/>
      <w:u w:val="single"/>
    </w:rPr>
  </w:style>
  <w:style w:type="paragraph" w:styleId="NormalWeb">
    <w:name w:val="Normal (Web)"/>
    <w:basedOn w:val="Normal"/>
    <w:rsid w:val="00632CAA"/>
    <w:pPr>
      <w:spacing w:before="100" w:beforeAutospacing="1" w:after="100" w:afterAutospacing="1" w:line="240" w:lineRule="auto"/>
    </w:pPr>
    <w:rPr>
      <w:rFonts w:ascii="Arial Unicode MS" w:eastAsia="Arial Unicode MS" w:hAnsi="Arial Unicode MS" w:cs="Arial Unicode MS"/>
      <w:sz w:val="24"/>
      <w:szCs w:val="24"/>
    </w:rPr>
  </w:style>
  <w:style w:type="character" w:styleId="Emphasis">
    <w:name w:val="Emphasis"/>
    <w:qFormat/>
    <w:rsid w:val="00632CAA"/>
    <w:rPr>
      <w:i/>
      <w:iCs/>
    </w:rPr>
  </w:style>
  <w:style w:type="character" w:customStyle="1" w:styleId="postal-code">
    <w:name w:val="postal-code"/>
    <w:basedOn w:val="DefaultParagraphFont"/>
    <w:rsid w:val="00632CAA"/>
  </w:style>
  <w:style w:type="character" w:customStyle="1" w:styleId="country-name">
    <w:name w:val="country-name"/>
    <w:basedOn w:val="DefaultParagraphFont"/>
    <w:rsid w:val="00632CAA"/>
  </w:style>
  <w:style w:type="table" w:styleId="TableGrid">
    <w:name w:val="Table Grid"/>
    <w:basedOn w:val="TableNormal"/>
    <w:uiPriority w:val="59"/>
    <w:rsid w:val="00632CAA"/>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32CAA"/>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32CAA"/>
    <w:rPr>
      <w:rFonts w:ascii="Segoe UI" w:eastAsia="Calibri" w:hAnsi="Segoe UI" w:cs="Segoe UI"/>
      <w:sz w:val="18"/>
      <w:szCs w:val="18"/>
      <w:lang w:val="en-US"/>
    </w:rPr>
  </w:style>
  <w:style w:type="character" w:styleId="CommentReference">
    <w:name w:val="annotation reference"/>
    <w:uiPriority w:val="99"/>
    <w:unhideWhenUsed/>
    <w:rsid w:val="00632CAA"/>
    <w:rPr>
      <w:sz w:val="16"/>
      <w:szCs w:val="16"/>
    </w:rPr>
  </w:style>
  <w:style w:type="paragraph" w:styleId="CommentText">
    <w:name w:val="annotation text"/>
    <w:basedOn w:val="Normal"/>
    <w:link w:val="CommentTextChar"/>
    <w:uiPriority w:val="99"/>
    <w:unhideWhenUsed/>
    <w:rsid w:val="00632CAA"/>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632CAA"/>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unhideWhenUsed/>
    <w:rsid w:val="00632CAA"/>
    <w:rPr>
      <w:b/>
      <w:bCs/>
    </w:rPr>
  </w:style>
  <w:style w:type="character" w:customStyle="1" w:styleId="CommentSubjectChar">
    <w:name w:val="Comment Subject Char"/>
    <w:basedOn w:val="CommentTextChar"/>
    <w:link w:val="CommentSubject"/>
    <w:uiPriority w:val="99"/>
    <w:rsid w:val="00632CAA"/>
    <w:rPr>
      <w:rFonts w:ascii="Calibri" w:eastAsia="Calibri" w:hAnsi="Calibri" w:cs="Arial"/>
      <w:b/>
      <w:bCs/>
      <w:sz w:val="20"/>
      <w:szCs w:val="20"/>
      <w:lang w:val="en-US"/>
    </w:rPr>
  </w:style>
  <w:style w:type="paragraph" w:styleId="FootnoteText">
    <w:name w:val="footnote text"/>
    <w:basedOn w:val="Normal"/>
    <w:link w:val="FootnoteTextChar"/>
    <w:uiPriority w:val="99"/>
    <w:unhideWhenUsed/>
    <w:rsid w:val="00632CA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632CAA"/>
    <w:rPr>
      <w:rFonts w:ascii="Calibri" w:eastAsia="Calibri" w:hAnsi="Calibri" w:cs="Arial"/>
      <w:sz w:val="20"/>
      <w:szCs w:val="20"/>
      <w:lang w:val="en-US"/>
    </w:rPr>
  </w:style>
  <w:style w:type="character" w:styleId="FootnoteReference">
    <w:name w:val="footnote reference"/>
    <w:uiPriority w:val="99"/>
    <w:unhideWhenUsed/>
    <w:rsid w:val="00632CAA"/>
    <w:rPr>
      <w:vertAlign w:val="superscript"/>
    </w:rPr>
  </w:style>
  <w:style w:type="paragraph" w:styleId="ListParagraph">
    <w:name w:val="List Paragraph"/>
    <w:basedOn w:val="Normal"/>
    <w:uiPriority w:val="34"/>
    <w:qFormat/>
    <w:rsid w:val="00632CAA"/>
    <w:pPr>
      <w:spacing w:after="200" w:line="276" w:lineRule="auto"/>
      <w:ind w:left="720"/>
      <w:contextualSpacing/>
    </w:pPr>
    <w:rPr>
      <w:rFonts w:ascii="Calibri" w:eastAsia="Calibri" w:hAnsi="Calibri" w:cs="Arial"/>
    </w:rPr>
  </w:style>
  <w:style w:type="character" w:styleId="HTMLCite">
    <w:name w:val="HTML Cite"/>
    <w:uiPriority w:val="99"/>
    <w:unhideWhenUsed/>
    <w:rsid w:val="00632CAA"/>
    <w:rPr>
      <w:i/>
      <w:iCs/>
    </w:rPr>
  </w:style>
  <w:style w:type="character" w:customStyle="1" w:styleId="author">
    <w:name w:val="author"/>
    <w:rsid w:val="00632CAA"/>
  </w:style>
  <w:style w:type="character" w:customStyle="1" w:styleId="year">
    <w:name w:val="year"/>
    <w:rsid w:val="00632CAA"/>
  </w:style>
  <w:style w:type="character" w:customStyle="1" w:styleId="Title1">
    <w:name w:val="Title1"/>
    <w:rsid w:val="00632CAA"/>
  </w:style>
  <w:style w:type="character" w:customStyle="1" w:styleId="journal">
    <w:name w:val="journal"/>
    <w:rsid w:val="00632CAA"/>
  </w:style>
  <w:style w:type="character" w:customStyle="1" w:styleId="vol">
    <w:name w:val="vol"/>
    <w:rsid w:val="00632CAA"/>
  </w:style>
  <w:style w:type="character" w:customStyle="1" w:styleId="pages">
    <w:name w:val="pages"/>
    <w:rsid w:val="00632CAA"/>
  </w:style>
  <w:style w:type="character" w:styleId="PlaceholderText">
    <w:name w:val="Placeholder Text"/>
    <w:uiPriority w:val="99"/>
    <w:semiHidden/>
    <w:rsid w:val="00632CAA"/>
    <w:rPr>
      <w:color w:val="808080"/>
    </w:rPr>
  </w:style>
  <w:style w:type="paragraph" w:styleId="Header">
    <w:name w:val="header"/>
    <w:basedOn w:val="Normal"/>
    <w:link w:val="HeaderChar"/>
    <w:uiPriority w:val="99"/>
    <w:unhideWhenUsed/>
    <w:rsid w:val="00632CAA"/>
    <w:pPr>
      <w:tabs>
        <w:tab w:val="center" w:pos="4536"/>
        <w:tab w:val="right" w:pos="9072"/>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632CAA"/>
    <w:rPr>
      <w:rFonts w:ascii="Calibri" w:eastAsia="Calibri" w:hAnsi="Calibri" w:cs="Arial"/>
      <w:lang w:val="en-US"/>
    </w:rPr>
  </w:style>
  <w:style w:type="paragraph" w:styleId="Footer">
    <w:name w:val="footer"/>
    <w:basedOn w:val="Normal"/>
    <w:link w:val="FooterChar"/>
    <w:uiPriority w:val="99"/>
    <w:unhideWhenUsed/>
    <w:rsid w:val="00632CAA"/>
    <w:pPr>
      <w:tabs>
        <w:tab w:val="center" w:pos="4536"/>
        <w:tab w:val="right" w:pos="9072"/>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632CAA"/>
    <w:rPr>
      <w:rFonts w:ascii="Calibri" w:eastAsia="Calibri" w:hAnsi="Calibri" w:cs="Arial"/>
      <w:lang w:val="en-US"/>
    </w:rPr>
  </w:style>
  <w:style w:type="paragraph" w:styleId="Revision">
    <w:name w:val="Revision"/>
    <w:hidden/>
    <w:uiPriority w:val="99"/>
    <w:semiHidden/>
    <w:rsid w:val="00632CAA"/>
    <w:pPr>
      <w:spacing w:after="0" w:line="240" w:lineRule="auto"/>
    </w:pPr>
    <w:rPr>
      <w:rFonts w:ascii="Calibri" w:eastAsia="Calibri" w:hAnsi="Calibri" w:cs="Arial"/>
      <w:lang w:val="en-US"/>
    </w:rPr>
  </w:style>
  <w:style w:type="paragraph" w:customStyle="1" w:styleId="Default">
    <w:name w:val="Default"/>
    <w:rsid w:val="00B465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28A0-9155-4DF3-B1C0-B7F8EB3B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2018</Words>
  <Characters>11503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Nurazira Mohd Daud</dc:creator>
  <cp:lastModifiedBy>Podivinsky J.M.</cp:lastModifiedBy>
  <cp:revision>2</cp:revision>
  <cp:lastPrinted>2018-02-05T08:56:00Z</cp:lastPrinted>
  <dcterms:created xsi:type="dcterms:W3CDTF">2018-05-18T08:20:00Z</dcterms:created>
  <dcterms:modified xsi:type="dcterms:W3CDTF">2018-05-18T08:20:00Z</dcterms:modified>
</cp:coreProperties>
</file>