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4FB54" w14:textId="262824C1" w:rsidR="00C7260C" w:rsidRPr="00E74E00" w:rsidRDefault="00E74E00" w:rsidP="00C7260C">
      <w:pPr>
        <w:spacing w:after="120"/>
        <w:jc w:val="center"/>
        <w:rPr>
          <w:b/>
        </w:rPr>
      </w:pPr>
      <w:bookmarkStart w:id="0" w:name="_GoBack"/>
      <w:bookmarkEnd w:id="0"/>
      <w:r w:rsidRPr="00E74E00">
        <w:rPr>
          <w:b/>
        </w:rPr>
        <w:t>S</w:t>
      </w:r>
      <w:r w:rsidR="00CC03F5" w:rsidRPr="00E74E00">
        <w:rPr>
          <w:b/>
        </w:rPr>
        <w:t>ortition</w:t>
      </w:r>
      <w:r w:rsidRPr="00E74E00">
        <w:rPr>
          <w:b/>
        </w:rPr>
        <w:t>, Rotation and Mandate</w:t>
      </w:r>
    </w:p>
    <w:p w14:paraId="6D16B6F5" w14:textId="1586DA68" w:rsidR="00E74E00" w:rsidRPr="00E74E00" w:rsidRDefault="00E74E00" w:rsidP="00C7260C">
      <w:pPr>
        <w:spacing w:after="120"/>
        <w:jc w:val="center"/>
        <w:rPr>
          <w:b/>
        </w:rPr>
      </w:pPr>
      <w:r w:rsidRPr="00E74E00">
        <w:rPr>
          <w:b/>
        </w:rPr>
        <w:t>Condition for Political Equality and Deliberative Reasoning</w:t>
      </w:r>
    </w:p>
    <w:p w14:paraId="026CFB2B" w14:textId="29EC651B" w:rsidR="00E74E00" w:rsidRPr="00E74E00" w:rsidRDefault="00E74E00" w:rsidP="00E74E00">
      <w:pPr>
        <w:spacing w:after="120"/>
        <w:rPr>
          <w:b/>
        </w:rPr>
      </w:pPr>
    </w:p>
    <w:p w14:paraId="0416AD86" w14:textId="7ECD884E" w:rsidR="00CC03F5" w:rsidRPr="00E74E00" w:rsidRDefault="00286D03" w:rsidP="00554788">
      <w:pPr>
        <w:spacing w:after="120"/>
        <w:jc w:val="center"/>
        <w:rPr>
          <w:b/>
        </w:rPr>
      </w:pPr>
      <w:r w:rsidRPr="00E74E00">
        <w:t>David Owen and Graham Smith</w:t>
      </w:r>
    </w:p>
    <w:p w14:paraId="78DE0C5B" w14:textId="2DF31385" w:rsidR="00554788" w:rsidRPr="00E74E00" w:rsidRDefault="00554788" w:rsidP="00554788">
      <w:pPr>
        <w:spacing w:after="120"/>
        <w:jc w:val="center"/>
        <w:rPr>
          <w:b/>
        </w:rPr>
      </w:pPr>
    </w:p>
    <w:p w14:paraId="6140A078" w14:textId="3528C197" w:rsidR="00E74E00" w:rsidRPr="00E74E00" w:rsidRDefault="00E74E00" w:rsidP="00E74E00">
      <w:pPr>
        <w:spacing w:after="120"/>
        <w:rPr>
          <w:b/>
        </w:rPr>
      </w:pPr>
      <w:r w:rsidRPr="00E74E00">
        <w:rPr>
          <w:b/>
        </w:rPr>
        <w:t>Abstract</w:t>
      </w:r>
    </w:p>
    <w:p w14:paraId="6244C6C5" w14:textId="77777777" w:rsidR="00E74E00" w:rsidRPr="00E74E00" w:rsidRDefault="00E74E00" w:rsidP="00E74E00">
      <w:pPr>
        <w:spacing w:after="120"/>
        <w:rPr>
          <w:lang w:val="en-GB"/>
        </w:rPr>
      </w:pPr>
      <w:r w:rsidRPr="00E74E00">
        <w:rPr>
          <w:lang w:val="en-GB"/>
        </w:rPr>
        <w:t>The proposal to create a chamber selected by sortition would extend this democratic procedure into the legislative branch of government. However, there are good reasons to believe that, as currently conceived by John Gastil and Erik Olin Wright, the proposal will fail to realize sufficiently two fundamental democratic goods, namely political equality and deliberative reasoning. Through analysis of its historic and contemporary application, we argue that sortition needs to be combined with other institutional devices, in particular rotation of membership and limited mandate, in order to be democratically effective and to realize political equality and deliberative reasoning. We conclude with an alternative proposal for a responsive sortitionlegislature that we believe to be more realistic and utopian: one that increases substantially the number of members, makes more extensive use of internal sortition and rotation and recognizes the importance of establishing limited mandates. </w:t>
      </w:r>
    </w:p>
    <w:p w14:paraId="77978CD4" w14:textId="0B3C3D08" w:rsidR="00E74E00" w:rsidRPr="00E74E00" w:rsidRDefault="00E74E00" w:rsidP="00E74E00">
      <w:pPr>
        <w:spacing w:after="120"/>
        <w:rPr>
          <w:b/>
        </w:rPr>
      </w:pPr>
    </w:p>
    <w:p w14:paraId="20FE13CE" w14:textId="4C916A7C" w:rsidR="00E74E00" w:rsidRPr="00E74E00" w:rsidRDefault="00E74E00" w:rsidP="00E74E00">
      <w:pPr>
        <w:spacing w:after="120"/>
      </w:pPr>
      <w:r w:rsidRPr="00E74E00">
        <w:rPr>
          <w:b/>
        </w:rPr>
        <w:t>Keywords</w:t>
      </w:r>
      <w:r w:rsidRPr="00E74E00">
        <w:t>: sortition, rotation, mandate, political equality, deliberative reasoning</w:t>
      </w:r>
    </w:p>
    <w:p w14:paraId="7BDD88B5" w14:textId="7CD27FA3" w:rsidR="00E74E00" w:rsidRPr="00E74E00" w:rsidRDefault="00E74E00" w:rsidP="00554788">
      <w:pPr>
        <w:spacing w:after="120"/>
        <w:jc w:val="center"/>
        <w:rPr>
          <w:b/>
        </w:rPr>
      </w:pPr>
    </w:p>
    <w:p w14:paraId="32778208" w14:textId="77777777" w:rsidR="00E74E00" w:rsidRPr="00E74E00" w:rsidRDefault="00E74E00" w:rsidP="00554788">
      <w:pPr>
        <w:spacing w:after="120"/>
        <w:jc w:val="center"/>
        <w:rPr>
          <w:b/>
        </w:rPr>
      </w:pPr>
    </w:p>
    <w:p w14:paraId="10587310" w14:textId="1EC7C5C3" w:rsidR="00535FE9" w:rsidRPr="00210072" w:rsidRDefault="00E933A6" w:rsidP="000C5378">
      <w:pPr>
        <w:spacing w:after="120"/>
        <w:ind w:firstLine="720"/>
      </w:pPr>
      <w:r w:rsidRPr="00210072">
        <w:t xml:space="preserve">The sortition legislature proposal (SLP) laid out by John Gastil and Erik Olin Wright </w:t>
      </w:r>
      <w:r w:rsidR="0049675E" w:rsidRPr="00210072">
        <w:t xml:space="preserve">as part of the Real Utopias Project </w:t>
      </w:r>
      <w:r w:rsidR="00B37752" w:rsidRPr="00210072">
        <w:t xml:space="preserve">is an ambitious </w:t>
      </w:r>
      <w:r w:rsidR="00210072">
        <w:t>defens</w:t>
      </w:r>
      <w:r w:rsidR="0049675E" w:rsidRPr="00210072">
        <w:t xml:space="preserve">e of the idea of extending the use of sortition </w:t>
      </w:r>
      <w:r w:rsidR="000E2D78" w:rsidRPr="00210072">
        <w:t>into the legislative bran</w:t>
      </w:r>
      <w:r w:rsidR="0030198A">
        <w:t xml:space="preserve">ch of government and </w:t>
      </w:r>
      <w:r w:rsidR="00E1774C" w:rsidRPr="00210072">
        <w:t>specifying</w:t>
      </w:r>
      <w:r w:rsidR="0049675E" w:rsidRPr="00210072">
        <w:t xml:space="preserve"> how such a body would work in practice. We are </w:t>
      </w:r>
      <w:r w:rsidR="000E2D78" w:rsidRPr="00210072">
        <w:t xml:space="preserve">sympathetic to </w:t>
      </w:r>
      <w:r w:rsidR="00B01E79">
        <w:t xml:space="preserve">the motivation for </w:t>
      </w:r>
      <w:r w:rsidR="000E2D78" w:rsidRPr="00210072">
        <w:t xml:space="preserve">this </w:t>
      </w:r>
      <w:r w:rsidR="0049675E" w:rsidRPr="00210072">
        <w:t>enterprise</w:t>
      </w:r>
      <w:r w:rsidR="00E1774C" w:rsidRPr="00210072">
        <w:t>: t</w:t>
      </w:r>
      <w:r w:rsidR="0049675E" w:rsidRPr="00210072">
        <w:t xml:space="preserve">here is no question in our mind that sortition is a democratic method that ought to be more widely institutionalized within contemporary polities. </w:t>
      </w:r>
      <w:r w:rsidR="00E1774C" w:rsidRPr="00210072">
        <w:t xml:space="preserve">However, </w:t>
      </w:r>
      <w:r w:rsidR="0030198A">
        <w:t xml:space="preserve">reflection on the practice of antecedents of the SLP – in particular its historical use in Ancient Greece and more recent application in contemporary mini-publics – lead to </w:t>
      </w:r>
      <w:r w:rsidR="0049675E" w:rsidRPr="00210072">
        <w:t xml:space="preserve">a series of questions about the feasibility and desirability of the </w:t>
      </w:r>
      <w:r w:rsidR="00DF0C7B">
        <w:t xml:space="preserve">design of the </w:t>
      </w:r>
      <w:r w:rsidR="0049675E" w:rsidRPr="00210072">
        <w:t>SLP</w:t>
      </w:r>
      <w:r w:rsidR="00063237">
        <w:t xml:space="preserve">. </w:t>
      </w:r>
      <w:r w:rsidR="009F274A">
        <w:t>Our critical</w:t>
      </w:r>
      <w:r w:rsidR="00063237">
        <w:t xml:space="preserve"> analysis considers</w:t>
      </w:r>
      <w:r w:rsidR="000C5378">
        <w:t xml:space="preserve"> primarily</w:t>
      </w:r>
      <w:r w:rsidR="00063237">
        <w:t xml:space="preserve"> the </w:t>
      </w:r>
      <w:r w:rsidR="000C5378">
        <w:t>democratic functioning</w:t>
      </w:r>
      <w:r w:rsidR="009F274A">
        <w:t xml:space="preserve"> of the SLP </w:t>
      </w:r>
      <w:r w:rsidR="000C5378">
        <w:t xml:space="preserve">where it replaces one of the elected chambers in </w:t>
      </w:r>
      <w:r w:rsidR="00063237">
        <w:t>an existing bicameral system</w:t>
      </w:r>
      <w:r w:rsidR="000C5378">
        <w:t xml:space="preserve">, as suggested by Gastil and Wright. However, we distinguish </w:t>
      </w:r>
      <w:r w:rsidR="00A12771">
        <w:t xml:space="preserve">also </w:t>
      </w:r>
      <w:r w:rsidR="000C5378">
        <w:t>more general considerations that would hold if the SLP were situated in a democratic ecology that offered more favorable conditions for its operations.</w:t>
      </w:r>
      <w:r w:rsidR="00E5744C">
        <w:t xml:space="preserve"> </w:t>
      </w:r>
    </w:p>
    <w:p w14:paraId="44F1AF3E" w14:textId="70FA96DD" w:rsidR="0030198A" w:rsidRDefault="0049675E" w:rsidP="00980593">
      <w:pPr>
        <w:spacing w:after="120"/>
      </w:pPr>
      <w:r w:rsidRPr="00210072">
        <w:tab/>
        <w:t xml:space="preserve">Our </w:t>
      </w:r>
      <w:r w:rsidR="00DA12C4">
        <w:t xml:space="preserve">central </w:t>
      </w:r>
      <w:r w:rsidRPr="00210072">
        <w:t>concern</w:t>
      </w:r>
      <w:r w:rsidR="00DA12C4">
        <w:t>s</w:t>
      </w:r>
      <w:r w:rsidRPr="00210072">
        <w:t xml:space="preserve"> with the current formulation</w:t>
      </w:r>
      <w:r w:rsidR="00DA12C4">
        <w:t xml:space="preserve"> of </w:t>
      </w:r>
      <w:r w:rsidR="000C5378">
        <w:t xml:space="preserve">the </w:t>
      </w:r>
      <w:r w:rsidR="00DA12C4">
        <w:t>SLP</w:t>
      </w:r>
      <w:r w:rsidRPr="00210072">
        <w:t xml:space="preserve"> </w:t>
      </w:r>
      <w:r w:rsidR="00C973DE">
        <w:t>are</w:t>
      </w:r>
      <w:r w:rsidRPr="00210072">
        <w:t xml:space="preserve"> two-fold</w:t>
      </w:r>
      <w:r w:rsidR="0047779E">
        <w:t>.</w:t>
      </w:r>
      <w:r w:rsidRPr="00210072">
        <w:t xml:space="preserve"> </w:t>
      </w:r>
      <w:r w:rsidR="0047779E">
        <w:t xml:space="preserve">The </w:t>
      </w:r>
      <w:r w:rsidRPr="00210072">
        <w:t>first</w:t>
      </w:r>
      <w:r w:rsidR="0047779E">
        <w:t xml:space="preserve"> is</w:t>
      </w:r>
      <w:r w:rsidRPr="00210072">
        <w:t xml:space="preserve"> that </w:t>
      </w:r>
      <w:r w:rsidR="0030198A">
        <w:t>although sortition is introduced to promote political equality, there are good reasons to believe that substantive politica</w:t>
      </w:r>
      <w:r w:rsidR="00C770B4">
        <w:t>l equality will neither</w:t>
      </w:r>
      <w:r w:rsidR="0030198A">
        <w:t xml:space="preserve"> be realized </w:t>
      </w:r>
      <w:r w:rsidR="00C770B4">
        <w:t>n</w:t>
      </w:r>
      <w:r w:rsidR="0030198A">
        <w:t>or adequately protected. The SLP is unlikely to defend its members against the exercise of social and economic power</w:t>
      </w:r>
      <w:r w:rsidRPr="00210072">
        <w:t xml:space="preserve"> to the extent necessary for such a body</w:t>
      </w:r>
      <w:r w:rsidR="00E1774C" w:rsidRPr="00210072">
        <w:t xml:space="preserve"> to be </w:t>
      </w:r>
      <w:r w:rsidR="0047779E">
        <w:t xml:space="preserve">democratically </w:t>
      </w:r>
      <w:r w:rsidR="00E1774C" w:rsidRPr="00210072">
        <w:t xml:space="preserve">effective </w:t>
      </w:r>
      <w:r w:rsidR="0047779E">
        <w:t xml:space="preserve">in the ways desired. The second </w:t>
      </w:r>
      <w:r w:rsidR="0047779E">
        <w:lastRenderedPageBreak/>
        <w:t>is</w:t>
      </w:r>
      <w:r w:rsidRPr="00210072">
        <w:t xml:space="preserve"> that </w:t>
      </w:r>
      <w:r w:rsidR="0065659F" w:rsidRPr="00210072">
        <w:t>there are</w:t>
      </w:r>
      <w:r w:rsidR="00210072">
        <w:t xml:space="preserve"> good reasons to believe that</w:t>
      </w:r>
      <w:r w:rsidR="00C770B4">
        <w:t>,</w:t>
      </w:r>
      <w:r w:rsidR="00210072">
        <w:t xml:space="preserve"> in its current formulation, the SLP</w:t>
      </w:r>
      <w:r w:rsidR="0065659F" w:rsidRPr="00210072">
        <w:t xml:space="preserve"> will not </w:t>
      </w:r>
      <w:r w:rsidR="0047779E">
        <w:t xml:space="preserve">be able to combine the </w:t>
      </w:r>
      <w:r w:rsidR="0030198A">
        <w:t xml:space="preserve">range of functions expected, in particular the combination of </w:t>
      </w:r>
      <w:r w:rsidRPr="00210072">
        <w:t xml:space="preserve">agenda setting </w:t>
      </w:r>
      <w:r w:rsidR="0030198A">
        <w:t xml:space="preserve">and </w:t>
      </w:r>
      <w:r w:rsidR="0047779E">
        <w:t>scrutiny</w:t>
      </w:r>
      <w:r w:rsidR="0065659F" w:rsidRPr="00210072">
        <w:t xml:space="preserve">. </w:t>
      </w:r>
      <w:r w:rsidR="00380F53">
        <w:t>If our claims are plausible,</w:t>
      </w:r>
      <w:r w:rsidR="0047779E">
        <w:t xml:space="preserve"> </w:t>
      </w:r>
      <w:r w:rsidR="00E1774C" w:rsidRPr="00210072">
        <w:t xml:space="preserve">these weaknesses </w:t>
      </w:r>
      <w:r w:rsidR="008254AA">
        <w:t xml:space="preserve">together </w:t>
      </w:r>
      <w:r w:rsidR="00E1774C" w:rsidRPr="00210072">
        <w:t>undermine the feasibility and desirability of the SLP</w:t>
      </w:r>
      <w:r w:rsidR="00997C8F">
        <w:t>,</w:t>
      </w:r>
      <w:r w:rsidR="0047779E">
        <w:t xml:space="preserve"> both from a democratic standpoint and from the standpoint of a strategic concern with advancing the longer-term cause of participatory (or, more limitedly, deliberative) democracy</w:t>
      </w:r>
      <w:r w:rsidR="00E1774C" w:rsidRPr="00210072">
        <w:t xml:space="preserve">. </w:t>
      </w:r>
    </w:p>
    <w:p w14:paraId="7ECD9734" w14:textId="53BEB61E" w:rsidR="0065659F" w:rsidRPr="00210072" w:rsidRDefault="0047779E" w:rsidP="007C0094">
      <w:pPr>
        <w:spacing w:after="120"/>
        <w:ind w:firstLine="720"/>
      </w:pPr>
      <w:r>
        <w:t xml:space="preserve">Our contention is that </w:t>
      </w:r>
      <w:r w:rsidR="0030198A">
        <w:t>the source of these problems</w:t>
      </w:r>
      <w:r w:rsidR="00BA5C9F">
        <w:t xml:space="preserve"> lies in the failure to draw lessons </w:t>
      </w:r>
      <w:r w:rsidR="00AC3791">
        <w:t>from the ways in</w:t>
      </w:r>
      <w:r w:rsidR="00380F53">
        <w:t xml:space="preserve"> which sortition in selection i</w:t>
      </w:r>
      <w:r w:rsidR="00AC3791">
        <w:t xml:space="preserve">s combined with other institutional devices in </w:t>
      </w:r>
      <w:r w:rsidR="00BA5C9F">
        <w:t xml:space="preserve">historical and contemporary practice. </w:t>
      </w:r>
      <w:r w:rsidR="00C770B4">
        <w:t>Institutions using s</w:t>
      </w:r>
      <w:r w:rsidR="00BA5C9F">
        <w:t>ortition</w:t>
      </w:r>
      <w:r w:rsidR="00C770B4">
        <w:t xml:space="preserve"> </w:t>
      </w:r>
      <w:r w:rsidR="00BA5C9F">
        <w:t xml:space="preserve">have generally </w:t>
      </w:r>
      <w:r w:rsidR="007C0094">
        <w:t xml:space="preserve">had very specific functions and sortition as </w:t>
      </w:r>
      <w:r w:rsidR="00C770B4">
        <w:t xml:space="preserve">a mechanism for </w:t>
      </w:r>
      <w:r w:rsidR="007C0094">
        <w:t>selectin</w:t>
      </w:r>
      <w:r w:rsidR="00C770B4">
        <w:t>g members of the institution</w:t>
      </w:r>
      <w:r w:rsidR="007C0094">
        <w:t xml:space="preserve"> has </w:t>
      </w:r>
      <w:r w:rsidR="00C770B4">
        <w:t xml:space="preserve">typically </w:t>
      </w:r>
      <w:r w:rsidR="007C0094">
        <w:t xml:space="preserve">been combined with </w:t>
      </w:r>
      <w:r w:rsidR="00AC3791">
        <w:t xml:space="preserve">sortition </w:t>
      </w:r>
      <w:r w:rsidR="00C770B4">
        <w:t xml:space="preserve">as a mechanism </w:t>
      </w:r>
      <w:r w:rsidR="00AC3791">
        <w:t>for</w:t>
      </w:r>
      <w:r w:rsidR="00C770B4">
        <w:t xml:space="preserve"> allocating</w:t>
      </w:r>
      <w:r w:rsidR="00AC3791">
        <w:t xml:space="preserve"> offices with</w:t>
      </w:r>
      <w:r w:rsidR="00380F53">
        <w:t>in</w:t>
      </w:r>
      <w:r w:rsidR="00AC3791">
        <w:t xml:space="preserve"> the</w:t>
      </w:r>
      <w:r w:rsidR="00C770B4">
        <w:t xml:space="preserve"> institution</w:t>
      </w:r>
      <w:r w:rsidR="00AC3791">
        <w:t xml:space="preserve"> a</w:t>
      </w:r>
      <w:r w:rsidR="00C770B4">
        <w:t>s well as</w:t>
      </w:r>
      <w:r w:rsidR="00AC3791">
        <w:t xml:space="preserve"> rotation based on </w:t>
      </w:r>
      <w:r w:rsidR="007C0094">
        <w:t>short periods of service.</w:t>
      </w:r>
      <w:r w:rsidR="00AC3791">
        <w:t xml:space="preserve"> These design characteristics</w:t>
      </w:r>
      <w:r w:rsidR="007C0094">
        <w:t xml:space="preserve"> are absent from the SLP proposal and together</w:t>
      </w:r>
      <w:r w:rsidR="00C770B4">
        <w:t>, we argue,</w:t>
      </w:r>
      <w:r w:rsidR="007C0094">
        <w:t xml:space="preserve"> intensify the assembly’s weaknesses.</w:t>
      </w:r>
      <w:r w:rsidR="00380F53">
        <w:t xml:space="preserve"> </w:t>
      </w:r>
    </w:p>
    <w:p w14:paraId="2EEB90BA" w14:textId="77777777" w:rsidR="00535FE9" w:rsidRDefault="0065659F" w:rsidP="00DC6B4A">
      <w:pPr>
        <w:spacing w:after="120"/>
      </w:pPr>
      <w:r w:rsidRPr="00210072">
        <w:tab/>
        <w:t xml:space="preserve">We end the essay with </w:t>
      </w:r>
      <w:r w:rsidR="007C0094">
        <w:t xml:space="preserve">an </w:t>
      </w:r>
      <w:r w:rsidR="00E1774C" w:rsidRPr="00210072">
        <w:t xml:space="preserve">outline of an </w:t>
      </w:r>
      <w:r w:rsidRPr="00210072">
        <w:t>alternative proposal for a responsive sortition</w:t>
      </w:r>
      <w:r w:rsidR="00E1774C" w:rsidRPr="00210072">
        <w:t xml:space="preserve"> legislature that increases the number of members and makes more extensive use of </w:t>
      </w:r>
      <w:r w:rsidR="00B01E79">
        <w:t xml:space="preserve">internal </w:t>
      </w:r>
      <w:r w:rsidR="00E1774C" w:rsidRPr="00210072">
        <w:t xml:space="preserve">sortition and rotation. We argue that as a first step in the </w:t>
      </w:r>
      <w:r w:rsidR="00C770B4">
        <w:t xml:space="preserve">contemporary </w:t>
      </w:r>
      <w:r w:rsidR="00E1774C" w:rsidRPr="00210072">
        <w:t xml:space="preserve">introduction of sortition to the legislative branch of government, this alternative proposal is both more realistic </w:t>
      </w:r>
      <w:r w:rsidR="0047779E">
        <w:t xml:space="preserve">(from a democratic standpoint) </w:t>
      </w:r>
      <w:r w:rsidR="00E1774C" w:rsidRPr="00210072">
        <w:t xml:space="preserve">and </w:t>
      </w:r>
      <w:r w:rsidR="00B01E79">
        <w:t xml:space="preserve">more </w:t>
      </w:r>
      <w:r w:rsidR="00E1774C" w:rsidRPr="00210072">
        <w:t xml:space="preserve">utopian </w:t>
      </w:r>
      <w:r w:rsidR="00A4601E">
        <w:t xml:space="preserve">(from a strategic standpoint) </w:t>
      </w:r>
      <w:r w:rsidR="00E1774C" w:rsidRPr="00210072">
        <w:t>in its ambition.</w:t>
      </w:r>
      <w:r w:rsidR="00535FE9">
        <w:t xml:space="preserve"> </w:t>
      </w:r>
    </w:p>
    <w:p w14:paraId="5F89251A" w14:textId="1E1BFD6C" w:rsidR="0077693F" w:rsidRDefault="00535FE9" w:rsidP="00DC6B4A">
      <w:pPr>
        <w:spacing w:after="120"/>
      </w:pPr>
      <w:r>
        <w:t xml:space="preserve"> </w:t>
      </w:r>
    </w:p>
    <w:p w14:paraId="334F6A64" w14:textId="2A4490AD" w:rsidR="00281DAC" w:rsidRPr="00022FAD" w:rsidRDefault="00554788" w:rsidP="00B6095B">
      <w:pPr>
        <w:spacing w:after="120"/>
        <w:jc w:val="center"/>
        <w:rPr>
          <w:b/>
        </w:rPr>
      </w:pPr>
      <w:r w:rsidRPr="00554788">
        <w:rPr>
          <w:b/>
        </w:rPr>
        <w:t>Sortition and institutional design</w:t>
      </w:r>
      <w:r>
        <w:rPr>
          <w:b/>
        </w:rPr>
        <w:t xml:space="preserve"> – historical and contemporary lessons</w:t>
      </w:r>
    </w:p>
    <w:p w14:paraId="273AE49D" w14:textId="5BB3C1D5" w:rsidR="00022FAD" w:rsidRDefault="00CC03F5" w:rsidP="00022FAD">
      <w:pPr>
        <w:spacing w:after="120"/>
        <w:ind w:firstLine="720"/>
      </w:pPr>
      <w:r w:rsidRPr="00210072">
        <w:t>In the history of democracy, at le</w:t>
      </w:r>
      <w:r w:rsidR="009F702B" w:rsidRPr="00210072">
        <w:t>ast prior to the rise of organiz</w:t>
      </w:r>
      <w:r w:rsidRPr="00210072">
        <w:t>ed mass political parties in the late 19</w:t>
      </w:r>
      <w:r w:rsidRPr="00210072">
        <w:rPr>
          <w:vertAlign w:val="superscript"/>
        </w:rPr>
        <w:t>th</w:t>
      </w:r>
      <w:r w:rsidRPr="00210072">
        <w:t xml:space="preserve"> and early 20</w:t>
      </w:r>
      <w:r w:rsidRPr="00210072">
        <w:rPr>
          <w:vertAlign w:val="superscript"/>
        </w:rPr>
        <w:t>th</w:t>
      </w:r>
      <w:r w:rsidR="00C4108A" w:rsidRPr="00210072">
        <w:t xml:space="preserve"> century, sorti</w:t>
      </w:r>
      <w:r w:rsidRPr="00210072">
        <w:t xml:space="preserve">tion </w:t>
      </w:r>
      <w:r w:rsidR="00781CD6" w:rsidRPr="00210072">
        <w:t>was recognized</w:t>
      </w:r>
      <w:r w:rsidRPr="00210072">
        <w:t xml:space="preserve"> as a more ‘democratic’ mechanism of selection of representatives </w:t>
      </w:r>
      <w:r w:rsidR="009F702B" w:rsidRPr="00210072">
        <w:t>than election. It is viewed thus</w:t>
      </w:r>
      <w:r w:rsidRPr="00210072">
        <w:t xml:space="preserve"> </w:t>
      </w:r>
      <w:r w:rsidR="00A40F5C">
        <w:t xml:space="preserve">both </w:t>
      </w:r>
      <w:r w:rsidRPr="00210072">
        <w:t>because it is seen as being less susceptible to the influence of economic and social power than electoral processes</w:t>
      </w:r>
      <w:r w:rsidR="00A40F5C">
        <w:t xml:space="preserve"> and because it enacts a commitment to political equality</w:t>
      </w:r>
      <w:r w:rsidRPr="00210072">
        <w:t>. In this secti</w:t>
      </w:r>
      <w:r w:rsidR="009F702B" w:rsidRPr="00210072">
        <w:t>on, we</w:t>
      </w:r>
      <w:r w:rsidRPr="00210072">
        <w:t xml:space="preserve"> offer a </w:t>
      </w:r>
      <w:r w:rsidR="009F702B" w:rsidRPr="00210072">
        <w:t xml:space="preserve">brief </w:t>
      </w:r>
      <w:r w:rsidRPr="00210072">
        <w:t>reconstructi</w:t>
      </w:r>
      <w:r w:rsidR="00E97ED0" w:rsidRPr="00210072">
        <w:t>on of the circumstances of sorti</w:t>
      </w:r>
      <w:r w:rsidRPr="00210072">
        <w:t>t</w:t>
      </w:r>
      <w:r w:rsidR="009F702B" w:rsidRPr="00210072">
        <w:t xml:space="preserve">ion in two contexts – </w:t>
      </w:r>
      <w:r w:rsidRPr="00210072">
        <w:t>Athenian democracy</w:t>
      </w:r>
      <w:r w:rsidR="00B6095B" w:rsidRPr="00210072">
        <w:rPr>
          <w:rStyle w:val="FootnoteReference"/>
        </w:rPr>
        <w:footnoteReference w:id="1"/>
      </w:r>
      <w:r w:rsidRPr="00210072">
        <w:t xml:space="preserve"> and </w:t>
      </w:r>
      <w:r w:rsidR="00B6095B">
        <w:t xml:space="preserve">the contemporary </w:t>
      </w:r>
      <w:r w:rsidR="00AC3791">
        <w:t>practice</w:t>
      </w:r>
      <w:r w:rsidR="00B6095B">
        <w:t xml:space="preserve"> of deliberative minipublics</w:t>
      </w:r>
      <w:r w:rsidRPr="00210072">
        <w:t xml:space="preserve"> </w:t>
      </w:r>
      <w:r w:rsidR="00F14EAC">
        <w:t>– in order both to explain the democratic</w:t>
      </w:r>
      <w:r w:rsidRPr="00210072">
        <w:t xml:space="preserve"> reputation of sort</w:t>
      </w:r>
      <w:r w:rsidR="00B01E79">
        <w:t>i</w:t>
      </w:r>
      <w:r w:rsidRPr="00210072">
        <w:t>tion and the conditions of its use in these contexts.</w:t>
      </w:r>
    </w:p>
    <w:p w14:paraId="750FB6A1" w14:textId="7DAE6A8F" w:rsidR="00CC03F5" w:rsidRPr="00210072" w:rsidRDefault="00575782" w:rsidP="00980593">
      <w:pPr>
        <w:spacing w:after="120"/>
        <w:rPr>
          <w:b/>
        </w:rPr>
      </w:pPr>
      <w:r w:rsidRPr="00210072">
        <w:rPr>
          <w:b/>
        </w:rPr>
        <w:t>Athenian d</w:t>
      </w:r>
      <w:r w:rsidR="00CC03F5" w:rsidRPr="00210072">
        <w:rPr>
          <w:b/>
        </w:rPr>
        <w:t>emocracy</w:t>
      </w:r>
    </w:p>
    <w:p w14:paraId="742DBA72" w14:textId="3F389386" w:rsidR="000A51BC" w:rsidRDefault="00CC03F5" w:rsidP="003449FB">
      <w:pPr>
        <w:spacing w:after="120"/>
        <w:ind w:firstLine="720"/>
      </w:pPr>
      <w:r w:rsidRPr="00210072">
        <w:lastRenderedPageBreak/>
        <w:t>For Aristotle, democra</w:t>
      </w:r>
      <w:r w:rsidR="00DA6979">
        <w:t xml:space="preserve">cy as a specific type of regime </w:t>
      </w:r>
      <w:r w:rsidRPr="00210072">
        <w:t>is defined by the rule of all over each and each in turn over all. Establishing this principle involved citizens being eligible for all non-specialist offices and selected by lot to fill them, where offices had short terms</w:t>
      </w:r>
      <w:r w:rsidR="00E97ED0" w:rsidRPr="00210072">
        <w:t>. These mechanisms and offices enabled and constrained</w:t>
      </w:r>
      <w:r w:rsidRPr="00210072">
        <w:t xml:space="preserve"> the sovereign assembly</w:t>
      </w:r>
      <w:r w:rsidR="00E97ED0" w:rsidRPr="00210072">
        <w:t xml:space="preserve"> </w:t>
      </w:r>
      <w:r w:rsidRPr="00210072">
        <w:t>as the open participatory space within which each citizen could speak.</w:t>
      </w:r>
      <w:r w:rsidR="00E97ED0" w:rsidRPr="00210072">
        <w:t xml:space="preserve"> </w:t>
      </w:r>
      <w:r w:rsidR="00DA6979">
        <w:t xml:space="preserve">As exemplified in Athens, following </w:t>
      </w:r>
      <w:r w:rsidR="00DA6979" w:rsidRPr="00210072">
        <w:t>Cleisthenes’ reforms in 507 BCE</w:t>
      </w:r>
      <w:r w:rsidR="00DA6979">
        <w:t xml:space="preserve">, the </w:t>
      </w:r>
      <w:r w:rsidR="00DA6979" w:rsidRPr="00210072">
        <w:rPr>
          <w:i/>
        </w:rPr>
        <w:t>Ekklesia</w:t>
      </w:r>
      <w:r w:rsidR="003449FB">
        <w:t xml:space="preserve"> (A</w:t>
      </w:r>
      <w:r w:rsidR="00DA6979">
        <w:t xml:space="preserve">ssembly) was surrounded by an ecology of institutions that used random selection: </w:t>
      </w:r>
      <w:r w:rsidRPr="00210072">
        <w:t xml:space="preserve">the </w:t>
      </w:r>
      <w:r w:rsidRPr="00210072">
        <w:rPr>
          <w:i/>
        </w:rPr>
        <w:t>Boule</w:t>
      </w:r>
      <w:r w:rsidR="006F6CA8">
        <w:t xml:space="preserve"> (the C</w:t>
      </w:r>
      <w:r w:rsidRPr="00210072">
        <w:t>ounci</w:t>
      </w:r>
      <w:r w:rsidR="004A495E">
        <w:t>l</w:t>
      </w:r>
      <w:r w:rsidR="00F3142B">
        <w:t xml:space="preserve"> of Five Hundred</w:t>
      </w:r>
      <w:r w:rsidR="006F6CA8">
        <w:t>)</w:t>
      </w:r>
      <w:r w:rsidR="004D3362">
        <w:t xml:space="preserve">, </w:t>
      </w:r>
      <w:r w:rsidR="004D3362" w:rsidRPr="00210072">
        <w:t>magistracies</w:t>
      </w:r>
      <w:r w:rsidR="00DA6979">
        <w:t xml:space="preserve">, </w:t>
      </w:r>
      <w:r w:rsidRPr="00210072">
        <w:t xml:space="preserve">the </w:t>
      </w:r>
      <w:r w:rsidRPr="00210072">
        <w:rPr>
          <w:i/>
        </w:rPr>
        <w:t>Dikasteria</w:t>
      </w:r>
      <w:r w:rsidR="003449FB">
        <w:t xml:space="preserve"> (People’s C</w:t>
      </w:r>
      <w:r w:rsidRPr="00210072">
        <w:t>ourts</w:t>
      </w:r>
      <w:r w:rsidR="00DA6979">
        <w:t>) and, following the reinstatement of democracy after the Peloponnesian war</w:t>
      </w:r>
      <w:r w:rsidR="006834D1">
        <w:t xml:space="preserve"> in the fourth century BCE</w:t>
      </w:r>
      <w:r w:rsidR="00DA6979">
        <w:t xml:space="preserve">, the </w:t>
      </w:r>
      <w:r w:rsidR="00DA6979">
        <w:rPr>
          <w:i/>
        </w:rPr>
        <w:t xml:space="preserve">Nomothetai </w:t>
      </w:r>
      <w:r w:rsidR="00DA6979">
        <w:t>(</w:t>
      </w:r>
      <w:r w:rsidR="003449FB">
        <w:t>L</w:t>
      </w:r>
      <w:r w:rsidR="00DA6979">
        <w:t xml:space="preserve">egislative </w:t>
      </w:r>
      <w:r w:rsidR="003449FB">
        <w:t>Boards</w:t>
      </w:r>
      <w:r w:rsidR="00DA6979">
        <w:t>).</w:t>
      </w:r>
      <w:r w:rsidR="000772A1">
        <w:t xml:space="preserve"> </w:t>
      </w:r>
      <w:r w:rsidR="000A51BC">
        <w:t xml:space="preserve">The </w:t>
      </w:r>
      <w:r w:rsidR="003449FB">
        <w:t xml:space="preserve">Council </w:t>
      </w:r>
      <w:r w:rsidR="000A51BC" w:rsidRPr="00210072">
        <w:t>had a variety of functions that cut across our modern understanding of legislative, executive and judiciacy functions</w:t>
      </w:r>
      <w:r w:rsidR="000A51BC">
        <w:t>, most notably preparing the work of the</w:t>
      </w:r>
      <w:r w:rsidR="003449FB">
        <w:rPr>
          <w:i/>
        </w:rPr>
        <w:t xml:space="preserve"> </w:t>
      </w:r>
      <w:r w:rsidR="003449FB">
        <w:t>Assembly</w:t>
      </w:r>
      <w:r w:rsidR="000A51BC">
        <w:t xml:space="preserve">, implementing many of its decisions and overseeing public administration. </w:t>
      </w:r>
      <w:r w:rsidR="003449FB">
        <w:t>T</w:t>
      </w:r>
      <w:r w:rsidR="000A51BC">
        <w:t xml:space="preserve">he </w:t>
      </w:r>
      <w:r w:rsidR="003449FB">
        <w:t>People’s Court played a critical political function in which it oversaw all the other organs of the political system. T</w:t>
      </w:r>
      <w:r w:rsidR="000A51BC">
        <w:t xml:space="preserve">he </w:t>
      </w:r>
      <w:r w:rsidR="003449FB">
        <w:t>Legislative Boards reviewed proposals from the Assembly and only where</w:t>
      </w:r>
      <w:r w:rsidR="000A51BC">
        <w:t xml:space="preserve"> </w:t>
      </w:r>
      <w:r w:rsidR="003449FB">
        <w:t xml:space="preserve">there was </w:t>
      </w:r>
      <w:r w:rsidR="00380F53">
        <w:t xml:space="preserve">a </w:t>
      </w:r>
      <w:r w:rsidR="003449FB">
        <w:t>majority would a proposal</w:t>
      </w:r>
      <w:r w:rsidR="000A51BC">
        <w:t xml:space="preserve"> become law</w:t>
      </w:r>
      <w:r w:rsidR="003449FB">
        <w:t xml:space="preserve"> or an existing law </w:t>
      </w:r>
      <w:r w:rsidR="00A12771">
        <w:t xml:space="preserve">be </w:t>
      </w:r>
      <w:r w:rsidR="003449FB">
        <w:t>repealed</w:t>
      </w:r>
      <w:r w:rsidR="000A51BC">
        <w:t>.</w:t>
      </w:r>
    </w:p>
    <w:p w14:paraId="575AC216" w14:textId="2C0E0DBB" w:rsidR="0063074F" w:rsidRPr="00210072" w:rsidRDefault="00DF27F5" w:rsidP="0063074F">
      <w:pPr>
        <w:spacing w:after="120"/>
        <w:ind w:firstLine="720"/>
      </w:pPr>
      <w:r>
        <w:t xml:space="preserve">The introduction of selection by sortition is best understood as a response to </w:t>
      </w:r>
      <w:r w:rsidRPr="00210072">
        <w:t>the experience, and continuing threats, of tyranny, oligarchy and civic strife posed by aristocratic pursuit of power.</w:t>
      </w:r>
      <w:r>
        <w:t xml:space="preserve"> But it would be a mistake to focus solely on sortition alone. Sortition was complemented by other institutional reforms. First, </w:t>
      </w:r>
      <w:r w:rsidR="00D61A4E">
        <w:t>Cleisthenes</w:t>
      </w:r>
      <w:r w:rsidR="00CC03F5" w:rsidRPr="00210072">
        <w:t xml:space="preserve"> took the rural villages </w:t>
      </w:r>
      <w:r w:rsidR="00E97ED0" w:rsidRPr="00210072">
        <w:t>and city neighborhoods</w:t>
      </w:r>
      <w:r w:rsidR="00CC03F5" w:rsidRPr="00210072">
        <w:t xml:space="preserve"> (both called </w:t>
      </w:r>
      <w:r w:rsidR="00CC03F5" w:rsidRPr="00210072">
        <w:rPr>
          <w:i/>
        </w:rPr>
        <w:t>demes</w:t>
      </w:r>
      <w:r w:rsidR="00CC03F5" w:rsidRPr="00210072">
        <w:t xml:space="preserve">) as the basic units of political organization and these were then re-arranged into ten tribes or </w:t>
      </w:r>
      <w:r w:rsidR="00CC03F5" w:rsidRPr="00210072">
        <w:rPr>
          <w:i/>
        </w:rPr>
        <w:t>phylai</w:t>
      </w:r>
      <w:r w:rsidR="00CC03F5" w:rsidRPr="00210072">
        <w:t>. This</w:t>
      </w:r>
      <w:r w:rsidR="00EB1D94">
        <w:t xml:space="preserve"> re-articulation of the tribes – </w:t>
      </w:r>
      <w:r w:rsidR="00CC03F5" w:rsidRPr="00210072">
        <w:t xml:space="preserve">and their use with respect to selection for </w:t>
      </w:r>
      <w:r w:rsidR="003449FB">
        <w:t>the Council</w:t>
      </w:r>
      <w:r w:rsidR="00CC03F5" w:rsidRPr="00210072">
        <w:t xml:space="preserve"> (fifty from each tribe)</w:t>
      </w:r>
      <w:r>
        <w:t xml:space="preserve">, </w:t>
      </w:r>
      <w:r w:rsidR="003449FB">
        <w:t xml:space="preserve">People’s Courts </w:t>
      </w:r>
      <w:r>
        <w:t>and</w:t>
      </w:r>
      <w:r w:rsidR="003449FB">
        <w:t xml:space="preserve"> Legislative Boards</w:t>
      </w:r>
      <w:r>
        <w:t xml:space="preserve"> </w:t>
      </w:r>
      <w:r w:rsidR="00CC03F5" w:rsidRPr="00210072">
        <w:t xml:space="preserve">and </w:t>
      </w:r>
      <w:r>
        <w:t xml:space="preserve">for </w:t>
      </w:r>
      <w:r w:rsidR="00CC03F5" w:rsidRPr="00210072">
        <w:t xml:space="preserve">election to the office of </w:t>
      </w:r>
      <w:r w:rsidR="00CC03F5" w:rsidRPr="00210072">
        <w:rPr>
          <w:i/>
        </w:rPr>
        <w:t>strategoi</w:t>
      </w:r>
      <w:r w:rsidR="00CC03F5" w:rsidRPr="00210072">
        <w:t xml:space="preserve"> (one from each tribe) </w:t>
      </w:r>
      <w:r w:rsidR="00EB1D94">
        <w:t>–</w:t>
      </w:r>
      <w:r w:rsidR="00CC03F5" w:rsidRPr="00210072">
        <w:t xml:space="preserve"> was designed to break up both existing aristocratic alliances and established patron/client relationships based on aristocratic kinship networks. </w:t>
      </w:r>
      <w:r>
        <w:t xml:space="preserve"> Second, concentration of power in these sortition bodies was reduced by rapid rotation of membership and rotation of offices within those bodies. </w:t>
      </w:r>
      <w:r w:rsidR="00F3142B">
        <w:t xml:space="preserve">The five hundred members of the </w:t>
      </w:r>
      <w:r w:rsidR="003449FB">
        <w:t xml:space="preserve">Council </w:t>
      </w:r>
      <w:r w:rsidR="00F3142B">
        <w:t xml:space="preserve">were </w:t>
      </w:r>
      <w:r w:rsidR="00F3142B" w:rsidRPr="00210072">
        <w:t>selected by lot annually</w:t>
      </w:r>
      <w:r w:rsidR="00F3142B">
        <w:t xml:space="preserve">, with </w:t>
      </w:r>
      <w:r w:rsidR="00F3142B" w:rsidRPr="00210072">
        <w:t xml:space="preserve">fifty citizens aged thirty or over from each of the ten </w:t>
      </w:r>
      <w:r w:rsidR="00F3142B" w:rsidRPr="00210072">
        <w:rPr>
          <w:i/>
        </w:rPr>
        <w:t>phylai</w:t>
      </w:r>
      <w:r w:rsidR="00F3142B">
        <w:t xml:space="preserve">, </w:t>
      </w:r>
      <w:r w:rsidR="00F3142B" w:rsidRPr="00210072">
        <w:t xml:space="preserve">where the number from each </w:t>
      </w:r>
      <w:r w:rsidR="00F3142B" w:rsidRPr="00210072">
        <w:rPr>
          <w:i/>
        </w:rPr>
        <w:t xml:space="preserve">deme </w:t>
      </w:r>
      <w:r w:rsidR="00F3142B" w:rsidRPr="00210072">
        <w:t>within each</w:t>
      </w:r>
      <w:r w:rsidR="00F3142B" w:rsidRPr="00210072">
        <w:rPr>
          <w:i/>
        </w:rPr>
        <w:t xml:space="preserve"> phylai</w:t>
      </w:r>
      <w:r w:rsidR="00F3142B" w:rsidRPr="00210072">
        <w:t xml:space="preserve"> was proportional to its population. </w:t>
      </w:r>
      <w:r w:rsidR="00F3142B">
        <w:t xml:space="preserve">But the </w:t>
      </w:r>
      <w:r w:rsidR="00F3142B" w:rsidRPr="00210072">
        <w:t xml:space="preserve">use of sortition extended further into the operation of </w:t>
      </w:r>
      <w:r w:rsidR="003449FB">
        <w:t>the Council</w:t>
      </w:r>
      <w:r w:rsidR="00F3142B" w:rsidRPr="00210072">
        <w:t xml:space="preserve">, with 50 </w:t>
      </w:r>
      <w:r w:rsidR="00F3142B" w:rsidRPr="00210072">
        <w:rPr>
          <w:i/>
          <w:iCs/>
        </w:rPr>
        <w:t xml:space="preserve">bouletai </w:t>
      </w:r>
      <w:r w:rsidR="00F3142B" w:rsidRPr="00210072">
        <w:rPr>
          <w:iCs/>
        </w:rPr>
        <w:t xml:space="preserve">selected at a time to take on </w:t>
      </w:r>
      <w:r w:rsidR="00F3142B">
        <w:rPr>
          <w:iCs/>
        </w:rPr>
        <w:t>its</w:t>
      </w:r>
      <w:r w:rsidR="00F3142B" w:rsidRPr="00210072">
        <w:rPr>
          <w:iCs/>
        </w:rPr>
        <w:t xml:space="preserve"> main tasks</w:t>
      </w:r>
      <w:r w:rsidR="00F3142B">
        <w:rPr>
          <w:iCs/>
        </w:rPr>
        <w:t xml:space="preserve"> for one tenth of the year</w:t>
      </w:r>
      <w:r w:rsidR="00F3142B" w:rsidRPr="00210072">
        <w:rPr>
          <w:iCs/>
        </w:rPr>
        <w:t>, with one randomly selected each day to act as chairman.</w:t>
      </w:r>
      <w:r w:rsidR="00F3142B" w:rsidRPr="00210072">
        <w:t xml:space="preserve"> </w:t>
      </w:r>
      <w:r w:rsidR="00F3142B">
        <w:t xml:space="preserve">No one could serve more than </w:t>
      </w:r>
      <w:r w:rsidR="003404A4">
        <w:t>twice</w:t>
      </w:r>
      <w:r w:rsidR="00F3142B">
        <w:t xml:space="preserve"> on the</w:t>
      </w:r>
      <w:r w:rsidR="003449FB">
        <w:t xml:space="preserve"> Council</w:t>
      </w:r>
      <w:r w:rsidR="00F3142B">
        <w:t xml:space="preserve"> meaning that there was widespread participation in this key institution amongst the citizenry</w:t>
      </w:r>
      <w:r w:rsidR="0063074F">
        <w:t xml:space="preserve"> – it is estimated that roughly one third of all citizens must have been a Council member during their lifetime</w:t>
      </w:r>
      <w:r w:rsidR="00F3142B">
        <w:t xml:space="preserve">. There </w:t>
      </w:r>
      <w:r w:rsidR="0063074F">
        <w:t>was also</w:t>
      </w:r>
      <w:r w:rsidR="00F3142B">
        <w:t xml:space="preserve"> widespread participation in the </w:t>
      </w:r>
      <w:r w:rsidR="0063074F">
        <w:t>Courts</w:t>
      </w:r>
      <w:r w:rsidR="00F3142B">
        <w:t>. Six thousand citizens were selected by lot annually. While there were occasional plenary sessions, most of the work of the popular courts took place in smaller courts varying</w:t>
      </w:r>
      <w:r w:rsidR="00F3142B" w:rsidRPr="00210072">
        <w:t xml:space="preserve"> in size from 501 for lesser cases up to 1501 for the most serious. </w:t>
      </w:r>
      <w:r w:rsidR="00F3142B">
        <w:t>N</w:t>
      </w:r>
      <w:r w:rsidR="00F3142B" w:rsidRPr="00210072">
        <w:t>ot only were the jurors selected by lot from those willing to serve, but further those selected would then be divided by lot into the number of groups required for each operating courtroom, and then finally each group would be assigned by lot to a particular courtroom with checks to make sure that only assigned jurors entered the design</w:t>
      </w:r>
      <w:r w:rsidR="00F3142B">
        <w:t xml:space="preserve">ated court. </w:t>
      </w:r>
      <w:r w:rsidR="000A51BC">
        <w:t xml:space="preserve">Courts sat for one day only. </w:t>
      </w:r>
      <w:r w:rsidR="00F3142B">
        <w:t xml:space="preserve">When </w:t>
      </w:r>
      <w:r w:rsidR="003449FB">
        <w:t xml:space="preserve">the Legislative Boards </w:t>
      </w:r>
      <w:r w:rsidR="00F3142B">
        <w:t>were introduced, they operated in a similar fashion, also drawing from the pool of six thousand.</w:t>
      </w:r>
      <w:r w:rsidR="000A51BC">
        <w:t xml:space="preserve"> Neither the</w:t>
      </w:r>
      <w:r w:rsidR="0063074F">
        <w:t xml:space="preserve"> Courts or the Boards</w:t>
      </w:r>
      <w:r w:rsidR="000A51BC">
        <w:rPr>
          <w:i/>
        </w:rPr>
        <w:t xml:space="preserve"> </w:t>
      </w:r>
      <w:r w:rsidR="000A51BC">
        <w:t>were deliberative in the modern sense – members heard arguments from both sides, but did not deliberate with each other before making a decision.</w:t>
      </w:r>
    </w:p>
    <w:p w14:paraId="45053766" w14:textId="7F664B07" w:rsidR="00CC03F5" w:rsidRPr="00210072" w:rsidRDefault="00CC03F5" w:rsidP="00642064">
      <w:pPr>
        <w:spacing w:after="120"/>
        <w:ind w:firstLine="720"/>
      </w:pPr>
      <w:r w:rsidRPr="00210072">
        <w:t xml:space="preserve">What is notable about this widespread use of sortition is that it is primarily mobilized as a way to block the threats that are posed to </w:t>
      </w:r>
      <w:r w:rsidRPr="00210072">
        <w:rPr>
          <w:i/>
        </w:rPr>
        <w:t>isonomia</w:t>
      </w:r>
      <w:r w:rsidRPr="00210072">
        <w:t xml:space="preserve"> </w:t>
      </w:r>
      <w:r w:rsidR="00575782" w:rsidRPr="00210072">
        <w:t xml:space="preserve">(equality before the law) </w:t>
      </w:r>
      <w:r w:rsidRPr="00210072">
        <w:t xml:space="preserve">and </w:t>
      </w:r>
      <w:r w:rsidRPr="00210072">
        <w:rPr>
          <w:i/>
        </w:rPr>
        <w:t>isegoria</w:t>
      </w:r>
      <w:r w:rsidRPr="00210072">
        <w:t xml:space="preserve"> </w:t>
      </w:r>
      <w:r w:rsidR="00575782" w:rsidRPr="00210072">
        <w:t xml:space="preserve">(equality in the right to speak or participate) </w:t>
      </w:r>
      <w:r w:rsidRPr="00210072">
        <w:t>as key aspects of democratic rule</w:t>
      </w:r>
      <w:r w:rsidR="006834D1">
        <w:t xml:space="preserve">. Sortition enacts and protects political equality </w:t>
      </w:r>
      <w:r w:rsidR="00575782" w:rsidRPr="00210072">
        <w:t>in a society characteriz</w:t>
      </w:r>
      <w:r w:rsidRPr="00210072">
        <w:t>ed by high levels of social and economic inequality</w:t>
      </w:r>
      <w:r w:rsidR="00A40F5C">
        <w:t xml:space="preserve">. </w:t>
      </w:r>
      <w:r w:rsidRPr="00210072">
        <w:t xml:space="preserve">Cleisthenes’ use of territorial units fractured existing clientalist relationships, the use of territorial representation (in both electoral and sortitional contexts) entrenched relationships based on </w:t>
      </w:r>
      <w:r w:rsidRPr="00210072">
        <w:rPr>
          <w:i/>
        </w:rPr>
        <w:t>deme</w:t>
      </w:r>
      <w:r w:rsidRPr="00210072">
        <w:t xml:space="preserve"> and </w:t>
      </w:r>
      <w:r w:rsidRPr="00210072">
        <w:rPr>
          <w:i/>
        </w:rPr>
        <w:t>phylai</w:t>
      </w:r>
      <w:r w:rsidRPr="00210072">
        <w:t xml:space="preserve"> against aristocratic kinship-based networks, and the use of sortition in all roles not requiring specialist knowledge acted as a bulwark against concentrations of power and the effectiveness of bribery (especially in court judgments). Two further features are salient for our current reflections. First, the length of service was limited to a maximum of one year </w:t>
      </w:r>
      <w:r w:rsidR="00A12771">
        <w:t xml:space="preserve">before rotation of membership </w:t>
      </w:r>
      <w:r w:rsidRPr="00210072">
        <w:t>and, in many cases, active service would be considerably less than this period</w:t>
      </w:r>
      <w:r w:rsidR="00A12771">
        <w:t xml:space="preserve"> – for example, as little as one day in </w:t>
      </w:r>
      <w:r w:rsidR="00462A34">
        <w:t>each Court and Board</w:t>
      </w:r>
      <w:r w:rsidRPr="00210072">
        <w:t xml:space="preserve">. Second, the institutions that used sortition were primarily </w:t>
      </w:r>
      <w:r w:rsidRPr="00210072">
        <w:rPr>
          <w:i/>
        </w:rPr>
        <w:t xml:space="preserve">responsive </w:t>
      </w:r>
      <w:r w:rsidRPr="00210072">
        <w:t xml:space="preserve">rather than </w:t>
      </w:r>
      <w:r w:rsidRPr="00210072">
        <w:rPr>
          <w:i/>
        </w:rPr>
        <w:t>initiating</w:t>
      </w:r>
      <w:r w:rsidRPr="00210072">
        <w:t xml:space="preserve"> institutions. Put a little too simply, the </w:t>
      </w:r>
      <w:r w:rsidRPr="00210072">
        <w:rPr>
          <w:i/>
        </w:rPr>
        <w:t xml:space="preserve">Ekklesia </w:t>
      </w:r>
      <w:r w:rsidRPr="00210072">
        <w:t xml:space="preserve">set the agenda and the </w:t>
      </w:r>
      <w:r w:rsidRPr="00210072">
        <w:rPr>
          <w:i/>
        </w:rPr>
        <w:t xml:space="preserve">Boule, </w:t>
      </w:r>
      <w:r w:rsidRPr="00210072">
        <w:t xml:space="preserve">the magistracies, and the </w:t>
      </w:r>
      <w:r w:rsidRPr="00210072">
        <w:rPr>
          <w:i/>
        </w:rPr>
        <w:t>Diskateria</w:t>
      </w:r>
      <w:r w:rsidR="00642064">
        <w:rPr>
          <w:i/>
        </w:rPr>
        <w:t>,</w:t>
      </w:r>
      <w:r w:rsidR="00642064" w:rsidRPr="00642064">
        <w:t xml:space="preserve"> and later </w:t>
      </w:r>
      <w:r w:rsidR="00642064">
        <w:t xml:space="preserve">the </w:t>
      </w:r>
      <w:r w:rsidR="00642064">
        <w:rPr>
          <w:i/>
        </w:rPr>
        <w:t>Nomothetai</w:t>
      </w:r>
      <w:r w:rsidR="006834D1">
        <w:t xml:space="preserve">, </w:t>
      </w:r>
      <w:r w:rsidRPr="00210072">
        <w:t>exercised enabling, scrutiny, accountability, and implementation functions.</w:t>
      </w:r>
    </w:p>
    <w:p w14:paraId="405A6A5B" w14:textId="13C730C4" w:rsidR="004024A6" w:rsidRPr="005E09E5" w:rsidRDefault="004024A6" w:rsidP="00C649CA">
      <w:pPr>
        <w:spacing w:after="120"/>
        <w:ind w:firstLine="720"/>
        <w:rPr>
          <w:color w:val="000000" w:themeColor="text1"/>
        </w:rPr>
      </w:pPr>
      <w:r w:rsidRPr="00210072">
        <w:t>What can we draw from Athenian practice to inform the de</w:t>
      </w:r>
      <w:r w:rsidR="00210072">
        <w:t>sign of a sortition legislature?</w:t>
      </w:r>
      <w:r w:rsidRPr="00210072">
        <w:t xml:space="preserve"> First, there is no direct historical equivalent to such a body. Arguably the closest family resemblance is to the </w:t>
      </w:r>
      <w:r w:rsidR="0063074F">
        <w:t>People’s C</w:t>
      </w:r>
      <w:r w:rsidR="00093283">
        <w:t>ourts</w:t>
      </w:r>
      <w:r w:rsidRPr="00210072">
        <w:t xml:space="preserve"> </w:t>
      </w:r>
      <w:r w:rsidR="00642064">
        <w:t xml:space="preserve">or the later </w:t>
      </w:r>
      <w:r w:rsidR="0063074F">
        <w:t>Legislative Boards</w:t>
      </w:r>
      <w:r w:rsidRPr="00210072">
        <w:t xml:space="preserve">, but this is a long way from the type of institution that </w:t>
      </w:r>
      <w:r w:rsidR="00CB6B15">
        <w:t>Gastil and Wright are proposing</w:t>
      </w:r>
      <w:r w:rsidR="006834D1">
        <w:rPr>
          <w:color w:val="000000" w:themeColor="text1"/>
        </w:rPr>
        <w:t>, not least because of their</w:t>
      </w:r>
      <w:r w:rsidR="00CB6B15" w:rsidRPr="005E09E5">
        <w:rPr>
          <w:color w:val="000000" w:themeColor="text1"/>
        </w:rPr>
        <w:t xml:space="preserve"> size, rapid rotation </w:t>
      </w:r>
      <w:r w:rsidR="00384F68" w:rsidRPr="005E09E5">
        <w:rPr>
          <w:color w:val="000000" w:themeColor="text1"/>
        </w:rPr>
        <w:t xml:space="preserve">and </w:t>
      </w:r>
      <w:r w:rsidR="00010251" w:rsidRPr="005E09E5">
        <w:rPr>
          <w:color w:val="000000" w:themeColor="text1"/>
        </w:rPr>
        <w:t>non-deliberative</w:t>
      </w:r>
      <w:r w:rsidR="00384F68" w:rsidRPr="005E09E5">
        <w:rPr>
          <w:color w:val="000000" w:themeColor="text1"/>
        </w:rPr>
        <w:t xml:space="preserve"> character.</w:t>
      </w:r>
    </w:p>
    <w:p w14:paraId="20757AEF" w14:textId="07C70409" w:rsidR="004024A6" w:rsidRPr="00210072" w:rsidRDefault="00210072" w:rsidP="004A495E">
      <w:pPr>
        <w:spacing w:after="120"/>
      </w:pPr>
      <w:r>
        <w:tab/>
        <w:t xml:space="preserve">The constant in its </w:t>
      </w:r>
      <w:r w:rsidR="004024A6" w:rsidRPr="00210072">
        <w:t>historical application is the way in which sortition was used</w:t>
      </w:r>
      <w:r w:rsidR="006834D1">
        <w:t xml:space="preserve"> </w:t>
      </w:r>
      <w:r w:rsidR="004024A6" w:rsidRPr="00210072">
        <w:t>to protect the polity from the exercise of power by economic and social factions</w:t>
      </w:r>
      <w:r w:rsidR="006834D1">
        <w:t xml:space="preserve">. </w:t>
      </w:r>
      <w:r w:rsidR="00642064">
        <w:t>As Dowlen argues ‘</w:t>
      </w:r>
      <w:r w:rsidR="00CC03F5" w:rsidRPr="00210072">
        <w:t>the most significant and fundamental reason that lot is used in</w:t>
      </w:r>
      <w:r w:rsidR="00462A34">
        <w:t xml:space="preserve"> the selection of public office</w:t>
      </w:r>
      <w:r w:rsidR="00CC03F5" w:rsidRPr="00210072">
        <w:t xml:space="preserve">s, </w:t>
      </w:r>
      <w:r w:rsidR="00CC03F5" w:rsidRPr="00210072">
        <w:rPr>
          <w:i/>
        </w:rPr>
        <w:t>is to inhibit the power that any individual or group of individuals might seek to exercise over that process of selection</w:t>
      </w:r>
      <w:r w:rsidR="00642064">
        <w:t>’.</w:t>
      </w:r>
      <w:r w:rsidR="00BB6633">
        <w:rPr>
          <w:rStyle w:val="FootnoteReference"/>
        </w:rPr>
        <w:footnoteReference w:id="2"/>
      </w:r>
      <w:r w:rsidR="00642064">
        <w:t xml:space="preserve"> </w:t>
      </w:r>
      <w:r w:rsidR="004024A6" w:rsidRPr="00210072">
        <w:t>While</w:t>
      </w:r>
      <w:r w:rsidR="006834D1">
        <w:t xml:space="preserve"> we agree with Dowlen’s insight</w:t>
      </w:r>
      <w:r w:rsidR="004024A6" w:rsidRPr="00210072">
        <w:t>, the focus on sortition as a selection mechanism alone overlooks the importance</w:t>
      </w:r>
      <w:r w:rsidR="006834D1">
        <w:t xml:space="preserve"> </w:t>
      </w:r>
      <w:r w:rsidR="004024A6" w:rsidRPr="00210072">
        <w:t xml:space="preserve">of </w:t>
      </w:r>
      <w:r w:rsidR="006834D1">
        <w:t>rapid rotation,</w:t>
      </w:r>
      <w:r w:rsidR="004024A6" w:rsidRPr="00210072">
        <w:t xml:space="preserve"> not just to inhibit sectional interests, but also, actively, to promote a form of political equality.</w:t>
      </w:r>
    </w:p>
    <w:p w14:paraId="59E5D1D9" w14:textId="05FA50CF" w:rsidR="00CC03F5" w:rsidRPr="00E81070" w:rsidRDefault="00CC03F5" w:rsidP="003B2B90">
      <w:pPr>
        <w:spacing w:after="120"/>
        <w:rPr>
          <w:b/>
        </w:rPr>
      </w:pPr>
      <w:r w:rsidRPr="00E81070">
        <w:rPr>
          <w:b/>
        </w:rPr>
        <w:t>Deliberative mini-publics</w:t>
      </w:r>
    </w:p>
    <w:p w14:paraId="60B0679E" w14:textId="13E0F2F9" w:rsidR="00CC03F5" w:rsidRPr="00210072" w:rsidRDefault="00CC03F5" w:rsidP="009B278A">
      <w:pPr>
        <w:spacing w:after="120"/>
        <w:ind w:firstLine="720"/>
        <w:rPr>
          <w:rFonts w:cs="Apple Symbols"/>
        </w:rPr>
      </w:pPr>
      <w:r w:rsidRPr="00210072">
        <w:t xml:space="preserve">While sortition has been used extensively in legal juries in countries such as the United States, United Kingdom and France, it has been considered rarely as a mechanism for selection for modern political institutions. Recent years, though, have witnessed increasing interest in the use of sortition in what have been termed ‘deliberative mini-publics’. Such mini-publics tend to share similar design characteristics: they are sponsored by a political authority, but organised by an independent agency that facilitates </w:t>
      </w:r>
      <w:r w:rsidRPr="00210072">
        <w:rPr>
          <w:rFonts w:cs="Apple Symbols"/>
        </w:rPr>
        <w:t>group discussions among a (near) random sample of citizens who take evidence from experts and interested parties</w:t>
      </w:r>
      <w:r w:rsidR="00BB6633">
        <w:rPr>
          <w:rFonts w:cs="Apple Symbols"/>
        </w:rPr>
        <w:t>.</w:t>
      </w:r>
      <w:r w:rsidR="00BB6633">
        <w:rPr>
          <w:rStyle w:val="FootnoteReference"/>
          <w:rFonts w:cs="Apple Symbols"/>
        </w:rPr>
        <w:footnoteReference w:id="3"/>
      </w:r>
      <w:r w:rsidR="00E81070">
        <w:rPr>
          <w:rFonts w:cs="Apple Symbols"/>
        </w:rPr>
        <w:t xml:space="preserve"> </w:t>
      </w:r>
      <w:r w:rsidRPr="00210072">
        <w:rPr>
          <w:rFonts w:cs="Apple Symbols"/>
        </w:rPr>
        <w:t xml:space="preserve">The recent wave of mini-publics can be traced back to the pioneering work of Peter Dienel in Germany and Ned Crosby in the US who, respectively, created and organized planning cells and citizens’ juries. The intervening decades have seen the emergence of other designs that incorporate forms of sortition, including deliberative polls, consensus conferences, citizens’ assemblies, reference panels and G1000s. Recently, there has been experimentation with the incorporation of </w:t>
      </w:r>
      <w:r w:rsidR="00866CA6">
        <w:rPr>
          <w:rFonts w:cs="Apple Symbols"/>
        </w:rPr>
        <w:t xml:space="preserve">elected </w:t>
      </w:r>
      <w:r w:rsidRPr="00210072">
        <w:rPr>
          <w:rFonts w:cs="Apple Symbols"/>
        </w:rPr>
        <w:t xml:space="preserve">politicians </w:t>
      </w:r>
      <w:r w:rsidR="00462A34">
        <w:rPr>
          <w:rFonts w:cs="Apple Symbols"/>
        </w:rPr>
        <w:t xml:space="preserve">as members </w:t>
      </w:r>
      <w:r w:rsidRPr="00210072">
        <w:rPr>
          <w:rFonts w:cs="Apple Symbols"/>
        </w:rPr>
        <w:t>in the Irish Constitutional Convention and broader sets of social and political actors in G1000s in the Netherlands</w:t>
      </w:r>
      <w:r w:rsidR="00462A34">
        <w:rPr>
          <w:rFonts w:cs="Apple Symbols"/>
        </w:rPr>
        <w:t xml:space="preserve"> </w:t>
      </w:r>
      <w:r w:rsidR="00462A34" w:rsidRPr="00210072">
        <w:rPr>
          <w:rFonts w:cs="Apple Symbols"/>
        </w:rPr>
        <w:t>alongside randomly-selected citizens</w:t>
      </w:r>
      <w:r w:rsidRPr="00210072">
        <w:rPr>
          <w:rFonts w:cs="Apple Symbols"/>
        </w:rPr>
        <w:t xml:space="preserve">. </w:t>
      </w:r>
      <w:r w:rsidR="009B278A">
        <w:rPr>
          <w:rFonts w:cs="Apple Symbols"/>
        </w:rPr>
        <w:t>Very few mini-publics, with the exception of cases such as the Citizens’ Initiative Review (CIR), are an institutionalized element of political systems: most are sponsored in an ad-hoc fashion and the adoption of their recommendations is far from systematic.</w:t>
      </w:r>
    </w:p>
    <w:p w14:paraId="5B4FCC26" w14:textId="19B91406" w:rsidR="00FF1959" w:rsidRDefault="00CC03F5" w:rsidP="000E4A76">
      <w:pPr>
        <w:spacing w:after="120"/>
        <w:ind w:firstLine="720"/>
        <w:rPr>
          <w:rFonts w:cs="Apple Symbols"/>
        </w:rPr>
      </w:pPr>
      <w:r w:rsidRPr="00210072">
        <w:rPr>
          <w:rFonts w:cs="Apple Symbols"/>
        </w:rPr>
        <w:t xml:space="preserve">There are differences in the way that these institutions apply sortition. Most </w:t>
      </w:r>
      <w:r w:rsidR="00941E36">
        <w:rPr>
          <w:rFonts w:cs="Apple Symbols"/>
        </w:rPr>
        <w:t xml:space="preserve">use </w:t>
      </w:r>
      <w:r w:rsidRPr="00210072">
        <w:rPr>
          <w:rFonts w:cs="Apple Symbols"/>
        </w:rPr>
        <w:t>stratification techniques to ensure the presence of particular social characteristics (e.g. gender, ethnicity, age). To a certain extent, this resonates with selection from the demes in ancient Athens. Larger mini-publics, such as deliberative polls</w:t>
      </w:r>
      <w:r w:rsidR="00380F53">
        <w:rPr>
          <w:rFonts w:cs="Apple Symbols"/>
        </w:rPr>
        <w:t>,</w:t>
      </w:r>
      <w:r w:rsidRPr="00210072">
        <w:rPr>
          <w:rFonts w:cs="Apple Symbols"/>
        </w:rPr>
        <w:t xml:space="preserve"> rely on simple random selection. Again, there are differences in the length of time that such bodies sit. G1000s are one day events; most of the others run over 2 to 4 days. The outlier here are citizens’ assemblies which have run over a number of weekends. For example, the British Columbia Citizens’ Assembly</w:t>
      </w:r>
      <w:r w:rsidR="00941E36">
        <w:rPr>
          <w:rFonts w:cs="Apple Symbols"/>
        </w:rPr>
        <w:t xml:space="preserve"> (BCCA)</w:t>
      </w:r>
      <w:r w:rsidRPr="00210072">
        <w:rPr>
          <w:rFonts w:cs="Apple Symbols"/>
        </w:rPr>
        <w:t xml:space="preserve"> brought together 160 citizens and ran over a dozen weekends over a period of 11 months.</w:t>
      </w:r>
    </w:p>
    <w:p w14:paraId="4EBD12E5" w14:textId="1C89D54F" w:rsidR="009962BB" w:rsidRDefault="00CC03F5" w:rsidP="009962BB">
      <w:pPr>
        <w:spacing w:after="120"/>
        <w:ind w:firstLine="720"/>
        <w:rPr>
          <w:rFonts w:cs="Apple Symbols"/>
        </w:rPr>
      </w:pPr>
      <w:r w:rsidRPr="00210072">
        <w:rPr>
          <w:rFonts w:cs="Apple Symbols"/>
        </w:rPr>
        <w:t xml:space="preserve">Why is sortition used in these institutions? </w:t>
      </w:r>
      <w:r w:rsidR="00FF1959">
        <w:rPr>
          <w:rFonts w:cs="Apple Symbols"/>
        </w:rPr>
        <w:t xml:space="preserve">First, sortition </w:t>
      </w:r>
      <w:r w:rsidR="00941E36">
        <w:rPr>
          <w:rFonts w:cs="Apple Symbols"/>
        </w:rPr>
        <w:t xml:space="preserve">as selection mechanism </w:t>
      </w:r>
      <w:r w:rsidR="00FF1959">
        <w:rPr>
          <w:rFonts w:cs="Apple Symbols"/>
        </w:rPr>
        <w:t xml:space="preserve">is valued for its capacity </w:t>
      </w:r>
      <w:r w:rsidR="00FF1959" w:rsidRPr="00210072">
        <w:rPr>
          <w:rFonts w:cs="Apple Symbols"/>
        </w:rPr>
        <w:t xml:space="preserve">to realize political equality understood as an equal probability of being </w:t>
      </w:r>
      <w:r w:rsidR="00941E36">
        <w:rPr>
          <w:rFonts w:cs="Apple Symbols"/>
        </w:rPr>
        <w:t>invited</w:t>
      </w:r>
      <w:r w:rsidR="00FF1959" w:rsidRPr="00210072">
        <w:rPr>
          <w:rFonts w:cs="Apple Symbols"/>
        </w:rPr>
        <w:t xml:space="preserve"> to participate</w:t>
      </w:r>
      <w:r w:rsidR="00FF1959">
        <w:rPr>
          <w:rFonts w:cs="Apple Symbols"/>
        </w:rPr>
        <w:t xml:space="preserve">. Whether or not claims of ‘descriptive representation’ can be </w:t>
      </w:r>
      <w:r w:rsidR="00941E36">
        <w:rPr>
          <w:rFonts w:cs="Apple Symbols"/>
        </w:rPr>
        <w:t>sustained (</w:t>
      </w:r>
      <w:r w:rsidR="00FF1959">
        <w:rPr>
          <w:rFonts w:cs="Apple Symbols"/>
        </w:rPr>
        <w:t>given the impact of self-selection and/or stratification</w:t>
      </w:r>
      <w:r w:rsidR="00941E36">
        <w:rPr>
          <w:rFonts w:cs="Apple Symbols"/>
        </w:rPr>
        <w:t>)</w:t>
      </w:r>
      <w:r w:rsidR="00FF1959">
        <w:rPr>
          <w:rFonts w:cs="Apple Symbols"/>
        </w:rPr>
        <w:t xml:space="preserve">, </w:t>
      </w:r>
      <w:r w:rsidRPr="00210072">
        <w:rPr>
          <w:rFonts w:cs="Apple Symbols"/>
        </w:rPr>
        <w:t>sortition generates a more diverse sample of participants than estab</w:t>
      </w:r>
      <w:r w:rsidR="00FF1959">
        <w:rPr>
          <w:rFonts w:cs="Apple Symbols"/>
        </w:rPr>
        <w:t xml:space="preserve">lished mechanisms of engagement that tend to </w:t>
      </w:r>
      <w:r w:rsidRPr="00210072">
        <w:rPr>
          <w:rFonts w:cs="Apple Symbols"/>
        </w:rPr>
        <w:t xml:space="preserve">replicate differential participation rates and thus differentials of power across social groups. </w:t>
      </w:r>
      <w:r w:rsidR="00FF1959">
        <w:rPr>
          <w:rFonts w:cs="Apple Symbols"/>
        </w:rPr>
        <w:t xml:space="preserve">Second, the combination of sortition with </w:t>
      </w:r>
      <w:r w:rsidRPr="00210072">
        <w:rPr>
          <w:rFonts w:cs="Apple Symbols"/>
        </w:rPr>
        <w:t xml:space="preserve">facilitation and balanced information </w:t>
      </w:r>
      <w:r w:rsidR="00FF1959" w:rsidRPr="00210072">
        <w:rPr>
          <w:rFonts w:cs="Apple Symbols"/>
        </w:rPr>
        <w:t>create</w:t>
      </w:r>
      <w:r w:rsidR="00034D2A">
        <w:rPr>
          <w:rFonts w:cs="Apple Symbols"/>
        </w:rPr>
        <w:t>s</w:t>
      </w:r>
      <w:r w:rsidR="00FF1959" w:rsidRPr="00210072">
        <w:rPr>
          <w:rFonts w:cs="Apple Symbols"/>
        </w:rPr>
        <w:t xml:space="preserve"> the condition for deliberation and considered judgement.</w:t>
      </w:r>
      <w:r w:rsidR="00034D2A">
        <w:rPr>
          <w:rFonts w:cs="Apple Symbols"/>
        </w:rPr>
        <w:t xml:space="preserve"> </w:t>
      </w:r>
      <w:r w:rsidR="009962BB">
        <w:rPr>
          <w:rFonts w:cs="Apple Symbols"/>
        </w:rPr>
        <w:t>For advocates such as James Fishkin, the significance of mini-publics is the way in which random selection combines with deliberation to generate a counterfactual will formation: ‘what the public would think, had it a better opportunity to consider the question at issue’.</w:t>
      </w:r>
      <w:r w:rsidR="009962BB">
        <w:rPr>
          <w:rStyle w:val="FootnoteReference"/>
          <w:rFonts w:cs="Apple Symbols"/>
        </w:rPr>
        <w:footnoteReference w:id="4"/>
      </w:r>
      <w:r w:rsidR="009962BB">
        <w:rPr>
          <w:rFonts w:cs="Apple Symbols"/>
        </w:rPr>
        <w:t xml:space="preserve"> But arguably more important is the connection with Athenian practice: the mini-publics represent a ‘safe haven</w:t>
      </w:r>
      <w:r w:rsidRPr="00210072">
        <w:rPr>
          <w:rFonts w:cs="Apple Symbols"/>
        </w:rPr>
        <w:t>’</w:t>
      </w:r>
      <w:r w:rsidR="001F5A2E">
        <w:rPr>
          <w:rStyle w:val="FootnoteReference"/>
          <w:rFonts w:cs="Apple Symbols"/>
        </w:rPr>
        <w:footnoteReference w:id="5"/>
      </w:r>
      <w:r w:rsidRPr="00210072">
        <w:rPr>
          <w:rFonts w:cs="Apple Symbols"/>
        </w:rPr>
        <w:t xml:space="preserve"> </w:t>
      </w:r>
      <w:r w:rsidR="009962BB">
        <w:rPr>
          <w:rFonts w:cs="Apple Symbols"/>
        </w:rPr>
        <w:t>in which citizens are politically equal and protected from economic and social power. Unlike their Athenian forebears however, mini-publics are sites of deliberation and not just public judgement.</w:t>
      </w:r>
    </w:p>
    <w:p w14:paraId="0EB7CB26" w14:textId="059F41CB" w:rsidR="00CC03F5" w:rsidRPr="009962BB" w:rsidRDefault="007D15F3" w:rsidP="009962BB">
      <w:pPr>
        <w:spacing w:after="120"/>
        <w:ind w:firstLine="720"/>
        <w:rPr>
          <w:rFonts w:cs="Apple Symbols"/>
        </w:rPr>
      </w:pPr>
      <w:r w:rsidRPr="00210072">
        <w:rPr>
          <w:rFonts w:cs="Apple Symbols"/>
        </w:rPr>
        <w:t xml:space="preserve">How can the practice of deliberative mini-publics inform the </w:t>
      </w:r>
      <w:r>
        <w:rPr>
          <w:rFonts w:cs="Apple Symbols"/>
        </w:rPr>
        <w:t>design of the SLP</w:t>
      </w:r>
      <w:r w:rsidRPr="00210072">
        <w:rPr>
          <w:rFonts w:cs="Apple Symbols"/>
        </w:rPr>
        <w:t xml:space="preserve">? </w:t>
      </w:r>
      <w:r w:rsidR="00CC03F5" w:rsidRPr="00210072">
        <w:t>There has been an explosion of</w:t>
      </w:r>
      <w:r w:rsidR="00210072">
        <w:t xml:space="preserve"> social scientific research, much of which provides evidence for the promise of mini-publics, in particular </w:t>
      </w:r>
      <w:r w:rsidR="00CC03F5" w:rsidRPr="00210072">
        <w:t xml:space="preserve">that citizens </w:t>
      </w:r>
      <w:r w:rsidR="000E4A76">
        <w:t xml:space="preserve">who participate </w:t>
      </w:r>
      <w:r w:rsidR="00CC03F5" w:rsidRPr="00210072">
        <w:t>are willing and able to come to sound judgments and recommendations on highly complex technical issues</w:t>
      </w:r>
      <w:r w:rsidR="00210072">
        <w:rPr>
          <w:rStyle w:val="FootnoteReference"/>
          <w:rFonts w:cs="Apple Symbols"/>
        </w:rPr>
        <w:footnoteReference w:id="6"/>
      </w:r>
      <w:r w:rsidR="000E4A76">
        <w:t xml:space="preserve"> and that they are </w:t>
      </w:r>
      <w:r>
        <w:t xml:space="preserve">viewed as </w:t>
      </w:r>
      <w:r w:rsidR="000E4A76">
        <w:t>trusted institutions by the wider public.</w:t>
      </w:r>
      <w:r w:rsidR="000E4A76">
        <w:rPr>
          <w:rStyle w:val="FootnoteReference"/>
          <w:rFonts w:cs="Times New Roman"/>
        </w:rPr>
        <w:footnoteReference w:id="7"/>
      </w:r>
      <w:r w:rsidR="000E4A76" w:rsidRPr="00210072">
        <w:rPr>
          <w:rFonts w:cs="Times New Roman"/>
        </w:rPr>
        <w:t xml:space="preserve"> </w:t>
      </w:r>
    </w:p>
    <w:p w14:paraId="5ED36DCE" w14:textId="37D5E731" w:rsidR="007B3BF3" w:rsidRDefault="00CC03F5" w:rsidP="009B278A">
      <w:pPr>
        <w:spacing w:after="120"/>
        <w:ind w:firstLine="720"/>
        <w:rPr>
          <w:rFonts w:cs="Apple Symbols"/>
        </w:rPr>
      </w:pPr>
      <w:r w:rsidRPr="00210072">
        <w:rPr>
          <w:rFonts w:cs="Apple Symbols"/>
        </w:rPr>
        <w:t>The selecti</w:t>
      </w:r>
      <w:r w:rsidR="009B278A">
        <w:rPr>
          <w:rFonts w:cs="Apple Symbols"/>
        </w:rPr>
        <w:t>on mechanism – sortition – is a critical factor</w:t>
      </w:r>
      <w:r w:rsidRPr="00210072">
        <w:rPr>
          <w:rFonts w:cs="Apple Symbols"/>
        </w:rPr>
        <w:t xml:space="preserve"> in creating the circumstances for a deliberative politics: ensuring that a diversity of social perspectives</w:t>
      </w:r>
      <w:r w:rsidR="001F1AF0">
        <w:rPr>
          <w:rFonts w:cs="Apple Symbols"/>
        </w:rPr>
        <w:t xml:space="preserve"> are brought to bear</w:t>
      </w:r>
      <w:r w:rsidRPr="00210072">
        <w:rPr>
          <w:rFonts w:cs="Apple Symbols"/>
        </w:rPr>
        <w:t xml:space="preserve">. But sortition is only one amongst many design characteristics, not all of which </w:t>
      </w:r>
      <w:r w:rsidR="009B278A">
        <w:rPr>
          <w:rFonts w:cs="Apple Symbols"/>
        </w:rPr>
        <w:t xml:space="preserve">will </w:t>
      </w:r>
      <w:r w:rsidRPr="00210072">
        <w:rPr>
          <w:rFonts w:cs="Apple Symbols"/>
        </w:rPr>
        <w:t>transfer so easily to a permanent legislative body.</w:t>
      </w:r>
      <w:r w:rsidR="000E4A76">
        <w:rPr>
          <w:rFonts w:cs="Apple Symbols"/>
        </w:rPr>
        <w:t xml:space="preserve"> </w:t>
      </w:r>
      <w:r w:rsidR="009B278A">
        <w:rPr>
          <w:rFonts w:cs="Apple Symbols"/>
        </w:rPr>
        <w:t>M</w:t>
      </w:r>
      <w:r w:rsidR="007B3BF3">
        <w:rPr>
          <w:rFonts w:cs="Apple Symbols"/>
        </w:rPr>
        <w:t xml:space="preserve">ini-publics rely </w:t>
      </w:r>
      <w:r w:rsidR="00F63C20">
        <w:rPr>
          <w:rFonts w:cs="Apple Symbols"/>
        </w:rPr>
        <w:t xml:space="preserve">extensively </w:t>
      </w:r>
      <w:r w:rsidR="007B3BF3">
        <w:rPr>
          <w:rFonts w:cs="Apple Symbols"/>
        </w:rPr>
        <w:t xml:space="preserve">on </w:t>
      </w:r>
      <w:r w:rsidR="00F63C20">
        <w:rPr>
          <w:rFonts w:cs="Apple Symbols"/>
        </w:rPr>
        <w:t>trained</w:t>
      </w:r>
      <w:r w:rsidR="007B3BF3">
        <w:rPr>
          <w:rFonts w:cs="Apple Symbols"/>
        </w:rPr>
        <w:t xml:space="preserve"> facilitation to ensure that interactions between the diverse participants, with very different capacities and experience, are free and fair. How suitable is such inte</w:t>
      </w:r>
      <w:r w:rsidR="009B278A">
        <w:rPr>
          <w:rFonts w:cs="Apple Symbols"/>
        </w:rPr>
        <w:t>r</w:t>
      </w:r>
      <w:r w:rsidR="007B3BF3">
        <w:rPr>
          <w:rFonts w:cs="Apple Symbols"/>
        </w:rPr>
        <w:t>ventionist facilitation for a legislative body? D</w:t>
      </w:r>
      <w:r w:rsidRPr="00210072">
        <w:rPr>
          <w:rFonts w:cs="Apple Symbols"/>
        </w:rPr>
        <w:t xml:space="preserve">eliberative mini-publics have been </w:t>
      </w:r>
      <w:r w:rsidR="007B3BF3" w:rsidRPr="00210072">
        <w:rPr>
          <w:rFonts w:cs="Apple Symbols"/>
        </w:rPr>
        <w:t xml:space="preserve">generally </w:t>
      </w:r>
      <w:r w:rsidR="007B3BF3">
        <w:rPr>
          <w:rFonts w:cs="Apple Symbols"/>
        </w:rPr>
        <w:t xml:space="preserve">also </w:t>
      </w:r>
      <w:r w:rsidR="00210072">
        <w:rPr>
          <w:rFonts w:cs="Apple Symbols"/>
        </w:rPr>
        <w:t>one-off affairs. There is thus de facto</w:t>
      </w:r>
      <w:r w:rsidRPr="00210072">
        <w:rPr>
          <w:rFonts w:cs="Apple Symbols"/>
        </w:rPr>
        <w:t xml:space="preserve"> rotation of membership between mini-publics (as well as changes in sponsors and organizers). The longest period of participation has b</w:t>
      </w:r>
      <w:r w:rsidR="006D132C">
        <w:rPr>
          <w:rFonts w:cs="Apple Symbols"/>
        </w:rPr>
        <w:t>een around a dozen weekends in citizens’ a</w:t>
      </w:r>
      <w:r w:rsidRPr="00210072">
        <w:rPr>
          <w:rFonts w:cs="Apple Symbols"/>
        </w:rPr>
        <w:t xml:space="preserve">ssemblies in Canada, the Netherlands and Ireland. </w:t>
      </w:r>
      <w:r w:rsidR="00380F53">
        <w:rPr>
          <w:rFonts w:cs="Apple Symbols"/>
        </w:rPr>
        <w:t>T</w:t>
      </w:r>
      <w:r w:rsidRPr="00210072">
        <w:rPr>
          <w:rFonts w:cs="Apple Symbols"/>
        </w:rPr>
        <w:t xml:space="preserve">he Irish Assembly (and its mixed Constitutional Convention cousin) </w:t>
      </w:r>
      <w:r w:rsidR="00EC6437">
        <w:rPr>
          <w:rFonts w:cs="Apple Symbols"/>
        </w:rPr>
        <w:t xml:space="preserve">is a rare example </w:t>
      </w:r>
      <w:r w:rsidRPr="00210072">
        <w:rPr>
          <w:rFonts w:cs="Apple Symbols"/>
        </w:rPr>
        <w:t xml:space="preserve">where a single mini-public has dealt with more than one issue. </w:t>
      </w:r>
      <w:r w:rsidR="009B278A">
        <w:rPr>
          <w:rFonts w:cs="Apple Symbols"/>
        </w:rPr>
        <w:t>Finally, p</w:t>
      </w:r>
      <w:r w:rsidRPr="00210072">
        <w:rPr>
          <w:rFonts w:cs="Apple Symbols"/>
        </w:rPr>
        <w:t>revious mini-publics</w:t>
      </w:r>
      <w:r w:rsidR="00C649CA">
        <w:rPr>
          <w:rFonts w:cs="Apple Symbols"/>
        </w:rPr>
        <w:t xml:space="preserve"> have been </w:t>
      </w:r>
      <w:r w:rsidRPr="00210072">
        <w:rPr>
          <w:rFonts w:cs="Apple Symbols"/>
        </w:rPr>
        <w:t xml:space="preserve">carefully crafted spaces in which citizens are protected from partisan interests. In this sense, there is a shared trajectory with </w:t>
      </w:r>
      <w:r w:rsidR="000E4A76">
        <w:rPr>
          <w:rFonts w:cs="Apple Symbols"/>
        </w:rPr>
        <w:t>the historical precedent of Athens</w:t>
      </w:r>
      <w:r w:rsidRPr="00210072">
        <w:rPr>
          <w:rFonts w:cs="Apple Symbols"/>
        </w:rPr>
        <w:t xml:space="preserve">. Interest groups, political parties and the media are kept at arms-length. The one-off nature of mini-publics, the variety of different sponsors and the independence of organizers and facilitators all help to protect these spaces. But arguably </w:t>
      </w:r>
      <w:r w:rsidR="009B278A">
        <w:rPr>
          <w:rFonts w:cs="Apple Symbols"/>
        </w:rPr>
        <w:t>the fact that,</w:t>
      </w:r>
      <w:r w:rsidR="007B3BF3">
        <w:rPr>
          <w:rFonts w:cs="Apple Symbols"/>
        </w:rPr>
        <w:t xml:space="preserve"> </w:t>
      </w:r>
      <w:r w:rsidRPr="00210072">
        <w:rPr>
          <w:rFonts w:cs="Apple Symbols"/>
        </w:rPr>
        <w:t>to date</w:t>
      </w:r>
      <w:r w:rsidR="007B3BF3">
        <w:rPr>
          <w:rFonts w:cs="Apple Symbols"/>
        </w:rPr>
        <w:t>,</w:t>
      </w:r>
      <w:r w:rsidRPr="00210072">
        <w:rPr>
          <w:rFonts w:cs="Apple Symbols"/>
        </w:rPr>
        <w:t xml:space="preserve"> mini-publics have been relatively marginal </w:t>
      </w:r>
      <w:r w:rsidR="007B3BF3">
        <w:rPr>
          <w:rFonts w:cs="Apple Symbols"/>
        </w:rPr>
        <w:t xml:space="preserve">political </w:t>
      </w:r>
      <w:r w:rsidRPr="00210072">
        <w:rPr>
          <w:rFonts w:cs="Apple Symbols"/>
        </w:rPr>
        <w:t>institutions has been their greatest protection. Were mini-publics to be used more extensively and to have more significant political import,</w:t>
      </w:r>
      <w:r w:rsidR="00151D1A">
        <w:rPr>
          <w:rFonts w:cs="Apple Symbols"/>
        </w:rPr>
        <w:t xml:space="preserve"> </w:t>
      </w:r>
      <w:r w:rsidRPr="00210072">
        <w:rPr>
          <w:rFonts w:cs="Apple Symbols"/>
        </w:rPr>
        <w:t xml:space="preserve">it would </w:t>
      </w:r>
      <w:r w:rsidR="00A40F5C">
        <w:rPr>
          <w:rFonts w:cs="Apple Symbols"/>
        </w:rPr>
        <w:t xml:space="preserve">be likely to </w:t>
      </w:r>
      <w:r w:rsidRPr="00210072">
        <w:rPr>
          <w:rFonts w:cs="Apple Symbols"/>
        </w:rPr>
        <w:t>generate ‘powerful incentives for interest groups and partisan elites to try to manipulate [these] deliberative forums’</w:t>
      </w:r>
      <w:r w:rsidR="00C649CA">
        <w:rPr>
          <w:rFonts w:cs="Apple Symbols"/>
        </w:rPr>
        <w:t>.</w:t>
      </w:r>
      <w:r w:rsidR="00C649CA">
        <w:rPr>
          <w:rStyle w:val="FootnoteReference"/>
          <w:rFonts w:cs="Apple Symbols"/>
        </w:rPr>
        <w:footnoteReference w:id="8"/>
      </w:r>
      <w:r w:rsidRPr="00210072">
        <w:rPr>
          <w:rFonts w:cs="Apple Symbols"/>
        </w:rPr>
        <w:t xml:space="preserve"> </w:t>
      </w:r>
      <w:r w:rsidR="002E3FF6">
        <w:rPr>
          <w:rFonts w:cs="Apple Symbols"/>
        </w:rPr>
        <w:t>Here we can draw parallels with legal juries where</w:t>
      </w:r>
      <w:r w:rsidR="00945873">
        <w:rPr>
          <w:rFonts w:cs="Apple Symbols"/>
        </w:rPr>
        <w:t xml:space="preserve"> there are </w:t>
      </w:r>
      <w:r w:rsidR="003404A4">
        <w:rPr>
          <w:rFonts w:cs="Apple Symbols"/>
        </w:rPr>
        <w:t>laws agai</w:t>
      </w:r>
      <w:r w:rsidR="003A55AB">
        <w:rPr>
          <w:rFonts w:cs="Apple Symbols"/>
        </w:rPr>
        <w:t>nst jury-tampering and options</w:t>
      </w:r>
      <w:r w:rsidR="003404A4">
        <w:rPr>
          <w:rFonts w:cs="Apple Symbols"/>
        </w:rPr>
        <w:t xml:space="preserve"> such as sequestration</w:t>
      </w:r>
      <w:r w:rsidR="003A55AB">
        <w:rPr>
          <w:rFonts w:cs="Apple Symbols"/>
        </w:rPr>
        <w:t>, even if rarely used, available to protect juries against undue influence.</w:t>
      </w:r>
    </w:p>
    <w:p w14:paraId="369A7EA2" w14:textId="710CCC9A" w:rsidR="006D132C" w:rsidRPr="00DC6B4A" w:rsidRDefault="006D132C" w:rsidP="009B278A">
      <w:pPr>
        <w:spacing w:after="120"/>
        <w:ind w:firstLine="720"/>
        <w:rPr>
          <w:rFonts w:cs="Apple Symbols"/>
        </w:rPr>
      </w:pPr>
      <w:r>
        <w:rPr>
          <w:rFonts w:cs="Apple Symbols"/>
        </w:rPr>
        <w:t>While</w:t>
      </w:r>
      <w:r w:rsidR="00CC03F5" w:rsidRPr="00210072">
        <w:rPr>
          <w:rFonts w:cs="Apple Symbols"/>
        </w:rPr>
        <w:t xml:space="preserve"> </w:t>
      </w:r>
      <w:r w:rsidR="00380F53">
        <w:rPr>
          <w:rFonts w:cs="Apple Symbols"/>
        </w:rPr>
        <w:t xml:space="preserve">the functioning of </w:t>
      </w:r>
      <w:r w:rsidR="00CC03F5" w:rsidRPr="00210072">
        <w:rPr>
          <w:rFonts w:cs="Apple Symbols"/>
        </w:rPr>
        <w:t>deliberative</w:t>
      </w:r>
      <w:r w:rsidR="007B3BF3">
        <w:rPr>
          <w:rFonts w:cs="Apple Symbols"/>
        </w:rPr>
        <w:t xml:space="preserve"> mini-publics offer </w:t>
      </w:r>
      <w:r w:rsidR="00380F53">
        <w:rPr>
          <w:rFonts w:cs="Apple Symbols"/>
        </w:rPr>
        <w:t>some</w:t>
      </w:r>
      <w:r w:rsidR="00DF75CF">
        <w:rPr>
          <w:rFonts w:cs="Apple Symbols"/>
        </w:rPr>
        <w:t xml:space="preserve"> </w:t>
      </w:r>
      <w:r w:rsidR="007B3BF3">
        <w:rPr>
          <w:rFonts w:cs="Apple Symbols"/>
        </w:rPr>
        <w:t>grounds</w:t>
      </w:r>
      <w:r w:rsidR="00CC03F5" w:rsidRPr="00210072">
        <w:rPr>
          <w:rFonts w:cs="Apple Symbols"/>
        </w:rPr>
        <w:t xml:space="preserve"> for optimism for </w:t>
      </w:r>
      <w:r w:rsidR="007B3BF3">
        <w:rPr>
          <w:rFonts w:cs="Apple Symbols"/>
        </w:rPr>
        <w:t xml:space="preserve">the practice of </w:t>
      </w:r>
      <w:r w:rsidR="00CC03F5" w:rsidRPr="00210072">
        <w:rPr>
          <w:rFonts w:cs="Apple Symbols"/>
        </w:rPr>
        <w:t>a sortition l</w:t>
      </w:r>
      <w:r w:rsidR="007B3BF3">
        <w:rPr>
          <w:rFonts w:cs="Apple Symbols"/>
        </w:rPr>
        <w:t xml:space="preserve">egislature, the implications of differences in </w:t>
      </w:r>
      <w:r w:rsidR="00CC03F5" w:rsidRPr="00210072">
        <w:rPr>
          <w:rFonts w:cs="Apple Symbols"/>
        </w:rPr>
        <w:t xml:space="preserve">structural </w:t>
      </w:r>
      <w:r w:rsidR="007B3BF3">
        <w:rPr>
          <w:rFonts w:cs="Apple Symbols"/>
        </w:rPr>
        <w:t>function and design need to be given careful consideration.</w:t>
      </w:r>
      <w:r w:rsidR="009B278A">
        <w:rPr>
          <w:rFonts w:cs="Apple Symbols"/>
        </w:rPr>
        <w:t xml:space="preserve"> Drawing on the experience of mini-publics may be stretching the evidence base given that the SLP</w:t>
      </w:r>
      <w:r w:rsidR="009B278A" w:rsidRPr="00210072">
        <w:rPr>
          <w:rFonts w:cs="Apple Symbols"/>
        </w:rPr>
        <w:t xml:space="preserve"> require</w:t>
      </w:r>
      <w:r w:rsidR="009B278A">
        <w:rPr>
          <w:rFonts w:cs="Apple Symbols"/>
        </w:rPr>
        <w:t>s</w:t>
      </w:r>
      <w:r w:rsidR="009B278A" w:rsidRPr="00210072">
        <w:rPr>
          <w:rFonts w:cs="Apple Symbols"/>
        </w:rPr>
        <w:t xml:space="preserve"> much more significant time contributions from participant</w:t>
      </w:r>
      <w:r w:rsidR="009B278A">
        <w:rPr>
          <w:rFonts w:cs="Apple Symbols"/>
        </w:rPr>
        <w:t>s</w:t>
      </w:r>
      <w:r w:rsidR="00483B84">
        <w:rPr>
          <w:rFonts w:cs="Apple Symbols"/>
        </w:rPr>
        <w:t xml:space="preserve"> and </w:t>
      </w:r>
      <w:r w:rsidR="00F703DA">
        <w:rPr>
          <w:rFonts w:cs="Apple Symbols"/>
        </w:rPr>
        <w:t>engagement</w:t>
      </w:r>
      <w:r w:rsidR="00483B84">
        <w:rPr>
          <w:rFonts w:cs="Apple Symbols"/>
        </w:rPr>
        <w:t xml:space="preserve"> </w:t>
      </w:r>
      <w:r w:rsidR="009B278A">
        <w:rPr>
          <w:rFonts w:cs="Apple Symbols"/>
        </w:rPr>
        <w:t>across a range of issues</w:t>
      </w:r>
      <w:r w:rsidR="00483B84">
        <w:rPr>
          <w:rFonts w:cs="Apple Symbols"/>
        </w:rPr>
        <w:t xml:space="preserve">, </w:t>
      </w:r>
      <w:r w:rsidR="009B278A">
        <w:rPr>
          <w:rFonts w:cs="Apple Symbols"/>
        </w:rPr>
        <w:t xml:space="preserve">thus potentially exposing members to more systematic pressure from outside interests. </w:t>
      </w:r>
    </w:p>
    <w:p w14:paraId="1AC11A63" w14:textId="6D6B0DAC" w:rsidR="00CC03F5" w:rsidRPr="00C649CA" w:rsidRDefault="00487866" w:rsidP="00C649CA">
      <w:pPr>
        <w:spacing w:after="120"/>
        <w:jc w:val="center"/>
        <w:rPr>
          <w:b/>
        </w:rPr>
      </w:pPr>
      <w:r>
        <w:rPr>
          <w:b/>
        </w:rPr>
        <w:t>Evaluating t</w:t>
      </w:r>
      <w:r w:rsidR="006F7DF2" w:rsidRPr="00C649CA">
        <w:rPr>
          <w:b/>
        </w:rPr>
        <w:t>he sortition legislature proposal</w:t>
      </w:r>
    </w:p>
    <w:p w14:paraId="22F10548" w14:textId="7F7D6600" w:rsidR="002451FD" w:rsidRPr="00210072" w:rsidRDefault="00BF24EA" w:rsidP="00AA7D54">
      <w:pPr>
        <w:spacing w:after="120"/>
        <w:ind w:firstLine="720"/>
      </w:pPr>
      <w:r w:rsidRPr="00210072">
        <w:t xml:space="preserve">Our exploration of the circumstances of sortition in both historical </w:t>
      </w:r>
      <w:r w:rsidR="00AA7D54">
        <w:t xml:space="preserve">Athens and </w:t>
      </w:r>
      <w:r w:rsidRPr="00210072">
        <w:t xml:space="preserve">its </w:t>
      </w:r>
      <w:r w:rsidR="00AA7D54">
        <w:t>contemporary application in</w:t>
      </w:r>
      <w:r w:rsidRPr="00210072">
        <w:t xml:space="preserve"> deliberative mini-publics suggests that the </w:t>
      </w:r>
      <w:r w:rsidR="00151D1A">
        <w:t>SLP</w:t>
      </w:r>
      <w:r w:rsidRPr="00210072">
        <w:t xml:space="preserve"> has qualitativ</w:t>
      </w:r>
      <w:r w:rsidR="006F7DF2" w:rsidRPr="00210072">
        <w:t>ely different characteristics f</w:t>
      </w:r>
      <w:r w:rsidRPr="00210072">
        <w:t>r</w:t>
      </w:r>
      <w:r w:rsidR="006F7DF2" w:rsidRPr="00210072">
        <w:t>o</w:t>
      </w:r>
      <w:r w:rsidRPr="00210072">
        <w:t>m</w:t>
      </w:r>
      <w:r w:rsidR="00151D1A">
        <w:t xml:space="preserve"> previous </w:t>
      </w:r>
      <w:r w:rsidR="00380F53">
        <w:t xml:space="preserve">sortition </w:t>
      </w:r>
      <w:r w:rsidR="00151D1A">
        <w:t xml:space="preserve">institutional forms. </w:t>
      </w:r>
      <w:r w:rsidR="00380F53">
        <w:t>These differences generate</w:t>
      </w:r>
      <w:r w:rsidR="00AA7D54">
        <w:t xml:space="preserve"> </w:t>
      </w:r>
      <w:r w:rsidRPr="00210072">
        <w:t>(at least) two fundamental challenges</w:t>
      </w:r>
      <w:r w:rsidR="00AA7D54">
        <w:t xml:space="preserve"> for the proposal</w:t>
      </w:r>
      <w:r w:rsidRPr="00210072">
        <w:t>.</w:t>
      </w:r>
      <w:r w:rsidR="00151D1A">
        <w:rPr>
          <w:rStyle w:val="FootnoteReference"/>
        </w:rPr>
        <w:footnoteReference w:id="9"/>
      </w:r>
      <w:r w:rsidRPr="00210072">
        <w:t xml:space="preserve"> The first relates to </w:t>
      </w:r>
      <w:r w:rsidR="005F0CBC" w:rsidRPr="00210072">
        <w:t>what is typically seen as the core purpose of sortition bodies</w:t>
      </w:r>
      <w:r w:rsidRPr="00210072">
        <w:t>, nam</w:t>
      </w:r>
      <w:r w:rsidR="008C641C">
        <w:t>ely their</w:t>
      </w:r>
      <w:r w:rsidRPr="00210072">
        <w:t xml:space="preserve"> capacity to </w:t>
      </w:r>
      <w:r w:rsidR="00A83FC7" w:rsidRPr="00210072">
        <w:t>enact</w:t>
      </w:r>
      <w:r w:rsidRPr="00210072">
        <w:t xml:space="preserve"> political equality</w:t>
      </w:r>
      <w:r w:rsidR="008C641C">
        <w:t xml:space="preserve"> and thus the extent to which they protect</w:t>
      </w:r>
      <w:r w:rsidRPr="00210072">
        <w:t xml:space="preserve"> from social and economic power and the inequalities that engenders. The second challenge relates to the range of functions that the sortition legislature aims to fulfil. Our particular concern is whether it can </w:t>
      </w:r>
      <w:r w:rsidR="005F0CBC" w:rsidRPr="00210072">
        <w:t>realize effectively</w:t>
      </w:r>
      <w:r w:rsidRPr="00210072">
        <w:t xml:space="preserve"> an agenda-setting function</w:t>
      </w:r>
      <w:r w:rsidR="005F0CBC" w:rsidRPr="00210072">
        <w:t xml:space="preserve"> alongside its other functions</w:t>
      </w:r>
      <w:r w:rsidR="007B5861" w:rsidRPr="00210072">
        <w:t>; and if so, at what cost. We believe that on both scores – political equality and agenda-setting –</w:t>
      </w:r>
      <w:r w:rsidR="005F0CBC" w:rsidRPr="00210072">
        <w:t xml:space="preserve"> the </w:t>
      </w:r>
      <w:r w:rsidR="00BC43CD">
        <w:t xml:space="preserve">SLP </w:t>
      </w:r>
      <w:r w:rsidR="005F0CBC" w:rsidRPr="00210072">
        <w:t xml:space="preserve">is found wanting, with </w:t>
      </w:r>
      <w:r w:rsidR="007B5861" w:rsidRPr="00210072">
        <w:t>the problems associated with agenda-setting heighten</w:t>
      </w:r>
      <w:r w:rsidR="005F0CBC" w:rsidRPr="00210072">
        <w:t>ing</w:t>
      </w:r>
      <w:r w:rsidR="007B5861" w:rsidRPr="00210072">
        <w:t xml:space="preserve"> </w:t>
      </w:r>
      <w:r w:rsidR="006F7DF2" w:rsidRPr="00210072">
        <w:t xml:space="preserve">further </w:t>
      </w:r>
      <w:r w:rsidR="007B5861" w:rsidRPr="00210072">
        <w:t xml:space="preserve">the incapacity </w:t>
      </w:r>
      <w:r w:rsidR="002451FD" w:rsidRPr="00210072">
        <w:t xml:space="preserve">of the legislature </w:t>
      </w:r>
      <w:r w:rsidR="007B5861" w:rsidRPr="00210072">
        <w:t>to protect against economic and social power.</w:t>
      </w:r>
      <w:r w:rsidR="002451FD" w:rsidRPr="00210072">
        <w:t xml:space="preserve"> </w:t>
      </w:r>
      <w:r w:rsidR="00E0554D">
        <w:t>Given the desire to see some form of sortition</w:t>
      </w:r>
      <w:r w:rsidR="006F7DF2" w:rsidRPr="00210072">
        <w:t xml:space="preserve"> legislature instituted, w</w:t>
      </w:r>
      <w:r w:rsidR="002451FD" w:rsidRPr="00210072">
        <w:t xml:space="preserve">e must be </w:t>
      </w:r>
      <w:r w:rsidR="00C462D5">
        <w:t xml:space="preserve">strategically </w:t>
      </w:r>
      <w:r w:rsidR="002451FD" w:rsidRPr="00210072">
        <w:t xml:space="preserve">alert to the risks to the future application of sortition, and more dramatically to the idea and practice of </w:t>
      </w:r>
      <w:r w:rsidR="005F0CBC" w:rsidRPr="00210072">
        <w:t>a more participatory democracy</w:t>
      </w:r>
      <w:r w:rsidR="002451FD" w:rsidRPr="00210072">
        <w:t xml:space="preserve">, if </w:t>
      </w:r>
      <w:r w:rsidR="006F7DF2" w:rsidRPr="00210072">
        <w:t xml:space="preserve">such </w:t>
      </w:r>
      <w:r w:rsidR="002451FD" w:rsidRPr="00210072">
        <w:t>an institutional restructuring performs badly.</w:t>
      </w:r>
    </w:p>
    <w:p w14:paraId="2AB7CFE0" w14:textId="2A33FD66" w:rsidR="00CC03F5" w:rsidRPr="00C649CA" w:rsidRDefault="005E5E29" w:rsidP="00980593">
      <w:pPr>
        <w:spacing w:after="120"/>
        <w:rPr>
          <w:b/>
        </w:rPr>
      </w:pPr>
      <w:r w:rsidRPr="00210072">
        <w:rPr>
          <w:b/>
        </w:rPr>
        <w:t>Enacting political e</w:t>
      </w:r>
      <w:r w:rsidR="00CC03F5" w:rsidRPr="00210072">
        <w:rPr>
          <w:b/>
        </w:rPr>
        <w:t>quality</w:t>
      </w:r>
      <w:r w:rsidR="0011290B" w:rsidRPr="00210072">
        <w:rPr>
          <w:b/>
        </w:rPr>
        <w:t xml:space="preserve"> and protection fr</w:t>
      </w:r>
      <w:r w:rsidR="002E7D64">
        <w:rPr>
          <w:b/>
        </w:rPr>
        <w:t>om economic and social power</w:t>
      </w:r>
    </w:p>
    <w:p w14:paraId="276C293F" w14:textId="03372EAA" w:rsidR="008813FE" w:rsidRPr="00210072" w:rsidRDefault="00CC03F5" w:rsidP="00980593">
      <w:pPr>
        <w:spacing w:after="120"/>
      </w:pPr>
      <w:r w:rsidRPr="00210072">
        <w:t xml:space="preserve">In terms of selection, </w:t>
      </w:r>
      <w:r w:rsidR="002E7D64">
        <w:t>the SLP represent</w:t>
      </w:r>
      <w:r w:rsidR="00C462D5">
        <w:t>s</w:t>
      </w:r>
      <w:r w:rsidRPr="00210072">
        <w:t xml:space="preserve"> an exemplary enactment of political equality that brings c</w:t>
      </w:r>
      <w:r w:rsidR="00D20FF6" w:rsidRPr="00210072">
        <w:t>itizens into the center</w:t>
      </w:r>
      <w:r w:rsidR="00042E21" w:rsidRPr="00210072">
        <w:t xml:space="preserve"> of formal and official political power. In so doing, it has the potential to alter citizen</w:t>
      </w:r>
      <w:r w:rsidRPr="00210072">
        <w:t>s</w:t>
      </w:r>
      <w:r w:rsidR="00042E21" w:rsidRPr="00210072">
        <w:t>’</w:t>
      </w:r>
      <w:r w:rsidRPr="00210072">
        <w:t xml:space="preserve"> self-understanding of the meaning of citizenship, </w:t>
      </w:r>
      <w:r w:rsidR="005F0CBC" w:rsidRPr="00210072">
        <w:t>being a vivid example of</w:t>
      </w:r>
      <w:r w:rsidRPr="00210072">
        <w:t xml:space="preserve"> Aristotle’s concept</w:t>
      </w:r>
      <w:r w:rsidR="005F0CBC" w:rsidRPr="00210072">
        <w:t>ion</w:t>
      </w:r>
      <w:r w:rsidRPr="00210072">
        <w:t xml:space="preserve"> of ruling and being ruled in turn. </w:t>
      </w:r>
      <w:r w:rsidR="009B278A">
        <w:t>However, e</w:t>
      </w:r>
      <w:r w:rsidR="00C133DA">
        <w:t>ven if, as Gastil and Wright hope,</w:t>
      </w:r>
      <w:r w:rsidR="009B278A">
        <w:t xml:space="preserve"> such sortition legislatures were to</w:t>
      </w:r>
      <w:r w:rsidR="00C133DA">
        <w:t xml:space="preserve"> be instigated at different levels of governance within a polity, t</w:t>
      </w:r>
      <w:r w:rsidR="00042E21" w:rsidRPr="00210072">
        <w:t xml:space="preserve">he numbers participating are relatively small, so the chance of any </w:t>
      </w:r>
      <w:r w:rsidR="006D132C">
        <w:t xml:space="preserve">particular </w:t>
      </w:r>
      <w:r w:rsidR="00042E21" w:rsidRPr="00210072">
        <w:t xml:space="preserve">citizen being selected during their </w:t>
      </w:r>
      <w:r w:rsidR="005F0CBC" w:rsidRPr="00210072">
        <w:t>lifetime remain</w:t>
      </w:r>
      <w:r w:rsidR="00730F4C">
        <w:t>s</w:t>
      </w:r>
      <w:r w:rsidR="005F0CBC" w:rsidRPr="00210072">
        <w:t xml:space="preserve"> relatively slim. </w:t>
      </w:r>
      <w:r w:rsidR="00C133DA">
        <w:t>That said</w:t>
      </w:r>
      <w:r w:rsidR="005F0CBC" w:rsidRPr="00210072">
        <w:t>,</w:t>
      </w:r>
      <w:r w:rsidR="00042E21" w:rsidRPr="00210072">
        <w:t xml:space="preserve"> o</w:t>
      </w:r>
      <w:r w:rsidRPr="00210072">
        <w:t>ne should not underestimate how transformative the political ef</w:t>
      </w:r>
      <w:r w:rsidR="00042E21" w:rsidRPr="00210072">
        <w:t>fects of such a change could be</w:t>
      </w:r>
      <w:r w:rsidR="00C133DA">
        <w:t xml:space="preserve"> with citizens seeing their peers in positions of decision making power</w:t>
      </w:r>
      <w:r w:rsidRPr="00210072">
        <w:t xml:space="preserve">. </w:t>
      </w:r>
    </w:p>
    <w:p w14:paraId="43082790" w14:textId="227A0AB2" w:rsidR="00B44A0A" w:rsidRPr="00210072" w:rsidRDefault="00B44A0A" w:rsidP="00B974F5">
      <w:pPr>
        <w:spacing w:after="120"/>
        <w:ind w:firstLine="720"/>
      </w:pPr>
      <w:r w:rsidRPr="00210072">
        <w:t xml:space="preserve">However, the sole focus on sortition in terms of selection </w:t>
      </w:r>
      <w:r w:rsidR="002E7D64">
        <w:t>in the SLP</w:t>
      </w:r>
      <w:r w:rsidRPr="00210072">
        <w:t xml:space="preserve"> unhelpfully abstracts from its combination in historical and contemporary institutions with other mechanisms and processes, such as reg</w:t>
      </w:r>
      <w:r w:rsidR="00B974F5">
        <w:t xml:space="preserve">ular rotation of membership, </w:t>
      </w:r>
      <w:r w:rsidRPr="00210072">
        <w:t xml:space="preserve">the internal use of sortition </w:t>
      </w:r>
      <w:r w:rsidR="00C133DA">
        <w:t xml:space="preserve">and rotation for </w:t>
      </w:r>
      <w:r w:rsidRPr="00210072">
        <w:t xml:space="preserve">offices </w:t>
      </w:r>
      <w:r w:rsidR="00C133DA">
        <w:t>with</w:t>
      </w:r>
      <w:r w:rsidRPr="00210072">
        <w:t xml:space="preserve">in the </w:t>
      </w:r>
      <w:r w:rsidR="00C133DA">
        <w:t xml:space="preserve">sortition </w:t>
      </w:r>
      <w:r w:rsidRPr="00210072">
        <w:t>body</w:t>
      </w:r>
      <w:r w:rsidR="00B974F5">
        <w:t xml:space="preserve"> and </w:t>
      </w:r>
      <w:r w:rsidR="00F63C20">
        <w:t>trained</w:t>
      </w:r>
      <w:r w:rsidR="00B974F5">
        <w:t xml:space="preserve"> facilitation</w:t>
      </w:r>
      <w:r w:rsidRPr="00210072">
        <w:t>. The application of these other mechanisms is absent</w:t>
      </w:r>
      <w:r w:rsidR="00B974F5">
        <w:t xml:space="preserve"> – or in the case of facilitation mentioned </w:t>
      </w:r>
      <w:r w:rsidR="00380F53">
        <w:t xml:space="preserve">only briefly </w:t>
      </w:r>
      <w:r w:rsidR="00B974F5">
        <w:t xml:space="preserve">– </w:t>
      </w:r>
      <w:r w:rsidRPr="00210072">
        <w:t xml:space="preserve">as such leaving the functioning of the assembly vulnerable to those who would aim to subvert it for their own ends. </w:t>
      </w:r>
    </w:p>
    <w:p w14:paraId="68776592" w14:textId="13123672" w:rsidR="008813FE" w:rsidRPr="00210072" w:rsidRDefault="00B44A0A" w:rsidP="00980593">
      <w:pPr>
        <w:spacing w:after="120"/>
        <w:ind w:firstLine="720"/>
      </w:pPr>
      <w:r w:rsidRPr="00210072">
        <w:t xml:space="preserve">Another way of expressing this is that </w:t>
      </w:r>
      <w:r w:rsidR="008813FE" w:rsidRPr="00210072">
        <w:t xml:space="preserve">the </w:t>
      </w:r>
      <w:r w:rsidRPr="00210072">
        <w:t>focus on enacting</w:t>
      </w:r>
      <w:r w:rsidR="008813FE" w:rsidRPr="00210072">
        <w:t xml:space="preserve"> political equality in selection </w:t>
      </w:r>
      <w:r w:rsidRPr="00210072">
        <w:t xml:space="preserve">is </w:t>
      </w:r>
      <w:r w:rsidR="00F703DA">
        <w:t xml:space="preserve">only </w:t>
      </w:r>
      <w:r w:rsidRPr="00210072">
        <w:t>one of</w:t>
      </w:r>
      <w:r w:rsidR="00F703DA">
        <w:t xml:space="preserve"> </w:t>
      </w:r>
      <w:r w:rsidRPr="00210072">
        <w:t xml:space="preserve">three aspects of </w:t>
      </w:r>
      <w:r w:rsidR="00476EB8">
        <w:t xml:space="preserve">promoting </w:t>
      </w:r>
      <w:r w:rsidRPr="00210072">
        <w:t>political equality: selection to the body</w:t>
      </w:r>
      <w:r w:rsidR="00476EB8">
        <w:t>,</w:t>
      </w:r>
      <w:r w:rsidRPr="00210072">
        <w:t xml:space="preserve"> </w:t>
      </w:r>
      <w:r w:rsidR="002E7D64">
        <w:t xml:space="preserve">the expression of </w:t>
      </w:r>
      <w:r w:rsidRPr="00210072">
        <w:t>power within the body</w:t>
      </w:r>
      <w:r w:rsidR="00476EB8">
        <w:t>,</w:t>
      </w:r>
      <w:r w:rsidRPr="00210072">
        <w:t xml:space="preserve"> and the outcomes of the body. </w:t>
      </w:r>
      <w:r w:rsidR="008813FE" w:rsidRPr="00210072">
        <w:t xml:space="preserve">Protecting political equality in terms of outcomes requires </w:t>
      </w:r>
      <w:r w:rsidR="00476EB8">
        <w:t xml:space="preserve">both </w:t>
      </w:r>
      <w:r w:rsidR="008813FE" w:rsidRPr="00210072">
        <w:t>the first and second aspect</w:t>
      </w:r>
      <w:r w:rsidR="00476EB8">
        <w:t>s</w:t>
      </w:r>
      <w:r w:rsidR="008813FE" w:rsidRPr="00210072">
        <w:t xml:space="preserve"> to be enacted. Our argument is that the current proposal is </w:t>
      </w:r>
      <w:r w:rsidR="00C133DA">
        <w:t>reasonably strong</w:t>
      </w:r>
      <w:r w:rsidR="008813FE" w:rsidRPr="00210072">
        <w:t xml:space="preserve"> on achieving political equality in th</w:t>
      </w:r>
      <w:r w:rsidR="006D132C">
        <w:t>e first aspect: citizens have a (near)</w:t>
      </w:r>
      <w:r w:rsidR="008813FE" w:rsidRPr="00210072">
        <w:t xml:space="preserve"> equal probability to be selected to participate</w:t>
      </w:r>
      <w:r w:rsidR="00C133DA">
        <w:t xml:space="preserve"> (even if probability is low)</w:t>
      </w:r>
      <w:r w:rsidR="008813FE" w:rsidRPr="00210072">
        <w:t xml:space="preserve">. But it is weak in the substantive realization of that principle in the day-to-day workings of the assembly and thus </w:t>
      </w:r>
      <w:r w:rsidR="00476EB8">
        <w:t xml:space="preserve">the promotion of </w:t>
      </w:r>
      <w:r w:rsidR="008813FE" w:rsidRPr="00210072">
        <w:t xml:space="preserve">political equality </w:t>
      </w:r>
      <w:r w:rsidR="00476EB8">
        <w:t>through its</w:t>
      </w:r>
      <w:r w:rsidR="008813FE" w:rsidRPr="00210072">
        <w:t xml:space="preserve"> outcome</w:t>
      </w:r>
      <w:r w:rsidR="00476EB8">
        <w:t>s</w:t>
      </w:r>
      <w:r w:rsidR="008813FE" w:rsidRPr="00210072">
        <w:t xml:space="preserve"> is likely to be undermined.</w:t>
      </w:r>
    </w:p>
    <w:p w14:paraId="6806300E" w14:textId="08913BB3" w:rsidR="008F4309" w:rsidRPr="00210072" w:rsidRDefault="00887665" w:rsidP="0051642E">
      <w:pPr>
        <w:spacing w:after="120"/>
        <w:ind w:firstLine="720"/>
      </w:pPr>
      <w:r w:rsidRPr="00210072">
        <w:t xml:space="preserve">Two aspects of the proposal </w:t>
      </w:r>
      <w:r w:rsidR="005F0CBC" w:rsidRPr="00210072">
        <w:t>are particularly concerning</w:t>
      </w:r>
      <w:r w:rsidR="00B44A0A" w:rsidRPr="00210072">
        <w:t xml:space="preserve"> for how power is exercised in the legislative body. </w:t>
      </w:r>
      <w:r w:rsidR="005F0CBC" w:rsidRPr="00210072">
        <w:t>Fir</w:t>
      </w:r>
      <w:r w:rsidRPr="00210072">
        <w:t xml:space="preserve">st, </w:t>
      </w:r>
      <w:r w:rsidR="002451FD" w:rsidRPr="00210072">
        <w:t>two options</w:t>
      </w:r>
      <w:r w:rsidRPr="00210072">
        <w:t xml:space="preserve"> are envisaged</w:t>
      </w:r>
      <w:r w:rsidR="002451FD" w:rsidRPr="00210072">
        <w:t xml:space="preserve"> for terms of office: either a two-year term with an option for </w:t>
      </w:r>
      <w:r w:rsidR="00C649CA">
        <w:t>renewal or a five-year term</w:t>
      </w:r>
      <w:r w:rsidR="002451FD" w:rsidRPr="00210072">
        <w:t>. In both instances</w:t>
      </w:r>
      <w:r w:rsidR="00A20942" w:rsidRPr="00210072">
        <w:t>,</w:t>
      </w:r>
      <w:r w:rsidR="002451FD" w:rsidRPr="00210072">
        <w:t xml:space="preserve"> there would be rotation of membership, with part of the body being refreshed at intervals of one or two years</w:t>
      </w:r>
      <w:r w:rsidR="00637222" w:rsidRPr="00210072">
        <w:t>, but with members being able to serve for either four or five years</w:t>
      </w:r>
      <w:r w:rsidR="002451FD" w:rsidRPr="00210072">
        <w:t>.</w:t>
      </w:r>
      <w:r w:rsidR="006D132C">
        <w:rPr>
          <w:rStyle w:val="FootnoteReference"/>
        </w:rPr>
        <w:footnoteReference w:id="10"/>
      </w:r>
      <w:r w:rsidR="006D132C" w:rsidRPr="00210072">
        <w:t xml:space="preserve"> </w:t>
      </w:r>
      <w:r w:rsidRPr="00210072">
        <w:t>Second,</w:t>
      </w:r>
      <w:r w:rsidR="00A20942" w:rsidRPr="00210072">
        <w:t xml:space="preserve"> </w:t>
      </w:r>
      <w:r w:rsidRPr="00210072">
        <w:t>o</w:t>
      </w:r>
      <w:r w:rsidR="009D3703" w:rsidRPr="00210072">
        <w:t>nce selected, members would be allocated committee membership based on length of service</w:t>
      </w:r>
      <w:r w:rsidR="00637222" w:rsidRPr="00210072">
        <w:t xml:space="preserve"> and their preferences</w:t>
      </w:r>
      <w:r w:rsidR="002E7D64">
        <w:t>: ‘</w:t>
      </w:r>
      <w:r w:rsidR="009D3703" w:rsidRPr="00210072">
        <w:t>Current committee members who remain in the assembly could retain their most preferred committee assignments, then enter into a lottery with the rest of the selectees, each of whom would have ranked their preferences</w:t>
      </w:r>
      <w:r w:rsidR="009D3703" w:rsidRPr="00210072">
        <w:rPr>
          <w:b/>
        </w:rPr>
        <w:t xml:space="preserve"> </w:t>
      </w:r>
      <w:r w:rsidR="009D3703" w:rsidRPr="00210072">
        <w:t>like students signing up for courses</w:t>
      </w:r>
      <w:r w:rsidR="002E7D64">
        <w:t>’</w:t>
      </w:r>
      <w:r w:rsidR="009D3703" w:rsidRPr="00210072">
        <w:t>.</w:t>
      </w:r>
      <w:r w:rsidR="00C649CA">
        <w:rPr>
          <w:rStyle w:val="FootnoteReference"/>
        </w:rPr>
        <w:footnoteReference w:id="11"/>
      </w:r>
      <w:r w:rsidR="009D3703" w:rsidRPr="00210072">
        <w:t xml:space="preserve"> </w:t>
      </w:r>
      <w:r w:rsidRPr="00210072">
        <w:t>To our knowledge such lon</w:t>
      </w:r>
      <w:r w:rsidR="002E7D64">
        <w:t xml:space="preserve">g terms of continual service and </w:t>
      </w:r>
      <w:r w:rsidRPr="00210072">
        <w:t xml:space="preserve">the freedom of members to choose areas of work according to preference and length of service </w:t>
      </w:r>
      <w:r w:rsidR="002E7D64">
        <w:t xml:space="preserve">are </w:t>
      </w:r>
      <w:r w:rsidR="002E7D64" w:rsidRPr="00210072">
        <w:t xml:space="preserve">unprecedented for a sortition </w:t>
      </w:r>
      <w:r w:rsidR="00B974F5">
        <w:t>body</w:t>
      </w:r>
      <w:r w:rsidRPr="00210072">
        <w:t xml:space="preserve">. </w:t>
      </w:r>
      <w:r w:rsidR="00B974F5">
        <w:t xml:space="preserve">In ancient Athens, where the </w:t>
      </w:r>
      <w:r w:rsidR="00380F53">
        <w:t xml:space="preserve">Council, </w:t>
      </w:r>
      <w:r w:rsidR="00E23CB5">
        <w:t>C</w:t>
      </w:r>
      <w:r w:rsidR="0051642E">
        <w:t>ourts</w:t>
      </w:r>
      <w:r w:rsidR="00E23CB5">
        <w:t xml:space="preserve"> and Boards</w:t>
      </w:r>
      <w:r w:rsidR="0051642E">
        <w:t xml:space="preserve"> </w:t>
      </w:r>
      <w:r w:rsidR="00E23CB5">
        <w:t>s</w:t>
      </w:r>
      <w:r w:rsidR="0051642E">
        <w:t>elected members randomly by lot, there was relatively rapid rotatio</w:t>
      </w:r>
      <w:r w:rsidR="00380F53">
        <w:t>n of tasks and offices. In the C</w:t>
      </w:r>
      <w:r w:rsidR="0051642E">
        <w:t xml:space="preserve">ouncil, </w:t>
      </w:r>
      <w:r w:rsidR="00F703DA">
        <w:t xml:space="preserve">which had the longest term of service of one year, </w:t>
      </w:r>
      <w:r w:rsidR="0051642E">
        <w:t xml:space="preserve">members held the most significant posts for only one-tenth of the year before </w:t>
      </w:r>
      <w:r w:rsidR="00380F53">
        <w:t>rotation and in the C</w:t>
      </w:r>
      <w:r w:rsidR="0051642E">
        <w:t xml:space="preserve">ourts </w:t>
      </w:r>
      <w:r w:rsidR="00380F53">
        <w:t xml:space="preserve">and Boards </w:t>
      </w:r>
      <w:r w:rsidR="0051642E">
        <w:t xml:space="preserve">citizens were randomly selected and rotated between cases. The longest </w:t>
      </w:r>
      <w:r w:rsidR="00503BE5">
        <w:t xml:space="preserve">time commitment </w:t>
      </w:r>
      <w:r w:rsidR="0051642E">
        <w:t xml:space="preserve">in </w:t>
      </w:r>
      <w:r w:rsidR="007C48F9">
        <w:t xml:space="preserve">a single </w:t>
      </w:r>
      <w:r w:rsidR="00B974F5">
        <w:t xml:space="preserve">contemporary </w:t>
      </w:r>
      <w:r w:rsidR="007C48F9">
        <w:t xml:space="preserve">mini-public </w:t>
      </w:r>
      <w:r w:rsidR="00503BE5">
        <w:t>has been the twelve weekends of the Oregon Citizens’ Assembly</w:t>
      </w:r>
      <w:r w:rsidR="007F009D">
        <w:t xml:space="preserve"> that met over ten</w:t>
      </w:r>
      <w:r w:rsidR="00CA5702">
        <w:t xml:space="preserve"> months. The Irish Citizens’ Assembly met over a longer period of time –</w:t>
      </w:r>
      <w:r w:rsidR="007F009D">
        <w:t xml:space="preserve"> sixteen</w:t>
      </w:r>
      <w:r w:rsidR="00CA5702">
        <w:t xml:space="preserve"> months – but demanded one less weekend of service from participants.</w:t>
      </w:r>
      <w:r w:rsidR="00363D35">
        <w:t xml:space="preserve"> In </w:t>
      </w:r>
      <w:r w:rsidR="00B974F5">
        <w:t xml:space="preserve">some </w:t>
      </w:r>
      <w:r w:rsidR="00363D35">
        <w:t xml:space="preserve">deliberative mini-publics, </w:t>
      </w:r>
      <w:r w:rsidR="00B974F5">
        <w:t>there are times when</w:t>
      </w:r>
      <w:r w:rsidR="007C48F9">
        <w:t xml:space="preserve"> </w:t>
      </w:r>
      <w:r w:rsidR="00363D35">
        <w:t>participants may break into</w:t>
      </w:r>
      <w:r w:rsidR="00B974F5">
        <w:t xml:space="preserve"> self-selecting</w:t>
      </w:r>
      <w:r w:rsidR="00363D35">
        <w:t xml:space="preserve"> working groups, </w:t>
      </w:r>
      <w:r w:rsidR="007C48F9">
        <w:t xml:space="preserve">but they are carefully designed so that </w:t>
      </w:r>
      <w:r w:rsidR="00363D35">
        <w:t xml:space="preserve">there is no concentration of power in the hands of </w:t>
      </w:r>
      <w:r w:rsidR="007C48F9">
        <w:t>a small cadre of</w:t>
      </w:r>
      <w:r w:rsidR="00363D35">
        <w:t xml:space="preserve"> membe</w:t>
      </w:r>
      <w:r w:rsidR="007C48F9">
        <w:t>rs and facilitators ensure free and fair deliberation between participants.</w:t>
      </w:r>
      <w:r w:rsidR="00B974F5">
        <w:t xml:space="preserve"> </w:t>
      </w:r>
    </w:p>
    <w:p w14:paraId="450A0C60" w14:textId="65DC3043" w:rsidR="003A55AB" w:rsidRDefault="00A75485" w:rsidP="00A067D4">
      <w:pPr>
        <w:spacing w:after="120"/>
        <w:ind w:firstLine="720"/>
      </w:pPr>
      <w:r w:rsidRPr="00210072">
        <w:t>T</w:t>
      </w:r>
      <w:r w:rsidR="005A3F88" w:rsidRPr="00210072">
        <w:t xml:space="preserve">his combination of </w:t>
      </w:r>
      <w:r w:rsidR="0051642E">
        <w:t>length of service and ch</w:t>
      </w:r>
      <w:r w:rsidR="00380F53">
        <w:t>oice of work areas based on that</w:t>
      </w:r>
      <w:r w:rsidR="0051642E">
        <w:t xml:space="preserve"> service </w:t>
      </w:r>
      <w:r w:rsidR="008813FE" w:rsidRPr="00210072">
        <w:t>has potential</w:t>
      </w:r>
      <w:r w:rsidR="002E7D64">
        <w:t>ly</w:t>
      </w:r>
      <w:r w:rsidR="008813FE" w:rsidRPr="00210072">
        <w:t xml:space="preserve"> </w:t>
      </w:r>
      <w:r w:rsidR="00476EB8">
        <w:t xml:space="preserve">serious </w:t>
      </w:r>
      <w:r w:rsidR="008813FE" w:rsidRPr="00210072">
        <w:t xml:space="preserve">negative effects on the capacity of the </w:t>
      </w:r>
      <w:r w:rsidR="002E7D64">
        <w:t>SLP</w:t>
      </w:r>
      <w:r w:rsidR="008813FE" w:rsidRPr="00210072">
        <w:t xml:space="preserve"> to realize political equalit</w:t>
      </w:r>
      <w:r w:rsidR="00B44A0A" w:rsidRPr="00210072">
        <w:t xml:space="preserve">y in its day-to-day workings. </w:t>
      </w:r>
      <w:r w:rsidR="0051642E">
        <w:t xml:space="preserve">We can see this in two ways. Internally, </w:t>
      </w:r>
      <w:r w:rsidR="00B974F5">
        <w:t xml:space="preserve">concentration of power and with it the capacity to strongly influence proceedings of the Assembly is likely to rest with a small number of members who hold </w:t>
      </w:r>
      <w:r w:rsidR="0051642E">
        <w:t xml:space="preserve">significant offices </w:t>
      </w:r>
      <w:r w:rsidR="004E2399">
        <w:t>within</w:t>
      </w:r>
      <w:r w:rsidR="0051642E">
        <w:t xml:space="preserve"> committees</w:t>
      </w:r>
      <w:r w:rsidR="004E2399">
        <w:t xml:space="preserve">. </w:t>
      </w:r>
      <w:r w:rsidR="003D3F29">
        <w:t xml:space="preserve">There is brief mention in the SLP of possible experimentation with </w:t>
      </w:r>
      <w:r w:rsidR="00380F53">
        <w:t>trained</w:t>
      </w:r>
      <w:r w:rsidR="003D3F29">
        <w:t xml:space="preserve"> facilitators (or</w:t>
      </w:r>
      <w:r w:rsidR="00C93C1A">
        <w:t>,</w:t>
      </w:r>
      <w:r w:rsidR="003D3F29">
        <w:t xml:space="preserve"> more worryingly, current or former sortition legislators</w:t>
      </w:r>
      <w:r w:rsidR="007F009D">
        <w:t xml:space="preserve"> who would not necessarily have the relevant capacities</w:t>
      </w:r>
      <w:r w:rsidR="003D3F29">
        <w:t xml:space="preserve">), but it is not clear how this would be combined with the work of </w:t>
      </w:r>
      <w:r w:rsidR="007C48F9">
        <w:t>self-selected committee</w:t>
      </w:r>
      <w:r w:rsidR="003D3F29">
        <w:t xml:space="preserve">s over long periods. </w:t>
      </w:r>
      <w:r w:rsidR="00710CBF">
        <w:t>If</w:t>
      </w:r>
      <w:r w:rsidR="00E91812">
        <w:t xml:space="preserve"> </w:t>
      </w:r>
      <w:r w:rsidR="00F63C20">
        <w:t>trained</w:t>
      </w:r>
      <w:r w:rsidR="00710CBF">
        <w:t xml:space="preserve"> </w:t>
      </w:r>
      <w:r w:rsidR="00F63C20">
        <w:t>facilitators are</w:t>
      </w:r>
      <w:r w:rsidR="00710CBF">
        <w:t xml:space="preserve"> </w:t>
      </w:r>
      <w:r w:rsidR="003D3F29">
        <w:t xml:space="preserve">not present or </w:t>
      </w:r>
      <w:r w:rsidR="00380F53">
        <w:t xml:space="preserve">their role </w:t>
      </w:r>
      <w:r w:rsidR="003D3F29">
        <w:t xml:space="preserve">is </w:t>
      </w:r>
      <w:r w:rsidR="00710CBF">
        <w:t xml:space="preserve">reduced </w:t>
      </w:r>
      <w:r w:rsidR="00380F53">
        <w:t xml:space="preserve">substantially </w:t>
      </w:r>
      <w:r w:rsidR="00710CBF">
        <w:t>compared to deliberative min</w:t>
      </w:r>
      <w:r w:rsidR="003D3F29">
        <w:t>i</w:t>
      </w:r>
      <w:r w:rsidR="00710CBF">
        <w:t xml:space="preserve">-publics, so the </w:t>
      </w:r>
      <w:r w:rsidR="00380F53">
        <w:t>d</w:t>
      </w:r>
      <w:r w:rsidR="003D3F29">
        <w:t>omination by</w:t>
      </w:r>
      <w:r w:rsidR="00710CBF">
        <w:t xml:space="preserve"> more powerful and socially privileged members </w:t>
      </w:r>
      <w:r w:rsidR="00380F53">
        <w:t xml:space="preserve">is likely to appear </w:t>
      </w:r>
      <w:r w:rsidR="003D3F29">
        <w:t>and</w:t>
      </w:r>
      <w:r w:rsidR="00AC28E1">
        <w:t>,</w:t>
      </w:r>
      <w:r w:rsidR="003D3F29">
        <w:t xml:space="preserve"> with it</w:t>
      </w:r>
      <w:r w:rsidR="00AC28E1">
        <w:t>,</w:t>
      </w:r>
      <w:r w:rsidR="003D3F29">
        <w:t xml:space="preserve"> </w:t>
      </w:r>
      <w:r w:rsidR="00710CBF">
        <w:t xml:space="preserve">group dynamics that are anathema to democratic functioning. </w:t>
      </w:r>
      <w:r w:rsidR="003D3F29">
        <w:t>In the current formulation of the SLP</w:t>
      </w:r>
      <w:r w:rsidR="001A62DF">
        <w:t>,</w:t>
      </w:r>
      <w:r w:rsidR="00710CBF">
        <w:t xml:space="preserve"> the relationship between facilitation and emergent modes of leadership</w:t>
      </w:r>
      <w:r w:rsidR="007C48F9">
        <w:t xml:space="preserve"> is underspecified and it is a reasonable concern that substantive e</w:t>
      </w:r>
      <w:r w:rsidR="0051642E">
        <w:t>quality between members will be diminished. Secondly, t</w:t>
      </w:r>
      <w:r w:rsidR="00B44A0A" w:rsidRPr="00210072">
        <w:t>he relatively small number of members and their relatively long period of service expose the institution to the dangers of subversion by powerful interests</w:t>
      </w:r>
      <w:r w:rsidR="0047310C">
        <w:t xml:space="preserve"> beyond the chamber</w:t>
      </w:r>
      <w:r w:rsidR="00A502BC">
        <w:t xml:space="preserve">, including targeting </w:t>
      </w:r>
      <w:r w:rsidR="003D3F29">
        <w:t>by media outlets.</w:t>
      </w:r>
      <w:r w:rsidR="00B44A0A" w:rsidRPr="00210072">
        <w:t xml:space="preserve"> This is likely to be exacerbated where particular individuals within the sortition legislature are able to concentrate power </w:t>
      </w:r>
      <w:r w:rsidR="003D3F29">
        <w:t>by</w:t>
      </w:r>
      <w:r w:rsidR="00B44A0A" w:rsidRPr="00210072">
        <w:t xml:space="preserve"> holding onto positions </w:t>
      </w:r>
      <w:r w:rsidR="00476EB8">
        <w:t xml:space="preserve">on </w:t>
      </w:r>
      <w:r w:rsidR="00B44A0A" w:rsidRPr="00210072">
        <w:t>committees</w:t>
      </w:r>
      <w:r w:rsidR="00067268">
        <w:t xml:space="preserve"> </w:t>
      </w:r>
      <w:r w:rsidR="00067268" w:rsidRPr="00210072">
        <w:t xml:space="preserve">(including the </w:t>
      </w:r>
      <w:r w:rsidR="00EB7569">
        <w:t xml:space="preserve">position of </w:t>
      </w:r>
      <w:r w:rsidR="00067268" w:rsidRPr="00210072">
        <w:t>chair)</w:t>
      </w:r>
      <w:r w:rsidR="00B44A0A" w:rsidRPr="00210072">
        <w:t xml:space="preserve">. </w:t>
      </w:r>
      <w:r w:rsidR="00006770" w:rsidRPr="00210072">
        <w:t>These individuals will</w:t>
      </w:r>
      <w:r w:rsidR="002E7D64">
        <w:t xml:space="preserve"> </w:t>
      </w:r>
      <w:r w:rsidR="00044B63">
        <w:t xml:space="preserve">inevitably </w:t>
      </w:r>
      <w:r w:rsidR="002E7D64">
        <w:t>become particular targets for external</w:t>
      </w:r>
      <w:r w:rsidR="00006770" w:rsidRPr="00210072">
        <w:t xml:space="preserve"> groups looking to influence the deliberation and decisions of those committees</w:t>
      </w:r>
      <w:r w:rsidR="00476EB8">
        <w:t>, not least since they are also likely to become power-brokers within it</w:t>
      </w:r>
      <w:r w:rsidR="00006770" w:rsidRPr="00210072">
        <w:t xml:space="preserve">. Our contention is that members </w:t>
      </w:r>
      <w:r w:rsidR="0047310C">
        <w:t>will become</w:t>
      </w:r>
      <w:r w:rsidR="00006770" w:rsidRPr="00210072">
        <w:t xml:space="preserve"> subject to di</w:t>
      </w:r>
      <w:r w:rsidR="00044B63">
        <w:t>verse</w:t>
      </w:r>
      <w:r w:rsidR="00006770" w:rsidRPr="00210072">
        <w:t xml:space="preserve"> forms of the exercise of power </w:t>
      </w:r>
      <w:r w:rsidR="00044B63">
        <w:t>by</w:t>
      </w:r>
      <w:r w:rsidR="00006770" w:rsidRPr="00210072">
        <w:t xml:space="preserve"> outside interests and </w:t>
      </w:r>
      <w:r w:rsidR="00044B63">
        <w:t xml:space="preserve">yet </w:t>
      </w:r>
      <w:r w:rsidR="00006770" w:rsidRPr="00210072">
        <w:t>have relatively little protection</w:t>
      </w:r>
      <w:r w:rsidR="003A55AB">
        <w:t xml:space="preserve"> unless </w:t>
      </w:r>
      <w:r w:rsidR="007F009D">
        <w:t xml:space="preserve">significant </w:t>
      </w:r>
      <w:r w:rsidR="003A55AB">
        <w:t xml:space="preserve">changes are made to the wider </w:t>
      </w:r>
      <w:r w:rsidR="007F009D">
        <w:t>institutional</w:t>
      </w:r>
      <w:r w:rsidR="003A55AB">
        <w:t xml:space="preserve"> ecology</w:t>
      </w:r>
      <w:r w:rsidR="00006770" w:rsidRPr="00210072">
        <w:t xml:space="preserve">. </w:t>
      </w:r>
    </w:p>
    <w:p w14:paraId="568E7B82" w14:textId="24130723" w:rsidR="007F009D" w:rsidRDefault="00006770" w:rsidP="000903ED">
      <w:pPr>
        <w:spacing w:after="120"/>
        <w:ind w:firstLine="720"/>
      </w:pPr>
      <w:r w:rsidRPr="00210072">
        <w:t xml:space="preserve">First, they will be vulnerable to traditional lobbying activities that transmit the inequalities of civil society to the formal political domain. Sortition is </w:t>
      </w:r>
      <w:r w:rsidR="00476EB8">
        <w:t>intend</w:t>
      </w:r>
      <w:r w:rsidRPr="00210072">
        <w:t xml:space="preserve">ed to guard against the negative impact of expressions of economic power and social influence, but once members of the </w:t>
      </w:r>
      <w:r w:rsidR="004F5DC3">
        <w:t>SLP</w:t>
      </w:r>
      <w:r w:rsidRPr="00210072">
        <w:t xml:space="preserve"> are selected, they are left exposed in the same way as elected parliamentarians – but without the </w:t>
      </w:r>
      <w:r w:rsidR="00476EB8">
        <w:t xml:space="preserve">level or kind of </w:t>
      </w:r>
      <w:r w:rsidRPr="00210072">
        <w:t>defense</w:t>
      </w:r>
      <w:r w:rsidR="00476EB8">
        <w:t>s</w:t>
      </w:r>
      <w:r w:rsidRPr="00210072">
        <w:t xml:space="preserve"> that political parties </w:t>
      </w:r>
      <w:r w:rsidR="003A55AB">
        <w:t xml:space="preserve">at their best </w:t>
      </w:r>
      <w:r w:rsidRPr="00210072">
        <w:t xml:space="preserve">can </w:t>
      </w:r>
      <w:r w:rsidR="00476EB8">
        <w:t>offer</w:t>
      </w:r>
      <w:r w:rsidR="003A55AB">
        <w:t xml:space="preserve"> (although without the kind of additional pressures that parties at their worst can also exacerbate)</w:t>
      </w:r>
      <w:r w:rsidRPr="00210072">
        <w:t>.</w:t>
      </w:r>
      <w:r w:rsidR="000903ED">
        <w:t xml:space="preserve"> </w:t>
      </w:r>
      <w:r w:rsidR="004E2399">
        <w:t>Second, if the SLP is part of a bicameral system</w:t>
      </w:r>
      <w:r w:rsidR="009A2E35">
        <w:t xml:space="preserve"> as suggested by Gastil and Wright</w:t>
      </w:r>
      <w:r w:rsidR="004E2399">
        <w:t xml:space="preserve">, </w:t>
      </w:r>
      <w:r w:rsidR="000E6B2A">
        <w:t>it</w:t>
      </w:r>
      <w:r w:rsidR="004E2399">
        <w:t xml:space="preserve"> will be subject to pressures from the elected chamber, especially when there is disagreement between them. </w:t>
      </w:r>
      <w:r w:rsidR="00367D85">
        <w:t xml:space="preserve">We are familiar with bicarmeral legislatures competing with, and employing strategies of de-legitimation towards one another. It would be naïve not </w:t>
      </w:r>
      <w:r w:rsidR="0047310C">
        <w:t xml:space="preserve">to </w:t>
      </w:r>
      <w:r w:rsidR="00367D85">
        <w:t xml:space="preserve">expect politically experienced politicians from the elected chamber </w:t>
      </w:r>
      <w:r w:rsidR="0047310C">
        <w:t>to employ</w:t>
      </w:r>
      <w:r w:rsidR="00367D85">
        <w:t xml:space="preserve"> such strategies to embolden </w:t>
      </w:r>
      <w:r w:rsidR="000E6B2A" w:rsidRPr="00367D85">
        <w:t xml:space="preserve">their standing and influence vis-à-vis the sortition chamber. </w:t>
      </w:r>
      <w:r w:rsidR="00367D85">
        <w:t xml:space="preserve">It is not </w:t>
      </w:r>
      <w:r w:rsidR="001A62DF">
        <w:t xml:space="preserve">at all </w:t>
      </w:r>
      <w:r w:rsidR="00367D85">
        <w:t>clear what resources</w:t>
      </w:r>
      <w:r w:rsidR="000E6B2A" w:rsidRPr="00367D85">
        <w:t xml:space="preserve"> the SLP will be able or willing to</w:t>
      </w:r>
      <w:r w:rsidR="00367D85">
        <w:t xml:space="preserve"> bring to bear to</w:t>
      </w:r>
      <w:r w:rsidR="000E6B2A" w:rsidRPr="00367D85">
        <w:t xml:space="preserve"> withstand such strategic action</w:t>
      </w:r>
      <w:r w:rsidR="003A55AB">
        <w:t>.</w:t>
      </w:r>
      <w:r w:rsidR="000E6B2A">
        <w:rPr>
          <w:rStyle w:val="FootnoteReference"/>
        </w:rPr>
        <w:footnoteReference w:id="12"/>
      </w:r>
      <w:r w:rsidR="000E6B2A">
        <w:t xml:space="preserve"> Third</w:t>
      </w:r>
      <w:r w:rsidRPr="00210072">
        <w:t>, the small number</w:t>
      </w:r>
      <w:r w:rsidR="00044B63">
        <w:t xml:space="preserve"> of members</w:t>
      </w:r>
      <w:r w:rsidRPr="00210072">
        <w:t>, length of term</w:t>
      </w:r>
      <w:r w:rsidR="00044B63">
        <w:t>,</w:t>
      </w:r>
      <w:r w:rsidRPr="00210072">
        <w:t xml:space="preserve"> and specialization</w:t>
      </w:r>
      <w:r w:rsidR="00044B63">
        <w:t xml:space="preserve"> of roles</w:t>
      </w:r>
      <w:r w:rsidRPr="00210072">
        <w:t xml:space="preserve"> not only mean that members </w:t>
      </w:r>
      <w:r w:rsidR="00367D85">
        <w:t xml:space="preserve">will </w:t>
      </w:r>
      <w:r w:rsidRPr="00210072">
        <w:t>become susceptible targets for traditional lobbying and factionalism, but also for more insidious forms of influence, namely corruption and bribery. Some of the practices that Gastil and Wright suggest as defenses against corruption, such as ‘periods of private – or semi-private – discussion’ and the use of secr</w:t>
      </w:r>
      <w:r w:rsidR="00C7260C">
        <w:t>et ballots</w:t>
      </w:r>
      <w:r w:rsidR="00C7260C">
        <w:rPr>
          <w:rStyle w:val="FootnoteReference"/>
        </w:rPr>
        <w:footnoteReference w:id="13"/>
      </w:r>
      <w:r w:rsidR="00C7260C">
        <w:t xml:space="preserve"> </w:t>
      </w:r>
      <w:r w:rsidRPr="00210072">
        <w:t>can equally be vehicles for corrupt behavior</w:t>
      </w:r>
      <w:r w:rsidR="00476EB8">
        <w:t xml:space="preserve"> by reducing mutual accountability within the assembly and the weak but real accountability generated by deliberative intervention</w:t>
      </w:r>
      <w:r w:rsidR="008E59D4">
        <w:t>s</w:t>
      </w:r>
      <w:r w:rsidR="00476EB8">
        <w:t xml:space="preserve"> and voting record</w:t>
      </w:r>
      <w:r w:rsidR="008E59D4">
        <w:t>s</w:t>
      </w:r>
      <w:r w:rsidR="00476EB8">
        <w:t xml:space="preserve"> being subject to publicity</w:t>
      </w:r>
      <w:r w:rsidRPr="00210072">
        <w:t xml:space="preserve">. </w:t>
      </w:r>
    </w:p>
    <w:p w14:paraId="1536680E" w14:textId="24C545EE" w:rsidR="007F009D" w:rsidRDefault="00BF043D" w:rsidP="007F009D">
      <w:pPr>
        <w:spacing w:after="120"/>
        <w:ind w:firstLine="720"/>
      </w:pPr>
      <w:r>
        <w:t xml:space="preserve">It is plausible that </w:t>
      </w:r>
      <w:r w:rsidR="00B07B15">
        <w:t xml:space="preserve">these </w:t>
      </w:r>
      <w:r>
        <w:t>vulnerabilities may be reduced</w:t>
      </w:r>
      <w:r w:rsidR="00B07B15">
        <w:t xml:space="preserve"> if legislators in both </w:t>
      </w:r>
      <w:r w:rsidR="00B62CF7">
        <w:t>chambers</w:t>
      </w:r>
      <w:r w:rsidR="00B07B15">
        <w:t xml:space="preserve"> </w:t>
      </w:r>
      <w:r>
        <w:t xml:space="preserve">as well as individuals and organizations seeking to influence them </w:t>
      </w:r>
      <w:r w:rsidR="00B07B15">
        <w:t xml:space="preserve">are subject to </w:t>
      </w:r>
      <w:r>
        <w:t xml:space="preserve">disciplinary </w:t>
      </w:r>
      <w:r w:rsidR="00B07B15">
        <w:t xml:space="preserve">scrutiny by a </w:t>
      </w:r>
      <w:r w:rsidR="00B62CF7">
        <w:t xml:space="preserve">body such as the </w:t>
      </w:r>
      <w:r w:rsidR="00B07B15">
        <w:t>People’s Court</w:t>
      </w:r>
      <w:r>
        <w:t xml:space="preserve"> on the Athenian model.</w:t>
      </w:r>
      <w:r w:rsidR="00AC28E1">
        <w:t xml:space="preserve"> No doubt, other changes – such as strengthening laws governing lobbying </w:t>
      </w:r>
      <w:r w:rsidR="007F009D">
        <w:t xml:space="preserve">– </w:t>
      </w:r>
      <w:r w:rsidR="00AC28E1">
        <w:t xml:space="preserve">could also act to reduce these vulnerabilities. </w:t>
      </w:r>
      <w:r w:rsidR="000903ED">
        <w:t>However, w</w:t>
      </w:r>
      <w:r w:rsidR="000903ED" w:rsidRPr="00210072">
        <w:t xml:space="preserve">hat our analysis points to is a neglect </w:t>
      </w:r>
      <w:r w:rsidR="000903ED">
        <w:t xml:space="preserve">in the SLP </w:t>
      </w:r>
      <w:r w:rsidR="000903ED" w:rsidRPr="00210072">
        <w:t>of sortition’s role in not only inhibiting the impact of powerful i</w:t>
      </w:r>
      <w:r w:rsidR="000903ED">
        <w:t xml:space="preserve">nterests on selection, but also, in combination with other design features, </w:t>
      </w:r>
      <w:r w:rsidR="00462A34">
        <w:t xml:space="preserve">in particular </w:t>
      </w:r>
      <w:r w:rsidR="000903ED">
        <w:t xml:space="preserve">swift rotation and independent facilitation, </w:t>
      </w:r>
      <w:r w:rsidR="000903ED" w:rsidRPr="00210072">
        <w:t xml:space="preserve">on the practices of the </w:t>
      </w:r>
      <w:r w:rsidR="000903ED">
        <w:t xml:space="preserve">legislative </w:t>
      </w:r>
      <w:r w:rsidR="000903ED" w:rsidRPr="00210072">
        <w:t xml:space="preserve">body. </w:t>
      </w:r>
      <w:r w:rsidR="000903ED">
        <w:t xml:space="preserve">This is important in addressing not only the problems of external influence but also two internal problems of </w:t>
      </w:r>
      <w:r w:rsidR="007F009D">
        <w:t>the</w:t>
      </w:r>
      <w:r w:rsidR="000903ED">
        <w:t xml:space="preserve"> concentration </w:t>
      </w:r>
      <w:r w:rsidR="007F009D">
        <w:t xml:space="preserve">of power </w:t>
      </w:r>
      <w:r w:rsidR="000903ED">
        <w:t xml:space="preserve">to which the current design of SLP gives rise. </w:t>
      </w:r>
    </w:p>
    <w:p w14:paraId="0EFC0AF3" w14:textId="42D64637" w:rsidR="007F009D" w:rsidRDefault="000903ED" w:rsidP="007F009D">
      <w:pPr>
        <w:spacing w:after="120"/>
        <w:ind w:firstLine="720"/>
      </w:pPr>
      <w:r>
        <w:t xml:space="preserve">The first, already mentioned, is that of </w:t>
      </w:r>
      <w:r w:rsidRPr="00210072">
        <w:t>particular individuals with</w:t>
      </w:r>
      <w:r>
        <w:t>in the sortition legislature being</w:t>
      </w:r>
      <w:r w:rsidRPr="00210072">
        <w:t xml:space="preserve"> able to concentrate power </w:t>
      </w:r>
      <w:r>
        <w:t>by</w:t>
      </w:r>
      <w:r w:rsidRPr="00210072">
        <w:t xml:space="preserve"> holding onto positions </w:t>
      </w:r>
      <w:r>
        <w:t xml:space="preserve">on </w:t>
      </w:r>
      <w:r w:rsidRPr="00210072">
        <w:t>committees</w:t>
      </w:r>
      <w:r>
        <w:t xml:space="preserve"> </w:t>
      </w:r>
      <w:r w:rsidRPr="00210072">
        <w:t xml:space="preserve">(including the </w:t>
      </w:r>
      <w:r>
        <w:t xml:space="preserve">position of </w:t>
      </w:r>
      <w:r w:rsidRPr="00210072">
        <w:t>chair)</w:t>
      </w:r>
      <w:r>
        <w:t>. The second is that SLP members will be</w:t>
      </w:r>
      <w:r w:rsidRPr="00210072">
        <w:t xml:space="preserve"> exposed to the impact of factions, alliances and party organization within the body. Gastil and Wright accept that in their formulation, ‘a place for traditional caucusing should remain’, or as an alternative ‘members could organize themselves into a larger number of more cohesive groups of like-minded legislators, who share commo</w:t>
      </w:r>
      <w:r>
        <w:t>n values and priorities’</w:t>
      </w:r>
      <w:r w:rsidRPr="00210072">
        <w:t>.</w:t>
      </w:r>
      <w:r>
        <w:rPr>
          <w:rStyle w:val="FootnoteReference"/>
        </w:rPr>
        <w:footnoteReference w:id="14"/>
      </w:r>
      <w:r>
        <w:t xml:space="preserve"> </w:t>
      </w:r>
      <w:r w:rsidR="003572F4">
        <w:t xml:space="preserve">Each of these – and especially their combination </w:t>
      </w:r>
      <w:r w:rsidR="001D2B09">
        <w:t>–</w:t>
      </w:r>
      <w:r w:rsidR="003572F4">
        <w:t xml:space="preserve"> </w:t>
      </w:r>
      <w:r w:rsidR="001D2B09">
        <w:t>threatens to move the legislature away from the deliberative ideal of autonomous agents swayed by the force of the better argument</w:t>
      </w:r>
      <w:r w:rsidR="00B62CF7">
        <w:t xml:space="preserve"> and</w:t>
      </w:r>
      <w:r w:rsidR="001D2B09">
        <w:t xml:space="preserve"> towards a more structured partisanship that works across issue-areas. </w:t>
      </w:r>
      <w:r w:rsidR="00B62CF7">
        <w:t>O</w:t>
      </w:r>
      <w:r w:rsidR="001D2B09">
        <w:t>ur objection is not towards emergent political leadership within such a legislature, but rather with (a) organized inequality between members in terms of power concentrations and (b) the weakening of the independence of members through</w:t>
      </w:r>
      <w:r w:rsidR="0080517C">
        <w:t xml:space="preserve"> partisan structures </w:t>
      </w:r>
      <w:r w:rsidR="001D2B09">
        <w:t>that, especially when acting together,</w:t>
      </w:r>
      <w:r w:rsidR="0080517C">
        <w:t xml:space="preserve"> align political leadership not with leadership tied to deliberative qualities but with leadership tied to </w:t>
      </w:r>
      <w:r w:rsidR="00F83E7E">
        <w:t>power and partisanship.</w:t>
      </w:r>
      <w:r w:rsidR="0080517C">
        <w:t xml:space="preserve"> </w:t>
      </w:r>
    </w:p>
    <w:p w14:paraId="7E39A441" w14:textId="32846125" w:rsidR="00006770" w:rsidRDefault="000903ED" w:rsidP="007F009D">
      <w:pPr>
        <w:spacing w:after="120"/>
        <w:ind w:firstLine="720"/>
      </w:pPr>
      <w:r w:rsidRPr="00210072">
        <w:t xml:space="preserve">Historical precedence, particularly from Athens, suggests that the combination of larger numbers, sortition in </w:t>
      </w:r>
      <w:r>
        <w:t xml:space="preserve">both </w:t>
      </w:r>
      <w:r w:rsidRPr="00210072">
        <w:t xml:space="preserve">initial selection and the allocation of offices alongside rapid rotation offer a </w:t>
      </w:r>
      <w:r>
        <w:t xml:space="preserve">possible </w:t>
      </w:r>
      <w:r w:rsidRPr="00210072">
        <w:t>solution to the challenges t</w:t>
      </w:r>
      <w:r w:rsidR="00F83E7E">
        <w:t>hat we have posed, while t</w:t>
      </w:r>
      <w:r>
        <w:t>he experience of contemporary mini-publics suggests that the combination of sortition with trained facilitation is critical for deliberative quality.</w:t>
      </w:r>
      <w:r w:rsidR="00F83E7E">
        <w:t xml:space="preserve"> </w:t>
      </w:r>
      <w:r w:rsidR="00367D85">
        <w:t xml:space="preserve">However, </w:t>
      </w:r>
      <w:r w:rsidR="00F83E7E">
        <w:t xml:space="preserve">addressing these problems through </w:t>
      </w:r>
      <w:r w:rsidR="00FD0955">
        <w:t>the</w:t>
      </w:r>
      <w:r w:rsidR="007C505B">
        <w:t xml:space="preserve"> complementary</w:t>
      </w:r>
      <w:r w:rsidR="00F83E7E">
        <w:t xml:space="preserve"> mechanisms </w:t>
      </w:r>
      <w:r w:rsidR="00FD0955">
        <w:t xml:space="preserve">that we propose </w:t>
      </w:r>
      <w:r w:rsidR="00F83E7E">
        <w:t>constructs a deeper problem for the SLP</w:t>
      </w:r>
      <w:r w:rsidR="00FD0955">
        <w:t>. T</w:t>
      </w:r>
      <w:r w:rsidR="00367D85">
        <w:t xml:space="preserve">he factors that potentially undermine political equality </w:t>
      </w:r>
      <w:r w:rsidR="00F83E7E">
        <w:t xml:space="preserve">within the legislature </w:t>
      </w:r>
      <w:r w:rsidR="00367D85">
        <w:t xml:space="preserve">and </w:t>
      </w:r>
      <w:r w:rsidR="00FD0955">
        <w:t>expose members to</w:t>
      </w:r>
      <w:r w:rsidR="00367D85">
        <w:t xml:space="preserve"> powerful economic and social interests – </w:t>
      </w:r>
      <w:r w:rsidR="00FD0955">
        <w:t>its</w:t>
      </w:r>
      <w:r w:rsidR="00006770" w:rsidRPr="00210072">
        <w:t xml:space="preserve"> small size, long service and specialization </w:t>
      </w:r>
      <w:r w:rsidR="00367D85">
        <w:t xml:space="preserve">– </w:t>
      </w:r>
      <w:r w:rsidR="00006770" w:rsidRPr="00210072">
        <w:t>are arguably necessary conditions for a key aspect of the SL</w:t>
      </w:r>
      <w:r w:rsidR="002E7D64">
        <w:t>P</w:t>
      </w:r>
      <w:r w:rsidR="00006770" w:rsidRPr="00210072">
        <w:t>: its agenda setting function.</w:t>
      </w:r>
    </w:p>
    <w:p w14:paraId="0A4A9FEC" w14:textId="77777777" w:rsidR="001A62DF" w:rsidRPr="00210072" w:rsidRDefault="001A62DF" w:rsidP="00367D85">
      <w:pPr>
        <w:spacing w:after="120"/>
        <w:ind w:firstLine="720"/>
      </w:pPr>
    </w:p>
    <w:p w14:paraId="740C24C1" w14:textId="29B0D841" w:rsidR="0059430C" w:rsidRPr="00210072" w:rsidRDefault="006E5793" w:rsidP="00980593">
      <w:pPr>
        <w:spacing w:after="120"/>
      </w:pPr>
      <w:r w:rsidRPr="00210072">
        <w:rPr>
          <w:b/>
        </w:rPr>
        <w:t>A</w:t>
      </w:r>
      <w:r w:rsidR="00CC03F5" w:rsidRPr="00210072">
        <w:rPr>
          <w:b/>
        </w:rPr>
        <w:t>genda-setting</w:t>
      </w:r>
    </w:p>
    <w:p w14:paraId="6D3408BF" w14:textId="1B8FA14F" w:rsidR="00F418F2" w:rsidRDefault="00CC03F5" w:rsidP="00F418F2">
      <w:pPr>
        <w:spacing w:after="120"/>
        <w:ind w:firstLine="720"/>
      </w:pPr>
      <w:r w:rsidRPr="00210072">
        <w:t>As far as we are aware</w:t>
      </w:r>
      <w:r w:rsidR="0059430C" w:rsidRPr="00210072">
        <w:t xml:space="preserve">, there is no historical </w:t>
      </w:r>
      <w:r w:rsidR="00946136" w:rsidRPr="00210072">
        <w:t xml:space="preserve">or contemporary </w:t>
      </w:r>
      <w:r w:rsidR="0059430C" w:rsidRPr="00210072">
        <w:t>precedent for a single body, selected by sortition</w:t>
      </w:r>
      <w:r w:rsidR="00F045F8">
        <w:t xml:space="preserve">, that combines agenda-setting and </w:t>
      </w:r>
      <w:r w:rsidR="008E59D4">
        <w:t xml:space="preserve">scrutiny </w:t>
      </w:r>
      <w:r w:rsidR="000E6B2A">
        <w:t>in a deliberative fashion in the way that the SLP intends</w:t>
      </w:r>
      <w:r w:rsidR="0059430C" w:rsidRPr="00210072">
        <w:t xml:space="preserve">. </w:t>
      </w:r>
      <w:r w:rsidR="00F418F2">
        <w:t xml:space="preserve">In Athenian democracy, </w:t>
      </w:r>
      <w:r w:rsidR="000E6B2A">
        <w:t>a number of sortition bodies with very different</w:t>
      </w:r>
      <w:r w:rsidR="00F418F2">
        <w:t xml:space="preserve"> and distinct</w:t>
      </w:r>
      <w:r w:rsidR="000E6B2A">
        <w:t xml:space="preserve"> political functions were </w:t>
      </w:r>
      <w:r w:rsidR="00F418F2">
        <w:t xml:space="preserve">employed </w:t>
      </w:r>
      <w:r w:rsidR="000E6B2A">
        <w:t xml:space="preserve">around the central assembly. We can draw similar lessons </w:t>
      </w:r>
      <w:r w:rsidR="00946136" w:rsidRPr="00210072">
        <w:t>from another</w:t>
      </w:r>
      <w:r w:rsidR="00F418F2">
        <w:t xml:space="preserve"> contemporary</w:t>
      </w:r>
      <w:r w:rsidR="00946136" w:rsidRPr="00210072">
        <w:t xml:space="preserve"> f</w:t>
      </w:r>
      <w:r w:rsidR="000E6B2A">
        <w:t xml:space="preserve">ield of participatory practice where </w:t>
      </w:r>
      <w:r w:rsidR="00946136" w:rsidRPr="00210072">
        <w:t>the designers of participatory budgeting</w:t>
      </w:r>
      <w:r w:rsidR="000E6B2A">
        <w:t xml:space="preserve"> (PB)</w:t>
      </w:r>
      <w:r w:rsidR="00946136" w:rsidRPr="00210072">
        <w:t xml:space="preserve"> in Porto Alegre crafted different institutions for different </w:t>
      </w:r>
      <w:r w:rsidR="008E59D4">
        <w:t>aspects of agenda-setting, rule-</w:t>
      </w:r>
      <w:r w:rsidR="00946136" w:rsidRPr="00210072">
        <w:t xml:space="preserve">making and </w:t>
      </w:r>
      <w:r w:rsidR="008E59D4">
        <w:t>decision making</w:t>
      </w:r>
      <w:r w:rsidR="000E6B2A">
        <w:t>. They</w:t>
      </w:r>
      <w:r w:rsidR="00946136" w:rsidRPr="00210072">
        <w:t xml:space="preserve"> recogniz</w:t>
      </w:r>
      <w:r w:rsidR="001A62DF">
        <w:t>ed</w:t>
      </w:r>
      <w:r w:rsidR="00946136" w:rsidRPr="00210072">
        <w:t xml:space="preserve"> that combining functions</w:t>
      </w:r>
      <w:r w:rsidR="006D132C">
        <w:t xml:space="preserve"> in the same body</w:t>
      </w:r>
      <w:r w:rsidR="000E6B2A">
        <w:t xml:space="preserve"> is likely to</w:t>
      </w:r>
      <w:r w:rsidR="00946136" w:rsidRPr="00210072">
        <w:t xml:space="preserve"> have perverse democratic results</w:t>
      </w:r>
      <w:r w:rsidR="00C7260C">
        <w:t>.</w:t>
      </w:r>
      <w:r w:rsidR="00C7260C">
        <w:rPr>
          <w:rStyle w:val="FootnoteReference"/>
        </w:rPr>
        <w:footnoteReference w:id="15"/>
      </w:r>
      <w:r w:rsidR="00C7260C">
        <w:t xml:space="preserve"> </w:t>
      </w:r>
      <w:r w:rsidR="000E6B2A">
        <w:t>Later PBs that failed to separate these functions have arguably been less effective democratically.</w:t>
      </w:r>
      <w:r w:rsidR="009D2210">
        <w:rPr>
          <w:rStyle w:val="FootnoteReference"/>
        </w:rPr>
        <w:footnoteReference w:id="16"/>
      </w:r>
      <w:r w:rsidR="00F418F2">
        <w:t xml:space="preserve"> </w:t>
      </w:r>
    </w:p>
    <w:p w14:paraId="23D7C3C0" w14:textId="1AFEE56A" w:rsidR="00946136" w:rsidRPr="00210072" w:rsidRDefault="007F6F69" w:rsidP="00462A34">
      <w:pPr>
        <w:spacing w:after="120"/>
        <w:ind w:firstLine="720"/>
      </w:pPr>
      <w:r w:rsidRPr="00210072">
        <w:t>Gastil and Wright are enthusiastic about the capacity of deliberative mini-publics</w:t>
      </w:r>
      <w:r w:rsidR="008E59D4">
        <w:t xml:space="preserve"> in making their argument for the SLP</w:t>
      </w:r>
      <w:r w:rsidRPr="00210072">
        <w:t>: ‘randomly selected bodies have shown an inclination to find common ground and recommend workable solutions to the policy prob</w:t>
      </w:r>
      <w:r w:rsidR="00C7260C">
        <w:t>lems placed on their agendas’</w:t>
      </w:r>
      <w:r w:rsidRPr="00210072">
        <w:t>.</w:t>
      </w:r>
      <w:r w:rsidR="00C7260C">
        <w:rPr>
          <w:rStyle w:val="FootnoteReference"/>
        </w:rPr>
        <w:footnoteReference w:id="17"/>
      </w:r>
      <w:r w:rsidRPr="00210072">
        <w:t xml:space="preserve"> The final part of that sentence is indicative of the challenge </w:t>
      </w:r>
      <w:r w:rsidR="002E7D64">
        <w:t>the SLP</w:t>
      </w:r>
      <w:r w:rsidRPr="00210072">
        <w:t xml:space="preserve"> face</w:t>
      </w:r>
      <w:r w:rsidR="002E7D64">
        <w:t>s</w:t>
      </w:r>
      <w:r w:rsidRPr="00210072">
        <w:t>: deliberative mini-publics work on ‘policy problems placed on their agendas’. They do not select these problems. Ensu</w:t>
      </w:r>
      <w:r w:rsidR="006A09A3" w:rsidRPr="00210072">
        <w:t>r</w:t>
      </w:r>
      <w:r w:rsidRPr="00210072">
        <w:t xml:space="preserve">ing a safe space within which common ground and workable solutions emerge </w:t>
      </w:r>
      <w:r w:rsidR="006A09A3" w:rsidRPr="00210072">
        <w:t xml:space="preserve">may well be undermined if </w:t>
      </w:r>
      <w:r w:rsidRPr="00210072">
        <w:t xml:space="preserve">mini-publics </w:t>
      </w:r>
      <w:r w:rsidR="006A09A3" w:rsidRPr="00210072">
        <w:t>were</w:t>
      </w:r>
      <w:r w:rsidRPr="00210072">
        <w:t xml:space="preserve"> a site for competition over agenda-setting.</w:t>
      </w:r>
      <w:r w:rsidR="00F418F2">
        <w:t xml:space="preserve"> We have the same concern for the SLP – that agenda-setting and scrutiny may pull the institution in different directions </w:t>
      </w:r>
      <w:r w:rsidR="00462A34">
        <w:t xml:space="preserve">– </w:t>
      </w:r>
      <w:r w:rsidR="00F418F2">
        <w:t xml:space="preserve">and suggest that the former function may well be detrimental to its democratic capacity. </w:t>
      </w:r>
    </w:p>
    <w:p w14:paraId="5FDA1561" w14:textId="3FB3D080" w:rsidR="007F6F69" w:rsidRPr="00210072" w:rsidRDefault="006A09A3" w:rsidP="00980593">
      <w:pPr>
        <w:spacing w:after="120"/>
      </w:pPr>
      <w:r w:rsidRPr="00210072">
        <w:tab/>
        <w:t>Agenda-setting can be broken down into at least three separate functions: collation of ideas, filtering of ideas and management of the agenda once it has been agreed. Within traditional elected legislatures, these functions are undertaken</w:t>
      </w:r>
      <w:r w:rsidR="002E7D64">
        <w:t xml:space="preserve"> or </w:t>
      </w:r>
      <w:r w:rsidR="003D2775">
        <w:t xml:space="preserve">at least </w:t>
      </w:r>
      <w:r w:rsidR="002E7D64">
        <w:t>overseen principally</w:t>
      </w:r>
      <w:r w:rsidRPr="00210072">
        <w:t xml:space="preserve"> by political parties.</w:t>
      </w:r>
      <w:r w:rsidR="008E59D4">
        <w:t xml:space="preserve"> It is not at all clear how these functions</w:t>
      </w:r>
      <w:r w:rsidRPr="00210072">
        <w:t xml:space="preserve"> would be realized in the </w:t>
      </w:r>
      <w:r w:rsidR="002E7D64">
        <w:t>SLP</w:t>
      </w:r>
      <w:r w:rsidRPr="00210072">
        <w:t>. If we consider collation of ideas, sor</w:t>
      </w:r>
      <w:r w:rsidR="002E7D64">
        <w:t>tition legislators will not have knowledge of</w:t>
      </w:r>
      <w:r w:rsidRPr="00210072">
        <w:t xml:space="preserve"> the full range of ideas</w:t>
      </w:r>
      <w:r w:rsidR="002E7D64">
        <w:t xml:space="preserve">: </w:t>
      </w:r>
      <w:r w:rsidR="00835253">
        <w:t>while a demographically diverse group is epistemically important</w:t>
      </w:r>
      <w:r w:rsidR="0047310C">
        <w:t xml:space="preserve"> for collective judgement</w:t>
      </w:r>
      <w:r w:rsidR="00835253">
        <w:t xml:space="preserve">, it </w:t>
      </w:r>
      <w:r w:rsidR="002E7D64">
        <w:t>does</w:t>
      </w:r>
      <w:r w:rsidR="00835253">
        <w:t xml:space="preserve"> not equate to full</w:t>
      </w:r>
      <w:r w:rsidR="002E7D64">
        <w:t xml:space="preserve"> knowledge of the range and dimensions of issues facing the legislature.</w:t>
      </w:r>
      <w:r w:rsidRPr="00210072">
        <w:t xml:space="preserve"> </w:t>
      </w:r>
      <w:r w:rsidR="00835253">
        <w:t xml:space="preserve">Therefore, </w:t>
      </w:r>
      <w:r w:rsidRPr="00210072">
        <w:t>there will need to</w:t>
      </w:r>
      <w:r w:rsidR="00835253">
        <w:t xml:space="preserve"> be processes through which members</w:t>
      </w:r>
      <w:r w:rsidRPr="00210072">
        <w:t xml:space="preserve"> are exposed to different possibilities. How is this to be done? </w:t>
      </w:r>
      <w:r w:rsidR="00946195" w:rsidRPr="00210072">
        <w:t xml:space="preserve">We can see a range of options, all potentially undesirable from a democratic perspective. One option draws on the practice of </w:t>
      </w:r>
      <w:r w:rsidR="00D45223" w:rsidRPr="00210072">
        <w:t xml:space="preserve">deliberative mini-publics, </w:t>
      </w:r>
      <w:r w:rsidR="00946195" w:rsidRPr="00210072">
        <w:t xml:space="preserve">where </w:t>
      </w:r>
      <w:r w:rsidR="00D45223" w:rsidRPr="00210072">
        <w:t>facilitation and provision of balanced information and witnesses</w:t>
      </w:r>
      <w:r w:rsidR="00946195" w:rsidRPr="00210072">
        <w:t xml:space="preserve"> </w:t>
      </w:r>
      <w:r w:rsidR="00D45223" w:rsidRPr="00210072">
        <w:t xml:space="preserve">is </w:t>
      </w:r>
      <w:r w:rsidR="00F63C20">
        <w:t xml:space="preserve">overseen </w:t>
      </w:r>
      <w:r w:rsidR="00D45223" w:rsidRPr="00210072">
        <w:t>by an independent body</w:t>
      </w:r>
      <w:r w:rsidR="00F63C20">
        <w:t xml:space="preserve"> supported by a stakeholder advisory group. </w:t>
      </w:r>
      <w:r w:rsidR="00835253">
        <w:t xml:space="preserve">Gastil and Wright </w:t>
      </w:r>
      <w:r w:rsidR="00F63C20">
        <w:t>suggest</w:t>
      </w:r>
      <w:r w:rsidR="00835253">
        <w:t xml:space="preserve"> that experimentation </w:t>
      </w:r>
      <w:r w:rsidR="00835253" w:rsidRPr="00210072">
        <w:t xml:space="preserve">with </w:t>
      </w:r>
      <w:r w:rsidR="00F63C20">
        <w:t xml:space="preserve">different kinds of </w:t>
      </w:r>
      <w:r w:rsidR="00F418F2">
        <w:t xml:space="preserve">facilitation </w:t>
      </w:r>
      <w:r w:rsidR="00835253" w:rsidRPr="00210072">
        <w:t>may be necessary</w:t>
      </w:r>
      <w:r w:rsidR="00F63C20">
        <w:t xml:space="preserve"> and </w:t>
      </w:r>
      <w:r w:rsidR="0047310C">
        <w:t xml:space="preserve">that </w:t>
      </w:r>
      <w:r w:rsidR="00F63C20">
        <w:t>this is the role for an ‘Oversight Commission’</w:t>
      </w:r>
      <w:r w:rsidR="0047310C">
        <w:rPr>
          <w:rStyle w:val="FootnoteReference"/>
        </w:rPr>
        <w:footnoteReference w:id="18"/>
      </w:r>
      <w:r w:rsidR="00F63C20">
        <w:t>. But the idea is not developed</w:t>
      </w:r>
      <w:r w:rsidR="0047310C">
        <w:t xml:space="preserve"> further</w:t>
      </w:r>
      <w:r w:rsidR="00F63C20">
        <w:t xml:space="preserve"> and </w:t>
      </w:r>
      <w:r w:rsidR="00A96FA6">
        <w:t>they only focus</w:t>
      </w:r>
      <w:r w:rsidR="00835253" w:rsidRPr="00210072">
        <w:t xml:space="preserve"> on facilita</w:t>
      </w:r>
      <w:r w:rsidR="00835253">
        <w:t>tion</w:t>
      </w:r>
      <w:r w:rsidR="00835253" w:rsidRPr="00210072">
        <w:t>: helping ‘citizens work through their agenda, manage speaking time, and ensure respectful discourse’</w:t>
      </w:r>
      <w:r w:rsidR="00C7260C">
        <w:rPr>
          <w:rStyle w:val="FootnoteReference"/>
        </w:rPr>
        <w:footnoteReference w:id="19"/>
      </w:r>
      <w:r w:rsidR="0047310C">
        <w:t>.</w:t>
      </w:r>
      <w:r w:rsidR="00835253">
        <w:t xml:space="preserve"> </w:t>
      </w:r>
      <w:r w:rsidR="00F63C20">
        <w:t>How balanced information is to be provided to sortition legislatures is not clear</w:t>
      </w:r>
      <w:r w:rsidR="0047310C">
        <w:t>, especially in relation to problem definition and agenda-setting</w:t>
      </w:r>
      <w:r w:rsidR="00F63C20">
        <w:t xml:space="preserve">. </w:t>
      </w:r>
      <w:r w:rsidR="00835253">
        <w:t xml:space="preserve">The role of </w:t>
      </w:r>
      <w:r w:rsidR="00F63C20">
        <w:t>the Commission</w:t>
      </w:r>
      <w:r w:rsidR="00835253">
        <w:t xml:space="preserve"> </w:t>
      </w:r>
      <w:r w:rsidR="00946195" w:rsidRPr="00210072">
        <w:t>c</w:t>
      </w:r>
      <w:r w:rsidR="00A96FA6">
        <w:t>ould be extended to manage</w:t>
      </w:r>
      <w:r w:rsidR="00835253">
        <w:t xml:space="preserve"> the agenda-setting process, but</w:t>
      </w:r>
      <w:r w:rsidR="00D45223" w:rsidRPr="00210072">
        <w:t xml:space="preserve"> at least two issues emerge. First, how are ideas to be selected to present to members? Whose ideas should be heard? Second, there is a danger that too much power will be concentrated in such a</w:t>
      </w:r>
      <w:r w:rsidR="00A96FA6">
        <w:t>n administrative</w:t>
      </w:r>
      <w:r w:rsidR="00946195" w:rsidRPr="00210072">
        <w:t xml:space="preserve"> </w:t>
      </w:r>
      <w:r w:rsidR="00D45223" w:rsidRPr="00210072">
        <w:t>body</w:t>
      </w:r>
      <w:r w:rsidR="00F63C20">
        <w:t xml:space="preserve"> that gets to choose which issues are highlighted </w:t>
      </w:r>
      <w:r w:rsidR="00A96FA6">
        <w:t xml:space="preserve">and </w:t>
      </w:r>
      <w:r w:rsidR="00F63C20">
        <w:t>in what order</w:t>
      </w:r>
      <w:r w:rsidR="00D45223" w:rsidRPr="00210072">
        <w:t>. The same would be true if the role were played by a more traditional government agency. Here, we contend that Gastil and Wright are too relaxed in their evaluation of the danger</w:t>
      </w:r>
      <w:r w:rsidR="00C7260C">
        <w:t>s of ‘technocratic capture’</w:t>
      </w:r>
      <w:r w:rsidR="00C7260C">
        <w:rPr>
          <w:rStyle w:val="FootnoteReference"/>
        </w:rPr>
        <w:footnoteReference w:id="20"/>
      </w:r>
      <w:r w:rsidR="0047310C">
        <w:t>.</w:t>
      </w:r>
      <w:r w:rsidR="00D45223" w:rsidRPr="00210072">
        <w:t xml:space="preserve"> The autonomy of members is in </w:t>
      </w:r>
      <w:r w:rsidR="000A19AD">
        <w:t xml:space="preserve">real </w:t>
      </w:r>
      <w:r w:rsidR="00D45223" w:rsidRPr="00210072">
        <w:t>danger of being compromised as more responsibilities are passed to independent or administrative agencies.</w:t>
      </w:r>
    </w:p>
    <w:p w14:paraId="4D49CF22" w14:textId="293B2F75" w:rsidR="003C4AE8" w:rsidRPr="00210072" w:rsidRDefault="00946195" w:rsidP="00980593">
      <w:pPr>
        <w:spacing w:after="120"/>
      </w:pPr>
      <w:r w:rsidRPr="00210072">
        <w:tab/>
        <w:t>A second option is that certain members of</w:t>
      </w:r>
      <w:r w:rsidR="008E59D4">
        <w:t xml:space="preserve"> the legislature – those who have served more years, a</w:t>
      </w:r>
      <w:r w:rsidRPr="00210072">
        <w:t xml:space="preserve">re committee chairs and/or who </w:t>
      </w:r>
      <w:r w:rsidR="00835253">
        <w:t xml:space="preserve">enter with the </w:t>
      </w:r>
      <w:r w:rsidRPr="00210072">
        <w:t>requisite political skills</w:t>
      </w:r>
      <w:r w:rsidR="00835253">
        <w:t xml:space="preserve"> </w:t>
      </w:r>
      <w:r w:rsidRPr="00210072">
        <w:t xml:space="preserve">– would </w:t>
      </w:r>
      <w:r w:rsidR="003C4AE8" w:rsidRPr="00210072">
        <w:t xml:space="preserve">take on leadership roles and </w:t>
      </w:r>
      <w:r w:rsidRPr="00210072">
        <w:t xml:space="preserve">drive the agenda-setting process. But this immediately </w:t>
      </w:r>
      <w:r w:rsidR="003C4AE8" w:rsidRPr="00210072">
        <w:t xml:space="preserve">jeopardizes political equality and undermines deliberative </w:t>
      </w:r>
      <w:r w:rsidR="00F83E7E">
        <w:t>e</w:t>
      </w:r>
      <w:r w:rsidR="003C4AE8" w:rsidRPr="00210072">
        <w:t xml:space="preserve">quality as some members are </w:t>
      </w:r>
      <w:r w:rsidR="00F045F8">
        <w:t>privileged</w:t>
      </w:r>
      <w:r w:rsidR="003C4AE8" w:rsidRPr="00210072">
        <w:t xml:space="preserve"> over others</w:t>
      </w:r>
      <w:r w:rsidR="001A62DF">
        <w:t>, while exacerbating incentives for external influence</w:t>
      </w:r>
      <w:r w:rsidR="00FA1E54">
        <w:t xml:space="preserve"> on key figures and roles</w:t>
      </w:r>
      <w:r w:rsidR="008514F6">
        <w:t xml:space="preserve"> within the assembly</w:t>
      </w:r>
      <w:r w:rsidR="003C4AE8" w:rsidRPr="00210072">
        <w:t>.</w:t>
      </w:r>
    </w:p>
    <w:p w14:paraId="09F070E8" w14:textId="36D0696D" w:rsidR="003C4AE8" w:rsidRPr="00210072" w:rsidRDefault="003C4AE8" w:rsidP="00980593">
      <w:pPr>
        <w:spacing w:after="120"/>
      </w:pPr>
      <w:r w:rsidRPr="00210072">
        <w:tab/>
        <w:t xml:space="preserve">A third option, again implicit within the </w:t>
      </w:r>
      <w:r w:rsidR="008E59D4">
        <w:t>SLP,</w:t>
      </w:r>
      <w:r w:rsidRPr="00210072">
        <w:t xml:space="preserve"> is the introduction of party caucuses or some other forms of faction that could collate and filter ideas and manage t</w:t>
      </w:r>
      <w:r w:rsidR="00A80F71">
        <w:t>he agenda-setting process. As we have already argued</w:t>
      </w:r>
      <w:r w:rsidRPr="00210072">
        <w:t xml:space="preserve">, this impacts on political equality and begins to replicate the very practices of elected legislatures that the application of sortition is introduced to ameliorate in the first place. The relative autonomy of the sortition legislature is lost, as is the deliberative difference that sortition bodies bring as countervailing powers. But without parties or organized factions, the different aspects of agenda-setting will be </w:t>
      </w:r>
      <w:r w:rsidR="00B204BF">
        <w:t xml:space="preserve">vulnerable </w:t>
      </w:r>
      <w:r w:rsidRPr="00210072">
        <w:t>targets of lobbying and other more nefarious activities by organised interests.</w:t>
      </w:r>
    </w:p>
    <w:p w14:paraId="258880FC" w14:textId="668EBED3" w:rsidR="004830D7" w:rsidRPr="00210072" w:rsidRDefault="00835253" w:rsidP="00980593">
      <w:pPr>
        <w:spacing w:after="120"/>
      </w:pPr>
      <w:r>
        <w:tab/>
        <w:t>Reflecting back to</w:t>
      </w:r>
      <w:r w:rsidR="00D45223" w:rsidRPr="00210072">
        <w:t xml:space="preserve"> the </w:t>
      </w:r>
      <w:r>
        <w:t>example</w:t>
      </w:r>
      <w:r w:rsidR="00F045F8">
        <w:t>s</w:t>
      </w:r>
      <w:r>
        <w:t xml:space="preserve"> of </w:t>
      </w:r>
      <w:r w:rsidR="00A96FA6">
        <w:t xml:space="preserve">the </w:t>
      </w:r>
      <w:r w:rsidR="00F045F8">
        <w:t xml:space="preserve">Athenian system and </w:t>
      </w:r>
      <w:r>
        <w:t>participatory budgeting</w:t>
      </w:r>
      <w:r w:rsidR="00D45223" w:rsidRPr="00210072">
        <w:t xml:space="preserve">, we believe </w:t>
      </w:r>
      <w:r w:rsidR="003C4AE8" w:rsidRPr="00210072">
        <w:t xml:space="preserve">further </w:t>
      </w:r>
      <w:r w:rsidR="00D45223" w:rsidRPr="00210072">
        <w:t>that the deliberative qualities of the legislature are under threat if it is tak</w:t>
      </w:r>
      <w:r w:rsidR="00F83E7E">
        <w:t>es</w:t>
      </w:r>
      <w:r w:rsidR="00D45223" w:rsidRPr="00210072">
        <w:t xml:space="preserve"> on agenda-setting</w:t>
      </w:r>
      <w:r w:rsidR="00F045F8">
        <w:t xml:space="preserve"> and</w:t>
      </w:r>
      <w:r w:rsidR="003C4AE8" w:rsidRPr="00210072">
        <w:t xml:space="preserve"> </w:t>
      </w:r>
      <w:r>
        <w:t xml:space="preserve">scrutiny </w:t>
      </w:r>
      <w:r w:rsidR="00946195" w:rsidRPr="00210072">
        <w:t>functions. Deliberating over</w:t>
      </w:r>
      <w:r w:rsidR="00D45223" w:rsidRPr="00210072">
        <w:t xml:space="preserve"> agendas is a very different activity from deliberating </w:t>
      </w:r>
      <w:r w:rsidR="00946195" w:rsidRPr="00210072">
        <w:t>over</w:t>
      </w:r>
      <w:r w:rsidR="00D45223" w:rsidRPr="00210072">
        <w:t xml:space="preserve"> options</w:t>
      </w:r>
      <w:r w:rsidR="00946195" w:rsidRPr="00210072">
        <w:t xml:space="preserve"> for </w:t>
      </w:r>
      <w:r w:rsidR="00915D81">
        <w:t xml:space="preserve">a </w:t>
      </w:r>
      <w:r w:rsidR="00946195" w:rsidRPr="00210072">
        <w:t xml:space="preserve">particular </w:t>
      </w:r>
      <w:r w:rsidR="008E59D4">
        <w:t>policy or legislative</w:t>
      </w:r>
      <w:r w:rsidR="00915D81">
        <w:t xml:space="preserve"> decision</w:t>
      </w:r>
      <w:r w:rsidR="003C4AE8" w:rsidRPr="00210072">
        <w:t xml:space="preserve">. </w:t>
      </w:r>
      <w:r w:rsidR="00915D81">
        <w:t xml:space="preserve">Thus, for example, in agenda-setting there is always the danger that </w:t>
      </w:r>
      <w:r w:rsidR="00980593">
        <w:t>members’ favo</w:t>
      </w:r>
      <w:r w:rsidR="00915D81">
        <w:t>red ideas or issues are not taken forward or given low priority. This, in turn, generates incentives to engage in coalition-building and tactical alliances (that is, mimicry of party formations) or else to confront a situation</w:t>
      </w:r>
      <w:r w:rsidR="008E59D4">
        <w:t xml:space="preserve"> in which (except by luck) one</w:t>
      </w:r>
      <w:r w:rsidR="00915D81">
        <w:t xml:space="preserve"> loses out – at which stage</w:t>
      </w:r>
      <w:r w:rsidR="00946195" w:rsidRPr="00210072">
        <w:t xml:space="preserve"> </w:t>
      </w:r>
      <w:r w:rsidR="00980593">
        <w:t>the</w:t>
      </w:r>
      <w:r w:rsidR="00946195" w:rsidRPr="00210072">
        <w:t xml:space="preserve"> motivation to participate in the </w:t>
      </w:r>
      <w:r w:rsidR="006D132C">
        <w:t>scrutiny</w:t>
      </w:r>
      <w:r w:rsidR="00946195" w:rsidRPr="00210072">
        <w:t xml:space="preserve"> of options </w:t>
      </w:r>
      <w:r w:rsidR="008E59D4">
        <w:t xml:space="preserve">on an issue </w:t>
      </w:r>
      <w:r w:rsidR="006D132C">
        <w:t xml:space="preserve">one does </w:t>
      </w:r>
      <w:r w:rsidR="00F045F8">
        <w:t>not see</w:t>
      </w:r>
      <w:r w:rsidR="008E59D4">
        <w:t xml:space="preserve"> as a priority </w:t>
      </w:r>
      <w:r w:rsidR="00946195" w:rsidRPr="00210072">
        <w:t>is likely to be much reduced.</w:t>
      </w:r>
      <w:r>
        <w:t xml:space="preserve"> </w:t>
      </w:r>
    </w:p>
    <w:p w14:paraId="0BF545B6" w14:textId="51032EBD" w:rsidR="002C78B9" w:rsidRDefault="00EB1927" w:rsidP="0000586D">
      <w:pPr>
        <w:spacing w:after="120"/>
        <w:ind w:firstLine="720"/>
        <w:rPr>
          <w:color w:val="000000" w:themeColor="text1"/>
        </w:rPr>
      </w:pPr>
      <w:r w:rsidRPr="00210072">
        <w:t>We readily subscribe to the need within contemporary democratic societies for what we might term ‘counter</w:t>
      </w:r>
      <w:r w:rsidR="009946FA" w:rsidRPr="00210072">
        <w:t>-hegemonic</w:t>
      </w:r>
      <w:r w:rsidR="00CF11DB" w:rsidRPr="00210072">
        <w:t xml:space="preserve"> agenda setting’</w:t>
      </w:r>
      <w:r w:rsidR="00ED3F3F" w:rsidRPr="00210072">
        <w:t xml:space="preserve">. </w:t>
      </w:r>
      <w:r w:rsidR="00915D81">
        <w:t>Elites</w:t>
      </w:r>
      <w:r w:rsidR="00ED3F3F" w:rsidRPr="00210072">
        <w:t xml:space="preserve"> get their issues on the agenda too easily and too often</w:t>
      </w:r>
      <w:r w:rsidR="00915D81">
        <w:t xml:space="preserve"> (this is one source of their power)</w:t>
      </w:r>
      <w:r w:rsidR="00ED3F3F" w:rsidRPr="00210072">
        <w:t>. But we are not convinced</w:t>
      </w:r>
      <w:r w:rsidR="003C4AE8" w:rsidRPr="00210072">
        <w:t xml:space="preserve"> that the </w:t>
      </w:r>
      <w:r w:rsidR="00835253">
        <w:t>SLP</w:t>
      </w:r>
      <w:r w:rsidR="00980593">
        <w:t xml:space="preserve"> can realiz</w:t>
      </w:r>
      <w:r w:rsidR="00ED3F3F" w:rsidRPr="00210072">
        <w:t xml:space="preserve">e this </w:t>
      </w:r>
      <w:r w:rsidR="00915D81">
        <w:t xml:space="preserve">counter-hegemonic </w:t>
      </w:r>
      <w:r w:rsidR="00ED3F3F" w:rsidRPr="00210072">
        <w:t xml:space="preserve">role. Our </w:t>
      </w:r>
      <w:r w:rsidR="00915D81">
        <w:t>suspicion</w:t>
      </w:r>
      <w:r w:rsidR="00ED3F3F" w:rsidRPr="00210072">
        <w:t xml:space="preserve"> is that it will be subject to</w:t>
      </w:r>
      <w:r w:rsidR="00980593">
        <w:t xml:space="preserve"> pressures from powerful organiz</w:t>
      </w:r>
      <w:r w:rsidR="00ED3F3F" w:rsidRPr="00210072">
        <w:t xml:space="preserve">ed interests that it will be unable to manage democratically. Those who wish to retain an agenda-setting role for a sortition legislature are required to provide an account of how this role is to be facilitated and how leadership is to be enacted </w:t>
      </w:r>
      <w:r w:rsidR="00A96FA6">
        <w:t>in order to drive agendas</w:t>
      </w:r>
      <w:r w:rsidR="00FA1E54">
        <w:t xml:space="preserve"> </w:t>
      </w:r>
      <w:r w:rsidR="00A96FA6">
        <w:t>in a way that does not undermine political equality.</w:t>
      </w:r>
      <w:r w:rsidR="00F045F8">
        <w:t xml:space="preserve"> </w:t>
      </w:r>
      <w:r w:rsidR="00F418F2" w:rsidRPr="00F045F8">
        <w:rPr>
          <w:color w:val="000000" w:themeColor="text1"/>
        </w:rPr>
        <w:t>We believe</w:t>
      </w:r>
      <w:r w:rsidR="00FA1E54">
        <w:rPr>
          <w:color w:val="000000" w:themeColor="text1"/>
        </w:rPr>
        <w:t>, consequently,</w:t>
      </w:r>
      <w:r w:rsidR="00F418F2" w:rsidRPr="00F045F8">
        <w:rPr>
          <w:color w:val="000000" w:themeColor="text1"/>
        </w:rPr>
        <w:t xml:space="preserve"> that there are good reasons to remove agenda-setting from the sortition legislature, leaving it as more of a responsive body that engages</w:t>
      </w:r>
      <w:r w:rsidR="00F045F8">
        <w:rPr>
          <w:color w:val="000000" w:themeColor="text1"/>
        </w:rPr>
        <w:t xml:space="preserve"> primarily</w:t>
      </w:r>
      <w:r w:rsidR="00F418F2" w:rsidRPr="00F045F8">
        <w:rPr>
          <w:color w:val="000000" w:themeColor="text1"/>
        </w:rPr>
        <w:t xml:space="preserve"> in scrutiny. It may be possible to conceive of a separate sortition agenda-setting assembly</w:t>
      </w:r>
      <w:r w:rsidR="002C78B9">
        <w:rPr>
          <w:color w:val="000000" w:themeColor="text1"/>
        </w:rPr>
        <w:t>, perhaps one that is embedded in a wider order of sortition bodies that generate ideas for collation and ranking</w:t>
      </w:r>
      <w:r w:rsidR="00F418F2" w:rsidRPr="00F045F8">
        <w:rPr>
          <w:color w:val="000000" w:themeColor="text1"/>
        </w:rPr>
        <w:t xml:space="preserve">, although there is little successful historical or contemporary practice to draw on </w:t>
      </w:r>
      <w:r w:rsidR="00F045F8">
        <w:rPr>
          <w:color w:val="000000" w:themeColor="text1"/>
        </w:rPr>
        <w:t xml:space="preserve">and our considerations of how it might function leave us with </w:t>
      </w:r>
      <w:r w:rsidR="00F418F2" w:rsidRPr="00F045F8">
        <w:rPr>
          <w:color w:val="000000" w:themeColor="text1"/>
        </w:rPr>
        <w:t xml:space="preserve">good reasons </w:t>
      </w:r>
      <w:r w:rsidR="00F045F8">
        <w:rPr>
          <w:color w:val="000000" w:themeColor="text1"/>
        </w:rPr>
        <w:t xml:space="preserve">as to </w:t>
      </w:r>
      <w:r w:rsidR="00F418F2" w:rsidRPr="00F045F8">
        <w:rPr>
          <w:color w:val="000000" w:themeColor="text1"/>
        </w:rPr>
        <w:t>why it may be difficult to achieve.</w:t>
      </w:r>
      <w:r w:rsidR="002C78B9">
        <w:rPr>
          <w:color w:val="000000" w:themeColor="text1"/>
        </w:rPr>
        <w:t xml:space="preserve"> Certainly, it would be prudent to experiment with such </w:t>
      </w:r>
      <w:r w:rsidR="00462A34">
        <w:rPr>
          <w:color w:val="000000" w:themeColor="text1"/>
        </w:rPr>
        <w:t>a structure</w:t>
      </w:r>
      <w:r w:rsidR="002C78B9">
        <w:rPr>
          <w:color w:val="000000" w:themeColor="text1"/>
        </w:rPr>
        <w:t xml:space="preserve"> in lower risk environments in order to discern the relevant </w:t>
      </w:r>
      <w:r w:rsidR="00462A34">
        <w:rPr>
          <w:color w:val="000000" w:themeColor="text1"/>
        </w:rPr>
        <w:t>design issues that it</w:t>
      </w:r>
      <w:r w:rsidR="002C78B9">
        <w:rPr>
          <w:color w:val="000000" w:themeColor="text1"/>
        </w:rPr>
        <w:t xml:space="preserve"> would confront before inserting such </w:t>
      </w:r>
      <w:r w:rsidR="00462A34">
        <w:rPr>
          <w:color w:val="000000" w:themeColor="text1"/>
        </w:rPr>
        <w:t>a body</w:t>
      </w:r>
      <w:r w:rsidR="002C78B9">
        <w:rPr>
          <w:color w:val="000000" w:themeColor="text1"/>
        </w:rPr>
        <w:t xml:space="preserve"> </w:t>
      </w:r>
      <w:r w:rsidR="008514F6">
        <w:rPr>
          <w:color w:val="000000" w:themeColor="text1"/>
        </w:rPr>
        <w:t>at</w:t>
      </w:r>
      <w:r w:rsidR="002C78B9">
        <w:rPr>
          <w:color w:val="000000" w:themeColor="text1"/>
        </w:rPr>
        <w:t xml:space="preserve"> </w:t>
      </w:r>
      <w:r w:rsidR="008514F6">
        <w:rPr>
          <w:color w:val="000000" w:themeColor="text1"/>
        </w:rPr>
        <w:t xml:space="preserve">the </w:t>
      </w:r>
      <w:r w:rsidR="002C78B9">
        <w:rPr>
          <w:color w:val="000000" w:themeColor="text1"/>
        </w:rPr>
        <w:t xml:space="preserve">apex of the </w:t>
      </w:r>
      <w:r w:rsidR="00B62CF7">
        <w:rPr>
          <w:color w:val="000000" w:themeColor="text1"/>
        </w:rPr>
        <w:t xml:space="preserve">formal </w:t>
      </w:r>
      <w:r w:rsidR="002C78B9">
        <w:rPr>
          <w:color w:val="000000" w:themeColor="text1"/>
        </w:rPr>
        <w:t>democratic system.</w:t>
      </w:r>
    </w:p>
    <w:p w14:paraId="04B87064" w14:textId="5B800473" w:rsidR="00F418F2" w:rsidRPr="00210072" w:rsidRDefault="002C78B9" w:rsidP="0000586D">
      <w:pPr>
        <w:spacing w:after="120"/>
        <w:ind w:firstLine="720"/>
      </w:pPr>
      <w:r>
        <w:rPr>
          <w:color w:val="000000" w:themeColor="text1"/>
        </w:rPr>
        <w:t xml:space="preserve"> </w:t>
      </w:r>
      <w:r w:rsidR="00F418F2" w:rsidRPr="00F045F8">
        <w:rPr>
          <w:color w:val="000000" w:themeColor="text1"/>
        </w:rPr>
        <w:t xml:space="preserve"> </w:t>
      </w:r>
    </w:p>
    <w:p w14:paraId="467672D0" w14:textId="29A8E92D" w:rsidR="00CC03F5" w:rsidRPr="00552956" w:rsidRDefault="00ED3F3F" w:rsidP="00A80F71">
      <w:pPr>
        <w:spacing w:after="120"/>
        <w:jc w:val="center"/>
        <w:rPr>
          <w:b/>
        </w:rPr>
      </w:pPr>
      <w:r w:rsidRPr="00210072">
        <w:rPr>
          <w:b/>
        </w:rPr>
        <w:t>The design dilemma</w:t>
      </w:r>
    </w:p>
    <w:p w14:paraId="0A5E2A4C" w14:textId="680B2CCC" w:rsidR="007322D8" w:rsidRPr="00210072" w:rsidRDefault="00ED3F3F" w:rsidP="00A96FA6">
      <w:pPr>
        <w:spacing w:after="120"/>
        <w:ind w:firstLine="720"/>
      </w:pPr>
      <w:r w:rsidRPr="00210072">
        <w:t xml:space="preserve">Our foray into historical and contemporary precedents suggests that for an assembly to </w:t>
      </w:r>
      <w:r w:rsidR="003C4AE8" w:rsidRPr="00210072">
        <w:t>inhibit the unjustified exercise of</w:t>
      </w:r>
      <w:r w:rsidRPr="00210072">
        <w:t xml:space="preserve"> </w:t>
      </w:r>
      <w:r w:rsidR="003C4AE8" w:rsidRPr="00210072">
        <w:t>power by economic and social groups</w:t>
      </w:r>
      <w:r w:rsidRPr="00210072">
        <w:t xml:space="preserve">, selection by sortition is not enough. Our first proposition is that </w:t>
      </w:r>
      <w:r w:rsidR="003C4AE8" w:rsidRPr="00210072">
        <w:t xml:space="preserve">to counter such activities </w:t>
      </w:r>
      <w:r w:rsidR="00552E97">
        <w:t xml:space="preserve">and realize political equality </w:t>
      </w:r>
      <w:r w:rsidR="002F2717">
        <w:t>we need to combine sortition in selection with</w:t>
      </w:r>
      <w:r w:rsidR="00A67158" w:rsidRPr="00210072">
        <w:t xml:space="preserve"> </w:t>
      </w:r>
      <w:r w:rsidR="007322D8" w:rsidRPr="00210072">
        <w:t xml:space="preserve">rapid rotation of membership, the use of sortition and rotation </w:t>
      </w:r>
      <w:r w:rsidR="00552E97">
        <w:t xml:space="preserve">within the assembly for offices and/or a </w:t>
      </w:r>
      <w:r w:rsidR="007322D8" w:rsidRPr="00210072">
        <w:t xml:space="preserve">larger pool of members. </w:t>
      </w:r>
      <w:r w:rsidR="000D229C">
        <w:t xml:space="preserve">While the </w:t>
      </w:r>
      <w:r w:rsidR="00855DC2">
        <w:t xml:space="preserve">application of sortition is often equated to the </w:t>
      </w:r>
      <w:r w:rsidR="000D229C">
        <w:t>realization of political equality</w:t>
      </w:r>
      <w:r w:rsidR="00855DC2">
        <w:t xml:space="preserve">, we argue that </w:t>
      </w:r>
      <w:r w:rsidR="00552E97">
        <w:t>for it to be realized</w:t>
      </w:r>
      <w:r w:rsidR="00855DC2">
        <w:t xml:space="preserve"> o</w:t>
      </w:r>
      <w:r w:rsidR="00552E97">
        <w:t>ver time in an assembly body, sortition needs to be</w:t>
      </w:r>
      <w:r w:rsidR="00855DC2">
        <w:t xml:space="preserve"> combined with the principle of rotation. </w:t>
      </w:r>
      <w:r w:rsidR="007322D8" w:rsidRPr="00210072">
        <w:t>A second proposition follows. If such mechanisms are to be</w:t>
      </w:r>
      <w:r w:rsidR="00A67158" w:rsidRPr="00210072">
        <w:t xml:space="preserve"> introduced, the body cannot fulfil </w:t>
      </w:r>
      <w:r w:rsidR="007322D8" w:rsidRPr="00210072">
        <w:t xml:space="preserve">agenda-setting and </w:t>
      </w:r>
      <w:r w:rsidR="00835253">
        <w:t>scrutiny</w:t>
      </w:r>
      <w:r w:rsidR="00A67158" w:rsidRPr="00210072">
        <w:t xml:space="preserve"> functions simultaneously</w:t>
      </w:r>
      <w:r w:rsidR="007322D8" w:rsidRPr="00210072">
        <w:t>.</w:t>
      </w:r>
    </w:p>
    <w:p w14:paraId="5B138113" w14:textId="77777777" w:rsidR="00C7260C" w:rsidRDefault="007322D8" w:rsidP="00C7260C">
      <w:pPr>
        <w:spacing w:after="120"/>
        <w:ind w:firstLine="720"/>
      </w:pPr>
      <w:r w:rsidRPr="00210072">
        <w:t xml:space="preserve">Our contention is that as it stands the </w:t>
      </w:r>
      <w:r w:rsidR="00835253">
        <w:t>SLP</w:t>
      </w:r>
      <w:r w:rsidRPr="00210072">
        <w:t xml:space="preserve"> is neither realistic nor utopian. It is </w:t>
      </w:r>
      <w:r w:rsidR="00CC03F5" w:rsidRPr="00210072">
        <w:t>too ambitiou</w:t>
      </w:r>
      <w:r w:rsidRPr="00210072">
        <w:t>s for the former;</w:t>
      </w:r>
      <w:r w:rsidR="00CC03F5" w:rsidRPr="00210072">
        <w:t xml:space="preserve"> not ambitious enough for the latter</w:t>
      </w:r>
      <w:r w:rsidRPr="00210072">
        <w:t>. Further</w:t>
      </w:r>
      <w:r w:rsidR="00835253">
        <w:t>,</w:t>
      </w:r>
      <w:r w:rsidRPr="00210072">
        <w:t xml:space="preserve"> we contend that if we desire a more realistic outcome, then the functions of agenda-setting and </w:t>
      </w:r>
      <w:r w:rsidR="00835253">
        <w:t>scrutiny</w:t>
      </w:r>
      <w:r w:rsidRPr="00210072">
        <w:t xml:space="preserve"> need to be separated in order that </w:t>
      </w:r>
      <w:r w:rsidR="008D2548">
        <w:t>a democratic form of these functions</w:t>
      </w:r>
      <w:r w:rsidRPr="00210072">
        <w:t xml:space="preserve"> can be better protected. If we desire a more utopian outcome</w:t>
      </w:r>
      <w:r w:rsidR="0043456F">
        <w:t xml:space="preserve"> in which the assembly plays an agenda-setting role</w:t>
      </w:r>
      <w:r w:rsidRPr="00210072">
        <w:t xml:space="preserve">, then the </w:t>
      </w:r>
      <w:r w:rsidR="00835253">
        <w:t>SLP</w:t>
      </w:r>
      <w:r w:rsidRPr="00210072">
        <w:t xml:space="preserve"> needs to sit within a wholescale restructuring of the broader institutional e</w:t>
      </w:r>
      <w:r w:rsidR="00835253">
        <w:t>cology of the democratic system, which in the current formulation remains relatively untouched.</w:t>
      </w:r>
    </w:p>
    <w:p w14:paraId="210D1E17" w14:textId="680B32BC" w:rsidR="006E5793" w:rsidRPr="00210072" w:rsidRDefault="007322D8" w:rsidP="00C7260C">
      <w:pPr>
        <w:spacing w:after="120"/>
        <w:ind w:firstLine="720"/>
        <w:jc w:val="center"/>
      </w:pPr>
      <w:r w:rsidRPr="00C7260C">
        <w:rPr>
          <w:b/>
        </w:rPr>
        <w:t>A</w:t>
      </w:r>
      <w:r w:rsidR="006D132C">
        <w:rPr>
          <w:b/>
        </w:rPr>
        <w:t xml:space="preserve"> sketch of a</w:t>
      </w:r>
      <w:r w:rsidRPr="00C7260C">
        <w:rPr>
          <w:b/>
        </w:rPr>
        <w:t>n alternative proposal – realistic and utopian</w:t>
      </w:r>
    </w:p>
    <w:p w14:paraId="669D8BA4" w14:textId="4C00ED50" w:rsidR="00202283" w:rsidRDefault="00A67158" w:rsidP="00A96FA6">
      <w:pPr>
        <w:spacing w:after="120"/>
        <w:ind w:firstLine="720"/>
      </w:pPr>
      <w:r w:rsidRPr="00210072">
        <w:t xml:space="preserve">For those interested in the use of sortition in contemporary politics, there is a strong tendency to focus attention on legislative bodies. </w:t>
      </w:r>
      <w:r w:rsidR="002F3C25">
        <w:t>While such bodies are clearly important sites for democratic reform, w</w:t>
      </w:r>
      <w:r w:rsidRPr="00210072">
        <w:t xml:space="preserve">e believe that we need </w:t>
      </w:r>
      <w:r w:rsidR="0043456F">
        <w:t xml:space="preserve">to consider </w:t>
      </w:r>
      <w:r w:rsidRPr="00210072">
        <w:t xml:space="preserve">a wider </w:t>
      </w:r>
      <w:r w:rsidR="0043456F">
        <w:t xml:space="preserve">political </w:t>
      </w:r>
      <w:r w:rsidRPr="00210072">
        <w:t xml:space="preserve">canvas and </w:t>
      </w:r>
      <w:r w:rsidR="0043456F">
        <w:t>to reflect on</w:t>
      </w:r>
      <w:r w:rsidRPr="00210072">
        <w:t xml:space="preserve"> the variety of roles that sortition can play within other parts of the political system</w:t>
      </w:r>
      <w:r w:rsidR="002F3C25">
        <w:t>, including selection of offices in parties and executives,</w:t>
      </w:r>
      <w:r w:rsidRPr="00210072">
        <w:t xml:space="preserve"> that would enhance the system’s democratic qualities. That said, in these</w:t>
      </w:r>
      <w:r w:rsidR="0043456F">
        <w:t xml:space="preserve"> </w:t>
      </w:r>
      <w:r w:rsidR="0042431F" w:rsidRPr="00210072">
        <w:t>final comments</w:t>
      </w:r>
      <w:r w:rsidRPr="00210072">
        <w:t>,</w:t>
      </w:r>
      <w:r w:rsidR="0042431F" w:rsidRPr="00210072">
        <w:t xml:space="preserve"> we </w:t>
      </w:r>
      <w:r w:rsidRPr="00210072">
        <w:t xml:space="preserve">add to the </w:t>
      </w:r>
      <w:r w:rsidR="00835253">
        <w:t>emerging</w:t>
      </w:r>
      <w:r w:rsidRPr="00210072">
        <w:t xml:space="preserve"> literature on potential designs of a sortition </w:t>
      </w:r>
      <w:r w:rsidR="003B33C4" w:rsidRPr="00210072">
        <w:t>legisla</w:t>
      </w:r>
      <w:r w:rsidRPr="00210072">
        <w:t>ture</w:t>
      </w:r>
      <w:r w:rsidR="003B33C4" w:rsidRPr="00210072">
        <w:t xml:space="preserve">. Our proposal has the following characteristics, drawing in particular on the practice of </w:t>
      </w:r>
      <w:r w:rsidR="00E23CB5">
        <w:t>the People’s Courts and Legislative Boards</w:t>
      </w:r>
      <w:r w:rsidR="003B33C4" w:rsidRPr="00210072">
        <w:t xml:space="preserve"> in Ancient Athens and more recent experience of del</w:t>
      </w:r>
      <w:r w:rsidR="00202283">
        <w:t xml:space="preserve">iberative mini-publics: it would be </w:t>
      </w:r>
      <w:r w:rsidR="00202283" w:rsidRPr="00F40594">
        <w:rPr>
          <w:i/>
        </w:rPr>
        <w:t>responsive</w:t>
      </w:r>
      <w:r w:rsidR="00202283">
        <w:t xml:space="preserve">, draw on a </w:t>
      </w:r>
      <w:r w:rsidR="00202283" w:rsidRPr="00F40594">
        <w:rPr>
          <w:i/>
        </w:rPr>
        <w:t>wider pool of members</w:t>
      </w:r>
      <w:r w:rsidR="002353A0">
        <w:t xml:space="preserve"> and use </w:t>
      </w:r>
      <w:r w:rsidR="002353A0" w:rsidRPr="00F40594">
        <w:rPr>
          <w:i/>
        </w:rPr>
        <w:t>sortition and more rapid rotation</w:t>
      </w:r>
      <w:r w:rsidR="002353A0">
        <w:t xml:space="preserve"> to assign members to work on particular legislative issues as they emerge. Our argument is that </w:t>
      </w:r>
      <w:r w:rsidR="00F40594">
        <w:t xml:space="preserve">establishing such an assembly </w:t>
      </w:r>
      <w:r w:rsidR="002353A0">
        <w:t>should be the first goal</w:t>
      </w:r>
      <w:r w:rsidR="00F40594">
        <w:t xml:space="preserve"> of those wishing to bring sortition into the legislative branch of government as we believe it has design characteristics that will leave it less vulnerable to external interference, more capable of fulfilling its legislative function effectively and more likely to be transformative in the way that citizens perceive their role in the political process. We find this more compelling than the SLP</w:t>
      </w:r>
      <w:r w:rsidR="008514F6">
        <w:t>,</w:t>
      </w:r>
      <w:r w:rsidR="00F40594">
        <w:t xml:space="preserve"> </w:t>
      </w:r>
      <w:r w:rsidR="002C78B9">
        <w:t xml:space="preserve">even </w:t>
      </w:r>
      <w:r w:rsidR="008514F6">
        <w:t xml:space="preserve">when </w:t>
      </w:r>
      <w:r w:rsidR="002C78B9">
        <w:t>considered under favorable conditions</w:t>
      </w:r>
      <w:r w:rsidR="008514F6">
        <w:t>,</w:t>
      </w:r>
      <w:r w:rsidR="002C78B9">
        <w:t xml:space="preserve"> </w:t>
      </w:r>
      <w:r w:rsidR="00F40594">
        <w:t>and certainly more reali</w:t>
      </w:r>
      <w:r w:rsidR="00552E97">
        <w:t>stic than the full-scale system-</w:t>
      </w:r>
      <w:r w:rsidR="00F40594">
        <w:t xml:space="preserve">change </w:t>
      </w:r>
      <w:r w:rsidR="00552E97">
        <w:t>proposals</w:t>
      </w:r>
      <w:r w:rsidR="00F40594">
        <w:t xml:space="preserve"> offered by a number of sortition advocates.</w:t>
      </w:r>
    </w:p>
    <w:p w14:paraId="412C1B53" w14:textId="58C6D5C0" w:rsidR="003B33C4" w:rsidRPr="00210072" w:rsidRDefault="00F40594" w:rsidP="002F3C25">
      <w:pPr>
        <w:spacing w:after="120"/>
      </w:pPr>
      <w:r>
        <w:tab/>
        <w:t xml:space="preserve">By focusing on a responsive function for the assembly, we are not arguing that it is an elected chamber that must set the agenda, just that the agenda would be set outside the sortition </w:t>
      </w:r>
      <w:r w:rsidR="008514F6">
        <w:t>legislature</w:t>
      </w:r>
      <w:r>
        <w:t>. In the first instance, it is likely that</w:t>
      </w:r>
      <w:r w:rsidR="003B33C4" w:rsidRPr="00210072">
        <w:t xml:space="preserve"> the body would be responsive to the agenda of the electe</w:t>
      </w:r>
      <w:r w:rsidR="00A67158" w:rsidRPr="00210072">
        <w:t>d chamber and would thus play a</w:t>
      </w:r>
      <w:r w:rsidR="003B33C4" w:rsidRPr="00210072">
        <w:t xml:space="preserve"> role in overseeing and scrutinizing legislative and policy proposals from that chamber. </w:t>
      </w:r>
      <w:r w:rsidR="002C78B9">
        <w:t>T</w:t>
      </w:r>
      <w:r w:rsidR="00A67158" w:rsidRPr="00210072">
        <w:t>here are other more or less participatory ways that the agenda might be set (for example through an initiative process</w:t>
      </w:r>
      <w:r w:rsidR="00552E97">
        <w:t>)</w:t>
      </w:r>
      <w:r w:rsidR="00A67158" w:rsidRPr="00210072">
        <w:t xml:space="preserve">, but that </w:t>
      </w:r>
      <w:r w:rsidR="00A96FA6">
        <w:t xml:space="preserve">is not our primary concern </w:t>
      </w:r>
      <w:r w:rsidR="00A67158" w:rsidRPr="00210072">
        <w:t xml:space="preserve">here. Neither will we be concerned with the way in which another separate </w:t>
      </w:r>
      <w:r w:rsidR="003B33C4" w:rsidRPr="00210072">
        <w:t>s</w:t>
      </w:r>
      <w:r w:rsidR="00A67158" w:rsidRPr="00210072">
        <w:t>ortition body might</w:t>
      </w:r>
      <w:r w:rsidR="003B33C4" w:rsidRPr="00210072">
        <w:t xml:space="preserve"> be designed </w:t>
      </w:r>
      <w:r w:rsidR="00A67158" w:rsidRPr="00210072">
        <w:t>to</w:t>
      </w:r>
      <w:r w:rsidR="003B33C4" w:rsidRPr="00210072">
        <w:t xml:space="preserve"> play an agenda-setting role within the legislative institutional complex</w:t>
      </w:r>
      <w:r w:rsidR="00835253">
        <w:t>, although as we have already argued, there are reasons to believe this is a difficult design enterprise</w:t>
      </w:r>
      <w:r w:rsidR="003B33C4" w:rsidRPr="00210072">
        <w:t xml:space="preserve">. </w:t>
      </w:r>
      <w:r w:rsidR="00202283">
        <w:t>In whichever way</w:t>
      </w:r>
      <w:r w:rsidR="00A67158" w:rsidRPr="00210072">
        <w:t xml:space="preserve"> agendas are set, our contention is that this process</w:t>
      </w:r>
      <w:r w:rsidR="003B33C4" w:rsidRPr="00210072">
        <w:t xml:space="preserve"> should be separated from a sortition body that </w:t>
      </w:r>
      <w:r w:rsidR="00835253">
        <w:t xml:space="preserve">undertakes a scrutiny function in a deliberative fashion. </w:t>
      </w:r>
    </w:p>
    <w:p w14:paraId="597FBDFA" w14:textId="5CD66977" w:rsidR="00D61DE8" w:rsidRDefault="003B33C4" w:rsidP="00980593">
      <w:pPr>
        <w:spacing w:after="120"/>
      </w:pPr>
      <w:r w:rsidRPr="00210072">
        <w:tab/>
        <w:t xml:space="preserve">Second, we argue for a much wider pool of members of the </w:t>
      </w:r>
      <w:r w:rsidR="006F37E9">
        <w:t>sortition assembly. The 6,000 from which</w:t>
      </w:r>
      <w:r w:rsidRPr="00210072">
        <w:t xml:space="preserve"> the </w:t>
      </w:r>
      <w:r w:rsidR="000B03E4">
        <w:t>People’s C</w:t>
      </w:r>
      <w:r w:rsidR="00605A32">
        <w:t>ourts</w:t>
      </w:r>
      <w:r w:rsidR="000B03E4">
        <w:t xml:space="preserve"> and Legislative Boards</w:t>
      </w:r>
      <w:r w:rsidRPr="00210072">
        <w:t xml:space="preserve"> </w:t>
      </w:r>
      <w:r w:rsidR="006F37E9">
        <w:t xml:space="preserve">were selected </w:t>
      </w:r>
      <w:r w:rsidR="002C1C34">
        <w:t xml:space="preserve">in Athens </w:t>
      </w:r>
      <w:r w:rsidRPr="00210072">
        <w:t>may be a good starting point</w:t>
      </w:r>
      <w:r w:rsidR="008514F6">
        <w:t>, although the number could be higher</w:t>
      </w:r>
      <w:r w:rsidRPr="00210072">
        <w:t xml:space="preserve">. </w:t>
      </w:r>
      <w:r w:rsidR="008514F6">
        <w:t>Our preference is that service is compulsory (with</w:t>
      </w:r>
      <w:r w:rsidR="004C7FCD">
        <w:t xml:space="preserve"> exemptions for pressing issues, as in </w:t>
      </w:r>
      <w:r w:rsidR="008514F6">
        <w:t xml:space="preserve">legal juries) and legislators would be rewarded </w:t>
      </w:r>
      <w:r w:rsidR="004C7FCD">
        <w:t>generously in recognition of the significance of their role</w:t>
      </w:r>
      <w:r w:rsidR="008514F6">
        <w:t>.</w:t>
      </w:r>
      <w:r w:rsidR="004C7FCD">
        <w:t xml:space="preserve"> If compulsory service were not </w:t>
      </w:r>
      <w:r w:rsidR="00B62CF7">
        <w:t xml:space="preserve">deemed </w:t>
      </w:r>
      <w:r w:rsidR="004C7FCD">
        <w:t>acceptable, then the selection of the 6,000 would be stratified to ensu</w:t>
      </w:r>
      <w:r w:rsidR="00B62CF7">
        <w:t>re that those who accepted the invitation to participate were</w:t>
      </w:r>
      <w:r w:rsidR="004C7FCD">
        <w:t xml:space="preserve"> not biased towards particular</w:t>
      </w:r>
      <w:r w:rsidR="002315A2">
        <w:t>ly salient</w:t>
      </w:r>
      <w:r w:rsidR="004C7FCD">
        <w:t xml:space="preserve"> socio-demographic characteristics. </w:t>
      </w:r>
      <w:r w:rsidR="00D61DE8" w:rsidRPr="00210072">
        <w:t xml:space="preserve">The 6,000 </w:t>
      </w:r>
      <w:r w:rsidR="00A67158" w:rsidRPr="00210072">
        <w:t>would only meet as a body</w:t>
      </w:r>
      <w:r w:rsidR="00D61DE8" w:rsidRPr="00210072">
        <w:t xml:space="preserve"> for training purposes: to be educated about their legislative role. Following Athenian practice, a </w:t>
      </w:r>
      <w:r w:rsidR="00A67158" w:rsidRPr="00210072">
        <w:t xml:space="preserve">pool of </w:t>
      </w:r>
      <w:r w:rsidR="00D61DE8" w:rsidRPr="00210072">
        <w:t>members w</w:t>
      </w:r>
      <w:r w:rsidR="00B62CF7">
        <w:t>ould</w:t>
      </w:r>
      <w:r w:rsidR="00D61DE8" w:rsidRPr="00210072">
        <w:t xml:space="preserve"> be randomly selected </w:t>
      </w:r>
      <w:r w:rsidR="004C7FCD">
        <w:t xml:space="preserve">from this body, (again applying </w:t>
      </w:r>
      <w:r w:rsidR="008514F6">
        <w:t>stratification criteria</w:t>
      </w:r>
      <w:r w:rsidR="004C7FCD">
        <w:t xml:space="preserve"> to ensure socio-demographic diversity)</w:t>
      </w:r>
      <w:r w:rsidR="008514F6">
        <w:t xml:space="preserve"> </w:t>
      </w:r>
      <w:r w:rsidR="00D61DE8" w:rsidRPr="00210072">
        <w:t xml:space="preserve">for participation in smaller </w:t>
      </w:r>
      <w:r w:rsidR="00A67158" w:rsidRPr="00210072">
        <w:t xml:space="preserve">issue-assemblies of between </w:t>
      </w:r>
      <w:r w:rsidR="00835253">
        <w:t xml:space="preserve">say </w:t>
      </w:r>
      <w:r w:rsidR="00A67158" w:rsidRPr="00210072">
        <w:t>150</w:t>
      </w:r>
      <w:r w:rsidR="00D61DE8" w:rsidRPr="00210072">
        <w:t xml:space="preserve"> to 300, the number of which </w:t>
      </w:r>
      <w:r w:rsidR="00B62CF7">
        <w:t>is</w:t>
      </w:r>
      <w:r w:rsidR="00D61DE8" w:rsidRPr="00210072">
        <w:t xml:space="preserve"> coterminous with the various bills and policy documents that need to be dealt with. </w:t>
      </w:r>
      <w:r w:rsidR="00A67158" w:rsidRPr="00210072">
        <w:t xml:space="preserve">In the next step this pool </w:t>
      </w:r>
      <w:r w:rsidR="00D61DE8" w:rsidRPr="00210072">
        <w:t xml:space="preserve">would be further divided </w:t>
      </w:r>
      <w:r w:rsidR="00444DD5">
        <w:t xml:space="preserve">by lot </w:t>
      </w:r>
      <w:r w:rsidR="00D61DE8" w:rsidRPr="00210072">
        <w:t>according to the number of tasks. And then finally, the members would be assigned by lot to the particular issue. A formula would be needed to ascertain how long each separate assembly would need to meet, but the longest citizens’</w:t>
      </w:r>
      <w:r w:rsidR="00A67158" w:rsidRPr="00210072">
        <w:t xml:space="preserve"> assemblies that have worked on complex constitutional issues have</w:t>
      </w:r>
      <w:r w:rsidR="00D61DE8" w:rsidRPr="00210072">
        <w:t xml:space="preserve"> required </w:t>
      </w:r>
      <w:r w:rsidR="00A67158" w:rsidRPr="00210072">
        <w:t xml:space="preserve">no more than </w:t>
      </w:r>
      <w:r w:rsidR="00835253">
        <w:t>25 days in total</w:t>
      </w:r>
      <w:r w:rsidR="000A19AD">
        <w:t xml:space="preserve"> which we can call a ‘session’</w:t>
      </w:r>
      <w:r w:rsidR="00D61DE8" w:rsidRPr="00210072">
        <w:t xml:space="preserve">. </w:t>
      </w:r>
      <w:r w:rsidR="000A19AD">
        <w:t xml:space="preserve">Those who serve in any given session would be ineligible for the next session when the pool would be selected from those of the 6000 not chosen for the preceding session. </w:t>
      </w:r>
      <w:r w:rsidR="00D61DE8" w:rsidRPr="00210072">
        <w:t xml:space="preserve">The 6,000 body </w:t>
      </w:r>
      <w:r w:rsidR="00613D13" w:rsidRPr="00210072">
        <w:t>would itself be rotated on a regular basis of one to two years.</w:t>
      </w:r>
      <w:r w:rsidR="00552956">
        <w:rPr>
          <w:rStyle w:val="FootnoteReference"/>
        </w:rPr>
        <w:footnoteReference w:id="21"/>
      </w:r>
    </w:p>
    <w:p w14:paraId="546123E8" w14:textId="06AD7734" w:rsidR="006F37E9" w:rsidRDefault="00462A34" w:rsidP="00FD0A13">
      <w:pPr>
        <w:spacing w:after="120"/>
        <w:rPr>
          <w:rFonts w:cs="Times New Roman"/>
        </w:rPr>
      </w:pPr>
      <w:r>
        <w:tab/>
        <w:t>Unlike the Athenian C</w:t>
      </w:r>
      <w:r w:rsidR="00E32B00">
        <w:t>ourts</w:t>
      </w:r>
      <w:r>
        <w:t xml:space="preserve"> and Boards</w:t>
      </w:r>
      <w:r w:rsidR="00E32B00">
        <w:t xml:space="preserve">, the smaller issue-based assemblies would be </w:t>
      </w:r>
      <w:r w:rsidR="004D7144">
        <w:t>deliberative in character</w:t>
      </w:r>
      <w:r w:rsidR="00552E97">
        <w:t xml:space="preserve"> and last longer than one day</w:t>
      </w:r>
      <w:r w:rsidR="004D7144">
        <w:t xml:space="preserve">. To this end, they would work in similar ways to existing deliberative mini-publics. A central administrative organization would need to be established, </w:t>
      </w:r>
      <w:r w:rsidR="007C48F9">
        <w:t>with independence</w:t>
      </w:r>
      <w:r w:rsidR="004D7144">
        <w:t xml:space="preserve"> from government. This would be a specialist body whose role it would be to </w:t>
      </w:r>
      <w:r w:rsidR="00552E97">
        <w:t>appointment</w:t>
      </w:r>
      <w:r w:rsidR="004D7144">
        <w:t xml:space="preserve"> trained facilitators </w:t>
      </w:r>
      <w:r w:rsidR="00552E97">
        <w:t>(by lot</w:t>
      </w:r>
      <w:r w:rsidR="00A96FA6">
        <w:t xml:space="preserve"> from a pool</w:t>
      </w:r>
      <w:r w:rsidR="00552E97">
        <w:t xml:space="preserve">) for each session and an </w:t>
      </w:r>
      <w:r w:rsidR="004D7144">
        <w:t xml:space="preserve">advisory board </w:t>
      </w:r>
      <w:r w:rsidR="007C48F9">
        <w:t>to oversee the development of</w:t>
      </w:r>
      <w:r w:rsidR="00552E97">
        <w:t xml:space="preserve"> balanced</w:t>
      </w:r>
      <w:r w:rsidR="007C48F9">
        <w:t xml:space="preserve"> learning materials </w:t>
      </w:r>
      <w:r w:rsidR="00552E97">
        <w:t xml:space="preserve">and the appointment of expert witnesses </w:t>
      </w:r>
      <w:r w:rsidR="00A96FA6">
        <w:t xml:space="preserve">for each assembly </w:t>
      </w:r>
      <w:r w:rsidR="004D7144">
        <w:t xml:space="preserve">that captured the range of viewpoints and interests that surround that particular issue. </w:t>
      </w:r>
      <w:r w:rsidR="00A96FA6">
        <w:t xml:space="preserve">In designing such an administrative body, we can draw </w:t>
      </w:r>
      <w:r w:rsidR="00552E97">
        <w:t xml:space="preserve">on the </w:t>
      </w:r>
      <w:r w:rsidR="002315A2">
        <w:t xml:space="preserve">varied </w:t>
      </w:r>
      <w:r w:rsidR="00552E97">
        <w:t xml:space="preserve">experience of the small number of autonomous public </w:t>
      </w:r>
      <w:r w:rsidR="00FD0A13">
        <w:t xml:space="preserve">bodies that are charged with organizing public participation </w:t>
      </w:r>
      <w:r w:rsidR="00FD0A13" w:rsidRPr="00FD0A13">
        <w:t xml:space="preserve">such as the Tuscany Participation Authority </w:t>
      </w:r>
      <w:r w:rsidR="00FD0A13">
        <w:t>(Italy), t</w:t>
      </w:r>
      <w:r w:rsidR="00FD0A13" w:rsidRPr="00FD0A13">
        <w:rPr>
          <w:rFonts w:cs="Times New Roman"/>
        </w:rPr>
        <w:t>he National Commi</w:t>
      </w:r>
      <w:r w:rsidR="00FD0A13">
        <w:rPr>
          <w:rFonts w:cs="Times New Roman"/>
        </w:rPr>
        <w:t>ssion on Public Debate (France) and</w:t>
      </w:r>
      <w:r w:rsidR="00FD0A13" w:rsidRPr="00FD0A13">
        <w:rPr>
          <w:rFonts w:cs="Times New Roman"/>
        </w:rPr>
        <w:t xml:space="preserve"> the Quebec Environmental Public Hearings Board (Canada</w:t>
      </w:r>
      <w:r w:rsidR="00FD0A13">
        <w:rPr>
          <w:rFonts w:cs="Times New Roman"/>
        </w:rPr>
        <w:t>)</w:t>
      </w:r>
      <w:r w:rsidR="00FD0A13">
        <w:rPr>
          <w:rStyle w:val="FootnoteReference"/>
        </w:rPr>
        <w:footnoteReference w:id="22"/>
      </w:r>
      <w:r w:rsidR="00FD0A13">
        <w:rPr>
          <w:rFonts w:cs="Times New Roman"/>
        </w:rPr>
        <w:t xml:space="preserve">. While there would </w:t>
      </w:r>
      <w:r w:rsidR="00707FE7">
        <w:rPr>
          <w:rFonts w:cs="Times New Roman"/>
        </w:rPr>
        <w:t>remain a</w:t>
      </w:r>
      <w:r w:rsidR="00FD0A13">
        <w:rPr>
          <w:rFonts w:cs="Times New Roman"/>
        </w:rPr>
        <w:t xml:space="preserve"> danger of</w:t>
      </w:r>
      <w:r w:rsidR="00707FE7">
        <w:rPr>
          <w:rFonts w:cs="Times New Roman"/>
        </w:rPr>
        <w:t xml:space="preserve"> capture by technocratic or social and economic interests, the capacity of such actors to unduly influence the scrutiny process would be diluted by the random allocation of sortition legislators – and facilitators – to particular legislative sessions.</w:t>
      </w:r>
    </w:p>
    <w:p w14:paraId="5609B28B" w14:textId="129C105A" w:rsidR="004D7144" w:rsidRPr="002315A2" w:rsidRDefault="006F37E9" w:rsidP="002C1D42">
      <w:pPr>
        <w:spacing w:after="120"/>
        <w:rPr>
          <w:rFonts w:cs="Times New Roman"/>
        </w:rPr>
      </w:pPr>
      <w:r>
        <w:rPr>
          <w:rFonts w:cs="Times New Roman"/>
        </w:rPr>
        <w:tab/>
        <w:t xml:space="preserve">The final question for us to deal with is that of </w:t>
      </w:r>
      <w:r w:rsidR="00E23CB5">
        <w:rPr>
          <w:rFonts w:cs="Times New Roman"/>
        </w:rPr>
        <w:t xml:space="preserve">the </w:t>
      </w:r>
      <w:r>
        <w:rPr>
          <w:rFonts w:cs="Times New Roman"/>
        </w:rPr>
        <w:t>powers of the sortition legislature. Th</w:t>
      </w:r>
      <w:r w:rsidR="00A96FA6">
        <w:rPr>
          <w:rFonts w:cs="Times New Roman"/>
        </w:rPr>
        <w:t>ere are a number of options</w:t>
      </w:r>
      <w:r>
        <w:rPr>
          <w:rFonts w:cs="Times New Roman"/>
        </w:rPr>
        <w:t xml:space="preserve">. Let us assume initially that the sortition body is scrutinizing proposed legislation from the elected legislature. The weakest option would be delay – a mechanism for sending a piece of legislation back to the elected </w:t>
      </w:r>
      <w:r w:rsidR="00E23CB5">
        <w:rPr>
          <w:rFonts w:cs="Times New Roman"/>
        </w:rPr>
        <w:t>chamber</w:t>
      </w:r>
      <w:r>
        <w:rPr>
          <w:rFonts w:cs="Times New Roman"/>
        </w:rPr>
        <w:t xml:space="preserve"> </w:t>
      </w:r>
      <w:r w:rsidR="00E23CB5">
        <w:rPr>
          <w:rFonts w:cs="Times New Roman"/>
        </w:rPr>
        <w:t xml:space="preserve">for further consideration </w:t>
      </w:r>
      <w:r>
        <w:rPr>
          <w:rFonts w:cs="Times New Roman"/>
        </w:rPr>
        <w:t xml:space="preserve">if it was not supported by the sortition </w:t>
      </w:r>
      <w:r w:rsidR="00E23CB5">
        <w:rPr>
          <w:rFonts w:cs="Times New Roman"/>
        </w:rPr>
        <w:t>legislature</w:t>
      </w:r>
      <w:r>
        <w:rPr>
          <w:rFonts w:cs="Times New Roman"/>
        </w:rPr>
        <w:t xml:space="preserve">. But this would leave the balance of power very much with the elected </w:t>
      </w:r>
      <w:r w:rsidR="00A96FA6">
        <w:rPr>
          <w:rFonts w:cs="Times New Roman"/>
        </w:rPr>
        <w:t>body</w:t>
      </w:r>
      <w:r>
        <w:rPr>
          <w:rFonts w:cs="Times New Roman"/>
        </w:rPr>
        <w:t xml:space="preserve">. An alternative would be for a requirement of </w:t>
      </w:r>
      <w:r w:rsidR="00E23CB5">
        <w:rPr>
          <w:rFonts w:cs="Times New Roman"/>
        </w:rPr>
        <w:t xml:space="preserve">a particular level of </w:t>
      </w:r>
      <w:r>
        <w:rPr>
          <w:rFonts w:cs="Times New Roman"/>
        </w:rPr>
        <w:t xml:space="preserve">support from the sortition legislature for a </w:t>
      </w:r>
      <w:r w:rsidR="00E23CB5">
        <w:rPr>
          <w:rFonts w:cs="Times New Roman"/>
        </w:rPr>
        <w:t xml:space="preserve">bill </w:t>
      </w:r>
      <w:r>
        <w:rPr>
          <w:rFonts w:cs="Times New Roman"/>
        </w:rPr>
        <w:t xml:space="preserve">to become law. </w:t>
      </w:r>
      <w:r w:rsidR="002C1D42">
        <w:rPr>
          <w:rFonts w:cs="Times New Roman"/>
        </w:rPr>
        <w:t xml:space="preserve">It is possible to imagine a range of stipulations for how decision making might </w:t>
      </w:r>
      <w:r w:rsidR="00A96FA6">
        <w:rPr>
          <w:rFonts w:cs="Times New Roman"/>
        </w:rPr>
        <w:t>progress</w:t>
      </w:r>
      <w:r w:rsidR="002C1D42">
        <w:rPr>
          <w:rFonts w:cs="Times New Roman"/>
        </w:rPr>
        <w:t xml:space="preserve">. </w:t>
      </w:r>
      <w:r w:rsidR="00A96FA6">
        <w:rPr>
          <w:rFonts w:cs="Times New Roman"/>
        </w:rPr>
        <w:t>A</w:t>
      </w:r>
      <w:r w:rsidR="002C1D42">
        <w:rPr>
          <w:rFonts w:cs="Times New Roman"/>
        </w:rPr>
        <w:t xml:space="preserve"> simple majority </w:t>
      </w:r>
      <w:r w:rsidR="00A96FA6">
        <w:rPr>
          <w:rFonts w:cs="Times New Roman"/>
        </w:rPr>
        <w:t>might be all that is needed</w:t>
      </w:r>
      <w:r w:rsidR="002C1D42">
        <w:rPr>
          <w:rFonts w:cs="Times New Roman"/>
        </w:rPr>
        <w:t xml:space="preserve"> fo</w:t>
      </w:r>
      <w:r w:rsidR="00A96FA6">
        <w:rPr>
          <w:rFonts w:cs="Times New Roman"/>
        </w:rPr>
        <w:t>r passage of legislation; or a</w:t>
      </w:r>
      <w:r w:rsidR="002C1D42">
        <w:rPr>
          <w:rFonts w:cs="Times New Roman"/>
        </w:rPr>
        <w:t xml:space="preserve"> requirement of </w:t>
      </w:r>
      <w:r w:rsidR="00A96FA6">
        <w:rPr>
          <w:rFonts w:cs="Times New Roman"/>
        </w:rPr>
        <w:t>a super-majority</w:t>
      </w:r>
      <w:r w:rsidR="002C1D42">
        <w:rPr>
          <w:rFonts w:cs="Times New Roman"/>
        </w:rPr>
        <w:t>. For example, 60 percent support in the sortition body might be required for legislation to pass</w:t>
      </w:r>
      <w:r>
        <w:rPr>
          <w:rFonts w:cs="Times New Roman"/>
        </w:rPr>
        <w:t xml:space="preserve">, whereas </w:t>
      </w:r>
      <w:r w:rsidR="002C1D42">
        <w:rPr>
          <w:rFonts w:cs="Times New Roman"/>
        </w:rPr>
        <w:t xml:space="preserve">below 40 per cent would kill the bill. Anything in between </w:t>
      </w:r>
      <w:r>
        <w:rPr>
          <w:rFonts w:cs="Times New Roman"/>
        </w:rPr>
        <w:t>would send the legislation back to the elected body for reconsideration</w:t>
      </w:r>
      <w:r w:rsidR="002C1D42">
        <w:rPr>
          <w:rFonts w:cs="Times New Roman"/>
        </w:rPr>
        <w:t xml:space="preserve">. An ingenious alternative that would bring the wider public into the process might follow the practice at Leeds University Students Union in the UK, where if a proposal achieves 75 per cent support from the sortition body it is passed, less the 25 per cent it is rejected and between those thresholds the proposal </w:t>
      </w:r>
      <w:r w:rsidR="002315A2">
        <w:rPr>
          <w:rFonts w:cs="Times New Roman"/>
        </w:rPr>
        <w:t xml:space="preserve">is sent </w:t>
      </w:r>
      <w:r w:rsidR="002C1D42">
        <w:rPr>
          <w:rFonts w:cs="Times New Roman"/>
        </w:rPr>
        <w:t xml:space="preserve">to a binding referendum. One could also easily imagine the sortition legislature being tied to a popular </w:t>
      </w:r>
      <w:r w:rsidR="00462A34">
        <w:rPr>
          <w:rFonts w:cs="Times New Roman"/>
        </w:rPr>
        <w:t xml:space="preserve">petition </w:t>
      </w:r>
      <w:r w:rsidR="002C1D42">
        <w:rPr>
          <w:rFonts w:cs="Times New Roman"/>
        </w:rPr>
        <w:t>process that bypassed the elected chamber – a way of giving direct powers to the broader citizenry to propose new laws or suggest repeals of existing law</w:t>
      </w:r>
      <w:r w:rsidR="001E2F6A">
        <w:rPr>
          <w:rStyle w:val="FootnoteReference"/>
          <w:rFonts w:cs="Times New Roman"/>
        </w:rPr>
        <w:footnoteReference w:id="23"/>
      </w:r>
      <w:r w:rsidR="002C1D42">
        <w:rPr>
          <w:rFonts w:cs="Times New Roman"/>
        </w:rPr>
        <w:t xml:space="preserve">. A proposal would come for direct consideration by the sortition legislature and then be treated in the same way as a proposal emanating from the elected chamber. In these ways, the sortition legislature would play the role of reviewing, repealing and inspecting law </w:t>
      </w:r>
      <w:r w:rsidR="001E2F6A">
        <w:rPr>
          <w:rFonts w:cs="Times New Roman"/>
        </w:rPr>
        <w:t>not too dis</w:t>
      </w:r>
      <w:r w:rsidR="002C1D42">
        <w:rPr>
          <w:rFonts w:cs="Times New Roman"/>
        </w:rPr>
        <w:t xml:space="preserve">similar to the functions played by Athenian </w:t>
      </w:r>
      <w:r w:rsidR="003449FB">
        <w:rPr>
          <w:rFonts w:cs="Times New Roman"/>
        </w:rPr>
        <w:t>Legislative Boards.</w:t>
      </w:r>
    </w:p>
    <w:p w14:paraId="33B61A66" w14:textId="1C42FBD2" w:rsidR="00CC03F5" w:rsidRPr="00210072" w:rsidRDefault="00D61DE8" w:rsidP="00980593">
      <w:pPr>
        <w:spacing w:after="120"/>
      </w:pPr>
      <w:r w:rsidRPr="00210072">
        <w:tab/>
        <w:t xml:space="preserve"> </w:t>
      </w:r>
      <w:r w:rsidR="00613D13" w:rsidRPr="00210072">
        <w:t>We believe our formulation has a number of advantages</w:t>
      </w:r>
      <w:r w:rsidR="00A67158" w:rsidRPr="00210072">
        <w:t>. I</w:t>
      </w:r>
      <w:r w:rsidR="00613D13" w:rsidRPr="00210072">
        <w:t>n particular</w:t>
      </w:r>
      <w:r w:rsidR="00A67158" w:rsidRPr="00210072">
        <w:t>,</w:t>
      </w:r>
      <w:r w:rsidR="00613D13" w:rsidRPr="00210072">
        <w:t xml:space="preserve"> it would be protective and transformative. It is protective because the </w:t>
      </w:r>
      <w:r w:rsidR="00A67158" w:rsidRPr="00210072">
        <w:t>large number of members</w:t>
      </w:r>
      <w:r w:rsidR="00613D13" w:rsidRPr="00210072">
        <w:t xml:space="preserve"> of the body and the random allocation to issue-assemblies </w:t>
      </w:r>
      <w:r w:rsidR="00444DD5">
        <w:t xml:space="preserve">combined with the limited duration of each </w:t>
      </w:r>
      <w:r w:rsidR="00462A34">
        <w:t>session</w:t>
      </w:r>
      <w:r w:rsidR="00444DD5">
        <w:t xml:space="preserve"> </w:t>
      </w:r>
      <w:r w:rsidR="00613D13" w:rsidRPr="00210072">
        <w:t>means that it is incredibly difficult for powerful economic and social forces to affect its practice.</w:t>
      </w:r>
      <w:r w:rsidR="00444DD5">
        <w:t xml:space="preserve"> The Athenian concern to obstruct the bribery of juries by the wealthy provides a good analogy for the concerns of contemporary democracies with lobbying (and related activities) and</w:t>
      </w:r>
      <w:r w:rsidR="000E5C20">
        <w:t xml:space="preserve"> we think their approach to dealing with the problem merits serious attention.</w:t>
      </w:r>
      <w:r w:rsidR="00444DD5">
        <w:t xml:space="preserve"> </w:t>
      </w:r>
      <w:r w:rsidR="00613D13" w:rsidRPr="00210072">
        <w:t xml:space="preserve"> </w:t>
      </w:r>
      <w:r w:rsidR="003449FB">
        <w:t>Like its Athenian forebear, this</w:t>
      </w:r>
      <w:r w:rsidR="000E5C20">
        <w:t xml:space="preserve"> model</w:t>
      </w:r>
      <w:r w:rsidR="00613D13" w:rsidRPr="00210072">
        <w:t xml:space="preserve"> </w:t>
      </w:r>
      <w:r w:rsidR="000E5C20">
        <w:t xml:space="preserve">also has greater </w:t>
      </w:r>
      <w:r w:rsidR="00613D13" w:rsidRPr="00210072">
        <w:t>transformative</w:t>
      </w:r>
      <w:r w:rsidR="000E5C20">
        <w:t xml:space="preserve"> power</w:t>
      </w:r>
      <w:r w:rsidRPr="00210072">
        <w:t xml:space="preserve"> because the likelihood of </w:t>
      </w:r>
      <w:r w:rsidR="00A67158" w:rsidRPr="00210072">
        <w:t xml:space="preserve">citizens </w:t>
      </w:r>
      <w:r w:rsidRPr="00210072">
        <w:t>being called is dramatically increased</w:t>
      </w:r>
      <w:r w:rsidR="000E5C20">
        <w:t xml:space="preserve"> compared to </w:t>
      </w:r>
      <w:r w:rsidR="008E59D4">
        <w:t xml:space="preserve">the </w:t>
      </w:r>
      <w:r w:rsidR="000E5C20">
        <w:t>SLP</w:t>
      </w:r>
      <w:r w:rsidR="008E59D4">
        <w:t>. T</w:t>
      </w:r>
      <w:r w:rsidR="00960C84">
        <w:t>his transformative power would be further amplified if the proposal was adopte</w:t>
      </w:r>
      <w:r w:rsidR="008E59D4">
        <w:t>d for sub-national legislatures</w:t>
      </w:r>
      <w:r w:rsidRPr="00210072">
        <w:t>. Thus</w:t>
      </w:r>
      <w:r w:rsidR="00613D13" w:rsidRPr="00210072">
        <w:t>,</w:t>
      </w:r>
      <w:r w:rsidRPr="00210072">
        <w:t xml:space="preserve"> citizens are more likely to experience </w:t>
      </w:r>
      <w:r w:rsidR="00613D13" w:rsidRPr="00210072">
        <w:t xml:space="preserve">the practice </w:t>
      </w:r>
      <w:r w:rsidRPr="00210072">
        <w:t>of ruling and being ruled</w:t>
      </w:r>
      <w:r w:rsidR="000E5C20">
        <w:t xml:space="preserve"> in turn</w:t>
      </w:r>
      <w:r w:rsidRPr="00210072">
        <w:t>.</w:t>
      </w:r>
      <w:r w:rsidR="00613D13" w:rsidRPr="00210072">
        <w:t xml:space="preserve"> The potential for a transformative effect on civic self-understanding is enhanced.</w:t>
      </w:r>
    </w:p>
    <w:p w14:paraId="34C47A4C" w14:textId="50C36DB9" w:rsidR="00CC03F5" w:rsidRDefault="00613D13" w:rsidP="00980593">
      <w:pPr>
        <w:spacing w:after="120"/>
      </w:pPr>
      <w:r w:rsidRPr="00210072">
        <w:tab/>
        <w:t xml:space="preserve">We believe that our proposal is potentially transformative in another sense. Counterintuitively perhaps, it is utopian in its </w:t>
      </w:r>
      <w:r w:rsidR="00960C84">
        <w:t xml:space="preserve">strategic </w:t>
      </w:r>
      <w:r w:rsidRPr="00210072">
        <w:t xml:space="preserve">ambition </w:t>
      </w:r>
      <w:r w:rsidR="000E5C20">
        <w:t>of</w:t>
      </w:r>
      <w:r w:rsidRPr="00210072">
        <w:t xml:space="preserve"> being </w:t>
      </w:r>
      <w:r w:rsidR="000E5C20">
        <w:t xml:space="preserve">simply </w:t>
      </w:r>
      <w:r w:rsidRPr="00210072">
        <w:t xml:space="preserve">a first step to more radical change in the democratic ecology through the application of sortition and associated mechanisms. Why so? </w:t>
      </w:r>
      <w:r w:rsidR="0019441A">
        <w:t xml:space="preserve">In adopting a more prudent approach grounded in historical and contemporary democratic experience, </w:t>
      </w:r>
      <w:r w:rsidR="002315A2">
        <w:t>our proposal</w:t>
      </w:r>
      <w:r w:rsidRPr="00210072">
        <w:t xml:space="preserve"> lessens the risk of damage to the reputation of sortition and citizen participation in the legislative process and</w:t>
      </w:r>
      <w:r w:rsidR="000E5C20">
        <w:t>,</w:t>
      </w:r>
      <w:r w:rsidRPr="00210072">
        <w:t xml:space="preserve"> as such</w:t>
      </w:r>
      <w:r w:rsidR="000E5C20">
        <w:t>,</w:t>
      </w:r>
      <w:r w:rsidRPr="00210072">
        <w:t xml:space="preserve"> can be a strong</w:t>
      </w:r>
      <w:r w:rsidR="000E5C20">
        <w:t>er</w:t>
      </w:r>
      <w:r w:rsidRPr="00210072">
        <w:t xml:space="preserve"> basis on which to develop the </w:t>
      </w:r>
      <w:r w:rsidR="000E5C20">
        <w:t xml:space="preserve">civic </w:t>
      </w:r>
      <w:r w:rsidRPr="00210072">
        <w:t xml:space="preserve">consciousness </w:t>
      </w:r>
      <w:r w:rsidR="000E5C20">
        <w:t xml:space="preserve">and political practices </w:t>
      </w:r>
      <w:r w:rsidRPr="00210072">
        <w:t xml:space="preserve">necessary for a more radical reshaping of democratic institutions </w:t>
      </w:r>
      <w:r w:rsidR="00CC03F5" w:rsidRPr="00210072">
        <w:t>with a strong sortition dimension.</w:t>
      </w:r>
    </w:p>
    <w:p w14:paraId="3DB65AB1" w14:textId="77777777" w:rsidR="009335A5" w:rsidRPr="00210072" w:rsidRDefault="009335A5" w:rsidP="00980593">
      <w:pPr>
        <w:spacing w:after="120"/>
      </w:pPr>
    </w:p>
    <w:sectPr w:rsidR="009335A5" w:rsidRPr="00210072" w:rsidSect="00DC6B4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B120E" w14:textId="77777777" w:rsidR="00271D9F" w:rsidRDefault="00271D9F" w:rsidP="00CC03F5">
      <w:r>
        <w:separator/>
      </w:r>
    </w:p>
  </w:endnote>
  <w:endnote w:type="continuationSeparator" w:id="0">
    <w:p w14:paraId="6B4FE27E" w14:textId="77777777" w:rsidR="00271D9F" w:rsidRDefault="00271D9F" w:rsidP="00CC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ple Symbols">
    <w:charset w:val="00"/>
    <w:family w:val="auto"/>
    <w:pitch w:val="variable"/>
    <w:sig w:usb0="800000A3" w:usb1="08007BEB" w:usb2="01840034" w:usb3="00000000" w:csb0="000001FB"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C4808" w14:textId="77777777" w:rsidR="009962BB" w:rsidRDefault="009962BB" w:rsidP="009962B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FE2774" w14:textId="77777777" w:rsidR="009962BB" w:rsidRDefault="009962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5D2A2" w14:textId="77777777" w:rsidR="009962BB" w:rsidRDefault="009962BB" w:rsidP="009962B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5625">
      <w:rPr>
        <w:rStyle w:val="PageNumber"/>
        <w:noProof/>
      </w:rPr>
      <w:t>1</w:t>
    </w:r>
    <w:r>
      <w:rPr>
        <w:rStyle w:val="PageNumber"/>
      </w:rPr>
      <w:fldChar w:fldCharType="end"/>
    </w:r>
  </w:p>
  <w:p w14:paraId="05F4E22F" w14:textId="77777777" w:rsidR="009962BB" w:rsidRDefault="009962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25080" w14:textId="77777777" w:rsidR="00271D9F" w:rsidRDefault="00271D9F" w:rsidP="00CC03F5">
      <w:r>
        <w:separator/>
      </w:r>
    </w:p>
  </w:footnote>
  <w:footnote w:type="continuationSeparator" w:id="0">
    <w:p w14:paraId="3B0D4890" w14:textId="77777777" w:rsidR="00271D9F" w:rsidRDefault="00271D9F" w:rsidP="00CC03F5">
      <w:r>
        <w:continuationSeparator/>
      </w:r>
    </w:p>
  </w:footnote>
  <w:footnote w:id="1">
    <w:p w14:paraId="465C48C3" w14:textId="5BB4F5EA" w:rsidR="009962BB" w:rsidRPr="004A495E" w:rsidRDefault="009962BB" w:rsidP="00B6095B">
      <w:pPr>
        <w:pStyle w:val="FootnoteText"/>
        <w:rPr>
          <w:sz w:val="20"/>
          <w:szCs w:val="20"/>
        </w:rPr>
      </w:pPr>
      <w:r w:rsidRPr="004A495E">
        <w:rPr>
          <w:rStyle w:val="FootnoteReference"/>
          <w:sz w:val="20"/>
          <w:szCs w:val="20"/>
        </w:rPr>
        <w:footnoteRef/>
      </w:r>
      <w:r w:rsidRPr="004A495E">
        <w:rPr>
          <w:sz w:val="20"/>
          <w:szCs w:val="20"/>
        </w:rPr>
        <w:t xml:space="preserve"> </w:t>
      </w:r>
      <w:r>
        <w:rPr>
          <w:sz w:val="20"/>
          <w:szCs w:val="20"/>
        </w:rPr>
        <w:t xml:space="preserve">We recognize that there are other significant historical periods of the use of sortition – in particular the Renaissance republicanism of Italian cities such as Venice and </w:t>
      </w:r>
      <w:r w:rsidRPr="00B6095B">
        <w:rPr>
          <w:sz w:val="20"/>
          <w:szCs w:val="20"/>
        </w:rPr>
        <w:t>F</w:t>
      </w:r>
      <w:r>
        <w:rPr>
          <w:sz w:val="20"/>
          <w:szCs w:val="20"/>
        </w:rPr>
        <w:t xml:space="preserve">lorence in the thirteenth and fourteenth centuries and </w:t>
      </w:r>
      <w:r w:rsidRPr="004A495E">
        <w:rPr>
          <w:sz w:val="20"/>
          <w:szCs w:val="20"/>
        </w:rPr>
        <w:t>under the Crown of Aragon</w:t>
      </w:r>
      <w:r>
        <w:rPr>
          <w:sz w:val="20"/>
          <w:szCs w:val="20"/>
        </w:rPr>
        <w:t xml:space="preserve">. In these periods, sortition is primarily utilised for the selection of major and minor offices rather than assemblies, so will not concern us here beyond a recognition that sortition was introduced primarily as a defence against faction and unstable coalitions and thus has some resonances with Athenian practice. For a discussion of the historical circumstances of sortition, see for example, </w:t>
      </w:r>
      <w:r w:rsidRPr="00642064">
        <w:rPr>
          <w:sz w:val="20"/>
          <w:szCs w:val="20"/>
        </w:rPr>
        <w:t xml:space="preserve">Morgens Herman Hansen, </w:t>
      </w:r>
      <w:r w:rsidRPr="00642064">
        <w:rPr>
          <w:i/>
          <w:sz w:val="20"/>
          <w:szCs w:val="20"/>
        </w:rPr>
        <w:t>The Athenian Democracy in the Age of Demosthenes</w:t>
      </w:r>
      <w:r w:rsidRPr="00642064">
        <w:rPr>
          <w:sz w:val="20"/>
          <w:szCs w:val="20"/>
        </w:rPr>
        <w:t xml:space="preserve"> (Oxford, Blackwell, 1991)</w:t>
      </w:r>
      <w:r w:rsidR="00462A34">
        <w:rPr>
          <w:sz w:val="20"/>
          <w:szCs w:val="20"/>
        </w:rPr>
        <w:t>,</w:t>
      </w:r>
      <w:r>
        <w:rPr>
          <w:sz w:val="20"/>
          <w:szCs w:val="20"/>
        </w:rPr>
        <w:t xml:space="preserve"> </w:t>
      </w:r>
      <w:r w:rsidRPr="004A495E">
        <w:rPr>
          <w:sz w:val="20"/>
          <w:szCs w:val="20"/>
        </w:rPr>
        <w:t xml:space="preserve">Oliver Dowlen </w:t>
      </w:r>
      <w:r w:rsidRPr="004A495E">
        <w:rPr>
          <w:i/>
          <w:sz w:val="20"/>
          <w:szCs w:val="20"/>
        </w:rPr>
        <w:t>The Political Potential of Sortition</w:t>
      </w:r>
      <w:r w:rsidRPr="004A495E">
        <w:rPr>
          <w:sz w:val="20"/>
          <w:szCs w:val="20"/>
        </w:rPr>
        <w:t xml:space="preserve"> (Exeter, Imprint Academic, 2008) and Yves Sintomer, </w:t>
      </w:r>
      <w:r w:rsidRPr="004A495E">
        <w:rPr>
          <w:i/>
          <w:sz w:val="20"/>
          <w:szCs w:val="20"/>
        </w:rPr>
        <w:t xml:space="preserve">From Radical to Deliberative Democracy? Random Selection in Politics from Athens to the </w:t>
      </w:r>
      <w:r w:rsidRPr="00EB1D94">
        <w:rPr>
          <w:i/>
          <w:sz w:val="20"/>
          <w:szCs w:val="20"/>
        </w:rPr>
        <w:t>Present</w:t>
      </w:r>
      <w:r w:rsidRPr="004A495E">
        <w:rPr>
          <w:sz w:val="20"/>
          <w:szCs w:val="20"/>
        </w:rPr>
        <w:t xml:space="preserve"> (manuscript, 2017), originally published as </w:t>
      </w:r>
      <w:r w:rsidRPr="00022FAD">
        <w:rPr>
          <w:rFonts w:eastAsia="Times New Roman" w:cs="Times New Roman"/>
          <w:i/>
          <w:iCs/>
          <w:sz w:val="20"/>
          <w:szCs w:val="20"/>
        </w:rPr>
        <w:t>Petite histoire de l'expérimentation démocratique. Tirage au sort et politique d'Athènes à nos jours</w:t>
      </w:r>
      <w:r w:rsidRPr="00022FAD">
        <w:rPr>
          <w:rFonts w:eastAsia="Times New Roman" w:cs="Times New Roman"/>
          <w:sz w:val="20"/>
          <w:szCs w:val="20"/>
        </w:rPr>
        <w:t xml:space="preserve">, </w:t>
      </w:r>
      <w:r w:rsidRPr="004A495E">
        <w:rPr>
          <w:rFonts w:eastAsia="Times New Roman" w:cs="Times New Roman"/>
          <w:sz w:val="20"/>
          <w:szCs w:val="20"/>
        </w:rPr>
        <w:t>(La Découverte, Serie ‘Poches’</w:t>
      </w:r>
      <w:r w:rsidRPr="00022FAD">
        <w:rPr>
          <w:rFonts w:eastAsia="Times New Roman" w:cs="Times New Roman"/>
          <w:sz w:val="20"/>
          <w:szCs w:val="20"/>
        </w:rPr>
        <w:t>, Paris, 2011</w:t>
      </w:r>
      <w:r w:rsidRPr="004A495E">
        <w:rPr>
          <w:rFonts w:eastAsia="Times New Roman" w:cs="Times New Roman"/>
          <w:sz w:val="20"/>
          <w:szCs w:val="20"/>
        </w:rPr>
        <w:t>)</w:t>
      </w:r>
      <w:r>
        <w:rPr>
          <w:sz w:val="20"/>
          <w:szCs w:val="20"/>
        </w:rPr>
        <w:t>.</w:t>
      </w:r>
      <w:r w:rsidR="00380F53">
        <w:rPr>
          <w:sz w:val="20"/>
          <w:szCs w:val="20"/>
        </w:rPr>
        <w:t xml:space="preserve"> Our reconstruction of the institutions of Athenian democracy that follows draws on these texts.</w:t>
      </w:r>
    </w:p>
  </w:footnote>
  <w:footnote w:id="2">
    <w:p w14:paraId="7515772A" w14:textId="3FF31BAE" w:rsidR="009962BB" w:rsidRPr="004A495E" w:rsidRDefault="009962BB">
      <w:pPr>
        <w:pStyle w:val="FootnoteText"/>
        <w:rPr>
          <w:sz w:val="20"/>
          <w:szCs w:val="20"/>
        </w:rPr>
      </w:pPr>
      <w:r w:rsidRPr="004A495E">
        <w:rPr>
          <w:rStyle w:val="FootnoteReference"/>
          <w:sz w:val="20"/>
          <w:szCs w:val="20"/>
        </w:rPr>
        <w:footnoteRef/>
      </w:r>
      <w:r w:rsidRPr="004A495E">
        <w:rPr>
          <w:sz w:val="20"/>
          <w:szCs w:val="20"/>
        </w:rPr>
        <w:t xml:space="preserve"> Dowlen </w:t>
      </w:r>
      <w:r w:rsidRPr="004A495E">
        <w:rPr>
          <w:i/>
          <w:sz w:val="20"/>
          <w:szCs w:val="20"/>
        </w:rPr>
        <w:t>The Political Potential of Sortition</w:t>
      </w:r>
      <w:r w:rsidRPr="004A495E">
        <w:rPr>
          <w:sz w:val="20"/>
          <w:szCs w:val="20"/>
        </w:rPr>
        <w:t>, p.228.</w:t>
      </w:r>
    </w:p>
  </w:footnote>
  <w:footnote w:id="3">
    <w:p w14:paraId="2A7DB1F7" w14:textId="7558D157" w:rsidR="009962BB" w:rsidRPr="004A495E" w:rsidRDefault="009962BB" w:rsidP="00E81070">
      <w:pPr>
        <w:rPr>
          <w:rFonts w:eastAsia="Times New Roman" w:cs="Times New Roman"/>
          <w:sz w:val="20"/>
          <w:szCs w:val="20"/>
        </w:rPr>
      </w:pPr>
      <w:r w:rsidRPr="004A495E">
        <w:rPr>
          <w:rStyle w:val="FootnoteReference"/>
          <w:sz w:val="20"/>
          <w:szCs w:val="20"/>
        </w:rPr>
        <w:footnoteRef/>
      </w:r>
      <w:r w:rsidRPr="004A495E">
        <w:rPr>
          <w:sz w:val="20"/>
          <w:szCs w:val="20"/>
        </w:rPr>
        <w:t xml:space="preserve"> Graham Smith, Democratic Innovations: Designing Institutions for Citizen Participation (Cambridge, Cambridge University Press, 2009),</w:t>
      </w:r>
      <w:r>
        <w:rPr>
          <w:sz w:val="20"/>
          <w:szCs w:val="20"/>
        </w:rPr>
        <w:t xml:space="preserve"> pp.72-110;</w:t>
      </w:r>
      <w:r w:rsidRPr="004A495E">
        <w:rPr>
          <w:sz w:val="20"/>
          <w:szCs w:val="20"/>
        </w:rPr>
        <w:t xml:space="preserve"> </w:t>
      </w:r>
      <w:r w:rsidRPr="004A495E">
        <w:rPr>
          <w:rFonts w:eastAsia="Times New Roman" w:cs="Times New Roman"/>
          <w:sz w:val="20"/>
          <w:szCs w:val="20"/>
        </w:rPr>
        <w:t xml:space="preserve">Kimmo Grönlund André Bächtiger Maija Setälä (eds), </w:t>
      </w:r>
      <w:r w:rsidRPr="004A495E">
        <w:rPr>
          <w:rFonts w:eastAsia="Times New Roman" w:cs="Times New Roman"/>
          <w:i/>
          <w:sz w:val="20"/>
          <w:szCs w:val="20"/>
        </w:rPr>
        <w:t>Deliberative Mini-Publics: Involving Citizens in the Democratic Process</w:t>
      </w:r>
      <w:r>
        <w:rPr>
          <w:rFonts w:eastAsia="Times New Roman" w:cs="Times New Roman"/>
          <w:sz w:val="20"/>
          <w:szCs w:val="20"/>
        </w:rPr>
        <w:t xml:space="preserve"> (Colchester, ECPR Press, 2014);</w:t>
      </w:r>
      <w:r w:rsidRPr="004A495E">
        <w:rPr>
          <w:rFonts w:eastAsia="Times New Roman" w:cs="Times New Roman"/>
          <w:sz w:val="20"/>
          <w:szCs w:val="20"/>
        </w:rPr>
        <w:t xml:space="preserve"> </w:t>
      </w:r>
      <w:r w:rsidRPr="004A495E">
        <w:rPr>
          <w:rFonts w:cs="Apple Symbols"/>
          <w:sz w:val="20"/>
          <w:szCs w:val="20"/>
        </w:rPr>
        <w:t>Maija Set</w:t>
      </w:r>
      <w:r w:rsidRPr="004A495E">
        <w:rPr>
          <w:sz w:val="20"/>
          <w:szCs w:val="20"/>
        </w:rPr>
        <w:t>ä</w:t>
      </w:r>
      <w:r w:rsidRPr="004A495E">
        <w:rPr>
          <w:rFonts w:cs="Apple Symbols"/>
          <w:sz w:val="20"/>
          <w:szCs w:val="20"/>
        </w:rPr>
        <w:t>l</w:t>
      </w:r>
      <w:r w:rsidRPr="004A495E">
        <w:rPr>
          <w:sz w:val="20"/>
          <w:szCs w:val="20"/>
        </w:rPr>
        <w:t>ä</w:t>
      </w:r>
      <w:r w:rsidRPr="004A495E">
        <w:rPr>
          <w:rFonts w:cs="Apple Symbols"/>
          <w:sz w:val="20"/>
          <w:szCs w:val="20"/>
        </w:rPr>
        <w:t xml:space="preserve"> and Graham Smith, ‘Mini-publics and deliberative democracy’, in </w:t>
      </w:r>
      <w:r w:rsidRPr="004A495E">
        <w:rPr>
          <w:color w:val="000000"/>
          <w:sz w:val="20"/>
          <w:szCs w:val="20"/>
          <w:lang w:val="de-DE"/>
        </w:rPr>
        <w:t>André Bächtiger</w:t>
      </w:r>
      <w:r w:rsidR="00A12771">
        <w:rPr>
          <w:rFonts w:cs="Apple Symbols"/>
          <w:sz w:val="20"/>
          <w:szCs w:val="20"/>
        </w:rPr>
        <w:t>, John Dryzek, Jane Mansbridge and Mark E. Warren</w:t>
      </w:r>
      <w:r w:rsidRPr="004A495E">
        <w:rPr>
          <w:rFonts w:cs="Apple Symbols"/>
          <w:sz w:val="20"/>
          <w:szCs w:val="20"/>
        </w:rPr>
        <w:t xml:space="preserve"> (eds),</w:t>
      </w:r>
      <w:r w:rsidRPr="004A495E">
        <w:rPr>
          <w:rFonts w:cs="Apple Symbols"/>
          <w:i/>
          <w:sz w:val="20"/>
          <w:szCs w:val="20"/>
        </w:rPr>
        <w:t xml:space="preserve"> Oxford Handbook of Deliberative Democracy</w:t>
      </w:r>
      <w:r w:rsidRPr="004A495E">
        <w:rPr>
          <w:rFonts w:cs="Apple Symbols"/>
          <w:sz w:val="20"/>
          <w:szCs w:val="20"/>
        </w:rPr>
        <w:t xml:space="preserve"> (Oxford University Press, 2017).</w:t>
      </w:r>
    </w:p>
  </w:footnote>
  <w:footnote w:id="4">
    <w:p w14:paraId="26E49C6E" w14:textId="231B83A5" w:rsidR="009962BB" w:rsidRPr="007D15F3" w:rsidRDefault="009962BB">
      <w:pPr>
        <w:pStyle w:val="FootnoteText"/>
        <w:rPr>
          <w:sz w:val="20"/>
          <w:szCs w:val="20"/>
        </w:rPr>
      </w:pPr>
      <w:r w:rsidRPr="007D15F3">
        <w:rPr>
          <w:rStyle w:val="FootnoteReference"/>
          <w:sz w:val="20"/>
          <w:szCs w:val="20"/>
        </w:rPr>
        <w:footnoteRef/>
      </w:r>
      <w:r w:rsidRPr="007D15F3">
        <w:rPr>
          <w:sz w:val="20"/>
          <w:szCs w:val="20"/>
        </w:rPr>
        <w:t xml:space="preserve"> James S. Fishkin, </w:t>
      </w:r>
      <w:r w:rsidRPr="007D15F3">
        <w:rPr>
          <w:i/>
          <w:sz w:val="20"/>
          <w:szCs w:val="20"/>
        </w:rPr>
        <w:t>The Voice of the People</w:t>
      </w:r>
      <w:r w:rsidRPr="007D15F3">
        <w:rPr>
          <w:sz w:val="20"/>
          <w:szCs w:val="20"/>
        </w:rPr>
        <w:t xml:space="preserve"> (Durham, Duke University Press, 2007).</w:t>
      </w:r>
      <w:r w:rsidR="00A12771">
        <w:rPr>
          <w:sz w:val="20"/>
          <w:szCs w:val="20"/>
        </w:rPr>
        <w:t xml:space="preserve"> In </w:t>
      </w:r>
      <w:r w:rsidR="00A12771" w:rsidRPr="004A495E">
        <w:rPr>
          <w:i/>
          <w:sz w:val="20"/>
          <w:szCs w:val="20"/>
        </w:rPr>
        <w:t>From Radical to Deliberative Democracy?</w:t>
      </w:r>
      <w:r w:rsidR="00A12771">
        <w:rPr>
          <w:i/>
          <w:sz w:val="20"/>
          <w:szCs w:val="20"/>
        </w:rPr>
        <w:t xml:space="preserve">, </w:t>
      </w:r>
      <w:r w:rsidR="00A12771">
        <w:rPr>
          <w:sz w:val="20"/>
          <w:szCs w:val="20"/>
        </w:rPr>
        <w:t>Yves Sintomer points out that the Greeks did not have access to ideas about probability sampling and thus the generation of random samples and the idea of counterfactual judgements was not part of their understanding of sortition bodies.</w:t>
      </w:r>
    </w:p>
  </w:footnote>
  <w:footnote w:id="5">
    <w:p w14:paraId="3F2301F0" w14:textId="10B8A796" w:rsidR="009962BB" w:rsidRPr="007D15F3" w:rsidRDefault="009962BB">
      <w:pPr>
        <w:pStyle w:val="FootnoteText"/>
        <w:rPr>
          <w:sz w:val="20"/>
          <w:szCs w:val="20"/>
        </w:rPr>
      </w:pPr>
      <w:r w:rsidRPr="007D15F3">
        <w:rPr>
          <w:rStyle w:val="FootnoteReference"/>
          <w:sz w:val="20"/>
          <w:szCs w:val="20"/>
        </w:rPr>
        <w:footnoteRef/>
      </w:r>
      <w:r w:rsidRPr="007D15F3">
        <w:rPr>
          <w:sz w:val="20"/>
          <w:szCs w:val="20"/>
        </w:rPr>
        <w:t xml:space="preserve"> Simone Chambers, 'Behind Closed Doors: Publicity, Secrecy, and the Quality of Deliberation', </w:t>
      </w:r>
      <w:r w:rsidRPr="007D15F3">
        <w:rPr>
          <w:i/>
          <w:sz w:val="20"/>
          <w:szCs w:val="20"/>
        </w:rPr>
        <w:t>The Journal of Political Philosophy</w:t>
      </w:r>
      <w:r w:rsidRPr="007D15F3">
        <w:rPr>
          <w:sz w:val="20"/>
          <w:szCs w:val="20"/>
        </w:rPr>
        <w:t xml:space="preserve"> 12 (2004): 289-410</w:t>
      </w:r>
    </w:p>
  </w:footnote>
  <w:footnote w:id="6">
    <w:p w14:paraId="79839DCE" w14:textId="0791B77F" w:rsidR="009962BB" w:rsidRPr="004A495E" w:rsidRDefault="009962BB">
      <w:pPr>
        <w:pStyle w:val="FootnoteText"/>
        <w:rPr>
          <w:sz w:val="20"/>
          <w:szCs w:val="20"/>
        </w:rPr>
      </w:pPr>
      <w:r w:rsidRPr="004A495E">
        <w:rPr>
          <w:rStyle w:val="FootnoteReference"/>
          <w:sz w:val="20"/>
          <w:szCs w:val="20"/>
        </w:rPr>
        <w:footnoteRef/>
      </w:r>
      <w:r w:rsidRPr="004A495E">
        <w:rPr>
          <w:sz w:val="20"/>
          <w:szCs w:val="20"/>
        </w:rPr>
        <w:t xml:space="preserve"> </w:t>
      </w:r>
      <w:r w:rsidRPr="004A495E">
        <w:rPr>
          <w:rFonts w:cs="Apple Symbols"/>
          <w:sz w:val="20"/>
          <w:szCs w:val="20"/>
          <w:lang w:val="en-US"/>
        </w:rPr>
        <w:t>Set</w:t>
      </w:r>
      <w:r w:rsidRPr="004A495E">
        <w:rPr>
          <w:rFonts w:cs="Times New Roman"/>
          <w:sz w:val="20"/>
          <w:szCs w:val="20"/>
          <w:lang w:val="en-US"/>
        </w:rPr>
        <w:t>ä</w:t>
      </w:r>
      <w:r w:rsidRPr="004A495E">
        <w:rPr>
          <w:rFonts w:cs="Apple Symbols"/>
          <w:sz w:val="20"/>
          <w:szCs w:val="20"/>
          <w:lang w:val="en-US"/>
        </w:rPr>
        <w:t>l</w:t>
      </w:r>
      <w:r w:rsidRPr="004A495E">
        <w:rPr>
          <w:rFonts w:cs="Times New Roman"/>
          <w:sz w:val="20"/>
          <w:szCs w:val="20"/>
          <w:lang w:val="en-US"/>
        </w:rPr>
        <w:t>ä and Smith, ‘Mini-Publics and Deliberative Democracy’.</w:t>
      </w:r>
    </w:p>
  </w:footnote>
  <w:footnote w:id="7">
    <w:p w14:paraId="35007DE2" w14:textId="35302315" w:rsidR="009962BB" w:rsidRPr="004A495E" w:rsidRDefault="009962BB" w:rsidP="000E4A76">
      <w:pPr>
        <w:pStyle w:val="FootnoteText"/>
        <w:rPr>
          <w:sz w:val="20"/>
          <w:szCs w:val="20"/>
        </w:rPr>
      </w:pPr>
      <w:r w:rsidRPr="004A495E">
        <w:rPr>
          <w:rStyle w:val="FootnoteReference"/>
          <w:sz w:val="20"/>
          <w:szCs w:val="20"/>
        </w:rPr>
        <w:footnoteRef/>
      </w:r>
      <w:r w:rsidRPr="004A495E">
        <w:rPr>
          <w:sz w:val="20"/>
          <w:szCs w:val="20"/>
        </w:rPr>
        <w:t xml:space="preserve"> Mark Warren and John Gastil, John, ‘Can Deliberative Minipublics Address the Cognitive Challenges of Democratic Citizenship?’ </w:t>
      </w:r>
      <w:r w:rsidRPr="004A495E">
        <w:rPr>
          <w:i/>
          <w:sz w:val="20"/>
          <w:szCs w:val="20"/>
        </w:rPr>
        <w:t>The Journal of Politics,</w:t>
      </w:r>
      <w:r w:rsidRPr="004A495E">
        <w:rPr>
          <w:sz w:val="20"/>
          <w:szCs w:val="20"/>
        </w:rPr>
        <w:t xml:space="preserve"> 77, 2 (2015): 582-574</w:t>
      </w:r>
      <w:r w:rsidR="007D15F3">
        <w:rPr>
          <w:sz w:val="20"/>
          <w:szCs w:val="20"/>
        </w:rPr>
        <w:t>.</w:t>
      </w:r>
    </w:p>
  </w:footnote>
  <w:footnote w:id="8">
    <w:p w14:paraId="01BC5D59" w14:textId="38B464B6" w:rsidR="009962BB" w:rsidRPr="004A495E" w:rsidRDefault="009962BB">
      <w:pPr>
        <w:pStyle w:val="FootnoteText"/>
        <w:rPr>
          <w:sz w:val="20"/>
          <w:szCs w:val="20"/>
        </w:rPr>
      </w:pPr>
      <w:r w:rsidRPr="004A495E">
        <w:rPr>
          <w:rStyle w:val="FootnoteReference"/>
          <w:sz w:val="20"/>
          <w:szCs w:val="20"/>
        </w:rPr>
        <w:footnoteRef/>
      </w:r>
      <w:r w:rsidRPr="004A495E">
        <w:rPr>
          <w:sz w:val="20"/>
          <w:szCs w:val="20"/>
        </w:rPr>
        <w:t xml:space="preserve"> Michael A. </w:t>
      </w:r>
      <w:r w:rsidRPr="004A495E">
        <w:rPr>
          <w:rFonts w:cs="Apple Symbols"/>
          <w:sz w:val="20"/>
          <w:szCs w:val="20"/>
        </w:rPr>
        <w:t xml:space="preserve">Neblo, </w:t>
      </w:r>
      <w:r w:rsidRPr="004A495E">
        <w:rPr>
          <w:rFonts w:cs="Apple Symbols"/>
          <w:i/>
          <w:sz w:val="20"/>
          <w:szCs w:val="20"/>
        </w:rPr>
        <w:t xml:space="preserve">Deliberative Democracy between Theory and Practice </w:t>
      </w:r>
      <w:r w:rsidRPr="004A495E">
        <w:rPr>
          <w:rFonts w:cs="Apple Symbols"/>
          <w:sz w:val="20"/>
          <w:szCs w:val="20"/>
        </w:rPr>
        <w:t xml:space="preserve">(Cambridge: Cambridge University Press, 2015), p.181; see also Yanis Papadopoulos, ‘On the embeddedness of deliberative systems: Why elistist innovations matter more.’, in John Parkinson and Jane Mansbridge (eds.) </w:t>
      </w:r>
      <w:r w:rsidRPr="004A495E">
        <w:rPr>
          <w:rFonts w:cs="Apple Symbols"/>
          <w:i/>
          <w:sz w:val="20"/>
          <w:szCs w:val="20"/>
        </w:rPr>
        <w:t>Deliberative systems</w:t>
      </w:r>
      <w:r w:rsidRPr="004A495E">
        <w:rPr>
          <w:rFonts w:cs="Apple Symbols"/>
          <w:sz w:val="20"/>
          <w:szCs w:val="20"/>
        </w:rPr>
        <w:t xml:space="preserve"> (Cambridge: Cambridge University Press, 2012), pp. 125-150.</w:t>
      </w:r>
    </w:p>
  </w:footnote>
  <w:footnote w:id="9">
    <w:p w14:paraId="1B0E5A11" w14:textId="57FBD5F3" w:rsidR="009962BB" w:rsidRPr="004A495E" w:rsidRDefault="009962BB">
      <w:pPr>
        <w:pStyle w:val="FootnoteText"/>
        <w:rPr>
          <w:sz w:val="20"/>
          <w:szCs w:val="20"/>
        </w:rPr>
      </w:pPr>
      <w:r w:rsidRPr="004A495E">
        <w:rPr>
          <w:rStyle w:val="FootnoteReference"/>
          <w:sz w:val="20"/>
          <w:szCs w:val="20"/>
        </w:rPr>
        <w:footnoteRef/>
      </w:r>
      <w:r w:rsidRPr="004A495E">
        <w:rPr>
          <w:sz w:val="20"/>
          <w:szCs w:val="20"/>
        </w:rPr>
        <w:t xml:space="preserve"> In the analysis that follows we consider a simple legislative assembly and avoid discussion of the UK case in which government ministers are drawn from both legislative assemblies. This would add a further level of complexity to the analysis and is not covered in the SLP.</w:t>
      </w:r>
    </w:p>
  </w:footnote>
  <w:footnote w:id="10">
    <w:p w14:paraId="0AFBCC8F" w14:textId="77777777" w:rsidR="009962BB" w:rsidRPr="004A495E" w:rsidRDefault="009962BB" w:rsidP="006D132C">
      <w:pPr>
        <w:pStyle w:val="p1"/>
        <w:rPr>
          <w:rFonts w:asciiTheme="minorHAnsi" w:hAnsiTheme="minorHAnsi"/>
          <w:sz w:val="20"/>
          <w:szCs w:val="20"/>
        </w:rPr>
      </w:pPr>
      <w:r w:rsidRPr="004A495E">
        <w:rPr>
          <w:rStyle w:val="FootnoteReference"/>
          <w:rFonts w:asciiTheme="minorHAnsi" w:hAnsiTheme="minorHAnsi"/>
          <w:sz w:val="20"/>
          <w:szCs w:val="20"/>
        </w:rPr>
        <w:footnoteRef/>
      </w:r>
      <w:r w:rsidRPr="004A495E">
        <w:rPr>
          <w:rFonts w:asciiTheme="minorHAnsi" w:hAnsiTheme="minorHAnsi"/>
          <w:sz w:val="20"/>
          <w:szCs w:val="20"/>
        </w:rPr>
        <w:t xml:space="preserve"> John Gastil and Erik Olin Wright</w:t>
      </w:r>
      <w:r w:rsidRPr="004A495E">
        <w:rPr>
          <w:rStyle w:val="apple-converted-space"/>
          <w:rFonts w:asciiTheme="minorHAnsi" w:hAnsiTheme="minorHAnsi"/>
          <w:sz w:val="20"/>
          <w:szCs w:val="20"/>
        </w:rPr>
        <w:t>, ‘Legislature by Lot’ (manuscript, 2017), p.17.</w:t>
      </w:r>
    </w:p>
  </w:footnote>
  <w:footnote w:id="11">
    <w:p w14:paraId="2A18DB77" w14:textId="0374B94E" w:rsidR="009962BB" w:rsidRPr="004A495E" w:rsidRDefault="009962BB">
      <w:pPr>
        <w:pStyle w:val="FootnoteText"/>
        <w:rPr>
          <w:sz w:val="20"/>
          <w:szCs w:val="20"/>
        </w:rPr>
      </w:pPr>
      <w:r w:rsidRPr="004A495E">
        <w:rPr>
          <w:rStyle w:val="FootnoteReference"/>
          <w:sz w:val="20"/>
          <w:szCs w:val="20"/>
        </w:rPr>
        <w:footnoteRef/>
      </w:r>
      <w:r w:rsidRPr="004A495E">
        <w:rPr>
          <w:sz w:val="20"/>
          <w:szCs w:val="20"/>
        </w:rPr>
        <w:t xml:space="preserve"> ibid, p.20.</w:t>
      </w:r>
    </w:p>
  </w:footnote>
  <w:footnote w:id="12">
    <w:p w14:paraId="1A29AC40" w14:textId="44CFFA44" w:rsidR="009962BB" w:rsidRPr="000E6B2A" w:rsidRDefault="009962BB">
      <w:pPr>
        <w:pStyle w:val="FootnoteText"/>
        <w:rPr>
          <w:sz w:val="20"/>
          <w:szCs w:val="20"/>
        </w:rPr>
      </w:pPr>
      <w:r>
        <w:rPr>
          <w:rStyle w:val="FootnoteReference"/>
        </w:rPr>
        <w:footnoteRef/>
      </w:r>
      <w:r>
        <w:t xml:space="preserve"> </w:t>
      </w:r>
      <w:r w:rsidRPr="000E6B2A">
        <w:rPr>
          <w:sz w:val="20"/>
          <w:szCs w:val="20"/>
        </w:rPr>
        <w:t>We thank Terrill Bouricius for stressing this important point during the Real Utopias workshop.</w:t>
      </w:r>
    </w:p>
  </w:footnote>
  <w:footnote w:id="13">
    <w:p w14:paraId="18A00581" w14:textId="612F6FE6" w:rsidR="009962BB" w:rsidRPr="004A495E" w:rsidRDefault="009962BB">
      <w:pPr>
        <w:pStyle w:val="FootnoteText"/>
        <w:rPr>
          <w:sz w:val="20"/>
          <w:szCs w:val="20"/>
        </w:rPr>
      </w:pPr>
      <w:r w:rsidRPr="004A495E">
        <w:rPr>
          <w:rStyle w:val="FootnoteReference"/>
          <w:sz w:val="20"/>
          <w:szCs w:val="20"/>
        </w:rPr>
        <w:footnoteRef/>
      </w:r>
      <w:r w:rsidRPr="004A495E">
        <w:rPr>
          <w:sz w:val="20"/>
          <w:szCs w:val="20"/>
        </w:rPr>
        <w:t xml:space="preserve"> ibid, p.23.</w:t>
      </w:r>
    </w:p>
  </w:footnote>
  <w:footnote w:id="14">
    <w:p w14:paraId="7D46C1E2" w14:textId="77777777" w:rsidR="000903ED" w:rsidRPr="000E6B2A" w:rsidRDefault="000903ED" w:rsidP="000903ED">
      <w:pPr>
        <w:pStyle w:val="FootnoteText"/>
        <w:rPr>
          <w:sz w:val="20"/>
          <w:szCs w:val="20"/>
        </w:rPr>
      </w:pPr>
      <w:r w:rsidRPr="000E6B2A">
        <w:rPr>
          <w:rStyle w:val="FootnoteReference"/>
          <w:sz w:val="20"/>
          <w:szCs w:val="20"/>
        </w:rPr>
        <w:footnoteRef/>
      </w:r>
      <w:r w:rsidRPr="000E6B2A">
        <w:rPr>
          <w:sz w:val="20"/>
          <w:szCs w:val="20"/>
        </w:rPr>
        <w:t xml:space="preserve"> ibid, p.24.</w:t>
      </w:r>
    </w:p>
  </w:footnote>
  <w:footnote w:id="15">
    <w:p w14:paraId="10C2F57A" w14:textId="099B938B" w:rsidR="009962BB" w:rsidRPr="004A495E" w:rsidRDefault="009962BB">
      <w:pPr>
        <w:pStyle w:val="FootnoteText"/>
        <w:rPr>
          <w:sz w:val="20"/>
          <w:szCs w:val="20"/>
        </w:rPr>
      </w:pPr>
      <w:r w:rsidRPr="004A495E">
        <w:rPr>
          <w:rStyle w:val="FootnoteReference"/>
          <w:sz w:val="20"/>
          <w:szCs w:val="20"/>
        </w:rPr>
        <w:footnoteRef/>
      </w:r>
      <w:r w:rsidRPr="004A495E">
        <w:rPr>
          <w:sz w:val="20"/>
          <w:szCs w:val="20"/>
        </w:rPr>
        <w:t xml:space="preserve"> Smith, Democratic Innovations, pp.30-71.</w:t>
      </w:r>
    </w:p>
  </w:footnote>
  <w:footnote w:id="16">
    <w:p w14:paraId="548ED48F" w14:textId="3E73FE4C" w:rsidR="009D2210" w:rsidRPr="00462A34" w:rsidRDefault="009D2210" w:rsidP="00462A34">
      <w:pPr>
        <w:rPr>
          <w:rFonts w:cs="Arial"/>
          <w:color w:val="0563C1" w:themeColor="hyperlink"/>
          <w:sz w:val="20"/>
          <w:szCs w:val="20"/>
          <w:u w:val="single"/>
        </w:rPr>
      </w:pPr>
      <w:r>
        <w:rPr>
          <w:rStyle w:val="FootnoteReference"/>
        </w:rPr>
        <w:footnoteRef/>
      </w:r>
      <w:r>
        <w:t xml:space="preserve"> </w:t>
      </w:r>
      <w:r w:rsidR="008514F6" w:rsidRPr="00186B77">
        <w:rPr>
          <w:rFonts w:cs="Arial"/>
          <w:sz w:val="20"/>
          <w:szCs w:val="20"/>
        </w:rPr>
        <w:t xml:space="preserve">Ernesto Ganuza and Gianpaolo Baiocchi, ‘The Power of Ambiguity: How Participatory Budgeting Travels the Globe,’ </w:t>
      </w:r>
      <w:r w:rsidR="008514F6" w:rsidRPr="00186B77">
        <w:rPr>
          <w:rFonts w:cs="Arial"/>
          <w:i/>
          <w:iCs/>
          <w:sz w:val="20"/>
          <w:szCs w:val="20"/>
        </w:rPr>
        <w:t>Journal of Public Deliberation</w:t>
      </w:r>
      <w:r w:rsidR="00462A34">
        <w:rPr>
          <w:rFonts w:cs="Arial"/>
          <w:sz w:val="20"/>
          <w:szCs w:val="20"/>
        </w:rPr>
        <w:t>, 8, 2 (2012),</w:t>
      </w:r>
      <w:r w:rsidR="008514F6" w:rsidRPr="00186B77">
        <w:rPr>
          <w:rFonts w:cs="Arial"/>
          <w:sz w:val="20"/>
          <w:szCs w:val="20"/>
        </w:rPr>
        <w:t xml:space="preserve"> Article 8; </w:t>
      </w:r>
      <w:r w:rsidR="008514F6" w:rsidRPr="00186B77">
        <w:rPr>
          <w:rFonts w:eastAsia="Times New Roman" w:cs="Times New Roman"/>
          <w:bCs/>
          <w:sz w:val="20"/>
          <w:szCs w:val="20"/>
        </w:rPr>
        <w:t xml:space="preserve">Yves Sintomer, Carsten Herzberg, Anja Röcke, and Giovanni Allegretti, </w:t>
      </w:r>
      <w:r w:rsidR="008514F6" w:rsidRPr="00186B77">
        <w:rPr>
          <w:rFonts w:cs="Arial"/>
          <w:sz w:val="20"/>
          <w:szCs w:val="20"/>
        </w:rPr>
        <w:t xml:space="preserve">‘Transnational Models of Citizen Participation: The Case of Participatory Budgeting,’ </w:t>
      </w:r>
      <w:r w:rsidR="008514F6" w:rsidRPr="00186B77">
        <w:rPr>
          <w:rFonts w:cs="Arial"/>
          <w:i/>
          <w:iCs/>
          <w:sz w:val="20"/>
          <w:szCs w:val="20"/>
        </w:rPr>
        <w:t>Journal of Public Deliberation</w:t>
      </w:r>
      <w:r w:rsidR="00462A34">
        <w:rPr>
          <w:rFonts w:cs="Arial"/>
          <w:sz w:val="20"/>
          <w:szCs w:val="20"/>
        </w:rPr>
        <w:t>, 8, 2 (2012),</w:t>
      </w:r>
      <w:r w:rsidR="008514F6" w:rsidRPr="00186B77">
        <w:rPr>
          <w:rFonts w:cs="Arial"/>
          <w:sz w:val="20"/>
          <w:szCs w:val="20"/>
        </w:rPr>
        <w:t xml:space="preserve"> Article 9.</w:t>
      </w:r>
    </w:p>
  </w:footnote>
  <w:footnote w:id="17">
    <w:p w14:paraId="43A8574C" w14:textId="5FE501A4" w:rsidR="009962BB" w:rsidRPr="004A495E" w:rsidRDefault="009962BB">
      <w:pPr>
        <w:pStyle w:val="FootnoteText"/>
        <w:rPr>
          <w:sz w:val="20"/>
          <w:szCs w:val="20"/>
        </w:rPr>
      </w:pPr>
      <w:r w:rsidRPr="004A495E">
        <w:rPr>
          <w:rStyle w:val="FootnoteReference"/>
          <w:sz w:val="20"/>
          <w:szCs w:val="20"/>
        </w:rPr>
        <w:footnoteRef/>
      </w:r>
      <w:r w:rsidRPr="004A495E">
        <w:rPr>
          <w:sz w:val="20"/>
          <w:szCs w:val="20"/>
        </w:rPr>
        <w:t xml:space="preserve"> Gastil and Wright</w:t>
      </w:r>
      <w:r w:rsidRPr="004A495E">
        <w:rPr>
          <w:rStyle w:val="apple-converted-space"/>
          <w:sz w:val="20"/>
          <w:szCs w:val="20"/>
        </w:rPr>
        <w:t>, ‘Legislature by Lot’, p.7.</w:t>
      </w:r>
    </w:p>
  </w:footnote>
  <w:footnote w:id="18">
    <w:p w14:paraId="6A355A2E" w14:textId="33A75DC3" w:rsidR="0047310C" w:rsidRPr="0047310C" w:rsidRDefault="0047310C">
      <w:pPr>
        <w:pStyle w:val="FootnoteText"/>
        <w:rPr>
          <w:sz w:val="20"/>
          <w:szCs w:val="20"/>
        </w:rPr>
      </w:pPr>
      <w:r w:rsidRPr="0047310C">
        <w:rPr>
          <w:rStyle w:val="FootnoteReference"/>
          <w:sz w:val="20"/>
          <w:szCs w:val="20"/>
        </w:rPr>
        <w:footnoteRef/>
      </w:r>
      <w:r w:rsidRPr="0047310C">
        <w:rPr>
          <w:sz w:val="20"/>
          <w:szCs w:val="20"/>
        </w:rPr>
        <w:t xml:space="preserve"> ibid, p.22</w:t>
      </w:r>
    </w:p>
  </w:footnote>
  <w:footnote w:id="19">
    <w:p w14:paraId="70DC3CD2" w14:textId="1C58B5CF" w:rsidR="009962BB" w:rsidRPr="0047310C" w:rsidRDefault="009962BB">
      <w:pPr>
        <w:pStyle w:val="FootnoteText"/>
        <w:rPr>
          <w:sz w:val="20"/>
          <w:szCs w:val="20"/>
        </w:rPr>
      </w:pPr>
      <w:r w:rsidRPr="0047310C">
        <w:rPr>
          <w:rStyle w:val="FootnoteReference"/>
          <w:sz w:val="20"/>
          <w:szCs w:val="20"/>
        </w:rPr>
        <w:footnoteRef/>
      </w:r>
      <w:r w:rsidRPr="0047310C">
        <w:rPr>
          <w:sz w:val="20"/>
          <w:szCs w:val="20"/>
        </w:rPr>
        <w:t xml:space="preserve"> ibid, p.22.</w:t>
      </w:r>
    </w:p>
  </w:footnote>
  <w:footnote w:id="20">
    <w:p w14:paraId="0AC8FC8C" w14:textId="43F0A9E4" w:rsidR="009962BB" w:rsidRPr="0047310C" w:rsidRDefault="009962BB">
      <w:pPr>
        <w:pStyle w:val="FootnoteText"/>
        <w:rPr>
          <w:sz w:val="20"/>
          <w:szCs w:val="20"/>
        </w:rPr>
      </w:pPr>
      <w:r w:rsidRPr="0047310C">
        <w:rPr>
          <w:rStyle w:val="FootnoteReference"/>
          <w:sz w:val="20"/>
          <w:szCs w:val="20"/>
        </w:rPr>
        <w:footnoteRef/>
      </w:r>
      <w:r w:rsidRPr="0047310C">
        <w:rPr>
          <w:sz w:val="20"/>
          <w:szCs w:val="20"/>
        </w:rPr>
        <w:t xml:space="preserve"> ibid, p.21.</w:t>
      </w:r>
    </w:p>
  </w:footnote>
  <w:footnote w:id="21">
    <w:p w14:paraId="1F948F4D" w14:textId="1884FAF2" w:rsidR="009962BB" w:rsidRPr="00D82642" w:rsidRDefault="009962BB" w:rsidP="00D82642">
      <w:pPr>
        <w:pStyle w:val="p1"/>
        <w:rPr>
          <w:rFonts w:asciiTheme="minorHAnsi" w:hAnsiTheme="minorHAnsi"/>
          <w:sz w:val="20"/>
          <w:szCs w:val="20"/>
        </w:rPr>
      </w:pPr>
      <w:r>
        <w:rPr>
          <w:rStyle w:val="FootnoteReference"/>
        </w:rPr>
        <w:footnoteRef/>
      </w:r>
      <w:r>
        <w:t xml:space="preserve"> </w:t>
      </w:r>
      <w:r w:rsidRPr="00D82642">
        <w:rPr>
          <w:rFonts w:ascii="Helvetica" w:hAnsi="Helvetica"/>
          <w:sz w:val="15"/>
          <w:szCs w:val="15"/>
        </w:rPr>
        <w:t> </w:t>
      </w:r>
      <w:r w:rsidRPr="00D82642">
        <w:rPr>
          <w:rFonts w:asciiTheme="minorHAnsi" w:hAnsiTheme="minorHAnsi"/>
          <w:sz w:val="20"/>
          <w:szCs w:val="20"/>
        </w:rPr>
        <w:t>Alexander Guerrero also takes an issue-based approach to his sortition proposal, but, similar to Gastil and Wright, argues for smaller bodies witho</w:t>
      </w:r>
      <w:r>
        <w:rPr>
          <w:rFonts w:asciiTheme="minorHAnsi" w:hAnsiTheme="minorHAnsi"/>
          <w:sz w:val="20"/>
          <w:szCs w:val="20"/>
        </w:rPr>
        <w:t>ut rapid rotation. See Alexander</w:t>
      </w:r>
      <w:r w:rsidRPr="00D82642">
        <w:rPr>
          <w:rFonts w:asciiTheme="minorHAnsi" w:hAnsiTheme="minorHAnsi"/>
          <w:sz w:val="20"/>
          <w:szCs w:val="20"/>
        </w:rPr>
        <w:t xml:space="preserve"> A. Guerro, ‘Against Elections; The Lottocratic Alternative, </w:t>
      </w:r>
      <w:r w:rsidRPr="00D82642">
        <w:rPr>
          <w:rFonts w:asciiTheme="minorHAnsi" w:hAnsiTheme="minorHAnsi"/>
          <w:i/>
          <w:sz w:val="20"/>
          <w:szCs w:val="20"/>
        </w:rPr>
        <w:t>Philosophy &amp; Public Affairs</w:t>
      </w:r>
      <w:r>
        <w:rPr>
          <w:rFonts w:asciiTheme="minorHAnsi" w:hAnsiTheme="minorHAnsi"/>
          <w:sz w:val="20"/>
          <w:szCs w:val="20"/>
        </w:rPr>
        <w:t xml:space="preserve">, </w:t>
      </w:r>
      <w:r w:rsidRPr="00D82642">
        <w:rPr>
          <w:rFonts w:asciiTheme="minorHAnsi" w:hAnsiTheme="minorHAnsi"/>
          <w:sz w:val="20"/>
          <w:szCs w:val="20"/>
        </w:rPr>
        <w:t>42</w:t>
      </w:r>
      <w:r>
        <w:rPr>
          <w:rFonts w:asciiTheme="minorHAnsi" w:hAnsiTheme="minorHAnsi"/>
          <w:sz w:val="20"/>
          <w:szCs w:val="20"/>
        </w:rPr>
        <w:t xml:space="preserve">, </w:t>
      </w:r>
      <w:r w:rsidRPr="00D82642">
        <w:rPr>
          <w:rFonts w:asciiTheme="minorHAnsi" w:hAnsiTheme="minorHAnsi"/>
          <w:sz w:val="20"/>
          <w:szCs w:val="20"/>
        </w:rPr>
        <w:t>2 (2014): 135-178</w:t>
      </w:r>
      <w:r>
        <w:rPr>
          <w:rFonts w:asciiTheme="minorHAnsi" w:hAnsiTheme="minorHAnsi"/>
          <w:sz w:val="20"/>
          <w:szCs w:val="20"/>
        </w:rPr>
        <w:t>.</w:t>
      </w:r>
    </w:p>
  </w:footnote>
  <w:footnote w:id="22">
    <w:p w14:paraId="11A58783" w14:textId="22BDCF09" w:rsidR="00FD0A13" w:rsidRPr="001E2F6A" w:rsidRDefault="00FD0A13" w:rsidP="001E2F6A">
      <w:pPr>
        <w:rPr>
          <w:rFonts w:cs="Times New Roman"/>
          <w:sz w:val="20"/>
          <w:szCs w:val="20"/>
        </w:rPr>
      </w:pPr>
      <w:r w:rsidRPr="00FD0A13">
        <w:rPr>
          <w:rStyle w:val="FootnoteReference"/>
          <w:sz w:val="20"/>
          <w:szCs w:val="20"/>
        </w:rPr>
        <w:footnoteRef/>
      </w:r>
      <w:r w:rsidRPr="00FD0A13">
        <w:rPr>
          <w:sz w:val="20"/>
          <w:szCs w:val="20"/>
        </w:rPr>
        <w:t xml:space="preserve"> </w:t>
      </w:r>
      <w:r w:rsidRPr="00FD0A13">
        <w:rPr>
          <w:rFonts w:cs="Times New Roman"/>
          <w:sz w:val="20"/>
          <w:szCs w:val="20"/>
        </w:rPr>
        <w:t>Laurence Bherer, Mario Gauthier, and ‘</w:t>
      </w:r>
      <w:r w:rsidRPr="00FD0A13">
        <w:rPr>
          <w:rFonts w:cs="Times New Roman"/>
          <w:bCs/>
          <w:sz w:val="20"/>
          <w:szCs w:val="20"/>
        </w:rPr>
        <w:t>Autonomy for what? Comparing four autonomous public organizations dedicated to public participation’</w:t>
      </w:r>
      <w:r w:rsidRPr="00FD0A13">
        <w:rPr>
          <w:rFonts w:cs="Times New Roman"/>
          <w:sz w:val="20"/>
          <w:szCs w:val="20"/>
        </w:rPr>
        <w:t>, paper presented at the ECPR Joint Sessions, Salamanca 2014.</w:t>
      </w:r>
    </w:p>
  </w:footnote>
  <w:footnote w:id="23">
    <w:p w14:paraId="6B02C2C8" w14:textId="66BC4058" w:rsidR="001E2F6A" w:rsidRPr="001E2F6A" w:rsidRDefault="001E2F6A">
      <w:pPr>
        <w:pStyle w:val="FootnoteText"/>
        <w:rPr>
          <w:sz w:val="20"/>
          <w:szCs w:val="20"/>
        </w:rPr>
      </w:pPr>
      <w:r w:rsidRPr="001E2F6A">
        <w:rPr>
          <w:rStyle w:val="FootnoteReference"/>
          <w:sz w:val="20"/>
          <w:szCs w:val="20"/>
        </w:rPr>
        <w:footnoteRef/>
      </w:r>
      <w:r w:rsidRPr="001E2F6A">
        <w:rPr>
          <w:sz w:val="20"/>
          <w:szCs w:val="20"/>
        </w:rPr>
        <w:t xml:space="preserve"> The initiative process would need to be implemented in a different way to current practice where organized interests tend to dominate.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B3407"/>
    <w:multiLevelType w:val="hybridMultilevel"/>
    <w:tmpl w:val="46B040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979E5"/>
    <w:multiLevelType w:val="hybridMultilevel"/>
    <w:tmpl w:val="FDD211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60129"/>
    <w:multiLevelType w:val="hybridMultilevel"/>
    <w:tmpl w:val="679A1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80468B"/>
    <w:multiLevelType w:val="hybridMultilevel"/>
    <w:tmpl w:val="3C2821E8"/>
    <w:lvl w:ilvl="0" w:tplc="E7927A7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F3185"/>
    <w:multiLevelType w:val="hybridMultilevel"/>
    <w:tmpl w:val="F05CACA6"/>
    <w:lvl w:ilvl="0" w:tplc="F25090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070629C"/>
    <w:multiLevelType w:val="hybridMultilevel"/>
    <w:tmpl w:val="A0C07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90E71"/>
    <w:multiLevelType w:val="hybridMultilevel"/>
    <w:tmpl w:val="9A5A1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2A17BE"/>
    <w:multiLevelType w:val="hybridMultilevel"/>
    <w:tmpl w:val="31808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B90FAF"/>
    <w:multiLevelType w:val="hybridMultilevel"/>
    <w:tmpl w:val="30E8A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360A1F"/>
    <w:multiLevelType w:val="hybridMultilevel"/>
    <w:tmpl w:val="BE6CD2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432BF2"/>
    <w:multiLevelType w:val="hybridMultilevel"/>
    <w:tmpl w:val="12DA8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474917"/>
    <w:multiLevelType w:val="hybridMultilevel"/>
    <w:tmpl w:val="6EC64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533602"/>
    <w:multiLevelType w:val="hybridMultilevel"/>
    <w:tmpl w:val="5C06E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6"/>
  </w:num>
  <w:num w:numId="4">
    <w:abstractNumId w:val="7"/>
  </w:num>
  <w:num w:numId="5">
    <w:abstractNumId w:val="11"/>
  </w:num>
  <w:num w:numId="6">
    <w:abstractNumId w:val="0"/>
  </w:num>
  <w:num w:numId="7">
    <w:abstractNumId w:val="1"/>
  </w:num>
  <w:num w:numId="8">
    <w:abstractNumId w:val="9"/>
  </w:num>
  <w:num w:numId="9">
    <w:abstractNumId w:val="2"/>
  </w:num>
  <w:num w:numId="10">
    <w:abstractNumId w:val="5"/>
  </w:num>
  <w:num w:numId="11">
    <w:abstractNumId w:val="4"/>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F5"/>
    <w:rsid w:val="0000586D"/>
    <w:rsid w:val="00006770"/>
    <w:rsid w:val="00010251"/>
    <w:rsid w:val="00012041"/>
    <w:rsid w:val="00022FAD"/>
    <w:rsid w:val="00034D2A"/>
    <w:rsid w:val="00042E21"/>
    <w:rsid w:val="00044B63"/>
    <w:rsid w:val="00063237"/>
    <w:rsid w:val="00067268"/>
    <w:rsid w:val="000772A1"/>
    <w:rsid w:val="000903ED"/>
    <w:rsid w:val="00093283"/>
    <w:rsid w:val="000A19AD"/>
    <w:rsid w:val="000A51BC"/>
    <w:rsid w:val="000B03E4"/>
    <w:rsid w:val="000B3EE4"/>
    <w:rsid w:val="000C5088"/>
    <w:rsid w:val="000C5378"/>
    <w:rsid w:val="000D229C"/>
    <w:rsid w:val="000E2D78"/>
    <w:rsid w:val="000E4A76"/>
    <w:rsid w:val="000E5C20"/>
    <w:rsid w:val="000E650E"/>
    <w:rsid w:val="000E6926"/>
    <w:rsid w:val="000E6B2A"/>
    <w:rsid w:val="001037BB"/>
    <w:rsid w:val="00111E8C"/>
    <w:rsid w:val="0011290B"/>
    <w:rsid w:val="001225B6"/>
    <w:rsid w:val="00151D1A"/>
    <w:rsid w:val="0019441A"/>
    <w:rsid w:val="001A62DF"/>
    <w:rsid w:val="001C169B"/>
    <w:rsid w:val="001C4AEE"/>
    <w:rsid w:val="001D2B09"/>
    <w:rsid w:val="001D460C"/>
    <w:rsid w:val="001E2F6A"/>
    <w:rsid w:val="001E4B01"/>
    <w:rsid w:val="001F1667"/>
    <w:rsid w:val="001F1AF0"/>
    <w:rsid w:val="001F3431"/>
    <w:rsid w:val="001F5A2E"/>
    <w:rsid w:val="001F60DF"/>
    <w:rsid w:val="00201944"/>
    <w:rsid w:val="00202283"/>
    <w:rsid w:val="00203CD2"/>
    <w:rsid w:val="00204A32"/>
    <w:rsid w:val="00210072"/>
    <w:rsid w:val="0021298B"/>
    <w:rsid w:val="00215A32"/>
    <w:rsid w:val="002315A2"/>
    <w:rsid w:val="002353A0"/>
    <w:rsid w:val="002451FD"/>
    <w:rsid w:val="00253376"/>
    <w:rsid w:val="00271D9F"/>
    <w:rsid w:val="002731C6"/>
    <w:rsid w:val="00277E48"/>
    <w:rsid w:val="00281DAC"/>
    <w:rsid w:val="00286D03"/>
    <w:rsid w:val="002A196D"/>
    <w:rsid w:val="002C1C34"/>
    <w:rsid w:val="002C1D42"/>
    <w:rsid w:val="002C78B9"/>
    <w:rsid w:val="002E2AB9"/>
    <w:rsid w:val="002E3FF6"/>
    <w:rsid w:val="002E7D64"/>
    <w:rsid w:val="002F2717"/>
    <w:rsid w:val="002F3C25"/>
    <w:rsid w:val="002F46C1"/>
    <w:rsid w:val="0030162A"/>
    <w:rsid w:val="0030198A"/>
    <w:rsid w:val="00313843"/>
    <w:rsid w:val="00332408"/>
    <w:rsid w:val="003404A4"/>
    <w:rsid w:val="003413A8"/>
    <w:rsid w:val="003449FB"/>
    <w:rsid w:val="003572F4"/>
    <w:rsid w:val="0036161B"/>
    <w:rsid w:val="00363D35"/>
    <w:rsid w:val="00367D85"/>
    <w:rsid w:val="00380F53"/>
    <w:rsid w:val="00384A74"/>
    <w:rsid w:val="00384F68"/>
    <w:rsid w:val="00397611"/>
    <w:rsid w:val="003A55AB"/>
    <w:rsid w:val="003B2B90"/>
    <w:rsid w:val="003B33C4"/>
    <w:rsid w:val="003C4AE8"/>
    <w:rsid w:val="003D2775"/>
    <w:rsid w:val="003D3F29"/>
    <w:rsid w:val="004024A6"/>
    <w:rsid w:val="00403B62"/>
    <w:rsid w:val="0042431F"/>
    <w:rsid w:val="00426320"/>
    <w:rsid w:val="0043456F"/>
    <w:rsid w:val="00444DD5"/>
    <w:rsid w:val="00462A34"/>
    <w:rsid w:val="0047310C"/>
    <w:rsid w:val="00473B53"/>
    <w:rsid w:val="00476EB8"/>
    <w:rsid w:val="0047779E"/>
    <w:rsid w:val="004830D7"/>
    <w:rsid w:val="00483B84"/>
    <w:rsid w:val="00487866"/>
    <w:rsid w:val="0049675E"/>
    <w:rsid w:val="004A495E"/>
    <w:rsid w:val="004A4BA1"/>
    <w:rsid w:val="004B41AA"/>
    <w:rsid w:val="004C7FCD"/>
    <w:rsid w:val="004D3362"/>
    <w:rsid w:val="004D7144"/>
    <w:rsid w:val="004E0FBA"/>
    <w:rsid w:val="004E2399"/>
    <w:rsid w:val="004F5617"/>
    <w:rsid w:val="004F5DC3"/>
    <w:rsid w:val="00503BE5"/>
    <w:rsid w:val="00507197"/>
    <w:rsid w:val="0050724D"/>
    <w:rsid w:val="0051642E"/>
    <w:rsid w:val="00535FE9"/>
    <w:rsid w:val="00552956"/>
    <w:rsid w:val="00552E97"/>
    <w:rsid w:val="00554788"/>
    <w:rsid w:val="005661BB"/>
    <w:rsid w:val="00575782"/>
    <w:rsid w:val="0059430C"/>
    <w:rsid w:val="005A3F88"/>
    <w:rsid w:val="005E09E5"/>
    <w:rsid w:val="005E5E29"/>
    <w:rsid w:val="005F0CBC"/>
    <w:rsid w:val="00604040"/>
    <w:rsid w:val="00605A32"/>
    <w:rsid w:val="00613D13"/>
    <w:rsid w:val="0063074F"/>
    <w:rsid w:val="00637222"/>
    <w:rsid w:val="0064000D"/>
    <w:rsid w:val="00642064"/>
    <w:rsid w:val="006449D0"/>
    <w:rsid w:val="0065659F"/>
    <w:rsid w:val="006834D1"/>
    <w:rsid w:val="00684CAD"/>
    <w:rsid w:val="00693373"/>
    <w:rsid w:val="006A09A3"/>
    <w:rsid w:val="006B11CF"/>
    <w:rsid w:val="006B2B90"/>
    <w:rsid w:val="006D132C"/>
    <w:rsid w:val="006E0190"/>
    <w:rsid w:val="006E5793"/>
    <w:rsid w:val="006F37E9"/>
    <w:rsid w:val="006F6CA8"/>
    <w:rsid w:val="006F7DF2"/>
    <w:rsid w:val="00707FE7"/>
    <w:rsid w:val="00710CBF"/>
    <w:rsid w:val="00730F4C"/>
    <w:rsid w:val="007322D8"/>
    <w:rsid w:val="00754B1E"/>
    <w:rsid w:val="0077363B"/>
    <w:rsid w:val="0077443D"/>
    <w:rsid w:val="0077693F"/>
    <w:rsid w:val="00781CD6"/>
    <w:rsid w:val="007B3BF3"/>
    <w:rsid w:val="007B497E"/>
    <w:rsid w:val="007B5861"/>
    <w:rsid w:val="007C0094"/>
    <w:rsid w:val="007C48F9"/>
    <w:rsid w:val="007C505B"/>
    <w:rsid w:val="007D15F3"/>
    <w:rsid w:val="007D21A4"/>
    <w:rsid w:val="007F009D"/>
    <w:rsid w:val="007F6F69"/>
    <w:rsid w:val="0080517C"/>
    <w:rsid w:val="00806F76"/>
    <w:rsid w:val="008209D0"/>
    <w:rsid w:val="008254AA"/>
    <w:rsid w:val="00835253"/>
    <w:rsid w:val="008514F6"/>
    <w:rsid w:val="00855DC2"/>
    <w:rsid w:val="00866CA6"/>
    <w:rsid w:val="0087563A"/>
    <w:rsid w:val="008813FE"/>
    <w:rsid w:val="00887665"/>
    <w:rsid w:val="008A3342"/>
    <w:rsid w:val="008A43A3"/>
    <w:rsid w:val="008B176E"/>
    <w:rsid w:val="008B32EB"/>
    <w:rsid w:val="008C641C"/>
    <w:rsid w:val="008D2548"/>
    <w:rsid w:val="008D5CF9"/>
    <w:rsid w:val="008E3D3D"/>
    <w:rsid w:val="008E59D4"/>
    <w:rsid w:val="008F4309"/>
    <w:rsid w:val="008F786F"/>
    <w:rsid w:val="00915D81"/>
    <w:rsid w:val="009335A5"/>
    <w:rsid w:val="00941E36"/>
    <w:rsid w:val="00945873"/>
    <w:rsid w:val="00946136"/>
    <w:rsid w:val="00946195"/>
    <w:rsid w:val="009528DC"/>
    <w:rsid w:val="00960C84"/>
    <w:rsid w:val="00976943"/>
    <w:rsid w:val="00980593"/>
    <w:rsid w:val="009946FA"/>
    <w:rsid w:val="009962BB"/>
    <w:rsid w:val="00997C8F"/>
    <w:rsid w:val="009A0B86"/>
    <w:rsid w:val="009A2E35"/>
    <w:rsid w:val="009A5625"/>
    <w:rsid w:val="009B278A"/>
    <w:rsid w:val="009D2210"/>
    <w:rsid w:val="009D3703"/>
    <w:rsid w:val="009F23B6"/>
    <w:rsid w:val="009F274A"/>
    <w:rsid w:val="009F697E"/>
    <w:rsid w:val="009F702B"/>
    <w:rsid w:val="00A067D4"/>
    <w:rsid w:val="00A12771"/>
    <w:rsid w:val="00A20942"/>
    <w:rsid w:val="00A36C3D"/>
    <w:rsid w:val="00A40F5C"/>
    <w:rsid w:val="00A4601E"/>
    <w:rsid w:val="00A502BC"/>
    <w:rsid w:val="00A6532E"/>
    <w:rsid w:val="00A67158"/>
    <w:rsid w:val="00A75485"/>
    <w:rsid w:val="00A80F71"/>
    <w:rsid w:val="00A83FC7"/>
    <w:rsid w:val="00A96FA6"/>
    <w:rsid w:val="00AA7D54"/>
    <w:rsid w:val="00AC28E1"/>
    <w:rsid w:val="00AC3791"/>
    <w:rsid w:val="00AC5279"/>
    <w:rsid w:val="00AD1D80"/>
    <w:rsid w:val="00AE4BB1"/>
    <w:rsid w:val="00AF6DE6"/>
    <w:rsid w:val="00B01E79"/>
    <w:rsid w:val="00B07B15"/>
    <w:rsid w:val="00B11034"/>
    <w:rsid w:val="00B11340"/>
    <w:rsid w:val="00B204BF"/>
    <w:rsid w:val="00B24C4B"/>
    <w:rsid w:val="00B37752"/>
    <w:rsid w:val="00B44A0A"/>
    <w:rsid w:val="00B503A1"/>
    <w:rsid w:val="00B6021F"/>
    <w:rsid w:val="00B6095B"/>
    <w:rsid w:val="00B62CF7"/>
    <w:rsid w:val="00B854AB"/>
    <w:rsid w:val="00B974F5"/>
    <w:rsid w:val="00BA5C9F"/>
    <w:rsid w:val="00BA62F9"/>
    <w:rsid w:val="00BB6633"/>
    <w:rsid w:val="00BC3FE3"/>
    <w:rsid w:val="00BC43CD"/>
    <w:rsid w:val="00BD145D"/>
    <w:rsid w:val="00BD734F"/>
    <w:rsid w:val="00BF043D"/>
    <w:rsid w:val="00BF1670"/>
    <w:rsid w:val="00BF1AC2"/>
    <w:rsid w:val="00BF24EA"/>
    <w:rsid w:val="00BF639E"/>
    <w:rsid w:val="00C133DA"/>
    <w:rsid w:val="00C22248"/>
    <w:rsid w:val="00C4108A"/>
    <w:rsid w:val="00C462D5"/>
    <w:rsid w:val="00C649CA"/>
    <w:rsid w:val="00C70F15"/>
    <w:rsid w:val="00C7260C"/>
    <w:rsid w:val="00C770B4"/>
    <w:rsid w:val="00C93C1A"/>
    <w:rsid w:val="00C9542B"/>
    <w:rsid w:val="00C973DE"/>
    <w:rsid w:val="00CA0E40"/>
    <w:rsid w:val="00CA5702"/>
    <w:rsid w:val="00CB6B15"/>
    <w:rsid w:val="00CC03F5"/>
    <w:rsid w:val="00CD153B"/>
    <w:rsid w:val="00CF11DB"/>
    <w:rsid w:val="00CF2008"/>
    <w:rsid w:val="00D20FF6"/>
    <w:rsid w:val="00D45223"/>
    <w:rsid w:val="00D61A4E"/>
    <w:rsid w:val="00D61DE8"/>
    <w:rsid w:val="00D82642"/>
    <w:rsid w:val="00D93A33"/>
    <w:rsid w:val="00D952CD"/>
    <w:rsid w:val="00D96787"/>
    <w:rsid w:val="00DA12C4"/>
    <w:rsid w:val="00DA6979"/>
    <w:rsid w:val="00DC2336"/>
    <w:rsid w:val="00DC6B4A"/>
    <w:rsid w:val="00DD7A7D"/>
    <w:rsid w:val="00DD7B4C"/>
    <w:rsid w:val="00DE3167"/>
    <w:rsid w:val="00DE3D19"/>
    <w:rsid w:val="00DE6502"/>
    <w:rsid w:val="00DF0C7B"/>
    <w:rsid w:val="00DF27F5"/>
    <w:rsid w:val="00DF75CF"/>
    <w:rsid w:val="00E0554D"/>
    <w:rsid w:val="00E1726B"/>
    <w:rsid w:val="00E1774C"/>
    <w:rsid w:val="00E23CB5"/>
    <w:rsid w:val="00E32B00"/>
    <w:rsid w:val="00E44A30"/>
    <w:rsid w:val="00E454FF"/>
    <w:rsid w:val="00E5744C"/>
    <w:rsid w:val="00E74E00"/>
    <w:rsid w:val="00E7584A"/>
    <w:rsid w:val="00E75F30"/>
    <w:rsid w:val="00E81070"/>
    <w:rsid w:val="00E91812"/>
    <w:rsid w:val="00E933A6"/>
    <w:rsid w:val="00E97ED0"/>
    <w:rsid w:val="00EA7D79"/>
    <w:rsid w:val="00EB1927"/>
    <w:rsid w:val="00EB1D94"/>
    <w:rsid w:val="00EB7569"/>
    <w:rsid w:val="00EC6437"/>
    <w:rsid w:val="00ED3F3F"/>
    <w:rsid w:val="00ED670C"/>
    <w:rsid w:val="00EE0866"/>
    <w:rsid w:val="00EF6605"/>
    <w:rsid w:val="00F045F8"/>
    <w:rsid w:val="00F07477"/>
    <w:rsid w:val="00F14EAC"/>
    <w:rsid w:val="00F3142B"/>
    <w:rsid w:val="00F37510"/>
    <w:rsid w:val="00F40594"/>
    <w:rsid w:val="00F418F2"/>
    <w:rsid w:val="00F424B1"/>
    <w:rsid w:val="00F462C2"/>
    <w:rsid w:val="00F539BB"/>
    <w:rsid w:val="00F63C20"/>
    <w:rsid w:val="00F703DA"/>
    <w:rsid w:val="00F77E9C"/>
    <w:rsid w:val="00F82849"/>
    <w:rsid w:val="00F83E7E"/>
    <w:rsid w:val="00FA1E54"/>
    <w:rsid w:val="00FD0955"/>
    <w:rsid w:val="00FD0A13"/>
    <w:rsid w:val="00FD76D6"/>
    <w:rsid w:val="00FE6524"/>
    <w:rsid w:val="00FF1959"/>
    <w:rsid w:val="00FF4C37"/>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B4973F"/>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3F5"/>
  </w:style>
  <w:style w:type="paragraph" w:styleId="Heading3">
    <w:name w:val="heading 3"/>
    <w:basedOn w:val="Normal"/>
    <w:link w:val="Heading3Char"/>
    <w:uiPriority w:val="9"/>
    <w:qFormat/>
    <w:rsid w:val="00552956"/>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3F5"/>
    <w:rPr>
      <w:color w:val="0563C1" w:themeColor="hyperlink"/>
      <w:u w:val="single"/>
    </w:rPr>
  </w:style>
  <w:style w:type="paragraph" w:styleId="FootnoteText">
    <w:name w:val="footnote text"/>
    <w:basedOn w:val="Normal"/>
    <w:link w:val="FootnoteTextChar"/>
    <w:uiPriority w:val="99"/>
    <w:unhideWhenUsed/>
    <w:rsid w:val="00CC03F5"/>
    <w:rPr>
      <w:lang w:val="en-GB"/>
    </w:rPr>
  </w:style>
  <w:style w:type="character" w:customStyle="1" w:styleId="FootnoteTextChar">
    <w:name w:val="Footnote Text Char"/>
    <w:basedOn w:val="DefaultParagraphFont"/>
    <w:link w:val="FootnoteText"/>
    <w:uiPriority w:val="99"/>
    <w:rsid w:val="00CC03F5"/>
    <w:rPr>
      <w:lang w:val="en-GB"/>
    </w:rPr>
  </w:style>
  <w:style w:type="character" w:styleId="FootnoteReference">
    <w:name w:val="footnote reference"/>
    <w:basedOn w:val="DefaultParagraphFont"/>
    <w:uiPriority w:val="99"/>
    <w:unhideWhenUsed/>
    <w:rsid w:val="00CC03F5"/>
    <w:rPr>
      <w:vertAlign w:val="superscript"/>
    </w:rPr>
  </w:style>
  <w:style w:type="character" w:styleId="CommentReference">
    <w:name w:val="annotation reference"/>
    <w:basedOn w:val="DefaultParagraphFont"/>
    <w:uiPriority w:val="99"/>
    <w:semiHidden/>
    <w:unhideWhenUsed/>
    <w:rsid w:val="00CC03F5"/>
    <w:rPr>
      <w:sz w:val="18"/>
      <w:szCs w:val="18"/>
    </w:rPr>
  </w:style>
  <w:style w:type="paragraph" w:styleId="CommentText">
    <w:name w:val="annotation text"/>
    <w:basedOn w:val="Normal"/>
    <w:link w:val="CommentTextChar"/>
    <w:uiPriority w:val="99"/>
    <w:unhideWhenUsed/>
    <w:rsid w:val="00CC03F5"/>
  </w:style>
  <w:style w:type="character" w:customStyle="1" w:styleId="CommentTextChar">
    <w:name w:val="Comment Text Char"/>
    <w:basedOn w:val="DefaultParagraphFont"/>
    <w:link w:val="CommentText"/>
    <w:uiPriority w:val="99"/>
    <w:rsid w:val="00CC03F5"/>
  </w:style>
  <w:style w:type="paragraph" w:styleId="BalloonText">
    <w:name w:val="Balloon Text"/>
    <w:basedOn w:val="Normal"/>
    <w:link w:val="BalloonTextChar"/>
    <w:uiPriority w:val="99"/>
    <w:semiHidden/>
    <w:unhideWhenUsed/>
    <w:rsid w:val="00CC03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03F5"/>
    <w:rPr>
      <w:rFonts w:ascii="Times New Roman" w:hAnsi="Times New Roman" w:cs="Times New Roman"/>
      <w:sz w:val="18"/>
      <w:szCs w:val="18"/>
    </w:rPr>
  </w:style>
  <w:style w:type="paragraph" w:styleId="ListParagraph">
    <w:name w:val="List Paragraph"/>
    <w:basedOn w:val="Normal"/>
    <w:uiPriority w:val="34"/>
    <w:qFormat/>
    <w:rsid w:val="00CC03F5"/>
    <w:pPr>
      <w:ind w:left="720"/>
      <w:contextualSpacing/>
    </w:pPr>
    <w:rPr>
      <w:lang w:val="en-GB"/>
    </w:rPr>
  </w:style>
  <w:style w:type="paragraph" w:customStyle="1" w:styleId="p1">
    <w:name w:val="p1"/>
    <w:basedOn w:val="Normal"/>
    <w:rsid w:val="009D3703"/>
    <w:rPr>
      <w:rFonts w:ascii="Times New Roman" w:hAnsi="Times New Roman" w:cs="Times New Roman"/>
      <w:sz w:val="17"/>
      <w:szCs w:val="17"/>
    </w:rPr>
  </w:style>
  <w:style w:type="character" w:customStyle="1" w:styleId="apple-converted-space">
    <w:name w:val="apple-converted-space"/>
    <w:basedOn w:val="DefaultParagraphFont"/>
    <w:rsid w:val="009D3703"/>
  </w:style>
  <w:style w:type="character" w:customStyle="1" w:styleId="s1">
    <w:name w:val="s1"/>
    <w:basedOn w:val="DefaultParagraphFont"/>
    <w:rsid w:val="006E5793"/>
    <w:rPr>
      <w:rFonts w:ascii="Times New Roman" w:hAnsi="Times New Roman" w:cs="Times New Roman" w:hint="default"/>
      <w:sz w:val="12"/>
      <w:szCs w:val="12"/>
    </w:rPr>
  </w:style>
  <w:style w:type="paragraph" w:styleId="CommentSubject">
    <w:name w:val="annotation subject"/>
    <w:basedOn w:val="CommentText"/>
    <w:next w:val="CommentText"/>
    <w:link w:val="CommentSubjectChar"/>
    <w:uiPriority w:val="99"/>
    <w:semiHidden/>
    <w:unhideWhenUsed/>
    <w:rsid w:val="00915D81"/>
    <w:rPr>
      <w:b/>
      <w:bCs/>
      <w:sz w:val="20"/>
      <w:szCs w:val="20"/>
    </w:rPr>
  </w:style>
  <w:style w:type="character" w:customStyle="1" w:styleId="CommentSubjectChar">
    <w:name w:val="Comment Subject Char"/>
    <w:basedOn w:val="CommentTextChar"/>
    <w:link w:val="CommentSubject"/>
    <w:uiPriority w:val="99"/>
    <w:semiHidden/>
    <w:rsid w:val="00915D81"/>
    <w:rPr>
      <w:b/>
      <w:bCs/>
      <w:sz w:val="20"/>
      <w:szCs w:val="20"/>
    </w:rPr>
  </w:style>
  <w:style w:type="character" w:styleId="FollowedHyperlink">
    <w:name w:val="FollowedHyperlink"/>
    <w:basedOn w:val="DefaultParagraphFont"/>
    <w:uiPriority w:val="99"/>
    <w:semiHidden/>
    <w:unhideWhenUsed/>
    <w:rsid w:val="00022FAD"/>
    <w:rPr>
      <w:color w:val="954F72" w:themeColor="followedHyperlink"/>
      <w:u w:val="single"/>
    </w:rPr>
  </w:style>
  <w:style w:type="character" w:customStyle="1" w:styleId="Heading3Char">
    <w:name w:val="Heading 3 Char"/>
    <w:basedOn w:val="DefaultParagraphFont"/>
    <w:link w:val="Heading3"/>
    <w:uiPriority w:val="9"/>
    <w:rsid w:val="00552956"/>
    <w:rPr>
      <w:rFonts w:ascii="Times New Roman" w:hAnsi="Times New Roman" w:cs="Times New Roman"/>
      <w:b/>
      <w:bCs/>
      <w:sz w:val="27"/>
      <w:szCs w:val="27"/>
    </w:rPr>
  </w:style>
  <w:style w:type="character" w:customStyle="1" w:styleId="hlfld-title">
    <w:name w:val="hlfld-title"/>
    <w:basedOn w:val="DefaultParagraphFont"/>
    <w:rsid w:val="00552956"/>
  </w:style>
  <w:style w:type="character" w:customStyle="1" w:styleId="articleentryauthorslinks">
    <w:name w:val="articleentryauthorslinks"/>
    <w:basedOn w:val="DefaultParagraphFont"/>
    <w:rsid w:val="00552956"/>
  </w:style>
  <w:style w:type="character" w:customStyle="1" w:styleId="contribdegrees">
    <w:name w:val="contribdegrees"/>
    <w:basedOn w:val="DefaultParagraphFont"/>
    <w:rsid w:val="00552956"/>
  </w:style>
  <w:style w:type="character" w:customStyle="1" w:styleId="maintextleft">
    <w:name w:val="maintextleft"/>
    <w:basedOn w:val="DefaultParagraphFont"/>
    <w:rsid w:val="00552956"/>
  </w:style>
  <w:style w:type="character" w:customStyle="1" w:styleId="epubdatelabel">
    <w:name w:val="epubdatelabel"/>
    <w:basedOn w:val="DefaultParagraphFont"/>
    <w:rsid w:val="00552956"/>
  </w:style>
  <w:style w:type="character" w:customStyle="1" w:styleId="articlepagerange">
    <w:name w:val="articlepagerange"/>
    <w:basedOn w:val="DefaultParagraphFont"/>
    <w:rsid w:val="00552956"/>
  </w:style>
  <w:style w:type="paragraph" w:styleId="Footer">
    <w:name w:val="footer"/>
    <w:basedOn w:val="Normal"/>
    <w:link w:val="FooterChar"/>
    <w:uiPriority w:val="99"/>
    <w:unhideWhenUsed/>
    <w:rsid w:val="00AF6DE6"/>
    <w:pPr>
      <w:tabs>
        <w:tab w:val="center" w:pos="4513"/>
        <w:tab w:val="right" w:pos="9026"/>
      </w:tabs>
    </w:pPr>
  </w:style>
  <w:style w:type="character" w:customStyle="1" w:styleId="FooterChar">
    <w:name w:val="Footer Char"/>
    <w:basedOn w:val="DefaultParagraphFont"/>
    <w:link w:val="Footer"/>
    <w:uiPriority w:val="99"/>
    <w:rsid w:val="00AF6DE6"/>
  </w:style>
  <w:style w:type="character" w:styleId="PageNumber">
    <w:name w:val="page number"/>
    <w:basedOn w:val="DefaultParagraphFont"/>
    <w:uiPriority w:val="99"/>
    <w:semiHidden/>
    <w:unhideWhenUsed/>
    <w:rsid w:val="00AF6DE6"/>
  </w:style>
  <w:style w:type="paragraph" w:customStyle="1" w:styleId="p2">
    <w:name w:val="p2"/>
    <w:basedOn w:val="Normal"/>
    <w:rsid w:val="00FD0A13"/>
    <w:rPr>
      <w:rFonts w:ascii="Times New Roman" w:hAnsi="Times New Roman" w:cs="Times New Roman"/>
      <w:sz w:val="17"/>
      <w:szCs w:val="17"/>
    </w:rPr>
  </w:style>
  <w:style w:type="character" w:customStyle="1" w:styleId="s2">
    <w:name w:val="s2"/>
    <w:basedOn w:val="DefaultParagraphFont"/>
    <w:rsid w:val="00FD0A13"/>
    <w:rPr>
      <w:rFonts w:ascii="Times New Roman" w:hAnsi="Times New Roman" w:cs="Times New Roman" w:hint="default"/>
      <w:sz w:val="12"/>
      <w:szCs w:val="12"/>
    </w:rPr>
  </w:style>
  <w:style w:type="character" w:styleId="Emphasis">
    <w:name w:val="Emphasis"/>
    <w:basedOn w:val="DefaultParagraphFont"/>
    <w:uiPriority w:val="20"/>
    <w:qFormat/>
    <w:rsid w:val="003404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5262">
      <w:bodyDiv w:val="1"/>
      <w:marLeft w:val="0"/>
      <w:marRight w:val="0"/>
      <w:marTop w:val="0"/>
      <w:marBottom w:val="0"/>
      <w:divBdr>
        <w:top w:val="none" w:sz="0" w:space="0" w:color="auto"/>
        <w:left w:val="none" w:sz="0" w:space="0" w:color="auto"/>
        <w:bottom w:val="none" w:sz="0" w:space="0" w:color="auto"/>
        <w:right w:val="none" w:sz="0" w:space="0" w:color="auto"/>
      </w:divBdr>
      <w:divsChild>
        <w:div w:id="1701977840">
          <w:marLeft w:val="0"/>
          <w:marRight w:val="0"/>
          <w:marTop w:val="0"/>
          <w:marBottom w:val="0"/>
          <w:divBdr>
            <w:top w:val="none" w:sz="0" w:space="0" w:color="auto"/>
            <w:left w:val="none" w:sz="0" w:space="0" w:color="auto"/>
            <w:bottom w:val="none" w:sz="0" w:space="0" w:color="auto"/>
            <w:right w:val="none" w:sz="0" w:space="0" w:color="auto"/>
          </w:divBdr>
        </w:div>
        <w:div w:id="1660381874">
          <w:marLeft w:val="0"/>
          <w:marRight w:val="0"/>
          <w:marTop w:val="0"/>
          <w:marBottom w:val="0"/>
          <w:divBdr>
            <w:top w:val="none" w:sz="0" w:space="0" w:color="auto"/>
            <w:left w:val="none" w:sz="0" w:space="0" w:color="auto"/>
            <w:bottom w:val="none" w:sz="0" w:space="0" w:color="auto"/>
            <w:right w:val="none" w:sz="0" w:space="0" w:color="auto"/>
          </w:divBdr>
          <w:divsChild>
            <w:div w:id="155172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98230">
      <w:bodyDiv w:val="1"/>
      <w:marLeft w:val="0"/>
      <w:marRight w:val="0"/>
      <w:marTop w:val="0"/>
      <w:marBottom w:val="0"/>
      <w:divBdr>
        <w:top w:val="none" w:sz="0" w:space="0" w:color="auto"/>
        <w:left w:val="none" w:sz="0" w:space="0" w:color="auto"/>
        <w:bottom w:val="none" w:sz="0" w:space="0" w:color="auto"/>
        <w:right w:val="none" w:sz="0" w:space="0" w:color="auto"/>
      </w:divBdr>
    </w:div>
    <w:div w:id="252319411">
      <w:bodyDiv w:val="1"/>
      <w:marLeft w:val="0"/>
      <w:marRight w:val="0"/>
      <w:marTop w:val="0"/>
      <w:marBottom w:val="0"/>
      <w:divBdr>
        <w:top w:val="none" w:sz="0" w:space="0" w:color="auto"/>
        <w:left w:val="none" w:sz="0" w:space="0" w:color="auto"/>
        <w:bottom w:val="none" w:sz="0" w:space="0" w:color="auto"/>
        <w:right w:val="none" w:sz="0" w:space="0" w:color="auto"/>
      </w:divBdr>
    </w:div>
    <w:div w:id="451903178">
      <w:bodyDiv w:val="1"/>
      <w:marLeft w:val="0"/>
      <w:marRight w:val="0"/>
      <w:marTop w:val="0"/>
      <w:marBottom w:val="0"/>
      <w:divBdr>
        <w:top w:val="none" w:sz="0" w:space="0" w:color="auto"/>
        <w:left w:val="none" w:sz="0" w:space="0" w:color="auto"/>
        <w:bottom w:val="none" w:sz="0" w:space="0" w:color="auto"/>
        <w:right w:val="none" w:sz="0" w:space="0" w:color="auto"/>
      </w:divBdr>
    </w:div>
    <w:div w:id="458767019">
      <w:bodyDiv w:val="1"/>
      <w:marLeft w:val="0"/>
      <w:marRight w:val="0"/>
      <w:marTop w:val="0"/>
      <w:marBottom w:val="0"/>
      <w:divBdr>
        <w:top w:val="none" w:sz="0" w:space="0" w:color="auto"/>
        <w:left w:val="none" w:sz="0" w:space="0" w:color="auto"/>
        <w:bottom w:val="none" w:sz="0" w:space="0" w:color="auto"/>
        <w:right w:val="none" w:sz="0" w:space="0" w:color="auto"/>
      </w:divBdr>
    </w:div>
    <w:div w:id="548037374">
      <w:bodyDiv w:val="1"/>
      <w:marLeft w:val="0"/>
      <w:marRight w:val="0"/>
      <w:marTop w:val="0"/>
      <w:marBottom w:val="0"/>
      <w:divBdr>
        <w:top w:val="none" w:sz="0" w:space="0" w:color="auto"/>
        <w:left w:val="none" w:sz="0" w:space="0" w:color="auto"/>
        <w:bottom w:val="none" w:sz="0" w:space="0" w:color="auto"/>
        <w:right w:val="none" w:sz="0" w:space="0" w:color="auto"/>
      </w:divBdr>
    </w:div>
    <w:div w:id="579290801">
      <w:bodyDiv w:val="1"/>
      <w:marLeft w:val="0"/>
      <w:marRight w:val="0"/>
      <w:marTop w:val="0"/>
      <w:marBottom w:val="0"/>
      <w:divBdr>
        <w:top w:val="none" w:sz="0" w:space="0" w:color="auto"/>
        <w:left w:val="none" w:sz="0" w:space="0" w:color="auto"/>
        <w:bottom w:val="none" w:sz="0" w:space="0" w:color="auto"/>
        <w:right w:val="none" w:sz="0" w:space="0" w:color="auto"/>
      </w:divBdr>
    </w:div>
    <w:div w:id="725375261">
      <w:bodyDiv w:val="1"/>
      <w:marLeft w:val="0"/>
      <w:marRight w:val="0"/>
      <w:marTop w:val="0"/>
      <w:marBottom w:val="0"/>
      <w:divBdr>
        <w:top w:val="none" w:sz="0" w:space="0" w:color="auto"/>
        <w:left w:val="none" w:sz="0" w:space="0" w:color="auto"/>
        <w:bottom w:val="none" w:sz="0" w:space="0" w:color="auto"/>
        <w:right w:val="none" w:sz="0" w:space="0" w:color="auto"/>
      </w:divBdr>
    </w:div>
    <w:div w:id="773596162">
      <w:bodyDiv w:val="1"/>
      <w:marLeft w:val="0"/>
      <w:marRight w:val="0"/>
      <w:marTop w:val="0"/>
      <w:marBottom w:val="0"/>
      <w:divBdr>
        <w:top w:val="none" w:sz="0" w:space="0" w:color="auto"/>
        <w:left w:val="none" w:sz="0" w:space="0" w:color="auto"/>
        <w:bottom w:val="none" w:sz="0" w:space="0" w:color="auto"/>
        <w:right w:val="none" w:sz="0" w:space="0" w:color="auto"/>
      </w:divBdr>
    </w:div>
    <w:div w:id="845636792">
      <w:bodyDiv w:val="1"/>
      <w:marLeft w:val="0"/>
      <w:marRight w:val="0"/>
      <w:marTop w:val="0"/>
      <w:marBottom w:val="0"/>
      <w:divBdr>
        <w:top w:val="none" w:sz="0" w:space="0" w:color="auto"/>
        <w:left w:val="none" w:sz="0" w:space="0" w:color="auto"/>
        <w:bottom w:val="none" w:sz="0" w:space="0" w:color="auto"/>
        <w:right w:val="none" w:sz="0" w:space="0" w:color="auto"/>
      </w:divBdr>
    </w:div>
    <w:div w:id="913734715">
      <w:bodyDiv w:val="1"/>
      <w:marLeft w:val="0"/>
      <w:marRight w:val="0"/>
      <w:marTop w:val="0"/>
      <w:marBottom w:val="0"/>
      <w:divBdr>
        <w:top w:val="none" w:sz="0" w:space="0" w:color="auto"/>
        <w:left w:val="none" w:sz="0" w:space="0" w:color="auto"/>
        <w:bottom w:val="none" w:sz="0" w:space="0" w:color="auto"/>
        <w:right w:val="none" w:sz="0" w:space="0" w:color="auto"/>
      </w:divBdr>
    </w:div>
    <w:div w:id="1071194075">
      <w:bodyDiv w:val="1"/>
      <w:marLeft w:val="0"/>
      <w:marRight w:val="0"/>
      <w:marTop w:val="0"/>
      <w:marBottom w:val="0"/>
      <w:divBdr>
        <w:top w:val="none" w:sz="0" w:space="0" w:color="auto"/>
        <w:left w:val="none" w:sz="0" w:space="0" w:color="auto"/>
        <w:bottom w:val="none" w:sz="0" w:space="0" w:color="auto"/>
        <w:right w:val="none" w:sz="0" w:space="0" w:color="auto"/>
      </w:divBdr>
    </w:div>
    <w:div w:id="1418790670">
      <w:bodyDiv w:val="1"/>
      <w:marLeft w:val="0"/>
      <w:marRight w:val="0"/>
      <w:marTop w:val="0"/>
      <w:marBottom w:val="0"/>
      <w:divBdr>
        <w:top w:val="none" w:sz="0" w:space="0" w:color="auto"/>
        <w:left w:val="none" w:sz="0" w:space="0" w:color="auto"/>
        <w:bottom w:val="none" w:sz="0" w:space="0" w:color="auto"/>
        <w:right w:val="none" w:sz="0" w:space="0" w:color="auto"/>
      </w:divBdr>
    </w:div>
    <w:div w:id="1601252714">
      <w:bodyDiv w:val="1"/>
      <w:marLeft w:val="0"/>
      <w:marRight w:val="0"/>
      <w:marTop w:val="0"/>
      <w:marBottom w:val="0"/>
      <w:divBdr>
        <w:top w:val="none" w:sz="0" w:space="0" w:color="auto"/>
        <w:left w:val="none" w:sz="0" w:space="0" w:color="auto"/>
        <w:bottom w:val="none" w:sz="0" w:space="0" w:color="auto"/>
        <w:right w:val="none" w:sz="0" w:space="0" w:color="auto"/>
      </w:divBdr>
    </w:div>
    <w:div w:id="1732922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7439</Words>
  <Characters>42403</Characters>
  <Application>Microsoft Office Word</Application>
  <DocSecurity>4</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Smith</dc:creator>
  <cp:keywords/>
  <dc:description/>
  <cp:lastModifiedBy>Whalley T.</cp:lastModifiedBy>
  <cp:revision>2</cp:revision>
  <cp:lastPrinted>2017-10-24T16:00:00Z</cp:lastPrinted>
  <dcterms:created xsi:type="dcterms:W3CDTF">2018-05-21T10:28:00Z</dcterms:created>
  <dcterms:modified xsi:type="dcterms:W3CDTF">2018-05-21T10:28:00Z</dcterms:modified>
</cp:coreProperties>
</file>