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3F05D5" w14:textId="77777777" w:rsidR="00A736FE" w:rsidRPr="007435FA" w:rsidRDefault="00A736FE" w:rsidP="00A736FE">
      <w:pPr>
        <w:spacing w:line="480" w:lineRule="auto"/>
        <w:jc w:val="center"/>
        <w:rPr>
          <w:rFonts w:ascii="Times New Roman" w:hAnsi="Times New Roman"/>
          <w:b/>
          <w:sz w:val="20"/>
          <w:szCs w:val="20"/>
        </w:rPr>
      </w:pPr>
      <w:bookmarkStart w:id="0" w:name="_GoBack"/>
      <w:bookmarkEnd w:id="0"/>
      <w:r w:rsidRPr="007435FA">
        <w:rPr>
          <w:rFonts w:ascii="Times New Roman" w:hAnsi="Times New Roman"/>
          <w:b/>
          <w:sz w:val="20"/>
          <w:szCs w:val="20"/>
        </w:rPr>
        <w:t>‘</w:t>
      </w:r>
      <w:r>
        <w:rPr>
          <w:rFonts w:ascii="Times New Roman" w:hAnsi="Times New Roman"/>
          <w:b/>
          <w:sz w:val="20"/>
          <w:szCs w:val="20"/>
        </w:rPr>
        <w:t>Inferring transient dynamics of human populations from non-normality metrics.’</w:t>
      </w:r>
    </w:p>
    <w:p w14:paraId="67CF7DF0" w14:textId="77777777" w:rsidR="00A736FE" w:rsidRPr="007435FA" w:rsidRDefault="00A736FE" w:rsidP="00A736FE">
      <w:pPr>
        <w:pStyle w:val="NoSpacing"/>
        <w:spacing w:line="480" w:lineRule="auto"/>
        <w:rPr>
          <w:rFonts w:ascii="Times New Roman" w:hAnsi="Times New Roman"/>
          <w:sz w:val="20"/>
          <w:szCs w:val="20"/>
        </w:rPr>
      </w:pPr>
    </w:p>
    <w:p w14:paraId="1E1F5DEB" w14:textId="77777777" w:rsidR="00A736FE" w:rsidRPr="007435FA" w:rsidRDefault="00FB4A3B" w:rsidP="00A736FE">
      <w:pPr>
        <w:pStyle w:val="NoSpacing"/>
        <w:spacing w:line="480" w:lineRule="auto"/>
        <w:jc w:val="center"/>
        <w:rPr>
          <w:rFonts w:ascii="Times New Roman" w:hAnsi="Times New Roman"/>
          <w:sz w:val="20"/>
          <w:szCs w:val="20"/>
        </w:rPr>
      </w:pPr>
      <w:r>
        <w:rPr>
          <w:rFonts w:ascii="Times New Roman" w:hAnsi="Times New Roman"/>
          <w:sz w:val="20"/>
          <w:szCs w:val="20"/>
        </w:rPr>
        <w:t>Alex Nicol-Harper</w:t>
      </w:r>
      <w:r w:rsidR="00A736FE" w:rsidRPr="00D944A5">
        <w:rPr>
          <w:rFonts w:ascii="Times New Roman" w:hAnsi="Times New Roman"/>
          <w:sz w:val="20"/>
          <w:szCs w:val="20"/>
          <w:vertAlign w:val="superscript"/>
        </w:rPr>
        <w:t>1</w:t>
      </w:r>
      <w:r w:rsidR="00A736FE">
        <w:rPr>
          <w:rFonts w:ascii="Times New Roman" w:hAnsi="Times New Roman"/>
          <w:sz w:val="20"/>
          <w:szCs w:val="20"/>
          <w:vertAlign w:val="superscript"/>
        </w:rPr>
        <w:t>*</w:t>
      </w:r>
      <w:r w:rsidR="00A736FE" w:rsidRPr="00D944A5">
        <w:rPr>
          <w:rFonts w:ascii="Times New Roman" w:hAnsi="Times New Roman"/>
          <w:sz w:val="20"/>
          <w:szCs w:val="20"/>
        </w:rPr>
        <w:t xml:space="preserve">, </w:t>
      </w:r>
      <w:r>
        <w:rPr>
          <w:rFonts w:ascii="Times New Roman" w:hAnsi="Times New Roman"/>
          <w:sz w:val="20"/>
          <w:szCs w:val="20"/>
        </w:rPr>
        <w:t>Claire Dooley</w:t>
      </w:r>
      <w:r w:rsidR="00A736FE" w:rsidRPr="00D944A5">
        <w:rPr>
          <w:rFonts w:ascii="Times New Roman" w:hAnsi="Times New Roman"/>
          <w:sz w:val="20"/>
          <w:szCs w:val="20"/>
          <w:vertAlign w:val="superscript"/>
        </w:rPr>
        <w:t>1</w:t>
      </w:r>
      <w:r w:rsidR="00A736FE" w:rsidRPr="00D944A5">
        <w:rPr>
          <w:rFonts w:ascii="Times New Roman" w:hAnsi="Times New Roman"/>
          <w:sz w:val="20"/>
          <w:szCs w:val="20"/>
        </w:rPr>
        <w:t xml:space="preserve">, </w:t>
      </w:r>
      <w:r>
        <w:rPr>
          <w:rFonts w:ascii="Times New Roman" w:hAnsi="Times New Roman"/>
          <w:sz w:val="20"/>
          <w:szCs w:val="20"/>
        </w:rPr>
        <w:t>David Packman</w:t>
      </w:r>
      <w:r w:rsidR="00A736FE" w:rsidRPr="00D944A5">
        <w:rPr>
          <w:rFonts w:ascii="Times New Roman" w:hAnsi="Times New Roman"/>
          <w:sz w:val="20"/>
          <w:szCs w:val="20"/>
          <w:vertAlign w:val="superscript"/>
        </w:rPr>
        <w:t>2</w:t>
      </w:r>
      <w:r w:rsidR="00A736FE" w:rsidRPr="00D944A5">
        <w:rPr>
          <w:rFonts w:ascii="Times New Roman" w:hAnsi="Times New Roman"/>
          <w:sz w:val="20"/>
          <w:szCs w:val="20"/>
        </w:rPr>
        <w:t xml:space="preserve">, </w:t>
      </w:r>
      <w:r>
        <w:rPr>
          <w:rFonts w:ascii="Times New Roman" w:hAnsi="Times New Roman"/>
          <w:sz w:val="20"/>
          <w:szCs w:val="20"/>
        </w:rPr>
        <w:t xml:space="preserve">Markus </w:t>
      </w:r>
      <w:r w:rsidR="00A736FE" w:rsidRPr="00D944A5">
        <w:rPr>
          <w:rFonts w:ascii="Times New Roman" w:hAnsi="Times New Roman"/>
          <w:sz w:val="20"/>
          <w:szCs w:val="20"/>
        </w:rPr>
        <w:t>Mueller</w:t>
      </w:r>
      <w:r w:rsidR="00A736FE" w:rsidRPr="00D944A5">
        <w:rPr>
          <w:rFonts w:ascii="Times New Roman" w:hAnsi="Times New Roman"/>
          <w:sz w:val="20"/>
          <w:szCs w:val="20"/>
          <w:vertAlign w:val="superscript"/>
        </w:rPr>
        <w:t>2</w:t>
      </w:r>
      <w:r w:rsidR="00A736FE" w:rsidRPr="00D944A5">
        <w:rPr>
          <w:rFonts w:ascii="Times New Roman" w:hAnsi="Times New Roman"/>
          <w:sz w:val="20"/>
          <w:szCs w:val="20"/>
        </w:rPr>
        <w:t xml:space="preserve">, </w:t>
      </w:r>
      <w:r>
        <w:rPr>
          <w:rFonts w:ascii="Times New Roman" w:hAnsi="Times New Roman"/>
          <w:sz w:val="20"/>
          <w:szCs w:val="20"/>
        </w:rPr>
        <w:t>Jakub Bijak</w:t>
      </w:r>
      <w:r w:rsidR="00A736FE" w:rsidRPr="00D944A5">
        <w:rPr>
          <w:rFonts w:ascii="Times New Roman" w:hAnsi="Times New Roman"/>
          <w:sz w:val="20"/>
          <w:szCs w:val="20"/>
          <w:vertAlign w:val="superscript"/>
        </w:rPr>
        <w:t>3</w:t>
      </w:r>
      <w:r w:rsidR="00A736FE" w:rsidRPr="00D944A5">
        <w:rPr>
          <w:rFonts w:ascii="Times New Roman" w:hAnsi="Times New Roman"/>
          <w:sz w:val="20"/>
          <w:szCs w:val="20"/>
        </w:rPr>
        <w:t xml:space="preserve">, </w:t>
      </w:r>
      <w:r>
        <w:rPr>
          <w:rFonts w:ascii="Times New Roman" w:hAnsi="Times New Roman"/>
          <w:sz w:val="20"/>
          <w:szCs w:val="20"/>
        </w:rPr>
        <w:t>David Hodgson</w:t>
      </w:r>
      <w:r w:rsidR="00A736FE" w:rsidRPr="00D944A5">
        <w:rPr>
          <w:rFonts w:ascii="Times New Roman" w:hAnsi="Times New Roman"/>
          <w:sz w:val="20"/>
          <w:szCs w:val="20"/>
          <w:vertAlign w:val="superscript"/>
        </w:rPr>
        <w:t>4</w:t>
      </w:r>
      <w:r w:rsidR="00A736FE" w:rsidRPr="00D944A5">
        <w:rPr>
          <w:rFonts w:ascii="Times New Roman" w:hAnsi="Times New Roman"/>
          <w:sz w:val="20"/>
          <w:szCs w:val="20"/>
        </w:rPr>
        <w:t xml:space="preserve">, </w:t>
      </w:r>
      <w:r>
        <w:rPr>
          <w:rFonts w:ascii="Times New Roman" w:hAnsi="Times New Roman"/>
          <w:sz w:val="20"/>
          <w:szCs w:val="20"/>
        </w:rPr>
        <w:t>Stuart Townley</w:t>
      </w:r>
      <w:r w:rsidR="00A736FE" w:rsidRPr="00D944A5">
        <w:rPr>
          <w:rFonts w:ascii="Times New Roman" w:hAnsi="Times New Roman"/>
          <w:sz w:val="20"/>
          <w:szCs w:val="20"/>
          <w:vertAlign w:val="superscript"/>
        </w:rPr>
        <w:t>2</w:t>
      </w:r>
      <w:r w:rsidR="00A736FE" w:rsidRPr="00D944A5">
        <w:rPr>
          <w:rFonts w:ascii="Times New Roman" w:hAnsi="Times New Roman"/>
          <w:sz w:val="20"/>
          <w:szCs w:val="20"/>
        </w:rPr>
        <w:t xml:space="preserve">, </w:t>
      </w:r>
      <w:r>
        <w:rPr>
          <w:rFonts w:ascii="Times New Roman" w:hAnsi="Times New Roman"/>
          <w:sz w:val="20"/>
          <w:szCs w:val="20"/>
        </w:rPr>
        <w:t xml:space="preserve">Thomas </w:t>
      </w:r>
      <w:r w:rsidR="00A736FE" w:rsidRPr="00D944A5">
        <w:rPr>
          <w:rFonts w:ascii="Times New Roman" w:hAnsi="Times New Roman"/>
          <w:sz w:val="20"/>
          <w:szCs w:val="20"/>
        </w:rPr>
        <w:t>Ezard</w:t>
      </w:r>
      <w:r w:rsidR="00A736FE">
        <w:rPr>
          <w:rFonts w:ascii="Times New Roman" w:hAnsi="Times New Roman"/>
          <w:sz w:val="20"/>
          <w:szCs w:val="20"/>
          <w:vertAlign w:val="superscript"/>
        </w:rPr>
        <w:t>1</w:t>
      </w:r>
    </w:p>
    <w:p w14:paraId="3462D245" w14:textId="77777777" w:rsidR="00A736FE" w:rsidRPr="007435FA" w:rsidRDefault="00A736FE" w:rsidP="00A736FE">
      <w:pPr>
        <w:pStyle w:val="NoSpacing"/>
        <w:spacing w:line="480" w:lineRule="auto"/>
        <w:rPr>
          <w:rFonts w:ascii="Times New Roman" w:hAnsi="Times New Roman"/>
          <w:sz w:val="20"/>
          <w:szCs w:val="20"/>
        </w:rPr>
      </w:pPr>
    </w:p>
    <w:p w14:paraId="4E2968FF" w14:textId="77777777" w:rsidR="00A736FE" w:rsidRPr="007435FA" w:rsidRDefault="00A736FE" w:rsidP="00A736FE">
      <w:pPr>
        <w:pStyle w:val="NoSpacing"/>
        <w:spacing w:line="480" w:lineRule="auto"/>
        <w:jc w:val="center"/>
        <w:rPr>
          <w:rFonts w:ascii="Times New Roman" w:hAnsi="Times New Roman"/>
          <w:sz w:val="20"/>
          <w:szCs w:val="20"/>
        </w:rPr>
      </w:pPr>
      <w:r w:rsidRPr="007435FA">
        <w:rPr>
          <w:rFonts w:ascii="Times New Roman" w:hAnsi="Times New Roman"/>
          <w:sz w:val="20"/>
          <w:szCs w:val="20"/>
        </w:rPr>
        <w:t>Affiliations:</w:t>
      </w:r>
    </w:p>
    <w:p w14:paraId="25ADE6DD" w14:textId="77777777" w:rsidR="00A736FE" w:rsidRPr="007435FA" w:rsidRDefault="00A736FE" w:rsidP="00A736FE">
      <w:pPr>
        <w:pStyle w:val="NoSpacing"/>
        <w:spacing w:line="480" w:lineRule="auto"/>
        <w:jc w:val="center"/>
        <w:rPr>
          <w:rFonts w:ascii="Times New Roman" w:hAnsi="Times New Roman"/>
          <w:sz w:val="20"/>
          <w:szCs w:val="20"/>
        </w:rPr>
      </w:pPr>
      <w:r w:rsidRPr="007435FA">
        <w:rPr>
          <w:rFonts w:ascii="Times New Roman" w:hAnsi="Times New Roman"/>
          <w:sz w:val="20"/>
          <w:szCs w:val="20"/>
          <w:vertAlign w:val="superscript"/>
        </w:rPr>
        <w:t>1</w:t>
      </w:r>
      <w:r w:rsidRPr="007435FA">
        <w:rPr>
          <w:rFonts w:ascii="Times New Roman" w:hAnsi="Times New Roman"/>
          <w:sz w:val="20"/>
          <w:szCs w:val="20"/>
        </w:rPr>
        <w:t>Ocean and Earth Science, University of Southampton Waterfront Campus, National Oceanography Centre, Southampton, UK</w:t>
      </w:r>
    </w:p>
    <w:p w14:paraId="1B7E792A" w14:textId="77777777" w:rsidR="00A736FE" w:rsidRPr="007435FA" w:rsidRDefault="00A736FE" w:rsidP="00A736FE">
      <w:pPr>
        <w:pStyle w:val="NoSpacing"/>
        <w:spacing w:line="480" w:lineRule="auto"/>
        <w:jc w:val="center"/>
        <w:rPr>
          <w:rFonts w:ascii="Times New Roman" w:hAnsi="Times New Roman"/>
          <w:color w:val="000000" w:themeColor="text1"/>
          <w:sz w:val="20"/>
          <w:szCs w:val="20"/>
          <w:shd w:val="clear" w:color="auto" w:fill="FFFFFF"/>
        </w:rPr>
      </w:pPr>
      <w:r w:rsidRPr="007435FA">
        <w:rPr>
          <w:rFonts w:ascii="Times New Roman" w:hAnsi="Times New Roman"/>
          <w:color w:val="000000" w:themeColor="text1"/>
          <w:sz w:val="20"/>
          <w:szCs w:val="20"/>
          <w:shd w:val="clear" w:color="auto" w:fill="FFFFFF"/>
          <w:vertAlign w:val="superscript"/>
        </w:rPr>
        <w:t>2</w:t>
      </w:r>
      <w:r w:rsidRPr="007435FA">
        <w:rPr>
          <w:rFonts w:ascii="Times New Roman" w:hAnsi="Times New Roman"/>
          <w:color w:val="000000" w:themeColor="text1"/>
          <w:sz w:val="20"/>
          <w:szCs w:val="20"/>
          <w:shd w:val="clear" w:color="auto" w:fill="FFFFFF"/>
        </w:rPr>
        <w:t>Environment and Sustainability Institute, College of Engineering, Mathematics and Physical Sciences, University of Exeter in Cornwall, Penryn Campus, Cornwall, UK</w:t>
      </w:r>
    </w:p>
    <w:p w14:paraId="5DFB01AB" w14:textId="77777777" w:rsidR="00A736FE" w:rsidRPr="007435FA" w:rsidRDefault="00A736FE" w:rsidP="00A736FE">
      <w:pPr>
        <w:pStyle w:val="NoSpacing"/>
        <w:spacing w:line="480" w:lineRule="auto"/>
        <w:jc w:val="center"/>
        <w:rPr>
          <w:rFonts w:ascii="Times New Roman" w:hAnsi="Times New Roman"/>
          <w:color w:val="000000" w:themeColor="text1"/>
          <w:sz w:val="20"/>
          <w:szCs w:val="20"/>
          <w:shd w:val="clear" w:color="auto" w:fill="FFFFFF"/>
        </w:rPr>
      </w:pPr>
      <w:r w:rsidRPr="007435FA">
        <w:rPr>
          <w:rFonts w:ascii="Times New Roman" w:hAnsi="Times New Roman"/>
          <w:color w:val="000000" w:themeColor="text1"/>
          <w:sz w:val="20"/>
          <w:szCs w:val="20"/>
          <w:vertAlign w:val="superscript"/>
        </w:rPr>
        <w:t>3</w:t>
      </w:r>
      <w:r>
        <w:rPr>
          <w:rFonts w:ascii="Times New Roman" w:hAnsi="Times New Roman"/>
          <w:color w:val="000000" w:themeColor="text1"/>
          <w:sz w:val="20"/>
          <w:szCs w:val="20"/>
          <w:shd w:val="clear" w:color="auto" w:fill="FFFFFF"/>
        </w:rPr>
        <w:t>Department</w:t>
      </w:r>
      <w:r w:rsidRPr="007435FA">
        <w:rPr>
          <w:rFonts w:ascii="Times New Roman" w:hAnsi="Times New Roman"/>
          <w:color w:val="000000" w:themeColor="text1"/>
          <w:sz w:val="20"/>
          <w:szCs w:val="20"/>
          <w:shd w:val="clear" w:color="auto" w:fill="FFFFFF"/>
        </w:rPr>
        <w:t xml:space="preserve"> of Social Statistics and Demography, ESRC Centre for Population Change, Southampton Statistical Sciences Research Institute, University of Southampton, Southampton, UK</w:t>
      </w:r>
    </w:p>
    <w:p w14:paraId="017BECEB" w14:textId="77777777" w:rsidR="00A736FE" w:rsidRPr="007435FA" w:rsidRDefault="00A736FE" w:rsidP="00A736FE">
      <w:pPr>
        <w:pStyle w:val="NoSpacing"/>
        <w:spacing w:line="480" w:lineRule="auto"/>
        <w:jc w:val="center"/>
        <w:rPr>
          <w:rFonts w:ascii="Times New Roman" w:hAnsi="Times New Roman"/>
          <w:sz w:val="20"/>
          <w:szCs w:val="20"/>
        </w:rPr>
      </w:pPr>
      <w:r w:rsidRPr="007435FA">
        <w:rPr>
          <w:rFonts w:ascii="Times New Roman" w:hAnsi="Times New Roman"/>
          <w:sz w:val="20"/>
          <w:szCs w:val="20"/>
          <w:vertAlign w:val="superscript"/>
        </w:rPr>
        <w:t>4</w:t>
      </w:r>
      <w:r w:rsidRPr="007435FA">
        <w:rPr>
          <w:rFonts w:ascii="Times New Roman" w:hAnsi="Times New Roman"/>
          <w:sz w:val="20"/>
          <w:szCs w:val="20"/>
        </w:rPr>
        <w:t>Centre for Ecology and Conservation, College of Life and Environmental Sciences, University of Exeter in Cornwall, Penryn Campus, Cornwall, UK</w:t>
      </w:r>
    </w:p>
    <w:p w14:paraId="0A3CA726" w14:textId="77777777" w:rsidR="00A736FE" w:rsidRPr="007435FA" w:rsidRDefault="00A736FE" w:rsidP="00A736FE">
      <w:pPr>
        <w:spacing w:line="480" w:lineRule="auto"/>
        <w:rPr>
          <w:rFonts w:ascii="Times New Roman" w:hAnsi="Times New Roman"/>
          <w:sz w:val="20"/>
          <w:szCs w:val="20"/>
        </w:rPr>
      </w:pPr>
    </w:p>
    <w:p w14:paraId="53E523FD" w14:textId="77777777" w:rsidR="00A736FE" w:rsidRPr="007435FA" w:rsidRDefault="00A736FE" w:rsidP="00A736FE">
      <w:pPr>
        <w:spacing w:line="480" w:lineRule="auto"/>
        <w:rPr>
          <w:rFonts w:ascii="Times New Roman" w:hAnsi="Times New Roman"/>
          <w:sz w:val="20"/>
          <w:szCs w:val="20"/>
        </w:rPr>
      </w:pPr>
    </w:p>
    <w:p w14:paraId="18A27552" w14:textId="77777777" w:rsidR="00A736FE" w:rsidRPr="001F1E01" w:rsidRDefault="00A736FE" w:rsidP="00A736FE">
      <w:pPr>
        <w:spacing w:line="480" w:lineRule="auto"/>
        <w:rPr>
          <w:rFonts w:ascii="Times New Roman" w:hAnsi="Times New Roman"/>
          <w:sz w:val="20"/>
          <w:szCs w:val="20"/>
        </w:rPr>
      </w:pPr>
      <w:r w:rsidRPr="001F1E01">
        <w:rPr>
          <w:rFonts w:ascii="Times New Roman" w:hAnsi="Times New Roman"/>
          <w:sz w:val="20"/>
          <w:szCs w:val="20"/>
        </w:rPr>
        <w:t xml:space="preserve">*Corresponding author: </w:t>
      </w:r>
      <w:r>
        <w:rPr>
          <w:rFonts w:ascii="Times New Roman" w:hAnsi="Times New Roman"/>
          <w:sz w:val="20"/>
          <w:szCs w:val="20"/>
        </w:rPr>
        <w:t>Alex Nicol-Harper</w:t>
      </w:r>
    </w:p>
    <w:p w14:paraId="2B7B82D6" w14:textId="77777777" w:rsidR="00A736FE" w:rsidRPr="001F1E01" w:rsidRDefault="00A736FE" w:rsidP="00A736FE">
      <w:pPr>
        <w:spacing w:line="480" w:lineRule="auto"/>
        <w:rPr>
          <w:rFonts w:ascii="Times New Roman" w:hAnsi="Times New Roman"/>
          <w:sz w:val="20"/>
          <w:szCs w:val="20"/>
        </w:rPr>
      </w:pPr>
      <w:r>
        <w:rPr>
          <w:rFonts w:ascii="Times New Roman" w:hAnsi="Times New Roman"/>
          <w:sz w:val="20"/>
          <w:szCs w:val="20"/>
        </w:rPr>
        <w:t>Email: alex.nh13@gmail.com</w:t>
      </w:r>
    </w:p>
    <w:p w14:paraId="3C57207D" w14:textId="77777777" w:rsidR="00A736FE" w:rsidRPr="007435FA" w:rsidRDefault="00A736FE" w:rsidP="00A736FE">
      <w:pPr>
        <w:spacing w:line="480" w:lineRule="auto"/>
        <w:rPr>
          <w:rFonts w:ascii="Times New Roman" w:hAnsi="Times New Roman"/>
          <w:sz w:val="20"/>
          <w:szCs w:val="20"/>
        </w:rPr>
      </w:pPr>
      <w:r w:rsidRPr="001F1E01">
        <w:rPr>
          <w:rFonts w:ascii="Times New Roman" w:hAnsi="Times New Roman"/>
          <w:sz w:val="20"/>
          <w:szCs w:val="20"/>
        </w:rPr>
        <w:t xml:space="preserve">Telephone: </w:t>
      </w:r>
      <w:r w:rsidRPr="001F1E01">
        <w:rPr>
          <w:rFonts w:ascii="Times New Roman" w:hAnsi="Times New Roman"/>
          <w:sz w:val="20"/>
          <w:szCs w:val="20"/>
          <w:shd w:val="clear" w:color="auto" w:fill="FFFFFF"/>
        </w:rPr>
        <w:t>+44 (0)</w:t>
      </w:r>
      <w:r>
        <w:rPr>
          <w:rFonts w:ascii="Times New Roman" w:hAnsi="Times New Roman"/>
          <w:sz w:val="20"/>
          <w:szCs w:val="20"/>
          <w:shd w:val="clear" w:color="auto" w:fill="FFFFFF"/>
        </w:rPr>
        <w:t>7505 365183</w:t>
      </w:r>
    </w:p>
    <w:p w14:paraId="75861F98" w14:textId="77777777" w:rsidR="00A736FE" w:rsidRPr="007435FA" w:rsidRDefault="00A736FE" w:rsidP="00A736FE">
      <w:pPr>
        <w:spacing w:line="480" w:lineRule="auto"/>
        <w:rPr>
          <w:rFonts w:ascii="Times New Roman" w:hAnsi="Times New Roman"/>
          <w:sz w:val="20"/>
          <w:szCs w:val="20"/>
        </w:rPr>
      </w:pPr>
    </w:p>
    <w:p w14:paraId="3576EF4C" w14:textId="77777777" w:rsidR="00A736FE" w:rsidRPr="007435FA" w:rsidRDefault="00A736FE" w:rsidP="00A736FE">
      <w:pPr>
        <w:spacing w:line="480" w:lineRule="auto"/>
        <w:rPr>
          <w:rFonts w:ascii="Times New Roman" w:hAnsi="Times New Roman"/>
          <w:sz w:val="20"/>
          <w:szCs w:val="20"/>
        </w:rPr>
      </w:pPr>
    </w:p>
    <w:p w14:paraId="2EC711CC" w14:textId="77777777" w:rsidR="00A736FE" w:rsidRPr="007435FA" w:rsidRDefault="00A736FE" w:rsidP="00A736FE">
      <w:pPr>
        <w:spacing w:line="480" w:lineRule="auto"/>
        <w:rPr>
          <w:rFonts w:ascii="Times New Roman" w:hAnsi="Times New Roman"/>
          <w:sz w:val="20"/>
          <w:szCs w:val="20"/>
        </w:rPr>
      </w:pPr>
      <w:r w:rsidRPr="007435FA">
        <w:rPr>
          <w:rFonts w:ascii="Times New Roman" w:hAnsi="Times New Roman"/>
          <w:sz w:val="20"/>
          <w:szCs w:val="20"/>
        </w:rPr>
        <w:t xml:space="preserve">Author ORCID’s: </w:t>
      </w:r>
    </w:p>
    <w:p w14:paraId="26029B20" w14:textId="77777777" w:rsidR="00A736FE" w:rsidRDefault="00A736FE" w:rsidP="00A736FE">
      <w:pPr>
        <w:spacing w:line="480" w:lineRule="auto"/>
        <w:rPr>
          <w:rFonts w:ascii="Times New Roman" w:hAnsi="Times New Roman"/>
          <w:sz w:val="20"/>
          <w:szCs w:val="20"/>
        </w:rPr>
      </w:pPr>
      <w:r w:rsidRPr="007435FA">
        <w:rPr>
          <w:rFonts w:ascii="Times New Roman" w:hAnsi="Times New Roman"/>
          <w:sz w:val="20"/>
          <w:szCs w:val="20"/>
        </w:rPr>
        <w:t>AN</w:t>
      </w:r>
      <w:r w:rsidR="001353CF">
        <w:rPr>
          <w:rFonts w:ascii="Times New Roman" w:hAnsi="Times New Roman"/>
          <w:sz w:val="20"/>
          <w:szCs w:val="20"/>
        </w:rPr>
        <w:t>-</w:t>
      </w:r>
      <w:r w:rsidRPr="007435FA">
        <w:rPr>
          <w:rFonts w:ascii="Times New Roman" w:hAnsi="Times New Roman"/>
          <w:sz w:val="20"/>
          <w:szCs w:val="20"/>
        </w:rPr>
        <w:t>H: 0000-0002-8684-9333</w:t>
      </w:r>
    </w:p>
    <w:p w14:paraId="4D05D033" w14:textId="77777777" w:rsidR="00A736FE" w:rsidRDefault="00A736FE" w:rsidP="00A736FE">
      <w:pPr>
        <w:spacing w:line="480" w:lineRule="auto"/>
        <w:rPr>
          <w:rFonts w:ascii="Times New Roman" w:hAnsi="Times New Roman"/>
          <w:sz w:val="20"/>
          <w:szCs w:val="20"/>
        </w:rPr>
      </w:pPr>
      <w:r>
        <w:rPr>
          <w:rFonts w:ascii="Times New Roman" w:hAnsi="Times New Roman"/>
          <w:sz w:val="20"/>
          <w:szCs w:val="20"/>
        </w:rPr>
        <w:t xml:space="preserve">MM: </w:t>
      </w:r>
      <w:r w:rsidRPr="00C12A22">
        <w:rPr>
          <w:rFonts w:ascii="Times New Roman" w:hAnsi="Times New Roman"/>
          <w:sz w:val="20"/>
          <w:szCs w:val="20"/>
        </w:rPr>
        <w:t>0000-0001-7489-6397</w:t>
      </w:r>
    </w:p>
    <w:p w14:paraId="7311097E" w14:textId="77777777" w:rsidR="00A736FE" w:rsidRDefault="00A736FE" w:rsidP="00A736FE">
      <w:pPr>
        <w:spacing w:line="480" w:lineRule="auto"/>
        <w:rPr>
          <w:rFonts w:ascii="Times New Roman" w:hAnsi="Times New Roman"/>
          <w:sz w:val="20"/>
          <w:szCs w:val="20"/>
        </w:rPr>
      </w:pPr>
      <w:r>
        <w:rPr>
          <w:rFonts w:ascii="Times New Roman" w:hAnsi="Times New Roman"/>
          <w:sz w:val="20"/>
          <w:szCs w:val="20"/>
        </w:rPr>
        <w:t>JB: 0000-0002-2563-5040</w:t>
      </w:r>
    </w:p>
    <w:p w14:paraId="6FA62639" w14:textId="77777777" w:rsidR="00A736FE" w:rsidRPr="00BF7B3C" w:rsidRDefault="001353CF" w:rsidP="00A736FE">
      <w:pPr>
        <w:spacing w:line="480" w:lineRule="auto"/>
        <w:rPr>
          <w:rFonts w:ascii="Times New Roman" w:hAnsi="Times New Roman"/>
          <w:sz w:val="20"/>
          <w:szCs w:val="20"/>
        </w:rPr>
      </w:pPr>
      <w:r>
        <w:rPr>
          <w:rFonts w:ascii="Times New Roman" w:hAnsi="Times New Roman"/>
          <w:sz w:val="20"/>
          <w:szCs w:val="20"/>
        </w:rPr>
        <w:t>D</w:t>
      </w:r>
      <w:r w:rsidR="00A736FE">
        <w:rPr>
          <w:rFonts w:ascii="Times New Roman" w:hAnsi="Times New Roman"/>
          <w:sz w:val="20"/>
          <w:szCs w:val="20"/>
        </w:rPr>
        <w:t>H</w:t>
      </w:r>
      <w:r w:rsidR="00A736FE" w:rsidRPr="00BF7B3C">
        <w:rPr>
          <w:rFonts w:ascii="Times New Roman" w:hAnsi="Times New Roman"/>
          <w:sz w:val="20"/>
          <w:szCs w:val="20"/>
        </w:rPr>
        <w:t xml:space="preserve">: </w:t>
      </w:r>
      <w:r w:rsidR="00A736FE" w:rsidRPr="00BF7B3C">
        <w:rPr>
          <w:rFonts w:ascii="Times New Roman" w:hAnsi="Times New Roman"/>
          <w:sz w:val="20"/>
          <w:szCs w:val="20"/>
          <w:shd w:val="clear" w:color="auto" w:fill="FFFFFF"/>
        </w:rPr>
        <w:t>0000-0003-4220-2076</w:t>
      </w:r>
    </w:p>
    <w:p w14:paraId="541557DC" w14:textId="77777777" w:rsidR="00A736FE" w:rsidRDefault="00A736FE" w:rsidP="00A736FE">
      <w:pPr>
        <w:spacing w:line="480" w:lineRule="auto"/>
        <w:rPr>
          <w:rFonts w:ascii="Times New Roman" w:hAnsi="Times New Roman"/>
          <w:sz w:val="20"/>
          <w:szCs w:val="20"/>
        </w:rPr>
      </w:pPr>
      <w:r>
        <w:rPr>
          <w:rFonts w:ascii="Times New Roman" w:hAnsi="Times New Roman"/>
          <w:sz w:val="20"/>
          <w:szCs w:val="20"/>
        </w:rPr>
        <w:t>ST: 0000-0003-3524-4526</w:t>
      </w:r>
    </w:p>
    <w:p w14:paraId="51D87633" w14:textId="77777777" w:rsidR="00A736FE" w:rsidRPr="007435FA" w:rsidRDefault="001353CF" w:rsidP="00A736FE">
      <w:pPr>
        <w:spacing w:line="480" w:lineRule="auto"/>
        <w:rPr>
          <w:rFonts w:ascii="Times New Roman" w:hAnsi="Times New Roman"/>
          <w:sz w:val="20"/>
          <w:szCs w:val="20"/>
        </w:rPr>
      </w:pPr>
      <w:r>
        <w:rPr>
          <w:rFonts w:ascii="Times New Roman" w:hAnsi="Times New Roman"/>
          <w:sz w:val="20"/>
          <w:szCs w:val="20"/>
        </w:rPr>
        <w:t>T</w:t>
      </w:r>
      <w:r w:rsidR="00A736FE">
        <w:rPr>
          <w:rFonts w:ascii="Times New Roman" w:hAnsi="Times New Roman"/>
          <w:sz w:val="20"/>
          <w:szCs w:val="20"/>
        </w:rPr>
        <w:t>E: 0000-0001-8305-6605</w:t>
      </w:r>
    </w:p>
    <w:p w14:paraId="783B7637" w14:textId="77777777" w:rsidR="00A736FE" w:rsidRPr="007435FA" w:rsidRDefault="00A736FE" w:rsidP="00A736FE">
      <w:pPr>
        <w:spacing w:line="480" w:lineRule="auto"/>
        <w:rPr>
          <w:rFonts w:ascii="Times New Roman" w:hAnsi="Times New Roman"/>
          <w:sz w:val="20"/>
          <w:szCs w:val="20"/>
        </w:rPr>
      </w:pPr>
    </w:p>
    <w:p w14:paraId="1C330735" w14:textId="77777777" w:rsidR="00A736FE" w:rsidRPr="00922328" w:rsidRDefault="00922328" w:rsidP="00A736FE">
      <w:pPr>
        <w:pStyle w:val="Heading2"/>
        <w:spacing w:line="480" w:lineRule="auto"/>
        <w:rPr>
          <w:rFonts w:ascii="Times New Roman" w:hAnsi="Times New Roman" w:cs="Times New Roman"/>
          <w:b/>
          <w:color w:val="auto"/>
          <w:sz w:val="20"/>
          <w:szCs w:val="20"/>
        </w:rPr>
      </w:pPr>
      <w:r w:rsidRPr="00922328">
        <w:rPr>
          <w:rStyle w:val="Heading2Char"/>
          <w:rFonts w:ascii="Times New Roman" w:hAnsi="Times New Roman" w:cs="Times New Roman"/>
          <w:b/>
          <w:color w:val="auto"/>
          <w:sz w:val="20"/>
          <w:szCs w:val="20"/>
        </w:rPr>
        <w:lastRenderedPageBreak/>
        <w:t>Abstract</w:t>
      </w:r>
      <w:r w:rsidR="00A736FE" w:rsidRPr="00922328">
        <w:rPr>
          <w:rFonts w:ascii="Times New Roman" w:hAnsi="Times New Roman" w:cs="Times New Roman"/>
          <w:b/>
          <w:color w:val="auto"/>
          <w:sz w:val="20"/>
          <w:szCs w:val="20"/>
        </w:rPr>
        <w:t xml:space="preserve"> </w:t>
      </w:r>
    </w:p>
    <w:p w14:paraId="6CA82D08" w14:textId="77777777" w:rsidR="00A22B3F" w:rsidRPr="00A22B3F" w:rsidRDefault="00A22B3F" w:rsidP="00A22B3F"/>
    <w:p w14:paraId="0AD46F44" w14:textId="77777777" w:rsidR="00A736FE" w:rsidRDefault="00A736FE" w:rsidP="00A736FE">
      <w:pPr>
        <w:spacing w:line="480" w:lineRule="auto"/>
        <w:rPr>
          <w:rFonts w:ascii="Times New Roman" w:hAnsi="Times New Roman"/>
          <w:sz w:val="20"/>
          <w:szCs w:val="20"/>
        </w:rPr>
      </w:pPr>
      <w:r>
        <w:rPr>
          <w:rFonts w:ascii="Times New Roman" w:hAnsi="Times New Roman"/>
          <w:sz w:val="20"/>
          <w:szCs w:val="20"/>
        </w:rPr>
        <w:t>In our increasingly unstable and unpredictable world, population dynamics rarely settle uniformly to</w:t>
      </w:r>
      <w:r w:rsidRPr="007435FA">
        <w:rPr>
          <w:rFonts w:ascii="Times New Roman" w:hAnsi="Times New Roman"/>
          <w:sz w:val="20"/>
          <w:szCs w:val="20"/>
        </w:rPr>
        <w:t xml:space="preserve"> long-term behaviour</w:t>
      </w:r>
      <w:r>
        <w:rPr>
          <w:rFonts w:ascii="Times New Roman" w:hAnsi="Times New Roman"/>
          <w:sz w:val="20"/>
          <w:szCs w:val="20"/>
        </w:rPr>
        <w:t>. However, projecting period-by-period</w:t>
      </w:r>
      <w:r w:rsidRPr="007435FA">
        <w:rPr>
          <w:rFonts w:ascii="Times New Roman" w:hAnsi="Times New Roman"/>
          <w:sz w:val="20"/>
          <w:szCs w:val="20"/>
        </w:rPr>
        <w:t xml:space="preserve"> </w:t>
      </w:r>
      <w:r>
        <w:rPr>
          <w:rFonts w:ascii="Times New Roman" w:hAnsi="Times New Roman"/>
          <w:sz w:val="20"/>
          <w:szCs w:val="20"/>
        </w:rPr>
        <w:t xml:space="preserve">through </w:t>
      </w:r>
      <w:r w:rsidRPr="00D57B21">
        <w:rPr>
          <w:rFonts w:ascii="Times New Roman" w:hAnsi="Times New Roman"/>
          <w:sz w:val="20"/>
          <w:szCs w:val="20"/>
        </w:rPr>
        <w:t xml:space="preserve">the </w:t>
      </w:r>
      <w:r w:rsidRPr="00FE2611">
        <w:rPr>
          <w:rFonts w:ascii="Times New Roman" w:hAnsi="Times New Roman"/>
          <w:sz w:val="20"/>
          <w:szCs w:val="20"/>
        </w:rPr>
        <w:t>preceding</w:t>
      </w:r>
      <w:r w:rsidRPr="00D57B21">
        <w:rPr>
          <w:rFonts w:ascii="Times New Roman" w:hAnsi="Times New Roman"/>
          <w:sz w:val="20"/>
          <w:szCs w:val="20"/>
        </w:rPr>
        <w:t xml:space="preserve"> </w:t>
      </w:r>
      <w:r w:rsidRPr="00FE2611">
        <w:rPr>
          <w:rFonts w:ascii="Times New Roman" w:hAnsi="Times New Roman"/>
          <w:sz w:val="20"/>
          <w:szCs w:val="20"/>
        </w:rPr>
        <w:t>fluctuations</w:t>
      </w:r>
      <w:r w:rsidRPr="00D57B21">
        <w:rPr>
          <w:rFonts w:ascii="Times New Roman" w:hAnsi="Times New Roman"/>
          <w:sz w:val="20"/>
          <w:szCs w:val="20"/>
        </w:rPr>
        <w:t xml:space="preserve"> is</w:t>
      </w:r>
      <w:r>
        <w:rPr>
          <w:rFonts w:ascii="Times New Roman" w:hAnsi="Times New Roman"/>
          <w:sz w:val="20"/>
          <w:szCs w:val="20"/>
        </w:rPr>
        <w:t xml:space="preserve"> more data-intensive and analytically involved than evaluating at equilibrium. To efficiently model populations and best inform policy, </w:t>
      </w:r>
      <w:r w:rsidRPr="007435FA">
        <w:rPr>
          <w:rFonts w:ascii="Times New Roman" w:hAnsi="Times New Roman"/>
          <w:sz w:val="20"/>
          <w:szCs w:val="20"/>
        </w:rPr>
        <w:t>we re</w:t>
      </w:r>
      <w:r>
        <w:rPr>
          <w:rFonts w:ascii="Times New Roman" w:hAnsi="Times New Roman"/>
          <w:sz w:val="20"/>
          <w:szCs w:val="20"/>
        </w:rPr>
        <w:t xml:space="preserve">quire pragmatic suggestions as to </w:t>
      </w:r>
      <w:r w:rsidRPr="007435FA">
        <w:rPr>
          <w:rFonts w:ascii="Times New Roman" w:hAnsi="Times New Roman"/>
          <w:sz w:val="20"/>
          <w:szCs w:val="20"/>
        </w:rPr>
        <w:t xml:space="preserve">when </w:t>
      </w:r>
      <w:r>
        <w:rPr>
          <w:rFonts w:ascii="Times New Roman" w:hAnsi="Times New Roman"/>
          <w:sz w:val="20"/>
          <w:szCs w:val="20"/>
        </w:rPr>
        <w:t>it is necessary to incorporate short-term transient dynamics and their effect on eventual projected population size.</w:t>
      </w:r>
      <w:r w:rsidRPr="007435FA">
        <w:rPr>
          <w:rFonts w:ascii="Times New Roman" w:hAnsi="Times New Roman"/>
          <w:sz w:val="20"/>
          <w:szCs w:val="20"/>
        </w:rPr>
        <w:t xml:space="preserve"> </w:t>
      </w:r>
      <w:r>
        <w:rPr>
          <w:rFonts w:ascii="Times New Roman" w:hAnsi="Times New Roman"/>
          <w:sz w:val="20"/>
          <w:szCs w:val="20"/>
        </w:rPr>
        <w:t xml:space="preserve">To estimate this need for matrix population modelling, we adopt a linear algebraic quantity known as </w:t>
      </w:r>
      <w:r w:rsidRPr="006745A0">
        <w:rPr>
          <w:rFonts w:ascii="Times New Roman" w:hAnsi="Times New Roman"/>
          <w:sz w:val="20"/>
          <w:szCs w:val="20"/>
        </w:rPr>
        <w:t>non-normality</w:t>
      </w:r>
      <w:r>
        <w:rPr>
          <w:rFonts w:ascii="Times New Roman" w:hAnsi="Times New Roman"/>
          <w:sz w:val="20"/>
          <w:szCs w:val="20"/>
        </w:rPr>
        <w:t>. Matrix non-normality is distinct from normality in the Gaussian sense</w:t>
      </w:r>
      <w:r w:rsidR="00E562A9">
        <w:rPr>
          <w:rFonts w:ascii="Times New Roman" w:hAnsi="Times New Roman"/>
          <w:sz w:val="20"/>
          <w:szCs w:val="20"/>
        </w:rPr>
        <w:t>,</w:t>
      </w:r>
      <w:r>
        <w:rPr>
          <w:rFonts w:ascii="Times New Roman" w:hAnsi="Times New Roman"/>
          <w:sz w:val="20"/>
          <w:szCs w:val="20"/>
        </w:rPr>
        <w:t xml:space="preserve"> and</w:t>
      </w:r>
      <w:r w:rsidRPr="00D60E50">
        <w:rPr>
          <w:rFonts w:ascii="Times New Roman" w:hAnsi="Times New Roman"/>
          <w:sz w:val="20"/>
          <w:szCs w:val="20"/>
        </w:rPr>
        <w:t xml:space="preserve"> indicates the</w:t>
      </w:r>
      <w:r>
        <w:rPr>
          <w:rFonts w:ascii="Times New Roman" w:hAnsi="Times New Roman"/>
          <w:sz w:val="20"/>
          <w:szCs w:val="20"/>
        </w:rPr>
        <w:t xml:space="preserve"> amplificatory potential of the population projection matrix given a particular </w:t>
      </w:r>
      <w:r w:rsidRPr="00D60E50">
        <w:rPr>
          <w:rFonts w:ascii="Times New Roman" w:hAnsi="Times New Roman"/>
          <w:sz w:val="20"/>
          <w:szCs w:val="20"/>
        </w:rPr>
        <w:t xml:space="preserve">population </w:t>
      </w:r>
      <w:r>
        <w:rPr>
          <w:rFonts w:ascii="Times New Roman" w:hAnsi="Times New Roman"/>
          <w:sz w:val="20"/>
          <w:szCs w:val="20"/>
        </w:rPr>
        <w:t>vector</w:t>
      </w:r>
      <w:r w:rsidRPr="006745A0">
        <w:rPr>
          <w:rFonts w:ascii="Times New Roman" w:hAnsi="Times New Roman"/>
          <w:sz w:val="20"/>
          <w:szCs w:val="20"/>
        </w:rPr>
        <w:t>.</w:t>
      </w:r>
      <w:r w:rsidRPr="007435FA">
        <w:rPr>
          <w:rFonts w:ascii="Times New Roman" w:hAnsi="Times New Roman"/>
          <w:sz w:val="20"/>
          <w:szCs w:val="20"/>
        </w:rPr>
        <w:t xml:space="preserve"> </w:t>
      </w:r>
      <w:r>
        <w:rPr>
          <w:rFonts w:ascii="Times New Roman" w:hAnsi="Times New Roman"/>
          <w:sz w:val="20"/>
          <w:szCs w:val="20"/>
        </w:rPr>
        <w:t>In this paper, we compare and contrast</w:t>
      </w:r>
      <w:r w:rsidRPr="007435FA">
        <w:rPr>
          <w:rFonts w:ascii="Times New Roman" w:hAnsi="Times New Roman"/>
          <w:sz w:val="20"/>
          <w:szCs w:val="20"/>
        </w:rPr>
        <w:t xml:space="preserve"> three well-regarded metrics of non-normality</w:t>
      </w:r>
      <w:r>
        <w:rPr>
          <w:rFonts w:ascii="Times New Roman" w:hAnsi="Times New Roman"/>
          <w:sz w:val="20"/>
          <w:szCs w:val="20"/>
        </w:rPr>
        <w:t>, which were</w:t>
      </w:r>
      <w:r w:rsidRPr="007435FA">
        <w:rPr>
          <w:rFonts w:ascii="Times New Roman" w:hAnsi="Times New Roman"/>
          <w:sz w:val="20"/>
          <w:szCs w:val="20"/>
        </w:rPr>
        <w:t xml:space="preserve"> </w:t>
      </w:r>
      <w:r w:rsidR="00D746F4">
        <w:rPr>
          <w:rFonts w:ascii="Times New Roman" w:hAnsi="Times New Roman"/>
          <w:sz w:val="20"/>
          <w:szCs w:val="20"/>
        </w:rPr>
        <w:t>calculated for over 1</w:t>
      </w:r>
      <w:r>
        <w:rPr>
          <w:rFonts w:ascii="Times New Roman" w:hAnsi="Times New Roman"/>
          <w:sz w:val="20"/>
          <w:szCs w:val="20"/>
        </w:rPr>
        <w:t xml:space="preserve">000 age-structured human </w:t>
      </w:r>
      <w:r w:rsidRPr="007435FA">
        <w:rPr>
          <w:rFonts w:ascii="Times New Roman" w:hAnsi="Times New Roman"/>
          <w:sz w:val="20"/>
          <w:szCs w:val="20"/>
        </w:rPr>
        <w:t>population projection matrices from 42 European countries in the period 1960 to 2014</w:t>
      </w:r>
      <w:r>
        <w:rPr>
          <w:rFonts w:ascii="Times New Roman" w:hAnsi="Times New Roman"/>
          <w:sz w:val="20"/>
          <w:szCs w:val="20"/>
        </w:rPr>
        <w:t>. Non-normality increased over time, mirroring the indices of transient dynamics that peaked around the millennium. By standardising the matrices to focus on transient dynamics and not changes in the asymptotic growth rate, we show that the damping ratio is an uninformative predictor of whether a population is prone to transient booms or busts in its size. These analyses suggest that population ecology approaches to inferring transient dynamics have too often relied on suboptimal analytical tools focussed on an initial population vector rather than the capacity of the life cycle to amplify or dampen transient fluctuations.</w:t>
      </w:r>
      <w:r w:rsidRPr="00A333BD">
        <w:rPr>
          <w:rFonts w:ascii="Times New Roman" w:hAnsi="Times New Roman"/>
          <w:sz w:val="20"/>
          <w:szCs w:val="20"/>
        </w:rPr>
        <w:t xml:space="preserve"> </w:t>
      </w:r>
      <w:r>
        <w:rPr>
          <w:rFonts w:ascii="Times New Roman" w:hAnsi="Times New Roman"/>
          <w:sz w:val="20"/>
          <w:szCs w:val="20"/>
        </w:rPr>
        <w:t xml:space="preserve">Finally, </w:t>
      </w:r>
      <w:r w:rsidRPr="00A333BD">
        <w:rPr>
          <w:rFonts w:ascii="Times New Roman" w:hAnsi="Times New Roman"/>
          <w:sz w:val="20"/>
          <w:szCs w:val="20"/>
        </w:rPr>
        <w:t>we introduce</w:t>
      </w:r>
      <w:r>
        <w:rPr>
          <w:rFonts w:ascii="Times New Roman" w:hAnsi="Times New Roman"/>
          <w:sz w:val="20"/>
          <w:szCs w:val="20"/>
        </w:rPr>
        <w:t xml:space="preserve"> the engineering technique of pseudospectra analysis to population ecology, which</w:t>
      </w:r>
      <w:r w:rsidR="00922328">
        <w:rPr>
          <w:rFonts w:ascii="Times New Roman" w:hAnsi="Times New Roman"/>
          <w:sz w:val="20"/>
          <w:szCs w:val="20"/>
        </w:rPr>
        <w:t>,</w:t>
      </w:r>
      <w:r>
        <w:rPr>
          <w:rFonts w:ascii="Times New Roman" w:hAnsi="Times New Roman"/>
          <w:sz w:val="20"/>
          <w:szCs w:val="20"/>
        </w:rPr>
        <w:t xml:space="preserve"> like matrix non-normality, provides a more complete description of the transient fluctuations than the damping ratio. Pseudospectra analysis </w:t>
      </w:r>
      <w:r w:rsidRPr="00A333BD">
        <w:rPr>
          <w:rFonts w:ascii="Times New Roman" w:hAnsi="Times New Roman"/>
          <w:sz w:val="20"/>
          <w:szCs w:val="20"/>
        </w:rPr>
        <w:t xml:space="preserve">could further support non-normality assessment </w:t>
      </w:r>
      <w:r>
        <w:rPr>
          <w:rFonts w:ascii="Times New Roman" w:hAnsi="Times New Roman"/>
          <w:sz w:val="20"/>
          <w:szCs w:val="20"/>
        </w:rPr>
        <w:t>to</w:t>
      </w:r>
      <w:r w:rsidRPr="00A333BD">
        <w:rPr>
          <w:rFonts w:ascii="Times New Roman" w:hAnsi="Times New Roman"/>
          <w:sz w:val="20"/>
          <w:szCs w:val="20"/>
        </w:rPr>
        <w:t xml:space="preserve"> enable a greater understanding of</w:t>
      </w:r>
      <w:r>
        <w:rPr>
          <w:rFonts w:ascii="Times New Roman" w:hAnsi="Times New Roman"/>
          <w:sz w:val="20"/>
          <w:szCs w:val="20"/>
        </w:rPr>
        <w:t xml:space="preserve"> when we might expect</w:t>
      </w:r>
      <w:r w:rsidRPr="00A333BD">
        <w:rPr>
          <w:rFonts w:ascii="Times New Roman" w:hAnsi="Times New Roman"/>
          <w:sz w:val="20"/>
          <w:szCs w:val="20"/>
        </w:rPr>
        <w:t xml:space="preserve"> transient </w:t>
      </w:r>
      <w:r>
        <w:rPr>
          <w:rFonts w:ascii="Times New Roman" w:hAnsi="Times New Roman"/>
          <w:sz w:val="20"/>
          <w:szCs w:val="20"/>
        </w:rPr>
        <w:t>phases to impact eventual</w:t>
      </w:r>
      <w:r w:rsidRPr="00A333BD">
        <w:rPr>
          <w:rFonts w:ascii="Times New Roman" w:hAnsi="Times New Roman"/>
          <w:sz w:val="20"/>
          <w:szCs w:val="20"/>
        </w:rPr>
        <w:t xml:space="preserve"> population</w:t>
      </w:r>
      <w:r>
        <w:rPr>
          <w:rFonts w:ascii="Times New Roman" w:hAnsi="Times New Roman"/>
          <w:sz w:val="20"/>
          <w:szCs w:val="20"/>
        </w:rPr>
        <w:t xml:space="preserve"> dynamics</w:t>
      </w:r>
      <w:r w:rsidRPr="00A333BD">
        <w:rPr>
          <w:rFonts w:ascii="Times New Roman" w:hAnsi="Times New Roman"/>
          <w:sz w:val="20"/>
          <w:szCs w:val="20"/>
        </w:rPr>
        <w:t>.</w:t>
      </w:r>
    </w:p>
    <w:p w14:paraId="12BD31CA" w14:textId="77777777" w:rsidR="00A736FE" w:rsidRPr="007435FA" w:rsidRDefault="00A736FE" w:rsidP="00A736FE">
      <w:pPr>
        <w:spacing w:line="480" w:lineRule="auto"/>
        <w:rPr>
          <w:rFonts w:ascii="Times New Roman" w:hAnsi="Times New Roman"/>
          <w:sz w:val="20"/>
          <w:szCs w:val="20"/>
        </w:rPr>
      </w:pPr>
    </w:p>
    <w:p w14:paraId="7F2BBAB1" w14:textId="77777777" w:rsidR="00A736FE" w:rsidRPr="007435FA" w:rsidRDefault="00A736FE" w:rsidP="00A736FE">
      <w:pPr>
        <w:spacing w:line="480" w:lineRule="auto"/>
        <w:rPr>
          <w:rFonts w:ascii="Times New Roman" w:hAnsi="Times New Roman"/>
          <w:sz w:val="20"/>
          <w:szCs w:val="20"/>
        </w:rPr>
      </w:pPr>
      <w:r w:rsidRPr="007435FA">
        <w:rPr>
          <w:rFonts w:ascii="Times New Roman" w:hAnsi="Times New Roman"/>
          <w:sz w:val="20"/>
          <w:szCs w:val="20"/>
        </w:rPr>
        <w:t xml:space="preserve">Keywords: </w:t>
      </w:r>
    </w:p>
    <w:p w14:paraId="4BA60DDD" w14:textId="77777777" w:rsidR="006631C3" w:rsidRDefault="009608AD" w:rsidP="00A736FE">
      <w:pPr>
        <w:spacing w:line="480" w:lineRule="auto"/>
        <w:rPr>
          <w:rFonts w:ascii="Times New Roman" w:hAnsi="Times New Roman"/>
          <w:sz w:val="20"/>
          <w:szCs w:val="20"/>
        </w:rPr>
      </w:pPr>
      <w:r>
        <w:rPr>
          <w:rFonts w:ascii="Times New Roman" w:hAnsi="Times New Roman"/>
          <w:sz w:val="20"/>
          <w:szCs w:val="20"/>
        </w:rPr>
        <w:t xml:space="preserve">Damping ratio ∙ </w:t>
      </w:r>
      <w:r w:rsidR="00D178B9">
        <w:rPr>
          <w:rFonts w:ascii="Times New Roman" w:hAnsi="Times New Roman"/>
          <w:sz w:val="20"/>
          <w:szCs w:val="20"/>
        </w:rPr>
        <w:t xml:space="preserve">Europe ∙ </w:t>
      </w:r>
      <w:r w:rsidR="00C5485E">
        <w:rPr>
          <w:rFonts w:ascii="Times New Roman" w:hAnsi="Times New Roman"/>
          <w:sz w:val="20"/>
          <w:szCs w:val="20"/>
        </w:rPr>
        <w:t xml:space="preserve">Eurostat ∙ </w:t>
      </w:r>
      <w:r w:rsidR="00D178B9">
        <w:rPr>
          <w:rFonts w:ascii="Times New Roman" w:hAnsi="Times New Roman"/>
          <w:sz w:val="20"/>
          <w:szCs w:val="20"/>
        </w:rPr>
        <w:t>Human demography ∙ Population projection matrix ∙</w:t>
      </w:r>
      <w:r w:rsidR="00A736FE" w:rsidRPr="007435FA">
        <w:rPr>
          <w:rFonts w:ascii="Times New Roman" w:hAnsi="Times New Roman"/>
          <w:sz w:val="20"/>
          <w:szCs w:val="20"/>
        </w:rPr>
        <w:t xml:space="preserve"> </w:t>
      </w:r>
      <w:r w:rsidR="00D178B9">
        <w:rPr>
          <w:rFonts w:ascii="Times New Roman" w:hAnsi="Times New Roman"/>
          <w:sz w:val="20"/>
          <w:szCs w:val="20"/>
        </w:rPr>
        <w:t>P</w:t>
      </w:r>
      <w:r w:rsidR="00D178B9" w:rsidRPr="007435FA">
        <w:rPr>
          <w:rFonts w:ascii="Times New Roman" w:hAnsi="Times New Roman"/>
          <w:sz w:val="20"/>
          <w:szCs w:val="20"/>
        </w:rPr>
        <w:t>seudospectra</w:t>
      </w:r>
      <w:r w:rsidR="00A736FE">
        <w:rPr>
          <w:rFonts w:ascii="Times New Roman" w:hAnsi="Times New Roman"/>
          <w:sz w:val="20"/>
          <w:szCs w:val="20"/>
        </w:rPr>
        <w:t xml:space="preserve"> </w:t>
      </w:r>
    </w:p>
    <w:p w14:paraId="3C6EB0FA" w14:textId="77777777" w:rsidR="006631C3" w:rsidRDefault="006631C3">
      <w:pPr>
        <w:rPr>
          <w:rFonts w:ascii="Times New Roman" w:hAnsi="Times New Roman"/>
          <w:sz w:val="20"/>
          <w:szCs w:val="20"/>
        </w:rPr>
      </w:pPr>
      <w:r>
        <w:rPr>
          <w:rFonts w:ascii="Times New Roman" w:hAnsi="Times New Roman"/>
          <w:sz w:val="20"/>
          <w:szCs w:val="20"/>
        </w:rPr>
        <w:br w:type="page"/>
      </w:r>
    </w:p>
    <w:p w14:paraId="7D882A8D" w14:textId="77777777" w:rsidR="00A736FE" w:rsidRPr="00C970B4" w:rsidRDefault="00C970B4" w:rsidP="00A736FE">
      <w:pPr>
        <w:pStyle w:val="Heading2"/>
        <w:spacing w:line="480" w:lineRule="auto"/>
        <w:rPr>
          <w:rFonts w:ascii="Times New Roman" w:hAnsi="Times New Roman" w:cs="Times New Roman"/>
          <w:b/>
          <w:color w:val="auto"/>
          <w:sz w:val="20"/>
          <w:szCs w:val="20"/>
        </w:rPr>
      </w:pPr>
      <w:r w:rsidRPr="00C970B4">
        <w:rPr>
          <w:rFonts w:ascii="Times New Roman" w:hAnsi="Times New Roman" w:cs="Times New Roman"/>
          <w:b/>
          <w:color w:val="auto"/>
          <w:sz w:val="20"/>
          <w:szCs w:val="20"/>
        </w:rPr>
        <w:lastRenderedPageBreak/>
        <w:t>Introduction</w:t>
      </w:r>
    </w:p>
    <w:p w14:paraId="6BD56B37" w14:textId="77777777" w:rsidR="00A22B3F" w:rsidRPr="00A22B3F" w:rsidRDefault="00A22B3F" w:rsidP="00A22B3F"/>
    <w:p w14:paraId="757F10E4" w14:textId="77777777" w:rsidR="00A736FE" w:rsidRPr="007435FA" w:rsidRDefault="00A736FE" w:rsidP="00A736FE">
      <w:pPr>
        <w:spacing w:line="480" w:lineRule="auto"/>
        <w:rPr>
          <w:rFonts w:ascii="Times New Roman" w:hAnsi="Times New Roman"/>
          <w:sz w:val="20"/>
          <w:szCs w:val="20"/>
        </w:rPr>
      </w:pPr>
      <w:r>
        <w:rPr>
          <w:rFonts w:ascii="Times New Roman" w:hAnsi="Times New Roman"/>
          <w:sz w:val="20"/>
          <w:szCs w:val="20"/>
        </w:rPr>
        <w:t>Our</w:t>
      </w:r>
      <w:r w:rsidRPr="007435FA">
        <w:rPr>
          <w:rFonts w:ascii="Times New Roman" w:hAnsi="Times New Roman"/>
          <w:sz w:val="20"/>
          <w:szCs w:val="20"/>
        </w:rPr>
        <w:t xml:space="preserve"> world is in constant flux, so human populations are never at equilibrium. Population </w:t>
      </w:r>
      <w:r>
        <w:rPr>
          <w:rFonts w:ascii="Times New Roman" w:hAnsi="Times New Roman"/>
          <w:sz w:val="20"/>
          <w:szCs w:val="20"/>
        </w:rPr>
        <w:t>dynamics</w:t>
      </w:r>
      <w:r w:rsidRPr="007435FA">
        <w:rPr>
          <w:rFonts w:ascii="Times New Roman" w:hAnsi="Times New Roman"/>
          <w:sz w:val="20"/>
          <w:szCs w:val="20"/>
        </w:rPr>
        <w:t xml:space="preserve"> are altered by ongoing and abrupt processes, both immediately and over longer timescales</w:t>
      </w:r>
      <w:r>
        <w:rPr>
          <w:rFonts w:ascii="Times New Roman" w:hAnsi="Times New Roman"/>
          <w:sz w:val="20"/>
          <w:szCs w:val="20"/>
        </w:rPr>
        <w:t>, diverting trajectories from the paths they would otherwise follow</w:t>
      </w:r>
      <w:r w:rsidRPr="007435FA">
        <w:rPr>
          <w:rFonts w:ascii="Times New Roman" w:hAnsi="Times New Roman"/>
          <w:sz w:val="20"/>
          <w:szCs w:val="20"/>
        </w:rPr>
        <w:t>. Transient fluctuation</w:t>
      </w:r>
      <w:r>
        <w:rPr>
          <w:rFonts w:ascii="Times New Roman" w:hAnsi="Times New Roman"/>
          <w:sz w:val="20"/>
          <w:szCs w:val="20"/>
        </w:rPr>
        <w:t>s such as</w:t>
      </w:r>
      <w:r w:rsidRPr="007435FA">
        <w:rPr>
          <w:rFonts w:ascii="Times New Roman" w:hAnsi="Times New Roman"/>
          <w:sz w:val="20"/>
          <w:szCs w:val="20"/>
        </w:rPr>
        <w:t xml:space="preserve"> baby booms dampen away, </w:t>
      </w:r>
      <w:r>
        <w:rPr>
          <w:rFonts w:ascii="Times New Roman" w:hAnsi="Times New Roman"/>
          <w:sz w:val="20"/>
          <w:szCs w:val="20"/>
        </w:rPr>
        <w:t>leaving population size modified by a process known as</w:t>
      </w:r>
      <w:r w:rsidRPr="007435FA">
        <w:rPr>
          <w:rFonts w:ascii="Times New Roman" w:hAnsi="Times New Roman"/>
          <w:sz w:val="20"/>
          <w:szCs w:val="20"/>
        </w:rPr>
        <w:t xml:space="preserve"> momentum</w:t>
      </w:r>
      <w:r>
        <w:rPr>
          <w:rFonts w:ascii="Times New Roman" w:hAnsi="Times New Roman"/>
          <w:sz w:val="20"/>
          <w:szCs w:val="20"/>
        </w:rPr>
        <w:t xml:space="preserve"> </w:t>
      </w:r>
      <w:r w:rsidRPr="007435FA">
        <w:rPr>
          <w:rFonts w:ascii="Times New Roman" w:hAnsi="Times New Roman"/>
          <w:sz w:val="20"/>
          <w:szCs w:val="20"/>
        </w:rPr>
        <w:t>(Keyfitz 1971; Espenshade and Tannen 2015) – or more generally</w:t>
      </w:r>
      <w:r>
        <w:rPr>
          <w:rFonts w:ascii="Times New Roman" w:hAnsi="Times New Roman"/>
          <w:sz w:val="20"/>
          <w:szCs w:val="20"/>
        </w:rPr>
        <w:t xml:space="preserve"> and formally</w:t>
      </w:r>
      <w:r w:rsidRPr="007435FA">
        <w:rPr>
          <w:rFonts w:ascii="Times New Roman" w:hAnsi="Times New Roman"/>
          <w:sz w:val="20"/>
          <w:szCs w:val="20"/>
        </w:rPr>
        <w:t>, inertia</w:t>
      </w:r>
      <w:r>
        <w:rPr>
          <w:rFonts w:ascii="Times New Roman" w:hAnsi="Times New Roman"/>
          <w:sz w:val="20"/>
          <w:szCs w:val="20"/>
        </w:rPr>
        <w:t>.</w:t>
      </w:r>
      <w:r w:rsidRPr="007435FA">
        <w:rPr>
          <w:rFonts w:ascii="Times New Roman" w:hAnsi="Times New Roman"/>
          <w:sz w:val="20"/>
          <w:szCs w:val="20"/>
        </w:rPr>
        <w:t xml:space="preserve"> Inertia occurs when unstable population structures cause eventual population size to be larger or s</w:t>
      </w:r>
      <w:r>
        <w:rPr>
          <w:rFonts w:ascii="Times New Roman" w:hAnsi="Times New Roman"/>
          <w:sz w:val="20"/>
          <w:szCs w:val="20"/>
        </w:rPr>
        <w:t>maller than if projected</w:t>
      </w:r>
      <w:r w:rsidRPr="007435FA">
        <w:rPr>
          <w:rFonts w:ascii="Times New Roman" w:hAnsi="Times New Roman"/>
          <w:sz w:val="20"/>
          <w:szCs w:val="20"/>
        </w:rPr>
        <w:t xml:space="preserve"> from a stable initial</w:t>
      </w:r>
      <w:r>
        <w:rPr>
          <w:rFonts w:ascii="Times New Roman" w:hAnsi="Times New Roman"/>
          <w:sz w:val="20"/>
          <w:szCs w:val="20"/>
        </w:rPr>
        <w:t xml:space="preserve"> stage</w:t>
      </w:r>
      <w:r w:rsidRPr="007435FA">
        <w:rPr>
          <w:rFonts w:ascii="Times New Roman" w:hAnsi="Times New Roman"/>
          <w:sz w:val="20"/>
          <w:szCs w:val="20"/>
        </w:rPr>
        <w:t xml:space="preserve"> structure; momentum is the special case for stationary populations</w:t>
      </w:r>
      <w:r>
        <w:rPr>
          <w:rFonts w:ascii="Times New Roman" w:hAnsi="Times New Roman"/>
          <w:sz w:val="20"/>
          <w:szCs w:val="20"/>
        </w:rPr>
        <w:t xml:space="preserve"> with zero growth</w:t>
      </w:r>
      <w:r w:rsidRPr="007435FA">
        <w:rPr>
          <w:rFonts w:ascii="Times New Roman" w:hAnsi="Times New Roman"/>
          <w:sz w:val="20"/>
          <w:szCs w:val="20"/>
        </w:rPr>
        <w:t xml:space="preserve"> (Koons et al. 2007). Given the importance of population projections to national and global develo</w:t>
      </w:r>
      <w:r>
        <w:rPr>
          <w:rFonts w:ascii="Times New Roman" w:hAnsi="Times New Roman"/>
          <w:sz w:val="20"/>
          <w:szCs w:val="20"/>
        </w:rPr>
        <w:t>pment policies (UN 2015)</w:t>
      </w:r>
      <w:r w:rsidRPr="007435FA">
        <w:rPr>
          <w:rFonts w:ascii="Times New Roman" w:hAnsi="Times New Roman"/>
          <w:sz w:val="20"/>
          <w:szCs w:val="20"/>
        </w:rPr>
        <w:t xml:space="preserve">, we need a </w:t>
      </w:r>
      <w:r>
        <w:rPr>
          <w:rFonts w:ascii="Times New Roman" w:hAnsi="Times New Roman"/>
          <w:sz w:val="20"/>
          <w:szCs w:val="20"/>
        </w:rPr>
        <w:t>better understanding of how transients affect</w:t>
      </w:r>
      <w:r w:rsidRPr="007435FA">
        <w:rPr>
          <w:rFonts w:ascii="Times New Roman" w:hAnsi="Times New Roman"/>
          <w:sz w:val="20"/>
          <w:szCs w:val="20"/>
        </w:rPr>
        <w:t xml:space="preserve"> population dynamics in the short- and long-term (Osotimehin 2011)</w:t>
      </w:r>
      <w:r>
        <w:rPr>
          <w:rFonts w:ascii="Times New Roman" w:hAnsi="Times New Roman"/>
          <w:sz w:val="20"/>
          <w:szCs w:val="20"/>
        </w:rPr>
        <w:t>, and how</w:t>
      </w:r>
      <w:r w:rsidRPr="007435FA">
        <w:rPr>
          <w:rFonts w:ascii="Times New Roman" w:hAnsi="Times New Roman"/>
          <w:sz w:val="20"/>
          <w:szCs w:val="20"/>
        </w:rPr>
        <w:t xml:space="preserve"> responses are shaped by environmental and social factors at a range of spatial scales</w:t>
      </w:r>
      <w:r>
        <w:rPr>
          <w:rFonts w:ascii="Times New Roman" w:hAnsi="Times New Roman"/>
          <w:sz w:val="20"/>
          <w:szCs w:val="20"/>
        </w:rPr>
        <w:t xml:space="preserve"> (Hastings 2004; Harper 2013)</w:t>
      </w:r>
      <w:r w:rsidRPr="007435FA">
        <w:rPr>
          <w:rFonts w:ascii="Times New Roman" w:hAnsi="Times New Roman"/>
          <w:sz w:val="20"/>
          <w:szCs w:val="20"/>
        </w:rPr>
        <w:t>.</w:t>
      </w:r>
    </w:p>
    <w:p w14:paraId="26B7FB08" w14:textId="77777777" w:rsidR="00A736FE" w:rsidRDefault="00A736FE" w:rsidP="00A736FE">
      <w:pPr>
        <w:spacing w:line="480" w:lineRule="auto"/>
        <w:ind w:firstLine="567"/>
        <w:rPr>
          <w:rFonts w:ascii="Times New Roman" w:hAnsi="Times New Roman"/>
          <w:sz w:val="20"/>
          <w:szCs w:val="20"/>
        </w:rPr>
      </w:pPr>
      <w:r w:rsidRPr="007435FA">
        <w:rPr>
          <w:rFonts w:ascii="Times New Roman" w:hAnsi="Times New Roman"/>
          <w:sz w:val="20"/>
          <w:szCs w:val="20"/>
        </w:rPr>
        <w:t>Although equilibrium</w:t>
      </w:r>
      <w:r>
        <w:rPr>
          <w:rFonts w:ascii="Times New Roman" w:hAnsi="Times New Roman"/>
          <w:sz w:val="20"/>
          <w:szCs w:val="20"/>
        </w:rPr>
        <w:t xml:space="preserve"> approximations are</w:t>
      </w:r>
      <w:r w:rsidRPr="007435FA">
        <w:rPr>
          <w:rFonts w:ascii="Times New Roman" w:hAnsi="Times New Roman"/>
          <w:sz w:val="20"/>
          <w:szCs w:val="20"/>
        </w:rPr>
        <w:t xml:space="preserve"> useful in the absence of complete population knowledge at each point in time (</w:t>
      </w:r>
      <w:r w:rsidRPr="002E3FCE">
        <w:rPr>
          <w:rFonts w:ascii="Times New Roman" w:hAnsi="Times New Roman"/>
          <w:sz w:val="20"/>
          <w:szCs w:val="20"/>
        </w:rPr>
        <w:t>Caswell 2000), there is increasing recognition that systems are dynamic entities for which short-term transient effects must also be considered as fundamental aspects of ecological dynamics</w:t>
      </w:r>
      <w:r w:rsidRPr="00CB75EC">
        <w:rPr>
          <w:rFonts w:ascii="Times New Roman" w:hAnsi="Times New Roman"/>
          <w:sz w:val="20"/>
          <w:szCs w:val="20"/>
        </w:rPr>
        <w:t xml:space="preserve"> (Hastings 2004; Ezard et al. 2010; Stott </w:t>
      </w:r>
      <w:r w:rsidRPr="007A4166">
        <w:rPr>
          <w:rFonts w:ascii="Times New Roman" w:hAnsi="Times New Roman"/>
          <w:sz w:val="20"/>
          <w:szCs w:val="20"/>
        </w:rPr>
        <w:t xml:space="preserve">et al. 2010), explaining </w:t>
      </w:r>
      <w:r w:rsidRPr="00FE2611">
        <w:rPr>
          <w:rFonts w:ascii="Times New Roman" w:hAnsi="Times New Roman"/>
          <w:sz w:val="20"/>
          <w:szCs w:val="20"/>
        </w:rPr>
        <w:t>approximately half of the variation in growth rates in comparative studies of plants (Ellis and Crone 2013; McDonald et al. 2016).</w:t>
      </w:r>
      <w:r>
        <w:t xml:space="preserve"> </w:t>
      </w:r>
      <w:r w:rsidRPr="007435FA">
        <w:rPr>
          <w:rFonts w:ascii="Times New Roman" w:hAnsi="Times New Roman"/>
          <w:sz w:val="20"/>
          <w:szCs w:val="20"/>
        </w:rPr>
        <w:t xml:space="preserve">This is especially important when shorter timescales are of greater applied relevance (Hastings 2004; Ezard </w:t>
      </w:r>
      <w:r>
        <w:rPr>
          <w:rFonts w:ascii="Times New Roman" w:hAnsi="Times New Roman"/>
          <w:sz w:val="20"/>
          <w:szCs w:val="20"/>
        </w:rPr>
        <w:t>et al. 2010), or when repeated</w:t>
      </w:r>
      <w:r w:rsidRPr="007435FA">
        <w:rPr>
          <w:rFonts w:ascii="Times New Roman" w:hAnsi="Times New Roman"/>
          <w:sz w:val="20"/>
          <w:szCs w:val="20"/>
        </w:rPr>
        <w:t xml:space="preserve"> disturbances prevent populations from settling to equilibrium behaviour (Townley and Hodgson 2008; Tremblay et al. 2015). In human populations, gradual </w:t>
      </w:r>
      <w:r>
        <w:rPr>
          <w:rFonts w:ascii="Times New Roman" w:hAnsi="Times New Roman"/>
          <w:sz w:val="20"/>
          <w:szCs w:val="20"/>
        </w:rPr>
        <w:t>demographic transitions (</w:t>
      </w:r>
      <w:r w:rsidRPr="007435FA">
        <w:rPr>
          <w:rFonts w:ascii="Times New Roman" w:hAnsi="Times New Roman"/>
          <w:sz w:val="20"/>
          <w:szCs w:val="20"/>
        </w:rPr>
        <w:t>from high to low rates of mort</w:t>
      </w:r>
      <w:r>
        <w:rPr>
          <w:rFonts w:ascii="Times New Roman" w:hAnsi="Times New Roman"/>
          <w:sz w:val="20"/>
          <w:szCs w:val="20"/>
        </w:rPr>
        <w:t>ality and fertility) are a major</w:t>
      </w:r>
      <w:r w:rsidRPr="007435FA">
        <w:rPr>
          <w:rFonts w:ascii="Times New Roman" w:hAnsi="Times New Roman"/>
          <w:sz w:val="20"/>
          <w:szCs w:val="20"/>
        </w:rPr>
        <w:t xml:space="preserve"> driver </w:t>
      </w:r>
      <w:r>
        <w:rPr>
          <w:rFonts w:ascii="Times New Roman" w:hAnsi="Times New Roman"/>
          <w:sz w:val="20"/>
          <w:szCs w:val="20"/>
        </w:rPr>
        <w:t xml:space="preserve">of transient phenomena </w:t>
      </w:r>
      <w:r w:rsidRPr="007435FA">
        <w:rPr>
          <w:rFonts w:ascii="Times New Roman" w:hAnsi="Times New Roman"/>
          <w:sz w:val="20"/>
          <w:szCs w:val="20"/>
        </w:rPr>
        <w:t xml:space="preserve">(Blue and </w:t>
      </w:r>
      <w:r>
        <w:rPr>
          <w:rFonts w:ascii="Times New Roman" w:hAnsi="Times New Roman"/>
          <w:sz w:val="20"/>
          <w:szCs w:val="20"/>
        </w:rPr>
        <w:t>Espenshade 2011), over and above</w:t>
      </w:r>
      <w:r w:rsidRPr="007435FA">
        <w:rPr>
          <w:rFonts w:ascii="Times New Roman" w:hAnsi="Times New Roman"/>
          <w:sz w:val="20"/>
          <w:szCs w:val="20"/>
        </w:rPr>
        <w:t xml:space="preserve"> abrupt disturbances such as wa</w:t>
      </w:r>
      <w:r>
        <w:rPr>
          <w:rFonts w:ascii="Times New Roman" w:hAnsi="Times New Roman"/>
          <w:sz w:val="20"/>
          <w:szCs w:val="20"/>
        </w:rPr>
        <w:t xml:space="preserve">rs and pandemics. In deterministic models – as used here for conceptual clarity (see Ezard et al. 2010) – </w:t>
      </w:r>
      <w:r w:rsidRPr="007435FA">
        <w:rPr>
          <w:rFonts w:ascii="Times New Roman" w:hAnsi="Times New Roman"/>
          <w:sz w:val="20"/>
          <w:szCs w:val="20"/>
        </w:rPr>
        <w:t>transients can be considered deterministic responses to stochastic events (Stott et al. 2010)</w:t>
      </w:r>
      <w:r>
        <w:rPr>
          <w:rFonts w:ascii="Times New Roman" w:hAnsi="Times New Roman"/>
          <w:sz w:val="20"/>
          <w:szCs w:val="20"/>
        </w:rPr>
        <w:t xml:space="preserve">. This allows setting of bounds, which </w:t>
      </w:r>
      <w:r w:rsidRPr="007435FA">
        <w:rPr>
          <w:rFonts w:ascii="Times New Roman" w:hAnsi="Times New Roman"/>
          <w:sz w:val="20"/>
          <w:szCs w:val="20"/>
        </w:rPr>
        <w:t>“help to create an envelope of possible future population scenarios around the mean, long-term prediction” (Townley and Hodgson 2008, p 1836)</w:t>
      </w:r>
      <w:r>
        <w:rPr>
          <w:rFonts w:ascii="Times New Roman" w:hAnsi="Times New Roman"/>
          <w:sz w:val="20"/>
          <w:szCs w:val="20"/>
        </w:rPr>
        <w:t>, aiding</w:t>
      </w:r>
      <w:r w:rsidRPr="007435FA">
        <w:rPr>
          <w:rFonts w:ascii="Times New Roman" w:hAnsi="Times New Roman"/>
          <w:sz w:val="20"/>
          <w:szCs w:val="20"/>
        </w:rPr>
        <w:t xml:space="preserve"> in the incorporation of </w:t>
      </w:r>
      <w:r>
        <w:rPr>
          <w:rFonts w:ascii="Times New Roman" w:hAnsi="Times New Roman"/>
          <w:sz w:val="20"/>
          <w:szCs w:val="20"/>
        </w:rPr>
        <w:t xml:space="preserve">at least some aspects of </w:t>
      </w:r>
      <w:r w:rsidRPr="007435FA">
        <w:rPr>
          <w:rFonts w:ascii="Times New Roman" w:hAnsi="Times New Roman"/>
          <w:sz w:val="20"/>
          <w:szCs w:val="20"/>
        </w:rPr>
        <w:t xml:space="preserve">uncertainty into near-term estimates for a given population structure. </w:t>
      </w:r>
    </w:p>
    <w:p w14:paraId="7B2633A6" w14:textId="77777777" w:rsidR="00A736FE" w:rsidRDefault="00A736FE" w:rsidP="00A736FE">
      <w:pPr>
        <w:spacing w:line="480" w:lineRule="auto"/>
        <w:ind w:firstLine="567"/>
        <w:rPr>
          <w:rFonts w:ascii="Times New Roman" w:hAnsi="Times New Roman"/>
          <w:sz w:val="20"/>
          <w:szCs w:val="20"/>
        </w:rPr>
      </w:pPr>
      <w:r w:rsidRPr="007435FA">
        <w:rPr>
          <w:rFonts w:ascii="Times New Roman" w:hAnsi="Times New Roman"/>
          <w:sz w:val="20"/>
          <w:szCs w:val="20"/>
        </w:rPr>
        <w:t>We know that transients occur when disturbance</w:t>
      </w:r>
      <w:r>
        <w:rPr>
          <w:rFonts w:ascii="Times New Roman" w:hAnsi="Times New Roman"/>
          <w:sz w:val="20"/>
          <w:szCs w:val="20"/>
        </w:rPr>
        <w:t>s destabilise</w:t>
      </w:r>
      <w:r w:rsidRPr="007435FA">
        <w:rPr>
          <w:rFonts w:ascii="Times New Roman" w:hAnsi="Times New Roman"/>
          <w:sz w:val="20"/>
          <w:szCs w:val="20"/>
        </w:rPr>
        <w:t xml:space="preserve"> population structure, causing </w:t>
      </w:r>
      <w:r>
        <w:rPr>
          <w:rFonts w:ascii="Times New Roman" w:hAnsi="Times New Roman"/>
          <w:sz w:val="20"/>
          <w:szCs w:val="20"/>
        </w:rPr>
        <w:t>deviation</w:t>
      </w:r>
      <w:r w:rsidRPr="007435FA">
        <w:rPr>
          <w:rFonts w:ascii="Times New Roman" w:hAnsi="Times New Roman"/>
          <w:sz w:val="20"/>
          <w:szCs w:val="20"/>
        </w:rPr>
        <w:t xml:space="preserve"> from the proportional composition that balances different groups’ varying contributions t</w:t>
      </w:r>
      <w:r>
        <w:rPr>
          <w:rFonts w:ascii="Times New Roman" w:hAnsi="Times New Roman"/>
          <w:sz w:val="20"/>
          <w:szCs w:val="20"/>
        </w:rPr>
        <w:t xml:space="preserve">o population growth or </w:t>
      </w:r>
      <w:r w:rsidRPr="007435FA">
        <w:rPr>
          <w:rFonts w:ascii="Times New Roman" w:hAnsi="Times New Roman"/>
          <w:sz w:val="20"/>
          <w:szCs w:val="20"/>
        </w:rPr>
        <w:t xml:space="preserve">decline (Townley and Hodgson 2008). </w:t>
      </w:r>
      <w:r w:rsidRPr="00983D8D">
        <w:rPr>
          <w:rFonts w:ascii="Times New Roman" w:hAnsi="Times New Roman"/>
          <w:sz w:val="20"/>
          <w:szCs w:val="20"/>
        </w:rPr>
        <w:t>Precise predictions of transient dynamics require detailed and frequent updating of population structur</w:t>
      </w:r>
      <w:r>
        <w:rPr>
          <w:rFonts w:ascii="Times New Roman" w:hAnsi="Times New Roman"/>
          <w:sz w:val="20"/>
          <w:szCs w:val="20"/>
        </w:rPr>
        <w:t>es, which is typically data-intensive</w:t>
      </w:r>
      <w:r w:rsidRPr="00983D8D">
        <w:rPr>
          <w:rFonts w:ascii="Times New Roman" w:hAnsi="Times New Roman"/>
          <w:sz w:val="20"/>
          <w:szCs w:val="20"/>
        </w:rPr>
        <w:t>, as it requires making specific</w:t>
      </w:r>
      <w:r>
        <w:rPr>
          <w:rFonts w:ascii="Times New Roman" w:hAnsi="Times New Roman"/>
          <w:sz w:val="20"/>
          <w:szCs w:val="20"/>
        </w:rPr>
        <w:t>, fine-grained</w:t>
      </w:r>
      <w:r w:rsidRPr="00983D8D">
        <w:rPr>
          <w:rFonts w:ascii="Times New Roman" w:hAnsi="Times New Roman"/>
          <w:sz w:val="20"/>
          <w:szCs w:val="20"/>
        </w:rPr>
        <w:t xml:space="preserve"> assumptions about the future</w:t>
      </w:r>
      <w:r>
        <w:rPr>
          <w:rFonts w:ascii="Times New Roman" w:hAnsi="Times New Roman"/>
          <w:sz w:val="20"/>
          <w:szCs w:val="20"/>
        </w:rPr>
        <w:t xml:space="preserve"> (Townley et al. 2007)</w:t>
      </w:r>
      <w:r w:rsidRPr="00983D8D">
        <w:rPr>
          <w:rFonts w:ascii="Times New Roman" w:hAnsi="Times New Roman"/>
          <w:sz w:val="20"/>
          <w:szCs w:val="20"/>
        </w:rPr>
        <w:t>. In</w:t>
      </w:r>
      <w:r w:rsidRPr="007435FA">
        <w:rPr>
          <w:rFonts w:ascii="Times New Roman" w:hAnsi="Times New Roman"/>
          <w:sz w:val="20"/>
          <w:szCs w:val="20"/>
        </w:rPr>
        <w:t xml:space="preserve"> long-lived organisms with age-dependent schedules of </w:t>
      </w:r>
      <w:r w:rsidRPr="007435FA">
        <w:rPr>
          <w:rFonts w:ascii="Times New Roman" w:hAnsi="Times New Roman"/>
          <w:sz w:val="20"/>
          <w:szCs w:val="20"/>
        </w:rPr>
        <w:lastRenderedPageBreak/>
        <w:t>maturation and reproduction</w:t>
      </w:r>
      <w:r>
        <w:rPr>
          <w:rFonts w:ascii="Times New Roman" w:hAnsi="Times New Roman"/>
          <w:sz w:val="20"/>
          <w:szCs w:val="20"/>
        </w:rPr>
        <w:t xml:space="preserve">, such as modern humans </w:t>
      </w:r>
      <w:r w:rsidRPr="00FE2611">
        <w:rPr>
          <w:rFonts w:ascii="Times New Roman" w:hAnsi="Times New Roman"/>
          <w:i/>
          <w:sz w:val="20"/>
          <w:szCs w:val="20"/>
        </w:rPr>
        <w:t>Homo sapiens</w:t>
      </w:r>
      <w:r w:rsidRPr="007435FA">
        <w:rPr>
          <w:rFonts w:ascii="Times New Roman" w:hAnsi="Times New Roman"/>
          <w:sz w:val="20"/>
          <w:szCs w:val="20"/>
        </w:rPr>
        <w:t xml:space="preserve">, structuring is by age: stable age structure is determined by the age-structured life table (Caswell 2001). </w:t>
      </w:r>
      <w:r>
        <w:rPr>
          <w:rFonts w:ascii="Times New Roman" w:hAnsi="Times New Roman"/>
          <w:sz w:val="20"/>
          <w:szCs w:val="20"/>
        </w:rPr>
        <w:t>Given that</w:t>
      </w:r>
      <w:r w:rsidRPr="007435FA">
        <w:rPr>
          <w:rFonts w:ascii="Times New Roman" w:hAnsi="Times New Roman"/>
          <w:sz w:val="20"/>
          <w:szCs w:val="20"/>
        </w:rPr>
        <w:t xml:space="preserve"> transient analysis “produce</w:t>
      </w:r>
      <w:r>
        <w:rPr>
          <w:rFonts w:ascii="Times New Roman" w:hAnsi="Times New Roman"/>
          <w:sz w:val="20"/>
          <w:szCs w:val="20"/>
        </w:rPr>
        <w:t>[s]</w:t>
      </w:r>
      <w:r w:rsidRPr="007435FA">
        <w:rPr>
          <w:rFonts w:ascii="Times New Roman" w:hAnsi="Times New Roman"/>
          <w:sz w:val="20"/>
          <w:szCs w:val="20"/>
        </w:rPr>
        <w:t xml:space="preserve"> output which is complicated, and difficult to define succinctly” (Yearsley 2004, p</w:t>
      </w:r>
      <w:r>
        <w:rPr>
          <w:rFonts w:ascii="Times New Roman" w:hAnsi="Times New Roman"/>
          <w:sz w:val="20"/>
          <w:szCs w:val="20"/>
        </w:rPr>
        <w:t xml:space="preserve"> 245), it would be useful to </w:t>
      </w:r>
      <w:r w:rsidRPr="007435FA">
        <w:rPr>
          <w:rFonts w:ascii="Times New Roman" w:hAnsi="Times New Roman"/>
          <w:sz w:val="20"/>
          <w:szCs w:val="20"/>
        </w:rPr>
        <w:t>have diagnostic</w:t>
      </w:r>
      <w:r>
        <w:rPr>
          <w:rFonts w:ascii="Times New Roman" w:hAnsi="Times New Roman"/>
          <w:sz w:val="20"/>
          <w:szCs w:val="20"/>
        </w:rPr>
        <w:t xml:space="preserve"> tools to </w:t>
      </w:r>
      <w:r w:rsidRPr="007435FA">
        <w:rPr>
          <w:rFonts w:ascii="Times New Roman" w:hAnsi="Times New Roman"/>
          <w:sz w:val="20"/>
          <w:szCs w:val="20"/>
        </w:rPr>
        <w:t>indicate if it is desirable to perform further analyses on transients.</w:t>
      </w:r>
      <w:r>
        <w:rPr>
          <w:rFonts w:ascii="Times New Roman" w:hAnsi="Times New Roman"/>
          <w:sz w:val="20"/>
          <w:szCs w:val="20"/>
        </w:rPr>
        <w:t xml:space="preserve"> </w:t>
      </w:r>
    </w:p>
    <w:p w14:paraId="03986E08" w14:textId="77777777" w:rsidR="00A736FE" w:rsidRPr="007435FA" w:rsidRDefault="00A736FE" w:rsidP="00A736FE">
      <w:pPr>
        <w:spacing w:line="480" w:lineRule="auto"/>
        <w:ind w:firstLine="567"/>
        <w:rPr>
          <w:rFonts w:ascii="Times New Roman" w:hAnsi="Times New Roman"/>
          <w:sz w:val="20"/>
          <w:szCs w:val="20"/>
        </w:rPr>
      </w:pPr>
      <w:r w:rsidRPr="007435FA">
        <w:rPr>
          <w:rFonts w:ascii="Times New Roman" w:hAnsi="Times New Roman"/>
          <w:sz w:val="20"/>
          <w:szCs w:val="20"/>
        </w:rPr>
        <w:t xml:space="preserve">Asymptotic and transient behaviour can be </w:t>
      </w:r>
      <w:r>
        <w:rPr>
          <w:rFonts w:ascii="Times New Roman" w:hAnsi="Times New Roman"/>
          <w:sz w:val="20"/>
          <w:szCs w:val="20"/>
        </w:rPr>
        <w:t>disentangled in</w:t>
      </w:r>
      <w:r w:rsidRPr="007435FA">
        <w:rPr>
          <w:rFonts w:ascii="Times New Roman" w:hAnsi="Times New Roman"/>
          <w:sz w:val="20"/>
          <w:szCs w:val="20"/>
        </w:rPr>
        <w:t xml:space="preserve"> matrix population modelling</w:t>
      </w:r>
      <w:r>
        <w:rPr>
          <w:rFonts w:ascii="Times New Roman" w:hAnsi="Times New Roman"/>
          <w:sz w:val="20"/>
          <w:szCs w:val="20"/>
        </w:rPr>
        <w:t xml:space="preserve"> (Caswell 2001)</w:t>
      </w:r>
      <w:r w:rsidRPr="007435FA">
        <w:rPr>
          <w:rFonts w:ascii="Times New Roman" w:hAnsi="Times New Roman"/>
          <w:sz w:val="20"/>
          <w:szCs w:val="20"/>
        </w:rPr>
        <w:t>. Population projectio</w:t>
      </w:r>
      <w:r>
        <w:rPr>
          <w:rFonts w:ascii="Times New Roman" w:hAnsi="Times New Roman"/>
          <w:sz w:val="20"/>
          <w:szCs w:val="20"/>
        </w:rPr>
        <w:t>n matrices (PPMs) are built using</w:t>
      </w:r>
      <w:r w:rsidRPr="007435FA">
        <w:rPr>
          <w:rFonts w:ascii="Times New Roman" w:hAnsi="Times New Roman"/>
          <w:sz w:val="20"/>
          <w:szCs w:val="20"/>
        </w:rPr>
        <w:t xml:space="preserve"> </w:t>
      </w:r>
      <w:r>
        <w:rPr>
          <w:rFonts w:ascii="Times New Roman" w:hAnsi="Times New Roman"/>
          <w:sz w:val="20"/>
          <w:szCs w:val="20"/>
        </w:rPr>
        <w:t>(</w:t>
      </w:r>
      <w:r w:rsidRPr="007435FA">
        <w:rPr>
          <w:rFonts w:ascii="Times New Roman" w:hAnsi="Times New Roman"/>
          <w:sz w:val="20"/>
          <w:szCs w:val="20"/>
        </w:rPr>
        <w:t>st</w:t>
      </w:r>
      <w:r>
        <w:rPr>
          <w:rFonts w:ascii="Times New Roman" w:hAnsi="Times New Roman"/>
          <w:sz w:val="20"/>
          <w:szCs w:val="20"/>
        </w:rPr>
        <w:t>)</w:t>
      </w:r>
      <w:r w:rsidRPr="007435FA">
        <w:rPr>
          <w:rFonts w:ascii="Times New Roman" w:hAnsi="Times New Roman"/>
          <w:sz w:val="20"/>
          <w:szCs w:val="20"/>
        </w:rPr>
        <w:t xml:space="preserve">age-specific rates of reproduction and transition between life cycle stages (vital rates), </w:t>
      </w:r>
      <w:r>
        <w:rPr>
          <w:rFonts w:ascii="Times New Roman" w:hAnsi="Times New Roman"/>
          <w:sz w:val="20"/>
          <w:szCs w:val="20"/>
        </w:rPr>
        <w:t>to project</w:t>
      </w:r>
      <w:r w:rsidRPr="007435FA">
        <w:rPr>
          <w:rFonts w:ascii="Times New Roman" w:hAnsi="Times New Roman"/>
          <w:sz w:val="20"/>
          <w:szCs w:val="20"/>
        </w:rPr>
        <w:t xml:space="preserve"> population structures over time. The ‘eigendecomposition’ of a matrix determines the spectrum (set of eigenvalues) and ‘natural directions’ (set of eigenvectors) of a matrix</w:t>
      </w:r>
      <w:r>
        <w:rPr>
          <w:rStyle w:val="FootnoteReference"/>
          <w:rFonts w:ascii="Times New Roman" w:hAnsi="Times New Roman"/>
          <w:sz w:val="20"/>
          <w:szCs w:val="20"/>
        </w:rPr>
        <w:footnoteReference w:id="1"/>
      </w:r>
      <w:r w:rsidRPr="007435FA">
        <w:rPr>
          <w:rFonts w:ascii="Times New Roman" w:hAnsi="Times New Roman"/>
          <w:sz w:val="20"/>
          <w:szCs w:val="20"/>
        </w:rPr>
        <w:t xml:space="preserve">, and is used </w:t>
      </w:r>
      <w:r>
        <w:rPr>
          <w:rFonts w:ascii="Times New Roman" w:hAnsi="Times New Roman"/>
          <w:sz w:val="20"/>
          <w:szCs w:val="20"/>
        </w:rPr>
        <w:t xml:space="preserve">to analyse the model: for </w:t>
      </w:r>
      <w:r w:rsidRPr="007435FA">
        <w:rPr>
          <w:rFonts w:ascii="Times New Roman" w:hAnsi="Times New Roman"/>
          <w:sz w:val="20"/>
          <w:szCs w:val="20"/>
        </w:rPr>
        <w:t xml:space="preserve">PPMs, the dominant eigenvalue gives the asymptotic growth rate, and its associated right and left eigenvectors determine the stable </w:t>
      </w:r>
      <w:r>
        <w:rPr>
          <w:rFonts w:ascii="Times New Roman" w:hAnsi="Times New Roman"/>
          <w:sz w:val="20"/>
          <w:szCs w:val="20"/>
        </w:rPr>
        <w:t>(st)</w:t>
      </w:r>
      <w:r w:rsidRPr="007435FA">
        <w:rPr>
          <w:rFonts w:ascii="Times New Roman" w:hAnsi="Times New Roman"/>
          <w:sz w:val="20"/>
          <w:szCs w:val="20"/>
        </w:rPr>
        <w:t xml:space="preserve">age structure and </w:t>
      </w:r>
      <w:r>
        <w:rPr>
          <w:rFonts w:ascii="Times New Roman" w:hAnsi="Times New Roman"/>
          <w:sz w:val="20"/>
          <w:szCs w:val="20"/>
        </w:rPr>
        <w:t>(st)</w:t>
      </w:r>
      <w:r w:rsidRPr="007435FA">
        <w:rPr>
          <w:rFonts w:ascii="Times New Roman" w:hAnsi="Times New Roman"/>
          <w:sz w:val="20"/>
          <w:szCs w:val="20"/>
        </w:rPr>
        <w:t xml:space="preserve">age-specific reproductive values, respectively. Subdominant eigendata pertain to transient responses, with decreasing influence over time following disturbance from the stable </w:t>
      </w:r>
      <w:r>
        <w:rPr>
          <w:rFonts w:ascii="Times New Roman" w:hAnsi="Times New Roman"/>
          <w:sz w:val="20"/>
          <w:szCs w:val="20"/>
        </w:rPr>
        <w:t>(st)</w:t>
      </w:r>
      <w:r w:rsidRPr="007435FA">
        <w:rPr>
          <w:rFonts w:ascii="Times New Roman" w:hAnsi="Times New Roman"/>
          <w:sz w:val="20"/>
          <w:szCs w:val="20"/>
        </w:rPr>
        <w:t>age structure (Ca</w:t>
      </w:r>
      <w:r>
        <w:rPr>
          <w:rFonts w:ascii="Times New Roman" w:hAnsi="Times New Roman"/>
          <w:sz w:val="20"/>
          <w:szCs w:val="20"/>
        </w:rPr>
        <w:t xml:space="preserve">swell 2001). </w:t>
      </w:r>
    </w:p>
    <w:p w14:paraId="09C1CCCD" w14:textId="7AC200EE" w:rsidR="00A736FE" w:rsidRDefault="00A736FE" w:rsidP="00A736FE">
      <w:pPr>
        <w:spacing w:line="480" w:lineRule="auto"/>
        <w:ind w:firstLine="567"/>
        <w:rPr>
          <w:rFonts w:ascii="Times New Roman" w:hAnsi="Times New Roman"/>
          <w:sz w:val="20"/>
          <w:szCs w:val="20"/>
        </w:rPr>
      </w:pPr>
      <w:r w:rsidRPr="00EA26E5">
        <w:rPr>
          <w:rFonts w:ascii="Times New Roman" w:hAnsi="Times New Roman"/>
          <w:sz w:val="20"/>
          <w:szCs w:val="20"/>
        </w:rPr>
        <w:t>The classical metric of the duration of this decreasing influence is the damping ratio, which is calculated as the ratio of the dominant eigenvalue divided by the absolute</w:t>
      </w:r>
      <w:r w:rsidRPr="007435FA">
        <w:rPr>
          <w:rFonts w:ascii="Times New Roman" w:hAnsi="Times New Roman"/>
          <w:sz w:val="20"/>
          <w:szCs w:val="20"/>
        </w:rPr>
        <w:t xml:space="preserve"> value of the subdominant eigenvalue (Caswell 2001). As a measure of ‘intrinsic population resilience’</w:t>
      </w:r>
      <w:r>
        <w:rPr>
          <w:rFonts w:ascii="Times New Roman" w:hAnsi="Times New Roman"/>
          <w:sz w:val="20"/>
          <w:szCs w:val="20"/>
        </w:rPr>
        <w:t xml:space="preserve"> to transient deviations (with a </w:t>
      </w:r>
      <w:r w:rsidR="007B09CA">
        <w:rPr>
          <w:rFonts w:ascii="Times New Roman" w:hAnsi="Times New Roman"/>
          <w:sz w:val="20"/>
          <w:szCs w:val="20"/>
        </w:rPr>
        <w:t>higher</w:t>
      </w:r>
      <w:r>
        <w:rPr>
          <w:rFonts w:ascii="Times New Roman" w:hAnsi="Times New Roman"/>
          <w:sz w:val="20"/>
          <w:szCs w:val="20"/>
        </w:rPr>
        <w:t xml:space="preserve"> value suggesting a shorter recovery time)</w:t>
      </w:r>
      <w:r w:rsidRPr="007435FA">
        <w:rPr>
          <w:rFonts w:ascii="Times New Roman" w:hAnsi="Times New Roman"/>
          <w:sz w:val="20"/>
          <w:szCs w:val="20"/>
        </w:rPr>
        <w:t>, the damping ratio has been shown to be useful in comparative demography (Stott et al. 2011). However, it is methodologically limited, because rather than bounding the duration of transient dynamics, it actually measures the asymptotic rate at which transients decay. As such, it correlates weakly with convergence times of realistic population projections (Stott et al. 2011)</w:t>
      </w:r>
      <w:r>
        <w:rPr>
          <w:rFonts w:ascii="Times New Roman" w:hAnsi="Times New Roman"/>
          <w:sz w:val="20"/>
          <w:szCs w:val="20"/>
        </w:rPr>
        <w:t xml:space="preserve"> because transient dynamics are not determined solely by the largest two eigenvalues, as the damping ratio assumes, but rather by the whole set</w:t>
      </w:r>
      <w:r w:rsidRPr="007435FA">
        <w:rPr>
          <w:rFonts w:ascii="Times New Roman" w:hAnsi="Times New Roman"/>
          <w:sz w:val="20"/>
          <w:szCs w:val="20"/>
        </w:rPr>
        <w:t>. Fig</w:t>
      </w:r>
      <w:r w:rsidR="00146F20">
        <w:rPr>
          <w:rFonts w:ascii="Times New Roman" w:hAnsi="Times New Roman"/>
          <w:sz w:val="20"/>
          <w:szCs w:val="20"/>
        </w:rPr>
        <w:t>ure</w:t>
      </w:r>
      <w:r w:rsidRPr="007435FA">
        <w:rPr>
          <w:rFonts w:ascii="Times New Roman" w:hAnsi="Times New Roman"/>
          <w:sz w:val="20"/>
          <w:szCs w:val="20"/>
        </w:rPr>
        <w:t xml:space="preserve"> 1 shows </w:t>
      </w:r>
      <w:r>
        <w:rPr>
          <w:rFonts w:ascii="Times New Roman" w:hAnsi="Times New Roman"/>
          <w:sz w:val="20"/>
          <w:szCs w:val="20"/>
        </w:rPr>
        <w:t>an eigenvalue spectrum for a PPM for Bulgaria in 2014, demonstrating that many of the</w:t>
      </w:r>
      <w:r w:rsidRPr="007435FA">
        <w:rPr>
          <w:rFonts w:ascii="Times New Roman" w:hAnsi="Times New Roman"/>
          <w:sz w:val="20"/>
          <w:szCs w:val="20"/>
        </w:rPr>
        <w:t xml:space="preserve"> lower eigenvalues </w:t>
      </w:r>
      <w:r>
        <w:rPr>
          <w:rFonts w:ascii="Times New Roman" w:hAnsi="Times New Roman"/>
          <w:sz w:val="20"/>
          <w:szCs w:val="20"/>
        </w:rPr>
        <w:t xml:space="preserve">can </w:t>
      </w:r>
      <w:r w:rsidRPr="007435FA">
        <w:rPr>
          <w:rFonts w:ascii="Times New Roman" w:hAnsi="Times New Roman"/>
          <w:sz w:val="20"/>
          <w:szCs w:val="20"/>
        </w:rPr>
        <w:t>have magnitudes similar to the subdominant</w:t>
      </w:r>
      <w:r>
        <w:rPr>
          <w:rFonts w:ascii="Times New Roman" w:hAnsi="Times New Roman"/>
          <w:sz w:val="20"/>
          <w:szCs w:val="20"/>
        </w:rPr>
        <w:t xml:space="preserve"> one – highlighting </w:t>
      </w:r>
      <w:r w:rsidRPr="007435FA">
        <w:rPr>
          <w:rFonts w:ascii="Times New Roman" w:hAnsi="Times New Roman"/>
          <w:sz w:val="20"/>
          <w:szCs w:val="20"/>
        </w:rPr>
        <w:t>how much information for predicting transient dynamics is lost when focusing solely on the damping ratio.</w:t>
      </w:r>
      <w:r>
        <w:rPr>
          <w:rFonts w:ascii="Times New Roman" w:hAnsi="Times New Roman"/>
          <w:sz w:val="20"/>
          <w:szCs w:val="20"/>
        </w:rPr>
        <w:t xml:space="preserve"> More </w:t>
      </w:r>
      <w:r w:rsidRPr="007B09CA">
        <w:rPr>
          <w:rFonts w:ascii="Times New Roman" w:hAnsi="Times New Roman"/>
          <w:sz w:val="20"/>
          <w:szCs w:val="20"/>
        </w:rPr>
        <w:t>integrative measures of eigenvalue variation have the potential to increase the accuracy of transient dynamic predictions (cf</w:t>
      </w:r>
      <w:r w:rsidR="00432BB9" w:rsidRPr="007B09CA">
        <w:rPr>
          <w:rFonts w:ascii="Times New Roman" w:hAnsi="Times New Roman"/>
          <w:sz w:val="20"/>
          <w:szCs w:val="20"/>
        </w:rPr>
        <w:t>.</w:t>
      </w:r>
      <w:r w:rsidRPr="007B09CA">
        <w:rPr>
          <w:rFonts w:ascii="Times New Roman" w:hAnsi="Times New Roman"/>
          <w:sz w:val="20"/>
          <w:szCs w:val="20"/>
        </w:rPr>
        <w:t xml:space="preserve"> Crone et al. 2013).</w:t>
      </w:r>
    </w:p>
    <w:p w14:paraId="6ADA882C" w14:textId="77777777" w:rsidR="00A736FE" w:rsidRDefault="00A736FE" w:rsidP="00A736FE">
      <w:pPr>
        <w:spacing w:line="480" w:lineRule="auto"/>
        <w:ind w:firstLine="567"/>
        <w:rPr>
          <w:rFonts w:ascii="Times New Roman" w:hAnsi="Times New Roman"/>
          <w:sz w:val="20"/>
          <w:szCs w:val="20"/>
        </w:rPr>
      </w:pPr>
      <w:r>
        <w:rPr>
          <w:rFonts w:ascii="Times New Roman" w:hAnsi="Times New Roman"/>
          <w:sz w:val="20"/>
          <w:szCs w:val="20"/>
        </w:rPr>
        <w:t>In population ecology, transients are the result of an initial population vector being propagated through a population projection matrix. The focus of efforts into transient fluctuations has most often centred on how the population structure at a given point in time differs from the stable age distribution (</w:t>
      </w:r>
      <w:r w:rsidRPr="00BB3892">
        <w:rPr>
          <w:rFonts w:ascii="Times New Roman" w:hAnsi="Times New Roman"/>
          <w:sz w:val="20"/>
          <w:szCs w:val="20"/>
        </w:rPr>
        <w:t>reviewed by Williams et al. 2011).</w:t>
      </w:r>
      <w:r>
        <w:rPr>
          <w:rFonts w:ascii="Times New Roman" w:hAnsi="Times New Roman"/>
          <w:sz w:val="20"/>
          <w:szCs w:val="20"/>
        </w:rPr>
        <w:t xml:space="preserve"> As individuals at different developmental (st)ages have different mortality and fertility rates, the </w:t>
      </w:r>
      <w:r>
        <w:rPr>
          <w:rFonts w:ascii="Times New Roman" w:hAnsi="Times New Roman"/>
          <w:sz w:val="20"/>
          <w:szCs w:val="20"/>
        </w:rPr>
        <w:lastRenderedPageBreak/>
        <w:t>discrepancy between observed and stable population structures causes the aggregated population growth rate to change despite constant demographic rates (</w:t>
      </w:r>
      <w:r w:rsidRPr="00872551">
        <w:rPr>
          <w:rFonts w:ascii="Times New Roman" w:hAnsi="Times New Roman"/>
          <w:sz w:val="20"/>
          <w:szCs w:val="20"/>
        </w:rPr>
        <w:t>Koons et al. 2005;</w:t>
      </w:r>
      <w:r w:rsidRPr="000301C0">
        <w:rPr>
          <w:rFonts w:ascii="Times New Roman" w:hAnsi="Times New Roman"/>
          <w:sz w:val="20"/>
          <w:szCs w:val="20"/>
        </w:rPr>
        <w:t xml:space="preserve"> </w:t>
      </w:r>
      <w:r>
        <w:rPr>
          <w:rFonts w:ascii="Times New Roman" w:hAnsi="Times New Roman"/>
          <w:sz w:val="20"/>
          <w:szCs w:val="20"/>
        </w:rPr>
        <w:t>Ezard et al. 2010; Stott et al. 2011). This focus on population structures represents a single side of the same coin – a given initial condition can have very different transient dynamics depending on the matrix through which it is projected. This leads to asking whether there are properties of the PPM that can indicate a system’s propensity to exhibit amplificatory dynamics.</w:t>
      </w:r>
    </w:p>
    <w:p w14:paraId="5CA6E68F" w14:textId="77777777" w:rsidR="00A736FE" w:rsidRDefault="00A736FE" w:rsidP="00A736FE">
      <w:pPr>
        <w:spacing w:line="480" w:lineRule="auto"/>
        <w:ind w:firstLine="567"/>
        <w:rPr>
          <w:rFonts w:ascii="Times New Roman" w:hAnsi="Times New Roman"/>
          <w:sz w:val="20"/>
          <w:szCs w:val="20"/>
        </w:rPr>
      </w:pPr>
      <w:r>
        <w:rPr>
          <w:rFonts w:ascii="Times New Roman" w:hAnsi="Times New Roman"/>
          <w:sz w:val="20"/>
          <w:szCs w:val="20"/>
        </w:rPr>
        <w:t>It has long been recognised within mathematics t</w:t>
      </w:r>
      <w:r w:rsidRPr="00B95BEE">
        <w:rPr>
          <w:rFonts w:ascii="Times New Roman" w:hAnsi="Times New Roman"/>
          <w:sz w:val="20"/>
          <w:szCs w:val="20"/>
        </w:rPr>
        <w:t xml:space="preserve">hat transient </w:t>
      </w:r>
      <w:r>
        <w:rPr>
          <w:rFonts w:ascii="Times New Roman" w:hAnsi="Times New Roman"/>
          <w:sz w:val="20"/>
          <w:szCs w:val="20"/>
        </w:rPr>
        <w:t>dynamics</w:t>
      </w:r>
      <w:r w:rsidRPr="00B95BEE">
        <w:rPr>
          <w:rFonts w:ascii="Times New Roman" w:hAnsi="Times New Roman"/>
          <w:sz w:val="20"/>
          <w:szCs w:val="20"/>
        </w:rPr>
        <w:t xml:space="preserve"> depend on a </w:t>
      </w:r>
      <w:r>
        <w:rPr>
          <w:rFonts w:ascii="Times New Roman" w:hAnsi="Times New Roman"/>
          <w:sz w:val="20"/>
          <w:szCs w:val="20"/>
        </w:rPr>
        <w:t xml:space="preserve">matrix </w:t>
      </w:r>
      <w:r w:rsidRPr="00B95BEE">
        <w:rPr>
          <w:rFonts w:ascii="Times New Roman" w:hAnsi="Times New Roman"/>
          <w:sz w:val="20"/>
          <w:szCs w:val="20"/>
        </w:rPr>
        <w:t xml:space="preserve">characteristic known as </w:t>
      </w:r>
      <w:r w:rsidRPr="006C7DA7">
        <w:rPr>
          <w:rFonts w:ascii="Times New Roman" w:hAnsi="Times New Roman"/>
          <w:sz w:val="20"/>
          <w:szCs w:val="20"/>
        </w:rPr>
        <w:t>‘normality’ (E</w:t>
      </w:r>
      <w:r>
        <w:rPr>
          <w:rFonts w:ascii="Times New Roman" w:hAnsi="Times New Roman"/>
          <w:sz w:val="20"/>
          <w:szCs w:val="20"/>
        </w:rPr>
        <w:t>lsner and Paardekooper</w:t>
      </w:r>
      <w:r w:rsidRPr="00B95BEE">
        <w:rPr>
          <w:rFonts w:ascii="Times New Roman" w:hAnsi="Times New Roman"/>
          <w:sz w:val="20"/>
          <w:szCs w:val="20"/>
        </w:rPr>
        <w:t xml:space="preserve"> 1987</w:t>
      </w:r>
      <w:r>
        <w:rPr>
          <w:rFonts w:ascii="Times New Roman" w:hAnsi="Times New Roman"/>
          <w:sz w:val="20"/>
          <w:szCs w:val="20"/>
        </w:rPr>
        <w:t>; Trefethen and Embree 2005</w:t>
      </w:r>
      <w:r w:rsidRPr="00B95BEE">
        <w:rPr>
          <w:rFonts w:ascii="Times New Roman" w:hAnsi="Times New Roman"/>
          <w:sz w:val="20"/>
          <w:szCs w:val="20"/>
        </w:rPr>
        <w:t>)</w:t>
      </w:r>
      <w:r>
        <w:rPr>
          <w:rFonts w:ascii="Times New Roman" w:hAnsi="Times New Roman"/>
          <w:sz w:val="20"/>
          <w:szCs w:val="20"/>
        </w:rPr>
        <w:t>. If a matrix is normal its properties are fully determined by eigendata (Trefethen and Embree 2005), the set of basis values and vectors that describe the core properties of the system. While undoubtedly valuable (</w:t>
      </w:r>
      <w:r w:rsidRPr="0030579C">
        <w:rPr>
          <w:rFonts w:ascii="Times New Roman" w:hAnsi="Times New Roman"/>
          <w:sz w:val="20"/>
          <w:szCs w:val="20"/>
        </w:rPr>
        <w:t xml:space="preserve">Caswell 2001; </w:t>
      </w:r>
      <w:r>
        <w:rPr>
          <w:rFonts w:ascii="Times New Roman" w:hAnsi="Times New Roman"/>
          <w:sz w:val="20"/>
          <w:szCs w:val="20"/>
        </w:rPr>
        <w:t xml:space="preserve">Hodgson et al. 2006; </w:t>
      </w:r>
      <w:r w:rsidRPr="00EA4CD7">
        <w:rPr>
          <w:rFonts w:ascii="Times New Roman" w:hAnsi="Times New Roman"/>
          <w:sz w:val="20"/>
          <w:szCs w:val="20"/>
        </w:rPr>
        <w:t>Crone et al. 2011</w:t>
      </w:r>
      <w:r>
        <w:rPr>
          <w:rFonts w:ascii="Times New Roman" w:hAnsi="Times New Roman"/>
          <w:sz w:val="20"/>
          <w:szCs w:val="20"/>
        </w:rPr>
        <w:t>), eigendata are an asymptotic description and therefore cannot capture all dynamical aspects of populations’ short- and medium-term trajectories as determined by asymmetric, non-normal PPMs. Transient effects are limited in normal systems, but can be substantial (Trefethen 1997) and potentially dominating (Townley et al. 2007) in non-normal ones.</w:t>
      </w:r>
      <w:r w:rsidRPr="00B17160">
        <w:rPr>
          <w:rFonts w:ascii="Times New Roman" w:hAnsi="Times New Roman"/>
          <w:sz w:val="20"/>
          <w:szCs w:val="20"/>
        </w:rPr>
        <w:t xml:space="preserve"> </w:t>
      </w:r>
      <w:r>
        <w:rPr>
          <w:rFonts w:ascii="Times New Roman" w:hAnsi="Times New Roman"/>
          <w:sz w:val="20"/>
          <w:szCs w:val="20"/>
        </w:rPr>
        <w:t xml:space="preserve">A key challenge then is to find and understand simple measures of non-normality that might predict and explain links between matrix asymmetry and transient dynamics in population ecology and evolutionary demography. </w:t>
      </w:r>
    </w:p>
    <w:p w14:paraId="09E7EF6B" w14:textId="77777777" w:rsidR="00A736FE" w:rsidRDefault="00A736FE" w:rsidP="00A736FE">
      <w:pPr>
        <w:spacing w:line="480" w:lineRule="auto"/>
        <w:ind w:firstLine="567"/>
        <w:rPr>
          <w:rFonts w:ascii="Times New Roman" w:hAnsi="Times New Roman"/>
          <w:sz w:val="20"/>
          <w:szCs w:val="20"/>
        </w:rPr>
      </w:pPr>
      <w:r>
        <w:rPr>
          <w:rFonts w:ascii="Times New Roman" w:hAnsi="Times New Roman"/>
          <w:sz w:val="20"/>
          <w:szCs w:val="20"/>
        </w:rPr>
        <w:t>Here, we apply non-normality metrics to PPMs</w:t>
      </w:r>
      <w:r w:rsidRPr="00B95BEE">
        <w:rPr>
          <w:rFonts w:ascii="Times New Roman" w:hAnsi="Times New Roman"/>
          <w:sz w:val="20"/>
          <w:szCs w:val="20"/>
        </w:rPr>
        <w:t xml:space="preserve">. </w:t>
      </w:r>
      <w:r>
        <w:rPr>
          <w:rFonts w:ascii="Times New Roman" w:hAnsi="Times New Roman"/>
          <w:sz w:val="20"/>
          <w:szCs w:val="20"/>
        </w:rPr>
        <w:t>Human populations</w:t>
      </w:r>
      <w:r w:rsidRPr="00B95BEE">
        <w:rPr>
          <w:rFonts w:ascii="Times New Roman" w:hAnsi="Times New Roman"/>
          <w:sz w:val="20"/>
          <w:szCs w:val="20"/>
        </w:rPr>
        <w:t xml:space="preserve"> are </w:t>
      </w:r>
      <w:r>
        <w:rPr>
          <w:rFonts w:ascii="Times New Roman" w:hAnsi="Times New Roman"/>
          <w:sz w:val="20"/>
          <w:szCs w:val="20"/>
        </w:rPr>
        <w:t>particularly susceptible to transients as a result of culture and geopolitics inducing</w:t>
      </w:r>
      <w:r w:rsidRPr="00B95BEE">
        <w:rPr>
          <w:rFonts w:ascii="Times New Roman" w:hAnsi="Times New Roman"/>
          <w:sz w:val="20"/>
          <w:szCs w:val="20"/>
        </w:rPr>
        <w:t xml:space="preserve"> strong cohort effects (Ezard et al. 2010)</w:t>
      </w:r>
      <w:r>
        <w:rPr>
          <w:rFonts w:ascii="Times New Roman" w:hAnsi="Times New Roman"/>
          <w:sz w:val="20"/>
          <w:szCs w:val="20"/>
        </w:rPr>
        <w:t xml:space="preserve">, in addition to long </w:t>
      </w:r>
      <w:r w:rsidR="0069421D">
        <w:rPr>
          <w:rFonts w:ascii="Times New Roman" w:hAnsi="Times New Roman"/>
          <w:sz w:val="20"/>
          <w:szCs w:val="20"/>
        </w:rPr>
        <w:t>lifespan (Koons et al</w:t>
      </w:r>
      <w:r w:rsidR="0069421D" w:rsidRPr="00032F60">
        <w:rPr>
          <w:rFonts w:ascii="Times New Roman" w:hAnsi="Times New Roman"/>
          <w:sz w:val="20"/>
          <w:szCs w:val="20"/>
        </w:rPr>
        <w:t>. 2005</w:t>
      </w:r>
      <w:r w:rsidR="00032F60" w:rsidRPr="00032F60">
        <w:rPr>
          <w:rFonts w:ascii="Times New Roman" w:hAnsi="Times New Roman"/>
          <w:sz w:val="20"/>
          <w:szCs w:val="20"/>
        </w:rPr>
        <w:t>, 2007</w:t>
      </w:r>
      <w:r w:rsidRPr="00032F60">
        <w:rPr>
          <w:rFonts w:ascii="Times New Roman" w:hAnsi="Times New Roman"/>
          <w:sz w:val="20"/>
          <w:szCs w:val="20"/>
        </w:rPr>
        <w:t>). Momentum</w:t>
      </w:r>
      <w:r>
        <w:rPr>
          <w:rFonts w:ascii="Times New Roman" w:hAnsi="Times New Roman"/>
          <w:sz w:val="20"/>
          <w:szCs w:val="20"/>
        </w:rPr>
        <w:t xml:space="preserve"> will dominate long-term population dynamics in Africa </w:t>
      </w:r>
      <w:r w:rsidRPr="00EA26E5">
        <w:rPr>
          <w:rFonts w:ascii="Times New Roman" w:hAnsi="Times New Roman"/>
          <w:sz w:val="20"/>
          <w:szCs w:val="20"/>
        </w:rPr>
        <w:t>and Asia due to high uncertainty and variability in fertility and mortality rates</w:t>
      </w:r>
      <w:r>
        <w:rPr>
          <w:rFonts w:ascii="Times New Roman" w:hAnsi="Times New Roman"/>
          <w:sz w:val="20"/>
          <w:szCs w:val="20"/>
        </w:rPr>
        <w:t xml:space="preserve"> (Azose et al. 2016), and can be expected to account for over half of all population growth in developing countries from 1995 to 2100 (Bongaarts 1994). We used Eurostat data f</w:t>
      </w:r>
      <w:r w:rsidR="00D746F4">
        <w:rPr>
          <w:rFonts w:ascii="Times New Roman" w:hAnsi="Times New Roman"/>
          <w:sz w:val="20"/>
          <w:szCs w:val="20"/>
        </w:rPr>
        <w:t>or 1960 to 2014 to build over 1</w:t>
      </w:r>
      <w:r w:rsidR="00945A33">
        <w:rPr>
          <w:rFonts w:ascii="Times New Roman" w:hAnsi="Times New Roman"/>
          <w:sz w:val="20"/>
          <w:szCs w:val="20"/>
        </w:rPr>
        <w:t>0</w:t>
      </w:r>
      <w:r>
        <w:rPr>
          <w:rFonts w:ascii="Times New Roman" w:hAnsi="Times New Roman"/>
          <w:sz w:val="20"/>
          <w:szCs w:val="20"/>
        </w:rPr>
        <w:t xml:space="preserve">00 PPMs of country-year </w:t>
      </w:r>
      <w:r w:rsidRPr="009D4A25">
        <w:rPr>
          <w:rFonts w:ascii="Times New Roman" w:hAnsi="Times New Roman"/>
          <w:sz w:val="20"/>
          <w:szCs w:val="20"/>
        </w:rPr>
        <w:t xml:space="preserve">combinations. </w:t>
      </w:r>
      <w:r>
        <w:rPr>
          <w:rFonts w:ascii="Times New Roman" w:hAnsi="Times New Roman"/>
          <w:sz w:val="20"/>
          <w:szCs w:val="20"/>
        </w:rPr>
        <w:t>After showing that non-normality has generally increased in these PPMs over time, we use multivariate analyses to highlight the dependencies among the facets of matrix non-normality and classical ecological</w:t>
      </w:r>
      <w:r w:rsidR="00945A33">
        <w:rPr>
          <w:rFonts w:ascii="Times New Roman" w:hAnsi="Times New Roman"/>
          <w:sz w:val="20"/>
          <w:szCs w:val="20"/>
        </w:rPr>
        <w:t xml:space="preserve"> population dynamic metrics. Our</w:t>
      </w:r>
      <w:r>
        <w:rPr>
          <w:rFonts w:ascii="Times New Roman" w:hAnsi="Times New Roman"/>
          <w:sz w:val="20"/>
          <w:szCs w:val="20"/>
        </w:rPr>
        <w:t xml:space="preserve"> three non-normality metrics correlate well with transient indices, but not with the damping ratio. These patterns are best drawn out through an important distinction between non-normality for the system as a whole, combining asymptotic and transient dynamics, and that for the scaled system, when asymptotic growth rate is factored out. Finally, we also introduce to population ecology the technique of pseudospectra analysis (Trefethen and Embree 2005), originally derived from applications in fluid dynamics (Trefethen et al. 1993), which should prove helpful in the incorporation of non-normality assessment into matrix population modelling.</w:t>
      </w:r>
    </w:p>
    <w:p w14:paraId="21D88BD4" w14:textId="77777777" w:rsidR="00A736FE" w:rsidRDefault="00A736FE" w:rsidP="001353CF">
      <w:pPr>
        <w:spacing w:line="480" w:lineRule="auto"/>
        <w:rPr>
          <w:rFonts w:ascii="Times New Roman" w:hAnsi="Times New Roman"/>
          <w:sz w:val="20"/>
          <w:szCs w:val="20"/>
        </w:rPr>
      </w:pPr>
    </w:p>
    <w:p w14:paraId="0B790116" w14:textId="77777777" w:rsidR="00A736FE" w:rsidRPr="0093579B" w:rsidRDefault="008050C5" w:rsidP="00A736FE">
      <w:pPr>
        <w:pStyle w:val="Heading2"/>
        <w:spacing w:line="480" w:lineRule="auto"/>
        <w:rPr>
          <w:rFonts w:ascii="Times New Roman" w:hAnsi="Times New Roman" w:cs="Times New Roman"/>
          <w:b/>
          <w:color w:val="auto"/>
          <w:sz w:val="20"/>
          <w:szCs w:val="20"/>
        </w:rPr>
      </w:pPr>
      <w:r w:rsidRPr="0093579B">
        <w:rPr>
          <w:rFonts w:ascii="Times New Roman" w:hAnsi="Times New Roman" w:cs="Times New Roman"/>
          <w:b/>
          <w:color w:val="auto"/>
          <w:sz w:val="20"/>
          <w:szCs w:val="20"/>
        </w:rPr>
        <w:t>Methods</w:t>
      </w:r>
    </w:p>
    <w:p w14:paraId="3C2B5DE4" w14:textId="77777777" w:rsidR="00A22B3F" w:rsidRPr="0093579B" w:rsidRDefault="00A22B3F" w:rsidP="00A22B3F"/>
    <w:p w14:paraId="66BDD6CE" w14:textId="77777777" w:rsidR="00A736FE" w:rsidRPr="0093579B" w:rsidRDefault="00A736FE" w:rsidP="00A736FE">
      <w:pPr>
        <w:pStyle w:val="Heading3"/>
        <w:spacing w:line="480" w:lineRule="auto"/>
        <w:rPr>
          <w:rFonts w:ascii="Times New Roman" w:hAnsi="Times New Roman" w:cs="Times New Roman"/>
          <w:color w:val="auto"/>
          <w:sz w:val="20"/>
          <w:szCs w:val="20"/>
        </w:rPr>
      </w:pPr>
      <w:r w:rsidRPr="0093579B">
        <w:rPr>
          <w:rFonts w:ascii="Times New Roman" w:hAnsi="Times New Roman" w:cs="Times New Roman"/>
          <w:color w:val="auto"/>
          <w:sz w:val="20"/>
          <w:szCs w:val="20"/>
        </w:rPr>
        <w:t xml:space="preserve">Data </w:t>
      </w:r>
    </w:p>
    <w:p w14:paraId="1BE69B05" w14:textId="77777777" w:rsidR="00A22B3F" w:rsidRPr="00A22B3F" w:rsidRDefault="00A22B3F" w:rsidP="00A22B3F"/>
    <w:p w14:paraId="78D5BDCB" w14:textId="77777777" w:rsidR="00A736FE" w:rsidRDefault="00A736FE" w:rsidP="00A736FE">
      <w:pPr>
        <w:spacing w:line="480" w:lineRule="auto"/>
        <w:rPr>
          <w:rFonts w:ascii="Times New Roman" w:hAnsi="Times New Roman"/>
          <w:sz w:val="20"/>
          <w:szCs w:val="20"/>
        </w:rPr>
      </w:pPr>
      <w:r w:rsidRPr="00D74F1D">
        <w:rPr>
          <w:rFonts w:ascii="Times New Roman" w:hAnsi="Times New Roman"/>
          <w:sz w:val="20"/>
          <w:szCs w:val="20"/>
        </w:rPr>
        <w:t>We used the Eurostat database (</w:t>
      </w:r>
      <w:hyperlink r:id="rId7" w:history="1">
        <w:r w:rsidRPr="00D74F1D">
          <w:rPr>
            <w:rStyle w:val="Hyperlink"/>
            <w:rFonts w:ascii="Times New Roman" w:hAnsi="Times New Roman"/>
            <w:sz w:val="20"/>
            <w:szCs w:val="20"/>
            <w:shd w:val="clear" w:color="auto" w:fill="FFFFFF"/>
          </w:rPr>
          <w:t>http://ec.europa.eu/eurostat</w:t>
        </w:r>
      </w:hyperlink>
      <w:r w:rsidRPr="00D74F1D">
        <w:rPr>
          <w:rFonts w:ascii="Times New Roman" w:hAnsi="Times New Roman"/>
          <w:sz w:val="20"/>
          <w:szCs w:val="20"/>
        </w:rPr>
        <w:t>) to collect secondary data on age-specific female population sizes, births and deaths, for the 4</w:t>
      </w:r>
      <w:r>
        <w:rPr>
          <w:rFonts w:ascii="Times New Roman" w:hAnsi="Times New Roman"/>
          <w:sz w:val="20"/>
          <w:szCs w:val="20"/>
        </w:rPr>
        <w:t>5</w:t>
      </w:r>
      <w:r w:rsidRPr="00D74F1D">
        <w:rPr>
          <w:rFonts w:ascii="Times New Roman" w:hAnsi="Times New Roman"/>
          <w:sz w:val="20"/>
          <w:szCs w:val="20"/>
        </w:rPr>
        <w:t xml:space="preserve"> European</w:t>
      </w:r>
      <w:r>
        <w:rPr>
          <w:rFonts w:ascii="Times New Roman" w:hAnsi="Times New Roman"/>
          <w:sz w:val="20"/>
          <w:szCs w:val="20"/>
        </w:rPr>
        <w:t xml:space="preserve"> countries with complete</w:t>
      </w:r>
      <w:r w:rsidRPr="00D74F1D">
        <w:rPr>
          <w:rFonts w:ascii="Times New Roman" w:hAnsi="Times New Roman"/>
          <w:sz w:val="20"/>
          <w:szCs w:val="20"/>
        </w:rPr>
        <w:t xml:space="preserve"> </w:t>
      </w:r>
      <w:r>
        <w:rPr>
          <w:rFonts w:ascii="Times New Roman" w:hAnsi="Times New Roman"/>
          <w:sz w:val="20"/>
          <w:szCs w:val="20"/>
        </w:rPr>
        <w:t xml:space="preserve">population </w:t>
      </w:r>
      <w:r w:rsidRPr="00D74F1D">
        <w:rPr>
          <w:rFonts w:ascii="Times New Roman" w:hAnsi="Times New Roman"/>
          <w:sz w:val="20"/>
          <w:szCs w:val="20"/>
        </w:rPr>
        <w:t>data for any subset of years</w:t>
      </w:r>
      <w:r w:rsidR="006C2582">
        <w:rPr>
          <w:rFonts w:ascii="Times New Roman" w:hAnsi="Times New Roman"/>
          <w:sz w:val="20"/>
          <w:szCs w:val="20"/>
        </w:rPr>
        <w:t xml:space="preserve"> </w:t>
      </w:r>
      <w:r>
        <w:rPr>
          <w:rFonts w:ascii="Times New Roman" w:hAnsi="Times New Roman"/>
          <w:sz w:val="20"/>
          <w:szCs w:val="20"/>
        </w:rPr>
        <w:t>1960–</w:t>
      </w:r>
      <w:r w:rsidRPr="00D74F1D">
        <w:rPr>
          <w:rFonts w:ascii="Times New Roman" w:hAnsi="Times New Roman"/>
          <w:sz w:val="20"/>
          <w:szCs w:val="20"/>
        </w:rPr>
        <w:t>2014</w:t>
      </w:r>
      <w:r>
        <w:rPr>
          <w:rFonts w:ascii="Times New Roman" w:hAnsi="Times New Roman"/>
          <w:sz w:val="20"/>
          <w:szCs w:val="20"/>
        </w:rPr>
        <w:t xml:space="preserve"> (range 3-55 years, 6 complete sets, mean 28 years)</w:t>
      </w:r>
      <w:r w:rsidRPr="00D74F1D">
        <w:rPr>
          <w:rFonts w:ascii="Times New Roman" w:hAnsi="Times New Roman"/>
          <w:sz w:val="20"/>
          <w:szCs w:val="20"/>
        </w:rPr>
        <w:t>. The variables are provided in single-year age classes, up to the oldest age recorded or an arbitrary ‘</w:t>
      </w:r>
      <w:r w:rsidRPr="00FF0ED7">
        <w:rPr>
          <w:rFonts w:ascii="Times New Roman" w:hAnsi="Times New Roman"/>
          <w:i/>
          <w:sz w:val="20"/>
          <w:szCs w:val="20"/>
        </w:rPr>
        <w:t>x</w:t>
      </w:r>
      <w:r w:rsidRPr="00D74F1D">
        <w:rPr>
          <w:rFonts w:ascii="Times New Roman" w:hAnsi="Times New Roman"/>
          <w:sz w:val="20"/>
          <w:szCs w:val="20"/>
        </w:rPr>
        <w:t xml:space="preserve"> years and over’ category. Following standard human demography protocols (e.g.</w:t>
      </w:r>
      <w:r w:rsidR="00146F20">
        <w:rPr>
          <w:rFonts w:ascii="Times New Roman" w:hAnsi="Times New Roman"/>
          <w:sz w:val="20"/>
          <w:szCs w:val="20"/>
        </w:rPr>
        <w:t>,</w:t>
      </w:r>
      <w:r w:rsidRPr="00D74F1D">
        <w:rPr>
          <w:rFonts w:ascii="Times New Roman" w:hAnsi="Times New Roman"/>
          <w:sz w:val="20"/>
          <w:szCs w:val="20"/>
        </w:rPr>
        <w:t xml:space="preserve"> Keyfitz and Flieger 1968, 1971, 1990; </w:t>
      </w:r>
      <w:r>
        <w:rPr>
          <w:rFonts w:ascii="Times New Roman" w:hAnsi="Times New Roman"/>
          <w:sz w:val="20"/>
          <w:szCs w:val="20"/>
        </w:rPr>
        <w:t>Wiśniowski et al.</w:t>
      </w:r>
      <w:r w:rsidRPr="00D74F1D">
        <w:rPr>
          <w:rFonts w:ascii="Times New Roman" w:hAnsi="Times New Roman"/>
          <w:sz w:val="20"/>
          <w:szCs w:val="20"/>
        </w:rPr>
        <w:t xml:space="preserve"> 2016), we aggregated into 18 five-year bins, up to ‘85 years and over’. </w:t>
      </w:r>
      <w:r>
        <w:rPr>
          <w:rFonts w:ascii="Times New Roman" w:hAnsi="Times New Roman"/>
          <w:sz w:val="20"/>
          <w:szCs w:val="20"/>
        </w:rPr>
        <w:t>Total</w:t>
      </w:r>
      <w:r w:rsidRPr="00D74F1D">
        <w:rPr>
          <w:rFonts w:ascii="Times New Roman" w:hAnsi="Times New Roman"/>
          <w:sz w:val="20"/>
          <w:szCs w:val="20"/>
        </w:rPr>
        <w:t xml:space="preserve"> births are</w:t>
      </w:r>
      <w:r>
        <w:rPr>
          <w:rFonts w:ascii="Times New Roman" w:hAnsi="Times New Roman"/>
          <w:sz w:val="20"/>
          <w:szCs w:val="20"/>
        </w:rPr>
        <w:t xml:space="preserve"> available separated by babies’ sex </w:t>
      </w:r>
      <w:r w:rsidRPr="00D74F1D">
        <w:rPr>
          <w:rFonts w:ascii="Times New Roman" w:hAnsi="Times New Roman"/>
          <w:sz w:val="20"/>
          <w:szCs w:val="20"/>
        </w:rPr>
        <w:t>from 2007</w:t>
      </w:r>
      <w:r>
        <w:rPr>
          <w:rFonts w:ascii="Times New Roman" w:hAnsi="Times New Roman"/>
          <w:sz w:val="20"/>
          <w:szCs w:val="20"/>
        </w:rPr>
        <w:t xml:space="preserve"> only</w:t>
      </w:r>
      <w:r w:rsidRPr="00D74F1D">
        <w:rPr>
          <w:rFonts w:ascii="Times New Roman" w:hAnsi="Times New Roman"/>
          <w:sz w:val="20"/>
          <w:szCs w:val="20"/>
        </w:rPr>
        <w:t xml:space="preserve">, so we </w:t>
      </w:r>
      <w:r>
        <w:rPr>
          <w:rFonts w:ascii="Times New Roman" w:hAnsi="Times New Roman"/>
          <w:sz w:val="20"/>
          <w:szCs w:val="20"/>
        </w:rPr>
        <w:t>estimated female birth</w:t>
      </w:r>
      <w:r w:rsidR="00C03AA5">
        <w:rPr>
          <w:rFonts w:ascii="Times New Roman" w:hAnsi="Times New Roman"/>
          <w:sz w:val="20"/>
          <w:szCs w:val="20"/>
        </w:rPr>
        <w:t>s by taking the ‘sex ratio at birth’</w:t>
      </w:r>
      <w:r>
        <w:rPr>
          <w:rFonts w:ascii="Times New Roman" w:hAnsi="Times New Roman"/>
          <w:sz w:val="20"/>
          <w:szCs w:val="20"/>
        </w:rPr>
        <w:t xml:space="preserve"> values for the relevant countries and years from </w:t>
      </w:r>
      <w:r w:rsidRPr="00D74F1D">
        <w:rPr>
          <w:rFonts w:ascii="Times New Roman" w:hAnsi="Times New Roman"/>
          <w:sz w:val="20"/>
          <w:szCs w:val="20"/>
        </w:rPr>
        <w:t xml:space="preserve">the World Bank </w:t>
      </w:r>
      <w:r w:rsidRPr="00C37903">
        <w:rPr>
          <w:rFonts w:ascii="Times New Roman" w:hAnsi="Times New Roman"/>
          <w:sz w:val="20"/>
          <w:szCs w:val="20"/>
        </w:rPr>
        <w:t>Databank (</w:t>
      </w:r>
      <w:hyperlink r:id="rId8" w:history="1">
        <w:r w:rsidR="00C03AA5" w:rsidRPr="00E70801">
          <w:rPr>
            <w:rStyle w:val="Hyperlink"/>
            <w:rFonts w:ascii="Times New Roman" w:hAnsi="Times New Roman"/>
            <w:sz w:val="20"/>
            <w:szCs w:val="20"/>
          </w:rPr>
          <w:t>http://databank.worldbank.org/data/reports.aspx?source=gender-statistics</w:t>
        </w:r>
      </w:hyperlink>
      <w:r w:rsidRPr="00E70801">
        <w:rPr>
          <w:rFonts w:ascii="Times New Roman" w:hAnsi="Times New Roman"/>
          <w:sz w:val="20"/>
          <w:szCs w:val="20"/>
        </w:rPr>
        <w:t>),</w:t>
      </w:r>
      <w:r>
        <w:rPr>
          <w:rFonts w:ascii="Times New Roman" w:hAnsi="Times New Roman"/>
          <w:sz w:val="20"/>
          <w:szCs w:val="20"/>
        </w:rPr>
        <w:t xml:space="preserve"> and</w:t>
      </w:r>
      <w:r w:rsidRPr="00C37903">
        <w:rPr>
          <w:rFonts w:ascii="Times New Roman" w:hAnsi="Times New Roman"/>
          <w:sz w:val="20"/>
          <w:szCs w:val="20"/>
        </w:rPr>
        <w:t xml:space="preserve"> calculating</w:t>
      </w:r>
      <w:r>
        <w:rPr>
          <w:rFonts w:ascii="Times New Roman" w:hAnsi="Times New Roman"/>
          <w:sz w:val="20"/>
          <w:szCs w:val="20"/>
        </w:rPr>
        <w:t xml:space="preserve"> their grand mean</w:t>
      </w:r>
      <w:r w:rsidRPr="00D74F1D">
        <w:rPr>
          <w:rFonts w:ascii="Times New Roman" w:hAnsi="Times New Roman"/>
          <w:sz w:val="20"/>
          <w:szCs w:val="20"/>
        </w:rPr>
        <w:t xml:space="preserve"> </w:t>
      </w:r>
      <w:r>
        <w:rPr>
          <w:rFonts w:ascii="Times New Roman" w:hAnsi="Times New Roman"/>
          <w:sz w:val="20"/>
          <w:szCs w:val="20"/>
        </w:rPr>
        <w:t>to account for relatively sparse data</w:t>
      </w:r>
      <w:r w:rsidRPr="00D74F1D">
        <w:rPr>
          <w:rFonts w:ascii="Times New Roman" w:hAnsi="Times New Roman"/>
          <w:sz w:val="20"/>
          <w:szCs w:val="20"/>
        </w:rPr>
        <w:t>.</w:t>
      </w:r>
      <w:r>
        <w:rPr>
          <w:rFonts w:ascii="Times New Roman" w:hAnsi="Times New Roman"/>
          <w:sz w:val="20"/>
          <w:szCs w:val="20"/>
        </w:rPr>
        <w:t xml:space="preserve"> </w:t>
      </w:r>
      <w:r w:rsidRPr="00D74F1D">
        <w:rPr>
          <w:rFonts w:ascii="Times New Roman" w:hAnsi="Times New Roman"/>
          <w:sz w:val="20"/>
          <w:szCs w:val="20"/>
        </w:rPr>
        <w:t>We removed 121 country-year combinations that had five or more consecutive zero deaths across single-year classes</w:t>
      </w:r>
      <w:r>
        <w:rPr>
          <w:rFonts w:ascii="Times New Roman" w:hAnsi="Times New Roman"/>
          <w:sz w:val="20"/>
          <w:szCs w:val="20"/>
        </w:rPr>
        <w:t xml:space="preserve"> – including all data for Andorra, Liechtenstein, and San Marino – since</w:t>
      </w:r>
      <w:r w:rsidRPr="00D74F1D">
        <w:rPr>
          <w:rFonts w:ascii="Times New Roman" w:hAnsi="Times New Roman"/>
          <w:sz w:val="20"/>
          <w:szCs w:val="20"/>
        </w:rPr>
        <w:t xml:space="preserve"> this is </w:t>
      </w:r>
      <w:r>
        <w:rPr>
          <w:rFonts w:ascii="Times New Roman" w:hAnsi="Times New Roman"/>
          <w:sz w:val="20"/>
          <w:szCs w:val="20"/>
        </w:rPr>
        <w:t xml:space="preserve">either </w:t>
      </w:r>
      <w:r w:rsidRPr="00D74F1D">
        <w:rPr>
          <w:rFonts w:ascii="Times New Roman" w:hAnsi="Times New Roman"/>
          <w:sz w:val="20"/>
          <w:szCs w:val="20"/>
        </w:rPr>
        <w:t>suggestive of inaccurate data collection and/or curation</w:t>
      </w:r>
      <w:r>
        <w:rPr>
          <w:rFonts w:ascii="Times New Roman" w:hAnsi="Times New Roman"/>
          <w:sz w:val="20"/>
          <w:szCs w:val="20"/>
        </w:rPr>
        <w:t>, or related to impractical small population counts. This left 1,120 country-year combinations from 42 countries for matrix construction. Note that all available years were used, so PPMs could overlap in their timeframes; for example, where data were available for both 2001 and 2002, there would be a matrix using 2001 data projecting to 2006, and another from 2002 to 2007.</w:t>
      </w:r>
    </w:p>
    <w:p w14:paraId="3ADF10AE" w14:textId="77777777" w:rsidR="00A736FE" w:rsidRPr="00D74F1D" w:rsidRDefault="00A736FE" w:rsidP="00A736FE">
      <w:pPr>
        <w:spacing w:line="480" w:lineRule="auto"/>
        <w:rPr>
          <w:rFonts w:ascii="Times New Roman" w:hAnsi="Times New Roman"/>
          <w:sz w:val="20"/>
          <w:szCs w:val="20"/>
        </w:rPr>
      </w:pPr>
    </w:p>
    <w:p w14:paraId="1A8FA779" w14:textId="77777777" w:rsidR="00A736FE" w:rsidRPr="00B76C6B" w:rsidRDefault="00A736FE" w:rsidP="00A736FE">
      <w:pPr>
        <w:pStyle w:val="Heading3"/>
        <w:spacing w:line="480" w:lineRule="auto"/>
        <w:rPr>
          <w:rFonts w:ascii="Times New Roman" w:hAnsi="Times New Roman" w:cs="Times New Roman"/>
          <w:color w:val="auto"/>
          <w:sz w:val="20"/>
          <w:szCs w:val="20"/>
        </w:rPr>
      </w:pPr>
      <w:r w:rsidRPr="00B76C6B">
        <w:rPr>
          <w:rFonts w:ascii="Times New Roman" w:hAnsi="Times New Roman" w:cs="Times New Roman"/>
          <w:color w:val="auto"/>
          <w:sz w:val="20"/>
          <w:szCs w:val="20"/>
        </w:rPr>
        <w:t>Matrices</w:t>
      </w:r>
    </w:p>
    <w:p w14:paraId="141892A5" w14:textId="77777777" w:rsidR="00A22B3F" w:rsidRPr="00A22B3F" w:rsidRDefault="00A22B3F" w:rsidP="00A22B3F"/>
    <w:p w14:paraId="0DBE7493" w14:textId="77777777" w:rsidR="00A736FE" w:rsidRPr="007B09CA" w:rsidRDefault="00A736FE" w:rsidP="00A736FE">
      <w:pPr>
        <w:spacing w:line="480" w:lineRule="auto"/>
        <w:rPr>
          <w:rFonts w:ascii="Times New Roman" w:hAnsi="Times New Roman"/>
          <w:sz w:val="20"/>
          <w:szCs w:val="20"/>
        </w:rPr>
      </w:pPr>
      <w:r w:rsidRPr="00D74F1D">
        <w:rPr>
          <w:rFonts w:ascii="Times New Roman" w:hAnsi="Times New Roman"/>
          <w:sz w:val="20"/>
          <w:szCs w:val="20"/>
        </w:rPr>
        <w:t>For each available country-year combination, we</w:t>
      </w:r>
      <w:r>
        <w:rPr>
          <w:rFonts w:ascii="Times New Roman" w:hAnsi="Times New Roman"/>
          <w:sz w:val="20"/>
          <w:szCs w:val="20"/>
        </w:rPr>
        <w:t xml:space="preserve"> projected the observed population at year 0 to year 5, by premultiplying the initial population </w:t>
      </w:r>
      <w:r w:rsidRPr="007B09CA">
        <w:rPr>
          <w:rFonts w:ascii="Times New Roman" w:hAnsi="Times New Roman"/>
          <w:sz w:val="20"/>
          <w:szCs w:val="20"/>
        </w:rPr>
        <w:t xml:space="preserve">vector, </w:t>
      </w:r>
      <w:r w:rsidRPr="007B09CA">
        <w:rPr>
          <w:rFonts w:ascii="Times New Roman" w:hAnsi="Times New Roman"/>
          <w:b/>
          <w:sz w:val="20"/>
          <w:szCs w:val="20"/>
        </w:rPr>
        <w:t>n</w:t>
      </w:r>
      <w:r w:rsidRPr="007B09CA">
        <w:rPr>
          <w:rFonts w:ascii="Times New Roman" w:hAnsi="Times New Roman"/>
          <w:b/>
          <w:sz w:val="20"/>
          <w:szCs w:val="20"/>
          <w:vertAlign w:val="subscript"/>
        </w:rPr>
        <w:t>0</w:t>
      </w:r>
      <w:r w:rsidRPr="007B09CA">
        <w:rPr>
          <w:rFonts w:ascii="Times New Roman" w:hAnsi="Times New Roman"/>
          <w:sz w:val="20"/>
          <w:szCs w:val="20"/>
        </w:rPr>
        <w:t xml:space="preserve">, by its corresponding PPM, </w:t>
      </w:r>
      <w:r w:rsidRPr="007B09CA">
        <w:rPr>
          <w:rFonts w:ascii="Times New Roman" w:hAnsi="Times New Roman"/>
          <w:b/>
          <w:sz w:val="20"/>
          <w:szCs w:val="20"/>
        </w:rPr>
        <w:t>A</w:t>
      </w:r>
      <w:r w:rsidRPr="007B09CA">
        <w:rPr>
          <w:rFonts w:ascii="Times New Roman" w:hAnsi="Times New Roman"/>
          <w:sz w:val="20"/>
          <w:szCs w:val="20"/>
        </w:rPr>
        <w:t xml:space="preserve">: </w:t>
      </w:r>
      <w:r w:rsidR="006C2582" w:rsidRPr="007B09CA">
        <w:rPr>
          <w:rFonts w:ascii="Times New Roman" w:hAnsi="Times New Roman"/>
          <w:sz w:val="20"/>
          <w:szCs w:val="20"/>
        </w:rPr>
        <w:t xml:space="preserve">i.e., </w:t>
      </w:r>
      <w:r w:rsidRPr="007B09CA">
        <w:rPr>
          <w:rFonts w:ascii="Times New Roman" w:hAnsi="Times New Roman"/>
          <w:b/>
          <w:sz w:val="20"/>
          <w:szCs w:val="20"/>
        </w:rPr>
        <w:t>n</w:t>
      </w:r>
      <w:r w:rsidRPr="007B09CA">
        <w:rPr>
          <w:rFonts w:ascii="Times New Roman" w:hAnsi="Times New Roman"/>
          <w:b/>
          <w:i/>
          <w:sz w:val="20"/>
          <w:szCs w:val="20"/>
          <w:vertAlign w:val="subscript"/>
        </w:rPr>
        <w:t>t</w:t>
      </w:r>
      <w:r w:rsidRPr="007B09CA">
        <w:rPr>
          <w:rFonts w:ascii="Times New Roman" w:hAnsi="Times New Roman"/>
          <w:b/>
          <w:sz w:val="20"/>
          <w:szCs w:val="20"/>
          <w:vertAlign w:val="subscript"/>
        </w:rPr>
        <w:t>+5</w:t>
      </w:r>
      <w:r w:rsidRPr="007B09CA">
        <w:rPr>
          <w:rFonts w:ascii="Times New Roman" w:hAnsi="Times New Roman"/>
          <w:sz w:val="20"/>
          <w:szCs w:val="20"/>
          <w:vertAlign w:val="subscript"/>
        </w:rPr>
        <w:t xml:space="preserve"> </w:t>
      </w:r>
      <w:r w:rsidRPr="007B09CA">
        <w:rPr>
          <w:rFonts w:ascii="Times New Roman" w:hAnsi="Times New Roman"/>
          <w:sz w:val="20"/>
          <w:szCs w:val="20"/>
        </w:rPr>
        <w:t xml:space="preserve">= </w:t>
      </w:r>
      <w:r w:rsidRPr="007B09CA">
        <w:rPr>
          <w:rFonts w:ascii="Times New Roman" w:hAnsi="Times New Roman"/>
          <w:b/>
          <w:sz w:val="20"/>
          <w:szCs w:val="20"/>
        </w:rPr>
        <w:t>An</w:t>
      </w:r>
      <w:r w:rsidRPr="007B09CA">
        <w:rPr>
          <w:rFonts w:ascii="Times New Roman" w:hAnsi="Times New Roman"/>
          <w:b/>
          <w:i/>
          <w:sz w:val="20"/>
          <w:szCs w:val="20"/>
          <w:vertAlign w:val="subscript"/>
        </w:rPr>
        <w:t>t</w:t>
      </w:r>
      <w:r w:rsidRPr="007B09CA">
        <w:rPr>
          <w:rFonts w:ascii="Times New Roman" w:hAnsi="Times New Roman"/>
          <w:b/>
          <w:sz w:val="20"/>
          <w:szCs w:val="20"/>
          <w:vertAlign w:val="subscript"/>
        </w:rPr>
        <w:t>.</w:t>
      </w:r>
      <w:r w:rsidRPr="007B09CA">
        <w:rPr>
          <w:rFonts w:ascii="Times New Roman" w:hAnsi="Times New Roman"/>
          <w:sz w:val="20"/>
          <w:szCs w:val="20"/>
        </w:rPr>
        <w:t xml:space="preserve"> The timestep is 5 years due to the data being aggregated into five-year bins; an individual which is 0-4 years old at year 0 will be 5-9 years old after projection. The initial population vectors had 18 entries representing the observed population structure across the five-year age bins; the PPMs were of dimension 18</w:t>
      </w:r>
      <w:r w:rsidR="00432BB9" w:rsidRPr="007B09CA">
        <w:rPr>
          <w:rFonts w:ascii="Times New Roman" w:hAnsi="Times New Roman"/>
          <w:sz w:val="20"/>
          <w:szCs w:val="20"/>
        </w:rPr>
        <w:t xml:space="preserve"> </w:t>
      </w:r>
      <w:r w:rsidR="00432BB9" w:rsidRPr="007B09CA">
        <w:rPr>
          <w:rFonts w:ascii="Times New Roman" w:eastAsia="MS Mincho" w:hAnsi="Times New Roman"/>
          <w:sz w:val="20"/>
          <w:szCs w:val="20"/>
        </w:rPr>
        <w:t>×</w:t>
      </w:r>
      <w:r w:rsidRPr="007B09CA">
        <w:rPr>
          <w:rFonts w:ascii="Times New Roman" w:hAnsi="Times New Roman"/>
          <w:sz w:val="20"/>
          <w:szCs w:val="20"/>
        </w:rPr>
        <w:t xml:space="preserve"> 18. Each matrix was generated via the following approximations for each bin:</w:t>
      </w:r>
    </w:p>
    <w:p w14:paraId="5E8ADA75" w14:textId="77777777" w:rsidR="00A736FE" w:rsidRPr="00BC712B" w:rsidRDefault="00A736FE" w:rsidP="00A736FE">
      <w:pPr>
        <w:pStyle w:val="ListParagraph"/>
        <w:numPr>
          <w:ilvl w:val="0"/>
          <w:numId w:val="1"/>
        </w:numPr>
        <w:spacing w:line="480" w:lineRule="auto"/>
        <w:rPr>
          <w:rFonts w:ascii="Times New Roman" w:hAnsi="Times New Roman"/>
          <w:sz w:val="20"/>
          <w:szCs w:val="20"/>
        </w:rPr>
      </w:pPr>
      <m:oMath>
        <m:r>
          <w:rPr>
            <w:rFonts w:ascii="Cambria Math" w:hAnsi="Cambria Math"/>
            <w:sz w:val="20"/>
            <w:szCs w:val="20"/>
          </w:rPr>
          <m:t>survival i.e., progression=1-(</m:t>
        </m:r>
        <m:f>
          <m:fPr>
            <m:ctrlPr>
              <w:rPr>
                <w:rFonts w:ascii="Cambria Math" w:hAnsi="Cambria Math"/>
                <w:i/>
                <w:sz w:val="20"/>
                <w:szCs w:val="20"/>
              </w:rPr>
            </m:ctrlPr>
          </m:fPr>
          <m:num>
            <m:r>
              <w:rPr>
                <w:rFonts w:ascii="Cambria Math" w:hAnsi="Cambria Math"/>
                <w:sz w:val="20"/>
                <w:szCs w:val="20"/>
              </w:rPr>
              <m:t>5 × deaths</m:t>
            </m:r>
          </m:num>
          <m:den>
            <m:r>
              <w:rPr>
                <w:rFonts w:ascii="Cambria Math" w:hAnsi="Cambria Math"/>
                <w:sz w:val="20"/>
                <w:szCs w:val="20"/>
              </w:rPr>
              <m:t>population size</m:t>
            </m:r>
          </m:den>
        </m:f>
        <m:r>
          <w:rPr>
            <w:rFonts w:ascii="Cambria Math" w:hAnsi="Cambria Math"/>
            <w:sz w:val="20"/>
            <w:szCs w:val="20"/>
          </w:rPr>
          <m:t>)</m:t>
        </m:r>
      </m:oMath>
    </w:p>
    <w:p w14:paraId="0FEB970B" w14:textId="77777777" w:rsidR="00A736FE" w:rsidRPr="00FE2611" w:rsidRDefault="00A736FE" w:rsidP="00A736FE">
      <w:pPr>
        <w:pStyle w:val="ListParagraph"/>
        <w:spacing w:line="480" w:lineRule="auto"/>
        <w:ind w:left="765"/>
        <w:rPr>
          <w:rFonts w:ascii="Times New Roman" w:hAnsi="Times New Roman"/>
          <w:sz w:val="20"/>
          <w:szCs w:val="20"/>
        </w:rPr>
      </w:pPr>
      <w:r w:rsidRPr="00D74F1D">
        <w:rPr>
          <w:rFonts w:ascii="Times New Roman" w:hAnsi="Times New Roman"/>
          <w:sz w:val="20"/>
          <w:szCs w:val="20"/>
        </w:rPr>
        <w:t xml:space="preserve">   </w:t>
      </w:r>
      <w:r w:rsidRPr="00D74F1D">
        <w:rPr>
          <w:rFonts w:ascii="Times New Roman" w:hAnsi="Times New Roman"/>
          <w:sz w:val="20"/>
          <w:szCs w:val="20"/>
        </w:rPr>
        <w:sym w:font="Wingdings" w:char="F0E0"/>
      </w:r>
      <w:r w:rsidRPr="00D74F1D">
        <w:rPr>
          <w:rFonts w:ascii="Times New Roman" w:hAnsi="Times New Roman"/>
          <w:sz w:val="20"/>
          <w:szCs w:val="20"/>
        </w:rPr>
        <w:t xml:space="preserve"> </w:t>
      </w:r>
      <w:r>
        <w:rPr>
          <w:rFonts w:ascii="Times New Roman" w:hAnsi="Times New Roman"/>
          <w:sz w:val="20"/>
          <w:szCs w:val="20"/>
        </w:rPr>
        <w:t xml:space="preserve">included along the </w:t>
      </w:r>
      <w:r w:rsidRPr="00D74F1D">
        <w:rPr>
          <w:rFonts w:ascii="Times New Roman" w:hAnsi="Times New Roman"/>
          <w:sz w:val="20"/>
          <w:szCs w:val="20"/>
        </w:rPr>
        <w:t>matrix subdiagonal</w:t>
      </w:r>
      <w:r>
        <w:rPr>
          <w:rFonts w:ascii="Times New Roman" w:hAnsi="Times New Roman"/>
          <w:sz w:val="20"/>
          <w:szCs w:val="20"/>
        </w:rPr>
        <w:t>, for bins 0-4 to 80-84</w:t>
      </w:r>
      <w:r w:rsidRPr="00D74F1D">
        <w:rPr>
          <w:rFonts w:ascii="Times New Roman" w:hAnsi="Times New Roman"/>
          <w:sz w:val="20"/>
          <w:szCs w:val="20"/>
        </w:rPr>
        <w:t xml:space="preserve"> </w:t>
      </w:r>
    </w:p>
    <w:p w14:paraId="5C0E40FC" w14:textId="77777777" w:rsidR="00A736FE" w:rsidRDefault="00A736FE" w:rsidP="00A736FE">
      <w:pPr>
        <w:pStyle w:val="ListParagraph"/>
        <w:numPr>
          <w:ilvl w:val="0"/>
          <w:numId w:val="1"/>
        </w:numPr>
        <w:spacing w:line="480" w:lineRule="auto"/>
        <w:rPr>
          <w:rFonts w:ascii="Times New Roman" w:hAnsi="Times New Roman"/>
          <w:sz w:val="20"/>
          <w:szCs w:val="20"/>
        </w:rPr>
      </w:pPr>
      <m:oMath>
        <m:r>
          <w:rPr>
            <w:rFonts w:ascii="Cambria Math" w:hAnsi="Cambria Math"/>
            <w:sz w:val="20"/>
            <w:szCs w:val="20"/>
          </w:rPr>
          <w:lastRenderedPageBreak/>
          <m:t>85+survival i.e., stasis=1-(</m:t>
        </m:r>
        <m:f>
          <m:fPr>
            <m:ctrlPr>
              <w:rPr>
                <w:rFonts w:ascii="Cambria Math" w:hAnsi="Cambria Math"/>
                <w:i/>
                <w:sz w:val="20"/>
                <w:szCs w:val="20"/>
              </w:rPr>
            </m:ctrlPr>
          </m:fPr>
          <m:num>
            <m:r>
              <w:rPr>
                <w:rFonts w:ascii="Cambria Math" w:hAnsi="Cambria Math"/>
                <w:sz w:val="20"/>
                <w:szCs w:val="20"/>
              </w:rPr>
              <m:t>5 × deaths</m:t>
            </m:r>
          </m:num>
          <m:den>
            <m:r>
              <w:rPr>
                <w:rFonts w:ascii="Cambria Math" w:hAnsi="Cambria Math"/>
                <w:sz w:val="20"/>
                <w:szCs w:val="20"/>
              </w:rPr>
              <m:t>population size</m:t>
            </m:r>
          </m:den>
        </m:f>
        <m:r>
          <w:rPr>
            <w:rFonts w:ascii="Cambria Math" w:hAnsi="Cambria Math"/>
            <w:sz w:val="20"/>
            <w:szCs w:val="20"/>
          </w:rPr>
          <m:t>)</m:t>
        </m:r>
      </m:oMath>
    </w:p>
    <w:p w14:paraId="29DFE208" w14:textId="77777777" w:rsidR="00A736FE" w:rsidRPr="00FE2611" w:rsidRDefault="00A736FE" w:rsidP="00A736FE">
      <w:pPr>
        <w:spacing w:line="480" w:lineRule="auto"/>
        <w:ind w:left="765"/>
        <w:rPr>
          <w:rFonts w:ascii="Times New Roman" w:hAnsi="Times New Roman"/>
          <w:sz w:val="20"/>
          <w:szCs w:val="20"/>
        </w:rPr>
      </w:pPr>
      <w:r>
        <w:t xml:space="preserve">   </w:t>
      </w:r>
      <w:r w:rsidRPr="00E65C5E">
        <w:rPr>
          <w:rFonts w:ascii="Times New Roman" w:hAnsi="Times New Roman"/>
          <w:sz w:val="20"/>
          <w:szCs w:val="20"/>
        </w:rPr>
        <w:sym w:font="Wingdings" w:char="F0E0"/>
      </w:r>
      <w:r w:rsidRPr="00E65C5E">
        <w:rPr>
          <w:rFonts w:ascii="Times New Roman" w:hAnsi="Times New Roman"/>
          <w:sz w:val="20"/>
          <w:szCs w:val="20"/>
        </w:rPr>
        <w:t xml:space="preserve"> included</w:t>
      </w:r>
      <w:r>
        <w:rPr>
          <w:rFonts w:ascii="Times New Roman" w:hAnsi="Times New Roman"/>
          <w:sz w:val="20"/>
          <w:szCs w:val="20"/>
        </w:rPr>
        <w:t xml:space="preserve"> i</w:t>
      </w:r>
      <w:r w:rsidRPr="00FE2611">
        <w:rPr>
          <w:rFonts w:ascii="Times New Roman" w:hAnsi="Times New Roman"/>
          <w:sz w:val="20"/>
          <w:szCs w:val="20"/>
        </w:rPr>
        <w:t>n</w:t>
      </w:r>
      <w:r>
        <w:rPr>
          <w:rFonts w:ascii="Times New Roman" w:hAnsi="Times New Roman"/>
          <w:sz w:val="20"/>
          <w:szCs w:val="20"/>
        </w:rPr>
        <w:t xml:space="preserve"> the final entry of</w:t>
      </w:r>
      <w:r w:rsidRPr="00FE2611">
        <w:rPr>
          <w:rFonts w:ascii="Times New Roman" w:hAnsi="Times New Roman"/>
          <w:sz w:val="20"/>
          <w:szCs w:val="20"/>
        </w:rPr>
        <w:t xml:space="preserve"> the </w:t>
      </w:r>
      <w:r>
        <w:rPr>
          <w:rFonts w:ascii="Times New Roman" w:hAnsi="Times New Roman"/>
          <w:sz w:val="20"/>
          <w:szCs w:val="20"/>
        </w:rPr>
        <w:t xml:space="preserve">matrix </w:t>
      </w:r>
      <w:r w:rsidRPr="00FE2611">
        <w:rPr>
          <w:rFonts w:ascii="Times New Roman" w:hAnsi="Times New Roman"/>
          <w:sz w:val="20"/>
          <w:szCs w:val="20"/>
        </w:rPr>
        <w:t>diagonal</w:t>
      </w:r>
    </w:p>
    <w:p w14:paraId="0CEF289F" w14:textId="77777777" w:rsidR="00A736FE" w:rsidRPr="00C9167C" w:rsidRDefault="00A736FE" w:rsidP="00A736FE">
      <w:pPr>
        <w:pStyle w:val="ListParagraph"/>
        <w:numPr>
          <w:ilvl w:val="0"/>
          <w:numId w:val="1"/>
        </w:numPr>
        <w:spacing w:line="480" w:lineRule="auto"/>
        <w:rPr>
          <w:rFonts w:ascii="Times New Roman" w:hAnsi="Times New Roman"/>
          <w:sz w:val="20"/>
          <w:szCs w:val="20"/>
        </w:rPr>
      </w:pPr>
      <m:oMath>
        <m:r>
          <w:rPr>
            <w:rFonts w:ascii="Cambria Math" w:hAnsi="Cambria Math"/>
            <w:sz w:val="20"/>
            <w:szCs w:val="20"/>
          </w:rPr>
          <m:t>fertility=(</m:t>
        </m:r>
        <m:f>
          <m:fPr>
            <m:ctrlPr>
              <w:rPr>
                <w:rFonts w:ascii="Cambria Math" w:hAnsi="Cambria Math"/>
                <w:i/>
                <w:sz w:val="20"/>
                <w:szCs w:val="20"/>
              </w:rPr>
            </m:ctrlPr>
          </m:fPr>
          <m:num>
            <m:r>
              <w:rPr>
                <w:rFonts w:ascii="Cambria Math" w:hAnsi="Cambria Math"/>
                <w:sz w:val="20"/>
                <w:szCs w:val="20"/>
              </w:rPr>
              <m:t>5 × births</m:t>
            </m:r>
          </m:num>
          <m:den>
            <m:r>
              <w:rPr>
                <w:rFonts w:ascii="Cambria Math" w:hAnsi="Cambria Math"/>
                <w:sz w:val="20"/>
                <w:szCs w:val="20"/>
              </w:rPr>
              <m:t>population size</m:t>
            </m:r>
          </m:den>
        </m:f>
        <m:r>
          <w:rPr>
            <w:rFonts w:ascii="Cambria Math" w:hAnsi="Cambria Math"/>
            <w:sz w:val="20"/>
            <w:szCs w:val="20"/>
          </w:rPr>
          <m:t>)(</m:t>
        </m:r>
        <m:rad>
          <m:radPr>
            <m:degHide m:val="1"/>
            <m:ctrlPr>
              <w:rPr>
                <w:rFonts w:ascii="Cambria Math" w:hAnsi="Cambria Math"/>
                <w:i/>
                <w:sz w:val="20"/>
                <w:szCs w:val="20"/>
              </w:rPr>
            </m:ctrlPr>
          </m:radPr>
          <m:deg/>
          <m:e>
            <m:r>
              <w:rPr>
                <w:rFonts w:ascii="Cambria Math" w:hAnsi="Cambria Math"/>
                <w:sz w:val="20"/>
                <w:szCs w:val="20"/>
              </w:rPr>
              <m:t>survival</m:t>
            </m:r>
            <m:d>
              <m:dPr>
                <m:ctrlPr>
                  <w:rPr>
                    <w:rFonts w:ascii="Cambria Math" w:hAnsi="Cambria Math"/>
                    <w:i/>
                    <w:sz w:val="20"/>
                    <w:szCs w:val="20"/>
                  </w:rPr>
                </m:ctrlPr>
              </m:dPr>
              <m:e>
                <m:r>
                  <w:rPr>
                    <w:rFonts w:ascii="Cambria Math" w:hAnsi="Cambria Math"/>
                    <w:sz w:val="20"/>
                    <w:szCs w:val="20"/>
                  </w:rPr>
                  <m:t>maternal</m:t>
                </m:r>
              </m:e>
            </m:d>
          </m:e>
        </m:rad>
        <m:r>
          <w:rPr>
            <w:rFonts w:ascii="Cambria Math" w:hAnsi="Cambria Math"/>
            <w:sz w:val="20"/>
            <w:szCs w:val="20"/>
          </w:rPr>
          <m:t>)(</m:t>
        </m:r>
        <m:rad>
          <m:radPr>
            <m:degHide m:val="1"/>
            <m:ctrlPr>
              <w:rPr>
                <w:rFonts w:ascii="Cambria Math" w:hAnsi="Cambria Math"/>
                <w:i/>
                <w:sz w:val="20"/>
                <w:szCs w:val="20"/>
              </w:rPr>
            </m:ctrlPr>
          </m:radPr>
          <m:deg/>
          <m:e>
            <m:r>
              <w:rPr>
                <w:rFonts w:ascii="Cambria Math" w:hAnsi="Cambria Math"/>
                <w:sz w:val="20"/>
                <w:szCs w:val="20"/>
              </w:rPr>
              <m:t>survival</m:t>
            </m:r>
            <m:d>
              <m:dPr>
                <m:ctrlPr>
                  <w:rPr>
                    <w:rFonts w:ascii="Cambria Math" w:hAnsi="Cambria Math"/>
                    <w:i/>
                    <w:sz w:val="20"/>
                    <w:szCs w:val="20"/>
                  </w:rPr>
                </m:ctrlPr>
              </m:dPr>
              <m:e>
                <m:r>
                  <w:rPr>
                    <w:rFonts w:ascii="Cambria Math" w:hAnsi="Cambria Math"/>
                    <w:sz w:val="20"/>
                    <w:szCs w:val="20"/>
                  </w:rPr>
                  <m:t>0-4</m:t>
                </m:r>
              </m:e>
            </m:d>
          </m:e>
        </m:rad>
        <m:r>
          <w:rPr>
            <w:rFonts w:ascii="Cambria Math" w:hAnsi="Cambria Math"/>
            <w:sz w:val="20"/>
            <w:szCs w:val="20"/>
          </w:rPr>
          <m:t>)</m:t>
        </m:r>
      </m:oMath>
    </w:p>
    <w:p w14:paraId="4DF61BD3" w14:textId="77777777" w:rsidR="00A736FE" w:rsidRPr="00D74F1D" w:rsidRDefault="00A736FE" w:rsidP="00A736FE">
      <w:pPr>
        <w:pStyle w:val="ListParagraph"/>
        <w:spacing w:line="480" w:lineRule="auto"/>
        <w:ind w:left="765"/>
        <w:rPr>
          <w:rFonts w:ascii="Times New Roman" w:hAnsi="Times New Roman"/>
          <w:sz w:val="20"/>
          <w:szCs w:val="20"/>
        </w:rPr>
      </w:pPr>
      <w:r>
        <w:rPr>
          <w:rFonts w:ascii="Times New Roman" w:hAnsi="Times New Roman"/>
          <w:sz w:val="20"/>
          <w:szCs w:val="20"/>
        </w:rPr>
        <w:t xml:space="preserve">   </w:t>
      </w:r>
      <w:r w:rsidRPr="00D74F1D">
        <w:rPr>
          <w:rFonts w:ascii="Times New Roman" w:hAnsi="Times New Roman"/>
          <w:sz w:val="20"/>
          <w:szCs w:val="20"/>
        </w:rPr>
        <w:t xml:space="preserve">(following </w:t>
      </w:r>
      <w:r>
        <w:rPr>
          <w:rFonts w:ascii="Times New Roman" w:hAnsi="Times New Roman"/>
          <w:sz w:val="20"/>
          <w:szCs w:val="20"/>
        </w:rPr>
        <w:t xml:space="preserve">the birth-flow approximation of </w:t>
      </w:r>
      <w:r w:rsidRPr="00D74F1D">
        <w:rPr>
          <w:rFonts w:ascii="Times New Roman" w:hAnsi="Times New Roman"/>
          <w:sz w:val="20"/>
          <w:szCs w:val="20"/>
        </w:rPr>
        <w:t>Morris and Doak 2002)</w:t>
      </w:r>
      <w:r>
        <w:rPr>
          <w:rFonts w:ascii="Times New Roman" w:hAnsi="Times New Roman"/>
          <w:sz w:val="20"/>
          <w:szCs w:val="20"/>
        </w:rPr>
        <w:t xml:space="preserve"> </w:t>
      </w:r>
    </w:p>
    <w:p w14:paraId="7596531A" w14:textId="77777777" w:rsidR="00A736FE" w:rsidRDefault="00A736FE" w:rsidP="00A736FE">
      <w:pPr>
        <w:pStyle w:val="ListParagraph"/>
        <w:spacing w:line="480" w:lineRule="auto"/>
        <w:ind w:left="765"/>
        <w:rPr>
          <w:rFonts w:ascii="Times New Roman" w:hAnsi="Times New Roman"/>
          <w:sz w:val="20"/>
          <w:szCs w:val="20"/>
        </w:rPr>
      </w:pPr>
      <w:r w:rsidRPr="00D74F1D">
        <w:rPr>
          <w:rFonts w:ascii="Times New Roman" w:hAnsi="Times New Roman"/>
          <w:sz w:val="20"/>
          <w:szCs w:val="20"/>
        </w:rPr>
        <w:t xml:space="preserve">   </w:t>
      </w:r>
      <w:r w:rsidRPr="00D74F1D">
        <w:rPr>
          <w:rFonts w:ascii="Times New Roman" w:hAnsi="Times New Roman"/>
          <w:sz w:val="20"/>
          <w:szCs w:val="20"/>
        </w:rPr>
        <w:sym w:font="Wingdings" w:char="F0E0"/>
      </w:r>
      <w:r w:rsidRPr="00D74F1D">
        <w:rPr>
          <w:rFonts w:ascii="Times New Roman" w:hAnsi="Times New Roman"/>
          <w:sz w:val="20"/>
          <w:szCs w:val="20"/>
        </w:rPr>
        <w:t xml:space="preserve"> </w:t>
      </w:r>
      <w:r>
        <w:rPr>
          <w:rFonts w:ascii="Times New Roman" w:hAnsi="Times New Roman"/>
          <w:sz w:val="20"/>
          <w:szCs w:val="20"/>
        </w:rPr>
        <w:t xml:space="preserve">included along the top row of the </w:t>
      </w:r>
      <w:r w:rsidRPr="00D74F1D">
        <w:rPr>
          <w:rFonts w:ascii="Times New Roman" w:hAnsi="Times New Roman"/>
          <w:sz w:val="20"/>
          <w:szCs w:val="20"/>
        </w:rPr>
        <w:t>matrix.</w:t>
      </w:r>
    </w:p>
    <w:p w14:paraId="22FF0A67" w14:textId="77777777" w:rsidR="00A736FE" w:rsidRDefault="00A736FE" w:rsidP="00A736FE">
      <w:pPr>
        <w:spacing w:line="480" w:lineRule="auto"/>
        <w:rPr>
          <w:rFonts w:ascii="Times New Roman" w:hAnsi="Times New Roman"/>
          <w:sz w:val="20"/>
          <w:szCs w:val="20"/>
        </w:rPr>
      </w:pPr>
      <w:r w:rsidRPr="00FD757E">
        <w:rPr>
          <w:rFonts w:ascii="Times New Roman" w:hAnsi="Times New Roman"/>
          <w:sz w:val="20"/>
          <w:szCs w:val="20"/>
        </w:rPr>
        <w:t>Note that negative s</w:t>
      </w:r>
      <w:r>
        <w:rPr>
          <w:rFonts w:ascii="Times New Roman" w:hAnsi="Times New Roman"/>
          <w:sz w:val="20"/>
          <w:szCs w:val="20"/>
        </w:rPr>
        <w:t>urvival values, which arose when</w:t>
      </w:r>
      <w:r w:rsidRPr="00FD757E">
        <w:rPr>
          <w:rFonts w:ascii="Times New Roman" w:hAnsi="Times New Roman"/>
          <w:sz w:val="20"/>
          <w:szCs w:val="20"/>
        </w:rPr>
        <w:t xml:space="preserve"> quintupled deaths exceeded population size, were replaced with zero. Additionally, survival was calculated separately for infants under one year and children aged 1</w:t>
      </w:r>
      <w:r w:rsidRPr="00D74F1D">
        <w:rPr>
          <w:rFonts w:ascii="Times New Roman" w:hAnsi="Times New Roman"/>
          <w:sz w:val="20"/>
          <w:szCs w:val="20"/>
        </w:rPr>
        <w:t>–</w:t>
      </w:r>
      <w:r w:rsidRPr="00FD757E">
        <w:rPr>
          <w:rFonts w:ascii="Times New Roman" w:hAnsi="Times New Roman"/>
          <w:sz w:val="20"/>
          <w:szCs w:val="20"/>
        </w:rPr>
        <w:t xml:space="preserve">4 years – since deaths are much higher in the former stage – and then combined as follows: </w:t>
      </w:r>
    </w:p>
    <w:p w14:paraId="2D3ED1EF" w14:textId="77777777" w:rsidR="00A736FE" w:rsidRPr="00FD757E" w:rsidRDefault="00A736FE" w:rsidP="00A736FE">
      <w:pPr>
        <w:spacing w:line="480" w:lineRule="auto"/>
        <w:rPr>
          <w:rFonts w:ascii="Times New Roman" w:hAnsi="Times New Roman"/>
          <w:sz w:val="20"/>
          <w:szCs w:val="20"/>
        </w:rPr>
      </w:pPr>
      <m:oMath>
        <m:r>
          <w:rPr>
            <w:rFonts w:ascii="Cambria Math" w:hAnsi="Cambria Math"/>
            <w:sz w:val="20"/>
            <w:szCs w:val="20"/>
          </w:rPr>
          <m:t>survival(0-4)=(0.2×survival</m:t>
        </m:r>
        <m:d>
          <m:dPr>
            <m:ctrlPr>
              <w:rPr>
                <w:rFonts w:ascii="Cambria Math" w:hAnsi="Cambria Math"/>
                <w:i/>
                <w:sz w:val="20"/>
                <w:szCs w:val="20"/>
              </w:rPr>
            </m:ctrlPr>
          </m:dPr>
          <m:e>
            <m:r>
              <w:rPr>
                <w:rFonts w:ascii="Cambria Math" w:hAnsi="Cambria Math"/>
                <w:sz w:val="20"/>
                <w:szCs w:val="20"/>
              </w:rPr>
              <m:t>0</m:t>
            </m:r>
          </m:e>
        </m:d>
        <m:r>
          <w:rPr>
            <w:rFonts w:ascii="Cambria Math" w:hAnsi="Cambria Math"/>
            <w:sz w:val="20"/>
            <w:szCs w:val="20"/>
          </w:rPr>
          <m:t>)+(0.8×survival</m:t>
        </m:r>
        <m:d>
          <m:dPr>
            <m:ctrlPr>
              <w:rPr>
                <w:rFonts w:ascii="Cambria Math" w:hAnsi="Cambria Math"/>
                <w:i/>
                <w:sz w:val="20"/>
                <w:szCs w:val="20"/>
              </w:rPr>
            </m:ctrlPr>
          </m:dPr>
          <m:e>
            <m:r>
              <w:rPr>
                <w:rFonts w:ascii="Cambria Math" w:hAnsi="Cambria Math"/>
                <w:sz w:val="20"/>
                <w:szCs w:val="20"/>
              </w:rPr>
              <m:t>1-4</m:t>
            </m:r>
          </m:e>
        </m:d>
        <m:r>
          <w:rPr>
            <w:rFonts w:ascii="Cambria Math" w:hAnsi="Cambria Math"/>
            <w:sz w:val="20"/>
            <w:szCs w:val="20"/>
          </w:rPr>
          <m:t>)</m:t>
        </m:r>
      </m:oMath>
      <w:r>
        <w:rPr>
          <w:rFonts w:ascii="Times New Roman" w:hAnsi="Times New Roman"/>
          <w:sz w:val="20"/>
          <w:szCs w:val="20"/>
        </w:rPr>
        <w:t>.</w:t>
      </w:r>
    </w:p>
    <w:p w14:paraId="5E08805C" w14:textId="77777777" w:rsidR="00A736FE" w:rsidRPr="00D74F1D" w:rsidRDefault="00A736FE" w:rsidP="00A736FE">
      <w:pPr>
        <w:spacing w:line="480" w:lineRule="auto"/>
        <w:ind w:firstLine="567"/>
        <w:rPr>
          <w:rFonts w:ascii="Times New Roman" w:hAnsi="Times New Roman"/>
          <w:sz w:val="20"/>
          <w:szCs w:val="20"/>
        </w:rPr>
      </w:pPr>
      <w:r>
        <w:rPr>
          <w:rFonts w:ascii="Times New Roman" w:hAnsi="Times New Roman"/>
          <w:sz w:val="20"/>
          <w:szCs w:val="20"/>
        </w:rPr>
        <w:t>For each matrix we computed</w:t>
      </w:r>
      <w:r w:rsidRPr="00D74F1D">
        <w:rPr>
          <w:rFonts w:ascii="Times New Roman" w:hAnsi="Times New Roman"/>
          <w:sz w:val="20"/>
          <w:szCs w:val="20"/>
        </w:rPr>
        <w:t>:</w:t>
      </w:r>
    </w:p>
    <w:p w14:paraId="07312EA7" w14:textId="77777777" w:rsidR="00A736FE" w:rsidRPr="00997AA1" w:rsidRDefault="00A736FE" w:rsidP="00A736FE">
      <w:pPr>
        <w:pStyle w:val="ListParagraph"/>
        <w:numPr>
          <w:ilvl w:val="0"/>
          <w:numId w:val="1"/>
        </w:numPr>
        <w:spacing w:line="480" w:lineRule="auto"/>
        <w:rPr>
          <w:rFonts w:ascii="Times New Roman" w:hAnsi="Times New Roman"/>
          <w:sz w:val="20"/>
          <w:szCs w:val="20"/>
        </w:rPr>
      </w:pPr>
      <w:r w:rsidRPr="00997AA1">
        <w:rPr>
          <w:rFonts w:ascii="Times New Roman" w:hAnsi="Times New Roman"/>
          <w:sz w:val="20"/>
          <w:szCs w:val="20"/>
        </w:rPr>
        <w:t>eigenvalues,</w:t>
      </w:r>
      <w:r>
        <w:rPr>
          <w:rFonts w:ascii="Times New Roman" w:hAnsi="Times New Roman"/>
          <w:sz w:val="20"/>
          <w:szCs w:val="20"/>
        </w:rPr>
        <w:t xml:space="preserve"> </w:t>
      </w:r>
      <w:r w:rsidRPr="00B76C6B">
        <w:rPr>
          <w:rFonts w:ascii="Times New Roman" w:hAnsi="Times New Roman"/>
          <w:i/>
          <w:sz w:val="20"/>
          <w:szCs w:val="20"/>
        </w:rPr>
        <w:t>λ</w:t>
      </w:r>
      <w:r>
        <w:rPr>
          <w:rFonts w:ascii="Times New Roman" w:hAnsi="Times New Roman"/>
          <w:sz w:val="20"/>
          <w:szCs w:val="20"/>
          <w:vertAlign w:val="subscript"/>
        </w:rPr>
        <w:t>n</w:t>
      </w:r>
      <w:r w:rsidRPr="00FE2611">
        <w:rPr>
          <w:rFonts w:ascii="Times New Roman" w:hAnsi="Times New Roman"/>
          <w:sz w:val="20"/>
          <w:szCs w:val="20"/>
        </w:rPr>
        <w:t>,</w:t>
      </w:r>
      <w:r w:rsidRPr="00997AA1">
        <w:rPr>
          <w:rFonts w:ascii="Times New Roman" w:hAnsi="Times New Roman"/>
          <w:sz w:val="20"/>
          <w:szCs w:val="20"/>
        </w:rPr>
        <w:t xml:space="preserve"> using base </w:t>
      </w:r>
      <w:r>
        <w:rPr>
          <w:rFonts w:ascii="Times New Roman" w:hAnsi="Times New Roman"/>
          <w:sz w:val="20"/>
          <w:szCs w:val="20"/>
        </w:rPr>
        <w:t xml:space="preserve">R’s </w:t>
      </w:r>
      <w:r w:rsidRPr="00997AA1">
        <w:rPr>
          <w:rFonts w:ascii="Times New Roman" w:hAnsi="Times New Roman"/>
          <w:sz w:val="20"/>
          <w:szCs w:val="20"/>
        </w:rPr>
        <w:t>eigen() function</w:t>
      </w:r>
    </w:p>
    <w:p w14:paraId="04D77F5C" w14:textId="77777777" w:rsidR="00A736FE" w:rsidRDefault="00A736FE" w:rsidP="00A736FE">
      <w:pPr>
        <w:pStyle w:val="ListParagraph"/>
        <w:numPr>
          <w:ilvl w:val="0"/>
          <w:numId w:val="1"/>
        </w:numPr>
        <w:spacing w:line="480" w:lineRule="auto"/>
        <w:rPr>
          <w:rFonts w:ascii="Times New Roman" w:hAnsi="Times New Roman"/>
          <w:sz w:val="20"/>
          <w:szCs w:val="20"/>
        </w:rPr>
      </w:pPr>
      <m:oMath>
        <m:r>
          <w:rPr>
            <w:rFonts w:ascii="Cambria Math" w:hAnsi="Cambria Math"/>
            <w:sz w:val="20"/>
            <w:szCs w:val="20"/>
          </w:rPr>
          <m:t xml:space="preserve">damping ratio= </m:t>
        </m:r>
        <m:f>
          <m:fPr>
            <m:type m:val="skw"/>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1</m:t>
                </m:r>
              </m:sub>
            </m:sSub>
          </m:num>
          <m:den>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2</m:t>
                    </m:r>
                  </m:sub>
                </m:sSub>
              </m:e>
            </m:d>
          </m:den>
        </m:f>
      </m:oMath>
      <w:r>
        <w:rPr>
          <w:rFonts w:ascii="Times New Roman" w:hAnsi="Times New Roman"/>
          <w:sz w:val="20"/>
          <w:szCs w:val="20"/>
        </w:rPr>
        <w:t xml:space="preserve"> (Caswell 2001)</w:t>
      </w:r>
    </w:p>
    <w:p w14:paraId="5A3D92DC" w14:textId="77777777" w:rsidR="00A736FE" w:rsidRPr="00D74F1D" w:rsidRDefault="00A736FE" w:rsidP="00A736FE">
      <w:pPr>
        <w:pStyle w:val="ListParagraph"/>
        <w:numPr>
          <w:ilvl w:val="0"/>
          <w:numId w:val="1"/>
        </w:numPr>
        <w:spacing w:line="480" w:lineRule="auto"/>
        <w:rPr>
          <w:rFonts w:ascii="Times New Roman" w:hAnsi="Times New Roman"/>
          <w:sz w:val="20"/>
          <w:szCs w:val="20"/>
        </w:rPr>
      </w:pPr>
      <w:r w:rsidRPr="00D74F1D">
        <w:rPr>
          <w:rFonts w:ascii="Times New Roman" w:hAnsi="Times New Roman"/>
          <w:sz w:val="20"/>
          <w:szCs w:val="20"/>
        </w:rPr>
        <w:t xml:space="preserve">case-specific reactivity, the relative population size after one </w:t>
      </w:r>
      <w:r>
        <w:rPr>
          <w:rFonts w:ascii="Times New Roman" w:hAnsi="Times New Roman"/>
          <w:sz w:val="20"/>
          <w:szCs w:val="20"/>
        </w:rPr>
        <w:t>projection interval</w:t>
      </w:r>
      <w:r w:rsidRPr="00D74F1D">
        <w:rPr>
          <w:rFonts w:ascii="Times New Roman" w:hAnsi="Times New Roman"/>
          <w:sz w:val="20"/>
          <w:szCs w:val="20"/>
        </w:rPr>
        <w:t xml:space="preserve">, standardised for </w:t>
      </w:r>
      <w:r w:rsidRPr="00B76C6B">
        <w:rPr>
          <w:rFonts w:ascii="Times New Roman" w:hAnsi="Times New Roman"/>
          <w:i/>
          <w:sz w:val="20"/>
          <w:szCs w:val="20"/>
        </w:rPr>
        <w:t>λ</w:t>
      </w:r>
      <w:r w:rsidRPr="00D74F1D">
        <w:rPr>
          <w:rFonts w:ascii="Times New Roman" w:hAnsi="Times New Roman"/>
          <w:sz w:val="20"/>
          <w:szCs w:val="20"/>
          <w:vertAlign w:val="subscript"/>
        </w:rPr>
        <w:t>1</w:t>
      </w:r>
    </w:p>
    <w:p w14:paraId="0737E2BC" w14:textId="77777777" w:rsidR="00A736FE" w:rsidRPr="00A913DC" w:rsidRDefault="00A736FE" w:rsidP="00A736FE">
      <w:pPr>
        <w:pStyle w:val="ListParagraph"/>
        <w:spacing w:line="480" w:lineRule="auto"/>
        <w:ind w:left="765"/>
        <w:rPr>
          <w:rFonts w:ascii="Times New Roman" w:hAnsi="Times New Roman"/>
          <w:sz w:val="20"/>
          <w:szCs w:val="20"/>
          <w:vertAlign w:val="subscript"/>
        </w:rPr>
      </w:pPr>
      <w:r>
        <w:rPr>
          <w:rFonts w:ascii="Times New Roman" w:hAnsi="Times New Roman"/>
          <w:sz w:val="20"/>
          <w:szCs w:val="20"/>
        </w:rPr>
        <w:t xml:space="preserve">   </w:t>
      </w:r>
      <m:oMath>
        <m:sSub>
          <m:sSubPr>
            <m:ctrlPr>
              <w:rPr>
                <w:rFonts w:ascii="Cambria Math" w:hAnsi="Cambria Math"/>
                <w:i/>
                <w:sz w:val="20"/>
                <w:szCs w:val="20"/>
              </w:rPr>
            </m:ctrlPr>
          </m:sSubPr>
          <m:e>
            <m:r>
              <w:rPr>
                <w:rFonts w:ascii="Cambria Math" w:hAnsi="Cambria Math"/>
                <w:sz w:val="20"/>
                <w:szCs w:val="20"/>
              </w:rPr>
              <m:t>=</m:t>
            </m:r>
            <m:d>
              <m:dPr>
                <m:begChr m:val="‖"/>
                <m:endChr m:val="‖"/>
                <m:ctrlPr>
                  <w:rPr>
                    <w:rFonts w:ascii="Cambria Math" w:hAnsi="Cambria Math"/>
                    <w:i/>
                    <w:sz w:val="20"/>
                    <w:szCs w:val="20"/>
                  </w:rPr>
                </m:ctrlPr>
              </m:dPr>
              <m:e>
                <m:acc>
                  <m:accPr>
                    <m:ctrlPr>
                      <w:rPr>
                        <w:rFonts w:ascii="Cambria Math" w:hAnsi="Cambria Math"/>
                        <w:b/>
                        <w:sz w:val="20"/>
                        <w:szCs w:val="20"/>
                      </w:rPr>
                    </m:ctrlPr>
                  </m:accPr>
                  <m:e>
                    <m:r>
                      <m:rPr>
                        <m:sty m:val="b"/>
                      </m:rPr>
                      <w:rPr>
                        <w:rFonts w:ascii="Cambria Math" w:hAnsi="Cambria Math"/>
                        <w:sz w:val="20"/>
                        <w:szCs w:val="20"/>
                      </w:rPr>
                      <m:t>A</m:t>
                    </m:r>
                  </m:e>
                </m:acc>
                <m:sSub>
                  <m:sSubPr>
                    <m:ctrlPr>
                      <w:rPr>
                        <w:rFonts w:ascii="Cambria Math" w:hAnsi="Cambria Math"/>
                        <w:b/>
                        <w:sz w:val="20"/>
                        <w:szCs w:val="20"/>
                      </w:rPr>
                    </m:ctrlPr>
                  </m:sSubPr>
                  <m:e>
                    <m:r>
                      <m:rPr>
                        <m:sty m:val="b"/>
                      </m:rPr>
                      <w:rPr>
                        <w:rFonts w:ascii="Cambria Math" w:hAnsi="Cambria Math"/>
                        <w:sz w:val="20"/>
                        <w:szCs w:val="20"/>
                      </w:rPr>
                      <m:t>n</m:t>
                    </m:r>
                  </m:e>
                  <m:sub>
                    <m:r>
                      <m:rPr>
                        <m:sty m:val="bi"/>
                      </m:rPr>
                      <w:rPr>
                        <w:rFonts w:ascii="Cambria Math" w:hAnsi="Cambria Math"/>
                        <w:sz w:val="20"/>
                        <w:szCs w:val="20"/>
                      </w:rPr>
                      <m:t>0</m:t>
                    </m:r>
                  </m:sub>
                </m:sSub>
              </m:e>
            </m:d>
          </m:e>
          <m:sub>
            <m:r>
              <w:rPr>
                <w:rFonts w:ascii="Cambria Math" w:hAnsi="Cambria Math"/>
                <w:sz w:val="20"/>
                <w:szCs w:val="20"/>
              </w:rPr>
              <m:t>1</m:t>
            </m:r>
          </m:sub>
        </m:sSub>
      </m:oMath>
      <w:r>
        <w:rPr>
          <w:rFonts w:ascii="Times New Roman" w:hAnsi="Times New Roman"/>
          <w:sz w:val="20"/>
          <w:szCs w:val="20"/>
          <w:vertAlign w:val="subscript"/>
        </w:rPr>
        <w:t xml:space="preserve"> </w:t>
      </w:r>
      <w:r w:rsidRPr="00A913DC">
        <w:rPr>
          <w:rFonts w:ascii="Times New Roman" w:hAnsi="Times New Roman"/>
          <w:sz w:val="20"/>
          <w:szCs w:val="20"/>
        </w:rPr>
        <w:t>(Stott et al</w:t>
      </w:r>
      <w:r>
        <w:rPr>
          <w:rFonts w:ascii="Times New Roman" w:hAnsi="Times New Roman"/>
          <w:sz w:val="20"/>
          <w:szCs w:val="20"/>
        </w:rPr>
        <w:t>.</w:t>
      </w:r>
      <w:r w:rsidRPr="00A913DC">
        <w:rPr>
          <w:rFonts w:ascii="Times New Roman" w:hAnsi="Times New Roman"/>
          <w:sz w:val="20"/>
          <w:szCs w:val="20"/>
        </w:rPr>
        <w:t xml:space="preserve"> 2011)</w:t>
      </w:r>
    </w:p>
    <w:p w14:paraId="0601ED7D" w14:textId="3270F95F" w:rsidR="00A736FE" w:rsidRDefault="00A736FE" w:rsidP="00A736FE">
      <w:pPr>
        <w:pStyle w:val="ListParagraph"/>
        <w:spacing w:line="480" w:lineRule="auto"/>
        <w:ind w:left="765"/>
        <w:rPr>
          <w:rFonts w:ascii="Times New Roman" w:hAnsi="Times New Roman"/>
          <w:sz w:val="20"/>
          <w:szCs w:val="20"/>
        </w:rPr>
      </w:pPr>
      <w:r w:rsidRPr="00C35232">
        <w:rPr>
          <w:rFonts w:ascii="Times New Roman" w:hAnsi="Times New Roman"/>
          <w:sz w:val="20"/>
          <w:szCs w:val="20"/>
        </w:rPr>
        <w:t xml:space="preserve">where </w:t>
      </w:r>
      <m:oMath>
        <m:sSub>
          <m:sSubPr>
            <m:ctrlPr>
              <w:rPr>
                <w:rFonts w:ascii="Cambria Math" w:hAnsi="Cambria Math"/>
                <w:i/>
                <w:sz w:val="20"/>
                <w:szCs w:val="20"/>
              </w:rPr>
            </m:ctrlPr>
          </m:sSubPr>
          <m:e>
            <m:d>
              <m:dPr>
                <m:begChr m:val="‖"/>
                <m:endChr m:val="‖"/>
                <m:ctrlPr>
                  <w:rPr>
                    <w:rFonts w:ascii="Cambria Math" w:hAnsi="Cambria Math"/>
                    <w:i/>
                    <w:sz w:val="20"/>
                    <w:szCs w:val="20"/>
                  </w:rPr>
                </m:ctrlPr>
              </m:dPr>
              <m:e/>
            </m:d>
          </m:e>
          <m:sub>
            <m:r>
              <w:rPr>
                <w:rFonts w:ascii="Cambria Math" w:hAnsi="Cambria Math"/>
                <w:sz w:val="20"/>
                <w:szCs w:val="20"/>
              </w:rPr>
              <m:t xml:space="preserve">1 </m:t>
            </m:r>
          </m:sub>
        </m:sSub>
      </m:oMath>
      <w:r w:rsidRPr="00C35232">
        <w:rPr>
          <w:rFonts w:ascii="Times New Roman" w:hAnsi="Times New Roman"/>
          <w:sz w:val="20"/>
          <w:szCs w:val="20"/>
        </w:rPr>
        <w:t xml:space="preserve">is the one-norm (the sum of the modulus of </w:t>
      </w:r>
      <w:r w:rsidRPr="007B09CA">
        <w:rPr>
          <w:rFonts w:ascii="Times New Roman" w:hAnsi="Times New Roman"/>
          <w:sz w:val="20"/>
          <w:szCs w:val="20"/>
        </w:rPr>
        <w:t xml:space="preserve">the entries) of a vector, </w:t>
      </w:r>
      <m:oMath>
        <m:acc>
          <m:accPr>
            <m:ctrlPr>
              <w:rPr>
                <w:rFonts w:ascii="Cambria Math" w:hAnsi="Cambria Math"/>
                <w:b/>
                <w:sz w:val="20"/>
                <w:szCs w:val="20"/>
              </w:rPr>
            </m:ctrlPr>
          </m:accPr>
          <m:e>
            <m:r>
              <m:rPr>
                <m:sty m:val="b"/>
              </m:rPr>
              <w:rPr>
                <w:rFonts w:ascii="Cambria Math" w:hAnsi="Cambria Math"/>
                <w:sz w:val="20"/>
                <w:szCs w:val="20"/>
              </w:rPr>
              <m:t>A</m:t>
            </m:r>
          </m:e>
        </m:acc>
        <m:r>
          <m:rPr>
            <m:sty m:val="b"/>
          </m:rPr>
          <w:rPr>
            <w:rFonts w:ascii="Cambria Math" w:hAnsi="Cambria Math"/>
            <w:sz w:val="20"/>
            <w:szCs w:val="20"/>
          </w:rPr>
          <m:t xml:space="preserve">= </m:t>
        </m:r>
        <m:f>
          <m:fPr>
            <m:type m:val="skw"/>
            <m:ctrlPr>
              <w:rPr>
                <w:rFonts w:ascii="Cambria Math" w:hAnsi="Cambria Math"/>
                <w:b/>
                <w:sz w:val="20"/>
                <w:szCs w:val="20"/>
              </w:rPr>
            </m:ctrlPr>
          </m:fPr>
          <m:num>
            <m:r>
              <m:rPr>
                <m:sty m:val="b"/>
              </m:rPr>
              <w:rPr>
                <w:rFonts w:ascii="Cambria Math" w:hAnsi="Cambria Math"/>
                <w:sz w:val="20"/>
                <w:szCs w:val="20"/>
              </w:rPr>
              <m:t>A</m:t>
            </m:r>
          </m:num>
          <m:den>
            <m:sSub>
              <m:sSubPr>
                <m:ctrlPr>
                  <w:rPr>
                    <w:rFonts w:ascii="Cambria Math" w:hAnsi="Cambria Math"/>
                    <w:b/>
                    <w:sz w:val="20"/>
                    <w:szCs w:val="20"/>
                  </w:rPr>
                </m:ctrlPr>
              </m:sSubPr>
              <m:e>
                <m:r>
                  <m:rPr>
                    <m:sty m:val="bi"/>
                  </m:rPr>
                  <w:rPr>
                    <w:rFonts w:ascii="Cambria Math" w:hAnsi="Cambria Math"/>
                    <w:sz w:val="20"/>
                    <w:szCs w:val="20"/>
                  </w:rPr>
                  <m:t>λ</m:t>
                </m:r>
              </m:e>
              <m:sub>
                <m:r>
                  <m:rPr>
                    <m:sty m:val="bi"/>
                  </m:rPr>
                  <w:rPr>
                    <w:rFonts w:ascii="Cambria Math" w:hAnsi="Cambria Math"/>
                    <w:sz w:val="20"/>
                    <w:szCs w:val="20"/>
                  </w:rPr>
                  <m:t>1</m:t>
                </m:r>
              </m:sub>
            </m:sSub>
          </m:den>
        </m:f>
      </m:oMath>
      <w:r w:rsidRPr="007B09CA">
        <w:rPr>
          <w:rFonts w:ascii="Times New Roman" w:hAnsi="Times New Roman"/>
          <w:sz w:val="20"/>
          <w:szCs w:val="20"/>
        </w:rPr>
        <w:t>,</w:t>
      </w:r>
      <w:r>
        <w:rPr>
          <w:rFonts w:ascii="Times New Roman" w:hAnsi="Times New Roman"/>
          <w:sz w:val="20"/>
          <w:szCs w:val="20"/>
        </w:rPr>
        <w:t xml:space="preserve"> and </w:t>
      </w:r>
      <w:r w:rsidRPr="00D74F1D">
        <w:rPr>
          <w:rFonts w:ascii="Times New Roman" w:hAnsi="Times New Roman"/>
          <w:b/>
          <w:sz w:val="20"/>
          <w:szCs w:val="20"/>
        </w:rPr>
        <w:t>n</w:t>
      </w:r>
      <w:r w:rsidRPr="00D74F1D">
        <w:rPr>
          <w:rFonts w:ascii="Times New Roman" w:hAnsi="Times New Roman"/>
          <w:b/>
          <w:sz w:val="20"/>
          <w:szCs w:val="20"/>
          <w:vertAlign w:val="subscript"/>
        </w:rPr>
        <w:t>0</w:t>
      </w:r>
      <w:r w:rsidRPr="00D74F1D">
        <w:rPr>
          <w:rFonts w:ascii="Times New Roman" w:hAnsi="Times New Roman"/>
          <w:sz w:val="20"/>
          <w:szCs w:val="20"/>
        </w:rPr>
        <w:t xml:space="preserve"> </w:t>
      </w:r>
    </w:p>
    <w:p w14:paraId="130087D0" w14:textId="77777777" w:rsidR="00A736FE" w:rsidRDefault="00A736FE" w:rsidP="00A736FE">
      <w:pPr>
        <w:pStyle w:val="ListParagraph"/>
        <w:spacing w:line="480" w:lineRule="auto"/>
        <w:ind w:left="765"/>
        <w:rPr>
          <w:rFonts w:ascii="Times New Roman" w:hAnsi="Times New Roman"/>
          <w:sz w:val="20"/>
          <w:szCs w:val="20"/>
        </w:rPr>
      </w:pPr>
      <w:r>
        <w:rPr>
          <w:rFonts w:ascii="Times New Roman" w:hAnsi="Times New Roman"/>
          <w:sz w:val="20"/>
          <w:szCs w:val="20"/>
        </w:rPr>
        <w:t xml:space="preserve">   is </w:t>
      </w:r>
      <w:r w:rsidRPr="00A913DC">
        <w:rPr>
          <w:rFonts w:ascii="Times New Roman" w:hAnsi="Times New Roman"/>
          <w:sz w:val="20"/>
          <w:szCs w:val="20"/>
        </w:rPr>
        <w:t>the initial population structure scaled such that it sums to 1</w:t>
      </w:r>
      <w:r>
        <w:rPr>
          <w:rFonts w:ascii="Times New Roman" w:hAnsi="Times New Roman"/>
          <w:sz w:val="20"/>
          <w:szCs w:val="20"/>
        </w:rPr>
        <w:t xml:space="preserve"> (giving the proportions of the   </w:t>
      </w:r>
    </w:p>
    <w:p w14:paraId="16670145" w14:textId="77777777" w:rsidR="00A736FE" w:rsidRPr="00A913DC" w:rsidRDefault="00A736FE" w:rsidP="00A736FE">
      <w:pPr>
        <w:pStyle w:val="ListParagraph"/>
        <w:spacing w:line="480" w:lineRule="auto"/>
        <w:ind w:left="765"/>
        <w:rPr>
          <w:rFonts w:ascii="Times New Roman" w:hAnsi="Times New Roman"/>
          <w:sz w:val="20"/>
          <w:szCs w:val="20"/>
        </w:rPr>
      </w:pPr>
      <w:r>
        <w:rPr>
          <w:rFonts w:ascii="Times New Roman" w:hAnsi="Times New Roman"/>
          <w:sz w:val="20"/>
          <w:szCs w:val="20"/>
        </w:rPr>
        <w:t xml:space="preserve">   population in each five-year age bin) </w:t>
      </w:r>
    </w:p>
    <w:p w14:paraId="08A86B38" w14:textId="77777777" w:rsidR="00A736FE" w:rsidRPr="00D74F1D" w:rsidRDefault="00A736FE" w:rsidP="00A736FE">
      <w:pPr>
        <w:pStyle w:val="ListParagraph"/>
        <w:numPr>
          <w:ilvl w:val="0"/>
          <w:numId w:val="1"/>
        </w:numPr>
        <w:spacing w:line="480" w:lineRule="auto"/>
        <w:rPr>
          <w:rFonts w:ascii="Times New Roman" w:hAnsi="Times New Roman"/>
          <w:sz w:val="20"/>
          <w:szCs w:val="20"/>
        </w:rPr>
      </w:pPr>
      <w:r w:rsidRPr="00D74F1D">
        <w:rPr>
          <w:rFonts w:ascii="Times New Roman" w:hAnsi="Times New Roman"/>
          <w:sz w:val="20"/>
          <w:szCs w:val="20"/>
        </w:rPr>
        <w:t xml:space="preserve">inertia, the relative population size after the transient period (here defined as </w:t>
      </w:r>
      <w:r w:rsidRPr="00B12798">
        <w:rPr>
          <w:rFonts w:ascii="Times New Roman" w:hAnsi="Times New Roman"/>
          <w:sz w:val="20"/>
          <w:szCs w:val="20"/>
        </w:rPr>
        <w:t>100 timesteps</w:t>
      </w:r>
      <w:r w:rsidRPr="00D74F1D">
        <w:rPr>
          <w:rFonts w:ascii="Times New Roman" w:hAnsi="Times New Roman"/>
          <w:sz w:val="20"/>
          <w:szCs w:val="20"/>
        </w:rPr>
        <w:t xml:space="preserve"> </w:t>
      </w:r>
    </w:p>
    <w:p w14:paraId="4025EAD5" w14:textId="77777777" w:rsidR="00A736FE" w:rsidRPr="00D74F1D" w:rsidRDefault="00A736FE" w:rsidP="00A736FE">
      <w:pPr>
        <w:pStyle w:val="ListParagraph"/>
        <w:spacing w:line="480" w:lineRule="auto"/>
        <w:ind w:left="765"/>
        <w:rPr>
          <w:rFonts w:ascii="Times New Roman" w:hAnsi="Times New Roman"/>
          <w:sz w:val="20"/>
          <w:szCs w:val="20"/>
        </w:rPr>
      </w:pPr>
      <w:r w:rsidRPr="00D74F1D">
        <w:rPr>
          <w:rFonts w:ascii="Times New Roman" w:hAnsi="Times New Roman"/>
          <w:sz w:val="20"/>
          <w:szCs w:val="20"/>
        </w:rPr>
        <w:t xml:space="preserve">   </w:t>
      </w:r>
      <w:r>
        <w:rPr>
          <w:rFonts w:ascii="Times New Roman" w:hAnsi="Times New Roman"/>
          <w:sz w:val="20"/>
          <w:szCs w:val="20"/>
        </w:rPr>
        <w:t>i.e.</w:t>
      </w:r>
      <w:r w:rsidR="00557549">
        <w:rPr>
          <w:rFonts w:ascii="Times New Roman" w:hAnsi="Times New Roman"/>
          <w:sz w:val="20"/>
          <w:szCs w:val="20"/>
        </w:rPr>
        <w:t>,</w:t>
      </w:r>
      <w:r>
        <w:rPr>
          <w:rFonts w:ascii="Times New Roman" w:hAnsi="Times New Roman"/>
          <w:sz w:val="20"/>
          <w:szCs w:val="20"/>
        </w:rPr>
        <w:t xml:space="preserve"> 500</w:t>
      </w:r>
      <w:r w:rsidRPr="00D74F1D">
        <w:rPr>
          <w:rFonts w:ascii="Times New Roman" w:hAnsi="Times New Roman"/>
          <w:sz w:val="20"/>
          <w:szCs w:val="20"/>
        </w:rPr>
        <w:t xml:space="preserve"> years) </w:t>
      </w:r>
      <m:oMath>
        <m:sSub>
          <m:sSubPr>
            <m:ctrlPr>
              <w:rPr>
                <w:rFonts w:ascii="Cambria Math" w:hAnsi="Cambria Math"/>
                <w:i/>
                <w:sz w:val="20"/>
                <w:szCs w:val="20"/>
              </w:rPr>
            </m:ctrlPr>
          </m:sSubPr>
          <m:e>
            <m:r>
              <w:rPr>
                <w:rFonts w:ascii="Cambria Math" w:hAnsi="Cambria Math"/>
                <w:sz w:val="20"/>
                <w:szCs w:val="20"/>
              </w:rPr>
              <m:t>=</m:t>
            </m:r>
            <m:d>
              <m:dPr>
                <m:begChr m:val="‖"/>
                <m:endChr m:val="‖"/>
                <m:ctrlPr>
                  <w:rPr>
                    <w:rFonts w:ascii="Cambria Math" w:hAnsi="Cambria Math"/>
                    <w:i/>
                    <w:sz w:val="20"/>
                    <w:szCs w:val="20"/>
                  </w:rPr>
                </m:ctrlPr>
              </m:dPr>
              <m:e>
                <m:sSub>
                  <m:sSubPr>
                    <m:ctrlPr>
                      <w:rPr>
                        <w:rFonts w:ascii="Cambria Math" w:hAnsi="Cambria Math"/>
                        <w:b/>
                        <w:sz w:val="20"/>
                        <w:szCs w:val="20"/>
                      </w:rPr>
                    </m:ctrlPr>
                  </m:sSubPr>
                  <m:e>
                    <m:r>
                      <m:rPr>
                        <m:sty m:val="b"/>
                      </m:rPr>
                      <w:rPr>
                        <w:rFonts w:ascii="Cambria Math" w:hAnsi="Cambria Math"/>
                        <w:sz w:val="20"/>
                        <w:szCs w:val="20"/>
                      </w:rPr>
                      <m:t>n</m:t>
                    </m:r>
                  </m:e>
                  <m:sub>
                    <m:r>
                      <m:rPr>
                        <m:sty m:val="bi"/>
                      </m:rPr>
                      <w:rPr>
                        <w:rFonts w:ascii="Cambria Math" w:hAnsi="Cambria Math"/>
                        <w:sz w:val="20"/>
                        <w:szCs w:val="20"/>
                      </w:rPr>
                      <m:t>100</m:t>
                    </m:r>
                  </m:sub>
                </m:sSub>
              </m:e>
            </m:d>
          </m:e>
          <m:sub>
            <m:r>
              <w:rPr>
                <w:rFonts w:ascii="Cambria Math" w:hAnsi="Cambria Math"/>
                <w:sz w:val="20"/>
                <w:szCs w:val="20"/>
              </w:rPr>
              <m:t>1</m:t>
            </m:r>
          </m:sub>
        </m:sSub>
      </m:oMath>
    </w:p>
    <w:p w14:paraId="09AEBCA8" w14:textId="77777777" w:rsidR="00A736FE" w:rsidRPr="006628AB" w:rsidRDefault="00A736FE" w:rsidP="00A736FE">
      <w:pPr>
        <w:pStyle w:val="ListParagraph"/>
        <w:spacing w:line="480" w:lineRule="auto"/>
        <w:ind w:left="765"/>
        <w:rPr>
          <w:rFonts w:ascii="Times New Roman" w:hAnsi="Times New Roman"/>
          <w:sz w:val="20"/>
          <w:szCs w:val="20"/>
        </w:rPr>
      </w:pPr>
      <w:r w:rsidRPr="00D74F1D">
        <w:rPr>
          <w:rFonts w:ascii="Times New Roman" w:hAnsi="Times New Roman"/>
          <w:sz w:val="20"/>
          <w:szCs w:val="20"/>
        </w:rPr>
        <w:t xml:space="preserve">where </w:t>
      </w:r>
      <m:oMath>
        <m:sSub>
          <m:sSubPr>
            <m:ctrlPr>
              <w:rPr>
                <w:rFonts w:ascii="Cambria Math" w:hAnsi="Cambria Math"/>
                <w:i/>
                <w:sz w:val="20"/>
                <w:szCs w:val="20"/>
              </w:rPr>
            </m:ctrlPr>
          </m:sSubPr>
          <m:e>
            <m:d>
              <m:dPr>
                <m:begChr m:val="‖"/>
                <m:endChr m:val="‖"/>
                <m:ctrlPr>
                  <w:rPr>
                    <w:rFonts w:ascii="Cambria Math" w:hAnsi="Cambria Math"/>
                    <w:i/>
                    <w:sz w:val="20"/>
                    <w:szCs w:val="20"/>
                  </w:rPr>
                </m:ctrlPr>
              </m:dPr>
              <m:e/>
            </m:d>
          </m:e>
          <m:sub>
            <m:r>
              <w:rPr>
                <w:rFonts w:ascii="Cambria Math" w:hAnsi="Cambria Math"/>
                <w:sz w:val="20"/>
                <w:szCs w:val="20"/>
              </w:rPr>
              <m:t>1</m:t>
            </m:r>
          </m:sub>
        </m:sSub>
      </m:oMath>
      <w:r w:rsidRPr="00D74F1D">
        <w:rPr>
          <w:rFonts w:ascii="Times New Roman" w:hAnsi="Times New Roman"/>
          <w:sz w:val="20"/>
          <w:szCs w:val="20"/>
        </w:rPr>
        <w:t xml:space="preserve"> is the one-norm (sum) of a vector</w:t>
      </w:r>
      <w:r>
        <w:rPr>
          <w:rFonts w:ascii="Times New Roman" w:hAnsi="Times New Roman"/>
          <w:sz w:val="20"/>
          <w:szCs w:val="20"/>
        </w:rPr>
        <w:t xml:space="preserve"> and </w:t>
      </w:r>
      <w:r w:rsidRPr="00D74F1D">
        <w:rPr>
          <w:rFonts w:ascii="Times New Roman" w:hAnsi="Times New Roman"/>
          <w:b/>
          <w:sz w:val="20"/>
          <w:szCs w:val="20"/>
        </w:rPr>
        <w:t>n</w:t>
      </w:r>
      <w:r>
        <w:rPr>
          <w:rFonts w:ascii="Times New Roman" w:hAnsi="Times New Roman"/>
          <w:b/>
          <w:sz w:val="20"/>
          <w:szCs w:val="20"/>
          <w:vertAlign w:val="subscript"/>
        </w:rPr>
        <w:t>100</w:t>
      </w:r>
      <w:r w:rsidRPr="00D74F1D">
        <w:rPr>
          <w:rFonts w:ascii="Times New Roman" w:hAnsi="Times New Roman"/>
          <w:sz w:val="20"/>
          <w:szCs w:val="20"/>
        </w:rPr>
        <w:t xml:space="preserve"> </w:t>
      </w:r>
      <w:r>
        <w:rPr>
          <w:rFonts w:ascii="Times New Roman" w:hAnsi="Times New Roman"/>
          <w:sz w:val="20"/>
          <w:szCs w:val="20"/>
        </w:rPr>
        <w:t xml:space="preserve">= </w:t>
      </w:r>
      <w:r w:rsidRPr="00D74F1D">
        <w:rPr>
          <w:rFonts w:ascii="Times New Roman" w:hAnsi="Times New Roman"/>
          <w:b/>
          <w:sz w:val="20"/>
          <w:szCs w:val="20"/>
        </w:rPr>
        <w:t>Â</w:t>
      </w:r>
      <w:r>
        <w:rPr>
          <w:rFonts w:ascii="Times New Roman" w:hAnsi="Times New Roman"/>
          <w:b/>
          <w:sz w:val="20"/>
          <w:szCs w:val="20"/>
          <w:vertAlign w:val="superscript"/>
        </w:rPr>
        <w:t>100</w:t>
      </w:r>
      <m:oMath>
        <m:sSub>
          <m:sSubPr>
            <m:ctrlPr>
              <w:rPr>
                <w:rFonts w:ascii="Cambria Math" w:hAnsi="Cambria Math"/>
                <w:b/>
                <w:sz w:val="20"/>
                <w:szCs w:val="20"/>
              </w:rPr>
            </m:ctrlPr>
          </m:sSubPr>
          <m:e>
            <m:r>
              <m:rPr>
                <m:sty m:val="b"/>
              </m:rPr>
              <w:rPr>
                <w:rFonts w:ascii="Cambria Math" w:hAnsi="Cambria Math"/>
                <w:sz w:val="20"/>
                <w:szCs w:val="20"/>
              </w:rPr>
              <m:t>n</m:t>
            </m:r>
          </m:e>
          <m:sub>
            <m:r>
              <m:rPr>
                <m:sty m:val="bi"/>
              </m:rPr>
              <w:rPr>
                <w:rFonts w:ascii="Cambria Math" w:hAnsi="Cambria Math"/>
                <w:sz w:val="20"/>
                <w:szCs w:val="20"/>
              </w:rPr>
              <m:t>0</m:t>
            </m:r>
          </m:sub>
        </m:sSub>
        <m:r>
          <m:rPr>
            <m:sty m:val="bi"/>
          </m:rPr>
          <w:rPr>
            <w:rFonts w:ascii="Cambria Math" w:hAnsi="Cambria Math"/>
            <w:sz w:val="20"/>
            <w:szCs w:val="20"/>
          </w:rPr>
          <m:t xml:space="preserve"> </m:t>
        </m:r>
      </m:oMath>
    </w:p>
    <w:p w14:paraId="0F883341" w14:textId="77777777" w:rsidR="00A736FE" w:rsidRDefault="00A736FE" w:rsidP="00A736FE">
      <w:pPr>
        <w:pStyle w:val="ListParagraph"/>
        <w:numPr>
          <w:ilvl w:val="0"/>
          <w:numId w:val="1"/>
        </w:numPr>
        <w:spacing w:line="480" w:lineRule="auto"/>
        <w:rPr>
          <w:rFonts w:ascii="Times New Roman" w:hAnsi="Times New Roman"/>
          <w:sz w:val="20"/>
          <w:szCs w:val="20"/>
        </w:rPr>
      </w:pPr>
      <w:r w:rsidRPr="00D74F1D">
        <w:rPr>
          <w:rFonts w:ascii="Times New Roman" w:hAnsi="Times New Roman"/>
          <w:sz w:val="20"/>
          <w:szCs w:val="20"/>
        </w:rPr>
        <w:t>various non-normality metrics</w:t>
      </w:r>
      <w:r>
        <w:rPr>
          <w:rFonts w:ascii="Times New Roman" w:hAnsi="Times New Roman"/>
          <w:sz w:val="20"/>
          <w:szCs w:val="20"/>
        </w:rPr>
        <w:t>, discussed below.</w:t>
      </w:r>
    </w:p>
    <w:p w14:paraId="7722FD42" w14:textId="77777777" w:rsidR="00A736FE" w:rsidRDefault="00A736FE" w:rsidP="00A736FE">
      <w:pPr>
        <w:spacing w:line="480" w:lineRule="auto"/>
        <w:rPr>
          <w:rFonts w:ascii="Times New Roman" w:hAnsi="Times New Roman"/>
          <w:sz w:val="20"/>
          <w:szCs w:val="20"/>
        </w:rPr>
      </w:pPr>
      <w:r>
        <w:rPr>
          <w:rFonts w:ascii="Times New Roman" w:hAnsi="Times New Roman"/>
          <w:sz w:val="20"/>
          <w:szCs w:val="20"/>
        </w:rPr>
        <w:t>Note that Stott et al. (2011) differentially name positive and negative transient indices, such that a negative value of our ‘case-specific reactivity’ would correspond to ‘case-specific first timestep attenuation’ in their treatment.</w:t>
      </w:r>
    </w:p>
    <w:p w14:paraId="145AB31B" w14:textId="77777777" w:rsidR="00A736FE" w:rsidRPr="00A55B0C" w:rsidRDefault="00A736FE" w:rsidP="00A736FE">
      <w:pPr>
        <w:spacing w:line="480" w:lineRule="auto"/>
        <w:rPr>
          <w:rFonts w:ascii="Times New Roman" w:hAnsi="Times New Roman"/>
          <w:sz w:val="20"/>
          <w:szCs w:val="20"/>
        </w:rPr>
      </w:pPr>
    </w:p>
    <w:p w14:paraId="7695DC76" w14:textId="77777777" w:rsidR="00A736FE" w:rsidRPr="00B76C6B" w:rsidRDefault="00A736FE" w:rsidP="00A736FE">
      <w:pPr>
        <w:pStyle w:val="Heading3"/>
        <w:spacing w:line="480" w:lineRule="auto"/>
        <w:rPr>
          <w:rFonts w:ascii="Times New Roman" w:hAnsi="Times New Roman" w:cs="Times New Roman"/>
          <w:color w:val="auto"/>
          <w:sz w:val="20"/>
          <w:szCs w:val="20"/>
        </w:rPr>
      </w:pPr>
      <w:r w:rsidRPr="00B76C6B">
        <w:rPr>
          <w:rFonts w:ascii="Times New Roman" w:hAnsi="Times New Roman" w:cs="Times New Roman"/>
          <w:color w:val="auto"/>
          <w:sz w:val="20"/>
          <w:szCs w:val="20"/>
        </w:rPr>
        <w:t xml:space="preserve">Non-normality </w:t>
      </w:r>
    </w:p>
    <w:p w14:paraId="6E3789E9" w14:textId="77777777" w:rsidR="00A22B3F" w:rsidRPr="00A22B3F" w:rsidRDefault="00A22B3F" w:rsidP="00A22B3F"/>
    <w:p w14:paraId="63B290F9" w14:textId="709AC684" w:rsidR="00A736FE" w:rsidRDefault="00A736FE" w:rsidP="00A736FE">
      <w:pPr>
        <w:spacing w:line="480" w:lineRule="auto"/>
        <w:rPr>
          <w:rFonts w:ascii="Times New Roman" w:hAnsi="Times New Roman"/>
          <w:sz w:val="20"/>
          <w:szCs w:val="20"/>
        </w:rPr>
      </w:pPr>
      <w:r w:rsidRPr="00D74F1D">
        <w:rPr>
          <w:rFonts w:ascii="Times New Roman" w:hAnsi="Times New Roman"/>
          <w:sz w:val="20"/>
          <w:szCs w:val="20"/>
        </w:rPr>
        <w:t>Elsner and Paardekooper (1987) reviewed matrix non-normality and presented four main metrics, one intuitive definition (distance from the set of normal matrices) and three pragmatic implementable suggestions (Table 1).</w:t>
      </w:r>
      <w:r>
        <w:rPr>
          <w:rFonts w:ascii="Times New Roman" w:hAnsi="Times New Roman"/>
          <w:sz w:val="20"/>
          <w:szCs w:val="20"/>
        </w:rPr>
        <w:t xml:space="preserve"> </w:t>
      </w:r>
      <w:r>
        <w:rPr>
          <w:rFonts w:ascii="Times New Roman" w:hAnsi="Times New Roman"/>
          <w:sz w:val="20"/>
          <w:szCs w:val="20"/>
        </w:rPr>
        <w:lastRenderedPageBreak/>
        <w:t>All three m</w:t>
      </w:r>
      <w:r w:rsidRPr="007B09CA">
        <w:rPr>
          <w:rFonts w:ascii="Times New Roman" w:hAnsi="Times New Roman"/>
          <w:sz w:val="20"/>
          <w:szCs w:val="20"/>
        </w:rPr>
        <w:t xml:space="preserve">etrics have their foundations in </w:t>
      </w:r>
      <w:r w:rsidRPr="007B09CA">
        <w:rPr>
          <w:rFonts w:ascii="Times New Roman" w:hAnsi="Times New Roman"/>
          <w:b/>
          <w:sz w:val="20"/>
          <w:szCs w:val="20"/>
        </w:rPr>
        <w:t>AA</w:t>
      </w:r>
      <w:r w:rsidRPr="007B09CA">
        <w:rPr>
          <w:rFonts w:ascii="Times New Roman" w:hAnsi="Times New Roman"/>
          <w:sz w:val="20"/>
          <w:szCs w:val="20"/>
        </w:rPr>
        <w:t xml:space="preserve">* rather than just </w:t>
      </w:r>
      <w:r w:rsidRPr="007B09CA">
        <w:rPr>
          <w:rFonts w:ascii="Times New Roman" w:hAnsi="Times New Roman"/>
          <w:b/>
          <w:sz w:val="20"/>
          <w:szCs w:val="20"/>
        </w:rPr>
        <w:t>A</w:t>
      </w:r>
      <w:r w:rsidRPr="007B09CA">
        <w:rPr>
          <w:rFonts w:ascii="Times New Roman" w:hAnsi="Times New Roman"/>
          <w:sz w:val="20"/>
          <w:szCs w:val="20"/>
        </w:rPr>
        <w:t xml:space="preserve">, and tackle the discrepancy between </w:t>
      </w:r>
      <w:r w:rsidRPr="007B09CA">
        <w:rPr>
          <w:rFonts w:ascii="Times New Roman" w:hAnsi="Times New Roman"/>
          <w:b/>
          <w:sz w:val="20"/>
          <w:szCs w:val="20"/>
        </w:rPr>
        <w:t>AA</w:t>
      </w:r>
      <w:r w:rsidRPr="007B09CA">
        <w:rPr>
          <w:rFonts w:ascii="Times New Roman" w:hAnsi="Times New Roman"/>
          <w:sz w:val="20"/>
          <w:szCs w:val="20"/>
        </w:rPr>
        <w:t xml:space="preserve">* and </w:t>
      </w:r>
      <w:r w:rsidRPr="007B09CA">
        <w:rPr>
          <w:rFonts w:ascii="Times New Roman" w:hAnsi="Times New Roman"/>
          <w:b/>
          <w:sz w:val="20"/>
          <w:szCs w:val="20"/>
        </w:rPr>
        <w:t>A</w:t>
      </w:r>
      <w:r w:rsidRPr="007B09CA">
        <w:rPr>
          <w:rFonts w:ascii="Times New Roman" w:hAnsi="Times New Roman"/>
          <w:sz w:val="20"/>
          <w:szCs w:val="20"/>
        </w:rPr>
        <w:t>*</w:t>
      </w:r>
      <w:r w:rsidRPr="007B09CA">
        <w:rPr>
          <w:rFonts w:ascii="Times New Roman" w:hAnsi="Times New Roman"/>
          <w:b/>
          <w:sz w:val="20"/>
          <w:szCs w:val="20"/>
        </w:rPr>
        <w:t>A</w:t>
      </w:r>
      <w:r w:rsidRPr="007B09CA">
        <w:rPr>
          <w:rFonts w:ascii="Times New Roman" w:hAnsi="Times New Roman"/>
          <w:sz w:val="20"/>
          <w:szCs w:val="20"/>
        </w:rPr>
        <w:t xml:space="preserve"> to reveal the asymmetry of </w:t>
      </w:r>
      <w:r w:rsidRPr="007B09CA">
        <w:rPr>
          <w:rFonts w:ascii="Times New Roman" w:hAnsi="Times New Roman"/>
          <w:b/>
          <w:sz w:val="20"/>
          <w:szCs w:val="20"/>
        </w:rPr>
        <w:t>A</w:t>
      </w:r>
      <w:r w:rsidRPr="007B09CA">
        <w:rPr>
          <w:rFonts w:ascii="Times New Roman" w:hAnsi="Times New Roman"/>
          <w:sz w:val="20"/>
          <w:szCs w:val="20"/>
        </w:rPr>
        <w:t xml:space="preserve">. The Henrici metric uses the Frobenius norm of </w:t>
      </w:r>
      <w:r w:rsidR="008B1BBC" w:rsidRPr="007B09CA">
        <w:rPr>
          <w:rFonts w:ascii="Times New Roman" w:hAnsi="Times New Roman"/>
          <w:b/>
          <w:sz w:val="20"/>
          <w:szCs w:val="20"/>
        </w:rPr>
        <w:t>A</w:t>
      </w:r>
      <w:r w:rsidR="008B1BBC" w:rsidRPr="007B09CA">
        <w:rPr>
          <w:rFonts w:ascii="Times New Roman" w:hAnsi="Times New Roman"/>
          <w:sz w:val="20"/>
          <w:szCs w:val="20"/>
        </w:rPr>
        <w:t>*</w:t>
      </w:r>
      <w:r w:rsidR="008B1BBC" w:rsidRPr="007B09CA">
        <w:rPr>
          <w:rFonts w:ascii="Times New Roman" w:hAnsi="Times New Roman"/>
          <w:b/>
          <w:sz w:val="20"/>
          <w:szCs w:val="20"/>
        </w:rPr>
        <w:t>A</w:t>
      </w:r>
      <w:r w:rsidRPr="007B09CA">
        <w:rPr>
          <w:rFonts w:ascii="Times New Roman" w:hAnsi="Times New Roman"/>
          <w:sz w:val="20"/>
          <w:szCs w:val="20"/>
        </w:rPr>
        <w:t xml:space="preserve">, while the Frobenius and Ruhe metrics use the eigendata of </w:t>
      </w:r>
      <w:r w:rsidR="008B1BBC" w:rsidRPr="007B09CA">
        <w:rPr>
          <w:rFonts w:ascii="Times New Roman" w:hAnsi="Times New Roman"/>
          <w:b/>
          <w:sz w:val="20"/>
          <w:szCs w:val="20"/>
        </w:rPr>
        <w:t>A</w:t>
      </w:r>
      <w:r w:rsidR="008B1BBC" w:rsidRPr="007B09CA">
        <w:rPr>
          <w:rFonts w:ascii="Times New Roman" w:hAnsi="Times New Roman"/>
          <w:sz w:val="20"/>
          <w:szCs w:val="20"/>
        </w:rPr>
        <w:t>*</w:t>
      </w:r>
      <w:r w:rsidR="008B1BBC" w:rsidRPr="007B09CA">
        <w:rPr>
          <w:rFonts w:ascii="Times New Roman" w:hAnsi="Times New Roman"/>
          <w:b/>
          <w:sz w:val="20"/>
          <w:szCs w:val="20"/>
        </w:rPr>
        <w:t>A</w:t>
      </w:r>
      <w:r w:rsidRPr="007B09CA">
        <w:rPr>
          <w:rFonts w:ascii="Times New Roman" w:hAnsi="Times New Roman"/>
          <w:sz w:val="20"/>
          <w:szCs w:val="20"/>
        </w:rPr>
        <w:t xml:space="preserve">, also known as the singular value decomposition of </w:t>
      </w:r>
      <w:r w:rsidRPr="007B09CA">
        <w:rPr>
          <w:rFonts w:ascii="Times New Roman" w:hAnsi="Times New Roman"/>
          <w:b/>
          <w:sz w:val="20"/>
          <w:szCs w:val="20"/>
        </w:rPr>
        <w:t>A</w:t>
      </w:r>
      <w:r w:rsidRPr="007B09CA">
        <w:rPr>
          <w:rFonts w:ascii="Times New Roman" w:hAnsi="Times New Roman"/>
          <w:sz w:val="20"/>
          <w:szCs w:val="20"/>
        </w:rPr>
        <w:t xml:space="preserve"> as has previously introduced to evolutionary</w:t>
      </w:r>
      <w:r w:rsidR="001C7AA1" w:rsidRPr="007B09CA">
        <w:rPr>
          <w:rFonts w:ascii="Times New Roman" w:hAnsi="Times New Roman"/>
          <w:sz w:val="20"/>
          <w:szCs w:val="20"/>
        </w:rPr>
        <w:t xml:space="preserve"> biology (Townley and Ezard 2013</w:t>
      </w:r>
      <w:r w:rsidRPr="007B09CA">
        <w:rPr>
          <w:rFonts w:ascii="Times New Roman" w:hAnsi="Times New Roman"/>
          <w:sz w:val="20"/>
          <w:szCs w:val="20"/>
        </w:rPr>
        <w:t xml:space="preserve">). The singular value decomposition is the eigendecomposition of </w:t>
      </w:r>
      <w:r w:rsidRPr="007B09CA">
        <w:rPr>
          <w:rFonts w:ascii="Times New Roman" w:hAnsi="Times New Roman"/>
          <w:b/>
          <w:sz w:val="20"/>
          <w:szCs w:val="20"/>
        </w:rPr>
        <w:t>AA</w:t>
      </w:r>
      <w:r w:rsidRPr="007B09CA">
        <w:rPr>
          <w:rFonts w:ascii="Times New Roman" w:hAnsi="Times New Roman"/>
          <w:sz w:val="20"/>
          <w:szCs w:val="20"/>
        </w:rPr>
        <w:t xml:space="preserve">*, yielding an alternative set of basis values and vectors. If </w:t>
      </w:r>
      <w:r w:rsidRPr="007B09CA">
        <w:rPr>
          <w:rFonts w:ascii="Times New Roman" w:hAnsi="Times New Roman"/>
          <w:b/>
          <w:sz w:val="20"/>
          <w:szCs w:val="20"/>
        </w:rPr>
        <w:t>A</w:t>
      </w:r>
      <w:r w:rsidRPr="007B09CA">
        <w:rPr>
          <w:rFonts w:ascii="Times New Roman" w:hAnsi="Times New Roman"/>
          <w:sz w:val="20"/>
          <w:szCs w:val="20"/>
        </w:rPr>
        <w:t xml:space="preserve"> is symmetric and normal, the singular value and eigen- decompositions are the same. With increasing asymmetry of the PPM, the singular value and eigen- decompositions diverge.</w:t>
      </w:r>
      <w:r>
        <w:rPr>
          <w:rFonts w:ascii="Times New Roman" w:hAnsi="Times New Roman"/>
          <w:sz w:val="20"/>
          <w:szCs w:val="20"/>
        </w:rPr>
        <w:t xml:space="preserve"> </w:t>
      </w:r>
    </w:p>
    <w:p w14:paraId="54709EDC" w14:textId="77777777" w:rsidR="00A736FE" w:rsidRDefault="00A736FE" w:rsidP="00A736FE">
      <w:pPr>
        <w:spacing w:line="480" w:lineRule="auto"/>
        <w:ind w:firstLine="720"/>
        <w:rPr>
          <w:rFonts w:ascii="Times New Roman" w:hAnsi="Times New Roman"/>
          <w:sz w:val="20"/>
          <w:szCs w:val="20"/>
        </w:rPr>
      </w:pPr>
      <w:r w:rsidRPr="00D74F1D">
        <w:rPr>
          <w:rFonts w:ascii="Times New Roman" w:hAnsi="Times New Roman"/>
          <w:sz w:val="20"/>
          <w:szCs w:val="20"/>
        </w:rPr>
        <w:t xml:space="preserve">In order to isolate transient effects from the overall system, we present </w:t>
      </w:r>
      <w:r>
        <w:rPr>
          <w:rFonts w:ascii="Times New Roman" w:hAnsi="Times New Roman"/>
          <w:sz w:val="20"/>
          <w:szCs w:val="20"/>
        </w:rPr>
        <w:t xml:space="preserve">the </w:t>
      </w:r>
      <w:r w:rsidRPr="00D74F1D">
        <w:rPr>
          <w:rFonts w:ascii="Times New Roman" w:hAnsi="Times New Roman"/>
          <w:sz w:val="20"/>
          <w:szCs w:val="20"/>
        </w:rPr>
        <w:t>results</w:t>
      </w:r>
      <w:r>
        <w:rPr>
          <w:rFonts w:ascii="Times New Roman" w:hAnsi="Times New Roman"/>
          <w:sz w:val="20"/>
          <w:szCs w:val="20"/>
        </w:rPr>
        <w:t xml:space="preserve"> obtained by</w:t>
      </w:r>
      <w:r w:rsidRPr="00D74F1D">
        <w:rPr>
          <w:rFonts w:ascii="Times New Roman" w:hAnsi="Times New Roman"/>
          <w:sz w:val="20"/>
          <w:szCs w:val="20"/>
        </w:rPr>
        <w:t xml:space="preserve"> using standardised (</w:t>
      </w:r>
      <w:r w:rsidRPr="00D74F1D">
        <w:rPr>
          <w:rFonts w:ascii="Times New Roman" w:hAnsi="Times New Roman"/>
          <w:b/>
          <w:sz w:val="20"/>
          <w:szCs w:val="20"/>
        </w:rPr>
        <w:t>Â</w:t>
      </w:r>
      <w:r w:rsidRPr="00D74F1D">
        <w:rPr>
          <w:rFonts w:ascii="Times New Roman" w:hAnsi="Times New Roman"/>
          <w:sz w:val="20"/>
          <w:szCs w:val="20"/>
        </w:rPr>
        <w:t>) matrices in addition to raw</w:t>
      </w:r>
      <w:r>
        <w:rPr>
          <w:rFonts w:ascii="Times New Roman" w:hAnsi="Times New Roman"/>
          <w:sz w:val="20"/>
          <w:szCs w:val="20"/>
        </w:rPr>
        <w:t xml:space="preserve"> ones</w:t>
      </w:r>
      <w:r w:rsidRPr="00D74F1D">
        <w:rPr>
          <w:rFonts w:ascii="Times New Roman" w:hAnsi="Times New Roman"/>
          <w:sz w:val="20"/>
          <w:szCs w:val="20"/>
        </w:rPr>
        <w:t xml:space="preserve"> (</w:t>
      </w:r>
      <w:r w:rsidRPr="00D74F1D">
        <w:rPr>
          <w:rFonts w:ascii="Times New Roman" w:hAnsi="Times New Roman"/>
          <w:b/>
          <w:sz w:val="20"/>
          <w:szCs w:val="20"/>
        </w:rPr>
        <w:t>A</w:t>
      </w:r>
      <w:r w:rsidRPr="00D74F1D">
        <w:rPr>
          <w:rFonts w:ascii="Times New Roman" w:hAnsi="Times New Roman"/>
          <w:sz w:val="20"/>
          <w:szCs w:val="20"/>
        </w:rPr>
        <w:t>)</w:t>
      </w:r>
      <w:r>
        <w:rPr>
          <w:rFonts w:ascii="Times New Roman" w:hAnsi="Times New Roman"/>
          <w:sz w:val="20"/>
          <w:szCs w:val="20"/>
        </w:rPr>
        <w:t>;</w:t>
      </w:r>
      <w:r w:rsidRPr="00D74F1D">
        <w:rPr>
          <w:rFonts w:ascii="Times New Roman" w:hAnsi="Times New Roman"/>
          <w:sz w:val="20"/>
          <w:szCs w:val="20"/>
        </w:rPr>
        <w:t xml:space="preserve"> scaling </w:t>
      </w:r>
      <w:r>
        <w:rPr>
          <w:rFonts w:ascii="Times New Roman" w:hAnsi="Times New Roman"/>
          <w:sz w:val="20"/>
          <w:szCs w:val="20"/>
        </w:rPr>
        <w:t>by</w:t>
      </w:r>
      <w:r w:rsidRPr="00D74F1D">
        <w:rPr>
          <w:rFonts w:ascii="Times New Roman" w:hAnsi="Times New Roman"/>
          <w:sz w:val="20"/>
          <w:szCs w:val="20"/>
        </w:rPr>
        <w:t xml:space="preserve"> </w:t>
      </w:r>
      <w:r w:rsidRPr="00B76C6B">
        <w:rPr>
          <w:rFonts w:ascii="Times New Roman" w:hAnsi="Times New Roman"/>
          <w:i/>
          <w:sz w:val="20"/>
          <w:szCs w:val="20"/>
        </w:rPr>
        <w:t>λ</w:t>
      </w:r>
      <w:r w:rsidRPr="00D74F1D">
        <w:rPr>
          <w:rFonts w:ascii="Times New Roman" w:hAnsi="Times New Roman"/>
          <w:sz w:val="20"/>
          <w:szCs w:val="20"/>
          <w:vertAlign w:val="subscript"/>
        </w:rPr>
        <w:t>1</w:t>
      </w:r>
      <w:r w:rsidRPr="00D74F1D">
        <w:rPr>
          <w:rFonts w:ascii="Times New Roman" w:hAnsi="Times New Roman"/>
          <w:sz w:val="20"/>
          <w:szCs w:val="20"/>
        </w:rPr>
        <w:t xml:space="preserve"> remov</w:t>
      </w:r>
      <w:r>
        <w:rPr>
          <w:rFonts w:ascii="Times New Roman" w:hAnsi="Times New Roman"/>
          <w:sz w:val="20"/>
          <w:szCs w:val="20"/>
        </w:rPr>
        <w:t>es differences in dynamics that result from</w:t>
      </w:r>
      <w:r w:rsidRPr="00D74F1D">
        <w:rPr>
          <w:rFonts w:ascii="Times New Roman" w:hAnsi="Times New Roman"/>
          <w:sz w:val="20"/>
          <w:szCs w:val="20"/>
        </w:rPr>
        <w:t xml:space="preserve"> populations increasing or decreasing </w:t>
      </w:r>
      <w:r w:rsidRPr="00715EA8">
        <w:rPr>
          <w:rFonts w:ascii="Times New Roman" w:hAnsi="Times New Roman"/>
          <w:sz w:val="20"/>
          <w:szCs w:val="20"/>
        </w:rPr>
        <w:t>(Koons et al. 2005</w:t>
      </w:r>
      <w:r>
        <w:rPr>
          <w:rFonts w:ascii="Times New Roman" w:hAnsi="Times New Roman"/>
          <w:sz w:val="20"/>
          <w:szCs w:val="20"/>
        </w:rPr>
        <w:t>; Townley and Hodgson 2008; Stott et al. 2011</w:t>
      </w:r>
      <w:r w:rsidRPr="00715EA8">
        <w:rPr>
          <w:rFonts w:ascii="Times New Roman" w:hAnsi="Times New Roman"/>
          <w:sz w:val="20"/>
          <w:szCs w:val="20"/>
        </w:rPr>
        <w:t>)</w:t>
      </w:r>
      <w:r w:rsidRPr="00D74F1D">
        <w:rPr>
          <w:rFonts w:ascii="Times New Roman" w:hAnsi="Times New Roman"/>
          <w:sz w:val="20"/>
          <w:szCs w:val="20"/>
        </w:rPr>
        <w:t xml:space="preserve">. </w:t>
      </w:r>
      <w:r>
        <w:rPr>
          <w:rFonts w:ascii="Times New Roman" w:hAnsi="Times New Roman"/>
          <w:sz w:val="20"/>
          <w:szCs w:val="20"/>
        </w:rPr>
        <w:t>While Elsner and Paardekooper (1987)</w:t>
      </w:r>
      <w:r w:rsidRPr="00BD71ED">
        <w:rPr>
          <w:rFonts w:ascii="Times New Roman" w:hAnsi="Times New Roman"/>
          <w:sz w:val="20"/>
          <w:szCs w:val="20"/>
        </w:rPr>
        <w:t xml:space="preserve"> </w:t>
      </w:r>
      <w:r>
        <w:rPr>
          <w:rFonts w:ascii="Times New Roman" w:hAnsi="Times New Roman"/>
          <w:sz w:val="20"/>
          <w:szCs w:val="20"/>
        </w:rPr>
        <w:t xml:space="preserve">additionally </w:t>
      </w:r>
      <w:r w:rsidRPr="00BD71ED">
        <w:rPr>
          <w:rFonts w:ascii="Times New Roman" w:hAnsi="Times New Roman"/>
          <w:sz w:val="20"/>
          <w:szCs w:val="20"/>
        </w:rPr>
        <w:t>present alternative versions of the Fro</w:t>
      </w:r>
      <w:r>
        <w:rPr>
          <w:rFonts w:ascii="Times New Roman" w:hAnsi="Times New Roman"/>
          <w:sz w:val="20"/>
          <w:szCs w:val="20"/>
        </w:rPr>
        <w:t>benius and Henrici</w:t>
      </w:r>
      <w:r w:rsidRPr="00BD71ED">
        <w:rPr>
          <w:rFonts w:ascii="Times New Roman" w:hAnsi="Times New Roman"/>
          <w:sz w:val="20"/>
          <w:szCs w:val="20"/>
        </w:rPr>
        <w:t xml:space="preserve"> metrics using the spectral rather than Frobenius norm, we chose to limit our analyses to the Frobenius norm only, since it simplifies the interpretation of </w:t>
      </w:r>
      <w:r>
        <w:rPr>
          <w:rFonts w:ascii="Times New Roman" w:hAnsi="Times New Roman"/>
          <w:sz w:val="20"/>
          <w:szCs w:val="20"/>
        </w:rPr>
        <w:t>the Henrici metric</w:t>
      </w:r>
      <w:r w:rsidRPr="00BD71ED">
        <w:rPr>
          <w:rFonts w:ascii="Times New Roman" w:hAnsi="Times New Roman"/>
          <w:sz w:val="20"/>
          <w:szCs w:val="20"/>
        </w:rPr>
        <w:t xml:space="preserve"> (see Trefethen and Embree 2005, pp 444-445</w:t>
      </w:r>
      <w:r>
        <w:rPr>
          <w:rFonts w:ascii="Times New Roman" w:hAnsi="Times New Roman"/>
          <w:sz w:val="20"/>
          <w:szCs w:val="20"/>
        </w:rPr>
        <w:t>; Table 1</w:t>
      </w:r>
      <w:r w:rsidRPr="00BD71ED">
        <w:rPr>
          <w:rFonts w:ascii="Times New Roman" w:hAnsi="Times New Roman"/>
          <w:sz w:val="20"/>
          <w:szCs w:val="20"/>
        </w:rPr>
        <w:t>).</w:t>
      </w:r>
      <w:r>
        <w:rPr>
          <w:rFonts w:ascii="Times New Roman" w:hAnsi="Times New Roman"/>
        </w:rPr>
        <w:t xml:space="preserve"> </w:t>
      </w:r>
      <w:r w:rsidRPr="00D74F1D">
        <w:rPr>
          <w:rFonts w:ascii="Times New Roman" w:hAnsi="Times New Roman"/>
          <w:sz w:val="20"/>
          <w:szCs w:val="20"/>
        </w:rPr>
        <w:t xml:space="preserve">To </w:t>
      </w:r>
      <w:r>
        <w:rPr>
          <w:rFonts w:ascii="Times New Roman" w:hAnsi="Times New Roman"/>
          <w:sz w:val="20"/>
          <w:szCs w:val="20"/>
        </w:rPr>
        <w:t xml:space="preserve">visualise </w:t>
      </w:r>
      <w:r w:rsidRPr="00D74F1D">
        <w:rPr>
          <w:rFonts w:ascii="Times New Roman" w:hAnsi="Times New Roman"/>
          <w:sz w:val="20"/>
          <w:szCs w:val="20"/>
        </w:rPr>
        <w:t>non-normality over time, we generated generalised additive mixed models (GAMMs) with y</w:t>
      </w:r>
      <w:r>
        <w:rPr>
          <w:rFonts w:ascii="Times New Roman" w:hAnsi="Times New Roman"/>
          <w:sz w:val="20"/>
          <w:szCs w:val="20"/>
        </w:rPr>
        <w:t xml:space="preserve">ear </w:t>
      </w:r>
      <w:r w:rsidRPr="00D74F1D">
        <w:rPr>
          <w:rFonts w:ascii="Times New Roman" w:hAnsi="Times New Roman"/>
          <w:sz w:val="20"/>
          <w:szCs w:val="20"/>
        </w:rPr>
        <w:t>as a smoothed fixed effect,</w:t>
      </w:r>
      <w:r>
        <w:rPr>
          <w:rFonts w:ascii="Times New Roman" w:hAnsi="Times New Roman"/>
          <w:sz w:val="20"/>
          <w:szCs w:val="20"/>
        </w:rPr>
        <w:t xml:space="preserve"> </w:t>
      </w:r>
      <w:r w:rsidRPr="00D74F1D">
        <w:rPr>
          <w:rFonts w:ascii="Times New Roman" w:hAnsi="Times New Roman"/>
          <w:sz w:val="20"/>
          <w:szCs w:val="20"/>
        </w:rPr>
        <w:t>controlling for country as a random effect. We used the ‘gamm4’ package (Wood and Scheipl 2016), fitted with family ‘Gamma’ and the ‘identity’ link function.</w:t>
      </w:r>
    </w:p>
    <w:p w14:paraId="7F8B482B" w14:textId="77777777" w:rsidR="00A736FE" w:rsidRDefault="00A736FE" w:rsidP="00A736FE">
      <w:pPr>
        <w:spacing w:line="480" w:lineRule="auto"/>
        <w:ind w:firstLine="720"/>
        <w:rPr>
          <w:rFonts w:ascii="Times New Roman" w:hAnsi="Times New Roman"/>
          <w:sz w:val="20"/>
          <w:szCs w:val="20"/>
        </w:rPr>
      </w:pPr>
    </w:p>
    <w:p w14:paraId="1D5C8931" w14:textId="77777777" w:rsidR="00A736FE" w:rsidRPr="00B76C6B" w:rsidRDefault="00A736FE" w:rsidP="00A736FE">
      <w:pPr>
        <w:pStyle w:val="Heading3"/>
        <w:spacing w:line="480" w:lineRule="auto"/>
        <w:rPr>
          <w:rFonts w:ascii="Times New Roman" w:hAnsi="Times New Roman" w:cs="Times New Roman"/>
          <w:color w:val="auto"/>
          <w:sz w:val="20"/>
          <w:szCs w:val="20"/>
        </w:rPr>
      </w:pPr>
      <w:r w:rsidRPr="00B76C6B">
        <w:rPr>
          <w:rFonts w:ascii="Times New Roman" w:hAnsi="Times New Roman" w:cs="Times New Roman"/>
          <w:color w:val="auto"/>
          <w:sz w:val="20"/>
          <w:szCs w:val="20"/>
        </w:rPr>
        <w:t>Multivariate analyses</w:t>
      </w:r>
    </w:p>
    <w:p w14:paraId="0207E21D" w14:textId="77777777" w:rsidR="00A22B3F" w:rsidRPr="00A22B3F" w:rsidRDefault="00A22B3F" w:rsidP="00A22B3F"/>
    <w:p w14:paraId="037A26B0" w14:textId="77777777" w:rsidR="006C2582" w:rsidRDefault="00A736FE" w:rsidP="006C2582">
      <w:pPr>
        <w:spacing w:line="480" w:lineRule="auto"/>
        <w:rPr>
          <w:rFonts w:ascii="Times New Roman" w:hAnsi="Times New Roman"/>
          <w:sz w:val="20"/>
          <w:szCs w:val="20"/>
        </w:rPr>
      </w:pPr>
      <w:r w:rsidRPr="00D74F1D">
        <w:rPr>
          <w:rFonts w:ascii="Times New Roman" w:hAnsi="Times New Roman"/>
          <w:sz w:val="20"/>
          <w:szCs w:val="20"/>
        </w:rPr>
        <w:t xml:space="preserve">Linear correlations were calculated using Spearman’s rank </w:t>
      </w:r>
      <w:r>
        <w:rPr>
          <w:rFonts w:ascii="Times New Roman" w:hAnsi="Times New Roman"/>
          <w:sz w:val="20"/>
          <w:szCs w:val="20"/>
        </w:rPr>
        <w:t>correlations</w:t>
      </w:r>
      <w:r w:rsidRPr="00D74F1D">
        <w:rPr>
          <w:rFonts w:ascii="Times New Roman" w:hAnsi="Times New Roman"/>
          <w:sz w:val="20"/>
          <w:szCs w:val="20"/>
        </w:rPr>
        <w:t xml:space="preserve">; those presented were </w:t>
      </w:r>
      <w:r>
        <w:rPr>
          <w:rFonts w:ascii="Times New Roman" w:hAnsi="Times New Roman"/>
          <w:sz w:val="20"/>
          <w:szCs w:val="20"/>
        </w:rPr>
        <w:t>significant with</w:t>
      </w:r>
      <w:r w:rsidRPr="00D74F1D">
        <w:rPr>
          <w:rFonts w:ascii="Times New Roman" w:hAnsi="Times New Roman"/>
          <w:sz w:val="20"/>
          <w:szCs w:val="20"/>
        </w:rPr>
        <w:t xml:space="preserve"> p</w:t>
      </w:r>
      <w:r>
        <w:rPr>
          <w:rFonts w:ascii="Times New Roman" w:hAnsi="Times New Roman"/>
          <w:sz w:val="20"/>
          <w:szCs w:val="20"/>
        </w:rPr>
        <w:t xml:space="preserve"> </w:t>
      </w:r>
      <w:r w:rsidRPr="00D74F1D">
        <w:rPr>
          <w:rFonts w:ascii="Times New Roman" w:hAnsi="Times New Roman"/>
          <w:sz w:val="20"/>
          <w:szCs w:val="20"/>
        </w:rPr>
        <w:t>&lt;</w:t>
      </w:r>
      <w:r>
        <w:rPr>
          <w:rFonts w:ascii="Times New Roman" w:hAnsi="Times New Roman"/>
          <w:sz w:val="20"/>
          <w:szCs w:val="20"/>
        </w:rPr>
        <w:t xml:space="preserve"> </w:t>
      </w:r>
      <w:r w:rsidRPr="00D74F1D">
        <w:rPr>
          <w:rFonts w:ascii="Times New Roman" w:hAnsi="Times New Roman"/>
          <w:sz w:val="20"/>
          <w:szCs w:val="20"/>
        </w:rPr>
        <w:t>0.05 and are given to 2 decimal places</w:t>
      </w:r>
      <w:r>
        <w:rPr>
          <w:rFonts w:ascii="Times New Roman" w:hAnsi="Times New Roman"/>
          <w:sz w:val="20"/>
          <w:szCs w:val="20"/>
        </w:rPr>
        <w:t>. Principal component analysis was used t</w:t>
      </w:r>
      <w:r w:rsidRPr="00D74F1D">
        <w:rPr>
          <w:rFonts w:ascii="Times New Roman" w:hAnsi="Times New Roman"/>
          <w:sz w:val="20"/>
          <w:szCs w:val="20"/>
        </w:rPr>
        <w:t>o assess relationships among metrics</w:t>
      </w:r>
      <w:r>
        <w:rPr>
          <w:rFonts w:ascii="Times New Roman" w:hAnsi="Times New Roman"/>
          <w:sz w:val="20"/>
          <w:szCs w:val="20"/>
        </w:rPr>
        <w:t>. This was conducted</w:t>
      </w:r>
      <w:r w:rsidRPr="00D74F1D">
        <w:rPr>
          <w:rFonts w:ascii="Times New Roman" w:hAnsi="Times New Roman"/>
          <w:sz w:val="20"/>
          <w:szCs w:val="20"/>
        </w:rPr>
        <w:t xml:space="preserve"> (using </w:t>
      </w:r>
      <w:r w:rsidRPr="00997AA1">
        <w:rPr>
          <w:rFonts w:ascii="Times New Roman" w:hAnsi="Times New Roman"/>
          <w:sz w:val="20"/>
          <w:szCs w:val="20"/>
        </w:rPr>
        <w:t>base R’s prcomp() function</w:t>
      </w:r>
      <w:r>
        <w:rPr>
          <w:rFonts w:ascii="Times New Roman" w:hAnsi="Times New Roman"/>
          <w:sz w:val="20"/>
          <w:szCs w:val="20"/>
        </w:rPr>
        <w:t>)</w:t>
      </w:r>
      <w:r w:rsidRPr="00D74F1D">
        <w:rPr>
          <w:rFonts w:ascii="Times New Roman" w:hAnsi="Times New Roman"/>
          <w:sz w:val="20"/>
          <w:szCs w:val="20"/>
        </w:rPr>
        <w:t xml:space="preserve"> for both </w:t>
      </w:r>
      <w:r>
        <w:rPr>
          <w:rFonts w:ascii="Times New Roman" w:hAnsi="Times New Roman"/>
          <w:sz w:val="20"/>
          <w:szCs w:val="20"/>
        </w:rPr>
        <w:t>raw and standardised</w:t>
      </w:r>
      <w:r w:rsidRPr="00D74F1D">
        <w:rPr>
          <w:rFonts w:ascii="Times New Roman" w:hAnsi="Times New Roman"/>
          <w:sz w:val="20"/>
          <w:szCs w:val="20"/>
        </w:rPr>
        <w:t xml:space="preserve"> matrices</w:t>
      </w:r>
      <w:r>
        <w:rPr>
          <w:rFonts w:ascii="Times New Roman" w:hAnsi="Times New Roman"/>
          <w:sz w:val="20"/>
          <w:szCs w:val="20"/>
        </w:rPr>
        <w:t>, with</w:t>
      </w:r>
      <w:r w:rsidRPr="00D74F1D">
        <w:rPr>
          <w:rFonts w:ascii="Times New Roman" w:hAnsi="Times New Roman"/>
          <w:sz w:val="20"/>
          <w:szCs w:val="20"/>
        </w:rPr>
        <w:t xml:space="preserve"> </w:t>
      </w:r>
      <w:r>
        <w:rPr>
          <w:rFonts w:ascii="Times New Roman" w:hAnsi="Times New Roman"/>
          <w:sz w:val="20"/>
          <w:szCs w:val="20"/>
        </w:rPr>
        <w:t>scaled and centred non-normality metrics and</w:t>
      </w:r>
      <w:r w:rsidRPr="00D74F1D">
        <w:rPr>
          <w:rFonts w:ascii="Times New Roman" w:hAnsi="Times New Roman"/>
          <w:sz w:val="20"/>
          <w:szCs w:val="20"/>
        </w:rPr>
        <w:t xml:space="preserve"> </w:t>
      </w:r>
      <w:r>
        <w:rPr>
          <w:rFonts w:ascii="Times New Roman" w:hAnsi="Times New Roman"/>
          <w:sz w:val="20"/>
          <w:szCs w:val="20"/>
        </w:rPr>
        <w:t xml:space="preserve">a range of relevant variables (see Table 2 for justifications and definitions). </w:t>
      </w:r>
      <w:r w:rsidRPr="00D74F1D">
        <w:rPr>
          <w:rFonts w:ascii="Times New Roman" w:hAnsi="Times New Roman"/>
          <w:sz w:val="20"/>
          <w:szCs w:val="20"/>
        </w:rPr>
        <w:t>We generated biplots from the informative principal components – defined as those with eige</w:t>
      </w:r>
      <w:r>
        <w:rPr>
          <w:rFonts w:ascii="Times New Roman" w:hAnsi="Times New Roman"/>
          <w:sz w:val="20"/>
          <w:szCs w:val="20"/>
        </w:rPr>
        <w:t>nvalues exceeding 1</w:t>
      </w:r>
      <w:r w:rsidRPr="00D74F1D">
        <w:rPr>
          <w:rFonts w:ascii="Times New Roman" w:hAnsi="Times New Roman"/>
          <w:sz w:val="20"/>
          <w:szCs w:val="20"/>
        </w:rPr>
        <w:t>, after ‘conservative’</w:t>
      </w:r>
      <w:r w:rsidRPr="00A545FB">
        <w:rPr>
          <w:rFonts w:ascii="Times New Roman" w:hAnsi="Times New Roman"/>
          <w:sz w:val="20"/>
          <w:szCs w:val="20"/>
        </w:rPr>
        <w:t xml:space="preserve"> </w:t>
      </w:r>
      <w:r w:rsidRPr="00D74F1D">
        <w:rPr>
          <w:rFonts w:ascii="Times New Roman" w:hAnsi="Times New Roman"/>
          <w:sz w:val="20"/>
          <w:szCs w:val="20"/>
        </w:rPr>
        <w:t>bias correction</w:t>
      </w:r>
      <w:r w:rsidR="00407827">
        <w:rPr>
          <w:rFonts w:ascii="Times New Roman" w:hAnsi="Times New Roman"/>
          <w:sz w:val="20"/>
          <w:szCs w:val="20"/>
        </w:rPr>
        <w:t xml:space="preserve"> using the 95th </w:t>
      </w:r>
      <w:r>
        <w:rPr>
          <w:rFonts w:ascii="Times New Roman" w:hAnsi="Times New Roman"/>
          <w:sz w:val="20"/>
          <w:szCs w:val="20"/>
        </w:rPr>
        <w:t>percentile in</w:t>
      </w:r>
      <w:r w:rsidRPr="00D74F1D">
        <w:rPr>
          <w:rFonts w:ascii="Times New Roman" w:hAnsi="Times New Roman"/>
          <w:sz w:val="20"/>
          <w:szCs w:val="20"/>
        </w:rPr>
        <w:t xml:space="preserve"> parallel </w:t>
      </w:r>
      <w:r w:rsidR="00457D9A">
        <w:rPr>
          <w:rFonts w:ascii="Times New Roman" w:hAnsi="Times New Roman"/>
          <w:sz w:val="20"/>
          <w:szCs w:val="20"/>
        </w:rPr>
        <w:t>analysis (Peres-Neto et al. 2005</w:t>
      </w:r>
      <w:r w:rsidRPr="00D74F1D">
        <w:rPr>
          <w:rFonts w:ascii="Times New Roman" w:hAnsi="Times New Roman"/>
          <w:sz w:val="20"/>
          <w:szCs w:val="20"/>
        </w:rPr>
        <w:t xml:space="preserve">) using the ‘paran’ package (Dinno 2012). </w:t>
      </w:r>
      <w:r>
        <w:rPr>
          <w:rFonts w:ascii="Times New Roman" w:hAnsi="Times New Roman"/>
          <w:sz w:val="20"/>
          <w:szCs w:val="20"/>
        </w:rPr>
        <w:t>We list</w:t>
      </w:r>
      <w:r w:rsidRPr="00D74F1D">
        <w:rPr>
          <w:rFonts w:ascii="Times New Roman" w:hAnsi="Times New Roman"/>
          <w:sz w:val="20"/>
          <w:szCs w:val="20"/>
        </w:rPr>
        <w:t xml:space="preserve"> loadings </w:t>
      </w:r>
      <w:r>
        <w:rPr>
          <w:rFonts w:ascii="Times New Roman" w:hAnsi="Times New Roman"/>
          <w:sz w:val="20"/>
          <w:szCs w:val="20"/>
        </w:rPr>
        <w:t>that exceeded</w:t>
      </w:r>
      <w:r w:rsidRPr="00D74F1D">
        <w:rPr>
          <w:rFonts w:ascii="Times New Roman" w:hAnsi="Times New Roman"/>
          <w:sz w:val="20"/>
          <w:szCs w:val="20"/>
        </w:rPr>
        <w:t xml:space="preserve"> 10% of each axis, in</w:t>
      </w:r>
      <w:r>
        <w:rPr>
          <w:rFonts w:ascii="Times New Roman" w:hAnsi="Times New Roman"/>
          <w:sz w:val="20"/>
          <w:szCs w:val="20"/>
        </w:rPr>
        <w:t xml:space="preserve"> the</w:t>
      </w:r>
      <w:r w:rsidRPr="00D74F1D">
        <w:rPr>
          <w:rFonts w:ascii="Times New Roman" w:hAnsi="Times New Roman"/>
          <w:sz w:val="20"/>
          <w:szCs w:val="20"/>
        </w:rPr>
        <w:t xml:space="preserve"> </w:t>
      </w:r>
      <w:r>
        <w:rPr>
          <w:rFonts w:ascii="Times New Roman" w:hAnsi="Times New Roman"/>
          <w:sz w:val="20"/>
          <w:szCs w:val="20"/>
        </w:rPr>
        <w:t>order of decreasing importance.</w:t>
      </w:r>
      <w:r w:rsidR="006C2582">
        <w:rPr>
          <w:rFonts w:ascii="Times New Roman" w:hAnsi="Times New Roman"/>
          <w:sz w:val="20"/>
          <w:szCs w:val="20"/>
        </w:rPr>
        <w:t xml:space="preserve"> </w:t>
      </w:r>
    </w:p>
    <w:p w14:paraId="002AF19B" w14:textId="77777777" w:rsidR="006C2582" w:rsidRDefault="006C2582" w:rsidP="006C2582">
      <w:pPr>
        <w:spacing w:line="480" w:lineRule="auto"/>
        <w:rPr>
          <w:rFonts w:ascii="Times New Roman" w:hAnsi="Times New Roman"/>
          <w:sz w:val="20"/>
          <w:szCs w:val="20"/>
        </w:rPr>
      </w:pPr>
    </w:p>
    <w:p w14:paraId="0A836C3E" w14:textId="77777777" w:rsidR="00A736FE" w:rsidRDefault="00A736FE" w:rsidP="00A736FE">
      <w:pPr>
        <w:spacing w:line="480" w:lineRule="auto"/>
        <w:rPr>
          <w:rFonts w:ascii="Times New Roman" w:hAnsi="Times New Roman"/>
          <w:sz w:val="20"/>
          <w:szCs w:val="20"/>
        </w:rPr>
      </w:pPr>
      <w:r>
        <w:rPr>
          <w:rFonts w:ascii="Times New Roman" w:hAnsi="Times New Roman"/>
          <w:sz w:val="20"/>
          <w:szCs w:val="20"/>
        </w:rPr>
        <w:t>T</w:t>
      </w:r>
      <w:r w:rsidRPr="00D74F1D">
        <w:rPr>
          <w:rFonts w:ascii="Times New Roman" w:hAnsi="Times New Roman"/>
          <w:sz w:val="20"/>
          <w:szCs w:val="20"/>
        </w:rPr>
        <w:t>he statistical software ‘R’ (version 3.3.2, R Development Core Team 2016)</w:t>
      </w:r>
      <w:r>
        <w:rPr>
          <w:rFonts w:ascii="Times New Roman" w:hAnsi="Times New Roman"/>
          <w:sz w:val="20"/>
          <w:szCs w:val="20"/>
        </w:rPr>
        <w:t xml:space="preserve"> was used for all analyses and figures, along with the ‘</w:t>
      </w:r>
      <w:r w:rsidRPr="006F1CBE">
        <w:rPr>
          <w:rFonts w:ascii="Times New Roman" w:hAnsi="Times New Roman"/>
          <w:sz w:val="20"/>
          <w:szCs w:val="20"/>
        </w:rPr>
        <w:t>R</w:t>
      </w:r>
      <w:r>
        <w:rPr>
          <w:rFonts w:ascii="Times New Roman" w:hAnsi="Times New Roman"/>
          <w:sz w:val="20"/>
          <w:szCs w:val="20"/>
        </w:rPr>
        <w:t xml:space="preserve"> </w:t>
      </w:r>
      <w:r w:rsidRPr="006F1CBE">
        <w:rPr>
          <w:rFonts w:ascii="Times New Roman" w:hAnsi="Times New Roman"/>
          <w:sz w:val="20"/>
          <w:szCs w:val="20"/>
        </w:rPr>
        <w:t>ColorBrewer</w:t>
      </w:r>
      <w:r>
        <w:rPr>
          <w:rFonts w:ascii="Times New Roman" w:hAnsi="Times New Roman"/>
          <w:sz w:val="20"/>
          <w:szCs w:val="20"/>
        </w:rPr>
        <w:t>’</w:t>
      </w:r>
      <w:r w:rsidRPr="006F1CBE">
        <w:rPr>
          <w:rFonts w:ascii="Times New Roman" w:hAnsi="Times New Roman"/>
          <w:sz w:val="20"/>
          <w:szCs w:val="20"/>
        </w:rPr>
        <w:t xml:space="preserve"> </w:t>
      </w:r>
      <w:r>
        <w:rPr>
          <w:rFonts w:ascii="Times New Roman" w:hAnsi="Times New Roman"/>
          <w:sz w:val="20"/>
          <w:szCs w:val="20"/>
        </w:rPr>
        <w:t xml:space="preserve">package </w:t>
      </w:r>
      <w:r w:rsidRPr="006F1CBE">
        <w:rPr>
          <w:rFonts w:ascii="Times New Roman" w:hAnsi="Times New Roman"/>
          <w:sz w:val="20"/>
          <w:szCs w:val="20"/>
        </w:rPr>
        <w:t>(Neuwirth 2014)</w:t>
      </w:r>
      <w:r>
        <w:rPr>
          <w:rFonts w:ascii="Times New Roman" w:hAnsi="Times New Roman"/>
          <w:sz w:val="20"/>
          <w:szCs w:val="20"/>
        </w:rPr>
        <w:t xml:space="preserve"> for the latter.</w:t>
      </w:r>
    </w:p>
    <w:p w14:paraId="6EDC3FCC" w14:textId="77777777" w:rsidR="00A736FE" w:rsidRPr="00D74F1D" w:rsidRDefault="00A736FE" w:rsidP="00A736FE">
      <w:pPr>
        <w:spacing w:line="480" w:lineRule="auto"/>
        <w:rPr>
          <w:rFonts w:ascii="Times New Roman" w:hAnsi="Times New Roman"/>
          <w:sz w:val="20"/>
          <w:szCs w:val="20"/>
        </w:rPr>
      </w:pPr>
    </w:p>
    <w:p w14:paraId="12885C0C" w14:textId="77777777" w:rsidR="00A736FE" w:rsidRPr="00B76C6B" w:rsidRDefault="00B76C6B" w:rsidP="00A736FE">
      <w:pPr>
        <w:pStyle w:val="Heading2"/>
        <w:spacing w:line="480" w:lineRule="auto"/>
        <w:rPr>
          <w:rFonts w:ascii="Times New Roman" w:hAnsi="Times New Roman" w:cs="Times New Roman"/>
          <w:b/>
          <w:color w:val="auto"/>
          <w:sz w:val="20"/>
          <w:szCs w:val="20"/>
        </w:rPr>
      </w:pPr>
      <w:r w:rsidRPr="00B76C6B">
        <w:rPr>
          <w:rFonts w:ascii="Times New Roman" w:hAnsi="Times New Roman" w:cs="Times New Roman"/>
          <w:b/>
          <w:color w:val="auto"/>
          <w:sz w:val="20"/>
          <w:szCs w:val="20"/>
        </w:rPr>
        <w:lastRenderedPageBreak/>
        <w:t>Results</w:t>
      </w:r>
    </w:p>
    <w:p w14:paraId="143FE372" w14:textId="77777777" w:rsidR="00A22B3F" w:rsidRPr="00A22B3F" w:rsidRDefault="00A22B3F" w:rsidP="00A22B3F"/>
    <w:p w14:paraId="720550E5" w14:textId="77777777" w:rsidR="00A736FE" w:rsidRDefault="00A736FE" w:rsidP="00A736FE">
      <w:pPr>
        <w:spacing w:line="480" w:lineRule="auto"/>
        <w:rPr>
          <w:rFonts w:ascii="Times New Roman" w:hAnsi="Times New Roman"/>
          <w:sz w:val="20"/>
          <w:szCs w:val="20"/>
        </w:rPr>
      </w:pPr>
      <w:r w:rsidRPr="00401E9B">
        <w:rPr>
          <w:rFonts w:ascii="Times New Roman" w:hAnsi="Times New Roman"/>
          <w:sz w:val="20"/>
          <w:szCs w:val="20"/>
        </w:rPr>
        <w:t>Fig</w:t>
      </w:r>
      <w:r w:rsidR="00146F20">
        <w:rPr>
          <w:rFonts w:ascii="Times New Roman" w:hAnsi="Times New Roman"/>
          <w:sz w:val="20"/>
          <w:szCs w:val="20"/>
        </w:rPr>
        <w:t>ure</w:t>
      </w:r>
      <w:r w:rsidRPr="00401E9B">
        <w:rPr>
          <w:rFonts w:ascii="Times New Roman" w:hAnsi="Times New Roman"/>
          <w:sz w:val="20"/>
          <w:szCs w:val="20"/>
        </w:rPr>
        <w:t xml:space="preserve"> 2 shows how non</w:t>
      </w:r>
      <w:r w:rsidRPr="00FA4482">
        <w:rPr>
          <w:rFonts w:ascii="Times New Roman" w:hAnsi="Times New Roman"/>
          <w:sz w:val="20"/>
          <w:szCs w:val="20"/>
        </w:rPr>
        <w:t>-normality in European human popul</w:t>
      </w:r>
      <w:r>
        <w:rPr>
          <w:rFonts w:ascii="Times New Roman" w:hAnsi="Times New Roman"/>
          <w:sz w:val="20"/>
          <w:szCs w:val="20"/>
        </w:rPr>
        <w:t>ations has increased over time. The top row illustrates non-normality of the whole system: raw matrices describe both asymptotic and transient dynamics. In that context: the Frobenius metric changed little over the time period; the Henrici metric increased up to a plateau beginning around 1990 (with low ou</w:t>
      </w:r>
      <w:r w:rsidR="00FF0ED7">
        <w:rPr>
          <w:rFonts w:ascii="Times New Roman" w:hAnsi="Times New Roman"/>
          <w:sz w:val="20"/>
          <w:szCs w:val="20"/>
        </w:rPr>
        <w:t>tliers including Portugal 1960–</w:t>
      </w:r>
      <w:r>
        <w:rPr>
          <w:rFonts w:ascii="Times New Roman" w:hAnsi="Times New Roman"/>
          <w:sz w:val="20"/>
          <w:szCs w:val="20"/>
        </w:rPr>
        <w:t>75, enlarged on the figure and examined below); the Ruhe metric showed an almost flat relationship.</w:t>
      </w:r>
    </w:p>
    <w:p w14:paraId="50FD6224" w14:textId="77777777" w:rsidR="00A736FE" w:rsidRPr="007B09CA" w:rsidRDefault="00A736FE" w:rsidP="00A736FE">
      <w:pPr>
        <w:spacing w:line="480" w:lineRule="auto"/>
        <w:ind w:firstLine="567"/>
        <w:rPr>
          <w:rFonts w:ascii="Times New Roman" w:hAnsi="Times New Roman"/>
          <w:sz w:val="20"/>
          <w:szCs w:val="20"/>
        </w:rPr>
      </w:pPr>
      <w:r>
        <w:rPr>
          <w:rFonts w:ascii="Times New Roman" w:hAnsi="Times New Roman"/>
          <w:sz w:val="20"/>
          <w:szCs w:val="20"/>
        </w:rPr>
        <w:t xml:space="preserve">Scaling focuses on transient effects by factoring out the effect of </w:t>
      </w:r>
      <w:r w:rsidRPr="00EF4F6B">
        <w:rPr>
          <w:rFonts w:ascii="Times New Roman" w:hAnsi="Times New Roman"/>
          <w:i/>
          <w:sz w:val="20"/>
          <w:szCs w:val="20"/>
        </w:rPr>
        <w:t>λ</w:t>
      </w:r>
      <w:r>
        <w:rPr>
          <w:rFonts w:ascii="Times New Roman" w:hAnsi="Times New Roman"/>
          <w:sz w:val="20"/>
          <w:szCs w:val="20"/>
          <w:vertAlign w:val="subscript"/>
        </w:rPr>
        <w:t xml:space="preserve">1. </w:t>
      </w:r>
      <w:r>
        <w:rPr>
          <w:rFonts w:ascii="Times New Roman" w:hAnsi="Times New Roman"/>
          <w:sz w:val="20"/>
          <w:szCs w:val="20"/>
        </w:rPr>
        <w:t xml:space="preserve">This increased the mean value of all non-normality metrics, by almost 4% each. Comparing the bottom and top rows of Fig. 2 shows that the shape of the estimated GAMM curves also changed, in terms of intercept, slope, and variance patterns. This can be coarsely explained by a systematic change in </w:t>
      </w:r>
      <w:r w:rsidRPr="00EF4F6B">
        <w:rPr>
          <w:rFonts w:ascii="Times New Roman" w:hAnsi="Times New Roman"/>
          <w:i/>
          <w:sz w:val="20"/>
          <w:szCs w:val="20"/>
        </w:rPr>
        <w:t>λ</w:t>
      </w:r>
      <w:r w:rsidRPr="00717C7C">
        <w:rPr>
          <w:rFonts w:ascii="Times New Roman" w:hAnsi="Times New Roman"/>
          <w:sz w:val="20"/>
          <w:szCs w:val="20"/>
          <w:vertAlign w:val="subscript"/>
        </w:rPr>
        <w:t>1</w:t>
      </w:r>
      <w:r w:rsidRPr="00717C7C">
        <w:rPr>
          <w:rFonts w:ascii="Times New Roman" w:hAnsi="Times New Roman"/>
          <w:sz w:val="20"/>
          <w:szCs w:val="20"/>
        </w:rPr>
        <w:t>: the annual mean dropped below one in 1975 and remained so for the rest of the time period (see Fig.</w:t>
      </w:r>
      <w:r w:rsidR="00C26F72">
        <w:rPr>
          <w:rFonts w:ascii="Times New Roman" w:hAnsi="Times New Roman"/>
          <w:sz w:val="20"/>
          <w:szCs w:val="20"/>
        </w:rPr>
        <w:t xml:space="preserve"> 3a). The Frobenius m</w:t>
      </w:r>
      <w:r w:rsidR="00C26F72" w:rsidRPr="007B09CA">
        <w:rPr>
          <w:rFonts w:ascii="Times New Roman" w:hAnsi="Times New Roman"/>
          <w:sz w:val="20"/>
          <w:szCs w:val="20"/>
        </w:rPr>
        <w:t>etric (Fig</w:t>
      </w:r>
      <w:r w:rsidRPr="007B09CA">
        <w:rPr>
          <w:rFonts w:ascii="Times New Roman" w:hAnsi="Times New Roman"/>
          <w:sz w:val="20"/>
          <w:szCs w:val="20"/>
        </w:rPr>
        <w:t>s</w:t>
      </w:r>
      <w:r w:rsidR="00C26F72" w:rsidRPr="007B09CA">
        <w:rPr>
          <w:rFonts w:ascii="Times New Roman" w:hAnsi="Times New Roman"/>
          <w:sz w:val="20"/>
          <w:szCs w:val="20"/>
        </w:rPr>
        <w:t>.</w:t>
      </w:r>
      <w:r w:rsidRPr="007B09CA">
        <w:rPr>
          <w:rFonts w:ascii="Times New Roman" w:hAnsi="Times New Roman"/>
          <w:sz w:val="20"/>
          <w:szCs w:val="20"/>
        </w:rPr>
        <w:t xml:space="preserve"> 2a, d) shows how higher </w:t>
      </w:r>
      <w:r w:rsidRPr="007B09CA">
        <w:rPr>
          <w:rFonts w:ascii="Times New Roman" w:hAnsi="Times New Roman"/>
          <w:i/>
          <w:sz w:val="20"/>
          <w:szCs w:val="20"/>
        </w:rPr>
        <w:t>λ</w:t>
      </w:r>
      <w:r w:rsidRPr="007B09CA">
        <w:rPr>
          <w:rFonts w:ascii="Times New Roman" w:hAnsi="Times New Roman"/>
          <w:sz w:val="20"/>
          <w:szCs w:val="20"/>
          <w:vertAlign w:val="subscript"/>
        </w:rPr>
        <w:t xml:space="preserve">1 </w:t>
      </w:r>
      <w:r w:rsidRPr="007B09CA">
        <w:rPr>
          <w:rFonts w:ascii="Times New Roman" w:hAnsi="Times New Roman"/>
          <w:sz w:val="20"/>
          <w:szCs w:val="20"/>
        </w:rPr>
        <w:t xml:space="preserve">values before 1975 were pushing the curve up, while lower values afterwards pulled it down. The overall effect resulted in similar increases over time across the scaled non-normality metrics (which were pairwise correlated with one another at </w:t>
      </w:r>
      <w:r w:rsidRPr="007B09CA">
        <w:rPr>
          <w:rFonts w:ascii="Times New Roman" w:hAnsi="Times New Roman"/>
          <w:i/>
          <w:sz w:val="20"/>
          <w:szCs w:val="20"/>
        </w:rPr>
        <w:t>ρ</w:t>
      </w:r>
      <w:r w:rsidRPr="007B09CA">
        <w:rPr>
          <w:rFonts w:ascii="Times New Roman" w:hAnsi="Times New Roman"/>
          <w:sz w:val="20"/>
          <w:szCs w:val="20"/>
        </w:rPr>
        <w:t xml:space="preserve"> &gt; 0.78). However, in contrast to the smooth increase in the scaled Frobenius metric, the Henrici and Ruhe metrics both show a peak around 2000 – close to that of the transient indices (see Figs</w:t>
      </w:r>
      <w:r w:rsidR="00C26F72" w:rsidRPr="007B09CA">
        <w:rPr>
          <w:rFonts w:ascii="Times New Roman" w:hAnsi="Times New Roman"/>
          <w:sz w:val="20"/>
          <w:szCs w:val="20"/>
        </w:rPr>
        <w:t>.</w:t>
      </w:r>
      <w:r w:rsidRPr="007B09CA">
        <w:rPr>
          <w:rFonts w:ascii="Times New Roman" w:hAnsi="Times New Roman"/>
          <w:sz w:val="20"/>
          <w:szCs w:val="20"/>
        </w:rPr>
        <w:t xml:space="preserve"> 3c, d) – and appear to plateau by the end of the time series.</w:t>
      </w:r>
    </w:p>
    <w:p w14:paraId="23AAF026" w14:textId="77777777" w:rsidR="00A736FE" w:rsidRPr="004C5097" w:rsidRDefault="00A736FE" w:rsidP="00A736FE">
      <w:pPr>
        <w:spacing w:line="480" w:lineRule="auto"/>
        <w:ind w:firstLine="567"/>
        <w:rPr>
          <w:rFonts w:ascii="Times New Roman" w:hAnsi="Times New Roman"/>
          <w:sz w:val="20"/>
          <w:szCs w:val="20"/>
        </w:rPr>
      </w:pPr>
      <w:r w:rsidRPr="007B09CA">
        <w:rPr>
          <w:rFonts w:ascii="Times New Roman" w:hAnsi="Times New Roman"/>
          <w:sz w:val="20"/>
          <w:szCs w:val="20"/>
        </w:rPr>
        <w:t xml:space="preserve">Even where scaling did not change the overall pattern, as with the Henrici metric, increased variance allows an improved visualisation of dynamics. Additionally, outliers tended to become less distinct, although corresponding country-years are still distinguishable as bounds on variation in top and bottom rows of Fig. 2. The </w:t>
      </w:r>
      <w:r w:rsidR="00FF0ED7" w:rsidRPr="007B09CA">
        <w:rPr>
          <w:rFonts w:ascii="Times New Roman" w:hAnsi="Times New Roman"/>
          <w:sz w:val="20"/>
          <w:szCs w:val="20"/>
        </w:rPr>
        <w:t>outlying line of Portugal 1960–</w:t>
      </w:r>
      <w:r w:rsidRPr="007B09CA">
        <w:rPr>
          <w:rFonts w:ascii="Times New Roman" w:hAnsi="Times New Roman"/>
          <w:sz w:val="20"/>
          <w:szCs w:val="20"/>
        </w:rPr>
        <w:t>75 on the plots of the Henrici metric (enlarged points in Figs</w:t>
      </w:r>
      <w:r w:rsidR="00C26F72" w:rsidRPr="007B09CA">
        <w:rPr>
          <w:rFonts w:ascii="Times New Roman" w:hAnsi="Times New Roman"/>
          <w:sz w:val="20"/>
          <w:szCs w:val="20"/>
        </w:rPr>
        <w:t>.</w:t>
      </w:r>
      <w:r w:rsidRPr="007B09CA">
        <w:rPr>
          <w:rFonts w:ascii="Times New Roman" w:hAnsi="Times New Roman"/>
          <w:sz w:val="20"/>
          <w:szCs w:val="20"/>
        </w:rPr>
        <w:t xml:space="preserve"> 2b, e)</w:t>
      </w:r>
      <w:r>
        <w:rPr>
          <w:rFonts w:ascii="Times New Roman" w:hAnsi="Times New Roman"/>
          <w:sz w:val="20"/>
          <w:szCs w:val="20"/>
        </w:rPr>
        <w:t xml:space="preserve"> corresponds to matrices with very</w:t>
      </w:r>
      <w:r w:rsidRPr="00334AA7">
        <w:rPr>
          <w:rFonts w:ascii="Times New Roman" w:hAnsi="Times New Roman"/>
          <w:sz w:val="20"/>
          <w:szCs w:val="20"/>
        </w:rPr>
        <w:t xml:space="preserve"> low old-age survivals and zero 85+ stasis</w:t>
      </w:r>
      <w:r>
        <w:rPr>
          <w:rFonts w:ascii="Times New Roman" w:hAnsi="Times New Roman"/>
          <w:sz w:val="20"/>
          <w:szCs w:val="20"/>
        </w:rPr>
        <w:t>.</w:t>
      </w:r>
    </w:p>
    <w:p w14:paraId="6FCB98F3" w14:textId="77777777" w:rsidR="00A736FE" w:rsidRPr="007B09CA" w:rsidRDefault="00A736FE" w:rsidP="00A736FE">
      <w:pPr>
        <w:spacing w:line="480" w:lineRule="auto"/>
        <w:ind w:firstLine="567"/>
        <w:rPr>
          <w:rFonts w:ascii="Times New Roman" w:hAnsi="Times New Roman"/>
          <w:sz w:val="20"/>
          <w:szCs w:val="20"/>
        </w:rPr>
      </w:pPr>
      <w:r w:rsidRPr="00401E9B">
        <w:rPr>
          <w:rFonts w:ascii="Times New Roman" w:hAnsi="Times New Roman"/>
          <w:sz w:val="20"/>
          <w:szCs w:val="20"/>
        </w:rPr>
        <w:t>Fig</w:t>
      </w:r>
      <w:r w:rsidR="00146F20">
        <w:rPr>
          <w:rFonts w:ascii="Times New Roman" w:hAnsi="Times New Roman"/>
          <w:sz w:val="20"/>
          <w:szCs w:val="20"/>
        </w:rPr>
        <w:t>ure</w:t>
      </w:r>
      <w:r>
        <w:rPr>
          <w:rFonts w:ascii="Times New Roman" w:hAnsi="Times New Roman"/>
          <w:sz w:val="20"/>
          <w:szCs w:val="20"/>
        </w:rPr>
        <w:t xml:space="preserve"> 3 shows that both </w:t>
      </w:r>
      <w:r w:rsidRPr="00EF4F6B">
        <w:rPr>
          <w:rFonts w:ascii="Times New Roman" w:hAnsi="Times New Roman"/>
          <w:i/>
          <w:sz w:val="20"/>
          <w:szCs w:val="20"/>
        </w:rPr>
        <w:t>λ</w:t>
      </w:r>
      <w:r>
        <w:rPr>
          <w:rFonts w:ascii="Times New Roman" w:hAnsi="Times New Roman"/>
          <w:sz w:val="20"/>
          <w:szCs w:val="20"/>
          <w:vertAlign w:val="subscript"/>
        </w:rPr>
        <w:t>1</w:t>
      </w:r>
      <w:r>
        <w:rPr>
          <w:rFonts w:ascii="Times New Roman" w:hAnsi="Times New Roman"/>
          <w:sz w:val="20"/>
          <w:szCs w:val="20"/>
        </w:rPr>
        <w:t xml:space="preserve"> and the damping ratio decreased over time. The transient indices of reactivity and inertia were strongly correlated with one anoth</w:t>
      </w:r>
      <w:r w:rsidRPr="007B09CA">
        <w:rPr>
          <w:rFonts w:ascii="Times New Roman" w:hAnsi="Times New Roman"/>
          <w:sz w:val="20"/>
          <w:szCs w:val="20"/>
        </w:rPr>
        <w:t>er (</w:t>
      </w:r>
      <w:r w:rsidRPr="007B09CA">
        <w:rPr>
          <w:rFonts w:ascii="Times New Roman" w:hAnsi="Times New Roman"/>
          <w:i/>
          <w:sz w:val="20"/>
          <w:szCs w:val="20"/>
        </w:rPr>
        <w:t>ρ</w:t>
      </w:r>
      <w:r w:rsidRPr="007B09CA">
        <w:rPr>
          <w:rFonts w:ascii="Times New Roman" w:hAnsi="Times New Roman"/>
          <w:sz w:val="20"/>
          <w:szCs w:val="20"/>
        </w:rPr>
        <w:t xml:space="preserve"> = 0.93), both peaking around 1995. Furthermore, values for both exceeded 1 for over 97% of matrices, revealing a propensity for amplifying transient growth rather than decline, with the latter being restricted to prior to 1971 for reactivity and 1991 for inertia. The transient indices were positively correlated with all scaled non-normality metrics (</w:t>
      </w:r>
      <w:r w:rsidRPr="007B09CA">
        <w:rPr>
          <w:rFonts w:ascii="Times New Roman" w:hAnsi="Times New Roman"/>
          <w:i/>
          <w:sz w:val="20"/>
          <w:szCs w:val="20"/>
        </w:rPr>
        <w:t>ρ</w:t>
      </w:r>
      <w:r w:rsidRPr="007B09CA">
        <w:rPr>
          <w:rFonts w:ascii="Times New Roman" w:hAnsi="Times New Roman"/>
          <w:sz w:val="20"/>
          <w:szCs w:val="20"/>
        </w:rPr>
        <w:t xml:space="preserve"> &gt; 0.52).</w:t>
      </w:r>
    </w:p>
    <w:p w14:paraId="70B7967D" w14:textId="77777777" w:rsidR="00A736FE" w:rsidRDefault="00A736FE" w:rsidP="00A736FE">
      <w:pPr>
        <w:spacing w:line="480" w:lineRule="auto"/>
        <w:ind w:firstLine="567"/>
        <w:rPr>
          <w:rFonts w:ascii="Times New Roman" w:hAnsi="Times New Roman"/>
          <w:sz w:val="20"/>
          <w:szCs w:val="20"/>
        </w:rPr>
      </w:pPr>
      <w:r w:rsidRPr="007B09CA">
        <w:rPr>
          <w:rFonts w:ascii="Times New Roman" w:hAnsi="Times New Roman"/>
          <w:sz w:val="20"/>
          <w:szCs w:val="20"/>
        </w:rPr>
        <w:t xml:space="preserve">Of the three non-normality metrics, Henrici changed the least with matrix standardisation; the scaled and unscaled versions were correlated at </w:t>
      </w:r>
      <w:r w:rsidRPr="007B09CA">
        <w:rPr>
          <w:rFonts w:ascii="Times New Roman" w:hAnsi="Times New Roman"/>
          <w:i/>
          <w:sz w:val="20"/>
          <w:szCs w:val="20"/>
        </w:rPr>
        <w:t>ρ</w:t>
      </w:r>
      <w:r w:rsidRPr="007B09CA">
        <w:rPr>
          <w:rFonts w:ascii="Times New Roman" w:hAnsi="Times New Roman"/>
          <w:sz w:val="20"/>
          <w:szCs w:val="20"/>
        </w:rPr>
        <w:t xml:space="preserve"> = 0.82. Nevertheless, Fig. 4 shows that scaling still altered the Henrici metric’s relationships with ecological measures of population dynamics. It decreased the strength of the relationship between non-normality and damping ratio (Figs</w:t>
      </w:r>
      <w:r w:rsidR="00C26F72" w:rsidRPr="007B09CA">
        <w:rPr>
          <w:rFonts w:ascii="Times New Roman" w:hAnsi="Times New Roman"/>
          <w:sz w:val="20"/>
          <w:szCs w:val="20"/>
        </w:rPr>
        <w:t>.</w:t>
      </w:r>
      <w:r w:rsidRPr="007B09CA">
        <w:rPr>
          <w:rFonts w:ascii="Times New Roman" w:hAnsi="Times New Roman"/>
          <w:sz w:val="20"/>
          <w:szCs w:val="20"/>
        </w:rPr>
        <w:t xml:space="preserve"> 4a, c), such that</w:t>
      </w:r>
      <w:r>
        <w:rPr>
          <w:rFonts w:ascii="Times New Roman" w:hAnsi="Times New Roman"/>
          <w:sz w:val="20"/>
          <w:szCs w:val="20"/>
        </w:rPr>
        <w:t xml:space="preserve"> there was only a slight correlation </w:t>
      </w:r>
      <w:r>
        <w:rPr>
          <w:rFonts w:ascii="Times New Roman" w:hAnsi="Times New Roman"/>
          <w:sz w:val="20"/>
          <w:szCs w:val="20"/>
        </w:rPr>
        <w:lastRenderedPageBreak/>
        <w:t xml:space="preserve">with the effect of </w:t>
      </w:r>
      <w:r w:rsidRPr="00EF4F6B">
        <w:rPr>
          <w:rFonts w:ascii="Times New Roman" w:hAnsi="Times New Roman"/>
          <w:i/>
          <w:sz w:val="20"/>
          <w:szCs w:val="20"/>
        </w:rPr>
        <w:t>λ</w:t>
      </w:r>
      <w:r>
        <w:rPr>
          <w:rFonts w:ascii="Times New Roman" w:hAnsi="Times New Roman"/>
          <w:sz w:val="20"/>
          <w:szCs w:val="20"/>
          <w:vertAlign w:val="subscript"/>
        </w:rPr>
        <w:t>1</w:t>
      </w:r>
      <w:r w:rsidRPr="00017B75">
        <w:rPr>
          <w:rFonts w:ascii="Times New Roman" w:hAnsi="Times New Roman"/>
          <w:sz w:val="20"/>
          <w:szCs w:val="20"/>
        </w:rPr>
        <w:t xml:space="preserve"> removed</w:t>
      </w:r>
      <w:r>
        <w:rPr>
          <w:rFonts w:ascii="Times New Roman" w:hAnsi="Times New Roman"/>
          <w:sz w:val="20"/>
          <w:szCs w:val="20"/>
        </w:rPr>
        <w:t xml:space="preserve">; this is unsurprising given </w:t>
      </w:r>
      <w:r w:rsidRPr="00EF4F6B">
        <w:rPr>
          <w:rFonts w:ascii="Times New Roman" w:hAnsi="Times New Roman"/>
          <w:i/>
          <w:sz w:val="20"/>
          <w:szCs w:val="20"/>
        </w:rPr>
        <w:t>λ</w:t>
      </w:r>
      <w:r>
        <w:rPr>
          <w:rFonts w:ascii="Times New Roman" w:hAnsi="Times New Roman"/>
          <w:sz w:val="20"/>
          <w:szCs w:val="20"/>
          <w:vertAlign w:val="subscript"/>
        </w:rPr>
        <w:t xml:space="preserve">1 </w:t>
      </w:r>
      <w:r>
        <w:rPr>
          <w:rFonts w:ascii="Times New Roman" w:hAnsi="Times New Roman"/>
          <w:sz w:val="20"/>
          <w:szCs w:val="20"/>
        </w:rPr>
        <w:t>is the numerator of the damping ratio. In contrast, scaling increased the strength of the relationship between non-normality and reactivity (</w:t>
      </w:r>
      <w:r w:rsidRPr="007B09CA">
        <w:rPr>
          <w:rFonts w:ascii="Times New Roman" w:hAnsi="Times New Roman"/>
          <w:sz w:val="20"/>
          <w:szCs w:val="20"/>
        </w:rPr>
        <w:t>Figs</w:t>
      </w:r>
      <w:r w:rsidR="00C26F72" w:rsidRPr="007B09CA">
        <w:rPr>
          <w:rFonts w:ascii="Times New Roman" w:hAnsi="Times New Roman"/>
          <w:sz w:val="20"/>
          <w:szCs w:val="20"/>
        </w:rPr>
        <w:t>.</w:t>
      </w:r>
      <w:r w:rsidRPr="007B09CA">
        <w:rPr>
          <w:rFonts w:ascii="Times New Roman" w:hAnsi="Times New Roman"/>
          <w:sz w:val="20"/>
          <w:szCs w:val="20"/>
        </w:rPr>
        <w:t xml:space="preserve"> 4b, d),</w:t>
      </w:r>
      <w:r>
        <w:rPr>
          <w:rFonts w:ascii="Times New Roman" w:hAnsi="Times New Roman"/>
          <w:sz w:val="20"/>
          <w:szCs w:val="20"/>
        </w:rPr>
        <w:t xml:space="preserve"> such that high values of scaled non-normality were a good predictor of strong immediate transient growth.</w:t>
      </w:r>
    </w:p>
    <w:p w14:paraId="4E152F1F" w14:textId="77777777" w:rsidR="00A736FE" w:rsidRPr="00401E9B" w:rsidRDefault="00A736FE" w:rsidP="00A736FE">
      <w:pPr>
        <w:spacing w:line="480" w:lineRule="auto"/>
        <w:ind w:firstLine="567"/>
        <w:rPr>
          <w:rFonts w:ascii="Times New Roman" w:hAnsi="Times New Roman"/>
          <w:sz w:val="20"/>
          <w:szCs w:val="20"/>
        </w:rPr>
      </w:pPr>
      <w:r>
        <w:rPr>
          <w:rFonts w:ascii="Times New Roman" w:hAnsi="Times New Roman"/>
          <w:sz w:val="20"/>
          <w:szCs w:val="20"/>
        </w:rPr>
        <w:t xml:space="preserve">Principal component analysis allowed more in-depth investigation of interrelationships among the variables, visually represented as biplots in Fig. 5. Using the unscaled non-normality metrics, the two significant principal components explained 72% of the variance. The first principal component loaded onto </w:t>
      </w:r>
      <w:r w:rsidRPr="00EF4F6B">
        <w:rPr>
          <w:rFonts w:ascii="Times New Roman" w:hAnsi="Times New Roman"/>
          <w:i/>
          <w:sz w:val="20"/>
          <w:szCs w:val="20"/>
        </w:rPr>
        <w:t>λ</w:t>
      </w:r>
      <w:r w:rsidRPr="00334AA7">
        <w:rPr>
          <w:rFonts w:ascii="Times New Roman" w:hAnsi="Times New Roman"/>
          <w:sz w:val="20"/>
          <w:szCs w:val="20"/>
          <w:vertAlign w:val="subscript"/>
        </w:rPr>
        <w:t>1</w:t>
      </w:r>
      <w:r>
        <w:rPr>
          <w:rFonts w:ascii="Times New Roman" w:hAnsi="Times New Roman"/>
          <w:sz w:val="20"/>
          <w:szCs w:val="20"/>
          <w:vertAlign w:val="subscript"/>
        </w:rPr>
        <w:t xml:space="preserve"> </w:t>
      </w:r>
      <w:r>
        <w:rPr>
          <w:rFonts w:ascii="Times New Roman" w:hAnsi="Times New Roman"/>
          <w:sz w:val="20"/>
          <w:szCs w:val="20"/>
        </w:rPr>
        <w:t xml:space="preserve">(negatively), and transient indices, the Henrici metric, and year (positively). The second loaded onto the Frobenius metric (positively), damping ratio (negatively), and year again (positively). Note that the Ruhe metric is not represented by either of the significant principal components. Using the scaled non-normality metrics, the two significant principal components explained more of the variance (86%) than the unscaled case.  Loadings differed, but directions did not: the first principal component loaded onto the Henrici metric, </w:t>
      </w:r>
      <w:r w:rsidRPr="00EF4F6B">
        <w:rPr>
          <w:rFonts w:ascii="Times New Roman" w:hAnsi="Times New Roman"/>
          <w:i/>
          <w:sz w:val="20"/>
          <w:szCs w:val="20"/>
        </w:rPr>
        <w:t>λ</w:t>
      </w:r>
      <w:r w:rsidRPr="00334AA7">
        <w:rPr>
          <w:rFonts w:ascii="Times New Roman" w:hAnsi="Times New Roman"/>
          <w:sz w:val="20"/>
          <w:szCs w:val="20"/>
          <w:vertAlign w:val="subscript"/>
        </w:rPr>
        <w:t>1</w:t>
      </w:r>
      <w:r>
        <w:rPr>
          <w:rFonts w:ascii="Times New Roman" w:hAnsi="Times New Roman"/>
          <w:sz w:val="20"/>
          <w:szCs w:val="20"/>
        </w:rPr>
        <w:t>, the Ruhe metric positively, the Frobenius metric, and transient indices; the second component loaded onto damping ratio, year, and inertia again, but this time negatively.</w:t>
      </w:r>
    </w:p>
    <w:p w14:paraId="1DBD9FE4" w14:textId="77777777" w:rsidR="00A736FE" w:rsidRDefault="00A736FE" w:rsidP="00C17D06">
      <w:pPr>
        <w:spacing w:line="480" w:lineRule="auto"/>
        <w:ind w:firstLine="567"/>
        <w:rPr>
          <w:rFonts w:ascii="Times New Roman" w:hAnsi="Times New Roman"/>
          <w:sz w:val="20"/>
          <w:szCs w:val="20"/>
        </w:rPr>
      </w:pPr>
      <w:r>
        <w:rPr>
          <w:rFonts w:ascii="Times New Roman" w:hAnsi="Times New Roman"/>
          <w:sz w:val="20"/>
          <w:szCs w:val="20"/>
        </w:rPr>
        <w:t>Scaling</w:t>
      </w:r>
      <w:r w:rsidRPr="00B44782">
        <w:rPr>
          <w:rFonts w:ascii="Times New Roman" w:hAnsi="Times New Roman"/>
          <w:sz w:val="20"/>
          <w:szCs w:val="20"/>
        </w:rPr>
        <w:t xml:space="preserve"> moved all non-normality metrics i</w:t>
      </w:r>
      <w:r>
        <w:rPr>
          <w:rFonts w:ascii="Times New Roman" w:hAnsi="Times New Roman"/>
          <w:sz w:val="20"/>
          <w:szCs w:val="20"/>
        </w:rPr>
        <w:t xml:space="preserve">nto the same part of the plot (in Fig. 5b), </w:t>
      </w:r>
      <w:r w:rsidRPr="00B44782">
        <w:rPr>
          <w:rFonts w:ascii="Times New Roman" w:hAnsi="Times New Roman"/>
          <w:sz w:val="20"/>
          <w:szCs w:val="20"/>
        </w:rPr>
        <w:t>whereas</w:t>
      </w:r>
      <w:r>
        <w:rPr>
          <w:rFonts w:ascii="Times New Roman" w:hAnsi="Times New Roman"/>
          <w:sz w:val="20"/>
          <w:szCs w:val="20"/>
        </w:rPr>
        <w:t xml:space="preserve"> when</w:t>
      </w:r>
      <w:r w:rsidRPr="00B44782">
        <w:rPr>
          <w:rFonts w:ascii="Times New Roman" w:hAnsi="Times New Roman"/>
          <w:sz w:val="20"/>
          <w:szCs w:val="20"/>
        </w:rPr>
        <w:t xml:space="preserve"> unscaled, </w:t>
      </w:r>
      <w:r>
        <w:rPr>
          <w:rFonts w:ascii="Times New Roman" w:hAnsi="Times New Roman"/>
          <w:sz w:val="20"/>
          <w:szCs w:val="20"/>
        </w:rPr>
        <w:t xml:space="preserve">the </w:t>
      </w:r>
      <w:r w:rsidRPr="00B44782">
        <w:rPr>
          <w:rFonts w:ascii="Times New Roman" w:hAnsi="Times New Roman"/>
          <w:sz w:val="20"/>
          <w:szCs w:val="20"/>
        </w:rPr>
        <w:t>Frob</w:t>
      </w:r>
      <w:r>
        <w:rPr>
          <w:rFonts w:ascii="Times New Roman" w:hAnsi="Times New Roman"/>
          <w:sz w:val="20"/>
          <w:szCs w:val="20"/>
        </w:rPr>
        <w:t xml:space="preserve">enius and Henrici </w:t>
      </w:r>
      <w:r w:rsidRPr="00B44782">
        <w:rPr>
          <w:rFonts w:ascii="Times New Roman" w:hAnsi="Times New Roman"/>
          <w:sz w:val="20"/>
          <w:szCs w:val="20"/>
        </w:rPr>
        <w:t>metrics were almost orthogonal</w:t>
      </w:r>
      <w:r>
        <w:rPr>
          <w:rFonts w:ascii="Times New Roman" w:hAnsi="Times New Roman"/>
          <w:sz w:val="20"/>
          <w:szCs w:val="20"/>
        </w:rPr>
        <w:t xml:space="preserve"> to each other (in Fig. 5a)</w:t>
      </w:r>
      <w:r w:rsidRPr="00B44782">
        <w:rPr>
          <w:rFonts w:ascii="Times New Roman" w:hAnsi="Times New Roman"/>
          <w:sz w:val="20"/>
          <w:szCs w:val="20"/>
        </w:rPr>
        <w:t>.</w:t>
      </w:r>
      <w:r>
        <w:rPr>
          <w:rFonts w:ascii="Times New Roman" w:hAnsi="Times New Roman"/>
          <w:sz w:val="20"/>
          <w:szCs w:val="20"/>
        </w:rPr>
        <w:t xml:space="preserve"> The Frobenius and Ruhe metrics appeared to be most susceptible to asymptotic growth rate, moving more than the other </w:t>
      </w:r>
      <w:r w:rsidRPr="00772127">
        <w:rPr>
          <w:rFonts w:ascii="Times New Roman" w:hAnsi="Times New Roman"/>
          <w:sz w:val="20"/>
          <w:szCs w:val="20"/>
        </w:rPr>
        <w:t xml:space="preserve">variables when the effect of </w:t>
      </w:r>
      <w:r w:rsidRPr="00EF4F6B">
        <w:rPr>
          <w:rFonts w:ascii="Times New Roman" w:hAnsi="Times New Roman"/>
          <w:i/>
          <w:sz w:val="20"/>
          <w:szCs w:val="20"/>
        </w:rPr>
        <w:t>λ</w:t>
      </w:r>
      <w:r w:rsidRPr="00772127">
        <w:rPr>
          <w:rFonts w:ascii="Times New Roman" w:hAnsi="Times New Roman"/>
          <w:sz w:val="20"/>
          <w:szCs w:val="20"/>
          <w:vertAlign w:val="subscript"/>
        </w:rPr>
        <w:t xml:space="preserve">1 </w:t>
      </w:r>
      <w:r w:rsidRPr="00772127">
        <w:rPr>
          <w:rFonts w:ascii="Times New Roman" w:hAnsi="Times New Roman"/>
          <w:sz w:val="20"/>
          <w:szCs w:val="20"/>
        </w:rPr>
        <w:t xml:space="preserve">was removed; this reiterates the relatively low sensitivity of the Henrici metric to scaling. In both plots the damping ratio was orthogonal to the axis with </w:t>
      </w:r>
      <w:r w:rsidRPr="00EF4F6B">
        <w:rPr>
          <w:rFonts w:ascii="Times New Roman" w:hAnsi="Times New Roman"/>
          <w:i/>
          <w:sz w:val="20"/>
          <w:szCs w:val="20"/>
        </w:rPr>
        <w:t>λ</w:t>
      </w:r>
      <w:r w:rsidRPr="00772127">
        <w:rPr>
          <w:rFonts w:ascii="Times New Roman" w:hAnsi="Times New Roman"/>
          <w:sz w:val="20"/>
          <w:szCs w:val="20"/>
          <w:vertAlign w:val="subscript"/>
        </w:rPr>
        <w:t>1</w:t>
      </w:r>
      <w:r w:rsidRPr="00772127">
        <w:rPr>
          <w:rFonts w:ascii="Times New Roman" w:hAnsi="Times New Roman"/>
          <w:sz w:val="20"/>
          <w:szCs w:val="20"/>
        </w:rPr>
        <w:t xml:space="preserve"> and transient indices (unscaled plot) or non-normality (scaled), suggesting that it describes something fundamentally different to </w:t>
      </w:r>
      <w:r w:rsidRPr="00772127">
        <w:rPr>
          <w:rFonts w:ascii="Times New Roman" w:hAnsi="Times New Roman"/>
          <w:i/>
          <w:sz w:val="20"/>
          <w:szCs w:val="20"/>
        </w:rPr>
        <w:t>both</w:t>
      </w:r>
      <w:r w:rsidRPr="00772127">
        <w:rPr>
          <w:rFonts w:ascii="Times New Roman" w:hAnsi="Times New Roman"/>
          <w:sz w:val="20"/>
          <w:szCs w:val="20"/>
        </w:rPr>
        <w:t xml:space="preserve"> asymptotic </w:t>
      </w:r>
      <w:r w:rsidRPr="00772127">
        <w:rPr>
          <w:rFonts w:ascii="Times New Roman" w:hAnsi="Times New Roman"/>
          <w:i/>
          <w:sz w:val="20"/>
          <w:szCs w:val="20"/>
        </w:rPr>
        <w:t>and</w:t>
      </w:r>
      <w:r w:rsidRPr="00772127">
        <w:rPr>
          <w:rFonts w:ascii="Times New Roman" w:hAnsi="Times New Roman"/>
          <w:sz w:val="20"/>
          <w:szCs w:val="20"/>
        </w:rPr>
        <w:t xml:space="preserve"> transient dynamics – which should perhaps be unsurprising since it is supposedly a measure of duration rather than amplitude. Two groups of points</w:t>
      </w:r>
      <w:r w:rsidRPr="00B44782">
        <w:rPr>
          <w:rFonts w:ascii="Times New Roman" w:hAnsi="Times New Roman"/>
          <w:sz w:val="20"/>
          <w:szCs w:val="20"/>
        </w:rPr>
        <w:t xml:space="preserve"> (</w:t>
      </w:r>
      <w:r>
        <w:rPr>
          <w:rFonts w:ascii="Times New Roman" w:hAnsi="Times New Roman"/>
          <w:sz w:val="20"/>
          <w:szCs w:val="20"/>
        </w:rPr>
        <w:t xml:space="preserve">labelled as: </w:t>
      </w:r>
      <w:r w:rsidRPr="00B44782">
        <w:rPr>
          <w:rFonts w:ascii="Times New Roman" w:hAnsi="Times New Roman"/>
          <w:sz w:val="20"/>
          <w:szCs w:val="20"/>
        </w:rPr>
        <w:t>36, 53, 70;</w:t>
      </w:r>
      <w:r>
        <w:rPr>
          <w:rFonts w:ascii="Times New Roman" w:hAnsi="Times New Roman"/>
          <w:sz w:val="20"/>
          <w:szCs w:val="20"/>
        </w:rPr>
        <w:t xml:space="preserve"> and</w:t>
      </w:r>
      <w:r w:rsidRPr="00B44782">
        <w:rPr>
          <w:rFonts w:ascii="Times New Roman" w:hAnsi="Times New Roman"/>
          <w:sz w:val="20"/>
          <w:szCs w:val="20"/>
        </w:rPr>
        <w:t xml:space="preserve"> 553, 580) are notable outliers on both biplots: the former represent </w:t>
      </w:r>
      <w:r>
        <w:rPr>
          <w:rFonts w:ascii="Times New Roman" w:hAnsi="Times New Roman"/>
          <w:sz w:val="20"/>
          <w:szCs w:val="20"/>
        </w:rPr>
        <w:t>Iceland in the 1960</w:t>
      </w:r>
      <w:r w:rsidRPr="00B44782">
        <w:rPr>
          <w:rFonts w:ascii="Times New Roman" w:hAnsi="Times New Roman"/>
          <w:sz w:val="20"/>
          <w:szCs w:val="20"/>
        </w:rPr>
        <w:t xml:space="preserve">s; the latter </w:t>
      </w:r>
      <w:r>
        <w:rPr>
          <w:rFonts w:ascii="Times New Roman" w:hAnsi="Times New Roman"/>
          <w:sz w:val="20"/>
          <w:szCs w:val="20"/>
        </w:rPr>
        <w:t>Bulgaria in the late 1990s</w:t>
      </w:r>
      <w:r w:rsidRPr="00B44782">
        <w:rPr>
          <w:rFonts w:ascii="Times New Roman" w:hAnsi="Times New Roman"/>
          <w:sz w:val="20"/>
          <w:szCs w:val="20"/>
        </w:rPr>
        <w:t>.</w:t>
      </w:r>
    </w:p>
    <w:p w14:paraId="0EABA953" w14:textId="77777777" w:rsidR="00C17D06" w:rsidRDefault="00C17D06" w:rsidP="00C17D06">
      <w:pPr>
        <w:spacing w:line="480" w:lineRule="auto"/>
        <w:ind w:firstLine="567"/>
        <w:rPr>
          <w:rFonts w:ascii="Times New Roman" w:hAnsi="Times New Roman"/>
          <w:sz w:val="20"/>
          <w:szCs w:val="20"/>
        </w:rPr>
      </w:pPr>
    </w:p>
    <w:p w14:paraId="6A8B912B" w14:textId="77777777" w:rsidR="00A736FE" w:rsidRPr="00EF4F6B" w:rsidRDefault="00EF4F6B" w:rsidP="00A736FE">
      <w:pPr>
        <w:pStyle w:val="Heading2"/>
        <w:spacing w:line="480" w:lineRule="auto"/>
        <w:rPr>
          <w:rFonts w:ascii="Times New Roman" w:hAnsi="Times New Roman" w:cs="Times New Roman"/>
          <w:b/>
          <w:color w:val="auto"/>
          <w:sz w:val="20"/>
          <w:szCs w:val="20"/>
        </w:rPr>
      </w:pPr>
      <w:r w:rsidRPr="00EF4F6B">
        <w:rPr>
          <w:rFonts w:ascii="Times New Roman" w:hAnsi="Times New Roman" w:cs="Times New Roman"/>
          <w:b/>
          <w:color w:val="auto"/>
          <w:sz w:val="20"/>
          <w:szCs w:val="20"/>
        </w:rPr>
        <w:t>Discussion</w:t>
      </w:r>
    </w:p>
    <w:p w14:paraId="074D0B6C" w14:textId="77777777" w:rsidR="00A22B3F" w:rsidRPr="00A22B3F" w:rsidRDefault="00A22B3F" w:rsidP="00A22B3F"/>
    <w:p w14:paraId="31BBD7D2" w14:textId="77777777" w:rsidR="00A736FE" w:rsidRDefault="00A736FE" w:rsidP="00A736FE">
      <w:pPr>
        <w:spacing w:line="480" w:lineRule="auto"/>
        <w:rPr>
          <w:rFonts w:ascii="Times New Roman" w:hAnsi="Times New Roman"/>
          <w:sz w:val="20"/>
          <w:szCs w:val="20"/>
        </w:rPr>
      </w:pPr>
      <w:r w:rsidRPr="00F514BC">
        <w:rPr>
          <w:rFonts w:ascii="Times New Roman" w:hAnsi="Times New Roman"/>
          <w:sz w:val="20"/>
          <w:szCs w:val="20"/>
        </w:rPr>
        <w:t>This is, to the</w:t>
      </w:r>
      <w:r w:rsidRPr="00B95BEE">
        <w:rPr>
          <w:rFonts w:ascii="Times New Roman" w:hAnsi="Times New Roman"/>
          <w:sz w:val="20"/>
          <w:szCs w:val="20"/>
        </w:rPr>
        <w:t xml:space="preserve"> best of our knowledge, the first comprehensive continental-scal</w:t>
      </w:r>
      <w:r>
        <w:rPr>
          <w:rFonts w:ascii="Times New Roman" w:hAnsi="Times New Roman"/>
          <w:sz w:val="20"/>
          <w:szCs w:val="20"/>
        </w:rPr>
        <w:t xml:space="preserve">e comparative assessment of the susceptibility of </w:t>
      </w:r>
      <w:r w:rsidRPr="00B95BEE">
        <w:rPr>
          <w:rFonts w:ascii="Times New Roman" w:hAnsi="Times New Roman"/>
          <w:sz w:val="20"/>
          <w:szCs w:val="20"/>
        </w:rPr>
        <w:t>human populations</w:t>
      </w:r>
      <w:r>
        <w:rPr>
          <w:rFonts w:ascii="Times New Roman" w:hAnsi="Times New Roman"/>
          <w:sz w:val="20"/>
          <w:szCs w:val="20"/>
        </w:rPr>
        <w:t xml:space="preserve"> to transient dynamics</w:t>
      </w:r>
      <w:r w:rsidRPr="00B95BEE">
        <w:rPr>
          <w:rFonts w:ascii="Times New Roman" w:hAnsi="Times New Roman"/>
          <w:sz w:val="20"/>
          <w:szCs w:val="20"/>
        </w:rPr>
        <w:t>.</w:t>
      </w:r>
      <w:r>
        <w:rPr>
          <w:rFonts w:ascii="Times New Roman" w:hAnsi="Times New Roman"/>
          <w:sz w:val="20"/>
          <w:szCs w:val="20"/>
        </w:rPr>
        <w:t xml:space="preserve"> </w:t>
      </w:r>
      <w:r w:rsidRPr="00243550">
        <w:rPr>
          <w:rFonts w:ascii="Times New Roman" w:hAnsi="Times New Roman"/>
          <w:sz w:val="20"/>
          <w:szCs w:val="20"/>
        </w:rPr>
        <w:t xml:space="preserve">We quantified this transient potential using non-normality metrics: </w:t>
      </w:r>
      <w:r>
        <w:rPr>
          <w:rFonts w:ascii="Times New Roman" w:hAnsi="Times New Roman"/>
          <w:sz w:val="20"/>
          <w:szCs w:val="20"/>
        </w:rPr>
        <w:t>overall, these increased for European populations between 1960 and 2014 (Fig. 2). The patterns of non-normality metrics were correlated with transient indi</w:t>
      </w:r>
      <w:r w:rsidRPr="007B09CA">
        <w:rPr>
          <w:rFonts w:ascii="Times New Roman" w:hAnsi="Times New Roman"/>
          <w:sz w:val="20"/>
          <w:szCs w:val="20"/>
        </w:rPr>
        <w:t>ces (Figs</w:t>
      </w:r>
      <w:r w:rsidR="00C26F72" w:rsidRPr="007B09CA">
        <w:rPr>
          <w:rFonts w:ascii="Times New Roman" w:hAnsi="Times New Roman"/>
          <w:sz w:val="20"/>
          <w:szCs w:val="20"/>
        </w:rPr>
        <w:t>.</w:t>
      </w:r>
      <w:r w:rsidRPr="007B09CA">
        <w:rPr>
          <w:rFonts w:ascii="Times New Roman" w:hAnsi="Times New Roman"/>
          <w:sz w:val="20"/>
          <w:szCs w:val="20"/>
        </w:rPr>
        <w:t xml:space="preserve"> 2, 3): r</w:t>
      </w:r>
      <w:r>
        <w:rPr>
          <w:rFonts w:ascii="Times New Roman" w:hAnsi="Times New Roman"/>
          <w:sz w:val="20"/>
          <w:szCs w:val="20"/>
        </w:rPr>
        <w:t xml:space="preserve">elationships were strong and positive, with the peaks in the scaled Henrici and Ruhe metrics echoed in those for reactivity and inertia – implying increasing influence of transient dynamics on these populations. Although we caution against the </w:t>
      </w:r>
      <w:r>
        <w:rPr>
          <w:rFonts w:ascii="Times New Roman" w:hAnsi="Times New Roman"/>
          <w:sz w:val="20"/>
          <w:szCs w:val="20"/>
        </w:rPr>
        <w:lastRenderedPageBreak/>
        <w:t>potential loss of information in restricting analyses to a single measure of non-normality, where a streamlined evaluation is desired we particularly recommend the Henrici metric, since in our study it proved to be least affected by the scaling issue</w:t>
      </w:r>
      <w:r w:rsidRPr="000904BB">
        <w:rPr>
          <w:rFonts w:ascii="Times New Roman" w:hAnsi="Times New Roman"/>
          <w:sz w:val="20"/>
          <w:szCs w:val="20"/>
        </w:rPr>
        <w:t xml:space="preserve"> and most strongly correlated with transient indices.</w:t>
      </w:r>
    </w:p>
    <w:p w14:paraId="0E5365DD" w14:textId="77777777" w:rsidR="00A736FE" w:rsidRDefault="00A736FE" w:rsidP="00A736FE">
      <w:pPr>
        <w:spacing w:line="480" w:lineRule="auto"/>
        <w:ind w:firstLine="567"/>
        <w:rPr>
          <w:rFonts w:ascii="Times New Roman" w:hAnsi="Times New Roman"/>
          <w:sz w:val="20"/>
          <w:szCs w:val="20"/>
        </w:rPr>
      </w:pPr>
      <w:r>
        <w:rPr>
          <w:rFonts w:ascii="Times New Roman" w:hAnsi="Times New Roman"/>
          <w:sz w:val="20"/>
          <w:szCs w:val="20"/>
        </w:rPr>
        <w:t>Focusing on these transient indices, we found a very strong and significant correlation between reactivity (transient change in population size after one timestep) and inertia (asymptotic change in population size due to transience), as did Stott et al. (2011). Our transient indices rarely yielded attenuation, i.e.</w:t>
      </w:r>
      <w:r w:rsidR="00557549">
        <w:rPr>
          <w:rFonts w:ascii="Times New Roman" w:hAnsi="Times New Roman"/>
          <w:sz w:val="20"/>
          <w:szCs w:val="20"/>
        </w:rPr>
        <w:t>,</w:t>
      </w:r>
      <w:r>
        <w:rPr>
          <w:rFonts w:ascii="Times New Roman" w:hAnsi="Times New Roman"/>
          <w:sz w:val="20"/>
          <w:szCs w:val="20"/>
        </w:rPr>
        <w:t xml:space="preserve"> values smaller than one, which reflect decreases relative to the asymptotic trajectory. In contrast, using the same metrics on orchids, Tremblay et al. (2015) showed transient decline to be much more common than amplification; this suggests that the western human populations that are most common in our database tend towards transient increases, while plants may more often decrease. While we found a greater likelihood of transient increase when populations were declining overall (and vice versa), since both transient indices were opposed to </w:t>
      </w:r>
      <w:r w:rsidRPr="000C1EA0">
        <w:rPr>
          <w:rFonts w:ascii="Times New Roman" w:hAnsi="Times New Roman"/>
          <w:i/>
          <w:sz w:val="20"/>
          <w:szCs w:val="20"/>
        </w:rPr>
        <w:t>λ</w:t>
      </w:r>
      <w:r>
        <w:rPr>
          <w:rFonts w:ascii="Times New Roman" w:hAnsi="Times New Roman"/>
          <w:sz w:val="20"/>
          <w:szCs w:val="20"/>
          <w:vertAlign w:val="subscript"/>
        </w:rPr>
        <w:t>1</w:t>
      </w:r>
      <w:r>
        <w:rPr>
          <w:rFonts w:ascii="Times New Roman" w:hAnsi="Times New Roman"/>
          <w:sz w:val="20"/>
          <w:szCs w:val="20"/>
        </w:rPr>
        <w:t xml:space="preserve"> (Fig. 5), the opposite was found in </w:t>
      </w:r>
      <w:r w:rsidRPr="00334AA7">
        <w:rPr>
          <w:rFonts w:ascii="Times New Roman" w:hAnsi="Times New Roman"/>
          <w:sz w:val="20"/>
          <w:szCs w:val="20"/>
        </w:rPr>
        <w:t>a study of over 100 plant species</w:t>
      </w:r>
      <w:r>
        <w:rPr>
          <w:rFonts w:ascii="Times New Roman" w:hAnsi="Times New Roman"/>
          <w:sz w:val="20"/>
          <w:szCs w:val="20"/>
        </w:rPr>
        <w:t>, where</w:t>
      </w:r>
      <w:r w:rsidRPr="00334AA7">
        <w:rPr>
          <w:rFonts w:ascii="Times New Roman" w:hAnsi="Times New Roman"/>
          <w:sz w:val="20"/>
          <w:szCs w:val="20"/>
        </w:rPr>
        <w:t xml:space="preserve"> fa</w:t>
      </w:r>
      <w:r>
        <w:rPr>
          <w:rFonts w:ascii="Times New Roman" w:hAnsi="Times New Roman"/>
          <w:sz w:val="20"/>
          <w:szCs w:val="20"/>
        </w:rPr>
        <w:t>ster-growing populations tended</w:t>
      </w:r>
      <w:r w:rsidRPr="00334AA7">
        <w:rPr>
          <w:rFonts w:ascii="Times New Roman" w:hAnsi="Times New Roman"/>
          <w:sz w:val="20"/>
          <w:szCs w:val="20"/>
        </w:rPr>
        <w:t xml:space="preserve"> towards greater reac</w:t>
      </w:r>
      <w:r>
        <w:rPr>
          <w:rFonts w:ascii="Times New Roman" w:hAnsi="Times New Roman"/>
          <w:sz w:val="20"/>
          <w:szCs w:val="20"/>
        </w:rPr>
        <w:t xml:space="preserve">tivity (along with other measures of transience; Stott et al. 2010). Stott et al. (2010) argued from their </w:t>
      </w:r>
      <w:r w:rsidRPr="00334AA7">
        <w:rPr>
          <w:rFonts w:ascii="Times New Roman" w:hAnsi="Times New Roman"/>
          <w:sz w:val="20"/>
          <w:szCs w:val="20"/>
        </w:rPr>
        <w:t>result</w:t>
      </w:r>
      <w:r>
        <w:rPr>
          <w:rFonts w:ascii="Times New Roman" w:hAnsi="Times New Roman"/>
          <w:sz w:val="20"/>
          <w:szCs w:val="20"/>
        </w:rPr>
        <w:t>s</w:t>
      </w:r>
      <w:r w:rsidRPr="00334AA7">
        <w:rPr>
          <w:rFonts w:ascii="Times New Roman" w:hAnsi="Times New Roman"/>
          <w:sz w:val="20"/>
          <w:szCs w:val="20"/>
        </w:rPr>
        <w:t xml:space="preserve"> that vital rates </w:t>
      </w:r>
      <w:r>
        <w:rPr>
          <w:rFonts w:ascii="Times New Roman" w:hAnsi="Times New Roman"/>
          <w:sz w:val="20"/>
          <w:szCs w:val="20"/>
        </w:rPr>
        <w:t>impacted</w:t>
      </w:r>
      <w:r w:rsidRPr="00334AA7">
        <w:rPr>
          <w:rFonts w:ascii="Times New Roman" w:hAnsi="Times New Roman"/>
          <w:sz w:val="20"/>
          <w:szCs w:val="20"/>
        </w:rPr>
        <w:t xml:space="preserve"> short- and long</w:t>
      </w:r>
      <w:r>
        <w:rPr>
          <w:rFonts w:ascii="Times New Roman" w:hAnsi="Times New Roman"/>
          <w:sz w:val="20"/>
          <w:szCs w:val="20"/>
        </w:rPr>
        <w:t>-term dynamics similarly, but pointed out that animal populations including humans appear to be more sensitive to initial conditions.</w:t>
      </w:r>
    </w:p>
    <w:p w14:paraId="30778935" w14:textId="77777777" w:rsidR="00A736FE" w:rsidRDefault="00A736FE" w:rsidP="00A736FE">
      <w:pPr>
        <w:spacing w:line="480" w:lineRule="auto"/>
        <w:ind w:firstLine="567"/>
        <w:rPr>
          <w:rFonts w:ascii="Times New Roman" w:hAnsi="Times New Roman"/>
          <w:sz w:val="20"/>
          <w:szCs w:val="20"/>
        </w:rPr>
      </w:pPr>
      <w:r>
        <w:rPr>
          <w:rFonts w:ascii="Times New Roman" w:hAnsi="Times New Roman"/>
          <w:sz w:val="20"/>
          <w:szCs w:val="20"/>
        </w:rPr>
        <w:t xml:space="preserve">The opposition of short- and long-term dynamics is further drawn out in the contrast of decreasing </w:t>
      </w:r>
      <w:r w:rsidRPr="000C1EA0">
        <w:rPr>
          <w:rFonts w:ascii="Times New Roman" w:hAnsi="Times New Roman"/>
          <w:i/>
          <w:sz w:val="20"/>
          <w:szCs w:val="20"/>
        </w:rPr>
        <w:t>λ</w:t>
      </w:r>
      <w:r>
        <w:rPr>
          <w:rFonts w:ascii="Times New Roman" w:hAnsi="Times New Roman"/>
          <w:sz w:val="20"/>
          <w:szCs w:val="20"/>
          <w:vertAlign w:val="subscript"/>
        </w:rPr>
        <w:t>1</w:t>
      </w:r>
      <w:r>
        <w:rPr>
          <w:rFonts w:ascii="Times New Roman" w:hAnsi="Times New Roman"/>
          <w:sz w:val="20"/>
          <w:szCs w:val="20"/>
        </w:rPr>
        <w:t xml:space="preserve"> through time, whereas reactivity and inertia peak around the millennium. The first observation is increasingly recognised: for many countries worldwide, and especially in Europe, a ‘second demographic transition’ is underway, with total fertility rate dropping below replacement, driving population decline in the absence of immigration (Harper 2013; van Daalen and Caswell 2015). Any</w:t>
      </w:r>
      <w:r w:rsidRPr="00FC73E0">
        <w:rPr>
          <w:rFonts w:ascii="Times New Roman" w:hAnsi="Times New Roman"/>
          <w:sz w:val="20"/>
          <w:szCs w:val="20"/>
        </w:rPr>
        <w:t xml:space="preserve"> reason for a peak in transience</w:t>
      </w:r>
      <w:r>
        <w:rPr>
          <w:rFonts w:ascii="Times New Roman" w:hAnsi="Times New Roman"/>
          <w:sz w:val="20"/>
          <w:szCs w:val="20"/>
        </w:rPr>
        <w:t xml:space="preserve"> is less obvious. Lutz et al. (2003) found that “for the [then] 15 member countries of the EU, low fertility brought the population to the turning point from positive to negative momentum around the year 2000” (p 1991). However, inspection of country-stratified data suggests that the humps are a combination of different types of trajectory, rather than all countries peaking simultaneously. Perhaps some are related to preceding and ongoing disturbances such as the dismantling of the socialist economic model in Central and Eastern Europe (</w:t>
      </w:r>
      <w:r w:rsidRPr="00306098">
        <w:rPr>
          <w:rFonts w:ascii="Times New Roman" w:hAnsi="Times New Roman"/>
          <w:sz w:val="20"/>
          <w:szCs w:val="20"/>
        </w:rPr>
        <w:t>Sobotka 2002</w:t>
      </w:r>
      <w:r>
        <w:rPr>
          <w:rFonts w:ascii="Times New Roman" w:hAnsi="Times New Roman"/>
          <w:sz w:val="20"/>
          <w:szCs w:val="20"/>
        </w:rPr>
        <w:t>), the reunification of Germany (1989), and the armed conflict in the former Yugoslavia (1991–99). As a specific example, Bulgaria’s economic instability during the 1990s could have driven the transient effects suggested by the PPMs for 1997 and 1998, which were outliers on the biplots and had the highest values for the scaled Henrici metric.</w:t>
      </w:r>
    </w:p>
    <w:p w14:paraId="74D77963" w14:textId="77777777" w:rsidR="00A736FE" w:rsidRDefault="00A736FE" w:rsidP="00A736FE">
      <w:pPr>
        <w:spacing w:line="480" w:lineRule="auto"/>
        <w:ind w:firstLine="567"/>
        <w:rPr>
          <w:rFonts w:ascii="Times New Roman" w:hAnsi="Times New Roman"/>
          <w:sz w:val="20"/>
          <w:szCs w:val="20"/>
        </w:rPr>
      </w:pPr>
      <w:r>
        <w:rPr>
          <w:rFonts w:ascii="Times New Roman" w:hAnsi="Times New Roman"/>
          <w:sz w:val="20"/>
          <w:szCs w:val="20"/>
        </w:rPr>
        <w:t xml:space="preserve">Returning to the non-normality metrics, we found all three measures to have similar temporal trends once the effect of declining asymptotic growth had been factored out. This follows Stott et al.’s (2011) </w:t>
      </w:r>
      <w:r>
        <w:rPr>
          <w:rFonts w:ascii="Times New Roman" w:hAnsi="Times New Roman"/>
          <w:sz w:val="20"/>
          <w:szCs w:val="20"/>
        </w:rPr>
        <w:lastRenderedPageBreak/>
        <w:t xml:space="preserve">recommendation that transient analyses are more usefully performed on standardised matrices. When studying the whole system, using raw matrices, the different non-normality metrics told varying stories: Frobenius suggests a negative quadratic relationship, Henrici increases to a plateau, and Ruhe shows very little change. This impact of </w:t>
      </w:r>
      <w:r w:rsidRPr="000C1EA0">
        <w:rPr>
          <w:rFonts w:ascii="Times New Roman" w:hAnsi="Times New Roman"/>
          <w:i/>
          <w:sz w:val="20"/>
          <w:szCs w:val="20"/>
        </w:rPr>
        <w:t>λ</w:t>
      </w:r>
      <w:r>
        <w:rPr>
          <w:rFonts w:ascii="Times New Roman" w:hAnsi="Times New Roman"/>
          <w:sz w:val="20"/>
          <w:szCs w:val="20"/>
          <w:vertAlign w:val="subscript"/>
        </w:rPr>
        <w:t>1</w:t>
      </w:r>
      <w:r>
        <w:rPr>
          <w:rFonts w:ascii="Times New Roman" w:hAnsi="Times New Roman"/>
          <w:sz w:val="20"/>
          <w:szCs w:val="20"/>
        </w:rPr>
        <w:t xml:space="preserve"> is especially notable given the relatively small range of values seen across human populations as opposed to other animals or plants: this study saw 0.89–1.11, compared to 0.80–1.12 within one metapopulation of marmots (Ozgul et al. 2009), and approximately 0.7–2.1 across 20 plant species (</w:t>
      </w:r>
      <w:r w:rsidRPr="00AA6EC0">
        <w:rPr>
          <w:rFonts w:ascii="Times New Roman" w:hAnsi="Times New Roman"/>
          <w:sz w:val="20"/>
          <w:szCs w:val="20"/>
        </w:rPr>
        <w:t>Crone et al. 2013</w:t>
      </w:r>
      <w:r>
        <w:rPr>
          <w:rFonts w:ascii="Times New Roman" w:hAnsi="Times New Roman"/>
          <w:sz w:val="20"/>
          <w:szCs w:val="20"/>
        </w:rPr>
        <w:t xml:space="preserve">). The effect of </w:t>
      </w:r>
      <w:r w:rsidRPr="000C1EA0">
        <w:rPr>
          <w:rFonts w:ascii="Times New Roman" w:hAnsi="Times New Roman"/>
          <w:i/>
          <w:sz w:val="20"/>
          <w:szCs w:val="20"/>
        </w:rPr>
        <w:t>λ</w:t>
      </w:r>
      <w:r>
        <w:rPr>
          <w:rFonts w:ascii="Times New Roman" w:hAnsi="Times New Roman"/>
          <w:sz w:val="20"/>
          <w:szCs w:val="20"/>
          <w:vertAlign w:val="subscript"/>
        </w:rPr>
        <w:t>1</w:t>
      </w:r>
      <w:r>
        <w:rPr>
          <w:rFonts w:ascii="Times New Roman" w:hAnsi="Times New Roman"/>
          <w:sz w:val="20"/>
          <w:szCs w:val="20"/>
        </w:rPr>
        <w:t xml:space="preserve"> should therefore be acknowledged in all comparative studies of transients (Stott et al. 2011).</w:t>
      </w:r>
    </w:p>
    <w:p w14:paraId="0958C194" w14:textId="77777777" w:rsidR="00A736FE" w:rsidRDefault="00A736FE" w:rsidP="00A736FE">
      <w:pPr>
        <w:spacing w:line="480" w:lineRule="auto"/>
        <w:ind w:firstLine="567"/>
        <w:rPr>
          <w:rFonts w:ascii="Times New Roman" w:hAnsi="Times New Roman"/>
          <w:sz w:val="20"/>
          <w:szCs w:val="20"/>
        </w:rPr>
      </w:pPr>
      <w:r>
        <w:rPr>
          <w:rFonts w:ascii="Times New Roman" w:hAnsi="Times New Roman"/>
          <w:sz w:val="20"/>
          <w:szCs w:val="20"/>
        </w:rPr>
        <w:t>Furthermore, we suggest that longitudinal (as well as comparative) studies should consider the potential for varying non-normality across datasets. Both overall trends and turning points illustrate that non-normality cannot be considered static for a given country, rather as changing temporally – perhaps similarly to momentum which is a process that plays out over time (</w:t>
      </w:r>
      <w:r w:rsidRPr="00AA6EC0">
        <w:rPr>
          <w:rFonts w:ascii="Times New Roman" w:hAnsi="Times New Roman"/>
          <w:sz w:val="20"/>
          <w:szCs w:val="20"/>
        </w:rPr>
        <w:t>Blue and Espenshade 2011</w:t>
      </w:r>
      <w:r>
        <w:rPr>
          <w:rFonts w:ascii="Times New Roman" w:hAnsi="Times New Roman"/>
          <w:sz w:val="20"/>
          <w:szCs w:val="20"/>
        </w:rPr>
        <w:t>). While a non-normality value for a single matrix reveals little about the impact of the transient at that snapshot in time, its relation to others in the dataset integrate multiple sources and forms of stochasticity with respect to the impact of varying transient dynamics on population trajectories.</w:t>
      </w:r>
      <w:r w:rsidRPr="000904BB">
        <w:rPr>
          <w:rFonts w:ascii="Times New Roman" w:hAnsi="Times New Roman"/>
          <w:sz w:val="20"/>
          <w:szCs w:val="20"/>
        </w:rPr>
        <w:t xml:space="preserve"> </w:t>
      </w:r>
      <w:r>
        <w:rPr>
          <w:rFonts w:ascii="Times New Roman" w:hAnsi="Times New Roman"/>
          <w:sz w:val="20"/>
          <w:szCs w:val="20"/>
        </w:rPr>
        <w:t>Historically, the damping ratio has been used to quantify transient impact, but it exhibits orthogonal behaviour to inertia and reactivity (Fig. 5). Over and above the methodological limitations of the damping ratio already discussed, a key consideration is the fact that the damping ratio is a proxy for the duration of transient fluctuations, while reactivity and inertia provide immediate and eventual measures of the transient amplification in population size. It remains to be seen how the three non-normality metrics perform across other systems and stage structures, and whether their interrelationships with population dynamic indices remain consistent. Comparative studies using the COMPADRE and COMADRE demographic databases (</w:t>
      </w:r>
      <w:r w:rsidRPr="003010FB">
        <w:rPr>
          <w:rFonts w:ascii="Times New Roman" w:hAnsi="Times New Roman"/>
          <w:sz w:val="20"/>
          <w:szCs w:val="20"/>
        </w:rPr>
        <w:t>Salguero-Gómez</w:t>
      </w:r>
      <w:r>
        <w:rPr>
          <w:rFonts w:ascii="Times New Roman" w:hAnsi="Times New Roman"/>
          <w:sz w:val="20"/>
          <w:szCs w:val="20"/>
        </w:rPr>
        <w:t xml:space="preserve"> et al. 2015, 2016) could prove particularly insightful here.</w:t>
      </w:r>
    </w:p>
    <w:p w14:paraId="2D0712EC" w14:textId="77777777" w:rsidR="00A736FE" w:rsidRPr="000904BB" w:rsidRDefault="00A736FE" w:rsidP="00A736FE">
      <w:pPr>
        <w:spacing w:line="480" w:lineRule="auto"/>
        <w:ind w:firstLine="567"/>
        <w:rPr>
          <w:rFonts w:ascii="Times New Roman" w:hAnsi="Times New Roman"/>
          <w:sz w:val="20"/>
          <w:szCs w:val="20"/>
        </w:rPr>
      </w:pPr>
    </w:p>
    <w:p w14:paraId="036DBE81" w14:textId="77777777" w:rsidR="00A736FE" w:rsidRPr="00A13CEA" w:rsidRDefault="00A736FE" w:rsidP="00A736FE">
      <w:pPr>
        <w:pStyle w:val="Heading3"/>
        <w:spacing w:line="480" w:lineRule="auto"/>
        <w:rPr>
          <w:rFonts w:ascii="Times New Roman" w:hAnsi="Times New Roman" w:cs="Times New Roman"/>
          <w:color w:val="auto"/>
          <w:sz w:val="20"/>
          <w:szCs w:val="20"/>
        </w:rPr>
      </w:pPr>
      <w:r w:rsidRPr="00A13CEA">
        <w:rPr>
          <w:rFonts w:ascii="Times New Roman" w:hAnsi="Times New Roman" w:cs="Times New Roman"/>
          <w:color w:val="auto"/>
          <w:sz w:val="20"/>
          <w:szCs w:val="20"/>
        </w:rPr>
        <w:t>Caveats</w:t>
      </w:r>
    </w:p>
    <w:p w14:paraId="24321B61" w14:textId="77777777" w:rsidR="00A22B3F" w:rsidRPr="00A22B3F" w:rsidRDefault="00A22B3F" w:rsidP="00A22B3F"/>
    <w:p w14:paraId="31511AC7" w14:textId="77777777" w:rsidR="00A736FE" w:rsidRPr="000904BB" w:rsidRDefault="00A736FE" w:rsidP="00A736FE">
      <w:pPr>
        <w:spacing w:line="480" w:lineRule="auto"/>
        <w:rPr>
          <w:rFonts w:ascii="Times New Roman" w:hAnsi="Times New Roman"/>
          <w:sz w:val="20"/>
          <w:szCs w:val="20"/>
        </w:rPr>
      </w:pPr>
      <w:r>
        <w:rPr>
          <w:rFonts w:ascii="Times New Roman" w:hAnsi="Times New Roman"/>
          <w:sz w:val="20"/>
          <w:szCs w:val="20"/>
        </w:rPr>
        <w:t>Matrix outputs</w:t>
      </w:r>
      <w:r w:rsidRPr="000904BB">
        <w:rPr>
          <w:rFonts w:ascii="Times New Roman" w:hAnsi="Times New Roman"/>
          <w:sz w:val="20"/>
          <w:szCs w:val="20"/>
        </w:rPr>
        <w:t xml:space="preserve"> </w:t>
      </w:r>
      <w:r>
        <w:rPr>
          <w:rFonts w:ascii="Times New Roman" w:hAnsi="Times New Roman"/>
          <w:sz w:val="20"/>
          <w:szCs w:val="20"/>
        </w:rPr>
        <w:t xml:space="preserve">are </w:t>
      </w:r>
      <w:r w:rsidRPr="000904BB">
        <w:rPr>
          <w:rFonts w:ascii="Times New Roman" w:hAnsi="Times New Roman"/>
          <w:sz w:val="20"/>
          <w:szCs w:val="20"/>
        </w:rPr>
        <w:t>affected by matrix dimension</w:t>
      </w:r>
      <w:r>
        <w:rPr>
          <w:rFonts w:ascii="Times New Roman" w:hAnsi="Times New Roman"/>
          <w:sz w:val="20"/>
          <w:szCs w:val="20"/>
        </w:rPr>
        <w:t xml:space="preserve"> (Tenhumberg et al. 2009), </w:t>
      </w:r>
      <w:r w:rsidRPr="000904BB">
        <w:rPr>
          <w:rFonts w:ascii="Times New Roman" w:hAnsi="Times New Roman"/>
          <w:sz w:val="20"/>
          <w:szCs w:val="20"/>
        </w:rPr>
        <w:t>with potential implications for non-normality</w:t>
      </w:r>
      <w:r>
        <w:rPr>
          <w:rFonts w:ascii="Times New Roman" w:hAnsi="Times New Roman"/>
          <w:sz w:val="20"/>
          <w:szCs w:val="20"/>
        </w:rPr>
        <w:t>. A study on cacti found</w:t>
      </w:r>
      <w:r w:rsidRPr="000904BB">
        <w:rPr>
          <w:rFonts w:ascii="Times New Roman" w:hAnsi="Times New Roman"/>
          <w:sz w:val="20"/>
          <w:szCs w:val="20"/>
        </w:rPr>
        <w:t xml:space="preserve"> larger matrices</w:t>
      </w:r>
      <w:r>
        <w:rPr>
          <w:rFonts w:ascii="Times New Roman" w:hAnsi="Times New Roman"/>
          <w:sz w:val="20"/>
          <w:szCs w:val="20"/>
        </w:rPr>
        <w:t xml:space="preserve"> to generate low</w:t>
      </w:r>
      <w:r w:rsidRPr="000904BB">
        <w:rPr>
          <w:rFonts w:ascii="Times New Roman" w:hAnsi="Times New Roman"/>
          <w:sz w:val="20"/>
          <w:szCs w:val="20"/>
        </w:rPr>
        <w:t>er asymptotic growth rates (Rojas-Sandoval and Meléndez-Ackerman 2013)</w:t>
      </w:r>
      <w:r>
        <w:rPr>
          <w:rFonts w:ascii="Times New Roman" w:hAnsi="Times New Roman"/>
          <w:sz w:val="20"/>
          <w:szCs w:val="20"/>
        </w:rPr>
        <w:t xml:space="preserve">. </w:t>
      </w:r>
      <w:r w:rsidRPr="004905F7">
        <w:rPr>
          <w:rFonts w:ascii="Times New Roman" w:hAnsi="Times New Roman"/>
          <w:sz w:val="20"/>
          <w:szCs w:val="20"/>
        </w:rPr>
        <w:t>With our data, single-</w:t>
      </w:r>
      <w:r w:rsidR="00A13CEA">
        <w:rPr>
          <w:rFonts w:ascii="Times New Roman" w:hAnsi="Times New Roman"/>
          <w:sz w:val="20"/>
          <w:szCs w:val="20"/>
        </w:rPr>
        <w:t>year matrices (of dimension 85 ×</w:t>
      </w:r>
      <w:r w:rsidRPr="004905F7">
        <w:rPr>
          <w:rFonts w:ascii="Times New Roman" w:hAnsi="Times New Roman"/>
          <w:sz w:val="20"/>
          <w:szCs w:val="20"/>
        </w:rPr>
        <w:t xml:space="preserve"> 85) generated </w:t>
      </w:r>
      <w:r w:rsidRPr="00A13CEA">
        <w:rPr>
          <w:rFonts w:ascii="Times New Roman" w:hAnsi="Times New Roman"/>
          <w:i/>
          <w:sz w:val="20"/>
          <w:szCs w:val="20"/>
        </w:rPr>
        <w:t>λ</w:t>
      </w:r>
      <w:r w:rsidRPr="004905F7">
        <w:rPr>
          <w:rFonts w:ascii="Times New Roman" w:hAnsi="Times New Roman"/>
          <w:sz w:val="20"/>
          <w:szCs w:val="20"/>
          <w:vertAlign w:val="subscript"/>
        </w:rPr>
        <w:t>1</w:t>
      </w:r>
      <w:r w:rsidRPr="004905F7">
        <w:rPr>
          <w:rFonts w:ascii="Times New Roman" w:hAnsi="Times New Roman"/>
          <w:sz w:val="20"/>
          <w:szCs w:val="20"/>
        </w:rPr>
        <w:t xml:space="preserve"> values up to 9% larger or smaller than those from the 18 </w:t>
      </w:r>
      <w:r w:rsidR="00A13CEA">
        <w:rPr>
          <w:rFonts w:ascii="Times New Roman" w:hAnsi="Times New Roman"/>
          <w:sz w:val="20"/>
          <w:szCs w:val="20"/>
        </w:rPr>
        <w:t>×</w:t>
      </w:r>
      <w:r w:rsidRPr="004905F7">
        <w:rPr>
          <w:rFonts w:ascii="Times New Roman" w:hAnsi="Times New Roman"/>
          <w:sz w:val="20"/>
          <w:szCs w:val="20"/>
        </w:rPr>
        <w:t xml:space="preserve"> 18 matrices used here, with a mean difference of +3% (</w:t>
      </w:r>
      <w:r w:rsidR="003B2E94">
        <w:rPr>
          <w:rFonts w:ascii="Times New Roman" w:hAnsi="Times New Roman"/>
          <w:sz w:val="20"/>
          <w:szCs w:val="20"/>
        </w:rPr>
        <w:t>unpublished data</w:t>
      </w:r>
      <w:r w:rsidRPr="004905F7">
        <w:rPr>
          <w:rFonts w:ascii="Times New Roman" w:hAnsi="Times New Roman"/>
          <w:sz w:val="20"/>
          <w:szCs w:val="20"/>
        </w:rPr>
        <w:t>);</w:t>
      </w:r>
      <w:r>
        <w:rPr>
          <w:rFonts w:ascii="Times New Roman" w:hAnsi="Times New Roman"/>
          <w:sz w:val="20"/>
          <w:szCs w:val="20"/>
        </w:rPr>
        <w:t xml:space="preserve"> we employed the smaller matrices in this study for consistency with standard approaches in human demography and because they capture the vast majority of variation whilst enabling expansion to other </w:t>
      </w:r>
      <w:r>
        <w:rPr>
          <w:rFonts w:ascii="Times New Roman" w:hAnsi="Times New Roman"/>
          <w:sz w:val="20"/>
          <w:szCs w:val="20"/>
        </w:rPr>
        <w:lastRenderedPageBreak/>
        <w:t>regions and time periods for which annual data are not available</w:t>
      </w:r>
      <w:r w:rsidRPr="000904BB">
        <w:rPr>
          <w:rFonts w:ascii="Times New Roman" w:hAnsi="Times New Roman"/>
          <w:sz w:val="20"/>
          <w:szCs w:val="20"/>
        </w:rPr>
        <w:t xml:space="preserve">. Influence </w:t>
      </w:r>
      <w:r>
        <w:rPr>
          <w:rFonts w:ascii="Times New Roman" w:hAnsi="Times New Roman"/>
          <w:sz w:val="20"/>
          <w:szCs w:val="20"/>
        </w:rPr>
        <w:t xml:space="preserve">of matrix dimension </w:t>
      </w:r>
      <w:r w:rsidRPr="000904BB">
        <w:rPr>
          <w:rFonts w:ascii="Times New Roman" w:hAnsi="Times New Roman"/>
          <w:sz w:val="20"/>
          <w:szCs w:val="20"/>
        </w:rPr>
        <w:t xml:space="preserve">on transients is </w:t>
      </w:r>
      <w:r>
        <w:rPr>
          <w:rFonts w:ascii="Times New Roman" w:hAnsi="Times New Roman"/>
          <w:sz w:val="20"/>
          <w:szCs w:val="20"/>
        </w:rPr>
        <w:t xml:space="preserve">more </w:t>
      </w:r>
      <w:r w:rsidRPr="000904BB">
        <w:rPr>
          <w:rFonts w:ascii="Times New Roman" w:hAnsi="Times New Roman"/>
          <w:sz w:val="20"/>
          <w:szCs w:val="20"/>
        </w:rPr>
        <w:t xml:space="preserve">contested: while a study of six bird and mammal species with varied life histories found no effect (Koons et al. </w:t>
      </w:r>
      <w:r>
        <w:rPr>
          <w:rFonts w:ascii="Times New Roman" w:hAnsi="Times New Roman"/>
          <w:sz w:val="20"/>
          <w:szCs w:val="20"/>
        </w:rPr>
        <w:t xml:space="preserve">2005), a piece of research on </w:t>
      </w:r>
      <w:r w:rsidRPr="000904BB">
        <w:rPr>
          <w:rFonts w:ascii="Times New Roman" w:hAnsi="Times New Roman"/>
          <w:sz w:val="20"/>
          <w:szCs w:val="20"/>
        </w:rPr>
        <w:t xml:space="preserve">pea aphids and another on a wide range of plants found positive </w:t>
      </w:r>
      <w:r>
        <w:rPr>
          <w:rFonts w:ascii="Times New Roman" w:hAnsi="Times New Roman"/>
          <w:sz w:val="20"/>
          <w:szCs w:val="20"/>
        </w:rPr>
        <w:t>correlations</w:t>
      </w:r>
      <w:r w:rsidRPr="000904BB">
        <w:rPr>
          <w:rFonts w:ascii="Times New Roman" w:hAnsi="Times New Roman"/>
          <w:sz w:val="20"/>
          <w:szCs w:val="20"/>
        </w:rPr>
        <w:t xml:space="preserve"> (Tenhumberg et al. 2009; Williams et al. 2011). Furthermore, the potential for transients has been found to affect the magnitude of changes in </w:t>
      </w:r>
      <w:r w:rsidRPr="00B82781">
        <w:rPr>
          <w:rFonts w:ascii="Times New Roman" w:hAnsi="Times New Roman"/>
          <w:i/>
          <w:sz w:val="20"/>
          <w:szCs w:val="20"/>
        </w:rPr>
        <w:t>λ</w:t>
      </w:r>
      <w:r w:rsidRPr="000904BB">
        <w:rPr>
          <w:rFonts w:ascii="Times New Roman" w:hAnsi="Times New Roman"/>
          <w:sz w:val="20"/>
          <w:szCs w:val="20"/>
          <w:vertAlign w:val="subscript"/>
        </w:rPr>
        <w:t>1</w:t>
      </w:r>
      <w:r w:rsidRPr="000904BB">
        <w:rPr>
          <w:rFonts w:ascii="Times New Roman" w:hAnsi="Times New Roman"/>
          <w:sz w:val="20"/>
          <w:szCs w:val="20"/>
        </w:rPr>
        <w:t xml:space="preserve"> with matrix dimensionality (Ramula and Lehtilä 2005). </w:t>
      </w:r>
      <w:r>
        <w:rPr>
          <w:rFonts w:ascii="Times New Roman" w:hAnsi="Times New Roman"/>
          <w:sz w:val="20"/>
          <w:szCs w:val="20"/>
        </w:rPr>
        <w:t xml:space="preserve">Although </w:t>
      </w:r>
      <w:r w:rsidRPr="000904BB">
        <w:rPr>
          <w:rFonts w:ascii="Times New Roman" w:hAnsi="Times New Roman"/>
          <w:sz w:val="20"/>
          <w:szCs w:val="20"/>
        </w:rPr>
        <w:t xml:space="preserve">Stott et al. (2010) are concerned that such effects could “perhaps </w:t>
      </w:r>
      <w:r>
        <w:rPr>
          <w:rFonts w:ascii="Times New Roman" w:hAnsi="Times New Roman"/>
          <w:sz w:val="20"/>
          <w:szCs w:val="20"/>
        </w:rPr>
        <w:t xml:space="preserve">[be] </w:t>
      </w:r>
      <w:r w:rsidRPr="000904BB">
        <w:rPr>
          <w:rFonts w:ascii="Times New Roman" w:hAnsi="Times New Roman"/>
          <w:sz w:val="20"/>
          <w:szCs w:val="20"/>
        </w:rPr>
        <w:t>signifying a potentially worrying artefact of basic model parameterisation” (p</w:t>
      </w:r>
      <w:r>
        <w:rPr>
          <w:rFonts w:ascii="Times New Roman" w:hAnsi="Times New Roman"/>
          <w:sz w:val="20"/>
          <w:szCs w:val="20"/>
        </w:rPr>
        <w:t xml:space="preserve"> 302), </w:t>
      </w:r>
      <w:r w:rsidRPr="000904BB">
        <w:rPr>
          <w:rFonts w:ascii="Times New Roman" w:hAnsi="Times New Roman"/>
          <w:sz w:val="20"/>
          <w:szCs w:val="20"/>
        </w:rPr>
        <w:t xml:space="preserve">Ellis (2013) reassures that these relationships are likely to be weaker when considering </w:t>
      </w:r>
      <w:r w:rsidRPr="0091423A">
        <w:rPr>
          <w:rFonts w:ascii="Times New Roman" w:hAnsi="Times New Roman"/>
          <w:i/>
          <w:sz w:val="20"/>
          <w:szCs w:val="20"/>
        </w:rPr>
        <w:t>case-specific</w:t>
      </w:r>
      <w:r w:rsidRPr="000904BB">
        <w:rPr>
          <w:rFonts w:ascii="Times New Roman" w:hAnsi="Times New Roman"/>
          <w:sz w:val="20"/>
          <w:szCs w:val="20"/>
        </w:rPr>
        <w:t xml:space="preserve"> transient indices (</w:t>
      </w:r>
      <w:r>
        <w:rPr>
          <w:rFonts w:ascii="Times New Roman" w:hAnsi="Times New Roman"/>
          <w:sz w:val="20"/>
          <w:szCs w:val="20"/>
        </w:rPr>
        <w:t xml:space="preserve">‘realistic’ scenarios, </w:t>
      </w:r>
      <w:r w:rsidRPr="000904BB">
        <w:rPr>
          <w:rFonts w:ascii="Times New Roman" w:hAnsi="Times New Roman"/>
          <w:sz w:val="20"/>
          <w:szCs w:val="20"/>
        </w:rPr>
        <w:t xml:space="preserve">as here), compared to </w:t>
      </w:r>
      <w:r w:rsidRPr="0091423A">
        <w:rPr>
          <w:rFonts w:ascii="Times New Roman" w:hAnsi="Times New Roman"/>
          <w:i/>
          <w:sz w:val="20"/>
          <w:szCs w:val="20"/>
        </w:rPr>
        <w:t>bounds</w:t>
      </w:r>
      <w:r>
        <w:rPr>
          <w:rFonts w:ascii="Times New Roman" w:hAnsi="Times New Roman"/>
          <w:sz w:val="20"/>
          <w:szCs w:val="20"/>
        </w:rPr>
        <w:t xml:space="preserve"> (extreme hypothetical cases; see Stott et al. 2011).</w:t>
      </w:r>
    </w:p>
    <w:p w14:paraId="0F7D0329" w14:textId="77777777" w:rsidR="00A736FE" w:rsidRPr="000904BB" w:rsidRDefault="00A736FE" w:rsidP="00A736FE">
      <w:pPr>
        <w:spacing w:line="480" w:lineRule="auto"/>
        <w:ind w:firstLine="567"/>
        <w:rPr>
          <w:rFonts w:ascii="Times New Roman" w:hAnsi="Times New Roman"/>
          <w:sz w:val="20"/>
          <w:szCs w:val="20"/>
        </w:rPr>
      </w:pPr>
      <w:r>
        <w:rPr>
          <w:rFonts w:ascii="Times New Roman" w:hAnsi="Times New Roman"/>
          <w:sz w:val="20"/>
          <w:szCs w:val="20"/>
        </w:rPr>
        <w:t>A further fundamental caveat is the lack of migration among populations, which is increasingly considered essential when modelling human populations (</w:t>
      </w:r>
      <w:r w:rsidRPr="000904BB">
        <w:rPr>
          <w:rFonts w:ascii="Times New Roman" w:hAnsi="Times New Roman"/>
          <w:sz w:val="20"/>
          <w:szCs w:val="20"/>
        </w:rPr>
        <w:t>Azose et al. 2016</w:t>
      </w:r>
      <w:r w:rsidR="00EB3635">
        <w:rPr>
          <w:rFonts w:ascii="Times New Roman" w:hAnsi="Times New Roman"/>
          <w:sz w:val="20"/>
          <w:szCs w:val="20"/>
        </w:rPr>
        <w:t>;</w:t>
      </w:r>
      <w:r>
        <w:rPr>
          <w:rFonts w:ascii="Times New Roman" w:hAnsi="Times New Roman"/>
          <w:sz w:val="20"/>
          <w:szCs w:val="20"/>
        </w:rPr>
        <w:t xml:space="preserve"> </w:t>
      </w:r>
      <w:r w:rsidRPr="0016287D">
        <w:rPr>
          <w:rFonts w:ascii="Times New Roman" w:hAnsi="Times New Roman"/>
          <w:sz w:val="20"/>
          <w:szCs w:val="20"/>
        </w:rPr>
        <w:t>Willekens 2016</w:t>
      </w:r>
      <w:r>
        <w:rPr>
          <w:rFonts w:ascii="Times New Roman" w:hAnsi="Times New Roman"/>
          <w:sz w:val="20"/>
          <w:szCs w:val="20"/>
        </w:rPr>
        <w:t>)</w:t>
      </w:r>
      <w:r w:rsidRPr="000904BB">
        <w:rPr>
          <w:rFonts w:ascii="Times New Roman" w:hAnsi="Times New Roman"/>
          <w:sz w:val="20"/>
          <w:szCs w:val="20"/>
        </w:rPr>
        <w:t xml:space="preserve">. Ozgul et al. (2009) and </w:t>
      </w:r>
      <w:r w:rsidR="00A526D0">
        <w:rPr>
          <w:rFonts w:ascii="Times New Roman" w:hAnsi="Times New Roman"/>
          <w:sz w:val="20"/>
          <w:szCs w:val="20"/>
        </w:rPr>
        <w:t xml:space="preserve">C. </w:t>
      </w:r>
      <w:r w:rsidR="004F2AA0">
        <w:rPr>
          <w:rFonts w:ascii="Times New Roman" w:hAnsi="Times New Roman"/>
          <w:sz w:val="20"/>
          <w:szCs w:val="20"/>
        </w:rPr>
        <w:t>Dooley et al. (unpublished data</w:t>
      </w:r>
      <w:r w:rsidRPr="000904BB">
        <w:rPr>
          <w:rFonts w:ascii="Times New Roman" w:hAnsi="Times New Roman"/>
          <w:sz w:val="20"/>
          <w:szCs w:val="20"/>
        </w:rPr>
        <w:t xml:space="preserve">) </w:t>
      </w:r>
      <w:r>
        <w:rPr>
          <w:rFonts w:ascii="Times New Roman" w:hAnsi="Times New Roman"/>
          <w:sz w:val="20"/>
          <w:szCs w:val="20"/>
        </w:rPr>
        <w:t xml:space="preserve">show how transients unfold differently when incorporating migration between patches or countries, for metapopulations and geopolitical regions respectively. </w:t>
      </w:r>
      <w:r w:rsidRPr="000904BB">
        <w:rPr>
          <w:rFonts w:ascii="Times New Roman" w:hAnsi="Times New Roman"/>
          <w:sz w:val="20"/>
          <w:szCs w:val="20"/>
        </w:rPr>
        <w:t>Inclusion of such complexity reveals highly variable transient responses (Espenshade and Tannen 2015, and the unpublished EU st</w:t>
      </w:r>
      <w:r>
        <w:rPr>
          <w:rFonts w:ascii="Times New Roman" w:hAnsi="Times New Roman"/>
          <w:sz w:val="20"/>
          <w:szCs w:val="20"/>
        </w:rPr>
        <w:t xml:space="preserve">udy therein), </w:t>
      </w:r>
      <w:r w:rsidRPr="000904BB">
        <w:rPr>
          <w:rFonts w:ascii="Times New Roman" w:hAnsi="Times New Roman"/>
          <w:sz w:val="20"/>
          <w:szCs w:val="20"/>
        </w:rPr>
        <w:t>with eminent policy implications.</w:t>
      </w:r>
    </w:p>
    <w:p w14:paraId="49EEFE95" w14:textId="77777777" w:rsidR="00A736FE" w:rsidRDefault="00A736FE" w:rsidP="00A736FE">
      <w:pPr>
        <w:spacing w:line="480" w:lineRule="auto"/>
        <w:ind w:firstLine="567"/>
        <w:rPr>
          <w:rFonts w:ascii="Times New Roman" w:hAnsi="Times New Roman"/>
          <w:sz w:val="20"/>
          <w:szCs w:val="20"/>
        </w:rPr>
      </w:pPr>
      <w:r w:rsidRPr="000904BB">
        <w:rPr>
          <w:rFonts w:ascii="Times New Roman" w:hAnsi="Times New Roman"/>
          <w:sz w:val="20"/>
          <w:szCs w:val="20"/>
        </w:rPr>
        <w:t>A more significant lim</w:t>
      </w:r>
      <w:r>
        <w:rPr>
          <w:rFonts w:ascii="Times New Roman" w:hAnsi="Times New Roman"/>
          <w:sz w:val="20"/>
          <w:szCs w:val="20"/>
        </w:rPr>
        <w:t>itation to our study is the observation</w:t>
      </w:r>
      <w:r w:rsidRPr="000904BB">
        <w:rPr>
          <w:rFonts w:ascii="Times New Roman" w:hAnsi="Times New Roman"/>
          <w:sz w:val="20"/>
          <w:szCs w:val="20"/>
        </w:rPr>
        <w:t xml:space="preserve"> that differing behaviours of non-normality metrics with respect to matrix </w:t>
      </w:r>
      <w:r w:rsidRPr="00CE64CF">
        <w:rPr>
          <w:rFonts w:ascii="Times New Roman" w:hAnsi="Times New Roman"/>
          <w:sz w:val="20"/>
          <w:szCs w:val="20"/>
        </w:rPr>
        <w:t>standardisation remind us that these measures may be well-defined mathematically but less so with relevance to demography. Even</w:t>
      </w:r>
      <w:r w:rsidRPr="000904BB">
        <w:rPr>
          <w:rFonts w:ascii="Times New Roman" w:hAnsi="Times New Roman"/>
          <w:sz w:val="20"/>
          <w:szCs w:val="20"/>
        </w:rPr>
        <w:t xml:space="preserve"> in their original formulations, “scalar measures of nonnormality suffer from a basic limitation: Non</w:t>
      </w:r>
      <w:r>
        <w:rPr>
          <w:rFonts w:ascii="Times New Roman" w:hAnsi="Times New Roman"/>
          <w:sz w:val="20"/>
          <w:szCs w:val="20"/>
        </w:rPr>
        <w:t>-</w:t>
      </w:r>
      <w:r w:rsidRPr="000904BB">
        <w:rPr>
          <w:rFonts w:ascii="Times New Roman" w:hAnsi="Times New Roman"/>
          <w:sz w:val="20"/>
          <w:szCs w:val="20"/>
        </w:rPr>
        <w:t>normality is too complex to be summarised in a single number” (Trefethen and Embree 2005, p 446). There is</w:t>
      </w:r>
      <w:r>
        <w:rPr>
          <w:rFonts w:ascii="Times New Roman" w:hAnsi="Times New Roman"/>
          <w:sz w:val="20"/>
          <w:szCs w:val="20"/>
        </w:rPr>
        <w:t xml:space="preserve"> therefore</w:t>
      </w:r>
      <w:r w:rsidRPr="000904BB">
        <w:rPr>
          <w:rFonts w:ascii="Times New Roman" w:hAnsi="Times New Roman"/>
          <w:sz w:val="20"/>
          <w:szCs w:val="20"/>
        </w:rPr>
        <w:t xml:space="preserve"> still a need to develop more reliable measures. One response (Gheor</w:t>
      </w:r>
      <w:r>
        <w:rPr>
          <w:rFonts w:ascii="Times New Roman" w:hAnsi="Times New Roman"/>
          <w:sz w:val="20"/>
          <w:szCs w:val="20"/>
        </w:rPr>
        <w:t>ghi</w:t>
      </w:r>
      <w:r w:rsidRPr="000904BB">
        <w:rPr>
          <w:rFonts w:ascii="Times New Roman" w:hAnsi="Times New Roman"/>
          <w:sz w:val="20"/>
          <w:szCs w:val="20"/>
        </w:rPr>
        <w:t>u 2003) to Elsner and Paardekooper’s (1987) review of non-normality metrics considered scalar instruments to be just one of two ‘major concepts’ in their measurement – the other being pseudospectra</w:t>
      </w:r>
      <w:r>
        <w:rPr>
          <w:rFonts w:ascii="Times New Roman" w:hAnsi="Times New Roman"/>
          <w:sz w:val="20"/>
          <w:szCs w:val="20"/>
        </w:rPr>
        <w:t xml:space="preserve"> analysis.</w:t>
      </w:r>
    </w:p>
    <w:p w14:paraId="70A966EE" w14:textId="77777777" w:rsidR="00A736FE" w:rsidRPr="000904BB" w:rsidRDefault="00A736FE" w:rsidP="00A736FE">
      <w:pPr>
        <w:spacing w:line="480" w:lineRule="auto"/>
        <w:ind w:firstLine="567"/>
        <w:rPr>
          <w:rFonts w:ascii="Times New Roman" w:hAnsi="Times New Roman"/>
          <w:sz w:val="20"/>
          <w:szCs w:val="20"/>
        </w:rPr>
      </w:pPr>
    </w:p>
    <w:p w14:paraId="2DDE9945" w14:textId="77777777" w:rsidR="00A736FE" w:rsidRPr="00B82781" w:rsidRDefault="00A736FE" w:rsidP="00A736FE">
      <w:pPr>
        <w:pStyle w:val="Heading3"/>
        <w:spacing w:line="480" w:lineRule="auto"/>
        <w:rPr>
          <w:rFonts w:ascii="Times New Roman" w:hAnsi="Times New Roman" w:cs="Times New Roman"/>
          <w:color w:val="auto"/>
          <w:sz w:val="20"/>
          <w:szCs w:val="20"/>
        </w:rPr>
      </w:pPr>
      <w:r w:rsidRPr="00B82781">
        <w:rPr>
          <w:rFonts w:ascii="Times New Roman" w:hAnsi="Times New Roman" w:cs="Times New Roman"/>
          <w:color w:val="auto"/>
          <w:sz w:val="20"/>
          <w:szCs w:val="20"/>
        </w:rPr>
        <w:t xml:space="preserve">A future direction: pseudospectra analysis for population ecology </w:t>
      </w:r>
    </w:p>
    <w:p w14:paraId="4FAAB99E" w14:textId="77777777" w:rsidR="00A22B3F" w:rsidRPr="00A22B3F" w:rsidRDefault="00A22B3F" w:rsidP="00A22B3F"/>
    <w:p w14:paraId="639FBC29" w14:textId="77777777" w:rsidR="00A736FE" w:rsidRDefault="00A736FE" w:rsidP="00A736FE">
      <w:pPr>
        <w:spacing w:line="480" w:lineRule="auto"/>
        <w:rPr>
          <w:rFonts w:ascii="Times New Roman" w:hAnsi="Times New Roman"/>
          <w:sz w:val="20"/>
          <w:szCs w:val="20"/>
        </w:rPr>
      </w:pPr>
      <w:r w:rsidRPr="000904BB">
        <w:rPr>
          <w:rFonts w:ascii="Times New Roman" w:hAnsi="Times New Roman"/>
          <w:sz w:val="20"/>
          <w:szCs w:val="20"/>
        </w:rPr>
        <w:t>Pseudospectra are visual representations of non-normality developed by Trefethen and colleagues (Trefethen 1992; Trefethen et al. 1993; Trefethen and Embree 2005) for applications</w:t>
      </w:r>
      <w:r>
        <w:rPr>
          <w:rFonts w:ascii="Times New Roman" w:hAnsi="Times New Roman"/>
          <w:sz w:val="20"/>
          <w:szCs w:val="20"/>
        </w:rPr>
        <w:t xml:space="preserve"> in fluid dynam</w:t>
      </w:r>
      <w:r w:rsidRPr="00334AA7">
        <w:rPr>
          <w:rFonts w:ascii="Times New Roman" w:hAnsi="Times New Roman"/>
          <w:sz w:val="20"/>
          <w:szCs w:val="20"/>
        </w:rPr>
        <w:t xml:space="preserve">ics, but with the recognition that the techniques also apply to related problems across the mathematical sciences. </w:t>
      </w:r>
      <w:r>
        <w:rPr>
          <w:rFonts w:ascii="Times New Roman" w:hAnsi="Times New Roman"/>
          <w:sz w:val="20"/>
          <w:szCs w:val="20"/>
        </w:rPr>
        <w:t>Trefethen (1997) believes</w:t>
      </w:r>
      <w:r w:rsidRPr="00FB7FCF">
        <w:rPr>
          <w:rFonts w:ascii="Times New Roman" w:hAnsi="Times New Roman"/>
          <w:sz w:val="20"/>
          <w:szCs w:val="20"/>
        </w:rPr>
        <w:t xml:space="preserve"> that visual representations aid interpretation by “supplementing the abstract</w:t>
      </w:r>
      <w:r>
        <w:rPr>
          <w:rFonts w:ascii="Times New Roman" w:hAnsi="Times New Roman"/>
          <w:sz w:val="20"/>
          <w:szCs w:val="20"/>
        </w:rPr>
        <w:t xml:space="preserve"> notion of a matrix [with]</w:t>
      </w:r>
      <w:r w:rsidRPr="00FB7FCF">
        <w:rPr>
          <w:rFonts w:ascii="Times New Roman" w:hAnsi="Times New Roman"/>
          <w:sz w:val="20"/>
          <w:szCs w:val="20"/>
        </w:rPr>
        <w:t xml:space="preserve"> a picture in the complex plane</w:t>
      </w:r>
      <w:r>
        <w:rPr>
          <w:rFonts w:ascii="Times New Roman" w:hAnsi="Times New Roman"/>
          <w:sz w:val="20"/>
          <w:szCs w:val="20"/>
        </w:rPr>
        <w:t>” (p 383)</w:t>
      </w:r>
      <w:r w:rsidRPr="00FB7FCF">
        <w:rPr>
          <w:rFonts w:ascii="Times New Roman" w:hAnsi="Times New Roman"/>
          <w:sz w:val="20"/>
          <w:szCs w:val="20"/>
        </w:rPr>
        <w:t xml:space="preserve">. </w:t>
      </w:r>
      <w:r>
        <w:rPr>
          <w:rFonts w:ascii="Times New Roman" w:hAnsi="Times New Roman"/>
          <w:sz w:val="20"/>
          <w:szCs w:val="20"/>
        </w:rPr>
        <w:t>He suggested that pseudospectra</w:t>
      </w:r>
      <w:r w:rsidRPr="00FB7FCF">
        <w:rPr>
          <w:rFonts w:ascii="Times New Roman" w:hAnsi="Times New Roman"/>
          <w:sz w:val="20"/>
          <w:szCs w:val="20"/>
        </w:rPr>
        <w:t xml:space="preserve"> </w:t>
      </w:r>
      <w:r>
        <w:rPr>
          <w:rFonts w:ascii="Times New Roman" w:hAnsi="Times New Roman"/>
          <w:sz w:val="20"/>
          <w:szCs w:val="20"/>
        </w:rPr>
        <w:t>give matrices ‘personality’</w:t>
      </w:r>
      <w:r w:rsidRPr="00FB7FCF">
        <w:rPr>
          <w:rFonts w:ascii="Times New Roman" w:hAnsi="Times New Roman"/>
          <w:sz w:val="20"/>
          <w:szCs w:val="20"/>
        </w:rPr>
        <w:t xml:space="preserve">, and </w:t>
      </w:r>
      <w:r>
        <w:rPr>
          <w:rFonts w:ascii="Times New Roman" w:hAnsi="Times New Roman"/>
          <w:sz w:val="20"/>
          <w:szCs w:val="20"/>
        </w:rPr>
        <w:lastRenderedPageBreak/>
        <w:t xml:space="preserve">that they </w:t>
      </w:r>
      <w:r w:rsidRPr="00FB7FCF">
        <w:rPr>
          <w:rFonts w:ascii="Times New Roman" w:hAnsi="Times New Roman"/>
          <w:sz w:val="20"/>
          <w:szCs w:val="20"/>
        </w:rPr>
        <w:t>may allow us “to notice things tha</w:t>
      </w:r>
      <w:r>
        <w:rPr>
          <w:rFonts w:ascii="Times New Roman" w:hAnsi="Times New Roman"/>
          <w:sz w:val="20"/>
          <w:szCs w:val="20"/>
        </w:rPr>
        <w:t>t went unnoticed before” (p</w:t>
      </w:r>
      <w:r w:rsidRPr="00FB7FCF">
        <w:rPr>
          <w:rFonts w:ascii="Times New Roman" w:hAnsi="Times New Roman"/>
          <w:sz w:val="20"/>
          <w:szCs w:val="20"/>
        </w:rPr>
        <w:t xml:space="preserve"> 404).</w:t>
      </w:r>
      <w:r>
        <w:rPr>
          <w:rFonts w:ascii="Times New Roman" w:hAnsi="Times New Roman"/>
          <w:sz w:val="20"/>
          <w:szCs w:val="20"/>
        </w:rPr>
        <w:t xml:space="preserve"> Pseudospectra can now be interrogated via perturbation analysis and transient bound calculation (Townley et al. 2007).</w:t>
      </w:r>
    </w:p>
    <w:p w14:paraId="020261F7" w14:textId="77777777" w:rsidR="00A736FE" w:rsidRDefault="00146F20" w:rsidP="00A736FE">
      <w:pPr>
        <w:spacing w:line="480" w:lineRule="auto"/>
        <w:ind w:firstLine="567"/>
        <w:rPr>
          <w:rFonts w:ascii="Times New Roman" w:hAnsi="Times New Roman"/>
          <w:sz w:val="20"/>
          <w:szCs w:val="20"/>
        </w:rPr>
      </w:pPr>
      <w:r>
        <w:rPr>
          <w:rFonts w:ascii="Times New Roman" w:hAnsi="Times New Roman"/>
          <w:sz w:val="20"/>
          <w:szCs w:val="20"/>
        </w:rPr>
        <w:t>Figure</w:t>
      </w:r>
      <w:r w:rsidR="00A736FE">
        <w:rPr>
          <w:rFonts w:ascii="Times New Roman" w:hAnsi="Times New Roman"/>
          <w:sz w:val="20"/>
          <w:szCs w:val="20"/>
        </w:rPr>
        <w:t xml:space="preserve"> 6 shows two different types of plot for pseudospectra corresponding to the spectrum shown in Fig. 1 (for Bulgaria in 2014). Pseudospectra ‘look beyond’ eigenvalues to express how they change under perturbation (Trefethen 1992; Trefethen and Embree 2005</w:t>
      </w:r>
      <w:r w:rsidR="00A736FE" w:rsidRPr="004135BC">
        <w:rPr>
          <w:rFonts w:ascii="Times New Roman" w:hAnsi="Times New Roman"/>
          <w:sz w:val="20"/>
          <w:szCs w:val="20"/>
        </w:rPr>
        <w:t>). Here it can be helpful to bear in mind that errors in parameter estimation mean</w:t>
      </w:r>
      <w:r w:rsidR="00A736FE">
        <w:rPr>
          <w:rFonts w:ascii="Times New Roman" w:hAnsi="Times New Roman"/>
          <w:sz w:val="20"/>
          <w:szCs w:val="20"/>
        </w:rPr>
        <w:t xml:space="preserve"> that</w:t>
      </w:r>
      <w:r w:rsidR="00A736FE" w:rsidRPr="004135BC">
        <w:rPr>
          <w:rFonts w:ascii="Times New Roman" w:hAnsi="Times New Roman"/>
          <w:sz w:val="20"/>
          <w:szCs w:val="20"/>
        </w:rPr>
        <w:t xml:space="preserve"> the ‘true’ model may actually lie within the pseudospectral set of slightly perturbed matrices. Ps</w:t>
      </w:r>
      <w:r w:rsidR="00A736FE">
        <w:rPr>
          <w:rFonts w:ascii="Times New Roman" w:hAnsi="Times New Roman"/>
          <w:sz w:val="20"/>
          <w:szCs w:val="20"/>
        </w:rPr>
        <w:t xml:space="preserve">eudospectra can capture transient dynamics more holistically than eigenvalues – “although pseudospectra rarely give an exact answer, they detect and quantify transients that eigenvalues miss” (Trefethen and Embree 2005, p 135). Another reason we restricted analyses to the Frobenius norm is that it defines a special case </w:t>
      </w:r>
      <w:r w:rsidR="00A736FE" w:rsidRPr="004135BC">
        <w:rPr>
          <w:rFonts w:ascii="Times New Roman" w:hAnsi="Times New Roman"/>
          <w:sz w:val="20"/>
          <w:szCs w:val="20"/>
        </w:rPr>
        <w:t xml:space="preserve">where pseudospectra exactly determine matrix norm behaviour (Greenbaum and Trefethen 1993). </w:t>
      </w:r>
      <w:r w:rsidR="00A736FE">
        <w:rPr>
          <w:rFonts w:ascii="Times New Roman" w:hAnsi="Times New Roman"/>
          <w:sz w:val="20"/>
          <w:szCs w:val="20"/>
        </w:rPr>
        <w:t xml:space="preserve">Inferences about non-normality can be made by studying eigenvalue encapsulation by the pseudospectra contours: the lower the value of contours encapsulating the eigenvalues, the less stable the matrix and the greater its proneness to transient behaviour. </w:t>
      </w:r>
    </w:p>
    <w:p w14:paraId="3074F7E1" w14:textId="77777777" w:rsidR="00A736FE" w:rsidRPr="000904BB" w:rsidRDefault="00A736FE" w:rsidP="00A736FE">
      <w:pPr>
        <w:spacing w:line="480" w:lineRule="auto"/>
        <w:ind w:firstLine="567"/>
        <w:rPr>
          <w:rFonts w:ascii="Times New Roman" w:hAnsi="Times New Roman"/>
          <w:sz w:val="20"/>
          <w:szCs w:val="20"/>
        </w:rPr>
      </w:pPr>
    </w:p>
    <w:p w14:paraId="12564098" w14:textId="77777777" w:rsidR="00A736FE" w:rsidRPr="00702C7A" w:rsidRDefault="00A736FE" w:rsidP="00A736FE">
      <w:pPr>
        <w:pStyle w:val="Heading3"/>
        <w:spacing w:line="480" w:lineRule="auto"/>
        <w:rPr>
          <w:rFonts w:ascii="Times New Roman" w:hAnsi="Times New Roman" w:cs="Times New Roman"/>
          <w:color w:val="auto"/>
          <w:sz w:val="20"/>
          <w:szCs w:val="20"/>
        </w:rPr>
      </w:pPr>
      <w:r w:rsidRPr="00702C7A">
        <w:rPr>
          <w:rFonts w:ascii="Times New Roman" w:hAnsi="Times New Roman" w:cs="Times New Roman"/>
          <w:color w:val="auto"/>
          <w:sz w:val="20"/>
          <w:szCs w:val="20"/>
        </w:rPr>
        <w:t xml:space="preserve">Concluding remarks </w:t>
      </w:r>
    </w:p>
    <w:p w14:paraId="11F8C723" w14:textId="77777777" w:rsidR="00A22B3F" w:rsidRPr="00A22B3F" w:rsidRDefault="00A22B3F" w:rsidP="00A22B3F"/>
    <w:p w14:paraId="0FFC3ADF" w14:textId="77777777" w:rsidR="00A736FE" w:rsidRDefault="00A736FE" w:rsidP="00A736FE">
      <w:pPr>
        <w:spacing w:line="480" w:lineRule="auto"/>
        <w:rPr>
          <w:rFonts w:ascii="Times New Roman" w:hAnsi="Times New Roman"/>
          <w:sz w:val="20"/>
          <w:szCs w:val="20"/>
        </w:rPr>
      </w:pPr>
      <w:r w:rsidRPr="000904BB">
        <w:rPr>
          <w:rFonts w:ascii="Times New Roman" w:hAnsi="Times New Roman"/>
          <w:sz w:val="20"/>
          <w:szCs w:val="20"/>
        </w:rPr>
        <w:t xml:space="preserve">Regardless of </w:t>
      </w:r>
      <w:r>
        <w:rPr>
          <w:rFonts w:ascii="Times New Roman" w:hAnsi="Times New Roman"/>
          <w:sz w:val="20"/>
          <w:szCs w:val="20"/>
        </w:rPr>
        <w:t>the precise way in which PPM</w:t>
      </w:r>
      <w:r w:rsidRPr="000904BB">
        <w:rPr>
          <w:rFonts w:ascii="Times New Roman" w:hAnsi="Times New Roman"/>
          <w:sz w:val="20"/>
          <w:szCs w:val="20"/>
        </w:rPr>
        <w:t xml:space="preserve"> non-normality</w:t>
      </w:r>
      <w:r>
        <w:rPr>
          <w:rFonts w:ascii="Times New Roman" w:hAnsi="Times New Roman"/>
          <w:sz w:val="20"/>
          <w:szCs w:val="20"/>
        </w:rPr>
        <w:t xml:space="preserve"> is incorporated into future study, the insight the metrics offer into </w:t>
      </w:r>
      <w:r w:rsidRPr="00026583">
        <w:rPr>
          <w:rFonts w:ascii="Times New Roman" w:hAnsi="Times New Roman"/>
          <w:sz w:val="20"/>
          <w:szCs w:val="20"/>
        </w:rPr>
        <w:t>transient dynam</w:t>
      </w:r>
      <w:r w:rsidR="006C2582">
        <w:rPr>
          <w:rFonts w:ascii="Times New Roman" w:hAnsi="Times New Roman"/>
          <w:sz w:val="20"/>
          <w:szCs w:val="20"/>
        </w:rPr>
        <w:t>ics renders them</w:t>
      </w:r>
      <w:r>
        <w:rPr>
          <w:rFonts w:ascii="Times New Roman" w:hAnsi="Times New Roman"/>
          <w:sz w:val="20"/>
          <w:szCs w:val="20"/>
        </w:rPr>
        <w:t xml:space="preserve"> an instructive addition to the demographer’s toolbox. At the very least, increasing non-normality, </w:t>
      </w:r>
      <w:r w:rsidRPr="000E7B88">
        <w:rPr>
          <w:rFonts w:ascii="Times New Roman" w:hAnsi="Times New Roman"/>
          <w:sz w:val="20"/>
          <w:szCs w:val="20"/>
        </w:rPr>
        <w:t>with concomitant transient impacts, necessitates</w:t>
      </w:r>
      <w:r>
        <w:rPr>
          <w:rFonts w:ascii="Times New Roman" w:hAnsi="Times New Roman"/>
          <w:sz w:val="20"/>
          <w:szCs w:val="20"/>
        </w:rPr>
        <w:t xml:space="preserve"> a shift away from the prevailing overreliance on asymptotic gro</w:t>
      </w:r>
      <w:r w:rsidR="00A04095">
        <w:rPr>
          <w:rFonts w:ascii="Times New Roman" w:hAnsi="Times New Roman"/>
          <w:sz w:val="20"/>
          <w:szCs w:val="20"/>
        </w:rPr>
        <w:t xml:space="preserve">wth rate and the damping ratio – </w:t>
      </w:r>
      <w:r>
        <w:rPr>
          <w:rFonts w:ascii="Times New Roman" w:hAnsi="Times New Roman"/>
          <w:sz w:val="20"/>
          <w:szCs w:val="20"/>
        </w:rPr>
        <w:t xml:space="preserve">which we have shown is too closely related to </w:t>
      </w:r>
      <w:r w:rsidRPr="00336A24">
        <w:rPr>
          <w:rFonts w:ascii="Times New Roman" w:hAnsi="Times New Roman"/>
          <w:i/>
          <w:sz w:val="20"/>
          <w:szCs w:val="20"/>
        </w:rPr>
        <w:t>λ</w:t>
      </w:r>
      <w:r>
        <w:rPr>
          <w:rFonts w:ascii="Times New Roman" w:hAnsi="Times New Roman"/>
          <w:sz w:val="20"/>
          <w:szCs w:val="20"/>
          <w:vertAlign w:val="subscript"/>
        </w:rPr>
        <w:t>1</w:t>
      </w:r>
      <w:r>
        <w:rPr>
          <w:rFonts w:ascii="Times New Roman" w:hAnsi="Times New Roman"/>
          <w:sz w:val="20"/>
          <w:szCs w:val="20"/>
        </w:rPr>
        <w:t xml:space="preserve"> (Fig. 3) and too far removed from transient indices (Fig. 5) to be an optimal transient metric. Implications of non-normality are not restricted to short-term dynamics; even longer-term projections, such as the 2100 population size, should consider transients due to their enduring inertial effect that echoes across generations into the future (Koons et al. 2007). Matrix non-normality measures the extent of the amplificatory impacts of the PPM on the population projection, moving beyond the current focus of demographic projections incorporating transient dynamics solely due to their conditional definition from a specified initial population (Yearsley 2004; </w:t>
      </w:r>
      <w:r w:rsidRPr="007A3911">
        <w:rPr>
          <w:rFonts w:ascii="Times New Roman" w:hAnsi="Times New Roman"/>
          <w:sz w:val="20"/>
          <w:szCs w:val="20"/>
        </w:rPr>
        <w:t>Caswell and Sánchez Gassen 2015</w:t>
      </w:r>
      <w:r>
        <w:rPr>
          <w:rFonts w:ascii="Times New Roman" w:hAnsi="Times New Roman"/>
          <w:sz w:val="20"/>
          <w:szCs w:val="20"/>
        </w:rPr>
        <w:t xml:space="preserve">). </w:t>
      </w:r>
    </w:p>
    <w:p w14:paraId="5A6B367B" w14:textId="77777777" w:rsidR="00A736FE" w:rsidRDefault="00A736FE" w:rsidP="00A736FE">
      <w:pPr>
        <w:spacing w:line="480" w:lineRule="auto"/>
        <w:rPr>
          <w:rFonts w:ascii="Times New Roman" w:hAnsi="Times New Roman"/>
          <w:sz w:val="20"/>
          <w:szCs w:val="20"/>
        </w:rPr>
      </w:pPr>
      <w:r>
        <w:rPr>
          <w:rFonts w:ascii="Times New Roman" w:hAnsi="Times New Roman"/>
          <w:sz w:val="20"/>
          <w:szCs w:val="20"/>
        </w:rPr>
        <w:tab/>
        <w:t xml:space="preserve">Increasing non-normality suggests intensifying transient effects, with repercussions for European human populations and beyond. Further development of the non-normality metrics applied here (especially our favoured Henrici), along with exploration of pseudospectra, would facilitate improved evidence-based understanding of how the inevitable disturbances that divert population trajectories alter our demographic </w:t>
      </w:r>
      <w:r>
        <w:rPr>
          <w:rFonts w:ascii="Times New Roman" w:hAnsi="Times New Roman"/>
          <w:sz w:val="20"/>
          <w:szCs w:val="20"/>
        </w:rPr>
        <w:lastRenderedPageBreak/>
        <w:t>destinies. Such insight would benefit varied fields, from evolutionary demography (e.g.</w:t>
      </w:r>
      <w:r w:rsidR="00146F20">
        <w:rPr>
          <w:rFonts w:ascii="Times New Roman" w:hAnsi="Times New Roman"/>
          <w:sz w:val="20"/>
          <w:szCs w:val="20"/>
        </w:rPr>
        <w:t>,</w:t>
      </w:r>
      <w:r>
        <w:rPr>
          <w:rFonts w:ascii="Times New Roman" w:hAnsi="Times New Roman"/>
          <w:sz w:val="20"/>
          <w:szCs w:val="20"/>
        </w:rPr>
        <w:t xml:space="preserve"> Metcalf and Pavard 2007), through development </w:t>
      </w:r>
      <w:r w:rsidRPr="001E07ED">
        <w:rPr>
          <w:rFonts w:ascii="Times New Roman" w:hAnsi="Times New Roman"/>
          <w:sz w:val="20"/>
          <w:szCs w:val="20"/>
        </w:rPr>
        <w:t>studies (</w:t>
      </w:r>
      <w:r>
        <w:rPr>
          <w:rFonts w:ascii="Times New Roman" w:hAnsi="Times New Roman"/>
          <w:sz w:val="20"/>
          <w:szCs w:val="20"/>
        </w:rPr>
        <w:t>e.g.</w:t>
      </w:r>
      <w:r w:rsidR="00146F20">
        <w:rPr>
          <w:rFonts w:ascii="Times New Roman" w:hAnsi="Times New Roman"/>
          <w:sz w:val="20"/>
          <w:szCs w:val="20"/>
        </w:rPr>
        <w:t>,</w:t>
      </w:r>
      <w:r>
        <w:rPr>
          <w:rFonts w:ascii="Times New Roman" w:hAnsi="Times New Roman"/>
          <w:sz w:val="20"/>
          <w:szCs w:val="20"/>
        </w:rPr>
        <w:t xml:space="preserve"> </w:t>
      </w:r>
      <w:r w:rsidRPr="001E07ED">
        <w:rPr>
          <w:rFonts w:ascii="Times New Roman" w:hAnsi="Times New Roman"/>
          <w:sz w:val="20"/>
          <w:szCs w:val="20"/>
        </w:rPr>
        <w:t>Osotimehin 2011), to popul</w:t>
      </w:r>
      <w:r>
        <w:rPr>
          <w:rFonts w:ascii="Times New Roman" w:hAnsi="Times New Roman"/>
          <w:sz w:val="20"/>
          <w:szCs w:val="20"/>
        </w:rPr>
        <w:t>ation health (e.g.</w:t>
      </w:r>
      <w:r w:rsidR="00146F20">
        <w:rPr>
          <w:rFonts w:ascii="Times New Roman" w:hAnsi="Times New Roman"/>
          <w:sz w:val="20"/>
          <w:szCs w:val="20"/>
        </w:rPr>
        <w:t>,</w:t>
      </w:r>
      <w:r>
        <w:rPr>
          <w:rFonts w:ascii="Times New Roman" w:hAnsi="Times New Roman"/>
          <w:sz w:val="20"/>
          <w:szCs w:val="20"/>
        </w:rPr>
        <w:t xml:space="preserve"> Harper 2010; Kassebaum et al. 2016). Population ecology </w:t>
      </w:r>
      <w:r w:rsidRPr="00334AA7">
        <w:rPr>
          <w:rFonts w:ascii="Times New Roman" w:hAnsi="Times New Roman"/>
          <w:sz w:val="20"/>
          <w:szCs w:val="20"/>
        </w:rPr>
        <w:t>has long benefitted from an acute awareness of mathematical k</w:t>
      </w:r>
      <w:r>
        <w:rPr>
          <w:rFonts w:ascii="Times New Roman" w:hAnsi="Times New Roman"/>
          <w:sz w:val="20"/>
          <w:szCs w:val="20"/>
        </w:rPr>
        <w:t>nowledge. We encourage</w:t>
      </w:r>
      <w:r w:rsidRPr="00334AA7">
        <w:rPr>
          <w:rFonts w:ascii="Times New Roman" w:hAnsi="Times New Roman"/>
          <w:sz w:val="20"/>
          <w:szCs w:val="20"/>
        </w:rPr>
        <w:t xml:space="preserve"> judicious use of in</w:t>
      </w:r>
      <w:r>
        <w:rPr>
          <w:rFonts w:ascii="Times New Roman" w:hAnsi="Times New Roman"/>
          <w:sz w:val="20"/>
          <w:szCs w:val="20"/>
        </w:rPr>
        <w:t xml:space="preserve">terdisciplinary approaches to help population projection models </w:t>
      </w:r>
      <w:r w:rsidRPr="000904BB">
        <w:rPr>
          <w:rFonts w:ascii="Times New Roman" w:hAnsi="Times New Roman"/>
          <w:sz w:val="20"/>
          <w:szCs w:val="20"/>
        </w:rPr>
        <w:t>remain relevant in a</w:t>
      </w:r>
      <w:r>
        <w:rPr>
          <w:rFonts w:ascii="Times New Roman" w:hAnsi="Times New Roman"/>
          <w:sz w:val="20"/>
          <w:szCs w:val="20"/>
        </w:rPr>
        <w:t xml:space="preserve"> continuously </w:t>
      </w:r>
      <w:r w:rsidRPr="00714CB5">
        <w:rPr>
          <w:rFonts w:ascii="Times New Roman" w:hAnsi="Times New Roman"/>
          <w:sz w:val="20"/>
          <w:szCs w:val="20"/>
        </w:rPr>
        <w:t>changing</w:t>
      </w:r>
      <w:r>
        <w:rPr>
          <w:rFonts w:ascii="Times New Roman" w:hAnsi="Times New Roman"/>
          <w:sz w:val="20"/>
          <w:szCs w:val="20"/>
        </w:rPr>
        <w:t xml:space="preserve"> </w:t>
      </w:r>
      <w:r w:rsidRPr="00714CB5">
        <w:rPr>
          <w:rFonts w:ascii="Times New Roman" w:hAnsi="Times New Roman"/>
          <w:sz w:val="20"/>
          <w:szCs w:val="20"/>
        </w:rPr>
        <w:t>world.</w:t>
      </w:r>
    </w:p>
    <w:p w14:paraId="5E15F2BC" w14:textId="77777777" w:rsidR="00A736FE" w:rsidRDefault="00A736FE" w:rsidP="00A736FE">
      <w:pPr>
        <w:spacing w:line="480" w:lineRule="auto"/>
        <w:rPr>
          <w:rFonts w:ascii="Times New Roman" w:hAnsi="Times New Roman"/>
          <w:sz w:val="20"/>
          <w:szCs w:val="20"/>
        </w:rPr>
      </w:pPr>
    </w:p>
    <w:p w14:paraId="0B0DFF46" w14:textId="77777777" w:rsidR="00A736FE" w:rsidRDefault="00A736FE" w:rsidP="00A736FE">
      <w:pPr>
        <w:spacing w:line="480" w:lineRule="auto"/>
        <w:ind w:firstLine="567"/>
        <w:rPr>
          <w:rFonts w:ascii="Times New Roman" w:hAnsi="Times New Roman"/>
          <w:sz w:val="20"/>
          <w:szCs w:val="20"/>
        </w:rPr>
      </w:pPr>
    </w:p>
    <w:p w14:paraId="3306E644" w14:textId="77777777" w:rsidR="00A736FE" w:rsidRPr="00336A24" w:rsidRDefault="00336A24" w:rsidP="00A736FE">
      <w:pPr>
        <w:pStyle w:val="Heading2"/>
        <w:spacing w:line="480" w:lineRule="auto"/>
        <w:rPr>
          <w:rFonts w:ascii="Times New Roman" w:hAnsi="Times New Roman" w:cs="Times New Roman"/>
          <w:b/>
          <w:color w:val="auto"/>
          <w:sz w:val="20"/>
          <w:szCs w:val="20"/>
        </w:rPr>
      </w:pPr>
      <w:r w:rsidRPr="00336A24">
        <w:rPr>
          <w:rFonts w:ascii="Times New Roman" w:hAnsi="Times New Roman" w:cs="Times New Roman"/>
          <w:b/>
          <w:color w:val="auto"/>
          <w:sz w:val="20"/>
          <w:szCs w:val="20"/>
        </w:rPr>
        <w:t>Acknowledgements</w:t>
      </w:r>
    </w:p>
    <w:p w14:paraId="2ABC7D45" w14:textId="77777777" w:rsidR="00A22B3F" w:rsidRPr="00A22B3F" w:rsidRDefault="00A22B3F" w:rsidP="00A22B3F"/>
    <w:p w14:paraId="1C1E8D3F" w14:textId="4AE51207" w:rsidR="00A736FE" w:rsidRPr="000904BB" w:rsidRDefault="00A736FE" w:rsidP="00A736FE">
      <w:pPr>
        <w:spacing w:line="480" w:lineRule="auto"/>
        <w:rPr>
          <w:rFonts w:ascii="Times New Roman" w:hAnsi="Times New Roman"/>
          <w:sz w:val="20"/>
          <w:szCs w:val="20"/>
        </w:rPr>
      </w:pPr>
      <w:r>
        <w:rPr>
          <w:rFonts w:ascii="Times New Roman" w:hAnsi="Times New Roman"/>
          <w:sz w:val="20"/>
          <w:szCs w:val="20"/>
        </w:rPr>
        <w:t>This work was funded by Wellcome Trus</w:t>
      </w:r>
      <w:r w:rsidR="00A33EF0">
        <w:rPr>
          <w:rFonts w:ascii="Times New Roman" w:hAnsi="Times New Roman"/>
          <w:sz w:val="20"/>
          <w:szCs w:val="20"/>
        </w:rPr>
        <w:t>t New Investigator 103780 to T</w:t>
      </w:r>
      <w:r>
        <w:rPr>
          <w:rFonts w:ascii="Times New Roman" w:hAnsi="Times New Roman"/>
          <w:sz w:val="20"/>
          <w:szCs w:val="20"/>
        </w:rPr>
        <w:t xml:space="preserve">E, who is also funded by NERC Fellowship NE/J018163/1. JB gratefully acknowledges the ESRC Centre for Population Change </w:t>
      </w:r>
      <w:r w:rsidRPr="00A139FE">
        <w:rPr>
          <w:rFonts w:ascii="Times New Roman" w:hAnsi="Times New Roman"/>
          <w:sz w:val="20"/>
          <w:szCs w:val="20"/>
        </w:rPr>
        <w:t>ES/K007394/1</w:t>
      </w:r>
      <w:r>
        <w:rPr>
          <w:rFonts w:ascii="Times New Roman" w:hAnsi="Times New Roman"/>
          <w:sz w:val="20"/>
          <w:szCs w:val="20"/>
        </w:rPr>
        <w:t>.</w:t>
      </w:r>
      <w:r w:rsidR="000D7432">
        <w:rPr>
          <w:rFonts w:ascii="Times New Roman" w:hAnsi="Times New Roman"/>
          <w:sz w:val="20"/>
          <w:szCs w:val="20"/>
        </w:rPr>
        <w:t xml:space="preserve"> </w:t>
      </w:r>
      <w:r w:rsidR="000D7432" w:rsidRPr="000D7432">
        <w:rPr>
          <w:rFonts w:ascii="Times New Roman" w:hAnsi="Times New Roman"/>
          <w:sz w:val="20"/>
          <w:szCs w:val="20"/>
        </w:rPr>
        <w:t>We also thank David Koons and an anonymous reviewer for helpful comments which much improved earlier versions of the manuscript.</w:t>
      </w:r>
    </w:p>
    <w:p w14:paraId="5B1D60CF" w14:textId="77777777" w:rsidR="00A736FE" w:rsidRDefault="00A736FE" w:rsidP="00A736FE">
      <w:pPr>
        <w:spacing w:line="480" w:lineRule="auto"/>
        <w:rPr>
          <w:rFonts w:ascii="Times New Roman" w:hAnsi="Times New Roman"/>
          <w:sz w:val="20"/>
          <w:szCs w:val="20"/>
        </w:rPr>
      </w:pPr>
    </w:p>
    <w:p w14:paraId="1117C483" w14:textId="77777777" w:rsidR="00A736FE" w:rsidRDefault="00A736FE" w:rsidP="00A736FE">
      <w:pPr>
        <w:spacing w:line="480" w:lineRule="auto"/>
        <w:rPr>
          <w:rFonts w:ascii="Times New Roman" w:hAnsi="Times New Roman"/>
          <w:sz w:val="20"/>
          <w:szCs w:val="20"/>
        </w:rPr>
      </w:pPr>
    </w:p>
    <w:p w14:paraId="57DA8ADD" w14:textId="77777777" w:rsidR="00A736FE" w:rsidRDefault="00A736FE" w:rsidP="00A736FE">
      <w:pPr>
        <w:spacing w:line="480" w:lineRule="auto"/>
        <w:rPr>
          <w:rFonts w:ascii="Times New Roman" w:hAnsi="Times New Roman"/>
          <w:sz w:val="20"/>
          <w:szCs w:val="20"/>
        </w:rPr>
      </w:pPr>
      <w:r>
        <w:rPr>
          <w:rFonts w:ascii="Times New Roman" w:hAnsi="Times New Roman"/>
          <w:sz w:val="20"/>
          <w:szCs w:val="20"/>
        </w:rPr>
        <w:t xml:space="preserve">The authors declare that they have no conflicts of interest. </w:t>
      </w:r>
    </w:p>
    <w:p w14:paraId="760E1FBE" w14:textId="77777777" w:rsidR="00C26F72" w:rsidRDefault="00C26F72">
      <w:pPr>
        <w:rPr>
          <w:rFonts w:ascii="Times New Roman" w:hAnsi="Times New Roman"/>
          <w:sz w:val="20"/>
          <w:szCs w:val="20"/>
        </w:rPr>
      </w:pPr>
      <w:r>
        <w:rPr>
          <w:rFonts w:ascii="Times New Roman" w:hAnsi="Times New Roman"/>
          <w:sz w:val="20"/>
          <w:szCs w:val="20"/>
        </w:rPr>
        <w:br w:type="page"/>
      </w:r>
    </w:p>
    <w:p w14:paraId="16E4A59A" w14:textId="77777777" w:rsidR="00A736FE" w:rsidRPr="00C26F72" w:rsidRDefault="00C26F72" w:rsidP="00C26F72">
      <w:pPr>
        <w:spacing w:afterLines="100" w:after="240"/>
        <w:rPr>
          <w:rFonts w:ascii="Times New Roman" w:hAnsi="Times New Roman"/>
          <w:sz w:val="20"/>
          <w:szCs w:val="20"/>
        </w:rPr>
      </w:pPr>
      <w:r w:rsidRPr="00C26F72">
        <w:rPr>
          <w:rFonts w:ascii="Times New Roman" w:hAnsi="Times New Roman"/>
          <w:sz w:val="20"/>
          <w:szCs w:val="20"/>
        </w:rPr>
        <w:lastRenderedPageBreak/>
        <w:t>Figure legends</w:t>
      </w:r>
    </w:p>
    <w:p w14:paraId="5CB1B5DF" w14:textId="77777777" w:rsidR="00A736FE" w:rsidRPr="00C26F72" w:rsidRDefault="00A736FE" w:rsidP="00C26F72">
      <w:pPr>
        <w:pStyle w:val="Caption"/>
        <w:tabs>
          <w:tab w:val="left" w:pos="4820"/>
        </w:tabs>
        <w:spacing w:afterLines="100" w:after="240"/>
        <w:rPr>
          <w:rFonts w:ascii="Times New Roman" w:hAnsi="Times New Roman"/>
          <w:i w:val="0"/>
          <w:color w:val="auto"/>
          <w:sz w:val="20"/>
          <w:szCs w:val="20"/>
        </w:rPr>
      </w:pPr>
      <w:r w:rsidRPr="00C26F72">
        <w:rPr>
          <w:rFonts w:ascii="Times New Roman" w:hAnsi="Times New Roman"/>
          <w:b/>
          <w:i w:val="0"/>
          <w:color w:val="auto"/>
          <w:sz w:val="20"/>
          <w:szCs w:val="20"/>
        </w:rPr>
        <w:t xml:space="preserve">Fig. </w:t>
      </w:r>
      <w:r w:rsidRPr="00C26F72">
        <w:rPr>
          <w:rFonts w:ascii="Times New Roman" w:hAnsi="Times New Roman"/>
          <w:b/>
          <w:i w:val="0"/>
          <w:color w:val="auto"/>
          <w:sz w:val="20"/>
          <w:szCs w:val="20"/>
        </w:rPr>
        <w:fldChar w:fldCharType="begin"/>
      </w:r>
      <w:r w:rsidRPr="00C26F72">
        <w:rPr>
          <w:rFonts w:ascii="Times New Roman" w:hAnsi="Times New Roman"/>
          <w:b/>
          <w:i w:val="0"/>
          <w:color w:val="auto"/>
          <w:sz w:val="20"/>
          <w:szCs w:val="20"/>
        </w:rPr>
        <w:instrText xml:space="preserve"> SEQ Figure \* ARABIC </w:instrText>
      </w:r>
      <w:r w:rsidRPr="00C26F72">
        <w:rPr>
          <w:rFonts w:ascii="Times New Roman" w:hAnsi="Times New Roman"/>
          <w:b/>
          <w:i w:val="0"/>
          <w:color w:val="auto"/>
          <w:sz w:val="20"/>
          <w:szCs w:val="20"/>
        </w:rPr>
        <w:fldChar w:fldCharType="separate"/>
      </w:r>
      <w:r w:rsidRPr="00C26F72">
        <w:rPr>
          <w:rFonts w:ascii="Times New Roman" w:hAnsi="Times New Roman"/>
          <w:b/>
          <w:i w:val="0"/>
          <w:noProof/>
          <w:color w:val="auto"/>
          <w:sz w:val="20"/>
          <w:szCs w:val="20"/>
        </w:rPr>
        <w:t>1</w:t>
      </w:r>
      <w:r w:rsidRPr="00C26F72">
        <w:rPr>
          <w:rFonts w:ascii="Times New Roman" w:hAnsi="Times New Roman"/>
          <w:b/>
          <w:i w:val="0"/>
          <w:color w:val="auto"/>
          <w:sz w:val="20"/>
          <w:szCs w:val="20"/>
        </w:rPr>
        <w:fldChar w:fldCharType="end"/>
      </w:r>
      <w:r w:rsidRPr="00C26F72">
        <w:rPr>
          <w:rFonts w:ascii="Times New Roman" w:hAnsi="Times New Roman"/>
          <w:i w:val="0"/>
          <w:color w:val="auto"/>
          <w:sz w:val="20"/>
          <w:szCs w:val="20"/>
        </w:rPr>
        <w:t xml:space="preserve"> Eigenvalue spectrum for Bulgaria in 2014. Numbers correspond to eigenvalues ordered by magnitude, which is calculated as the length of the vector joining each point to the origin (shown in red). Eigenvalues 13-18 lie on the origin. Note the simila</w:t>
      </w:r>
      <w:r w:rsidR="00F234CF" w:rsidRPr="00C26F72">
        <w:rPr>
          <w:rFonts w:ascii="Times New Roman" w:hAnsi="Times New Roman"/>
          <w:i w:val="0"/>
          <w:color w:val="auto"/>
          <w:sz w:val="20"/>
          <w:szCs w:val="20"/>
        </w:rPr>
        <w:t>rity in magnitude of, say, the 4th eigenvalue to that of the 2nd</w:t>
      </w:r>
    </w:p>
    <w:p w14:paraId="289B1D4E" w14:textId="77777777" w:rsidR="00A736FE" w:rsidRPr="00C26F72" w:rsidRDefault="00A736FE" w:rsidP="00C26F72">
      <w:pPr>
        <w:pStyle w:val="Caption"/>
        <w:spacing w:afterLines="100" w:after="240"/>
        <w:rPr>
          <w:rFonts w:ascii="Times New Roman" w:hAnsi="Times New Roman"/>
          <w:i w:val="0"/>
          <w:color w:val="auto"/>
          <w:sz w:val="20"/>
          <w:szCs w:val="20"/>
        </w:rPr>
      </w:pPr>
      <w:r w:rsidRPr="00C26F72">
        <w:rPr>
          <w:rFonts w:ascii="Times New Roman" w:hAnsi="Times New Roman"/>
          <w:b/>
          <w:i w:val="0"/>
          <w:color w:val="auto"/>
          <w:sz w:val="20"/>
          <w:szCs w:val="20"/>
        </w:rPr>
        <w:t xml:space="preserve">Fig. </w:t>
      </w:r>
      <w:r w:rsidRPr="00C26F72">
        <w:rPr>
          <w:rFonts w:ascii="Times New Roman" w:hAnsi="Times New Roman"/>
          <w:b/>
          <w:i w:val="0"/>
          <w:color w:val="auto"/>
          <w:sz w:val="20"/>
          <w:szCs w:val="20"/>
        </w:rPr>
        <w:fldChar w:fldCharType="begin"/>
      </w:r>
      <w:r w:rsidRPr="00C26F72">
        <w:rPr>
          <w:rFonts w:ascii="Times New Roman" w:hAnsi="Times New Roman"/>
          <w:b/>
          <w:i w:val="0"/>
          <w:color w:val="auto"/>
          <w:sz w:val="20"/>
          <w:szCs w:val="20"/>
        </w:rPr>
        <w:instrText xml:space="preserve"> SEQ Figure \* ARABIC </w:instrText>
      </w:r>
      <w:r w:rsidRPr="00C26F72">
        <w:rPr>
          <w:rFonts w:ascii="Times New Roman" w:hAnsi="Times New Roman"/>
          <w:b/>
          <w:i w:val="0"/>
          <w:color w:val="auto"/>
          <w:sz w:val="20"/>
          <w:szCs w:val="20"/>
        </w:rPr>
        <w:fldChar w:fldCharType="separate"/>
      </w:r>
      <w:r w:rsidRPr="00C26F72">
        <w:rPr>
          <w:rFonts w:ascii="Times New Roman" w:hAnsi="Times New Roman"/>
          <w:b/>
          <w:i w:val="0"/>
          <w:noProof/>
          <w:color w:val="auto"/>
          <w:sz w:val="20"/>
          <w:szCs w:val="20"/>
        </w:rPr>
        <w:t>2</w:t>
      </w:r>
      <w:r w:rsidRPr="00C26F72">
        <w:rPr>
          <w:rFonts w:ascii="Times New Roman" w:hAnsi="Times New Roman"/>
          <w:b/>
          <w:i w:val="0"/>
          <w:color w:val="auto"/>
          <w:sz w:val="20"/>
          <w:szCs w:val="20"/>
        </w:rPr>
        <w:fldChar w:fldCharType="end"/>
      </w:r>
      <w:r w:rsidRPr="00C26F72">
        <w:rPr>
          <w:rFonts w:ascii="Times New Roman" w:hAnsi="Times New Roman"/>
          <w:i w:val="0"/>
          <w:color w:val="auto"/>
          <w:sz w:val="20"/>
          <w:szCs w:val="20"/>
        </w:rPr>
        <w:t xml:space="preserve"> Non-normality over time, measured by three different metrics – from left to right: Frobenius, Henrici, Ruhe. Top row shows raw matrices, and bottom row standardised ones. Points are coloured by country. Solid lines are GAMM estimates, with dashed lines showing their 95% confidence intervals</w:t>
      </w:r>
    </w:p>
    <w:p w14:paraId="61C00563" w14:textId="77777777" w:rsidR="00A736FE" w:rsidRPr="00C26F72" w:rsidRDefault="00A736FE" w:rsidP="00C26F72">
      <w:pPr>
        <w:pStyle w:val="Caption"/>
        <w:spacing w:afterLines="100" w:after="240"/>
        <w:rPr>
          <w:rFonts w:ascii="Times New Roman" w:hAnsi="Times New Roman"/>
          <w:i w:val="0"/>
          <w:color w:val="auto"/>
          <w:sz w:val="20"/>
          <w:szCs w:val="20"/>
        </w:rPr>
      </w:pPr>
      <w:r w:rsidRPr="00C26F72">
        <w:rPr>
          <w:rFonts w:ascii="Times New Roman" w:hAnsi="Times New Roman"/>
          <w:b/>
          <w:i w:val="0"/>
          <w:color w:val="auto"/>
          <w:sz w:val="20"/>
          <w:szCs w:val="20"/>
        </w:rPr>
        <w:t xml:space="preserve">Fig. </w:t>
      </w:r>
      <w:r w:rsidRPr="00C26F72">
        <w:rPr>
          <w:rFonts w:ascii="Times New Roman" w:hAnsi="Times New Roman"/>
          <w:b/>
          <w:i w:val="0"/>
          <w:color w:val="auto"/>
          <w:sz w:val="20"/>
          <w:szCs w:val="20"/>
        </w:rPr>
        <w:fldChar w:fldCharType="begin"/>
      </w:r>
      <w:r w:rsidRPr="00C26F72">
        <w:rPr>
          <w:rFonts w:ascii="Times New Roman" w:hAnsi="Times New Roman"/>
          <w:b/>
          <w:i w:val="0"/>
          <w:color w:val="auto"/>
          <w:sz w:val="20"/>
          <w:szCs w:val="20"/>
        </w:rPr>
        <w:instrText xml:space="preserve"> SEQ Figure \* ARABIC </w:instrText>
      </w:r>
      <w:r w:rsidRPr="00C26F72">
        <w:rPr>
          <w:rFonts w:ascii="Times New Roman" w:hAnsi="Times New Roman"/>
          <w:b/>
          <w:i w:val="0"/>
          <w:color w:val="auto"/>
          <w:sz w:val="20"/>
          <w:szCs w:val="20"/>
        </w:rPr>
        <w:fldChar w:fldCharType="separate"/>
      </w:r>
      <w:r w:rsidRPr="00C26F72">
        <w:rPr>
          <w:rFonts w:ascii="Times New Roman" w:hAnsi="Times New Roman"/>
          <w:b/>
          <w:i w:val="0"/>
          <w:noProof/>
          <w:color w:val="auto"/>
          <w:sz w:val="20"/>
          <w:szCs w:val="20"/>
        </w:rPr>
        <w:t>3</w:t>
      </w:r>
      <w:r w:rsidRPr="00C26F72">
        <w:rPr>
          <w:rFonts w:ascii="Times New Roman" w:hAnsi="Times New Roman"/>
          <w:b/>
          <w:i w:val="0"/>
          <w:color w:val="auto"/>
          <w:sz w:val="20"/>
          <w:szCs w:val="20"/>
        </w:rPr>
        <w:fldChar w:fldCharType="end"/>
      </w:r>
      <w:r w:rsidRPr="00C26F72">
        <w:rPr>
          <w:rFonts w:ascii="Times New Roman" w:hAnsi="Times New Roman"/>
          <w:i w:val="0"/>
          <w:color w:val="auto"/>
          <w:sz w:val="20"/>
          <w:szCs w:val="20"/>
        </w:rPr>
        <w:t xml:space="preserve"> Ecological measures of population dynamics over time. Points are coloured by country. Asymptotic growth rate is the dominant eigenvalue, with the dashed line showing </w:t>
      </w:r>
      <w:r w:rsidRPr="00C26F72">
        <w:rPr>
          <w:rFonts w:ascii="Times New Roman" w:hAnsi="Times New Roman"/>
          <w:color w:val="auto"/>
          <w:sz w:val="20"/>
          <w:szCs w:val="20"/>
        </w:rPr>
        <w:t>λ</w:t>
      </w:r>
      <w:r w:rsidRPr="00C26F72">
        <w:rPr>
          <w:rFonts w:ascii="Times New Roman" w:hAnsi="Times New Roman"/>
          <w:i w:val="0"/>
          <w:color w:val="auto"/>
          <w:sz w:val="20"/>
          <w:szCs w:val="20"/>
          <w:vertAlign w:val="subscript"/>
        </w:rPr>
        <w:t>1</w:t>
      </w:r>
      <w:r w:rsidRPr="00C26F72">
        <w:rPr>
          <w:rFonts w:ascii="Times New Roman" w:hAnsi="Times New Roman"/>
          <w:i w:val="0"/>
          <w:color w:val="auto"/>
          <w:sz w:val="20"/>
          <w:szCs w:val="20"/>
        </w:rPr>
        <w:t xml:space="preserve"> = 1 i.e.</w:t>
      </w:r>
      <w:r w:rsidR="00557549" w:rsidRPr="00C26F72">
        <w:rPr>
          <w:rFonts w:ascii="Times New Roman" w:hAnsi="Times New Roman"/>
          <w:i w:val="0"/>
          <w:color w:val="auto"/>
          <w:sz w:val="20"/>
          <w:szCs w:val="20"/>
        </w:rPr>
        <w:t>,</w:t>
      </w:r>
      <w:r w:rsidRPr="00C26F72">
        <w:rPr>
          <w:rFonts w:ascii="Times New Roman" w:hAnsi="Times New Roman"/>
          <w:i w:val="0"/>
          <w:color w:val="auto"/>
          <w:sz w:val="20"/>
          <w:szCs w:val="20"/>
        </w:rPr>
        <w:t xml:space="preserve"> no population change – abov</w:t>
      </w:r>
      <w:r w:rsidR="00A33EF0" w:rsidRPr="00C26F72">
        <w:rPr>
          <w:rFonts w:ascii="Times New Roman" w:hAnsi="Times New Roman"/>
          <w:i w:val="0"/>
          <w:color w:val="auto"/>
          <w:sz w:val="20"/>
          <w:szCs w:val="20"/>
        </w:rPr>
        <w:t>e the line is population growth;</w:t>
      </w:r>
      <w:r w:rsidRPr="00C26F72">
        <w:rPr>
          <w:rFonts w:ascii="Times New Roman" w:hAnsi="Times New Roman"/>
          <w:i w:val="0"/>
          <w:color w:val="auto"/>
          <w:sz w:val="20"/>
          <w:szCs w:val="20"/>
        </w:rPr>
        <w:t xml:space="preserve"> below</w:t>
      </w:r>
      <w:r w:rsidR="00A33EF0" w:rsidRPr="00C26F72">
        <w:rPr>
          <w:rFonts w:ascii="Times New Roman" w:hAnsi="Times New Roman"/>
          <w:i w:val="0"/>
          <w:color w:val="auto"/>
          <w:sz w:val="20"/>
          <w:szCs w:val="20"/>
        </w:rPr>
        <w:t>,</w:t>
      </w:r>
      <w:r w:rsidRPr="00C26F72">
        <w:rPr>
          <w:rFonts w:ascii="Times New Roman" w:hAnsi="Times New Roman"/>
          <w:i w:val="0"/>
          <w:color w:val="auto"/>
          <w:sz w:val="20"/>
          <w:szCs w:val="20"/>
        </w:rPr>
        <w:t xml:space="preserve"> decline. For definitions of the other measures, refer to Methods. For reactivity and inertia, the dashed lines divide the plot into transient growth (&gt;1) and decline (&lt;1)</w:t>
      </w:r>
    </w:p>
    <w:p w14:paraId="1E9B8ED1" w14:textId="77777777" w:rsidR="00A736FE" w:rsidRPr="00C26F72" w:rsidRDefault="00A736FE" w:rsidP="00C26F72">
      <w:pPr>
        <w:pStyle w:val="Caption"/>
        <w:spacing w:afterLines="100" w:after="240"/>
        <w:rPr>
          <w:rFonts w:ascii="Times New Roman" w:hAnsi="Times New Roman"/>
          <w:i w:val="0"/>
          <w:color w:val="auto"/>
          <w:sz w:val="20"/>
          <w:szCs w:val="20"/>
        </w:rPr>
      </w:pPr>
      <w:r w:rsidRPr="00C26F72">
        <w:rPr>
          <w:rFonts w:ascii="Times New Roman" w:hAnsi="Times New Roman"/>
          <w:b/>
          <w:i w:val="0"/>
          <w:color w:val="auto"/>
          <w:sz w:val="20"/>
          <w:szCs w:val="20"/>
        </w:rPr>
        <w:t xml:space="preserve">Fig. </w:t>
      </w:r>
      <w:r w:rsidRPr="00C26F72">
        <w:rPr>
          <w:rFonts w:ascii="Times New Roman" w:hAnsi="Times New Roman"/>
          <w:b/>
          <w:i w:val="0"/>
          <w:color w:val="auto"/>
          <w:sz w:val="20"/>
          <w:szCs w:val="20"/>
        </w:rPr>
        <w:fldChar w:fldCharType="begin"/>
      </w:r>
      <w:r w:rsidRPr="00C26F72">
        <w:rPr>
          <w:rFonts w:ascii="Times New Roman" w:hAnsi="Times New Roman"/>
          <w:b/>
          <w:i w:val="0"/>
          <w:color w:val="auto"/>
          <w:sz w:val="20"/>
          <w:szCs w:val="20"/>
        </w:rPr>
        <w:instrText xml:space="preserve"> SEQ Figure \* ARABIC </w:instrText>
      </w:r>
      <w:r w:rsidRPr="00C26F72">
        <w:rPr>
          <w:rFonts w:ascii="Times New Roman" w:hAnsi="Times New Roman"/>
          <w:b/>
          <w:i w:val="0"/>
          <w:color w:val="auto"/>
          <w:sz w:val="20"/>
          <w:szCs w:val="20"/>
        </w:rPr>
        <w:fldChar w:fldCharType="separate"/>
      </w:r>
      <w:r w:rsidRPr="00C26F72">
        <w:rPr>
          <w:rFonts w:ascii="Times New Roman" w:hAnsi="Times New Roman"/>
          <w:b/>
          <w:i w:val="0"/>
          <w:noProof/>
          <w:color w:val="auto"/>
          <w:sz w:val="20"/>
          <w:szCs w:val="20"/>
        </w:rPr>
        <w:t>4</w:t>
      </w:r>
      <w:r w:rsidRPr="00C26F72">
        <w:rPr>
          <w:rFonts w:ascii="Times New Roman" w:hAnsi="Times New Roman"/>
          <w:b/>
          <w:i w:val="0"/>
          <w:color w:val="auto"/>
          <w:sz w:val="20"/>
          <w:szCs w:val="20"/>
        </w:rPr>
        <w:fldChar w:fldCharType="end"/>
      </w:r>
      <w:r w:rsidRPr="00C26F72">
        <w:rPr>
          <w:rFonts w:ascii="Times New Roman" w:hAnsi="Times New Roman"/>
          <w:i w:val="0"/>
          <w:color w:val="auto"/>
          <w:sz w:val="20"/>
          <w:szCs w:val="20"/>
        </w:rPr>
        <w:t xml:space="preserve"> The Henrici non-normality metric, unscaled (top) and scaled (bottom), against damping ratio (left) and reactivity (right). </w:t>
      </w:r>
      <w:r w:rsidR="009B705F" w:rsidRPr="00C26F72">
        <w:rPr>
          <w:rFonts w:ascii="Times New Roman" w:hAnsi="Times New Roman"/>
          <w:i w:val="0"/>
          <w:color w:val="auto"/>
          <w:sz w:val="20"/>
          <w:szCs w:val="20"/>
        </w:rPr>
        <w:t xml:space="preserve">Points are coloured by country. </w:t>
      </w:r>
      <w:r w:rsidRPr="00C26F72">
        <w:rPr>
          <w:rFonts w:ascii="Times New Roman" w:hAnsi="Times New Roman"/>
          <w:i w:val="0"/>
          <w:color w:val="auto"/>
          <w:sz w:val="20"/>
          <w:szCs w:val="20"/>
        </w:rPr>
        <w:t>Simple Spearman’s rank correlation coefficients are given above each plot as a visualisation aid</w:t>
      </w:r>
    </w:p>
    <w:p w14:paraId="50C2B853" w14:textId="77777777" w:rsidR="00A736FE" w:rsidRPr="007B09CA" w:rsidRDefault="00A736FE" w:rsidP="00C26F72">
      <w:pPr>
        <w:pStyle w:val="Caption"/>
        <w:spacing w:afterLines="100" w:after="240"/>
        <w:rPr>
          <w:rFonts w:ascii="Times New Roman" w:hAnsi="Times New Roman"/>
          <w:i w:val="0"/>
          <w:color w:val="auto"/>
          <w:sz w:val="20"/>
          <w:szCs w:val="20"/>
        </w:rPr>
      </w:pPr>
      <w:r w:rsidRPr="00C26F72">
        <w:rPr>
          <w:rFonts w:ascii="Times New Roman" w:hAnsi="Times New Roman"/>
          <w:b/>
          <w:i w:val="0"/>
          <w:color w:val="auto"/>
          <w:sz w:val="20"/>
          <w:szCs w:val="20"/>
        </w:rPr>
        <w:t>Fig. 5</w:t>
      </w:r>
      <w:r w:rsidRPr="00C26F72">
        <w:rPr>
          <w:rFonts w:ascii="Times New Roman" w:hAnsi="Times New Roman"/>
          <w:i w:val="0"/>
          <w:color w:val="auto"/>
          <w:sz w:val="20"/>
          <w:szCs w:val="20"/>
        </w:rPr>
        <w:t xml:space="preserve"> Biplots of prin</w:t>
      </w:r>
      <w:r w:rsidRPr="007B09CA">
        <w:rPr>
          <w:rFonts w:ascii="Times New Roman" w:hAnsi="Times New Roman"/>
          <w:i w:val="0"/>
          <w:color w:val="auto"/>
          <w:sz w:val="20"/>
          <w:szCs w:val="20"/>
        </w:rPr>
        <w:t>cipal component analysis on non-normality metrics (prefix ‘N’) and ecological measures of population dynamics.</w:t>
      </w:r>
      <w:r w:rsidR="00160F8A" w:rsidRPr="007B09CA">
        <w:rPr>
          <w:rFonts w:ascii="Times New Roman" w:hAnsi="Times New Roman"/>
          <w:i w:val="0"/>
          <w:color w:val="auto"/>
          <w:sz w:val="20"/>
          <w:szCs w:val="20"/>
        </w:rPr>
        <w:t xml:space="preserve"> </w:t>
      </w:r>
      <w:r w:rsidR="00C26F72" w:rsidRPr="007B09CA">
        <w:rPr>
          <w:rFonts w:ascii="Times New Roman" w:hAnsi="Times New Roman"/>
          <w:i w:val="0"/>
          <w:color w:val="auto"/>
          <w:sz w:val="20"/>
          <w:szCs w:val="20"/>
        </w:rPr>
        <w:t>(a)</w:t>
      </w:r>
      <w:r w:rsidR="00160F8A" w:rsidRPr="007B09CA">
        <w:rPr>
          <w:rFonts w:ascii="Times New Roman" w:hAnsi="Times New Roman"/>
          <w:i w:val="0"/>
          <w:color w:val="auto"/>
          <w:sz w:val="20"/>
          <w:szCs w:val="20"/>
        </w:rPr>
        <w:t xml:space="preserve"> using unscaled metrics;</w:t>
      </w:r>
      <w:r w:rsidRPr="007B09CA">
        <w:rPr>
          <w:rFonts w:ascii="Times New Roman" w:hAnsi="Times New Roman"/>
          <w:i w:val="0"/>
          <w:color w:val="auto"/>
          <w:sz w:val="20"/>
          <w:szCs w:val="20"/>
        </w:rPr>
        <w:t xml:space="preserve"> </w:t>
      </w:r>
      <w:r w:rsidR="00C26F72" w:rsidRPr="007B09CA">
        <w:rPr>
          <w:rFonts w:ascii="Times New Roman" w:hAnsi="Times New Roman"/>
          <w:i w:val="0"/>
          <w:color w:val="auto"/>
          <w:sz w:val="20"/>
          <w:szCs w:val="20"/>
        </w:rPr>
        <w:t>(b)</w:t>
      </w:r>
      <w:r w:rsidRPr="007B09CA">
        <w:rPr>
          <w:rFonts w:ascii="Times New Roman" w:hAnsi="Times New Roman"/>
          <w:i w:val="0"/>
          <w:color w:val="auto"/>
          <w:sz w:val="20"/>
          <w:szCs w:val="20"/>
        </w:rPr>
        <w:t xml:space="preserve"> scaled. Frob = Frobenius, Hen = Henrici, lambda1 = </w:t>
      </w:r>
      <w:r w:rsidRPr="007B09CA">
        <w:rPr>
          <w:rFonts w:ascii="Times New Roman" w:hAnsi="Times New Roman"/>
          <w:color w:val="auto"/>
          <w:sz w:val="20"/>
          <w:szCs w:val="20"/>
        </w:rPr>
        <w:t>λ</w:t>
      </w:r>
      <w:r w:rsidRPr="007B09CA">
        <w:rPr>
          <w:rFonts w:ascii="Times New Roman" w:hAnsi="Times New Roman"/>
          <w:i w:val="0"/>
          <w:color w:val="auto"/>
          <w:sz w:val="20"/>
          <w:szCs w:val="20"/>
          <w:vertAlign w:val="subscript"/>
        </w:rPr>
        <w:t>1</w:t>
      </w:r>
      <w:r w:rsidRPr="007B09CA">
        <w:rPr>
          <w:rFonts w:ascii="Times New Roman" w:hAnsi="Times New Roman"/>
          <w:i w:val="0"/>
          <w:color w:val="auto"/>
          <w:sz w:val="20"/>
          <w:szCs w:val="20"/>
        </w:rPr>
        <w:t xml:space="preserve"> i.e.</w:t>
      </w:r>
      <w:r w:rsidR="00557549" w:rsidRPr="007B09CA">
        <w:rPr>
          <w:rFonts w:ascii="Times New Roman" w:hAnsi="Times New Roman"/>
          <w:i w:val="0"/>
          <w:color w:val="auto"/>
          <w:sz w:val="20"/>
          <w:szCs w:val="20"/>
        </w:rPr>
        <w:t>,</w:t>
      </w:r>
      <w:r w:rsidRPr="007B09CA">
        <w:rPr>
          <w:rFonts w:ascii="Times New Roman" w:hAnsi="Times New Roman"/>
          <w:i w:val="0"/>
          <w:color w:val="auto"/>
          <w:sz w:val="20"/>
          <w:szCs w:val="20"/>
        </w:rPr>
        <w:t xml:space="preserve"> dominant eigenvalue, reac = reactivity</w:t>
      </w:r>
    </w:p>
    <w:p w14:paraId="59261E2B" w14:textId="3198E0DA" w:rsidR="00A736FE" w:rsidRPr="00C26F72" w:rsidRDefault="00A736FE" w:rsidP="00C26F72">
      <w:pPr>
        <w:pStyle w:val="Caption"/>
        <w:spacing w:afterLines="100" w:after="240"/>
        <w:rPr>
          <w:rFonts w:ascii="Times New Roman" w:hAnsi="Times New Roman"/>
          <w:i w:val="0"/>
          <w:color w:val="auto"/>
          <w:sz w:val="20"/>
          <w:szCs w:val="20"/>
        </w:rPr>
      </w:pPr>
      <w:r w:rsidRPr="007B09CA">
        <w:rPr>
          <w:rFonts w:ascii="Times New Roman" w:hAnsi="Times New Roman"/>
          <w:b/>
          <w:i w:val="0"/>
          <w:color w:val="auto"/>
          <w:sz w:val="20"/>
          <w:szCs w:val="20"/>
        </w:rPr>
        <w:t>Fig. 6</w:t>
      </w:r>
      <w:r w:rsidRPr="007B09CA">
        <w:rPr>
          <w:rFonts w:ascii="Times New Roman" w:hAnsi="Times New Roman"/>
          <w:i w:val="0"/>
          <w:color w:val="auto"/>
          <w:sz w:val="20"/>
          <w:szCs w:val="20"/>
        </w:rPr>
        <w:t xml:space="preserve"> Pseudospectra for Bulgaria in 2014, as a contour plot (</w:t>
      </w:r>
      <w:r w:rsidR="0069483A" w:rsidRPr="007B09CA">
        <w:rPr>
          <w:rFonts w:ascii="Times New Roman" w:hAnsi="Times New Roman"/>
          <w:i w:val="0"/>
          <w:color w:val="auto"/>
          <w:sz w:val="20"/>
          <w:szCs w:val="20"/>
        </w:rPr>
        <w:t>a</w:t>
      </w:r>
      <w:r w:rsidRPr="007B09CA">
        <w:rPr>
          <w:rFonts w:ascii="Times New Roman" w:hAnsi="Times New Roman"/>
          <w:i w:val="0"/>
          <w:color w:val="auto"/>
          <w:sz w:val="20"/>
          <w:szCs w:val="20"/>
        </w:rPr>
        <w:t>) and a perspective plot (</w:t>
      </w:r>
      <w:r w:rsidR="0069483A" w:rsidRPr="007B09CA">
        <w:rPr>
          <w:rFonts w:ascii="Times New Roman" w:hAnsi="Times New Roman"/>
          <w:i w:val="0"/>
          <w:color w:val="auto"/>
          <w:sz w:val="20"/>
          <w:szCs w:val="20"/>
        </w:rPr>
        <w:t>b</w:t>
      </w:r>
      <w:r w:rsidRPr="007B09CA">
        <w:rPr>
          <w:rFonts w:ascii="Times New Roman" w:hAnsi="Times New Roman"/>
          <w:i w:val="0"/>
          <w:color w:val="auto"/>
          <w:sz w:val="20"/>
          <w:szCs w:val="20"/>
        </w:rPr>
        <w:t>). Compare</w:t>
      </w:r>
      <w:r w:rsidR="00B033D4" w:rsidRPr="007B09CA">
        <w:rPr>
          <w:rFonts w:ascii="Times New Roman" w:hAnsi="Times New Roman"/>
          <w:i w:val="0"/>
          <w:color w:val="auto"/>
          <w:sz w:val="20"/>
          <w:szCs w:val="20"/>
        </w:rPr>
        <w:t xml:space="preserve"> to the spectrum in Fig.</w:t>
      </w:r>
      <w:r w:rsidRPr="007B09CA">
        <w:rPr>
          <w:rFonts w:ascii="Times New Roman" w:hAnsi="Times New Roman"/>
          <w:i w:val="0"/>
          <w:color w:val="auto"/>
          <w:sz w:val="20"/>
          <w:szCs w:val="20"/>
        </w:rPr>
        <w:t xml:space="preserve"> 1. Contours correspond to perturbations of the original matrix, with an inverse relationship:</w:t>
      </w:r>
      <w:r w:rsidRPr="00C26F72">
        <w:rPr>
          <w:rFonts w:ascii="Times New Roman" w:hAnsi="Times New Roman"/>
          <w:i w:val="0"/>
          <w:color w:val="auto"/>
          <w:sz w:val="20"/>
          <w:szCs w:val="20"/>
        </w:rPr>
        <w:t xml:space="preserve"> small-valued contours correspond to large perturbations, and vice versa. The original, unperturbed, eigenvalues have a ‘height’ of infinity (=1/0): they are seen as dots in the contour plot and sharp peaks in the perspective plot. Eigenvalues encapsulated by lower-valued contours (e.g.</w:t>
      </w:r>
      <w:r w:rsidR="00146F20" w:rsidRPr="00C26F72">
        <w:rPr>
          <w:rFonts w:ascii="Times New Roman" w:hAnsi="Times New Roman"/>
          <w:i w:val="0"/>
          <w:color w:val="auto"/>
          <w:sz w:val="20"/>
          <w:szCs w:val="20"/>
        </w:rPr>
        <w:t>,</w:t>
      </w:r>
      <w:r w:rsidRPr="00C26F72">
        <w:rPr>
          <w:rFonts w:ascii="Times New Roman" w:hAnsi="Times New Roman"/>
          <w:i w:val="0"/>
          <w:color w:val="auto"/>
          <w:sz w:val="20"/>
          <w:szCs w:val="20"/>
        </w:rPr>
        <w:t xml:space="preserve"> contour 4 around </w:t>
      </w:r>
      <w:r w:rsidRPr="00C26F72">
        <w:rPr>
          <w:rFonts w:ascii="Times New Roman" w:hAnsi="Times New Roman"/>
          <w:color w:val="auto"/>
          <w:sz w:val="20"/>
          <w:szCs w:val="20"/>
        </w:rPr>
        <w:t>λ</w:t>
      </w:r>
      <w:r w:rsidRPr="00C26F72">
        <w:rPr>
          <w:rFonts w:ascii="Times New Roman" w:hAnsi="Times New Roman"/>
          <w:i w:val="0"/>
          <w:color w:val="auto"/>
          <w:sz w:val="20"/>
          <w:szCs w:val="20"/>
          <w:vertAlign w:val="subscript"/>
        </w:rPr>
        <w:t>1</w:t>
      </w:r>
      <w:r w:rsidRPr="00C26F72">
        <w:rPr>
          <w:rFonts w:ascii="Times New Roman" w:hAnsi="Times New Roman"/>
          <w:i w:val="0"/>
          <w:color w:val="auto"/>
          <w:sz w:val="20"/>
          <w:szCs w:val="20"/>
        </w:rPr>
        <w:t>) would shift only under large perturbations, while those encapsulated by higher eigenvalues (e.g.</w:t>
      </w:r>
      <w:r w:rsidR="00146F20" w:rsidRPr="00C26F72">
        <w:rPr>
          <w:rFonts w:ascii="Times New Roman" w:hAnsi="Times New Roman"/>
          <w:i w:val="0"/>
          <w:color w:val="auto"/>
          <w:sz w:val="20"/>
          <w:szCs w:val="20"/>
        </w:rPr>
        <w:t>,</w:t>
      </w:r>
      <w:r w:rsidRPr="00C26F72">
        <w:rPr>
          <w:rFonts w:ascii="Times New Roman" w:hAnsi="Times New Roman"/>
          <w:i w:val="0"/>
          <w:color w:val="auto"/>
          <w:sz w:val="20"/>
          <w:szCs w:val="20"/>
        </w:rPr>
        <w:t xml:space="preserve"> contour 12 around eigenvalues 6–8) are more easily perturbed. Human PPMs have multiple zero eigenvalues, which explains the ‘volcano’ pattern in the perspective plot, as these eigenvalues are sensitive to even small perturbations</w:t>
      </w:r>
    </w:p>
    <w:p w14:paraId="2660458B" w14:textId="77777777" w:rsidR="00C26F72" w:rsidRDefault="00C26F72">
      <w:pPr>
        <w:rPr>
          <w:rFonts w:ascii="Times New Roman" w:hAnsi="Times New Roman"/>
          <w:sz w:val="20"/>
          <w:szCs w:val="20"/>
        </w:rPr>
      </w:pPr>
      <w:r>
        <w:rPr>
          <w:rFonts w:ascii="Times New Roman" w:hAnsi="Times New Roman"/>
          <w:sz w:val="20"/>
          <w:szCs w:val="20"/>
        </w:rPr>
        <w:br w:type="page"/>
      </w:r>
    </w:p>
    <w:p w14:paraId="5658AAE1" w14:textId="77777777" w:rsidR="00A736FE" w:rsidRPr="00714DD9" w:rsidRDefault="00336A24" w:rsidP="00A736FE">
      <w:pPr>
        <w:pStyle w:val="Heading2"/>
        <w:spacing w:line="480" w:lineRule="auto"/>
        <w:rPr>
          <w:rFonts w:ascii="Times New Roman" w:hAnsi="Times New Roman" w:cs="Times New Roman"/>
          <w:b/>
          <w:color w:val="auto"/>
          <w:sz w:val="20"/>
          <w:szCs w:val="20"/>
        </w:rPr>
      </w:pPr>
      <w:r w:rsidRPr="00714DD9">
        <w:rPr>
          <w:rFonts w:ascii="Times New Roman" w:hAnsi="Times New Roman" w:cs="Times New Roman"/>
          <w:b/>
          <w:color w:val="auto"/>
          <w:sz w:val="20"/>
          <w:szCs w:val="20"/>
        </w:rPr>
        <w:lastRenderedPageBreak/>
        <w:t>References</w:t>
      </w:r>
    </w:p>
    <w:p w14:paraId="22A05B39" w14:textId="77777777" w:rsidR="00A22B3F" w:rsidRPr="00A22B3F" w:rsidRDefault="00A22B3F" w:rsidP="00A22B3F"/>
    <w:p w14:paraId="7CD8593E" w14:textId="6F3C3497" w:rsidR="00A736FE" w:rsidRPr="00623E9E" w:rsidRDefault="00A736FE" w:rsidP="00A736FE">
      <w:pPr>
        <w:spacing w:line="480" w:lineRule="auto"/>
        <w:rPr>
          <w:rFonts w:ascii="Times New Roman" w:hAnsi="Times New Roman"/>
          <w:sz w:val="20"/>
          <w:szCs w:val="20"/>
        </w:rPr>
      </w:pPr>
      <w:r w:rsidRPr="00A41DA5">
        <w:rPr>
          <w:rFonts w:ascii="Times New Roman" w:hAnsi="Times New Roman"/>
          <w:sz w:val="20"/>
          <w:szCs w:val="20"/>
        </w:rPr>
        <w:t>Azose JJ, Ševčíková H, Raftery AE (2016) Probabilistic population projections with migration uncertainty.</w:t>
      </w:r>
      <w:r>
        <w:rPr>
          <w:rFonts w:ascii="Times New Roman" w:hAnsi="Times New Roman"/>
          <w:sz w:val="20"/>
          <w:szCs w:val="20"/>
        </w:rPr>
        <w:t xml:space="preserve"> </w:t>
      </w:r>
      <w:r w:rsidRPr="00A41DA5">
        <w:rPr>
          <w:rFonts w:ascii="Times New Roman" w:hAnsi="Times New Roman"/>
          <w:sz w:val="20"/>
          <w:szCs w:val="20"/>
        </w:rPr>
        <w:t>P</w:t>
      </w:r>
      <w:r w:rsidR="001B112D">
        <w:rPr>
          <w:rFonts w:ascii="Times New Roman" w:hAnsi="Times New Roman"/>
          <w:sz w:val="20"/>
          <w:szCs w:val="20"/>
        </w:rPr>
        <w:t>roc</w:t>
      </w:r>
      <w:r w:rsidRPr="00A41DA5">
        <w:rPr>
          <w:rFonts w:ascii="Times New Roman" w:hAnsi="Times New Roman"/>
          <w:sz w:val="20"/>
          <w:szCs w:val="20"/>
        </w:rPr>
        <w:t xml:space="preserve"> Natl </w:t>
      </w:r>
      <w:r>
        <w:rPr>
          <w:rFonts w:ascii="Times New Roman" w:hAnsi="Times New Roman"/>
          <w:sz w:val="20"/>
          <w:szCs w:val="20"/>
        </w:rPr>
        <w:t>Acad Sci US</w:t>
      </w:r>
      <w:r w:rsidRPr="00623E9E">
        <w:rPr>
          <w:rFonts w:ascii="Times New Roman" w:hAnsi="Times New Roman"/>
          <w:sz w:val="20"/>
          <w:szCs w:val="20"/>
        </w:rPr>
        <w:t xml:space="preserve">A 113:6460-6465 </w:t>
      </w:r>
    </w:p>
    <w:p w14:paraId="12E4A0ED" w14:textId="77777777" w:rsidR="00A736FE" w:rsidRPr="00623E9E" w:rsidRDefault="00A736FE" w:rsidP="00A736FE">
      <w:pPr>
        <w:spacing w:line="480" w:lineRule="auto"/>
        <w:rPr>
          <w:rFonts w:ascii="Times New Roman" w:hAnsi="Times New Roman"/>
          <w:sz w:val="20"/>
          <w:szCs w:val="20"/>
        </w:rPr>
      </w:pPr>
    </w:p>
    <w:p w14:paraId="67FE723F" w14:textId="6BD32528" w:rsidR="00A736FE" w:rsidRPr="00623E9E" w:rsidRDefault="00A736FE" w:rsidP="00A736FE">
      <w:pPr>
        <w:spacing w:line="480" w:lineRule="auto"/>
        <w:rPr>
          <w:rFonts w:ascii="Times New Roman" w:hAnsi="Times New Roman"/>
          <w:sz w:val="20"/>
          <w:szCs w:val="20"/>
        </w:rPr>
      </w:pPr>
      <w:r w:rsidRPr="00623E9E">
        <w:rPr>
          <w:rFonts w:ascii="Times New Roman" w:hAnsi="Times New Roman"/>
          <w:sz w:val="20"/>
          <w:szCs w:val="20"/>
        </w:rPr>
        <w:t xml:space="preserve">Blue L, Espenshade TJ (2011) Population </w:t>
      </w:r>
      <w:r w:rsidR="00450454" w:rsidRPr="00623E9E">
        <w:rPr>
          <w:rFonts w:ascii="Times New Roman" w:hAnsi="Times New Roman"/>
          <w:sz w:val="20"/>
          <w:szCs w:val="20"/>
        </w:rPr>
        <w:t>m</w:t>
      </w:r>
      <w:r w:rsidRPr="00623E9E">
        <w:rPr>
          <w:rFonts w:ascii="Times New Roman" w:hAnsi="Times New Roman"/>
          <w:sz w:val="20"/>
          <w:szCs w:val="20"/>
        </w:rPr>
        <w:t xml:space="preserve">omentum </w:t>
      </w:r>
      <w:r w:rsidR="00450454" w:rsidRPr="00623E9E">
        <w:rPr>
          <w:rFonts w:ascii="Times New Roman" w:hAnsi="Times New Roman"/>
          <w:sz w:val="20"/>
          <w:szCs w:val="20"/>
        </w:rPr>
        <w:t>a</w:t>
      </w:r>
      <w:r w:rsidRPr="00623E9E">
        <w:rPr>
          <w:rFonts w:ascii="Times New Roman" w:hAnsi="Times New Roman"/>
          <w:sz w:val="20"/>
          <w:szCs w:val="20"/>
        </w:rPr>
        <w:t xml:space="preserve">cross the </w:t>
      </w:r>
      <w:r w:rsidR="00450454" w:rsidRPr="00623E9E">
        <w:rPr>
          <w:rFonts w:ascii="Times New Roman" w:hAnsi="Times New Roman"/>
          <w:sz w:val="20"/>
          <w:szCs w:val="20"/>
        </w:rPr>
        <w:t>d</w:t>
      </w:r>
      <w:r w:rsidRPr="00623E9E">
        <w:rPr>
          <w:rFonts w:ascii="Times New Roman" w:hAnsi="Times New Roman"/>
          <w:sz w:val="20"/>
          <w:szCs w:val="20"/>
        </w:rPr>
        <w:t xml:space="preserve">emographic </w:t>
      </w:r>
      <w:r w:rsidR="00450454" w:rsidRPr="00623E9E">
        <w:rPr>
          <w:rFonts w:ascii="Times New Roman" w:hAnsi="Times New Roman"/>
          <w:sz w:val="20"/>
          <w:szCs w:val="20"/>
        </w:rPr>
        <w:t>t</w:t>
      </w:r>
      <w:r w:rsidRPr="00623E9E">
        <w:rPr>
          <w:rFonts w:ascii="Times New Roman" w:hAnsi="Times New Roman"/>
          <w:sz w:val="20"/>
          <w:szCs w:val="20"/>
        </w:rPr>
        <w:t>ransition. Popul</w:t>
      </w:r>
      <w:r w:rsidR="002A68AC" w:rsidRPr="00623E9E">
        <w:rPr>
          <w:rFonts w:ascii="Times New Roman" w:hAnsi="Times New Roman"/>
          <w:sz w:val="20"/>
          <w:szCs w:val="20"/>
        </w:rPr>
        <w:t>ation and</w:t>
      </w:r>
      <w:r w:rsidRPr="00623E9E">
        <w:rPr>
          <w:rFonts w:ascii="Times New Roman" w:hAnsi="Times New Roman"/>
          <w:sz w:val="20"/>
          <w:szCs w:val="20"/>
        </w:rPr>
        <w:t xml:space="preserve"> Dev</w:t>
      </w:r>
      <w:r w:rsidR="002A68AC" w:rsidRPr="00623E9E">
        <w:rPr>
          <w:rFonts w:ascii="Times New Roman" w:hAnsi="Times New Roman"/>
          <w:sz w:val="20"/>
          <w:szCs w:val="20"/>
        </w:rPr>
        <w:t>elopment</w:t>
      </w:r>
      <w:r w:rsidRPr="00623E9E">
        <w:rPr>
          <w:rFonts w:ascii="Times New Roman" w:hAnsi="Times New Roman"/>
          <w:sz w:val="20"/>
          <w:szCs w:val="20"/>
        </w:rPr>
        <w:t xml:space="preserve"> Rev</w:t>
      </w:r>
      <w:r w:rsidR="002A68AC" w:rsidRPr="00623E9E">
        <w:rPr>
          <w:rFonts w:ascii="Times New Roman" w:hAnsi="Times New Roman"/>
          <w:sz w:val="20"/>
          <w:szCs w:val="20"/>
        </w:rPr>
        <w:t>iew</w:t>
      </w:r>
      <w:r w:rsidRPr="00623E9E">
        <w:rPr>
          <w:rFonts w:ascii="Times New Roman" w:hAnsi="Times New Roman"/>
          <w:sz w:val="20"/>
          <w:szCs w:val="20"/>
        </w:rPr>
        <w:t xml:space="preserve"> 37:721–747</w:t>
      </w:r>
    </w:p>
    <w:p w14:paraId="2771C609" w14:textId="77777777" w:rsidR="00A736FE" w:rsidRPr="00623E9E" w:rsidRDefault="00A736FE" w:rsidP="00A736FE">
      <w:pPr>
        <w:spacing w:line="480" w:lineRule="auto"/>
        <w:rPr>
          <w:rFonts w:ascii="Times New Roman" w:hAnsi="Times New Roman"/>
          <w:sz w:val="20"/>
          <w:szCs w:val="20"/>
        </w:rPr>
      </w:pPr>
    </w:p>
    <w:p w14:paraId="52C7175E" w14:textId="2FA92357" w:rsidR="00A736FE" w:rsidRPr="00623E9E" w:rsidRDefault="00A736FE" w:rsidP="00A736FE">
      <w:pPr>
        <w:spacing w:line="480" w:lineRule="auto"/>
        <w:rPr>
          <w:rFonts w:ascii="Times New Roman" w:hAnsi="Times New Roman"/>
          <w:sz w:val="20"/>
          <w:szCs w:val="20"/>
        </w:rPr>
      </w:pPr>
      <w:r w:rsidRPr="00623E9E">
        <w:rPr>
          <w:rFonts w:ascii="Times New Roman" w:hAnsi="Times New Roman"/>
          <w:sz w:val="20"/>
          <w:szCs w:val="20"/>
        </w:rPr>
        <w:t>Bongaarts J (1994) Population policy options in the developing wo</w:t>
      </w:r>
      <w:r w:rsidR="003A4BAB" w:rsidRPr="00623E9E">
        <w:rPr>
          <w:rFonts w:ascii="Times New Roman" w:hAnsi="Times New Roman"/>
          <w:sz w:val="20"/>
          <w:szCs w:val="20"/>
        </w:rPr>
        <w:t>rld. Science 263</w:t>
      </w:r>
      <w:r w:rsidRPr="00623E9E">
        <w:rPr>
          <w:rFonts w:ascii="Times New Roman" w:hAnsi="Times New Roman"/>
          <w:sz w:val="20"/>
          <w:szCs w:val="20"/>
        </w:rPr>
        <w:t>:771-776</w:t>
      </w:r>
    </w:p>
    <w:p w14:paraId="3AD851A8" w14:textId="77777777" w:rsidR="00A736FE" w:rsidRPr="00623E9E" w:rsidRDefault="00A736FE" w:rsidP="00A736FE">
      <w:pPr>
        <w:spacing w:line="480" w:lineRule="auto"/>
        <w:rPr>
          <w:rFonts w:ascii="Times New Roman" w:hAnsi="Times New Roman"/>
          <w:sz w:val="20"/>
          <w:szCs w:val="20"/>
        </w:rPr>
      </w:pPr>
    </w:p>
    <w:p w14:paraId="17C17213" w14:textId="77777777" w:rsidR="00A736FE" w:rsidRPr="00623E9E" w:rsidRDefault="00A736FE" w:rsidP="00A736FE">
      <w:pPr>
        <w:spacing w:line="480" w:lineRule="auto"/>
        <w:rPr>
          <w:rFonts w:ascii="Times New Roman" w:hAnsi="Times New Roman"/>
          <w:sz w:val="20"/>
          <w:szCs w:val="20"/>
        </w:rPr>
      </w:pPr>
      <w:r w:rsidRPr="00623E9E">
        <w:rPr>
          <w:rFonts w:ascii="Times New Roman" w:hAnsi="Times New Roman"/>
          <w:sz w:val="20"/>
          <w:szCs w:val="20"/>
        </w:rPr>
        <w:t>Caswell H (2000) Prospective and retrospective perturbation analyses: their roles in conservation biology. Ecology 81:619–627</w:t>
      </w:r>
    </w:p>
    <w:p w14:paraId="734206C9" w14:textId="77777777" w:rsidR="00A736FE" w:rsidRPr="00623E9E" w:rsidRDefault="00A736FE" w:rsidP="00A736FE">
      <w:pPr>
        <w:spacing w:line="480" w:lineRule="auto"/>
        <w:rPr>
          <w:rFonts w:ascii="Times New Roman" w:hAnsi="Times New Roman"/>
          <w:sz w:val="20"/>
          <w:szCs w:val="20"/>
        </w:rPr>
      </w:pPr>
    </w:p>
    <w:p w14:paraId="470B3C96" w14:textId="499399C7" w:rsidR="00A736FE" w:rsidRPr="00A41DA5" w:rsidRDefault="00450454" w:rsidP="00A736FE">
      <w:pPr>
        <w:spacing w:line="480" w:lineRule="auto"/>
        <w:rPr>
          <w:rFonts w:ascii="Times New Roman" w:hAnsi="Times New Roman"/>
          <w:sz w:val="20"/>
          <w:szCs w:val="20"/>
        </w:rPr>
      </w:pPr>
      <w:r w:rsidRPr="00623E9E">
        <w:rPr>
          <w:rFonts w:ascii="Times New Roman" w:hAnsi="Times New Roman"/>
          <w:sz w:val="20"/>
          <w:szCs w:val="20"/>
        </w:rPr>
        <w:t>Caswell H (2001) Matrix p</w:t>
      </w:r>
      <w:r w:rsidR="00A736FE" w:rsidRPr="00623E9E">
        <w:rPr>
          <w:rFonts w:ascii="Times New Roman" w:hAnsi="Times New Roman"/>
          <w:sz w:val="20"/>
          <w:szCs w:val="20"/>
        </w:rPr>
        <w:t xml:space="preserve">opulation </w:t>
      </w:r>
      <w:r w:rsidRPr="00623E9E">
        <w:rPr>
          <w:rFonts w:ascii="Times New Roman" w:hAnsi="Times New Roman"/>
          <w:sz w:val="20"/>
          <w:szCs w:val="20"/>
        </w:rPr>
        <w:t>m</w:t>
      </w:r>
      <w:r w:rsidR="00A736FE" w:rsidRPr="00623E9E">
        <w:rPr>
          <w:rFonts w:ascii="Times New Roman" w:hAnsi="Times New Roman"/>
          <w:sz w:val="20"/>
          <w:szCs w:val="20"/>
        </w:rPr>
        <w:t xml:space="preserve">odels: Construction, </w:t>
      </w:r>
      <w:r w:rsidRPr="00623E9E">
        <w:rPr>
          <w:rFonts w:ascii="Times New Roman" w:hAnsi="Times New Roman"/>
          <w:sz w:val="20"/>
          <w:szCs w:val="20"/>
        </w:rPr>
        <w:t>a</w:t>
      </w:r>
      <w:r w:rsidR="00A736FE" w:rsidRPr="00623E9E">
        <w:rPr>
          <w:rFonts w:ascii="Times New Roman" w:hAnsi="Times New Roman"/>
          <w:sz w:val="20"/>
          <w:szCs w:val="20"/>
        </w:rPr>
        <w:t xml:space="preserve">nalysis and </w:t>
      </w:r>
      <w:r w:rsidRPr="00623E9E">
        <w:rPr>
          <w:rFonts w:ascii="Times New Roman" w:hAnsi="Times New Roman"/>
          <w:sz w:val="20"/>
          <w:szCs w:val="20"/>
        </w:rPr>
        <w:t>i</w:t>
      </w:r>
      <w:r w:rsidR="00A736FE" w:rsidRPr="00623E9E">
        <w:rPr>
          <w:rFonts w:ascii="Times New Roman" w:hAnsi="Times New Roman"/>
          <w:sz w:val="20"/>
          <w:szCs w:val="20"/>
        </w:rPr>
        <w:t>nterpretation, 2nd edn. Sinauer, Sunderland</w:t>
      </w:r>
    </w:p>
    <w:p w14:paraId="1520322B" w14:textId="77777777" w:rsidR="00A736FE" w:rsidRDefault="00A736FE" w:rsidP="00A736FE">
      <w:pPr>
        <w:spacing w:line="480" w:lineRule="auto"/>
        <w:rPr>
          <w:rFonts w:ascii="Times New Roman" w:hAnsi="Times New Roman"/>
          <w:sz w:val="20"/>
          <w:szCs w:val="20"/>
        </w:rPr>
      </w:pPr>
    </w:p>
    <w:p w14:paraId="0F314FC6" w14:textId="77777777" w:rsidR="00A736FE" w:rsidRPr="00A41DA5" w:rsidRDefault="00A736FE" w:rsidP="00A736FE">
      <w:pPr>
        <w:spacing w:line="480" w:lineRule="auto"/>
        <w:rPr>
          <w:rFonts w:ascii="Times New Roman" w:hAnsi="Times New Roman"/>
          <w:sz w:val="20"/>
          <w:szCs w:val="20"/>
        </w:rPr>
      </w:pPr>
      <w:r w:rsidRPr="00A41DA5">
        <w:rPr>
          <w:rFonts w:ascii="Times New Roman" w:hAnsi="Times New Roman"/>
          <w:sz w:val="20"/>
          <w:szCs w:val="20"/>
        </w:rPr>
        <w:t>Caswell H, Sánchez Gassen N (2015) The sensitivity analysis of population projections. Demogr</w:t>
      </w:r>
      <w:r w:rsidR="000C3F22">
        <w:rPr>
          <w:rFonts w:ascii="Times New Roman" w:hAnsi="Times New Roman"/>
          <w:sz w:val="20"/>
          <w:szCs w:val="20"/>
        </w:rPr>
        <w:t>aphic</w:t>
      </w:r>
      <w:r w:rsidRPr="00A41DA5">
        <w:rPr>
          <w:rFonts w:ascii="Times New Roman" w:hAnsi="Times New Roman"/>
          <w:sz w:val="20"/>
          <w:szCs w:val="20"/>
        </w:rPr>
        <w:t xml:space="preserve"> Res</w:t>
      </w:r>
      <w:r w:rsidR="000C3F22">
        <w:rPr>
          <w:rFonts w:ascii="Times New Roman" w:hAnsi="Times New Roman"/>
          <w:sz w:val="20"/>
          <w:szCs w:val="20"/>
        </w:rPr>
        <w:t>earch</w:t>
      </w:r>
      <w:r w:rsidRPr="00A41DA5">
        <w:rPr>
          <w:rFonts w:ascii="Times New Roman" w:hAnsi="Times New Roman"/>
          <w:sz w:val="20"/>
          <w:szCs w:val="20"/>
        </w:rPr>
        <w:t xml:space="preserve"> 33</w:t>
      </w:r>
      <w:r>
        <w:rPr>
          <w:rFonts w:ascii="Times New Roman" w:hAnsi="Times New Roman"/>
          <w:sz w:val="20"/>
          <w:szCs w:val="20"/>
        </w:rPr>
        <w:t>:801–840</w:t>
      </w:r>
    </w:p>
    <w:p w14:paraId="71CE2296" w14:textId="77777777" w:rsidR="00A736FE" w:rsidRDefault="00A736FE" w:rsidP="00A736FE">
      <w:pPr>
        <w:spacing w:line="480" w:lineRule="auto"/>
        <w:rPr>
          <w:rFonts w:ascii="Times New Roman" w:hAnsi="Times New Roman"/>
          <w:sz w:val="20"/>
          <w:szCs w:val="20"/>
        </w:rPr>
      </w:pPr>
    </w:p>
    <w:p w14:paraId="0C11D586" w14:textId="77777777" w:rsidR="00B51CA9" w:rsidRPr="004A1016" w:rsidRDefault="00164A54" w:rsidP="00164A54">
      <w:pPr>
        <w:spacing w:line="480" w:lineRule="auto"/>
        <w:rPr>
          <w:rFonts w:ascii="Times New Roman" w:hAnsi="Times New Roman"/>
          <w:sz w:val="20"/>
          <w:szCs w:val="20"/>
        </w:rPr>
      </w:pPr>
      <w:r>
        <w:rPr>
          <w:rFonts w:ascii="Times New Roman" w:hAnsi="Times New Roman"/>
          <w:sz w:val="20"/>
          <w:szCs w:val="20"/>
        </w:rPr>
        <w:t xml:space="preserve">Crone EE, Menges ES, Ellis MM, </w:t>
      </w:r>
      <w:r w:rsidRPr="00164A54">
        <w:rPr>
          <w:rFonts w:ascii="Times New Roman" w:hAnsi="Times New Roman"/>
          <w:sz w:val="20"/>
          <w:szCs w:val="20"/>
        </w:rPr>
        <w:t>Bell</w:t>
      </w:r>
      <w:r>
        <w:rPr>
          <w:rFonts w:ascii="Times New Roman" w:hAnsi="Times New Roman"/>
          <w:sz w:val="20"/>
          <w:szCs w:val="20"/>
        </w:rPr>
        <w:t xml:space="preserve"> T</w:t>
      </w:r>
      <w:r w:rsidRPr="00164A54">
        <w:rPr>
          <w:rFonts w:ascii="Times New Roman" w:hAnsi="Times New Roman"/>
          <w:sz w:val="20"/>
          <w:szCs w:val="20"/>
        </w:rPr>
        <w:t>,</w:t>
      </w:r>
      <w:r>
        <w:rPr>
          <w:rFonts w:ascii="Times New Roman" w:hAnsi="Times New Roman"/>
          <w:sz w:val="20"/>
          <w:szCs w:val="20"/>
        </w:rPr>
        <w:t xml:space="preserve"> </w:t>
      </w:r>
      <w:r w:rsidRPr="00164A54">
        <w:rPr>
          <w:rFonts w:ascii="Times New Roman" w:hAnsi="Times New Roman"/>
          <w:sz w:val="20"/>
          <w:szCs w:val="20"/>
        </w:rPr>
        <w:t>Bierzychudek</w:t>
      </w:r>
      <w:r>
        <w:rPr>
          <w:rFonts w:ascii="Times New Roman" w:hAnsi="Times New Roman"/>
          <w:sz w:val="20"/>
          <w:szCs w:val="20"/>
        </w:rPr>
        <w:t xml:space="preserve"> P</w:t>
      </w:r>
      <w:r w:rsidRPr="00164A54">
        <w:rPr>
          <w:rFonts w:ascii="Times New Roman" w:hAnsi="Times New Roman"/>
          <w:sz w:val="20"/>
          <w:szCs w:val="20"/>
        </w:rPr>
        <w:t>,</w:t>
      </w:r>
      <w:r>
        <w:rPr>
          <w:rFonts w:ascii="Times New Roman" w:hAnsi="Times New Roman"/>
          <w:sz w:val="20"/>
          <w:szCs w:val="20"/>
        </w:rPr>
        <w:t xml:space="preserve"> </w:t>
      </w:r>
      <w:r w:rsidRPr="00164A54">
        <w:rPr>
          <w:rFonts w:ascii="Times New Roman" w:hAnsi="Times New Roman"/>
          <w:sz w:val="20"/>
          <w:szCs w:val="20"/>
        </w:rPr>
        <w:t>Ehrlén</w:t>
      </w:r>
      <w:r>
        <w:rPr>
          <w:rFonts w:ascii="Times New Roman" w:hAnsi="Times New Roman"/>
          <w:sz w:val="20"/>
          <w:szCs w:val="20"/>
        </w:rPr>
        <w:t xml:space="preserve"> J</w:t>
      </w:r>
      <w:r w:rsidRPr="00164A54">
        <w:rPr>
          <w:rFonts w:ascii="Times New Roman" w:hAnsi="Times New Roman"/>
          <w:sz w:val="20"/>
          <w:szCs w:val="20"/>
        </w:rPr>
        <w:t>,</w:t>
      </w:r>
      <w:r>
        <w:rPr>
          <w:rFonts w:ascii="Times New Roman" w:hAnsi="Times New Roman"/>
          <w:sz w:val="20"/>
          <w:szCs w:val="20"/>
        </w:rPr>
        <w:t xml:space="preserve"> </w:t>
      </w:r>
      <w:r w:rsidRPr="00164A54">
        <w:rPr>
          <w:rFonts w:ascii="Times New Roman" w:hAnsi="Times New Roman"/>
          <w:sz w:val="20"/>
          <w:szCs w:val="20"/>
        </w:rPr>
        <w:t>Kaye</w:t>
      </w:r>
      <w:r>
        <w:rPr>
          <w:rFonts w:ascii="Times New Roman" w:hAnsi="Times New Roman"/>
          <w:sz w:val="20"/>
          <w:szCs w:val="20"/>
        </w:rPr>
        <w:t xml:space="preserve"> TN, </w:t>
      </w:r>
      <w:r w:rsidRPr="00164A54">
        <w:rPr>
          <w:rFonts w:ascii="Times New Roman" w:hAnsi="Times New Roman"/>
          <w:sz w:val="20"/>
          <w:szCs w:val="20"/>
        </w:rPr>
        <w:t>Knight</w:t>
      </w:r>
      <w:r>
        <w:rPr>
          <w:rFonts w:ascii="Times New Roman" w:hAnsi="Times New Roman"/>
          <w:sz w:val="20"/>
          <w:szCs w:val="20"/>
        </w:rPr>
        <w:t xml:space="preserve"> TM, </w:t>
      </w:r>
      <w:r w:rsidRPr="00164A54">
        <w:rPr>
          <w:rFonts w:ascii="Times New Roman" w:hAnsi="Times New Roman"/>
          <w:sz w:val="20"/>
          <w:szCs w:val="20"/>
        </w:rPr>
        <w:t>Lesica</w:t>
      </w:r>
      <w:r>
        <w:rPr>
          <w:rFonts w:ascii="Times New Roman" w:hAnsi="Times New Roman"/>
          <w:sz w:val="20"/>
          <w:szCs w:val="20"/>
        </w:rPr>
        <w:t xml:space="preserve"> P, </w:t>
      </w:r>
      <w:r w:rsidRPr="00164A54">
        <w:rPr>
          <w:rFonts w:ascii="Times New Roman" w:hAnsi="Times New Roman"/>
          <w:sz w:val="20"/>
          <w:szCs w:val="20"/>
        </w:rPr>
        <w:t>Morris</w:t>
      </w:r>
      <w:r>
        <w:rPr>
          <w:rFonts w:ascii="Times New Roman" w:hAnsi="Times New Roman"/>
          <w:sz w:val="20"/>
          <w:szCs w:val="20"/>
        </w:rPr>
        <w:t xml:space="preserve"> WF, </w:t>
      </w:r>
      <w:r w:rsidRPr="00164A54">
        <w:rPr>
          <w:rFonts w:ascii="Times New Roman" w:hAnsi="Times New Roman"/>
          <w:sz w:val="20"/>
          <w:szCs w:val="20"/>
        </w:rPr>
        <w:t>Oostermeijer</w:t>
      </w:r>
      <w:r>
        <w:rPr>
          <w:rFonts w:ascii="Times New Roman" w:hAnsi="Times New Roman"/>
          <w:sz w:val="20"/>
          <w:szCs w:val="20"/>
        </w:rPr>
        <w:t xml:space="preserve"> G, </w:t>
      </w:r>
      <w:r w:rsidRPr="00164A54">
        <w:rPr>
          <w:rFonts w:ascii="Times New Roman" w:hAnsi="Times New Roman"/>
          <w:sz w:val="20"/>
          <w:szCs w:val="20"/>
        </w:rPr>
        <w:t>Quintana-Ascencio</w:t>
      </w:r>
      <w:r>
        <w:rPr>
          <w:rFonts w:ascii="Times New Roman" w:hAnsi="Times New Roman"/>
          <w:sz w:val="20"/>
          <w:szCs w:val="20"/>
        </w:rPr>
        <w:t xml:space="preserve"> PF</w:t>
      </w:r>
      <w:r w:rsidRPr="00164A54">
        <w:rPr>
          <w:rFonts w:ascii="Times New Roman" w:hAnsi="Times New Roman"/>
          <w:sz w:val="20"/>
          <w:szCs w:val="20"/>
        </w:rPr>
        <w:t>,</w:t>
      </w:r>
      <w:r>
        <w:rPr>
          <w:rFonts w:ascii="Times New Roman" w:hAnsi="Times New Roman"/>
          <w:sz w:val="20"/>
          <w:szCs w:val="20"/>
        </w:rPr>
        <w:t xml:space="preserve"> </w:t>
      </w:r>
      <w:r w:rsidRPr="00164A54">
        <w:rPr>
          <w:rFonts w:ascii="Times New Roman" w:hAnsi="Times New Roman"/>
          <w:sz w:val="20"/>
          <w:szCs w:val="20"/>
        </w:rPr>
        <w:t>Stanley</w:t>
      </w:r>
      <w:r>
        <w:rPr>
          <w:rFonts w:ascii="Times New Roman" w:hAnsi="Times New Roman"/>
          <w:sz w:val="20"/>
          <w:szCs w:val="20"/>
        </w:rPr>
        <w:t xml:space="preserve"> A, </w:t>
      </w:r>
      <w:r w:rsidRPr="00164A54">
        <w:rPr>
          <w:rFonts w:ascii="Times New Roman" w:hAnsi="Times New Roman"/>
          <w:sz w:val="20"/>
          <w:szCs w:val="20"/>
        </w:rPr>
        <w:t>Ticktin</w:t>
      </w:r>
      <w:r>
        <w:rPr>
          <w:rFonts w:ascii="Times New Roman" w:hAnsi="Times New Roman"/>
          <w:sz w:val="20"/>
          <w:szCs w:val="20"/>
        </w:rPr>
        <w:t xml:space="preserve"> T, </w:t>
      </w:r>
      <w:r w:rsidRPr="00164A54">
        <w:rPr>
          <w:rFonts w:ascii="Times New Roman" w:hAnsi="Times New Roman"/>
          <w:sz w:val="20"/>
          <w:szCs w:val="20"/>
        </w:rPr>
        <w:t>Valverde</w:t>
      </w:r>
      <w:r>
        <w:rPr>
          <w:rFonts w:ascii="Times New Roman" w:hAnsi="Times New Roman"/>
          <w:sz w:val="20"/>
          <w:szCs w:val="20"/>
        </w:rPr>
        <w:t xml:space="preserve"> T, </w:t>
      </w:r>
      <w:r w:rsidRPr="00164A54">
        <w:rPr>
          <w:rFonts w:ascii="Times New Roman" w:hAnsi="Times New Roman"/>
          <w:sz w:val="20"/>
          <w:szCs w:val="20"/>
        </w:rPr>
        <w:t>Williams</w:t>
      </w:r>
      <w:r>
        <w:rPr>
          <w:rFonts w:ascii="Times New Roman" w:hAnsi="Times New Roman"/>
          <w:sz w:val="20"/>
          <w:szCs w:val="20"/>
        </w:rPr>
        <w:t xml:space="preserve"> JL</w:t>
      </w:r>
      <w:r w:rsidRPr="00164A54">
        <w:rPr>
          <w:rFonts w:ascii="Times New Roman" w:hAnsi="Times New Roman"/>
          <w:sz w:val="20"/>
          <w:szCs w:val="20"/>
        </w:rPr>
        <w:t xml:space="preserve"> </w:t>
      </w:r>
      <w:r w:rsidR="00B51CA9" w:rsidRPr="004A1016">
        <w:rPr>
          <w:rFonts w:ascii="Times New Roman" w:hAnsi="Times New Roman"/>
          <w:sz w:val="20"/>
          <w:szCs w:val="20"/>
        </w:rPr>
        <w:t>(2011) How do plant ecologists use matrix popu</w:t>
      </w:r>
      <w:r w:rsidR="00B51CA9">
        <w:rPr>
          <w:rFonts w:ascii="Times New Roman" w:hAnsi="Times New Roman"/>
          <w:sz w:val="20"/>
          <w:szCs w:val="20"/>
        </w:rPr>
        <w:t>lation models? Ecol Lett 14:1–8</w:t>
      </w:r>
    </w:p>
    <w:p w14:paraId="23392111" w14:textId="77777777" w:rsidR="00B51CA9" w:rsidRDefault="00B51CA9" w:rsidP="00A736FE">
      <w:pPr>
        <w:spacing w:line="480" w:lineRule="auto"/>
        <w:rPr>
          <w:rFonts w:ascii="Times New Roman" w:hAnsi="Times New Roman"/>
          <w:sz w:val="20"/>
          <w:szCs w:val="20"/>
        </w:rPr>
      </w:pPr>
    </w:p>
    <w:p w14:paraId="61B6432B" w14:textId="5A272272" w:rsidR="00A736FE" w:rsidRDefault="00A736FE" w:rsidP="00D573BA">
      <w:pPr>
        <w:spacing w:line="480" w:lineRule="auto"/>
        <w:rPr>
          <w:rFonts w:ascii="Times New Roman" w:hAnsi="Times New Roman"/>
          <w:sz w:val="20"/>
          <w:szCs w:val="20"/>
        </w:rPr>
      </w:pPr>
      <w:r w:rsidRPr="00A41DA5">
        <w:rPr>
          <w:rFonts w:ascii="Times New Roman" w:hAnsi="Times New Roman"/>
          <w:sz w:val="20"/>
          <w:szCs w:val="20"/>
        </w:rPr>
        <w:t>Crone EE, Ellis MM, Morris WF</w:t>
      </w:r>
      <w:r w:rsidR="00D573BA">
        <w:rPr>
          <w:rFonts w:ascii="Times New Roman" w:hAnsi="Times New Roman"/>
          <w:sz w:val="20"/>
          <w:szCs w:val="20"/>
        </w:rPr>
        <w:t>, Stanley A</w:t>
      </w:r>
      <w:r w:rsidR="00D573BA" w:rsidRPr="00D573BA">
        <w:rPr>
          <w:rFonts w:ascii="Times New Roman" w:hAnsi="Times New Roman"/>
          <w:sz w:val="20"/>
          <w:szCs w:val="20"/>
        </w:rPr>
        <w:t>,</w:t>
      </w:r>
      <w:r w:rsidR="00D573BA">
        <w:rPr>
          <w:rFonts w:ascii="Times New Roman" w:hAnsi="Times New Roman"/>
          <w:sz w:val="20"/>
          <w:szCs w:val="20"/>
        </w:rPr>
        <w:t xml:space="preserve"> Bell T, </w:t>
      </w:r>
      <w:r w:rsidR="00D573BA" w:rsidRPr="00164A54">
        <w:rPr>
          <w:rFonts w:ascii="Times New Roman" w:hAnsi="Times New Roman"/>
          <w:sz w:val="20"/>
          <w:szCs w:val="20"/>
        </w:rPr>
        <w:t>Bierzychudek</w:t>
      </w:r>
      <w:r w:rsidR="00D573BA">
        <w:rPr>
          <w:rFonts w:ascii="Times New Roman" w:hAnsi="Times New Roman"/>
          <w:sz w:val="20"/>
          <w:szCs w:val="20"/>
        </w:rPr>
        <w:t xml:space="preserve"> P</w:t>
      </w:r>
      <w:r w:rsidR="00D573BA" w:rsidRPr="00164A54">
        <w:rPr>
          <w:rFonts w:ascii="Times New Roman" w:hAnsi="Times New Roman"/>
          <w:sz w:val="20"/>
          <w:szCs w:val="20"/>
        </w:rPr>
        <w:t>,</w:t>
      </w:r>
      <w:r w:rsidR="00D573BA">
        <w:rPr>
          <w:rFonts w:ascii="Times New Roman" w:hAnsi="Times New Roman"/>
          <w:sz w:val="20"/>
          <w:szCs w:val="20"/>
        </w:rPr>
        <w:t xml:space="preserve"> </w:t>
      </w:r>
      <w:r w:rsidR="00D573BA" w:rsidRPr="00164A54">
        <w:rPr>
          <w:rFonts w:ascii="Times New Roman" w:hAnsi="Times New Roman"/>
          <w:sz w:val="20"/>
          <w:szCs w:val="20"/>
        </w:rPr>
        <w:t>Ehrlén</w:t>
      </w:r>
      <w:r w:rsidR="00D573BA">
        <w:rPr>
          <w:rFonts w:ascii="Times New Roman" w:hAnsi="Times New Roman"/>
          <w:sz w:val="20"/>
          <w:szCs w:val="20"/>
        </w:rPr>
        <w:t xml:space="preserve"> J</w:t>
      </w:r>
      <w:r w:rsidR="00D573BA" w:rsidRPr="00164A54">
        <w:rPr>
          <w:rFonts w:ascii="Times New Roman" w:hAnsi="Times New Roman"/>
          <w:sz w:val="20"/>
          <w:szCs w:val="20"/>
        </w:rPr>
        <w:t>,</w:t>
      </w:r>
      <w:r w:rsidR="00D573BA">
        <w:rPr>
          <w:rFonts w:ascii="Times New Roman" w:hAnsi="Times New Roman"/>
          <w:sz w:val="20"/>
          <w:szCs w:val="20"/>
        </w:rPr>
        <w:t xml:space="preserve"> </w:t>
      </w:r>
      <w:r w:rsidR="00D573BA" w:rsidRPr="00164A54">
        <w:rPr>
          <w:rFonts w:ascii="Times New Roman" w:hAnsi="Times New Roman"/>
          <w:sz w:val="20"/>
          <w:szCs w:val="20"/>
        </w:rPr>
        <w:t>Kaye</w:t>
      </w:r>
      <w:r w:rsidR="00D573BA">
        <w:rPr>
          <w:rFonts w:ascii="Times New Roman" w:hAnsi="Times New Roman"/>
          <w:sz w:val="20"/>
          <w:szCs w:val="20"/>
        </w:rPr>
        <w:t xml:space="preserve"> TN, </w:t>
      </w:r>
      <w:r w:rsidR="00D573BA" w:rsidRPr="00164A54">
        <w:rPr>
          <w:rFonts w:ascii="Times New Roman" w:hAnsi="Times New Roman"/>
          <w:sz w:val="20"/>
          <w:szCs w:val="20"/>
        </w:rPr>
        <w:t>Knight</w:t>
      </w:r>
      <w:r w:rsidR="00D573BA">
        <w:rPr>
          <w:rFonts w:ascii="Times New Roman" w:hAnsi="Times New Roman"/>
          <w:sz w:val="20"/>
          <w:szCs w:val="20"/>
        </w:rPr>
        <w:t xml:space="preserve"> TM, </w:t>
      </w:r>
      <w:r w:rsidR="00D573BA" w:rsidRPr="00164A54">
        <w:rPr>
          <w:rFonts w:ascii="Times New Roman" w:hAnsi="Times New Roman"/>
          <w:sz w:val="20"/>
          <w:szCs w:val="20"/>
        </w:rPr>
        <w:t>Lesica</w:t>
      </w:r>
      <w:r w:rsidR="00D573BA">
        <w:rPr>
          <w:rFonts w:ascii="Times New Roman" w:hAnsi="Times New Roman"/>
          <w:sz w:val="20"/>
          <w:szCs w:val="20"/>
        </w:rPr>
        <w:t xml:space="preserve"> P, </w:t>
      </w:r>
      <w:r w:rsidR="00D573BA" w:rsidRPr="00164A54">
        <w:rPr>
          <w:rFonts w:ascii="Times New Roman" w:hAnsi="Times New Roman"/>
          <w:sz w:val="20"/>
          <w:szCs w:val="20"/>
        </w:rPr>
        <w:t>Oostermeijer</w:t>
      </w:r>
      <w:r w:rsidR="00D573BA">
        <w:rPr>
          <w:rFonts w:ascii="Times New Roman" w:hAnsi="Times New Roman"/>
          <w:sz w:val="20"/>
          <w:szCs w:val="20"/>
        </w:rPr>
        <w:t xml:space="preserve"> G, </w:t>
      </w:r>
      <w:r w:rsidR="00D573BA" w:rsidRPr="00164A54">
        <w:rPr>
          <w:rFonts w:ascii="Times New Roman" w:hAnsi="Times New Roman"/>
          <w:sz w:val="20"/>
          <w:szCs w:val="20"/>
        </w:rPr>
        <w:t>Quintana-Ascencio</w:t>
      </w:r>
      <w:r w:rsidR="00D573BA">
        <w:rPr>
          <w:rFonts w:ascii="Times New Roman" w:hAnsi="Times New Roman"/>
          <w:sz w:val="20"/>
          <w:szCs w:val="20"/>
        </w:rPr>
        <w:t xml:space="preserve"> PF</w:t>
      </w:r>
      <w:r w:rsidR="00D573BA" w:rsidRPr="00164A54">
        <w:rPr>
          <w:rFonts w:ascii="Times New Roman" w:hAnsi="Times New Roman"/>
          <w:sz w:val="20"/>
          <w:szCs w:val="20"/>
        </w:rPr>
        <w:t>,</w:t>
      </w:r>
      <w:r w:rsidR="00D573BA">
        <w:rPr>
          <w:rFonts w:ascii="Times New Roman" w:hAnsi="Times New Roman"/>
          <w:sz w:val="20"/>
          <w:szCs w:val="20"/>
        </w:rPr>
        <w:t xml:space="preserve"> </w:t>
      </w:r>
      <w:r w:rsidR="00D573BA" w:rsidRPr="00164A54">
        <w:rPr>
          <w:rFonts w:ascii="Times New Roman" w:hAnsi="Times New Roman"/>
          <w:sz w:val="20"/>
          <w:szCs w:val="20"/>
        </w:rPr>
        <w:t>Ticktin</w:t>
      </w:r>
      <w:r w:rsidR="00D573BA">
        <w:rPr>
          <w:rFonts w:ascii="Times New Roman" w:hAnsi="Times New Roman"/>
          <w:sz w:val="20"/>
          <w:szCs w:val="20"/>
        </w:rPr>
        <w:t xml:space="preserve"> T, </w:t>
      </w:r>
      <w:r w:rsidR="00D573BA" w:rsidRPr="00164A54">
        <w:rPr>
          <w:rFonts w:ascii="Times New Roman" w:hAnsi="Times New Roman"/>
          <w:sz w:val="20"/>
          <w:szCs w:val="20"/>
        </w:rPr>
        <w:t>Valverde</w:t>
      </w:r>
      <w:r w:rsidR="00D573BA">
        <w:rPr>
          <w:rFonts w:ascii="Times New Roman" w:hAnsi="Times New Roman"/>
          <w:sz w:val="20"/>
          <w:szCs w:val="20"/>
        </w:rPr>
        <w:t xml:space="preserve"> T, </w:t>
      </w:r>
      <w:r w:rsidR="00D573BA" w:rsidRPr="00164A54">
        <w:rPr>
          <w:rFonts w:ascii="Times New Roman" w:hAnsi="Times New Roman"/>
          <w:sz w:val="20"/>
          <w:szCs w:val="20"/>
        </w:rPr>
        <w:t>Williams</w:t>
      </w:r>
      <w:r w:rsidR="00D573BA">
        <w:rPr>
          <w:rFonts w:ascii="Times New Roman" w:hAnsi="Times New Roman"/>
          <w:sz w:val="20"/>
          <w:szCs w:val="20"/>
        </w:rPr>
        <w:t xml:space="preserve"> JL, Doak DF, Ganesan R, McEachern K, Thorpe AS, Menges ES</w:t>
      </w:r>
      <w:r w:rsidR="00D573BA" w:rsidRPr="00D573BA">
        <w:rPr>
          <w:rFonts w:ascii="Times New Roman" w:hAnsi="Times New Roman"/>
          <w:sz w:val="20"/>
          <w:szCs w:val="20"/>
        </w:rPr>
        <w:t xml:space="preserve"> </w:t>
      </w:r>
      <w:r w:rsidRPr="00A41DA5">
        <w:rPr>
          <w:rFonts w:ascii="Times New Roman" w:hAnsi="Times New Roman"/>
          <w:sz w:val="20"/>
          <w:szCs w:val="20"/>
        </w:rPr>
        <w:t>(2013) Ab</w:t>
      </w:r>
      <w:r w:rsidRPr="00623E9E">
        <w:rPr>
          <w:rFonts w:ascii="Times New Roman" w:hAnsi="Times New Roman"/>
          <w:sz w:val="20"/>
          <w:szCs w:val="20"/>
        </w:rPr>
        <w:t xml:space="preserve">ility of </w:t>
      </w:r>
      <w:r w:rsidR="00450454" w:rsidRPr="00623E9E">
        <w:rPr>
          <w:rFonts w:ascii="Times New Roman" w:hAnsi="Times New Roman"/>
          <w:sz w:val="20"/>
          <w:szCs w:val="20"/>
        </w:rPr>
        <w:t>m</w:t>
      </w:r>
      <w:r w:rsidRPr="00623E9E">
        <w:rPr>
          <w:rFonts w:ascii="Times New Roman" w:hAnsi="Times New Roman"/>
          <w:sz w:val="20"/>
          <w:szCs w:val="20"/>
        </w:rPr>
        <w:t xml:space="preserve">atrix </w:t>
      </w:r>
      <w:r w:rsidR="00450454" w:rsidRPr="00623E9E">
        <w:rPr>
          <w:rFonts w:ascii="Times New Roman" w:hAnsi="Times New Roman"/>
          <w:sz w:val="20"/>
          <w:szCs w:val="20"/>
        </w:rPr>
        <w:t>m</w:t>
      </w:r>
      <w:r w:rsidRPr="00623E9E">
        <w:rPr>
          <w:rFonts w:ascii="Times New Roman" w:hAnsi="Times New Roman"/>
          <w:sz w:val="20"/>
          <w:szCs w:val="20"/>
        </w:rPr>
        <w:t xml:space="preserve">odels to </w:t>
      </w:r>
      <w:r w:rsidR="00450454" w:rsidRPr="00623E9E">
        <w:rPr>
          <w:rFonts w:ascii="Times New Roman" w:hAnsi="Times New Roman"/>
          <w:sz w:val="20"/>
          <w:szCs w:val="20"/>
        </w:rPr>
        <w:t>e</w:t>
      </w:r>
      <w:r w:rsidRPr="00623E9E">
        <w:rPr>
          <w:rFonts w:ascii="Times New Roman" w:hAnsi="Times New Roman"/>
          <w:sz w:val="20"/>
          <w:szCs w:val="20"/>
        </w:rPr>
        <w:t xml:space="preserve">xplain the </w:t>
      </w:r>
      <w:r w:rsidR="00450454" w:rsidRPr="00623E9E">
        <w:rPr>
          <w:rFonts w:ascii="Times New Roman" w:hAnsi="Times New Roman"/>
          <w:sz w:val="20"/>
          <w:szCs w:val="20"/>
        </w:rPr>
        <w:t>p</w:t>
      </w:r>
      <w:r w:rsidRPr="00623E9E">
        <w:rPr>
          <w:rFonts w:ascii="Times New Roman" w:hAnsi="Times New Roman"/>
          <w:sz w:val="20"/>
          <w:szCs w:val="20"/>
        </w:rPr>
        <w:t xml:space="preserve">ast and </w:t>
      </w:r>
      <w:r w:rsidR="00450454" w:rsidRPr="00623E9E">
        <w:rPr>
          <w:rFonts w:ascii="Times New Roman" w:hAnsi="Times New Roman"/>
          <w:sz w:val="20"/>
          <w:szCs w:val="20"/>
        </w:rPr>
        <w:t>p</w:t>
      </w:r>
      <w:r w:rsidRPr="00623E9E">
        <w:rPr>
          <w:rFonts w:ascii="Times New Roman" w:hAnsi="Times New Roman"/>
          <w:sz w:val="20"/>
          <w:szCs w:val="20"/>
        </w:rPr>
        <w:t xml:space="preserve">redict the </w:t>
      </w:r>
      <w:r w:rsidR="00450454" w:rsidRPr="00623E9E">
        <w:rPr>
          <w:rFonts w:ascii="Times New Roman" w:hAnsi="Times New Roman"/>
          <w:sz w:val="20"/>
          <w:szCs w:val="20"/>
        </w:rPr>
        <w:t>f</w:t>
      </w:r>
      <w:r w:rsidRPr="00623E9E">
        <w:rPr>
          <w:rFonts w:ascii="Times New Roman" w:hAnsi="Times New Roman"/>
          <w:sz w:val="20"/>
          <w:szCs w:val="20"/>
        </w:rPr>
        <w:t xml:space="preserve">uture of </w:t>
      </w:r>
      <w:r w:rsidR="00450454" w:rsidRPr="00623E9E">
        <w:rPr>
          <w:rFonts w:ascii="Times New Roman" w:hAnsi="Times New Roman"/>
          <w:sz w:val="20"/>
          <w:szCs w:val="20"/>
        </w:rPr>
        <w:t>p</w:t>
      </w:r>
      <w:r w:rsidRPr="00623E9E">
        <w:rPr>
          <w:rFonts w:ascii="Times New Roman" w:hAnsi="Times New Roman"/>
          <w:sz w:val="20"/>
          <w:szCs w:val="20"/>
        </w:rPr>
        <w:t xml:space="preserve">lant </w:t>
      </w:r>
      <w:r w:rsidR="00450454" w:rsidRPr="00623E9E">
        <w:rPr>
          <w:rFonts w:ascii="Times New Roman" w:hAnsi="Times New Roman"/>
          <w:sz w:val="20"/>
          <w:szCs w:val="20"/>
        </w:rPr>
        <w:t>p</w:t>
      </w:r>
      <w:r w:rsidRPr="00623E9E">
        <w:rPr>
          <w:rFonts w:ascii="Times New Roman" w:hAnsi="Times New Roman"/>
          <w:sz w:val="20"/>
          <w:szCs w:val="20"/>
        </w:rPr>
        <w:t>opul</w:t>
      </w:r>
      <w:r w:rsidR="008E1009" w:rsidRPr="00623E9E">
        <w:rPr>
          <w:rFonts w:ascii="Times New Roman" w:hAnsi="Times New Roman"/>
          <w:sz w:val="20"/>
          <w:szCs w:val="20"/>
        </w:rPr>
        <w:t>ations. Conserv Biol 27:968–978</w:t>
      </w:r>
    </w:p>
    <w:p w14:paraId="283BB917" w14:textId="77777777" w:rsidR="00B51CA9" w:rsidRPr="00A41DA5" w:rsidRDefault="00B51CA9" w:rsidP="00A736FE">
      <w:pPr>
        <w:spacing w:line="480" w:lineRule="auto"/>
        <w:rPr>
          <w:rFonts w:ascii="Times New Roman" w:hAnsi="Times New Roman"/>
          <w:sz w:val="20"/>
          <w:szCs w:val="20"/>
        </w:rPr>
      </w:pPr>
    </w:p>
    <w:p w14:paraId="1638737C" w14:textId="77777777" w:rsidR="00A736FE" w:rsidRPr="00306AB7" w:rsidRDefault="00A736FE" w:rsidP="00A736FE">
      <w:pPr>
        <w:spacing w:line="480" w:lineRule="auto"/>
        <w:rPr>
          <w:rFonts w:ascii="Times New Roman" w:hAnsi="Times New Roman"/>
          <w:sz w:val="20"/>
          <w:szCs w:val="20"/>
        </w:rPr>
      </w:pPr>
      <w:r w:rsidRPr="00A41DA5">
        <w:rPr>
          <w:rFonts w:ascii="Times New Roman" w:hAnsi="Times New Roman"/>
          <w:sz w:val="20"/>
          <w:szCs w:val="20"/>
        </w:rPr>
        <w:t xml:space="preserve">Dinno A (2012) </w:t>
      </w:r>
      <w:r w:rsidRPr="00306AB7">
        <w:rPr>
          <w:rFonts w:ascii="Times New Roman" w:hAnsi="Times New Roman"/>
          <w:sz w:val="20"/>
          <w:szCs w:val="20"/>
        </w:rPr>
        <w:t>paran: Horn's Test of Principal Components/Factors. R package version 1.5.1.</w:t>
      </w:r>
      <w:r>
        <w:rPr>
          <w:rFonts w:ascii="Times New Roman" w:hAnsi="Times New Roman"/>
          <w:sz w:val="20"/>
          <w:szCs w:val="20"/>
        </w:rPr>
        <w:t xml:space="preserve"> </w:t>
      </w:r>
      <w:hyperlink r:id="rId9" w:history="1">
        <w:r w:rsidRPr="00306AB7">
          <w:rPr>
            <w:rStyle w:val="Hyperlink"/>
            <w:rFonts w:ascii="Times New Roman" w:hAnsi="Times New Roman"/>
            <w:sz w:val="20"/>
            <w:szCs w:val="20"/>
          </w:rPr>
          <w:t>https://CRAN.R-project.org/package=paran</w:t>
        </w:r>
      </w:hyperlink>
      <w:r w:rsidRPr="00306AB7">
        <w:rPr>
          <w:rFonts w:ascii="Times New Roman" w:hAnsi="Times New Roman"/>
          <w:sz w:val="20"/>
          <w:szCs w:val="20"/>
        </w:rPr>
        <w:t xml:space="preserve"> </w:t>
      </w:r>
    </w:p>
    <w:p w14:paraId="0EB32482" w14:textId="77777777" w:rsidR="00A736FE" w:rsidRDefault="00A736FE" w:rsidP="00A736FE">
      <w:pPr>
        <w:spacing w:line="480" w:lineRule="auto"/>
        <w:rPr>
          <w:rFonts w:ascii="Times New Roman" w:hAnsi="Times New Roman"/>
          <w:sz w:val="20"/>
          <w:szCs w:val="20"/>
        </w:rPr>
      </w:pPr>
    </w:p>
    <w:p w14:paraId="098C3525" w14:textId="77777777" w:rsidR="00A736FE" w:rsidRPr="00A41DA5" w:rsidRDefault="00A736FE" w:rsidP="00A736FE">
      <w:pPr>
        <w:spacing w:line="480" w:lineRule="auto"/>
        <w:rPr>
          <w:rFonts w:ascii="Times New Roman" w:hAnsi="Times New Roman"/>
          <w:sz w:val="20"/>
          <w:szCs w:val="20"/>
        </w:rPr>
      </w:pPr>
      <w:r w:rsidRPr="00A41DA5">
        <w:rPr>
          <w:rFonts w:ascii="Times New Roman" w:hAnsi="Times New Roman"/>
          <w:sz w:val="20"/>
          <w:szCs w:val="20"/>
        </w:rPr>
        <w:lastRenderedPageBreak/>
        <w:t>Ellis MM (2013) Evidence for transient dynamics in plant populations based on long-term demog</w:t>
      </w:r>
      <w:r>
        <w:rPr>
          <w:rFonts w:ascii="Times New Roman" w:hAnsi="Times New Roman"/>
          <w:sz w:val="20"/>
          <w:szCs w:val="20"/>
        </w:rPr>
        <w:t>raphic data. J Ecol 101:734–742</w:t>
      </w:r>
      <w:r w:rsidRPr="00A41DA5">
        <w:rPr>
          <w:rFonts w:ascii="Times New Roman" w:hAnsi="Times New Roman"/>
          <w:sz w:val="20"/>
          <w:szCs w:val="20"/>
        </w:rPr>
        <w:t xml:space="preserve"> </w:t>
      </w:r>
    </w:p>
    <w:p w14:paraId="62DF7C78" w14:textId="77777777" w:rsidR="00A736FE" w:rsidRDefault="00A736FE" w:rsidP="00A736FE">
      <w:pPr>
        <w:spacing w:line="480" w:lineRule="auto"/>
        <w:rPr>
          <w:rFonts w:ascii="Times New Roman" w:hAnsi="Times New Roman"/>
          <w:sz w:val="20"/>
          <w:szCs w:val="20"/>
        </w:rPr>
      </w:pPr>
    </w:p>
    <w:p w14:paraId="32B6F1FE" w14:textId="77777777" w:rsidR="00A736FE" w:rsidRPr="00A41DA5" w:rsidRDefault="00A736FE" w:rsidP="00A736FE">
      <w:pPr>
        <w:spacing w:line="480" w:lineRule="auto"/>
        <w:rPr>
          <w:rFonts w:ascii="Times New Roman" w:hAnsi="Times New Roman"/>
          <w:sz w:val="20"/>
          <w:szCs w:val="20"/>
        </w:rPr>
      </w:pPr>
      <w:r w:rsidRPr="00A41DA5">
        <w:rPr>
          <w:rFonts w:ascii="Times New Roman" w:hAnsi="Times New Roman"/>
          <w:sz w:val="20"/>
          <w:szCs w:val="20"/>
        </w:rPr>
        <w:t>Ellis MM, Crone EE (2013) The role of transient dynamics in stochastic population growth for nine perennial plants. Ecology</w:t>
      </w:r>
      <w:r>
        <w:rPr>
          <w:rFonts w:ascii="Times New Roman" w:hAnsi="Times New Roman"/>
          <w:sz w:val="20"/>
          <w:szCs w:val="20"/>
        </w:rPr>
        <w:t xml:space="preserve"> 94:1681–1686</w:t>
      </w:r>
      <w:r w:rsidRPr="00A41DA5">
        <w:rPr>
          <w:rFonts w:ascii="Times New Roman" w:hAnsi="Times New Roman"/>
          <w:sz w:val="20"/>
          <w:szCs w:val="20"/>
        </w:rPr>
        <w:t xml:space="preserve"> </w:t>
      </w:r>
    </w:p>
    <w:p w14:paraId="2F6E746B" w14:textId="77777777" w:rsidR="00A736FE" w:rsidRDefault="00A736FE" w:rsidP="00A736FE">
      <w:pPr>
        <w:spacing w:line="480" w:lineRule="auto"/>
        <w:rPr>
          <w:rFonts w:ascii="Times New Roman" w:hAnsi="Times New Roman"/>
          <w:sz w:val="20"/>
          <w:szCs w:val="20"/>
        </w:rPr>
      </w:pPr>
    </w:p>
    <w:p w14:paraId="3B74E9DD" w14:textId="77777777" w:rsidR="00A736FE" w:rsidRPr="00A41DA5" w:rsidRDefault="00A736FE" w:rsidP="00A736FE">
      <w:pPr>
        <w:spacing w:line="480" w:lineRule="auto"/>
        <w:rPr>
          <w:rFonts w:ascii="Times New Roman" w:hAnsi="Times New Roman"/>
          <w:sz w:val="20"/>
          <w:szCs w:val="20"/>
        </w:rPr>
      </w:pPr>
      <w:r w:rsidRPr="00A41DA5">
        <w:rPr>
          <w:rFonts w:ascii="Times New Roman" w:hAnsi="Times New Roman"/>
          <w:sz w:val="20"/>
          <w:szCs w:val="20"/>
        </w:rPr>
        <w:t>Elsner L, Paardekooper MHC (1987) On measures of nonnormality of matrices. Linear Algebra</w:t>
      </w:r>
      <w:r w:rsidR="004020E8">
        <w:rPr>
          <w:rFonts w:ascii="Times New Roman" w:hAnsi="Times New Roman"/>
          <w:sz w:val="20"/>
          <w:szCs w:val="20"/>
        </w:rPr>
        <w:t xml:space="preserve"> and its</w:t>
      </w:r>
      <w:r w:rsidRPr="00A41DA5">
        <w:rPr>
          <w:rFonts w:ascii="Times New Roman" w:hAnsi="Times New Roman"/>
          <w:sz w:val="20"/>
          <w:szCs w:val="20"/>
        </w:rPr>
        <w:t xml:space="preserve"> Appl</w:t>
      </w:r>
      <w:r w:rsidR="004020E8">
        <w:rPr>
          <w:rFonts w:ascii="Times New Roman" w:hAnsi="Times New Roman"/>
          <w:sz w:val="20"/>
          <w:szCs w:val="20"/>
        </w:rPr>
        <w:t>ications</w:t>
      </w:r>
      <w:r w:rsidRPr="00A41DA5">
        <w:rPr>
          <w:rFonts w:ascii="Times New Roman" w:hAnsi="Times New Roman"/>
          <w:sz w:val="20"/>
          <w:szCs w:val="20"/>
        </w:rPr>
        <w:t xml:space="preserve"> 92</w:t>
      </w:r>
      <w:r>
        <w:rPr>
          <w:rFonts w:ascii="Times New Roman" w:hAnsi="Times New Roman"/>
          <w:sz w:val="20"/>
          <w:szCs w:val="20"/>
        </w:rPr>
        <w:t>:107–123</w:t>
      </w:r>
      <w:r w:rsidRPr="00A41DA5">
        <w:rPr>
          <w:rFonts w:ascii="Times New Roman" w:hAnsi="Times New Roman"/>
          <w:sz w:val="20"/>
          <w:szCs w:val="20"/>
        </w:rPr>
        <w:t xml:space="preserve"> </w:t>
      </w:r>
    </w:p>
    <w:p w14:paraId="0F3C9795" w14:textId="77777777" w:rsidR="00A736FE" w:rsidRDefault="00A736FE" w:rsidP="00A736FE">
      <w:pPr>
        <w:spacing w:line="480" w:lineRule="auto"/>
        <w:rPr>
          <w:rFonts w:ascii="Times New Roman" w:hAnsi="Times New Roman"/>
          <w:sz w:val="20"/>
          <w:szCs w:val="20"/>
        </w:rPr>
      </w:pPr>
    </w:p>
    <w:p w14:paraId="228FEFDE" w14:textId="7265CA6C" w:rsidR="00A736FE" w:rsidRPr="00623E9E" w:rsidRDefault="00A736FE" w:rsidP="00A736FE">
      <w:pPr>
        <w:spacing w:line="480" w:lineRule="auto"/>
        <w:rPr>
          <w:rFonts w:ascii="Times New Roman" w:hAnsi="Times New Roman"/>
          <w:sz w:val="20"/>
          <w:szCs w:val="20"/>
        </w:rPr>
      </w:pPr>
      <w:r w:rsidRPr="00A41DA5">
        <w:rPr>
          <w:rFonts w:ascii="Times New Roman" w:hAnsi="Times New Roman"/>
          <w:sz w:val="20"/>
          <w:szCs w:val="20"/>
        </w:rPr>
        <w:t>Espenshade TJ</w:t>
      </w:r>
      <w:r w:rsidR="00450454">
        <w:rPr>
          <w:rFonts w:ascii="Times New Roman" w:hAnsi="Times New Roman"/>
          <w:sz w:val="20"/>
          <w:szCs w:val="20"/>
        </w:rPr>
        <w:t>, Tannen JBC (2015) Populati</w:t>
      </w:r>
      <w:r w:rsidR="00450454" w:rsidRPr="00623E9E">
        <w:rPr>
          <w:rFonts w:ascii="Times New Roman" w:hAnsi="Times New Roman"/>
          <w:sz w:val="20"/>
          <w:szCs w:val="20"/>
        </w:rPr>
        <w:t>on d</w:t>
      </w:r>
      <w:r w:rsidRPr="00623E9E">
        <w:rPr>
          <w:rFonts w:ascii="Times New Roman" w:hAnsi="Times New Roman"/>
          <w:sz w:val="20"/>
          <w:szCs w:val="20"/>
        </w:rPr>
        <w:t>ynamics: Momentum of population growth. In:</w:t>
      </w:r>
      <w:r w:rsidR="000726BF" w:rsidRPr="00623E9E">
        <w:rPr>
          <w:rFonts w:ascii="Times New Roman" w:hAnsi="Times New Roman"/>
          <w:sz w:val="20"/>
          <w:szCs w:val="20"/>
        </w:rPr>
        <w:t xml:space="preserve"> Wright JD</w:t>
      </w:r>
      <w:r w:rsidRPr="00623E9E">
        <w:rPr>
          <w:rFonts w:ascii="Times New Roman" w:hAnsi="Times New Roman"/>
          <w:sz w:val="20"/>
          <w:szCs w:val="20"/>
        </w:rPr>
        <w:t xml:space="preserve"> </w:t>
      </w:r>
      <w:r w:rsidR="00E27A5D" w:rsidRPr="00623E9E">
        <w:rPr>
          <w:rFonts w:ascii="Times New Roman" w:hAnsi="Times New Roman"/>
          <w:sz w:val="20"/>
          <w:szCs w:val="20"/>
        </w:rPr>
        <w:t>(</w:t>
      </w:r>
      <w:r w:rsidR="000726BF" w:rsidRPr="00623E9E">
        <w:rPr>
          <w:rFonts w:ascii="Times New Roman" w:hAnsi="Times New Roman"/>
          <w:sz w:val="20"/>
          <w:szCs w:val="20"/>
        </w:rPr>
        <w:t>ed</w:t>
      </w:r>
      <w:r w:rsidR="00E27A5D" w:rsidRPr="00623E9E">
        <w:rPr>
          <w:rFonts w:ascii="Times New Roman" w:hAnsi="Times New Roman"/>
          <w:sz w:val="20"/>
          <w:szCs w:val="20"/>
        </w:rPr>
        <w:t xml:space="preserve">) </w:t>
      </w:r>
      <w:r w:rsidR="00E15B00" w:rsidRPr="00623E9E">
        <w:rPr>
          <w:rFonts w:ascii="Times New Roman" w:hAnsi="Times New Roman"/>
          <w:sz w:val="20"/>
          <w:szCs w:val="20"/>
        </w:rPr>
        <w:t>International encyclopedia of the social &amp; b</w:t>
      </w:r>
      <w:r w:rsidRPr="00623E9E">
        <w:rPr>
          <w:rFonts w:ascii="Times New Roman" w:hAnsi="Times New Roman"/>
          <w:sz w:val="20"/>
          <w:szCs w:val="20"/>
        </w:rPr>
        <w:t>eh</w:t>
      </w:r>
      <w:r w:rsidR="00E15B00" w:rsidRPr="00623E9E">
        <w:rPr>
          <w:rFonts w:ascii="Times New Roman" w:hAnsi="Times New Roman"/>
          <w:sz w:val="20"/>
          <w:szCs w:val="20"/>
        </w:rPr>
        <w:t>avioural s</w:t>
      </w:r>
      <w:r w:rsidRPr="00623E9E">
        <w:rPr>
          <w:rFonts w:ascii="Times New Roman" w:hAnsi="Times New Roman"/>
          <w:sz w:val="20"/>
          <w:szCs w:val="20"/>
        </w:rPr>
        <w:t>ciences, 2nd edn. Elsevier, Amsterdam, vol 18, pp 572-578</w:t>
      </w:r>
    </w:p>
    <w:p w14:paraId="06F1EF18" w14:textId="77777777" w:rsidR="00A736FE" w:rsidRPr="00623E9E" w:rsidRDefault="00A736FE" w:rsidP="00A736FE">
      <w:pPr>
        <w:spacing w:line="480" w:lineRule="auto"/>
        <w:rPr>
          <w:rFonts w:ascii="Times New Roman" w:hAnsi="Times New Roman"/>
          <w:sz w:val="20"/>
          <w:szCs w:val="20"/>
        </w:rPr>
      </w:pPr>
    </w:p>
    <w:p w14:paraId="0A6E1E39" w14:textId="04B2BB6C" w:rsidR="00A736FE" w:rsidRPr="00623E9E" w:rsidRDefault="00A736FE" w:rsidP="00A736FE">
      <w:pPr>
        <w:spacing w:line="480" w:lineRule="auto"/>
        <w:rPr>
          <w:rFonts w:ascii="Times New Roman" w:hAnsi="Times New Roman"/>
          <w:sz w:val="20"/>
          <w:szCs w:val="20"/>
        </w:rPr>
      </w:pPr>
      <w:r w:rsidRPr="00623E9E">
        <w:rPr>
          <w:rFonts w:ascii="Times New Roman" w:hAnsi="Times New Roman"/>
          <w:sz w:val="20"/>
          <w:szCs w:val="20"/>
        </w:rPr>
        <w:t>Ezard THG, Bullock JM, Dalgleish HJ, Millon A, Pelletier F, Ozgul A, Koons DN (2010) Matrix models for a changeable world: the importance of transient dynamics in population management. J Appl Ecol 47</w:t>
      </w:r>
      <w:r w:rsidR="00450454" w:rsidRPr="00623E9E">
        <w:rPr>
          <w:rFonts w:ascii="Times New Roman" w:hAnsi="Times New Roman"/>
          <w:sz w:val="20"/>
          <w:szCs w:val="20"/>
        </w:rPr>
        <w:t>:</w:t>
      </w:r>
      <w:r w:rsidRPr="00623E9E">
        <w:rPr>
          <w:rFonts w:ascii="Times New Roman" w:hAnsi="Times New Roman"/>
          <w:sz w:val="20"/>
          <w:szCs w:val="20"/>
        </w:rPr>
        <w:t xml:space="preserve">515–523 </w:t>
      </w:r>
    </w:p>
    <w:p w14:paraId="3D8A3485" w14:textId="77777777" w:rsidR="00A736FE" w:rsidRPr="00623E9E" w:rsidRDefault="00A736FE" w:rsidP="00A736FE">
      <w:pPr>
        <w:spacing w:line="480" w:lineRule="auto"/>
        <w:rPr>
          <w:rFonts w:ascii="Times New Roman" w:hAnsi="Times New Roman"/>
          <w:sz w:val="20"/>
          <w:szCs w:val="20"/>
        </w:rPr>
      </w:pPr>
    </w:p>
    <w:p w14:paraId="7A0D948D" w14:textId="73D42690" w:rsidR="00A736FE" w:rsidRPr="00A41DA5" w:rsidRDefault="00A736FE" w:rsidP="00A736FE">
      <w:pPr>
        <w:spacing w:line="480" w:lineRule="auto"/>
        <w:rPr>
          <w:rFonts w:ascii="Times New Roman" w:hAnsi="Times New Roman"/>
          <w:sz w:val="20"/>
          <w:szCs w:val="20"/>
        </w:rPr>
      </w:pPr>
      <w:r w:rsidRPr="00623E9E">
        <w:rPr>
          <w:rFonts w:ascii="Times New Roman" w:hAnsi="Times New Roman"/>
          <w:sz w:val="20"/>
          <w:szCs w:val="20"/>
        </w:rPr>
        <w:t xml:space="preserve">Gheorghiu C-I (2003) On the </w:t>
      </w:r>
      <w:r w:rsidR="00450454" w:rsidRPr="00623E9E">
        <w:rPr>
          <w:rFonts w:ascii="Times New Roman" w:hAnsi="Times New Roman"/>
          <w:sz w:val="20"/>
          <w:szCs w:val="20"/>
        </w:rPr>
        <w:t>scalar measure of n</w:t>
      </w:r>
      <w:r w:rsidRPr="00623E9E">
        <w:rPr>
          <w:rFonts w:ascii="Times New Roman" w:hAnsi="Times New Roman"/>
          <w:sz w:val="20"/>
          <w:szCs w:val="20"/>
        </w:rPr>
        <w:t>on-</w:t>
      </w:r>
      <w:r w:rsidR="00450454" w:rsidRPr="00623E9E">
        <w:rPr>
          <w:rFonts w:ascii="Times New Roman" w:hAnsi="Times New Roman"/>
          <w:sz w:val="20"/>
          <w:szCs w:val="20"/>
        </w:rPr>
        <w:t>n</w:t>
      </w:r>
      <w:r w:rsidRPr="00623E9E">
        <w:rPr>
          <w:rFonts w:ascii="Times New Roman" w:hAnsi="Times New Roman"/>
          <w:sz w:val="20"/>
          <w:szCs w:val="20"/>
        </w:rPr>
        <w:t xml:space="preserve">ormality of </w:t>
      </w:r>
      <w:r w:rsidR="00450454" w:rsidRPr="00623E9E">
        <w:rPr>
          <w:rFonts w:ascii="Times New Roman" w:hAnsi="Times New Roman"/>
          <w:sz w:val="20"/>
          <w:szCs w:val="20"/>
        </w:rPr>
        <w:t>m</w:t>
      </w:r>
      <w:r w:rsidRPr="00623E9E">
        <w:rPr>
          <w:rFonts w:ascii="Times New Roman" w:hAnsi="Times New Roman"/>
          <w:sz w:val="20"/>
          <w:szCs w:val="20"/>
        </w:rPr>
        <w:t xml:space="preserve">atrices - Dimension vs. </w:t>
      </w:r>
      <w:r w:rsidR="00450454" w:rsidRPr="00623E9E">
        <w:rPr>
          <w:rFonts w:ascii="Times New Roman" w:hAnsi="Times New Roman"/>
          <w:sz w:val="20"/>
          <w:szCs w:val="20"/>
        </w:rPr>
        <w:t>s</w:t>
      </w:r>
      <w:r w:rsidRPr="00623E9E">
        <w:rPr>
          <w:rFonts w:ascii="Times New Roman" w:hAnsi="Times New Roman"/>
          <w:sz w:val="20"/>
          <w:szCs w:val="20"/>
        </w:rPr>
        <w:t>tructure. Gen</w:t>
      </w:r>
      <w:r w:rsidR="00FE01D6" w:rsidRPr="00623E9E">
        <w:rPr>
          <w:rFonts w:ascii="Times New Roman" w:hAnsi="Times New Roman"/>
          <w:sz w:val="20"/>
          <w:szCs w:val="20"/>
        </w:rPr>
        <w:t>eral</w:t>
      </w:r>
      <w:r w:rsidRPr="00623E9E">
        <w:rPr>
          <w:rFonts w:ascii="Times New Roman" w:hAnsi="Times New Roman"/>
          <w:sz w:val="20"/>
          <w:szCs w:val="20"/>
        </w:rPr>
        <w:t xml:space="preserve"> Math</w:t>
      </w:r>
      <w:r w:rsidR="00FE01D6" w:rsidRPr="00623E9E">
        <w:rPr>
          <w:rFonts w:ascii="Times New Roman" w:hAnsi="Times New Roman"/>
          <w:sz w:val="20"/>
          <w:szCs w:val="20"/>
        </w:rPr>
        <w:t>ematics</w:t>
      </w:r>
      <w:r w:rsidRPr="00623E9E">
        <w:rPr>
          <w:rFonts w:ascii="Times New Roman" w:hAnsi="Times New Roman"/>
          <w:sz w:val="20"/>
          <w:szCs w:val="20"/>
        </w:rPr>
        <w:t xml:space="preserve"> 11:21–32</w:t>
      </w:r>
    </w:p>
    <w:p w14:paraId="7608D4F0" w14:textId="77777777" w:rsidR="00A736FE" w:rsidRDefault="00A736FE" w:rsidP="00A736FE">
      <w:pPr>
        <w:spacing w:line="480" w:lineRule="auto"/>
        <w:rPr>
          <w:rFonts w:ascii="Times New Roman" w:hAnsi="Times New Roman"/>
          <w:sz w:val="20"/>
          <w:szCs w:val="20"/>
        </w:rPr>
      </w:pPr>
    </w:p>
    <w:p w14:paraId="4BDDF4CC" w14:textId="77777777" w:rsidR="00A736FE" w:rsidRPr="00A41DA5" w:rsidRDefault="00A736FE" w:rsidP="00A736FE">
      <w:pPr>
        <w:spacing w:line="480" w:lineRule="auto"/>
        <w:rPr>
          <w:rFonts w:ascii="Times New Roman" w:hAnsi="Times New Roman"/>
          <w:sz w:val="20"/>
          <w:szCs w:val="20"/>
        </w:rPr>
      </w:pPr>
      <w:r w:rsidRPr="00A41DA5">
        <w:rPr>
          <w:rFonts w:ascii="Times New Roman" w:hAnsi="Times New Roman"/>
          <w:sz w:val="20"/>
          <w:szCs w:val="20"/>
        </w:rPr>
        <w:t>Greenbaum A, Tref</w:t>
      </w:r>
      <w:r>
        <w:rPr>
          <w:rFonts w:ascii="Times New Roman" w:hAnsi="Times New Roman"/>
          <w:sz w:val="20"/>
          <w:szCs w:val="20"/>
        </w:rPr>
        <w:t>e</w:t>
      </w:r>
      <w:r w:rsidRPr="00A41DA5">
        <w:rPr>
          <w:rFonts w:ascii="Times New Roman" w:hAnsi="Times New Roman"/>
          <w:sz w:val="20"/>
          <w:szCs w:val="20"/>
        </w:rPr>
        <w:t>then LN (1993) Do the pseudospectra of a matrix determine its behaviour? Technical Report TR 93-1731, Computer Science Departme</w:t>
      </w:r>
      <w:r>
        <w:rPr>
          <w:rFonts w:ascii="Times New Roman" w:hAnsi="Times New Roman"/>
          <w:sz w:val="20"/>
          <w:szCs w:val="20"/>
        </w:rPr>
        <w:t>nt, Cornell University, Ithaca</w:t>
      </w:r>
    </w:p>
    <w:p w14:paraId="1D050875" w14:textId="77777777" w:rsidR="00A736FE" w:rsidRDefault="00A736FE" w:rsidP="00A736FE">
      <w:pPr>
        <w:spacing w:line="480" w:lineRule="auto"/>
        <w:rPr>
          <w:rFonts w:ascii="Times New Roman" w:hAnsi="Times New Roman"/>
          <w:sz w:val="20"/>
          <w:szCs w:val="20"/>
        </w:rPr>
      </w:pPr>
    </w:p>
    <w:p w14:paraId="65223BE1" w14:textId="6E323948" w:rsidR="00A736FE" w:rsidRPr="00BB2F14" w:rsidRDefault="00A736FE" w:rsidP="00A736FE">
      <w:pPr>
        <w:spacing w:line="480" w:lineRule="auto"/>
        <w:rPr>
          <w:rFonts w:ascii="Times New Roman" w:hAnsi="Times New Roman"/>
          <w:sz w:val="20"/>
          <w:szCs w:val="20"/>
        </w:rPr>
      </w:pPr>
      <w:r w:rsidRPr="00BB2F14">
        <w:rPr>
          <w:rFonts w:ascii="Times New Roman" w:hAnsi="Times New Roman"/>
          <w:sz w:val="20"/>
          <w:szCs w:val="20"/>
        </w:rPr>
        <w:t>Hastings A (2004) Transients: the key to long-term ecological understanding.</w:t>
      </w:r>
      <w:r w:rsidR="00450454">
        <w:rPr>
          <w:rFonts w:ascii="Times New Roman" w:hAnsi="Times New Roman"/>
          <w:sz w:val="20"/>
          <w:szCs w:val="20"/>
        </w:rPr>
        <w:t xml:space="preserve"> </w:t>
      </w:r>
      <w:r w:rsidRPr="00BB2F14">
        <w:rPr>
          <w:rFonts w:ascii="Times New Roman" w:hAnsi="Times New Roman"/>
          <w:sz w:val="20"/>
          <w:szCs w:val="20"/>
        </w:rPr>
        <w:t>Trends Ecol Evol 19:39–45</w:t>
      </w:r>
    </w:p>
    <w:p w14:paraId="6D601C99" w14:textId="77777777" w:rsidR="00A736FE" w:rsidRPr="00BB2F14" w:rsidRDefault="00A736FE" w:rsidP="00A736FE">
      <w:pPr>
        <w:spacing w:line="480" w:lineRule="auto"/>
        <w:rPr>
          <w:rFonts w:ascii="Times New Roman" w:hAnsi="Times New Roman"/>
          <w:sz w:val="20"/>
          <w:szCs w:val="20"/>
        </w:rPr>
      </w:pPr>
    </w:p>
    <w:p w14:paraId="1B360F12" w14:textId="77777777" w:rsidR="00A736FE" w:rsidRPr="00BB2F14" w:rsidRDefault="00A736FE" w:rsidP="00A736FE">
      <w:pPr>
        <w:spacing w:line="480" w:lineRule="auto"/>
        <w:rPr>
          <w:rFonts w:ascii="Times New Roman" w:hAnsi="Times New Roman"/>
          <w:sz w:val="20"/>
          <w:szCs w:val="20"/>
          <w:shd w:val="clear" w:color="auto" w:fill="FFFFFF"/>
        </w:rPr>
      </w:pPr>
      <w:r w:rsidRPr="00BB2F14">
        <w:rPr>
          <w:rFonts w:ascii="Times New Roman" w:hAnsi="Times New Roman"/>
          <w:sz w:val="20"/>
          <w:szCs w:val="20"/>
          <w:shd w:val="clear" w:color="auto" w:fill="FFFFFF"/>
        </w:rPr>
        <w:t>Harper S</w:t>
      </w:r>
      <w:r>
        <w:rPr>
          <w:rFonts w:ascii="Times New Roman" w:hAnsi="Times New Roman"/>
          <w:sz w:val="20"/>
          <w:szCs w:val="20"/>
          <w:shd w:val="clear" w:color="auto" w:fill="FFFFFF"/>
        </w:rPr>
        <w:t xml:space="preserve"> (2010)</w:t>
      </w:r>
      <w:r w:rsidRPr="00BB2F14">
        <w:rPr>
          <w:rFonts w:ascii="Times New Roman" w:hAnsi="Times New Roman"/>
          <w:sz w:val="20"/>
          <w:szCs w:val="20"/>
          <w:shd w:val="clear" w:color="auto" w:fill="FFFFFF"/>
        </w:rPr>
        <w:t xml:space="preserve"> The capacity of social security and health care institutions to adapt to an ageing world. Intern</w:t>
      </w:r>
      <w:r>
        <w:rPr>
          <w:rFonts w:ascii="Times New Roman" w:hAnsi="Times New Roman"/>
          <w:sz w:val="20"/>
          <w:szCs w:val="20"/>
          <w:shd w:val="clear" w:color="auto" w:fill="FFFFFF"/>
        </w:rPr>
        <w:t>ational Social Security Review 63:177–196</w:t>
      </w:r>
      <w:r w:rsidRPr="00BB2F14">
        <w:rPr>
          <w:rFonts w:ascii="Times New Roman" w:hAnsi="Times New Roman"/>
          <w:sz w:val="20"/>
          <w:szCs w:val="20"/>
          <w:shd w:val="clear" w:color="auto" w:fill="FFFFFF"/>
        </w:rPr>
        <w:t xml:space="preserve"> </w:t>
      </w:r>
    </w:p>
    <w:p w14:paraId="03ECF830" w14:textId="77777777" w:rsidR="00A736FE" w:rsidRPr="00BB2F14" w:rsidRDefault="00A736FE" w:rsidP="00A736FE">
      <w:pPr>
        <w:spacing w:line="480" w:lineRule="auto"/>
        <w:rPr>
          <w:rFonts w:ascii="Times New Roman" w:hAnsi="Times New Roman"/>
          <w:color w:val="333333"/>
          <w:sz w:val="20"/>
          <w:szCs w:val="20"/>
          <w:shd w:val="clear" w:color="auto" w:fill="FFFFFF"/>
        </w:rPr>
      </w:pPr>
    </w:p>
    <w:p w14:paraId="34FA0A54" w14:textId="21F4737D" w:rsidR="00A736FE" w:rsidRPr="004641B5" w:rsidRDefault="00A736FE" w:rsidP="00A736FE">
      <w:pPr>
        <w:spacing w:line="480" w:lineRule="auto"/>
        <w:rPr>
          <w:rFonts w:ascii="Times New Roman" w:hAnsi="Times New Roman"/>
          <w:sz w:val="20"/>
          <w:szCs w:val="20"/>
        </w:rPr>
      </w:pPr>
      <w:r w:rsidRPr="004641B5">
        <w:rPr>
          <w:rFonts w:ascii="Times New Roman" w:hAnsi="Times New Roman"/>
          <w:sz w:val="20"/>
          <w:szCs w:val="20"/>
        </w:rPr>
        <w:t>Harper S (2013) Popula</w:t>
      </w:r>
      <w:r w:rsidRPr="00623E9E">
        <w:rPr>
          <w:rFonts w:ascii="Times New Roman" w:hAnsi="Times New Roman"/>
          <w:sz w:val="20"/>
          <w:szCs w:val="20"/>
        </w:rPr>
        <w:t>tion–</w:t>
      </w:r>
      <w:r w:rsidR="00450454" w:rsidRPr="00623E9E">
        <w:rPr>
          <w:rFonts w:ascii="Times New Roman" w:hAnsi="Times New Roman"/>
          <w:sz w:val="20"/>
          <w:szCs w:val="20"/>
        </w:rPr>
        <w:t>e</w:t>
      </w:r>
      <w:r w:rsidRPr="00623E9E">
        <w:rPr>
          <w:rFonts w:ascii="Times New Roman" w:hAnsi="Times New Roman"/>
          <w:sz w:val="20"/>
          <w:szCs w:val="20"/>
        </w:rPr>
        <w:t xml:space="preserve">nvironment </w:t>
      </w:r>
      <w:r w:rsidR="00450454" w:rsidRPr="00623E9E">
        <w:rPr>
          <w:rFonts w:ascii="Times New Roman" w:hAnsi="Times New Roman"/>
          <w:sz w:val="20"/>
          <w:szCs w:val="20"/>
        </w:rPr>
        <w:t>i</w:t>
      </w:r>
      <w:r w:rsidRPr="00623E9E">
        <w:rPr>
          <w:rFonts w:ascii="Times New Roman" w:hAnsi="Times New Roman"/>
          <w:sz w:val="20"/>
          <w:szCs w:val="20"/>
        </w:rPr>
        <w:t xml:space="preserve">nteractions: European </w:t>
      </w:r>
      <w:r w:rsidR="00450454" w:rsidRPr="00623E9E">
        <w:rPr>
          <w:rFonts w:ascii="Times New Roman" w:hAnsi="Times New Roman"/>
          <w:sz w:val="20"/>
          <w:szCs w:val="20"/>
        </w:rPr>
        <w:t>migration, population c</w:t>
      </w:r>
      <w:r w:rsidRPr="00623E9E">
        <w:rPr>
          <w:rFonts w:ascii="Times New Roman" w:hAnsi="Times New Roman"/>
          <w:sz w:val="20"/>
          <w:szCs w:val="20"/>
        </w:rPr>
        <w:t xml:space="preserve">omposition and </w:t>
      </w:r>
      <w:r w:rsidR="00450454" w:rsidRPr="00623E9E">
        <w:rPr>
          <w:rFonts w:ascii="Times New Roman" w:hAnsi="Times New Roman"/>
          <w:sz w:val="20"/>
          <w:szCs w:val="20"/>
        </w:rPr>
        <w:t>c</w:t>
      </w:r>
      <w:r w:rsidRPr="00623E9E">
        <w:rPr>
          <w:rFonts w:ascii="Times New Roman" w:hAnsi="Times New Roman"/>
          <w:sz w:val="20"/>
          <w:szCs w:val="20"/>
        </w:rPr>
        <w:t xml:space="preserve">limate </w:t>
      </w:r>
      <w:r w:rsidR="00450454" w:rsidRPr="00623E9E">
        <w:rPr>
          <w:rFonts w:ascii="Times New Roman" w:hAnsi="Times New Roman"/>
          <w:sz w:val="20"/>
          <w:szCs w:val="20"/>
        </w:rPr>
        <w:t>c</w:t>
      </w:r>
      <w:r w:rsidRPr="00623E9E">
        <w:rPr>
          <w:rFonts w:ascii="Times New Roman" w:hAnsi="Times New Roman"/>
          <w:sz w:val="20"/>
          <w:szCs w:val="20"/>
        </w:rPr>
        <w:t>hange. Environ</w:t>
      </w:r>
      <w:r w:rsidR="00C76138" w:rsidRPr="00623E9E">
        <w:rPr>
          <w:rFonts w:ascii="Times New Roman" w:hAnsi="Times New Roman"/>
          <w:sz w:val="20"/>
          <w:szCs w:val="20"/>
        </w:rPr>
        <w:t>mental</w:t>
      </w:r>
      <w:r w:rsidRPr="00623E9E">
        <w:rPr>
          <w:rFonts w:ascii="Times New Roman" w:hAnsi="Times New Roman"/>
          <w:sz w:val="20"/>
          <w:szCs w:val="20"/>
        </w:rPr>
        <w:t xml:space="preserve"> Resour</w:t>
      </w:r>
      <w:r>
        <w:rPr>
          <w:rFonts w:ascii="Times New Roman" w:hAnsi="Times New Roman"/>
          <w:sz w:val="20"/>
          <w:szCs w:val="20"/>
        </w:rPr>
        <w:t>ce Econ</w:t>
      </w:r>
      <w:r w:rsidR="00C76138">
        <w:rPr>
          <w:rFonts w:ascii="Times New Roman" w:hAnsi="Times New Roman"/>
          <w:sz w:val="20"/>
          <w:szCs w:val="20"/>
        </w:rPr>
        <w:t>omics</w:t>
      </w:r>
      <w:r>
        <w:rPr>
          <w:rFonts w:ascii="Times New Roman" w:hAnsi="Times New Roman"/>
          <w:sz w:val="20"/>
          <w:szCs w:val="20"/>
        </w:rPr>
        <w:t xml:space="preserve"> 55:525–541</w:t>
      </w:r>
      <w:r w:rsidR="00C76138">
        <w:rPr>
          <w:rFonts w:ascii="Times New Roman" w:hAnsi="Times New Roman"/>
          <w:sz w:val="20"/>
          <w:szCs w:val="20"/>
        </w:rPr>
        <w:t xml:space="preserve"> </w:t>
      </w:r>
    </w:p>
    <w:p w14:paraId="776AF787" w14:textId="77777777" w:rsidR="00A736FE" w:rsidRDefault="00A736FE" w:rsidP="00A736FE">
      <w:pPr>
        <w:spacing w:line="480" w:lineRule="auto"/>
      </w:pPr>
    </w:p>
    <w:p w14:paraId="5DA6ED07" w14:textId="77777777" w:rsidR="00A736FE" w:rsidRDefault="00A736FE" w:rsidP="00A736FE">
      <w:pPr>
        <w:spacing w:line="480" w:lineRule="auto"/>
        <w:rPr>
          <w:rFonts w:ascii="Times New Roman" w:hAnsi="Times New Roman"/>
          <w:sz w:val="20"/>
          <w:szCs w:val="20"/>
        </w:rPr>
      </w:pPr>
      <w:r w:rsidRPr="00A41DA5">
        <w:rPr>
          <w:rFonts w:ascii="Times New Roman" w:hAnsi="Times New Roman"/>
          <w:sz w:val="20"/>
          <w:szCs w:val="20"/>
        </w:rPr>
        <w:lastRenderedPageBreak/>
        <w:t>Henrici P (1962) Bounds for iterates, inverses, spectral variation and fields of values of non-norm</w:t>
      </w:r>
      <w:r>
        <w:rPr>
          <w:rFonts w:ascii="Times New Roman" w:hAnsi="Times New Roman"/>
          <w:sz w:val="20"/>
          <w:szCs w:val="20"/>
        </w:rPr>
        <w:t>al matrices. Numer</w:t>
      </w:r>
      <w:r w:rsidR="00311678">
        <w:rPr>
          <w:rFonts w:ascii="Times New Roman" w:hAnsi="Times New Roman"/>
          <w:sz w:val="20"/>
          <w:szCs w:val="20"/>
        </w:rPr>
        <w:t>ische</w:t>
      </w:r>
      <w:r>
        <w:rPr>
          <w:rFonts w:ascii="Times New Roman" w:hAnsi="Times New Roman"/>
          <w:sz w:val="20"/>
          <w:szCs w:val="20"/>
        </w:rPr>
        <w:t xml:space="preserve"> Math</w:t>
      </w:r>
      <w:r w:rsidR="00311678">
        <w:rPr>
          <w:rFonts w:ascii="Times New Roman" w:hAnsi="Times New Roman"/>
          <w:sz w:val="20"/>
          <w:szCs w:val="20"/>
        </w:rPr>
        <w:t>ematik</w:t>
      </w:r>
      <w:r>
        <w:rPr>
          <w:rFonts w:ascii="Times New Roman" w:hAnsi="Times New Roman"/>
          <w:sz w:val="20"/>
          <w:szCs w:val="20"/>
        </w:rPr>
        <w:t xml:space="preserve"> 4:24–40</w:t>
      </w:r>
      <w:r w:rsidRPr="00A41DA5">
        <w:rPr>
          <w:rFonts w:ascii="Times New Roman" w:hAnsi="Times New Roman"/>
          <w:sz w:val="20"/>
          <w:szCs w:val="20"/>
        </w:rPr>
        <w:t xml:space="preserve"> </w:t>
      </w:r>
    </w:p>
    <w:p w14:paraId="67E01077" w14:textId="77777777" w:rsidR="00A736FE" w:rsidRDefault="00A736FE" w:rsidP="00A736FE">
      <w:pPr>
        <w:spacing w:line="480" w:lineRule="auto"/>
        <w:rPr>
          <w:rFonts w:ascii="Times New Roman" w:hAnsi="Times New Roman"/>
          <w:sz w:val="20"/>
          <w:szCs w:val="20"/>
        </w:rPr>
      </w:pPr>
    </w:p>
    <w:p w14:paraId="19E486CA" w14:textId="77777777" w:rsidR="00A736FE" w:rsidRPr="008748C3" w:rsidRDefault="00A736FE" w:rsidP="00A736FE">
      <w:pPr>
        <w:spacing w:line="480" w:lineRule="auto"/>
        <w:rPr>
          <w:rFonts w:ascii="Times New Roman" w:hAnsi="Times New Roman"/>
          <w:sz w:val="20"/>
          <w:szCs w:val="20"/>
        </w:rPr>
      </w:pPr>
      <w:r>
        <w:rPr>
          <w:rFonts w:ascii="Times New Roman" w:hAnsi="Times New Roman"/>
          <w:sz w:val="20"/>
          <w:szCs w:val="20"/>
        </w:rPr>
        <w:t xml:space="preserve">Hodgson D, Townley S, </w:t>
      </w:r>
      <w:r w:rsidRPr="008748C3">
        <w:rPr>
          <w:rFonts w:ascii="Times New Roman" w:hAnsi="Times New Roman"/>
          <w:sz w:val="20"/>
          <w:szCs w:val="20"/>
        </w:rPr>
        <w:t>McCarthy D (2006) Robustness: Predicting the effects of life history perturbations on stage-structured population dynamics. Theor Popul Biol 70:</w:t>
      </w:r>
      <w:r>
        <w:rPr>
          <w:rFonts w:ascii="Times New Roman" w:hAnsi="Times New Roman"/>
          <w:sz w:val="20"/>
          <w:szCs w:val="20"/>
        </w:rPr>
        <w:t>214–224</w:t>
      </w:r>
    </w:p>
    <w:p w14:paraId="6F13B9E3" w14:textId="77777777" w:rsidR="00A736FE" w:rsidRDefault="00A736FE" w:rsidP="00A736FE">
      <w:pPr>
        <w:spacing w:line="480" w:lineRule="auto"/>
        <w:rPr>
          <w:rFonts w:ascii="Times New Roman" w:hAnsi="Times New Roman"/>
          <w:sz w:val="20"/>
          <w:szCs w:val="20"/>
        </w:rPr>
      </w:pPr>
    </w:p>
    <w:p w14:paraId="62CF36BE" w14:textId="4DA0A019" w:rsidR="00A736FE" w:rsidRPr="00623E9E" w:rsidRDefault="00A736FE" w:rsidP="00A736FE">
      <w:pPr>
        <w:shd w:val="clear" w:color="auto" w:fill="FFFFFF"/>
        <w:autoSpaceDN/>
        <w:spacing w:line="480" w:lineRule="auto"/>
        <w:textAlignment w:val="auto"/>
        <w:rPr>
          <w:rFonts w:ascii="Times New Roman" w:eastAsia="Times New Roman" w:hAnsi="Times New Roman"/>
          <w:sz w:val="20"/>
          <w:szCs w:val="20"/>
          <w:lang w:eastAsia="en-GB"/>
        </w:rPr>
      </w:pPr>
      <w:r>
        <w:rPr>
          <w:rFonts w:ascii="Times New Roman" w:eastAsia="Times New Roman" w:hAnsi="Times New Roman"/>
          <w:sz w:val="20"/>
          <w:szCs w:val="20"/>
          <w:lang w:eastAsia="en-GB"/>
        </w:rPr>
        <w:t>Kassebaum N et al</w:t>
      </w:r>
      <w:r w:rsidR="008E3DCD">
        <w:rPr>
          <w:rFonts w:ascii="Times New Roman" w:eastAsia="Times New Roman" w:hAnsi="Times New Roman"/>
          <w:sz w:val="20"/>
          <w:szCs w:val="20"/>
          <w:lang w:eastAsia="en-GB"/>
        </w:rPr>
        <w:t>.</w:t>
      </w:r>
      <w:r>
        <w:rPr>
          <w:rFonts w:ascii="Times New Roman" w:eastAsia="Times New Roman" w:hAnsi="Times New Roman"/>
          <w:sz w:val="20"/>
          <w:szCs w:val="20"/>
          <w:lang w:eastAsia="en-GB"/>
        </w:rPr>
        <w:t xml:space="preserve"> (2016) </w:t>
      </w:r>
      <w:r w:rsidRPr="00422EA5">
        <w:rPr>
          <w:rFonts w:ascii="Times New Roman" w:eastAsia="Times New Roman" w:hAnsi="Times New Roman"/>
          <w:sz w:val="20"/>
          <w:szCs w:val="20"/>
          <w:lang w:eastAsia="en-GB"/>
        </w:rPr>
        <w:t>Global, regional, and national levels of maternal mortality, 1990–2015: a systematic analysis for the Global Burden of Disease Stu</w:t>
      </w:r>
      <w:r w:rsidRPr="00623E9E">
        <w:rPr>
          <w:rFonts w:ascii="Times New Roman" w:eastAsia="Times New Roman" w:hAnsi="Times New Roman"/>
          <w:sz w:val="20"/>
          <w:szCs w:val="20"/>
          <w:lang w:eastAsia="en-GB"/>
        </w:rPr>
        <w:t>dy 2015</w:t>
      </w:r>
      <w:r w:rsidR="00BE0689" w:rsidRPr="00623E9E">
        <w:rPr>
          <w:rFonts w:ascii="Times New Roman" w:eastAsia="Times New Roman" w:hAnsi="Times New Roman"/>
          <w:sz w:val="20"/>
          <w:szCs w:val="20"/>
          <w:lang w:eastAsia="en-GB"/>
        </w:rPr>
        <w:t>. Lancet 388</w:t>
      </w:r>
      <w:r w:rsidRPr="00623E9E">
        <w:rPr>
          <w:rFonts w:ascii="Times New Roman" w:eastAsia="Times New Roman" w:hAnsi="Times New Roman"/>
          <w:sz w:val="20"/>
          <w:szCs w:val="20"/>
          <w:lang w:eastAsia="en-GB"/>
        </w:rPr>
        <w:t>:1775</w:t>
      </w:r>
      <w:r w:rsidRPr="00623E9E">
        <w:rPr>
          <w:rFonts w:ascii="Times New Roman" w:hAnsi="Times New Roman"/>
          <w:sz w:val="20"/>
          <w:szCs w:val="20"/>
        </w:rPr>
        <w:t>–</w:t>
      </w:r>
      <w:r w:rsidRPr="00623E9E">
        <w:rPr>
          <w:rFonts w:ascii="Times New Roman" w:eastAsia="Times New Roman" w:hAnsi="Times New Roman"/>
          <w:sz w:val="20"/>
          <w:szCs w:val="20"/>
          <w:lang w:eastAsia="en-GB"/>
        </w:rPr>
        <w:t>1812</w:t>
      </w:r>
    </w:p>
    <w:p w14:paraId="42740BD6" w14:textId="77777777" w:rsidR="00A736FE" w:rsidRPr="00623E9E" w:rsidRDefault="00A736FE" w:rsidP="00A736FE">
      <w:pPr>
        <w:spacing w:line="480" w:lineRule="auto"/>
        <w:rPr>
          <w:rFonts w:ascii="Times New Roman" w:hAnsi="Times New Roman"/>
          <w:sz w:val="20"/>
          <w:szCs w:val="20"/>
        </w:rPr>
      </w:pPr>
    </w:p>
    <w:p w14:paraId="78F6F166" w14:textId="69747F9A" w:rsidR="00A736FE" w:rsidRPr="00623E9E" w:rsidRDefault="00A736FE" w:rsidP="00A736FE">
      <w:pPr>
        <w:spacing w:line="480" w:lineRule="auto"/>
        <w:rPr>
          <w:rFonts w:ascii="Times New Roman" w:hAnsi="Times New Roman"/>
          <w:sz w:val="20"/>
          <w:szCs w:val="20"/>
        </w:rPr>
      </w:pPr>
      <w:r w:rsidRPr="00623E9E">
        <w:rPr>
          <w:rFonts w:ascii="Times New Roman" w:hAnsi="Times New Roman"/>
          <w:sz w:val="20"/>
          <w:szCs w:val="20"/>
        </w:rPr>
        <w:t xml:space="preserve">Keyfitz N (1971) On the </w:t>
      </w:r>
      <w:r w:rsidR="00BE0689" w:rsidRPr="00623E9E">
        <w:rPr>
          <w:rFonts w:ascii="Times New Roman" w:hAnsi="Times New Roman"/>
          <w:sz w:val="20"/>
          <w:szCs w:val="20"/>
        </w:rPr>
        <w:t>momentum of p</w:t>
      </w:r>
      <w:r w:rsidRPr="00623E9E">
        <w:rPr>
          <w:rFonts w:ascii="Times New Roman" w:hAnsi="Times New Roman"/>
          <w:sz w:val="20"/>
          <w:szCs w:val="20"/>
        </w:rPr>
        <w:t>op</w:t>
      </w:r>
      <w:r w:rsidR="00BE0689" w:rsidRPr="00623E9E">
        <w:rPr>
          <w:rFonts w:ascii="Times New Roman" w:hAnsi="Times New Roman"/>
          <w:sz w:val="20"/>
          <w:szCs w:val="20"/>
        </w:rPr>
        <w:t>ulation g</w:t>
      </w:r>
      <w:r w:rsidRPr="00623E9E">
        <w:rPr>
          <w:rFonts w:ascii="Times New Roman" w:hAnsi="Times New Roman"/>
          <w:sz w:val="20"/>
          <w:szCs w:val="20"/>
        </w:rPr>
        <w:t xml:space="preserve">rowth. Demography 8:71–80 </w:t>
      </w:r>
    </w:p>
    <w:p w14:paraId="3497BC08" w14:textId="77777777" w:rsidR="00A736FE" w:rsidRPr="00623E9E" w:rsidRDefault="00A736FE" w:rsidP="00A736FE">
      <w:pPr>
        <w:spacing w:line="480" w:lineRule="auto"/>
        <w:rPr>
          <w:rFonts w:ascii="Times New Roman" w:hAnsi="Times New Roman"/>
          <w:sz w:val="20"/>
          <w:szCs w:val="20"/>
        </w:rPr>
      </w:pPr>
    </w:p>
    <w:p w14:paraId="3C1560FD" w14:textId="77777777" w:rsidR="00A736FE" w:rsidRPr="00623E9E" w:rsidRDefault="00A736FE" w:rsidP="00A736FE">
      <w:pPr>
        <w:spacing w:line="480" w:lineRule="auto"/>
        <w:rPr>
          <w:rFonts w:ascii="Times New Roman" w:hAnsi="Times New Roman"/>
          <w:sz w:val="20"/>
          <w:szCs w:val="20"/>
        </w:rPr>
      </w:pPr>
      <w:r w:rsidRPr="00623E9E">
        <w:rPr>
          <w:rFonts w:ascii="Times New Roman" w:hAnsi="Times New Roman"/>
          <w:sz w:val="20"/>
          <w:szCs w:val="20"/>
        </w:rPr>
        <w:t>Keyfitz N, Flieger W (1968) World population: an analysis of vital data. University of Chicago Press, Chicago</w:t>
      </w:r>
    </w:p>
    <w:p w14:paraId="1B369AD6" w14:textId="77777777" w:rsidR="00A736FE" w:rsidRPr="00623E9E" w:rsidRDefault="00A736FE" w:rsidP="00A736FE">
      <w:pPr>
        <w:spacing w:line="480" w:lineRule="auto"/>
        <w:rPr>
          <w:rFonts w:ascii="Times New Roman" w:hAnsi="Times New Roman"/>
          <w:sz w:val="20"/>
          <w:szCs w:val="20"/>
        </w:rPr>
      </w:pPr>
    </w:p>
    <w:p w14:paraId="18DEBDD0" w14:textId="3BCA0B00" w:rsidR="00A736FE" w:rsidRPr="00A41DA5" w:rsidRDefault="00A736FE" w:rsidP="00A736FE">
      <w:pPr>
        <w:spacing w:line="480" w:lineRule="auto"/>
        <w:rPr>
          <w:rFonts w:ascii="Times New Roman" w:hAnsi="Times New Roman"/>
          <w:sz w:val="20"/>
          <w:szCs w:val="20"/>
        </w:rPr>
      </w:pPr>
      <w:r w:rsidRPr="00623E9E">
        <w:rPr>
          <w:rFonts w:ascii="Times New Roman" w:hAnsi="Times New Roman"/>
          <w:sz w:val="20"/>
          <w:szCs w:val="20"/>
        </w:rPr>
        <w:t xml:space="preserve">Keyfitz N, Flieger W (1971) </w:t>
      </w:r>
      <w:r w:rsidR="00BE0689" w:rsidRPr="00623E9E">
        <w:rPr>
          <w:rFonts w:ascii="Times New Roman" w:hAnsi="Times New Roman"/>
          <w:sz w:val="20"/>
          <w:szCs w:val="20"/>
        </w:rPr>
        <w:t>Population: Facts and m</w:t>
      </w:r>
      <w:r w:rsidRPr="00623E9E">
        <w:rPr>
          <w:rFonts w:ascii="Times New Roman" w:hAnsi="Times New Roman"/>
          <w:sz w:val="20"/>
          <w:szCs w:val="20"/>
        </w:rPr>
        <w:t xml:space="preserve">ethods of </w:t>
      </w:r>
      <w:r w:rsidR="00BE0689" w:rsidRPr="00623E9E">
        <w:rPr>
          <w:rFonts w:ascii="Times New Roman" w:hAnsi="Times New Roman"/>
          <w:sz w:val="20"/>
          <w:szCs w:val="20"/>
        </w:rPr>
        <w:t>d</w:t>
      </w:r>
      <w:r w:rsidRPr="00623E9E">
        <w:rPr>
          <w:rFonts w:ascii="Times New Roman" w:hAnsi="Times New Roman"/>
          <w:sz w:val="20"/>
          <w:szCs w:val="20"/>
        </w:rPr>
        <w:t>emograph</w:t>
      </w:r>
      <w:r w:rsidRPr="00A41DA5">
        <w:rPr>
          <w:rFonts w:ascii="Times New Roman" w:hAnsi="Times New Roman"/>
          <w:sz w:val="20"/>
          <w:szCs w:val="20"/>
        </w:rPr>
        <w:t xml:space="preserve">y. </w:t>
      </w:r>
      <w:r>
        <w:rPr>
          <w:rFonts w:ascii="Times New Roman" w:hAnsi="Times New Roman"/>
          <w:sz w:val="20"/>
          <w:szCs w:val="20"/>
        </w:rPr>
        <w:t>WH Freeman &amp; Co., San Francisco</w:t>
      </w:r>
    </w:p>
    <w:p w14:paraId="3424A5A3" w14:textId="77777777" w:rsidR="00A736FE" w:rsidRDefault="00A736FE" w:rsidP="00A736FE">
      <w:pPr>
        <w:spacing w:line="480" w:lineRule="auto"/>
        <w:rPr>
          <w:rFonts w:ascii="Times New Roman" w:hAnsi="Times New Roman"/>
          <w:sz w:val="20"/>
          <w:szCs w:val="20"/>
        </w:rPr>
      </w:pPr>
    </w:p>
    <w:p w14:paraId="7CF32638" w14:textId="77777777" w:rsidR="00A736FE" w:rsidRPr="00A41DA5" w:rsidRDefault="00A736FE" w:rsidP="00A736FE">
      <w:pPr>
        <w:spacing w:line="480" w:lineRule="auto"/>
        <w:rPr>
          <w:rFonts w:ascii="Times New Roman" w:hAnsi="Times New Roman"/>
          <w:sz w:val="20"/>
          <w:szCs w:val="20"/>
        </w:rPr>
      </w:pPr>
      <w:r>
        <w:rPr>
          <w:rFonts w:ascii="Times New Roman" w:hAnsi="Times New Roman"/>
          <w:sz w:val="20"/>
          <w:szCs w:val="20"/>
        </w:rPr>
        <w:t xml:space="preserve">Keyfitz N, Flieger W (1990) </w:t>
      </w:r>
      <w:r w:rsidRPr="00A41DA5">
        <w:rPr>
          <w:rFonts w:ascii="Times New Roman" w:hAnsi="Times New Roman"/>
          <w:sz w:val="20"/>
          <w:szCs w:val="20"/>
        </w:rPr>
        <w:t>World population growth and aging: demographic trends in the late twentieth century. Unive</w:t>
      </w:r>
      <w:r>
        <w:rPr>
          <w:rFonts w:ascii="Times New Roman" w:hAnsi="Times New Roman"/>
          <w:sz w:val="20"/>
          <w:szCs w:val="20"/>
        </w:rPr>
        <w:t>rsity of Chicago Press, Chicago</w:t>
      </w:r>
    </w:p>
    <w:p w14:paraId="170E218A" w14:textId="77777777" w:rsidR="00A736FE" w:rsidRDefault="00A736FE" w:rsidP="00A736FE">
      <w:pPr>
        <w:spacing w:line="480" w:lineRule="auto"/>
        <w:rPr>
          <w:rFonts w:ascii="Times New Roman" w:hAnsi="Times New Roman"/>
          <w:sz w:val="20"/>
          <w:szCs w:val="20"/>
        </w:rPr>
      </w:pPr>
    </w:p>
    <w:p w14:paraId="142973E4" w14:textId="77777777" w:rsidR="00A736FE" w:rsidRDefault="00A736FE" w:rsidP="00A736FE">
      <w:pPr>
        <w:spacing w:line="480" w:lineRule="auto"/>
        <w:rPr>
          <w:rFonts w:ascii="Times New Roman" w:hAnsi="Times New Roman"/>
          <w:sz w:val="20"/>
          <w:szCs w:val="20"/>
        </w:rPr>
      </w:pPr>
      <w:r w:rsidRPr="00A41DA5">
        <w:rPr>
          <w:rFonts w:ascii="Times New Roman" w:hAnsi="Times New Roman"/>
          <w:sz w:val="20"/>
          <w:szCs w:val="20"/>
        </w:rPr>
        <w:t>Koons DN, Grand JB, Zinner B, Rockwell RF (2005) Transient population dynamics: Relations to life history and initial populatio</w:t>
      </w:r>
      <w:r>
        <w:rPr>
          <w:rFonts w:ascii="Times New Roman" w:hAnsi="Times New Roman"/>
          <w:sz w:val="20"/>
          <w:szCs w:val="20"/>
        </w:rPr>
        <w:t>n state. Ecol Model 185:283–297</w:t>
      </w:r>
    </w:p>
    <w:p w14:paraId="154FB39E" w14:textId="77777777" w:rsidR="00A736FE" w:rsidRDefault="00A736FE" w:rsidP="00A736FE">
      <w:pPr>
        <w:spacing w:line="480" w:lineRule="auto"/>
        <w:rPr>
          <w:rFonts w:ascii="Times New Roman" w:hAnsi="Times New Roman"/>
          <w:sz w:val="20"/>
          <w:szCs w:val="20"/>
        </w:rPr>
      </w:pPr>
    </w:p>
    <w:p w14:paraId="2DAA7A4F" w14:textId="77777777" w:rsidR="00A736FE" w:rsidRPr="00A41DA5" w:rsidRDefault="00A736FE" w:rsidP="00A736FE">
      <w:pPr>
        <w:spacing w:line="480" w:lineRule="auto"/>
        <w:rPr>
          <w:rFonts w:ascii="Times New Roman" w:hAnsi="Times New Roman"/>
          <w:sz w:val="20"/>
          <w:szCs w:val="20"/>
        </w:rPr>
      </w:pPr>
      <w:r w:rsidRPr="00A41DA5">
        <w:rPr>
          <w:rFonts w:ascii="Times New Roman" w:hAnsi="Times New Roman"/>
          <w:sz w:val="20"/>
          <w:szCs w:val="20"/>
        </w:rPr>
        <w:t xml:space="preserve">Koons DN, Holmes RR, Grand JB (2007) Population inertia and its sensitivity to changes in vital rates and population structure. </w:t>
      </w:r>
      <w:r>
        <w:rPr>
          <w:rFonts w:ascii="Times New Roman" w:hAnsi="Times New Roman"/>
          <w:sz w:val="20"/>
          <w:szCs w:val="20"/>
        </w:rPr>
        <w:t>Ecology 88:2857–2867</w:t>
      </w:r>
    </w:p>
    <w:p w14:paraId="0022EE3D" w14:textId="77777777" w:rsidR="00A736FE" w:rsidRDefault="00A736FE" w:rsidP="00A736FE">
      <w:pPr>
        <w:spacing w:line="480" w:lineRule="auto"/>
        <w:rPr>
          <w:rFonts w:ascii="Times New Roman" w:hAnsi="Times New Roman"/>
          <w:sz w:val="20"/>
          <w:szCs w:val="20"/>
        </w:rPr>
      </w:pPr>
    </w:p>
    <w:p w14:paraId="571A3CDA" w14:textId="4CAF3EBC" w:rsidR="00A736FE" w:rsidRPr="00623E9E" w:rsidRDefault="00A736FE" w:rsidP="00A736FE">
      <w:pPr>
        <w:spacing w:line="480" w:lineRule="auto"/>
        <w:rPr>
          <w:rFonts w:ascii="Times New Roman" w:hAnsi="Times New Roman"/>
          <w:sz w:val="20"/>
          <w:szCs w:val="20"/>
        </w:rPr>
      </w:pPr>
      <w:r w:rsidRPr="00623E9E">
        <w:rPr>
          <w:rFonts w:ascii="Times New Roman" w:hAnsi="Times New Roman"/>
          <w:sz w:val="20"/>
          <w:szCs w:val="20"/>
        </w:rPr>
        <w:t xml:space="preserve">Lutz W, O’Neill BC, Scherbov S (2003) Europe’s population at a turning </w:t>
      </w:r>
      <w:r w:rsidR="00BE0689" w:rsidRPr="00623E9E">
        <w:rPr>
          <w:rFonts w:ascii="Times New Roman" w:hAnsi="Times New Roman"/>
          <w:sz w:val="20"/>
          <w:szCs w:val="20"/>
        </w:rPr>
        <w:t>point. Science 299</w:t>
      </w:r>
      <w:r w:rsidRPr="00623E9E">
        <w:rPr>
          <w:rFonts w:ascii="Times New Roman" w:hAnsi="Times New Roman"/>
          <w:sz w:val="20"/>
          <w:szCs w:val="20"/>
        </w:rPr>
        <w:t>:1991–1992</w:t>
      </w:r>
    </w:p>
    <w:p w14:paraId="249D54DC" w14:textId="77777777" w:rsidR="00A736FE" w:rsidRPr="00623E9E" w:rsidRDefault="00A736FE" w:rsidP="00A736FE">
      <w:pPr>
        <w:spacing w:line="480" w:lineRule="auto"/>
        <w:rPr>
          <w:rFonts w:ascii="Times New Roman" w:hAnsi="Times New Roman"/>
          <w:sz w:val="20"/>
          <w:szCs w:val="20"/>
        </w:rPr>
      </w:pPr>
    </w:p>
    <w:p w14:paraId="42CD3FBB" w14:textId="7B6306E2" w:rsidR="00A736FE" w:rsidRPr="00A41DA5" w:rsidRDefault="00A736FE" w:rsidP="00A736FE">
      <w:pPr>
        <w:spacing w:line="480" w:lineRule="auto"/>
        <w:rPr>
          <w:rFonts w:ascii="Times New Roman" w:hAnsi="Times New Roman"/>
          <w:sz w:val="20"/>
          <w:szCs w:val="20"/>
        </w:rPr>
      </w:pPr>
      <w:r w:rsidRPr="00623E9E">
        <w:rPr>
          <w:rFonts w:ascii="Times New Roman" w:hAnsi="Times New Roman"/>
          <w:sz w:val="20"/>
          <w:szCs w:val="20"/>
        </w:rPr>
        <w:t>McDonald JL, Stott I, Townley S, Hodgson DJ (2016) Transients drive the demographic dynamics of plant populations in variable environments. J Ecol 104:306–314</w:t>
      </w:r>
    </w:p>
    <w:p w14:paraId="5712D188" w14:textId="77777777" w:rsidR="00A736FE" w:rsidRDefault="00A736FE" w:rsidP="00A736FE">
      <w:pPr>
        <w:spacing w:line="480" w:lineRule="auto"/>
        <w:rPr>
          <w:rFonts w:ascii="Times New Roman" w:hAnsi="Times New Roman"/>
          <w:sz w:val="20"/>
          <w:szCs w:val="20"/>
        </w:rPr>
      </w:pPr>
    </w:p>
    <w:p w14:paraId="07FD3E21" w14:textId="77777777" w:rsidR="00A736FE" w:rsidRDefault="00A736FE" w:rsidP="00A736FE">
      <w:pPr>
        <w:spacing w:line="480" w:lineRule="auto"/>
        <w:rPr>
          <w:rFonts w:ascii="Times New Roman" w:hAnsi="Times New Roman"/>
          <w:sz w:val="20"/>
          <w:szCs w:val="20"/>
        </w:rPr>
      </w:pPr>
      <w:r w:rsidRPr="00A41DA5">
        <w:rPr>
          <w:rFonts w:ascii="Times New Roman" w:hAnsi="Times New Roman"/>
          <w:sz w:val="20"/>
          <w:szCs w:val="20"/>
        </w:rPr>
        <w:lastRenderedPageBreak/>
        <w:t>Metcalf CJE, Pavard S (2007) Why evolutionary biologists should be demographe</w:t>
      </w:r>
      <w:r>
        <w:rPr>
          <w:rFonts w:ascii="Times New Roman" w:hAnsi="Times New Roman"/>
          <w:sz w:val="20"/>
          <w:szCs w:val="20"/>
        </w:rPr>
        <w:t>rs. Trends Ecol Evol 22:205–212</w:t>
      </w:r>
      <w:r w:rsidRPr="00A41DA5">
        <w:rPr>
          <w:rFonts w:ascii="Times New Roman" w:hAnsi="Times New Roman"/>
          <w:sz w:val="20"/>
          <w:szCs w:val="20"/>
        </w:rPr>
        <w:t xml:space="preserve"> </w:t>
      </w:r>
    </w:p>
    <w:p w14:paraId="194524CC" w14:textId="77777777" w:rsidR="00E67089" w:rsidRDefault="00E67089" w:rsidP="00A736FE">
      <w:pPr>
        <w:spacing w:line="480" w:lineRule="auto"/>
        <w:rPr>
          <w:rFonts w:ascii="Times New Roman" w:hAnsi="Times New Roman"/>
          <w:sz w:val="20"/>
          <w:szCs w:val="20"/>
        </w:rPr>
      </w:pPr>
    </w:p>
    <w:p w14:paraId="0CA1716A" w14:textId="0316C834" w:rsidR="00A736FE" w:rsidRDefault="00A736FE" w:rsidP="00A736FE">
      <w:pPr>
        <w:spacing w:line="480" w:lineRule="auto"/>
        <w:rPr>
          <w:rFonts w:ascii="Times New Roman" w:hAnsi="Times New Roman"/>
          <w:sz w:val="20"/>
          <w:szCs w:val="20"/>
        </w:rPr>
      </w:pPr>
      <w:r w:rsidRPr="00A41DA5">
        <w:rPr>
          <w:rFonts w:ascii="Times New Roman" w:hAnsi="Times New Roman"/>
          <w:sz w:val="20"/>
          <w:szCs w:val="20"/>
        </w:rPr>
        <w:t>Morris WF, Doak DF (2002) Quantitat</w:t>
      </w:r>
      <w:r w:rsidRPr="00623E9E">
        <w:rPr>
          <w:rFonts w:ascii="Times New Roman" w:hAnsi="Times New Roman"/>
          <w:sz w:val="20"/>
          <w:szCs w:val="20"/>
        </w:rPr>
        <w:t xml:space="preserve">ive </w:t>
      </w:r>
      <w:r w:rsidR="00BE0689" w:rsidRPr="00623E9E">
        <w:rPr>
          <w:rFonts w:ascii="Times New Roman" w:hAnsi="Times New Roman"/>
          <w:sz w:val="20"/>
          <w:szCs w:val="20"/>
        </w:rPr>
        <w:t>c</w:t>
      </w:r>
      <w:r w:rsidRPr="00623E9E">
        <w:rPr>
          <w:rFonts w:ascii="Times New Roman" w:hAnsi="Times New Roman"/>
          <w:sz w:val="20"/>
          <w:szCs w:val="20"/>
        </w:rPr>
        <w:t xml:space="preserve">onservation </w:t>
      </w:r>
      <w:r w:rsidR="00BE0689" w:rsidRPr="00623E9E">
        <w:rPr>
          <w:rFonts w:ascii="Times New Roman" w:hAnsi="Times New Roman"/>
          <w:sz w:val="20"/>
          <w:szCs w:val="20"/>
        </w:rPr>
        <w:t>b</w:t>
      </w:r>
      <w:r w:rsidRPr="00623E9E">
        <w:rPr>
          <w:rFonts w:ascii="Times New Roman" w:hAnsi="Times New Roman"/>
          <w:sz w:val="20"/>
          <w:szCs w:val="20"/>
        </w:rPr>
        <w:t xml:space="preserve">iology: Theory and </w:t>
      </w:r>
      <w:r w:rsidR="00BE0689" w:rsidRPr="00623E9E">
        <w:rPr>
          <w:rFonts w:ascii="Times New Roman" w:hAnsi="Times New Roman"/>
          <w:sz w:val="20"/>
          <w:szCs w:val="20"/>
        </w:rPr>
        <w:t>p</w:t>
      </w:r>
      <w:r w:rsidRPr="00623E9E">
        <w:rPr>
          <w:rFonts w:ascii="Times New Roman" w:hAnsi="Times New Roman"/>
          <w:sz w:val="20"/>
          <w:szCs w:val="20"/>
        </w:rPr>
        <w:t xml:space="preserve">ractice of </w:t>
      </w:r>
      <w:r w:rsidR="00BE0689" w:rsidRPr="00623E9E">
        <w:rPr>
          <w:rFonts w:ascii="Times New Roman" w:hAnsi="Times New Roman"/>
          <w:sz w:val="20"/>
          <w:szCs w:val="20"/>
        </w:rPr>
        <w:t>p</w:t>
      </w:r>
      <w:r w:rsidRPr="00623E9E">
        <w:rPr>
          <w:rFonts w:ascii="Times New Roman" w:hAnsi="Times New Roman"/>
          <w:sz w:val="20"/>
          <w:szCs w:val="20"/>
        </w:rPr>
        <w:t xml:space="preserve">opulation </w:t>
      </w:r>
      <w:r w:rsidR="00BE0689" w:rsidRPr="00623E9E">
        <w:rPr>
          <w:rFonts w:ascii="Times New Roman" w:hAnsi="Times New Roman"/>
          <w:sz w:val="20"/>
          <w:szCs w:val="20"/>
        </w:rPr>
        <w:t>v</w:t>
      </w:r>
      <w:r w:rsidRPr="00623E9E">
        <w:rPr>
          <w:rFonts w:ascii="Times New Roman" w:hAnsi="Times New Roman"/>
          <w:sz w:val="20"/>
          <w:szCs w:val="20"/>
        </w:rPr>
        <w:t>iabilit</w:t>
      </w:r>
      <w:r w:rsidR="00BE0689" w:rsidRPr="00623E9E">
        <w:rPr>
          <w:rFonts w:ascii="Times New Roman" w:hAnsi="Times New Roman"/>
          <w:sz w:val="20"/>
          <w:szCs w:val="20"/>
        </w:rPr>
        <w:t>y a</w:t>
      </w:r>
      <w:r w:rsidRPr="00623E9E">
        <w:rPr>
          <w:rFonts w:ascii="Times New Roman" w:hAnsi="Times New Roman"/>
          <w:sz w:val="20"/>
          <w:szCs w:val="20"/>
        </w:rPr>
        <w:t>nalysis. Sinauer, Sunderland</w:t>
      </w:r>
    </w:p>
    <w:p w14:paraId="2888B80A" w14:textId="77777777" w:rsidR="00A736FE" w:rsidRDefault="00A736FE" w:rsidP="00A736FE">
      <w:pPr>
        <w:spacing w:line="480" w:lineRule="auto"/>
        <w:rPr>
          <w:rFonts w:ascii="Times New Roman" w:hAnsi="Times New Roman"/>
          <w:sz w:val="20"/>
          <w:szCs w:val="20"/>
        </w:rPr>
      </w:pPr>
    </w:p>
    <w:p w14:paraId="20092AE1" w14:textId="77777777" w:rsidR="00A736FE" w:rsidRPr="00A41DA5" w:rsidRDefault="00A736FE" w:rsidP="00A736FE">
      <w:pPr>
        <w:spacing w:line="480" w:lineRule="auto"/>
        <w:rPr>
          <w:rFonts w:ascii="Times New Roman" w:hAnsi="Times New Roman"/>
          <w:sz w:val="20"/>
          <w:szCs w:val="20"/>
        </w:rPr>
      </w:pPr>
      <w:r>
        <w:rPr>
          <w:rFonts w:ascii="Times New Roman" w:hAnsi="Times New Roman"/>
          <w:sz w:val="20"/>
          <w:szCs w:val="20"/>
        </w:rPr>
        <w:t xml:space="preserve">Neuwirth E (2014) R ColorBrewer: ColorBrewer Palettes. R package version 1.1-2 </w:t>
      </w:r>
      <w:hyperlink r:id="rId10" w:history="1">
        <w:r w:rsidRPr="00F97179">
          <w:rPr>
            <w:rStyle w:val="Hyperlink"/>
            <w:rFonts w:ascii="Times New Roman" w:hAnsi="Times New Roman"/>
            <w:sz w:val="20"/>
            <w:szCs w:val="20"/>
          </w:rPr>
          <w:t>https://cran.r-project.org/web/packages/RColorBrewer/index.html</w:t>
        </w:r>
      </w:hyperlink>
      <w:r>
        <w:rPr>
          <w:rFonts w:ascii="Times New Roman" w:hAnsi="Times New Roman"/>
          <w:sz w:val="20"/>
          <w:szCs w:val="20"/>
        </w:rPr>
        <w:t xml:space="preserve"> </w:t>
      </w:r>
      <w:r w:rsidRPr="00A41DA5">
        <w:rPr>
          <w:rFonts w:ascii="Times New Roman" w:hAnsi="Times New Roman"/>
          <w:sz w:val="20"/>
          <w:szCs w:val="20"/>
        </w:rPr>
        <w:t xml:space="preserve"> </w:t>
      </w:r>
    </w:p>
    <w:p w14:paraId="1ABECC03" w14:textId="77777777" w:rsidR="00A736FE" w:rsidRDefault="00A736FE" w:rsidP="00A736FE">
      <w:pPr>
        <w:spacing w:line="480" w:lineRule="auto"/>
        <w:rPr>
          <w:rFonts w:ascii="Times New Roman" w:hAnsi="Times New Roman"/>
          <w:sz w:val="20"/>
          <w:szCs w:val="20"/>
        </w:rPr>
      </w:pPr>
    </w:p>
    <w:p w14:paraId="24A55380" w14:textId="77777777" w:rsidR="00A736FE" w:rsidRPr="00A41DA5" w:rsidRDefault="00A736FE" w:rsidP="00A736FE">
      <w:pPr>
        <w:spacing w:line="480" w:lineRule="auto"/>
        <w:rPr>
          <w:rFonts w:ascii="Times New Roman" w:hAnsi="Times New Roman"/>
          <w:sz w:val="20"/>
          <w:szCs w:val="20"/>
        </w:rPr>
      </w:pPr>
      <w:r w:rsidRPr="00A41DA5">
        <w:rPr>
          <w:rFonts w:ascii="Times New Roman" w:hAnsi="Times New Roman"/>
          <w:sz w:val="20"/>
          <w:szCs w:val="20"/>
        </w:rPr>
        <w:t>Osotimehin B (2011) Population and develop</w:t>
      </w:r>
      <w:r>
        <w:rPr>
          <w:rFonts w:ascii="Times New Roman" w:hAnsi="Times New Roman"/>
          <w:sz w:val="20"/>
          <w:szCs w:val="20"/>
        </w:rPr>
        <w:t>ment. Science 333:499</w:t>
      </w:r>
      <w:r w:rsidRPr="00A41DA5">
        <w:rPr>
          <w:rFonts w:ascii="Times New Roman" w:hAnsi="Times New Roman"/>
          <w:sz w:val="20"/>
          <w:szCs w:val="20"/>
        </w:rPr>
        <w:t xml:space="preserve"> </w:t>
      </w:r>
    </w:p>
    <w:p w14:paraId="7581291E" w14:textId="77777777" w:rsidR="00A736FE" w:rsidRPr="00A41DA5" w:rsidRDefault="00A736FE" w:rsidP="00A736FE">
      <w:pPr>
        <w:spacing w:line="480" w:lineRule="auto"/>
        <w:rPr>
          <w:rFonts w:ascii="Times New Roman" w:hAnsi="Times New Roman"/>
          <w:sz w:val="20"/>
          <w:szCs w:val="20"/>
        </w:rPr>
      </w:pPr>
    </w:p>
    <w:p w14:paraId="77135902" w14:textId="65B7C37C" w:rsidR="00A736FE" w:rsidRPr="00A41DA5" w:rsidRDefault="00A736FE" w:rsidP="00A736FE">
      <w:pPr>
        <w:spacing w:line="480" w:lineRule="auto"/>
        <w:rPr>
          <w:rFonts w:ascii="Times New Roman" w:hAnsi="Times New Roman"/>
          <w:sz w:val="20"/>
          <w:szCs w:val="20"/>
        </w:rPr>
      </w:pPr>
      <w:r w:rsidRPr="00A41DA5">
        <w:rPr>
          <w:rFonts w:ascii="Times New Roman" w:hAnsi="Times New Roman"/>
          <w:sz w:val="20"/>
          <w:szCs w:val="20"/>
        </w:rPr>
        <w:t xml:space="preserve">Ozgul A, Oli MK, Armitage KB, Blumstein DT, Van Vuren </w:t>
      </w:r>
      <w:r w:rsidRPr="00623E9E">
        <w:rPr>
          <w:rFonts w:ascii="Times New Roman" w:hAnsi="Times New Roman"/>
          <w:sz w:val="20"/>
          <w:szCs w:val="20"/>
        </w:rPr>
        <w:t xml:space="preserve">DH (2009) Influence of </w:t>
      </w:r>
      <w:r w:rsidR="00BE0689" w:rsidRPr="00623E9E">
        <w:rPr>
          <w:rFonts w:ascii="Times New Roman" w:hAnsi="Times New Roman"/>
          <w:sz w:val="20"/>
          <w:szCs w:val="20"/>
        </w:rPr>
        <w:t>local d</w:t>
      </w:r>
      <w:r w:rsidRPr="00623E9E">
        <w:rPr>
          <w:rFonts w:ascii="Times New Roman" w:hAnsi="Times New Roman"/>
          <w:sz w:val="20"/>
          <w:szCs w:val="20"/>
        </w:rPr>
        <w:t>emography on</w:t>
      </w:r>
      <w:r w:rsidR="00BE0689" w:rsidRPr="00623E9E">
        <w:rPr>
          <w:rFonts w:ascii="Times New Roman" w:hAnsi="Times New Roman"/>
          <w:sz w:val="20"/>
          <w:szCs w:val="20"/>
        </w:rPr>
        <w:t xml:space="preserve"> a</w:t>
      </w:r>
      <w:r w:rsidRPr="00623E9E">
        <w:rPr>
          <w:rFonts w:ascii="Times New Roman" w:hAnsi="Times New Roman"/>
          <w:sz w:val="20"/>
          <w:szCs w:val="20"/>
        </w:rPr>
        <w:t xml:space="preserve">symptotic and </w:t>
      </w:r>
      <w:r w:rsidR="00BE0689" w:rsidRPr="00623E9E">
        <w:rPr>
          <w:rFonts w:ascii="Times New Roman" w:hAnsi="Times New Roman"/>
          <w:sz w:val="20"/>
          <w:szCs w:val="20"/>
        </w:rPr>
        <w:t>t</w:t>
      </w:r>
      <w:r w:rsidRPr="00623E9E">
        <w:rPr>
          <w:rFonts w:ascii="Times New Roman" w:hAnsi="Times New Roman"/>
          <w:sz w:val="20"/>
          <w:szCs w:val="20"/>
        </w:rPr>
        <w:t xml:space="preserve">ransient </w:t>
      </w:r>
      <w:r w:rsidR="00BE0689" w:rsidRPr="00623E9E">
        <w:rPr>
          <w:rFonts w:ascii="Times New Roman" w:hAnsi="Times New Roman"/>
          <w:sz w:val="20"/>
          <w:szCs w:val="20"/>
        </w:rPr>
        <w:t>d</w:t>
      </w:r>
      <w:r w:rsidRPr="00623E9E">
        <w:rPr>
          <w:rFonts w:ascii="Times New Roman" w:hAnsi="Times New Roman"/>
          <w:sz w:val="20"/>
          <w:szCs w:val="20"/>
        </w:rPr>
        <w:t>ynamics of a Yellow</w:t>
      </w:r>
      <w:r w:rsidRPr="00623E9E">
        <w:rPr>
          <w:rFonts w:ascii="STIXGeneral-Regular" w:hAnsi="STIXGeneral-Regular" w:cs="STIXGeneral-Regular"/>
          <w:sz w:val="20"/>
          <w:szCs w:val="20"/>
        </w:rPr>
        <w:t>‐</w:t>
      </w:r>
      <w:r w:rsidRPr="00623E9E">
        <w:rPr>
          <w:rFonts w:ascii="Times New Roman" w:hAnsi="Times New Roman"/>
          <w:sz w:val="20"/>
          <w:szCs w:val="20"/>
        </w:rPr>
        <w:t xml:space="preserve">Bellied Marmot </w:t>
      </w:r>
      <w:r w:rsidR="00BE0689" w:rsidRPr="00623E9E">
        <w:rPr>
          <w:rFonts w:ascii="Times New Roman" w:hAnsi="Times New Roman"/>
          <w:sz w:val="20"/>
          <w:szCs w:val="20"/>
        </w:rPr>
        <w:t>m</w:t>
      </w:r>
      <w:r w:rsidRPr="00623E9E">
        <w:rPr>
          <w:rFonts w:ascii="Times New Roman" w:hAnsi="Times New Roman"/>
          <w:sz w:val="20"/>
          <w:szCs w:val="20"/>
        </w:rPr>
        <w:t>eta</w:t>
      </w:r>
      <w:r w:rsidR="003E3E56" w:rsidRPr="00623E9E">
        <w:rPr>
          <w:rFonts w:ascii="Times New Roman" w:hAnsi="Times New Roman"/>
          <w:sz w:val="20"/>
          <w:szCs w:val="20"/>
        </w:rPr>
        <w:t>popu</w:t>
      </w:r>
      <w:r w:rsidR="003E3E56">
        <w:rPr>
          <w:rFonts w:ascii="Times New Roman" w:hAnsi="Times New Roman"/>
          <w:sz w:val="20"/>
          <w:szCs w:val="20"/>
        </w:rPr>
        <w:t xml:space="preserve">lation. Am Nat 173:517–530 </w:t>
      </w:r>
    </w:p>
    <w:p w14:paraId="3C4A9E55" w14:textId="77777777" w:rsidR="00A736FE" w:rsidRPr="00A41DA5" w:rsidRDefault="00A736FE" w:rsidP="00A736FE">
      <w:pPr>
        <w:spacing w:line="480" w:lineRule="auto"/>
        <w:rPr>
          <w:rFonts w:ascii="Times New Roman" w:hAnsi="Times New Roman"/>
          <w:sz w:val="20"/>
          <w:szCs w:val="20"/>
        </w:rPr>
      </w:pPr>
    </w:p>
    <w:p w14:paraId="15A8FF6B" w14:textId="77777777" w:rsidR="00A736FE" w:rsidRDefault="00A736FE" w:rsidP="00A736FE">
      <w:pPr>
        <w:spacing w:line="480" w:lineRule="auto"/>
        <w:rPr>
          <w:rFonts w:ascii="Times New Roman" w:hAnsi="Times New Roman"/>
          <w:sz w:val="20"/>
          <w:szCs w:val="20"/>
        </w:rPr>
      </w:pPr>
      <w:r w:rsidRPr="00A41DA5">
        <w:rPr>
          <w:rFonts w:ascii="Times New Roman" w:hAnsi="Times New Roman"/>
          <w:sz w:val="20"/>
          <w:szCs w:val="20"/>
        </w:rPr>
        <w:t>Peres-Neto PR, Jackson DA, Somers KM (2005) How many principal components? Stopping rules for determining the number of non-trivial axes revisited. C</w:t>
      </w:r>
      <w:r>
        <w:rPr>
          <w:rFonts w:ascii="Times New Roman" w:hAnsi="Times New Roman"/>
          <w:sz w:val="20"/>
          <w:szCs w:val="20"/>
        </w:rPr>
        <w:t>omput</w:t>
      </w:r>
      <w:r w:rsidR="004F0C58">
        <w:rPr>
          <w:rFonts w:ascii="Times New Roman" w:hAnsi="Times New Roman"/>
          <w:sz w:val="20"/>
          <w:szCs w:val="20"/>
        </w:rPr>
        <w:t>ational</w:t>
      </w:r>
      <w:r>
        <w:rPr>
          <w:rFonts w:ascii="Times New Roman" w:hAnsi="Times New Roman"/>
          <w:sz w:val="20"/>
          <w:szCs w:val="20"/>
        </w:rPr>
        <w:t xml:space="preserve"> Stat</w:t>
      </w:r>
      <w:r w:rsidR="004F0C58">
        <w:rPr>
          <w:rFonts w:ascii="Times New Roman" w:hAnsi="Times New Roman"/>
          <w:sz w:val="20"/>
          <w:szCs w:val="20"/>
        </w:rPr>
        <w:t>istics &amp;</w:t>
      </w:r>
      <w:r>
        <w:rPr>
          <w:rFonts w:ascii="Times New Roman" w:hAnsi="Times New Roman"/>
          <w:sz w:val="20"/>
          <w:szCs w:val="20"/>
        </w:rPr>
        <w:t xml:space="preserve"> Data Anal</w:t>
      </w:r>
      <w:r w:rsidR="004F0C58">
        <w:rPr>
          <w:rFonts w:ascii="Times New Roman" w:hAnsi="Times New Roman"/>
          <w:sz w:val="20"/>
          <w:szCs w:val="20"/>
        </w:rPr>
        <w:t>ysis</w:t>
      </w:r>
      <w:r>
        <w:rPr>
          <w:rFonts w:ascii="Times New Roman" w:hAnsi="Times New Roman"/>
          <w:sz w:val="20"/>
          <w:szCs w:val="20"/>
        </w:rPr>
        <w:t xml:space="preserve"> 49:974–997</w:t>
      </w:r>
      <w:r w:rsidRPr="00A41DA5">
        <w:rPr>
          <w:rFonts w:ascii="Times New Roman" w:hAnsi="Times New Roman"/>
          <w:sz w:val="20"/>
          <w:szCs w:val="20"/>
        </w:rPr>
        <w:t xml:space="preserve"> </w:t>
      </w:r>
    </w:p>
    <w:p w14:paraId="0F5B6BDD" w14:textId="77777777" w:rsidR="004F0C58" w:rsidRPr="00A41DA5" w:rsidRDefault="004F0C58" w:rsidP="00A736FE">
      <w:pPr>
        <w:spacing w:line="480" w:lineRule="auto"/>
        <w:rPr>
          <w:rFonts w:ascii="Times New Roman" w:hAnsi="Times New Roman"/>
          <w:sz w:val="20"/>
          <w:szCs w:val="20"/>
        </w:rPr>
      </w:pPr>
    </w:p>
    <w:p w14:paraId="4145B568" w14:textId="77777777" w:rsidR="00A736FE" w:rsidRPr="00D15F87" w:rsidRDefault="00A736FE" w:rsidP="00A736FE">
      <w:pPr>
        <w:spacing w:line="480" w:lineRule="auto"/>
        <w:rPr>
          <w:rFonts w:ascii="Times New Roman" w:hAnsi="Times New Roman"/>
          <w:sz w:val="20"/>
          <w:szCs w:val="20"/>
        </w:rPr>
      </w:pPr>
      <w:r w:rsidRPr="00A41DA5">
        <w:rPr>
          <w:rFonts w:ascii="Times New Roman" w:hAnsi="Times New Roman"/>
          <w:sz w:val="20"/>
          <w:szCs w:val="20"/>
        </w:rPr>
        <w:t xml:space="preserve">R Core Team (2016) </w:t>
      </w:r>
      <w:r w:rsidRPr="00D15F87">
        <w:rPr>
          <w:rFonts w:ascii="Times New Roman" w:hAnsi="Times New Roman"/>
          <w:sz w:val="20"/>
          <w:szCs w:val="20"/>
        </w:rPr>
        <w:t>R: A language and environment for statistical computing. R Foundation for Statistical</w:t>
      </w:r>
      <w:r>
        <w:rPr>
          <w:rFonts w:ascii="Times New Roman" w:hAnsi="Times New Roman"/>
          <w:sz w:val="20"/>
          <w:szCs w:val="20"/>
        </w:rPr>
        <w:t xml:space="preserve"> </w:t>
      </w:r>
      <w:r w:rsidRPr="00D15F87">
        <w:rPr>
          <w:rFonts w:ascii="Times New Roman" w:hAnsi="Times New Roman"/>
          <w:sz w:val="20"/>
          <w:szCs w:val="20"/>
        </w:rPr>
        <w:t xml:space="preserve">Computing, Vienna, Austria. URL </w:t>
      </w:r>
      <w:hyperlink r:id="rId11" w:history="1">
        <w:r w:rsidRPr="00D15F87">
          <w:rPr>
            <w:rStyle w:val="Hyperlink"/>
            <w:rFonts w:ascii="Times New Roman" w:hAnsi="Times New Roman"/>
            <w:sz w:val="20"/>
            <w:szCs w:val="20"/>
          </w:rPr>
          <w:t>https://www.R-project.org/</w:t>
        </w:r>
      </w:hyperlink>
      <w:r w:rsidRPr="00D15F87">
        <w:rPr>
          <w:rFonts w:ascii="Times New Roman" w:hAnsi="Times New Roman"/>
          <w:sz w:val="20"/>
          <w:szCs w:val="20"/>
        </w:rPr>
        <w:t xml:space="preserve"> </w:t>
      </w:r>
    </w:p>
    <w:p w14:paraId="2A4D327F" w14:textId="77777777" w:rsidR="00A736FE" w:rsidRDefault="00A736FE" w:rsidP="00A736FE">
      <w:pPr>
        <w:spacing w:line="480" w:lineRule="auto"/>
        <w:rPr>
          <w:rFonts w:ascii="Times New Roman" w:hAnsi="Times New Roman"/>
          <w:sz w:val="20"/>
          <w:szCs w:val="20"/>
        </w:rPr>
      </w:pPr>
    </w:p>
    <w:p w14:paraId="6E96F233" w14:textId="77777777" w:rsidR="00A736FE" w:rsidRPr="00A41DA5" w:rsidRDefault="00A736FE" w:rsidP="00A736FE">
      <w:pPr>
        <w:spacing w:line="480" w:lineRule="auto"/>
        <w:rPr>
          <w:rFonts w:ascii="Times New Roman" w:hAnsi="Times New Roman"/>
          <w:sz w:val="20"/>
          <w:szCs w:val="20"/>
        </w:rPr>
      </w:pPr>
      <w:r w:rsidRPr="00A41DA5">
        <w:rPr>
          <w:rFonts w:ascii="Times New Roman" w:hAnsi="Times New Roman"/>
          <w:sz w:val="20"/>
          <w:szCs w:val="20"/>
        </w:rPr>
        <w:t>Ramula S, Lehtilä K (2005) Matrix dimensionality in demographic analyses of plants: when to use smal</w:t>
      </w:r>
      <w:r>
        <w:rPr>
          <w:rFonts w:ascii="Times New Roman" w:hAnsi="Times New Roman"/>
          <w:sz w:val="20"/>
          <w:szCs w:val="20"/>
        </w:rPr>
        <w:t>ler matrices? Oikos 111:563–573</w:t>
      </w:r>
      <w:r w:rsidRPr="00A41DA5">
        <w:rPr>
          <w:rFonts w:ascii="Times New Roman" w:hAnsi="Times New Roman"/>
          <w:sz w:val="20"/>
          <w:szCs w:val="20"/>
        </w:rPr>
        <w:t xml:space="preserve"> </w:t>
      </w:r>
    </w:p>
    <w:p w14:paraId="2FD673FB" w14:textId="77777777" w:rsidR="00A736FE" w:rsidRPr="00D56F70" w:rsidRDefault="00A736FE" w:rsidP="00A736FE">
      <w:pPr>
        <w:spacing w:line="480" w:lineRule="auto"/>
        <w:rPr>
          <w:rFonts w:ascii="Times New Roman" w:hAnsi="Times New Roman"/>
          <w:sz w:val="20"/>
          <w:szCs w:val="20"/>
        </w:rPr>
      </w:pPr>
    </w:p>
    <w:p w14:paraId="512C3BED" w14:textId="77777777" w:rsidR="00A736FE" w:rsidRPr="00D56F70" w:rsidRDefault="00A736FE" w:rsidP="00A736FE">
      <w:pPr>
        <w:spacing w:line="480" w:lineRule="auto"/>
        <w:rPr>
          <w:rFonts w:ascii="Times New Roman" w:hAnsi="Times New Roman"/>
          <w:sz w:val="20"/>
          <w:szCs w:val="20"/>
        </w:rPr>
      </w:pPr>
      <w:r w:rsidRPr="00D56F70">
        <w:rPr>
          <w:rFonts w:ascii="Times New Roman" w:hAnsi="Times New Roman"/>
          <w:sz w:val="20"/>
          <w:szCs w:val="20"/>
        </w:rPr>
        <w:t xml:space="preserve">Rojas-Sandoval J, Meléndez-Ackerman E (2013) Population dynamics of a threatened cactus species: general assessment and effects of matrix dimensionality. </w:t>
      </w:r>
      <w:r w:rsidRPr="00EF4443">
        <w:rPr>
          <w:rFonts w:ascii="Times New Roman" w:hAnsi="Times New Roman"/>
          <w:sz w:val="20"/>
          <w:szCs w:val="20"/>
        </w:rPr>
        <w:t>Popul Ecol 55</w:t>
      </w:r>
      <w:r w:rsidRPr="00D56F70">
        <w:rPr>
          <w:rFonts w:ascii="Times New Roman" w:hAnsi="Times New Roman"/>
          <w:sz w:val="20"/>
          <w:szCs w:val="20"/>
        </w:rPr>
        <w:t xml:space="preserve">:479–491 </w:t>
      </w:r>
    </w:p>
    <w:p w14:paraId="2903C179" w14:textId="77777777" w:rsidR="00A736FE" w:rsidRPr="00D56F70" w:rsidRDefault="00A736FE" w:rsidP="00A736FE">
      <w:pPr>
        <w:spacing w:line="480" w:lineRule="auto"/>
        <w:rPr>
          <w:rFonts w:ascii="Times New Roman" w:hAnsi="Times New Roman"/>
          <w:sz w:val="20"/>
          <w:szCs w:val="20"/>
        </w:rPr>
      </w:pPr>
    </w:p>
    <w:p w14:paraId="102218A6" w14:textId="77777777" w:rsidR="00A736FE" w:rsidRPr="00D56F70" w:rsidRDefault="00A736FE" w:rsidP="00A736FE">
      <w:pPr>
        <w:spacing w:line="480" w:lineRule="auto"/>
        <w:rPr>
          <w:rFonts w:ascii="Times New Roman" w:hAnsi="Times New Roman"/>
          <w:sz w:val="20"/>
          <w:szCs w:val="20"/>
        </w:rPr>
      </w:pPr>
      <w:r w:rsidRPr="00D56F70">
        <w:rPr>
          <w:rFonts w:ascii="Times New Roman" w:hAnsi="Times New Roman"/>
          <w:sz w:val="20"/>
          <w:szCs w:val="20"/>
        </w:rPr>
        <w:t xml:space="preserve">Ruhe A (1975) On the closeness of eigenvalues and singular values for almost normal matrices. Linear Algebra </w:t>
      </w:r>
      <w:r w:rsidR="00600840">
        <w:rPr>
          <w:rFonts w:ascii="Times New Roman" w:hAnsi="Times New Roman"/>
          <w:sz w:val="20"/>
          <w:szCs w:val="20"/>
        </w:rPr>
        <w:t xml:space="preserve">and its </w:t>
      </w:r>
      <w:r w:rsidRPr="00D56F70">
        <w:rPr>
          <w:rFonts w:ascii="Times New Roman" w:hAnsi="Times New Roman"/>
          <w:sz w:val="20"/>
          <w:szCs w:val="20"/>
        </w:rPr>
        <w:t>Appl</w:t>
      </w:r>
      <w:r w:rsidR="00600840">
        <w:rPr>
          <w:rFonts w:ascii="Times New Roman" w:hAnsi="Times New Roman"/>
          <w:sz w:val="20"/>
          <w:szCs w:val="20"/>
        </w:rPr>
        <w:t>ications</w:t>
      </w:r>
      <w:r w:rsidR="00C728E9">
        <w:rPr>
          <w:rFonts w:ascii="Times New Roman" w:hAnsi="Times New Roman"/>
          <w:sz w:val="20"/>
          <w:szCs w:val="20"/>
        </w:rPr>
        <w:t xml:space="preserve"> 11:87–93</w:t>
      </w:r>
    </w:p>
    <w:p w14:paraId="07185C0B" w14:textId="77777777" w:rsidR="00A736FE" w:rsidRDefault="00A736FE" w:rsidP="00A736FE">
      <w:pPr>
        <w:spacing w:line="480" w:lineRule="auto"/>
        <w:rPr>
          <w:rFonts w:ascii="Times New Roman" w:hAnsi="Times New Roman"/>
          <w:sz w:val="20"/>
          <w:szCs w:val="20"/>
        </w:rPr>
      </w:pPr>
    </w:p>
    <w:p w14:paraId="4C8FCD44" w14:textId="77777777" w:rsidR="00A736FE" w:rsidRDefault="00A736FE" w:rsidP="000B0905">
      <w:pPr>
        <w:spacing w:line="480" w:lineRule="auto"/>
        <w:rPr>
          <w:rFonts w:ascii="Times New Roman" w:hAnsi="Times New Roman"/>
          <w:sz w:val="20"/>
          <w:szCs w:val="20"/>
        </w:rPr>
      </w:pPr>
      <w:r w:rsidRPr="003010FB">
        <w:rPr>
          <w:rFonts w:ascii="Times New Roman" w:hAnsi="Times New Roman"/>
          <w:sz w:val="20"/>
          <w:szCs w:val="20"/>
        </w:rPr>
        <w:lastRenderedPageBreak/>
        <w:t>Salguero-Góm</w:t>
      </w:r>
      <w:r w:rsidR="000B0905">
        <w:rPr>
          <w:rFonts w:ascii="Times New Roman" w:hAnsi="Times New Roman"/>
          <w:sz w:val="20"/>
          <w:szCs w:val="20"/>
        </w:rPr>
        <w:t xml:space="preserve">ez R, Jones OR, Archer CR, Buckley YM, Che-Castaldo J, Caswell H, Hodgson D, Scheuerlein A, Conde DA, Brinks E, </w:t>
      </w:r>
      <w:r w:rsidR="000B0905" w:rsidRPr="000B0905">
        <w:rPr>
          <w:rFonts w:ascii="Times New Roman" w:hAnsi="Times New Roman"/>
          <w:sz w:val="20"/>
          <w:szCs w:val="20"/>
        </w:rPr>
        <w:t>de Buhr</w:t>
      </w:r>
      <w:r w:rsidR="000B0905">
        <w:rPr>
          <w:rFonts w:ascii="Times New Roman" w:hAnsi="Times New Roman"/>
          <w:sz w:val="20"/>
          <w:szCs w:val="20"/>
        </w:rPr>
        <w:t xml:space="preserve"> H</w:t>
      </w:r>
      <w:r w:rsidR="000B0905" w:rsidRPr="000B0905">
        <w:rPr>
          <w:rFonts w:ascii="Times New Roman" w:hAnsi="Times New Roman"/>
          <w:sz w:val="20"/>
          <w:szCs w:val="20"/>
        </w:rPr>
        <w:t>,</w:t>
      </w:r>
      <w:r w:rsidR="000B0905">
        <w:rPr>
          <w:rFonts w:ascii="Times New Roman" w:hAnsi="Times New Roman"/>
          <w:sz w:val="20"/>
          <w:szCs w:val="20"/>
        </w:rPr>
        <w:t xml:space="preserve"> </w:t>
      </w:r>
      <w:r w:rsidR="000B0905" w:rsidRPr="000B0905">
        <w:rPr>
          <w:rFonts w:ascii="Times New Roman" w:hAnsi="Times New Roman"/>
          <w:sz w:val="20"/>
          <w:szCs w:val="20"/>
        </w:rPr>
        <w:t>Farack</w:t>
      </w:r>
      <w:r w:rsidR="000B0905">
        <w:rPr>
          <w:rFonts w:ascii="Times New Roman" w:hAnsi="Times New Roman"/>
          <w:sz w:val="20"/>
          <w:szCs w:val="20"/>
        </w:rPr>
        <w:t xml:space="preserve"> C</w:t>
      </w:r>
      <w:r w:rsidR="000B0905" w:rsidRPr="000B0905">
        <w:rPr>
          <w:rFonts w:ascii="Times New Roman" w:hAnsi="Times New Roman"/>
          <w:sz w:val="20"/>
          <w:szCs w:val="20"/>
        </w:rPr>
        <w:t>,</w:t>
      </w:r>
      <w:r w:rsidR="000B0905">
        <w:rPr>
          <w:rFonts w:ascii="Times New Roman" w:hAnsi="Times New Roman"/>
          <w:sz w:val="20"/>
          <w:szCs w:val="20"/>
        </w:rPr>
        <w:t xml:space="preserve"> Gottschalk F, Hartmann A, Henning A, Hoppe G, Römer G, Runge J, Ruoff T, Wille J, Zeh S, Davison R, Vieregg D, Baudisch A, Altwegg R, Colchero F, Dong M, de Kroon H, Lebreton J-D, Metcalf CJE, Neel MM, Parker IM, Takada T, Valverde T, Vélez-Espino LA, Wardle GM, Franco M, </w:t>
      </w:r>
      <w:r w:rsidR="000B0905" w:rsidRPr="000B0905">
        <w:rPr>
          <w:rFonts w:ascii="Times New Roman" w:hAnsi="Times New Roman"/>
          <w:sz w:val="20"/>
          <w:szCs w:val="20"/>
        </w:rPr>
        <w:t>Vaupel</w:t>
      </w:r>
      <w:r w:rsidR="000B0905">
        <w:rPr>
          <w:rFonts w:ascii="Times New Roman" w:hAnsi="Times New Roman"/>
          <w:sz w:val="20"/>
          <w:szCs w:val="20"/>
        </w:rPr>
        <w:t xml:space="preserve"> JW</w:t>
      </w:r>
      <w:r w:rsidR="000B0905" w:rsidRPr="000B0905">
        <w:rPr>
          <w:rFonts w:ascii="Times New Roman" w:hAnsi="Times New Roman"/>
          <w:sz w:val="20"/>
          <w:szCs w:val="20"/>
        </w:rPr>
        <w:t xml:space="preserve"> </w:t>
      </w:r>
      <w:r w:rsidRPr="003010FB">
        <w:rPr>
          <w:rFonts w:ascii="Times New Roman" w:hAnsi="Times New Roman"/>
          <w:sz w:val="20"/>
          <w:szCs w:val="20"/>
        </w:rPr>
        <w:t>(2015) The compadre Plant Matrix Database: an open online repository for plant</w:t>
      </w:r>
      <w:r>
        <w:rPr>
          <w:rFonts w:ascii="Times New Roman" w:hAnsi="Times New Roman"/>
          <w:sz w:val="20"/>
          <w:szCs w:val="20"/>
        </w:rPr>
        <w:t xml:space="preserve"> demography. J Ecol 103:202–218</w:t>
      </w:r>
      <w:r w:rsidRPr="003010FB">
        <w:rPr>
          <w:rFonts w:ascii="Times New Roman" w:hAnsi="Times New Roman"/>
          <w:sz w:val="20"/>
          <w:szCs w:val="20"/>
        </w:rPr>
        <w:t xml:space="preserve"> </w:t>
      </w:r>
    </w:p>
    <w:p w14:paraId="43C2772E" w14:textId="77777777" w:rsidR="00A736FE" w:rsidRDefault="00A736FE" w:rsidP="00A736FE">
      <w:pPr>
        <w:spacing w:line="480" w:lineRule="auto"/>
        <w:rPr>
          <w:rFonts w:ascii="Times New Roman" w:hAnsi="Times New Roman"/>
          <w:sz w:val="20"/>
          <w:szCs w:val="20"/>
        </w:rPr>
      </w:pPr>
    </w:p>
    <w:p w14:paraId="1662F282" w14:textId="77777777" w:rsidR="00A736FE" w:rsidRPr="00C62541" w:rsidRDefault="00A736FE" w:rsidP="00843DB0">
      <w:pPr>
        <w:spacing w:line="480" w:lineRule="auto"/>
        <w:rPr>
          <w:rFonts w:ascii="Times New Roman" w:hAnsi="Times New Roman"/>
          <w:sz w:val="20"/>
          <w:szCs w:val="20"/>
        </w:rPr>
      </w:pPr>
      <w:r w:rsidRPr="00CC6956">
        <w:rPr>
          <w:rFonts w:ascii="Times New Roman" w:hAnsi="Times New Roman"/>
          <w:sz w:val="20"/>
          <w:szCs w:val="20"/>
        </w:rPr>
        <w:t>Salguero-Góm</w:t>
      </w:r>
      <w:r w:rsidR="00843DB0">
        <w:rPr>
          <w:rFonts w:ascii="Times New Roman" w:hAnsi="Times New Roman"/>
          <w:sz w:val="20"/>
          <w:szCs w:val="20"/>
        </w:rPr>
        <w:t xml:space="preserve">ez R, Jones OR, Archer CR, </w:t>
      </w:r>
      <w:r w:rsidR="00843DB0" w:rsidRPr="00843DB0">
        <w:rPr>
          <w:rFonts w:ascii="Times New Roman" w:hAnsi="Times New Roman"/>
          <w:sz w:val="20"/>
          <w:szCs w:val="20"/>
        </w:rPr>
        <w:t>Bein</w:t>
      </w:r>
      <w:r w:rsidR="00843DB0">
        <w:rPr>
          <w:rFonts w:ascii="Times New Roman" w:hAnsi="Times New Roman"/>
          <w:sz w:val="20"/>
          <w:szCs w:val="20"/>
        </w:rPr>
        <w:t xml:space="preserve"> C</w:t>
      </w:r>
      <w:r w:rsidR="00843DB0" w:rsidRPr="00843DB0">
        <w:rPr>
          <w:rFonts w:ascii="Times New Roman" w:hAnsi="Times New Roman"/>
          <w:sz w:val="20"/>
          <w:szCs w:val="20"/>
        </w:rPr>
        <w:t>, de Buhr</w:t>
      </w:r>
      <w:r w:rsidR="00843DB0">
        <w:rPr>
          <w:rFonts w:ascii="Times New Roman" w:hAnsi="Times New Roman"/>
          <w:sz w:val="20"/>
          <w:szCs w:val="20"/>
        </w:rPr>
        <w:t xml:space="preserve"> H</w:t>
      </w:r>
      <w:r w:rsidR="00843DB0" w:rsidRPr="00843DB0">
        <w:rPr>
          <w:rFonts w:ascii="Times New Roman" w:hAnsi="Times New Roman"/>
          <w:sz w:val="20"/>
          <w:szCs w:val="20"/>
        </w:rPr>
        <w:t>, Farack</w:t>
      </w:r>
      <w:r w:rsidR="00843DB0">
        <w:rPr>
          <w:rFonts w:ascii="Times New Roman" w:hAnsi="Times New Roman"/>
          <w:sz w:val="20"/>
          <w:szCs w:val="20"/>
        </w:rPr>
        <w:t xml:space="preserve"> C</w:t>
      </w:r>
      <w:r w:rsidR="00843DB0" w:rsidRPr="00843DB0">
        <w:rPr>
          <w:rFonts w:ascii="Times New Roman" w:hAnsi="Times New Roman"/>
          <w:sz w:val="20"/>
          <w:szCs w:val="20"/>
        </w:rPr>
        <w:t>, Gottschalk</w:t>
      </w:r>
      <w:r w:rsidR="00843DB0">
        <w:rPr>
          <w:rFonts w:ascii="Times New Roman" w:hAnsi="Times New Roman"/>
          <w:sz w:val="20"/>
          <w:szCs w:val="20"/>
        </w:rPr>
        <w:t xml:space="preserve"> F</w:t>
      </w:r>
      <w:r w:rsidR="00843DB0" w:rsidRPr="00843DB0">
        <w:rPr>
          <w:rFonts w:ascii="Times New Roman" w:hAnsi="Times New Roman"/>
          <w:sz w:val="20"/>
          <w:szCs w:val="20"/>
        </w:rPr>
        <w:t>, Hartmann</w:t>
      </w:r>
      <w:r w:rsidR="00843DB0">
        <w:rPr>
          <w:rFonts w:ascii="Times New Roman" w:hAnsi="Times New Roman"/>
          <w:sz w:val="20"/>
          <w:szCs w:val="20"/>
        </w:rPr>
        <w:t xml:space="preserve"> A</w:t>
      </w:r>
      <w:r w:rsidR="00843DB0" w:rsidRPr="00843DB0">
        <w:rPr>
          <w:rFonts w:ascii="Times New Roman" w:hAnsi="Times New Roman"/>
          <w:sz w:val="20"/>
          <w:szCs w:val="20"/>
        </w:rPr>
        <w:t>,</w:t>
      </w:r>
      <w:r w:rsidR="00843DB0">
        <w:rPr>
          <w:rFonts w:ascii="Times New Roman" w:hAnsi="Times New Roman"/>
          <w:sz w:val="20"/>
          <w:szCs w:val="20"/>
        </w:rPr>
        <w:t xml:space="preserve"> Henning A, Hoppe G, Römer G, Ruoff T, Sommer V, Wille J, Voigt J, Zeh S, Vieregg D, Buckley YM, Che-Castaldo J, Caswell H, Hodgson D, </w:t>
      </w:r>
      <w:r w:rsidR="00843DB0" w:rsidRPr="00843DB0">
        <w:rPr>
          <w:rFonts w:ascii="Times New Roman" w:hAnsi="Times New Roman"/>
          <w:sz w:val="20"/>
          <w:szCs w:val="20"/>
        </w:rPr>
        <w:t>Scheuerlein</w:t>
      </w:r>
      <w:r w:rsidR="00843DB0">
        <w:rPr>
          <w:rFonts w:ascii="Times New Roman" w:hAnsi="Times New Roman"/>
          <w:sz w:val="20"/>
          <w:szCs w:val="20"/>
        </w:rPr>
        <w:t xml:space="preserve"> A</w:t>
      </w:r>
      <w:r w:rsidR="00843DB0" w:rsidRPr="00843DB0">
        <w:rPr>
          <w:rFonts w:ascii="Times New Roman" w:hAnsi="Times New Roman"/>
          <w:sz w:val="20"/>
          <w:szCs w:val="20"/>
        </w:rPr>
        <w:t>,</w:t>
      </w:r>
      <w:r w:rsidR="00843DB0">
        <w:rPr>
          <w:rFonts w:ascii="Times New Roman" w:hAnsi="Times New Roman"/>
          <w:sz w:val="20"/>
          <w:szCs w:val="20"/>
        </w:rPr>
        <w:t xml:space="preserve"> Caswell H, </w:t>
      </w:r>
      <w:r w:rsidR="00843DB0" w:rsidRPr="00843DB0">
        <w:rPr>
          <w:rFonts w:ascii="Times New Roman" w:hAnsi="Times New Roman"/>
          <w:sz w:val="20"/>
          <w:szCs w:val="20"/>
        </w:rPr>
        <w:t>Vaupel</w:t>
      </w:r>
      <w:r w:rsidR="00843DB0">
        <w:rPr>
          <w:rFonts w:ascii="Times New Roman" w:hAnsi="Times New Roman"/>
          <w:sz w:val="20"/>
          <w:szCs w:val="20"/>
        </w:rPr>
        <w:t xml:space="preserve"> JW</w:t>
      </w:r>
      <w:r w:rsidR="00843DB0" w:rsidRPr="00843DB0">
        <w:rPr>
          <w:rFonts w:ascii="Times New Roman" w:hAnsi="Times New Roman"/>
          <w:sz w:val="20"/>
          <w:szCs w:val="20"/>
        </w:rPr>
        <w:t xml:space="preserve"> </w:t>
      </w:r>
      <w:r w:rsidRPr="00CC6956">
        <w:rPr>
          <w:rFonts w:ascii="Times New Roman" w:hAnsi="Times New Roman"/>
          <w:sz w:val="20"/>
          <w:szCs w:val="20"/>
        </w:rPr>
        <w:t>(2016) COMADRE: a global data base of animal dem</w:t>
      </w:r>
      <w:r>
        <w:rPr>
          <w:rFonts w:ascii="Times New Roman" w:hAnsi="Times New Roman"/>
          <w:sz w:val="20"/>
          <w:szCs w:val="20"/>
        </w:rPr>
        <w:t xml:space="preserve">ography. J </w:t>
      </w:r>
      <w:r w:rsidRPr="00C62541">
        <w:rPr>
          <w:rFonts w:ascii="Times New Roman" w:hAnsi="Times New Roman"/>
          <w:sz w:val="20"/>
          <w:szCs w:val="20"/>
        </w:rPr>
        <w:t xml:space="preserve">Anim Ecol 85:371–384 </w:t>
      </w:r>
    </w:p>
    <w:p w14:paraId="6CFE340C" w14:textId="77777777" w:rsidR="00A736FE" w:rsidRPr="00C62541" w:rsidRDefault="00A736FE" w:rsidP="00A736FE">
      <w:pPr>
        <w:spacing w:line="480" w:lineRule="auto"/>
        <w:rPr>
          <w:rFonts w:ascii="Times New Roman" w:hAnsi="Times New Roman"/>
          <w:sz w:val="20"/>
          <w:szCs w:val="20"/>
        </w:rPr>
      </w:pPr>
    </w:p>
    <w:p w14:paraId="6F1FB3DB" w14:textId="77777777" w:rsidR="00A736FE" w:rsidRPr="006B7AAB" w:rsidRDefault="00A736FE" w:rsidP="00A736FE">
      <w:pPr>
        <w:spacing w:line="480" w:lineRule="auto"/>
        <w:rPr>
          <w:rFonts w:ascii="Times New Roman" w:hAnsi="Times New Roman"/>
          <w:sz w:val="20"/>
          <w:szCs w:val="20"/>
        </w:rPr>
      </w:pPr>
      <w:r w:rsidRPr="006B7AAB">
        <w:rPr>
          <w:rFonts w:ascii="Times New Roman" w:hAnsi="Times New Roman"/>
          <w:sz w:val="20"/>
          <w:szCs w:val="20"/>
        </w:rPr>
        <w:t>Sobotka T (2002) Ten years of rapid fertility changes in the Eu</w:t>
      </w:r>
      <w:r>
        <w:rPr>
          <w:rFonts w:ascii="Times New Roman" w:hAnsi="Times New Roman"/>
          <w:sz w:val="20"/>
          <w:szCs w:val="20"/>
        </w:rPr>
        <w:t>ropean post-communist countries:</w:t>
      </w:r>
      <w:r w:rsidRPr="006B7AAB">
        <w:rPr>
          <w:rFonts w:ascii="Times New Roman" w:hAnsi="Times New Roman"/>
          <w:sz w:val="20"/>
          <w:szCs w:val="20"/>
        </w:rPr>
        <w:t xml:space="preserve"> Evidence and interpretation. Population Research Centre Working Paper Serie</w:t>
      </w:r>
      <w:r w:rsidR="001D3BEF">
        <w:rPr>
          <w:rFonts w:ascii="Times New Roman" w:hAnsi="Times New Roman"/>
          <w:sz w:val="20"/>
          <w:szCs w:val="20"/>
        </w:rPr>
        <w:t>s 02-1, University of Groningen</w:t>
      </w:r>
      <w:r w:rsidR="00F665FE">
        <w:rPr>
          <w:rFonts w:ascii="Times New Roman" w:hAnsi="Times New Roman"/>
          <w:sz w:val="20"/>
          <w:szCs w:val="20"/>
        </w:rPr>
        <w:t xml:space="preserve">, Groningen </w:t>
      </w:r>
    </w:p>
    <w:p w14:paraId="2E43D05F" w14:textId="77777777" w:rsidR="00A736FE" w:rsidRDefault="00A736FE" w:rsidP="00A736FE">
      <w:pPr>
        <w:spacing w:line="480" w:lineRule="auto"/>
        <w:rPr>
          <w:rFonts w:ascii="Times New Roman" w:hAnsi="Times New Roman"/>
          <w:sz w:val="20"/>
          <w:szCs w:val="20"/>
        </w:rPr>
      </w:pPr>
    </w:p>
    <w:p w14:paraId="7A9D9111" w14:textId="166553D2" w:rsidR="00A736FE" w:rsidRPr="00623E9E" w:rsidRDefault="00A736FE" w:rsidP="00A736FE">
      <w:pPr>
        <w:spacing w:line="480" w:lineRule="auto"/>
        <w:rPr>
          <w:rFonts w:ascii="Times New Roman" w:hAnsi="Times New Roman"/>
          <w:sz w:val="20"/>
          <w:szCs w:val="20"/>
        </w:rPr>
      </w:pPr>
      <w:r w:rsidRPr="00C62541">
        <w:rPr>
          <w:rFonts w:ascii="Times New Roman" w:hAnsi="Times New Roman"/>
          <w:sz w:val="20"/>
          <w:szCs w:val="20"/>
        </w:rPr>
        <w:t>Stott I, Franco M</w:t>
      </w:r>
      <w:r w:rsidRPr="00A41DA5">
        <w:rPr>
          <w:rFonts w:ascii="Times New Roman" w:hAnsi="Times New Roman"/>
          <w:sz w:val="20"/>
          <w:szCs w:val="20"/>
        </w:rPr>
        <w:t xml:space="preserve">, Carslake D, Townley S, Hodgson D (2010) Boom or bust? A comparative analysis of transient population dynamics </w:t>
      </w:r>
      <w:r w:rsidR="00BE0689">
        <w:rPr>
          <w:rFonts w:ascii="Times New Roman" w:hAnsi="Times New Roman"/>
          <w:sz w:val="20"/>
          <w:szCs w:val="20"/>
        </w:rPr>
        <w:t>in pla</w:t>
      </w:r>
      <w:r w:rsidR="00BE0689" w:rsidRPr="00623E9E">
        <w:rPr>
          <w:rFonts w:ascii="Times New Roman" w:hAnsi="Times New Roman"/>
          <w:sz w:val="20"/>
          <w:szCs w:val="20"/>
        </w:rPr>
        <w:t>nts. J Ecol 98</w:t>
      </w:r>
      <w:r w:rsidRPr="00623E9E">
        <w:rPr>
          <w:rFonts w:ascii="Times New Roman" w:hAnsi="Times New Roman"/>
          <w:sz w:val="20"/>
          <w:szCs w:val="20"/>
        </w:rPr>
        <w:t xml:space="preserve">:302–311 </w:t>
      </w:r>
    </w:p>
    <w:p w14:paraId="09D34119" w14:textId="77777777" w:rsidR="00A736FE" w:rsidRPr="00623E9E" w:rsidRDefault="00A736FE" w:rsidP="00A736FE">
      <w:pPr>
        <w:spacing w:line="480" w:lineRule="auto"/>
        <w:rPr>
          <w:rFonts w:ascii="Times New Roman" w:hAnsi="Times New Roman"/>
          <w:sz w:val="20"/>
          <w:szCs w:val="20"/>
        </w:rPr>
      </w:pPr>
    </w:p>
    <w:p w14:paraId="087522BE" w14:textId="5ACD94FF" w:rsidR="00A736FE" w:rsidRPr="00623E9E" w:rsidRDefault="00A736FE" w:rsidP="00A736FE">
      <w:pPr>
        <w:spacing w:line="480" w:lineRule="auto"/>
        <w:rPr>
          <w:rFonts w:ascii="Times New Roman" w:hAnsi="Times New Roman"/>
          <w:sz w:val="20"/>
          <w:szCs w:val="20"/>
        </w:rPr>
      </w:pPr>
      <w:r w:rsidRPr="00623E9E">
        <w:rPr>
          <w:rFonts w:ascii="Times New Roman" w:hAnsi="Times New Roman"/>
          <w:sz w:val="20"/>
          <w:szCs w:val="20"/>
        </w:rPr>
        <w:t>Stott I, Townley S, Hodgson DJ (2011) A framework for studying transient dynamics of population projecti</w:t>
      </w:r>
      <w:r w:rsidR="00BE0689" w:rsidRPr="00623E9E">
        <w:rPr>
          <w:rFonts w:ascii="Times New Roman" w:hAnsi="Times New Roman"/>
          <w:sz w:val="20"/>
          <w:szCs w:val="20"/>
        </w:rPr>
        <w:t>on matrix models. Ecol Lett 14</w:t>
      </w:r>
      <w:r w:rsidRPr="00623E9E">
        <w:rPr>
          <w:rFonts w:ascii="Times New Roman" w:hAnsi="Times New Roman"/>
          <w:sz w:val="20"/>
          <w:szCs w:val="20"/>
        </w:rPr>
        <w:t xml:space="preserve">:959–970 </w:t>
      </w:r>
    </w:p>
    <w:p w14:paraId="10C29184" w14:textId="77777777" w:rsidR="00A736FE" w:rsidRPr="00623E9E" w:rsidRDefault="00A736FE" w:rsidP="00A736FE">
      <w:pPr>
        <w:spacing w:line="480" w:lineRule="auto"/>
        <w:rPr>
          <w:rFonts w:ascii="Times New Roman" w:hAnsi="Times New Roman"/>
          <w:sz w:val="20"/>
          <w:szCs w:val="20"/>
        </w:rPr>
      </w:pPr>
    </w:p>
    <w:p w14:paraId="13553B2A" w14:textId="77777777" w:rsidR="00C7052B" w:rsidRPr="00623E9E" w:rsidRDefault="00A736FE" w:rsidP="00A736FE">
      <w:pPr>
        <w:spacing w:line="480" w:lineRule="auto"/>
        <w:rPr>
          <w:rFonts w:ascii="Times New Roman" w:hAnsi="Times New Roman"/>
          <w:sz w:val="20"/>
          <w:szCs w:val="20"/>
        </w:rPr>
      </w:pPr>
      <w:r w:rsidRPr="00623E9E">
        <w:rPr>
          <w:rFonts w:ascii="Times New Roman" w:hAnsi="Times New Roman"/>
          <w:sz w:val="20"/>
          <w:szCs w:val="20"/>
        </w:rPr>
        <w:t xml:space="preserve">Tenhumberg B, Tyre AJ, Rebarber R (2009) Model complexity affects transient population dynamics following a dispersal event: a case study with pea aphids. Ecology 90:1878–1890 </w:t>
      </w:r>
    </w:p>
    <w:p w14:paraId="47CB754D" w14:textId="77777777" w:rsidR="00A736FE" w:rsidRPr="00623E9E" w:rsidRDefault="00A736FE" w:rsidP="00A736FE">
      <w:pPr>
        <w:spacing w:line="480" w:lineRule="auto"/>
        <w:rPr>
          <w:rFonts w:ascii="Times New Roman" w:hAnsi="Times New Roman"/>
          <w:sz w:val="20"/>
          <w:szCs w:val="20"/>
        </w:rPr>
      </w:pPr>
    </w:p>
    <w:p w14:paraId="635FE9E8" w14:textId="2C9E3A15" w:rsidR="000B37EF" w:rsidRPr="00A41DA5" w:rsidRDefault="000B37EF" w:rsidP="000B37EF">
      <w:pPr>
        <w:spacing w:line="480" w:lineRule="auto"/>
        <w:rPr>
          <w:rFonts w:ascii="Times New Roman" w:hAnsi="Times New Roman"/>
          <w:sz w:val="20"/>
          <w:szCs w:val="20"/>
        </w:rPr>
      </w:pPr>
      <w:r w:rsidRPr="00623E9E">
        <w:rPr>
          <w:rFonts w:ascii="Times New Roman" w:hAnsi="Times New Roman"/>
          <w:sz w:val="20"/>
          <w:szCs w:val="20"/>
        </w:rPr>
        <w:t xml:space="preserve">Townley S, Ezard THG (2013) A </w:t>
      </w:r>
      <w:r w:rsidRPr="00623E9E">
        <w:rPr>
          <w:rFonts w:ascii="Times New Roman" w:hAnsi="Times New Roman"/>
          <w:b/>
          <w:sz w:val="20"/>
          <w:szCs w:val="20"/>
        </w:rPr>
        <w:t>G</w:t>
      </w:r>
      <w:r w:rsidRPr="00623E9E">
        <w:rPr>
          <w:rFonts w:ascii="Times New Roman" w:hAnsi="Times New Roman"/>
          <w:sz w:val="20"/>
          <w:szCs w:val="20"/>
        </w:rPr>
        <w:t xml:space="preserve"> matrix</w:t>
      </w:r>
      <w:r w:rsidRPr="00637630">
        <w:rPr>
          <w:rFonts w:ascii="Times New Roman" w:hAnsi="Times New Roman"/>
          <w:sz w:val="20"/>
          <w:szCs w:val="20"/>
        </w:rPr>
        <w:t xml:space="preserve"> analogue to capture the cumulative effects of nongenetic inheritance</w:t>
      </w:r>
      <w:r w:rsidR="00FE7540">
        <w:rPr>
          <w:rFonts w:ascii="Times New Roman" w:hAnsi="Times New Roman"/>
          <w:sz w:val="20"/>
          <w:szCs w:val="20"/>
        </w:rPr>
        <w:t>. J Evol Biol 26:</w:t>
      </w:r>
      <w:r w:rsidR="00961A77">
        <w:rPr>
          <w:rFonts w:ascii="Times New Roman" w:hAnsi="Times New Roman"/>
          <w:sz w:val="20"/>
          <w:szCs w:val="20"/>
        </w:rPr>
        <w:t xml:space="preserve">1234-1243 </w:t>
      </w:r>
    </w:p>
    <w:p w14:paraId="719D4870" w14:textId="77777777" w:rsidR="000B37EF" w:rsidRDefault="000B37EF" w:rsidP="00A736FE">
      <w:pPr>
        <w:spacing w:line="480" w:lineRule="auto"/>
        <w:rPr>
          <w:rFonts w:ascii="Times New Roman" w:hAnsi="Times New Roman"/>
          <w:sz w:val="20"/>
          <w:szCs w:val="20"/>
        </w:rPr>
      </w:pPr>
    </w:p>
    <w:p w14:paraId="39F0E4C1" w14:textId="77777777" w:rsidR="000B37EF" w:rsidRDefault="000B37EF" w:rsidP="000B37EF">
      <w:pPr>
        <w:spacing w:line="480" w:lineRule="auto"/>
        <w:rPr>
          <w:rFonts w:ascii="Times New Roman" w:hAnsi="Times New Roman"/>
          <w:sz w:val="20"/>
          <w:szCs w:val="20"/>
        </w:rPr>
      </w:pPr>
      <w:r w:rsidRPr="00A41DA5">
        <w:rPr>
          <w:rFonts w:ascii="Times New Roman" w:hAnsi="Times New Roman"/>
          <w:sz w:val="20"/>
          <w:szCs w:val="20"/>
        </w:rPr>
        <w:t>Townley S, Hodgso</w:t>
      </w:r>
      <w:r>
        <w:rPr>
          <w:rFonts w:ascii="Times New Roman" w:hAnsi="Times New Roman"/>
          <w:sz w:val="20"/>
          <w:szCs w:val="20"/>
        </w:rPr>
        <w:t>n DJ (2008) Erratum et addendum</w:t>
      </w:r>
      <w:r w:rsidRPr="00A41DA5">
        <w:rPr>
          <w:rFonts w:ascii="Times New Roman" w:hAnsi="Times New Roman"/>
          <w:sz w:val="20"/>
          <w:szCs w:val="20"/>
        </w:rPr>
        <w:t>: transient amplification and attenuation in stage-structured population dyn</w:t>
      </w:r>
      <w:r>
        <w:rPr>
          <w:rFonts w:ascii="Times New Roman" w:hAnsi="Times New Roman"/>
          <w:sz w:val="20"/>
          <w:szCs w:val="20"/>
        </w:rPr>
        <w:t>amics. J Appl Ecol 45:1836–1839</w:t>
      </w:r>
      <w:r w:rsidRPr="00A41DA5">
        <w:rPr>
          <w:rFonts w:ascii="Times New Roman" w:hAnsi="Times New Roman"/>
          <w:sz w:val="20"/>
          <w:szCs w:val="20"/>
        </w:rPr>
        <w:t xml:space="preserve"> </w:t>
      </w:r>
    </w:p>
    <w:p w14:paraId="69848186" w14:textId="77777777" w:rsidR="000B37EF" w:rsidRDefault="000B37EF" w:rsidP="00A736FE">
      <w:pPr>
        <w:spacing w:line="480" w:lineRule="auto"/>
        <w:rPr>
          <w:rFonts w:ascii="Times New Roman" w:hAnsi="Times New Roman"/>
          <w:sz w:val="20"/>
          <w:szCs w:val="20"/>
        </w:rPr>
      </w:pPr>
    </w:p>
    <w:p w14:paraId="1B69E17A" w14:textId="77777777" w:rsidR="00A736FE" w:rsidRDefault="00A736FE" w:rsidP="00A736FE">
      <w:pPr>
        <w:spacing w:line="480" w:lineRule="auto"/>
        <w:rPr>
          <w:rFonts w:ascii="Times New Roman" w:hAnsi="Times New Roman"/>
          <w:sz w:val="20"/>
          <w:szCs w:val="20"/>
        </w:rPr>
      </w:pPr>
      <w:r>
        <w:rPr>
          <w:rFonts w:ascii="Times New Roman" w:hAnsi="Times New Roman"/>
          <w:sz w:val="20"/>
          <w:szCs w:val="20"/>
        </w:rPr>
        <w:lastRenderedPageBreak/>
        <w:t xml:space="preserve">Townley S, </w:t>
      </w:r>
      <w:r w:rsidRPr="00531411">
        <w:rPr>
          <w:rFonts w:ascii="Times New Roman" w:hAnsi="Times New Roman"/>
          <w:sz w:val="20"/>
          <w:szCs w:val="20"/>
        </w:rPr>
        <w:t>C</w:t>
      </w:r>
      <w:r>
        <w:rPr>
          <w:rFonts w:ascii="Times New Roman" w:hAnsi="Times New Roman"/>
          <w:sz w:val="20"/>
          <w:szCs w:val="20"/>
        </w:rPr>
        <w:t xml:space="preserve">arslake D, </w:t>
      </w:r>
      <w:r w:rsidRPr="00531411">
        <w:rPr>
          <w:rFonts w:ascii="Times New Roman" w:hAnsi="Times New Roman"/>
          <w:sz w:val="20"/>
          <w:szCs w:val="20"/>
        </w:rPr>
        <w:t>Kellie-Smith</w:t>
      </w:r>
      <w:r w:rsidRPr="00A41DA5">
        <w:rPr>
          <w:rFonts w:ascii="Times New Roman" w:hAnsi="Times New Roman"/>
          <w:sz w:val="20"/>
          <w:szCs w:val="20"/>
        </w:rPr>
        <w:t xml:space="preserve"> O</w:t>
      </w:r>
      <w:r>
        <w:rPr>
          <w:rFonts w:ascii="Times New Roman" w:hAnsi="Times New Roman"/>
          <w:sz w:val="20"/>
          <w:szCs w:val="20"/>
        </w:rPr>
        <w:t xml:space="preserve">, McCarthy D, Hodgson DJ (2007) </w:t>
      </w:r>
      <w:r w:rsidRPr="00A41DA5">
        <w:rPr>
          <w:rFonts w:ascii="Times New Roman" w:hAnsi="Times New Roman"/>
          <w:sz w:val="20"/>
          <w:szCs w:val="20"/>
        </w:rPr>
        <w:t>Predicting transient amplification in perturbed ecological sy</w:t>
      </w:r>
      <w:r>
        <w:rPr>
          <w:rFonts w:ascii="Times New Roman" w:hAnsi="Times New Roman"/>
          <w:sz w:val="20"/>
          <w:szCs w:val="20"/>
        </w:rPr>
        <w:t>stems. J Appl Ecol 44:1243–1251</w:t>
      </w:r>
    </w:p>
    <w:p w14:paraId="47FBB918" w14:textId="77777777" w:rsidR="00A736FE" w:rsidRDefault="00A736FE" w:rsidP="00A736FE">
      <w:pPr>
        <w:spacing w:line="480" w:lineRule="auto"/>
        <w:rPr>
          <w:rFonts w:ascii="Times New Roman" w:hAnsi="Times New Roman"/>
          <w:sz w:val="20"/>
          <w:szCs w:val="20"/>
        </w:rPr>
      </w:pPr>
    </w:p>
    <w:p w14:paraId="1EF8BB44" w14:textId="77777777" w:rsidR="00A736FE" w:rsidRPr="00A41DA5" w:rsidRDefault="00A736FE" w:rsidP="00A736FE">
      <w:pPr>
        <w:spacing w:line="480" w:lineRule="auto"/>
        <w:rPr>
          <w:rFonts w:ascii="Times New Roman" w:hAnsi="Times New Roman"/>
          <w:sz w:val="20"/>
          <w:szCs w:val="20"/>
        </w:rPr>
      </w:pPr>
      <w:r w:rsidRPr="00A41DA5">
        <w:rPr>
          <w:rFonts w:ascii="Times New Roman" w:hAnsi="Times New Roman"/>
          <w:sz w:val="20"/>
          <w:szCs w:val="20"/>
        </w:rPr>
        <w:t>Trefethen LN (1992) Pseudospectra of matrices. In: Griffiths</w:t>
      </w:r>
      <w:r w:rsidR="0043250A">
        <w:rPr>
          <w:rFonts w:ascii="Times New Roman" w:hAnsi="Times New Roman"/>
          <w:sz w:val="20"/>
          <w:szCs w:val="20"/>
        </w:rPr>
        <w:t xml:space="preserve"> DF, Watson </w:t>
      </w:r>
      <w:r w:rsidR="0043250A" w:rsidRPr="001353CF">
        <w:rPr>
          <w:rFonts w:ascii="Times New Roman" w:hAnsi="Times New Roman"/>
          <w:sz w:val="20"/>
          <w:szCs w:val="20"/>
        </w:rPr>
        <w:t>GA (eds)</w:t>
      </w:r>
      <w:r w:rsidR="0043250A">
        <w:rPr>
          <w:rFonts w:ascii="Times New Roman" w:hAnsi="Times New Roman"/>
          <w:sz w:val="20"/>
          <w:szCs w:val="20"/>
        </w:rPr>
        <w:t xml:space="preserve"> Numerical a</w:t>
      </w:r>
      <w:r w:rsidRPr="00A41DA5">
        <w:rPr>
          <w:rFonts w:ascii="Times New Roman" w:hAnsi="Times New Roman"/>
          <w:sz w:val="20"/>
          <w:szCs w:val="20"/>
        </w:rPr>
        <w:t>nalysis 1991. Longman Scientific and Technical, Harlow, pp</w:t>
      </w:r>
      <w:r>
        <w:rPr>
          <w:rFonts w:ascii="Times New Roman" w:hAnsi="Times New Roman"/>
          <w:sz w:val="20"/>
          <w:szCs w:val="20"/>
        </w:rPr>
        <w:t xml:space="preserve"> 234-266</w:t>
      </w:r>
    </w:p>
    <w:p w14:paraId="4734E89C" w14:textId="77777777" w:rsidR="00A736FE" w:rsidRDefault="00A736FE" w:rsidP="00A736FE">
      <w:pPr>
        <w:spacing w:line="480" w:lineRule="auto"/>
        <w:rPr>
          <w:rFonts w:ascii="Times New Roman" w:hAnsi="Times New Roman"/>
          <w:sz w:val="20"/>
          <w:szCs w:val="20"/>
        </w:rPr>
      </w:pPr>
    </w:p>
    <w:p w14:paraId="53CC7865" w14:textId="77777777" w:rsidR="00A736FE" w:rsidRPr="00A41DA5" w:rsidRDefault="00A736FE" w:rsidP="00A736FE">
      <w:pPr>
        <w:spacing w:line="480" w:lineRule="auto"/>
        <w:rPr>
          <w:rFonts w:ascii="Times New Roman" w:hAnsi="Times New Roman"/>
          <w:sz w:val="20"/>
          <w:szCs w:val="20"/>
        </w:rPr>
      </w:pPr>
      <w:r w:rsidRPr="00A41DA5">
        <w:rPr>
          <w:rFonts w:ascii="Times New Roman" w:hAnsi="Times New Roman"/>
          <w:sz w:val="20"/>
          <w:szCs w:val="20"/>
        </w:rPr>
        <w:t>Trefethen LN (1997) Pseudospectra of linea</w:t>
      </w:r>
      <w:r>
        <w:rPr>
          <w:rFonts w:ascii="Times New Roman" w:hAnsi="Times New Roman"/>
          <w:sz w:val="20"/>
          <w:szCs w:val="20"/>
        </w:rPr>
        <w:t xml:space="preserve">r </w:t>
      </w:r>
      <w:r w:rsidR="00957AFA">
        <w:rPr>
          <w:rFonts w:ascii="Times New Roman" w:hAnsi="Times New Roman"/>
          <w:sz w:val="20"/>
          <w:szCs w:val="20"/>
        </w:rPr>
        <w:t>operators. SIAM</w:t>
      </w:r>
      <w:r>
        <w:rPr>
          <w:rFonts w:ascii="Times New Roman" w:hAnsi="Times New Roman"/>
          <w:sz w:val="20"/>
          <w:szCs w:val="20"/>
        </w:rPr>
        <w:t xml:space="preserve"> Rev</w:t>
      </w:r>
      <w:r w:rsidR="00957AFA">
        <w:rPr>
          <w:rFonts w:ascii="Times New Roman" w:hAnsi="Times New Roman"/>
          <w:sz w:val="20"/>
          <w:szCs w:val="20"/>
        </w:rPr>
        <w:t>iew</w:t>
      </w:r>
      <w:r>
        <w:rPr>
          <w:rFonts w:ascii="Times New Roman" w:hAnsi="Times New Roman"/>
          <w:sz w:val="20"/>
          <w:szCs w:val="20"/>
        </w:rPr>
        <w:t xml:space="preserve"> 39:383-406</w:t>
      </w:r>
      <w:r w:rsidRPr="00A41DA5">
        <w:rPr>
          <w:rFonts w:ascii="Times New Roman" w:hAnsi="Times New Roman"/>
          <w:sz w:val="20"/>
          <w:szCs w:val="20"/>
        </w:rPr>
        <w:t xml:space="preserve"> </w:t>
      </w:r>
    </w:p>
    <w:p w14:paraId="66339EB8" w14:textId="77777777" w:rsidR="00A736FE" w:rsidRPr="00A41DA5" w:rsidRDefault="00A736FE" w:rsidP="00A736FE">
      <w:pPr>
        <w:spacing w:line="480" w:lineRule="auto"/>
        <w:rPr>
          <w:rFonts w:ascii="Times New Roman" w:hAnsi="Times New Roman"/>
          <w:sz w:val="20"/>
          <w:szCs w:val="20"/>
        </w:rPr>
      </w:pPr>
    </w:p>
    <w:p w14:paraId="655CE57D" w14:textId="720FF746" w:rsidR="00A736FE" w:rsidRPr="00255C96" w:rsidRDefault="00A736FE" w:rsidP="00A736FE">
      <w:pPr>
        <w:spacing w:line="480" w:lineRule="auto"/>
        <w:rPr>
          <w:rFonts w:ascii="Times New Roman" w:hAnsi="Times New Roman"/>
          <w:sz w:val="20"/>
          <w:szCs w:val="20"/>
        </w:rPr>
      </w:pPr>
      <w:r w:rsidRPr="00A41DA5">
        <w:rPr>
          <w:rFonts w:ascii="Times New Roman" w:hAnsi="Times New Roman"/>
          <w:sz w:val="20"/>
          <w:szCs w:val="20"/>
        </w:rPr>
        <w:t>Trefethen L</w:t>
      </w:r>
      <w:r w:rsidR="00E0278D">
        <w:rPr>
          <w:rFonts w:ascii="Times New Roman" w:hAnsi="Times New Roman"/>
          <w:sz w:val="20"/>
          <w:szCs w:val="20"/>
        </w:rPr>
        <w:t>N, Embree M (2005) Sp</w:t>
      </w:r>
      <w:r w:rsidR="00E0278D" w:rsidRPr="00255C96">
        <w:rPr>
          <w:rFonts w:ascii="Times New Roman" w:hAnsi="Times New Roman"/>
          <w:sz w:val="20"/>
          <w:szCs w:val="20"/>
        </w:rPr>
        <w:t>ectra and p</w:t>
      </w:r>
      <w:r w:rsidRPr="00255C96">
        <w:rPr>
          <w:rFonts w:ascii="Times New Roman" w:hAnsi="Times New Roman"/>
          <w:sz w:val="20"/>
          <w:szCs w:val="20"/>
        </w:rPr>
        <w:t xml:space="preserve">seudospectra: The </w:t>
      </w:r>
      <w:r w:rsidR="00E0278D" w:rsidRPr="00255C96">
        <w:rPr>
          <w:rFonts w:ascii="Times New Roman" w:hAnsi="Times New Roman"/>
          <w:sz w:val="20"/>
          <w:szCs w:val="20"/>
        </w:rPr>
        <w:t>b</w:t>
      </w:r>
      <w:r w:rsidRPr="00255C96">
        <w:rPr>
          <w:rFonts w:ascii="Times New Roman" w:hAnsi="Times New Roman"/>
          <w:sz w:val="20"/>
          <w:szCs w:val="20"/>
        </w:rPr>
        <w:t xml:space="preserve">ehavior of </w:t>
      </w:r>
      <w:r w:rsidR="00E0278D" w:rsidRPr="00255C96">
        <w:rPr>
          <w:rFonts w:ascii="Times New Roman" w:hAnsi="Times New Roman"/>
          <w:sz w:val="20"/>
          <w:szCs w:val="20"/>
        </w:rPr>
        <w:t>n</w:t>
      </w:r>
      <w:r w:rsidRPr="00255C96">
        <w:rPr>
          <w:rFonts w:ascii="Times New Roman" w:hAnsi="Times New Roman"/>
          <w:sz w:val="20"/>
          <w:szCs w:val="20"/>
        </w:rPr>
        <w:t xml:space="preserve">onnormal </w:t>
      </w:r>
      <w:r w:rsidR="00E0278D" w:rsidRPr="00255C96">
        <w:rPr>
          <w:rFonts w:ascii="Times New Roman" w:hAnsi="Times New Roman"/>
          <w:sz w:val="20"/>
          <w:szCs w:val="20"/>
        </w:rPr>
        <w:t>m</w:t>
      </w:r>
      <w:r w:rsidRPr="00255C96">
        <w:rPr>
          <w:rFonts w:ascii="Times New Roman" w:hAnsi="Times New Roman"/>
          <w:sz w:val="20"/>
          <w:szCs w:val="20"/>
        </w:rPr>
        <w:t xml:space="preserve">atrices and </w:t>
      </w:r>
      <w:r w:rsidR="00E0278D" w:rsidRPr="00255C96">
        <w:rPr>
          <w:rFonts w:ascii="Times New Roman" w:hAnsi="Times New Roman"/>
          <w:sz w:val="20"/>
          <w:szCs w:val="20"/>
        </w:rPr>
        <w:t>o</w:t>
      </w:r>
      <w:r w:rsidRPr="00255C96">
        <w:rPr>
          <w:rFonts w:ascii="Times New Roman" w:hAnsi="Times New Roman"/>
          <w:sz w:val="20"/>
          <w:szCs w:val="20"/>
        </w:rPr>
        <w:t>perators. Princeton University Press, New Jersey</w:t>
      </w:r>
    </w:p>
    <w:p w14:paraId="37DCD4C9" w14:textId="77777777" w:rsidR="00A736FE" w:rsidRPr="00255C96" w:rsidRDefault="00A736FE" w:rsidP="00A736FE">
      <w:pPr>
        <w:spacing w:line="480" w:lineRule="auto"/>
        <w:rPr>
          <w:rFonts w:ascii="Times New Roman" w:hAnsi="Times New Roman"/>
          <w:sz w:val="20"/>
          <w:szCs w:val="20"/>
        </w:rPr>
      </w:pPr>
    </w:p>
    <w:p w14:paraId="2DDBFDD6" w14:textId="207C55DE" w:rsidR="00A736FE" w:rsidRPr="00A41DA5" w:rsidRDefault="00A736FE" w:rsidP="00A736FE">
      <w:pPr>
        <w:spacing w:line="480" w:lineRule="auto"/>
        <w:rPr>
          <w:rFonts w:ascii="Times New Roman" w:hAnsi="Times New Roman"/>
          <w:sz w:val="20"/>
          <w:szCs w:val="20"/>
        </w:rPr>
      </w:pPr>
      <w:r w:rsidRPr="00255C96">
        <w:rPr>
          <w:rFonts w:ascii="Times New Roman" w:hAnsi="Times New Roman"/>
          <w:sz w:val="20"/>
          <w:szCs w:val="20"/>
        </w:rPr>
        <w:t>Trefethen LN, Trefethen AE, Reddy SC, Driscoll TA (1993) Hydrodynamic Stability Without Eigenva</w:t>
      </w:r>
      <w:r w:rsidR="00E0278D" w:rsidRPr="00255C96">
        <w:rPr>
          <w:rFonts w:ascii="Times New Roman" w:hAnsi="Times New Roman"/>
          <w:sz w:val="20"/>
          <w:szCs w:val="20"/>
        </w:rPr>
        <w:t>lues. Science 261</w:t>
      </w:r>
      <w:r w:rsidRPr="00255C96">
        <w:rPr>
          <w:rFonts w:ascii="Times New Roman" w:hAnsi="Times New Roman"/>
          <w:sz w:val="20"/>
          <w:szCs w:val="20"/>
        </w:rPr>
        <w:t>:578–584</w:t>
      </w:r>
      <w:r w:rsidRPr="00A41DA5">
        <w:rPr>
          <w:rFonts w:ascii="Times New Roman" w:hAnsi="Times New Roman"/>
          <w:sz w:val="20"/>
          <w:szCs w:val="20"/>
        </w:rPr>
        <w:t xml:space="preserve"> </w:t>
      </w:r>
    </w:p>
    <w:p w14:paraId="6BA5B3E9" w14:textId="77777777" w:rsidR="00A736FE" w:rsidRPr="00A41DA5" w:rsidRDefault="00A736FE" w:rsidP="00A736FE">
      <w:pPr>
        <w:spacing w:line="480" w:lineRule="auto"/>
        <w:rPr>
          <w:rFonts w:ascii="Times New Roman" w:hAnsi="Times New Roman"/>
          <w:sz w:val="20"/>
          <w:szCs w:val="20"/>
        </w:rPr>
      </w:pPr>
    </w:p>
    <w:p w14:paraId="4EF3E230" w14:textId="77777777" w:rsidR="00A736FE" w:rsidRPr="00A41DA5" w:rsidRDefault="00A736FE" w:rsidP="00A736FE">
      <w:pPr>
        <w:spacing w:line="480" w:lineRule="auto"/>
        <w:rPr>
          <w:rFonts w:ascii="Times New Roman" w:hAnsi="Times New Roman"/>
          <w:sz w:val="20"/>
          <w:szCs w:val="20"/>
        </w:rPr>
      </w:pPr>
      <w:r w:rsidRPr="00A41DA5">
        <w:rPr>
          <w:rFonts w:ascii="Times New Roman" w:hAnsi="Times New Roman"/>
          <w:sz w:val="20"/>
          <w:szCs w:val="20"/>
        </w:rPr>
        <w:t>Tremblay RL, Raventos J, Ackerman JD (2015) When stable-stage equilibrium is unlikely: integrating</w:t>
      </w:r>
      <w:r>
        <w:rPr>
          <w:rFonts w:ascii="Times New Roman" w:hAnsi="Times New Roman"/>
          <w:sz w:val="20"/>
          <w:szCs w:val="20"/>
        </w:rPr>
        <w:t xml:space="preserve"> </w:t>
      </w:r>
      <w:r w:rsidRPr="00A41DA5">
        <w:rPr>
          <w:rFonts w:ascii="Times New Roman" w:hAnsi="Times New Roman"/>
          <w:sz w:val="20"/>
          <w:szCs w:val="20"/>
        </w:rPr>
        <w:t>transient population dynamics improves asymptot</w:t>
      </w:r>
      <w:r>
        <w:rPr>
          <w:rFonts w:ascii="Times New Roman" w:hAnsi="Times New Roman"/>
          <w:sz w:val="20"/>
          <w:szCs w:val="20"/>
        </w:rPr>
        <w:t>ic methods. Ann Bot</w:t>
      </w:r>
      <w:r w:rsidR="0085768A">
        <w:rPr>
          <w:rFonts w:ascii="Times New Roman" w:hAnsi="Times New Roman"/>
          <w:sz w:val="20"/>
          <w:szCs w:val="20"/>
        </w:rPr>
        <w:t>-London</w:t>
      </w:r>
      <w:r>
        <w:rPr>
          <w:rFonts w:ascii="Times New Roman" w:hAnsi="Times New Roman"/>
          <w:sz w:val="20"/>
          <w:szCs w:val="20"/>
        </w:rPr>
        <w:t xml:space="preserve"> 116:381–390</w:t>
      </w:r>
      <w:r w:rsidRPr="00A41DA5">
        <w:rPr>
          <w:rFonts w:ascii="Times New Roman" w:hAnsi="Times New Roman"/>
          <w:sz w:val="20"/>
          <w:szCs w:val="20"/>
        </w:rPr>
        <w:t xml:space="preserve"> </w:t>
      </w:r>
    </w:p>
    <w:p w14:paraId="7D391EAE" w14:textId="77777777" w:rsidR="00A736FE" w:rsidRPr="00A41DA5" w:rsidRDefault="00A736FE" w:rsidP="00A736FE">
      <w:pPr>
        <w:spacing w:line="480" w:lineRule="auto"/>
        <w:rPr>
          <w:rFonts w:ascii="Times New Roman" w:hAnsi="Times New Roman"/>
          <w:sz w:val="20"/>
          <w:szCs w:val="20"/>
        </w:rPr>
      </w:pPr>
    </w:p>
    <w:p w14:paraId="135AF1D9" w14:textId="77777777" w:rsidR="00A736FE" w:rsidRPr="003C1601" w:rsidRDefault="00A736FE" w:rsidP="00A736FE">
      <w:pPr>
        <w:spacing w:line="480" w:lineRule="auto"/>
        <w:rPr>
          <w:rFonts w:ascii="Times New Roman" w:hAnsi="Times New Roman"/>
          <w:sz w:val="20"/>
          <w:szCs w:val="20"/>
        </w:rPr>
      </w:pPr>
      <w:r w:rsidRPr="003C1601">
        <w:rPr>
          <w:rFonts w:ascii="Times New Roman" w:hAnsi="Times New Roman"/>
          <w:sz w:val="20"/>
          <w:szCs w:val="20"/>
        </w:rPr>
        <w:t>United Nations, Department of Economic and Social Affa</w:t>
      </w:r>
      <w:r>
        <w:rPr>
          <w:rFonts w:ascii="Times New Roman" w:hAnsi="Times New Roman"/>
          <w:sz w:val="20"/>
          <w:szCs w:val="20"/>
        </w:rPr>
        <w:t>irs, Population Division (2015)</w:t>
      </w:r>
      <w:r w:rsidRPr="003C1601">
        <w:rPr>
          <w:rFonts w:ascii="Times New Roman" w:hAnsi="Times New Roman"/>
          <w:sz w:val="20"/>
          <w:szCs w:val="20"/>
        </w:rPr>
        <w:t xml:space="preserve"> Population 2030: Demographic challenges and opportunities for sustainable developm</w:t>
      </w:r>
      <w:r>
        <w:rPr>
          <w:rFonts w:ascii="Times New Roman" w:hAnsi="Times New Roman"/>
          <w:sz w:val="20"/>
          <w:szCs w:val="20"/>
        </w:rPr>
        <w:t>ent planning (ST/ESA/SER.A/389)</w:t>
      </w:r>
    </w:p>
    <w:p w14:paraId="22FCD665" w14:textId="77777777" w:rsidR="00A736FE" w:rsidRDefault="00A736FE" w:rsidP="00A736FE">
      <w:pPr>
        <w:spacing w:line="480" w:lineRule="auto"/>
      </w:pPr>
    </w:p>
    <w:p w14:paraId="58B99BE2" w14:textId="77777777" w:rsidR="00A736FE" w:rsidRPr="0016287D" w:rsidRDefault="00A736FE" w:rsidP="00A736FE">
      <w:pPr>
        <w:spacing w:line="480" w:lineRule="auto"/>
        <w:rPr>
          <w:rFonts w:ascii="Times New Roman" w:hAnsi="Times New Roman"/>
          <w:sz w:val="20"/>
          <w:szCs w:val="20"/>
        </w:rPr>
      </w:pPr>
      <w:r>
        <w:rPr>
          <w:rFonts w:ascii="Times New Roman" w:hAnsi="Times New Roman"/>
          <w:sz w:val="20"/>
          <w:szCs w:val="20"/>
        </w:rPr>
        <w:t xml:space="preserve">van Daalen S, </w:t>
      </w:r>
      <w:r w:rsidRPr="00676C3B">
        <w:rPr>
          <w:rFonts w:ascii="Times New Roman" w:hAnsi="Times New Roman"/>
          <w:sz w:val="20"/>
          <w:szCs w:val="20"/>
        </w:rPr>
        <w:t xml:space="preserve">Caswell H (2015) Lifetime reproduction and the second demographic transition: Stochasticity and </w:t>
      </w:r>
      <w:r w:rsidRPr="0016287D">
        <w:rPr>
          <w:rFonts w:ascii="Times New Roman" w:hAnsi="Times New Roman"/>
          <w:sz w:val="20"/>
          <w:szCs w:val="20"/>
        </w:rPr>
        <w:t>individual variation. Demogr</w:t>
      </w:r>
      <w:r w:rsidR="00685E17">
        <w:rPr>
          <w:rFonts w:ascii="Times New Roman" w:hAnsi="Times New Roman"/>
          <w:sz w:val="20"/>
          <w:szCs w:val="20"/>
        </w:rPr>
        <w:t>aphic</w:t>
      </w:r>
      <w:r w:rsidRPr="0016287D">
        <w:rPr>
          <w:rFonts w:ascii="Times New Roman" w:hAnsi="Times New Roman"/>
          <w:sz w:val="20"/>
          <w:szCs w:val="20"/>
        </w:rPr>
        <w:t xml:space="preserve"> Res</w:t>
      </w:r>
      <w:r w:rsidR="00685E17">
        <w:rPr>
          <w:rFonts w:ascii="Times New Roman" w:hAnsi="Times New Roman"/>
          <w:sz w:val="20"/>
          <w:szCs w:val="20"/>
        </w:rPr>
        <w:t>earch</w:t>
      </w:r>
      <w:r w:rsidRPr="0016287D">
        <w:rPr>
          <w:rFonts w:ascii="Times New Roman" w:hAnsi="Times New Roman"/>
          <w:sz w:val="20"/>
          <w:szCs w:val="20"/>
        </w:rPr>
        <w:t xml:space="preserve"> 33:561–588 </w:t>
      </w:r>
    </w:p>
    <w:p w14:paraId="639E19F8" w14:textId="77777777" w:rsidR="00A736FE" w:rsidRPr="0016287D" w:rsidRDefault="00A736FE" w:rsidP="00A736FE">
      <w:pPr>
        <w:spacing w:line="480" w:lineRule="auto"/>
        <w:rPr>
          <w:rFonts w:ascii="Times New Roman" w:hAnsi="Times New Roman"/>
          <w:sz w:val="20"/>
          <w:szCs w:val="20"/>
        </w:rPr>
      </w:pPr>
    </w:p>
    <w:p w14:paraId="43573C60" w14:textId="6F402784" w:rsidR="00A736FE" w:rsidRPr="0016287D" w:rsidRDefault="00A736FE" w:rsidP="00A736FE">
      <w:pPr>
        <w:spacing w:line="480" w:lineRule="auto"/>
        <w:rPr>
          <w:rFonts w:ascii="Times New Roman" w:hAnsi="Times New Roman"/>
          <w:sz w:val="20"/>
          <w:szCs w:val="20"/>
        </w:rPr>
      </w:pPr>
      <w:r w:rsidRPr="0016287D">
        <w:rPr>
          <w:rFonts w:ascii="Times New Roman" w:hAnsi="Times New Roman"/>
          <w:sz w:val="20"/>
          <w:szCs w:val="20"/>
        </w:rPr>
        <w:t>Willekens F (2016) Migrati</w:t>
      </w:r>
      <w:r w:rsidRPr="00255C96">
        <w:rPr>
          <w:rFonts w:ascii="Times New Roman" w:hAnsi="Times New Roman"/>
          <w:sz w:val="20"/>
          <w:szCs w:val="20"/>
        </w:rPr>
        <w:t xml:space="preserve">on </w:t>
      </w:r>
      <w:r w:rsidR="00E0278D" w:rsidRPr="00255C96">
        <w:rPr>
          <w:rFonts w:ascii="Times New Roman" w:hAnsi="Times New Roman"/>
          <w:sz w:val="20"/>
          <w:szCs w:val="20"/>
        </w:rPr>
        <w:t>f</w:t>
      </w:r>
      <w:r w:rsidRPr="00255C96">
        <w:rPr>
          <w:rFonts w:ascii="Times New Roman" w:hAnsi="Times New Roman"/>
          <w:sz w:val="20"/>
          <w:szCs w:val="20"/>
        </w:rPr>
        <w:t xml:space="preserve">lows: Measurement, </w:t>
      </w:r>
      <w:r w:rsidR="00E0278D" w:rsidRPr="00255C96">
        <w:rPr>
          <w:rFonts w:ascii="Times New Roman" w:hAnsi="Times New Roman"/>
          <w:sz w:val="20"/>
          <w:szCs w:val="20"/>
        </w:rPr>
        <w:t>a</w:t>
      </w:r>
      <w:r w:rsidRPr="00255C96">
        <w:rPr>
          <w:rFonts w:ascii="Times New Roman" w:hAnsi="Times New Roman"/>
          <w:sz w:val="20"/>
          <w:szCs w:val="20"/>
        </w:rPr>
        <w:t xml:space="preserve">nalysis and </w:t>
      </w:r>
      <w:r w:rsidR="00E0278D" w:rsidRPr="00255C96">
        <w:rPr>
          <w:rFonts w:ascii="Times New Roman" w:hAnsi="Times New Roman"/>
          <w:sz w:val="20"/>
          <w:szCs w:val="20"/>
        </w:rPr>
        <w:t>m</w:t>
      </w:r>
      <w:r w:rsidRPr="00255C96">
        <w:rPr>
          <w:rFonts w:ascii="Times New Roman" w:hAnsi="Times New Roman"/>
          <w:sz w:val="20"/>
          <w:szCs w:val="20"/>
        </w:rPr>
        <w:t>odeling. In: White MJ (ed) In</w:t>
      </w:r>
      <w:r w:rsidR="0043250A" w:rsidRPr="00255C96">
        <w:rPr>
          <w:rFonts w:ascii="Times New Roman" w:hAnsi="Times New Roman"/>
          <w:sz w:val="20"/>
          <w:szCs w:val="20"/>
        </w:rPr>
        <w:t>ternational handbook of migration and population d</w:t>
      </w:r>
      <w:r w:rsidRPr="00255C96">
        <w:rPr>
          <w:rFonts w:ascii="Times New Roman" w:hAnsi="Times New Roman"/>
          <w:sz w:val="20"/>
          <w:szCs w:val="20"/>
        </w:rPr>
        <w:t>istribution. Springer Netherlands, Dordrecht</w:t>
      </w:r>
      <w:r w:rsidRPr="008A429B">
        <w:rPr>
          <w:rFonts w:ascii="Times New Roman" w:hAnsi="Times New Roman"/>
          <w:sz w:val="20"/>
          <w:szCs w:val="20"/>
        </w:rPr>
        <w:t xml:space="preserve">, </w:t>
      </w:r>
      <w:r>
        <w:rPr>
          <w:rFonts w:ascii="Times New Roman" w:hAnsi="Times New Roman"/>
          <w:sz w:val="20"/>
          <w:szCs w:val="20"/>
        </w:rPr>
        <w:t xml:space="preserve">vol 6, </w:t>
      </w:r>
      <w:r w:rsidRPr="008A429B">
        <w:rPr>
          <w:rFonts w:ascii="Times New Roman" w:hAnsi="Times New Roman"/>
          <w:sz w:val="20"/>
          <w:szCs w:val="20"/>
        </w:rPr>
        <w:t>pp 225–241</w:t>
      </w:r>
    </w:p>
    <w:p w14:paraId="04B3FD54" w14:textId="77777777" w:rsidR="00A736FE" w:rsidRPr="0016287D" w:rsidRDefault="00A736FE" w:rsidP="00A736FE">
      <w:pPr>
        <w:spacing w:line="480" w:lineRule="auto"/>
        <w:rPr>
          <w:rFonts w:ascii="Times New Roman" w:hAnsi="Times New Roman"/>
          <w:sz w:val="20"/>
          <w:szCs w:val="20"/>
        </w:rPr>
      </w:pPr>
    </w:p>
    <w:p w14:paraId="080A39D0" w14:textId="77777777" w:rsidR="00A736FE" w:rsidRPr="0016287D" w:rsidRDefault="00A736FE" w:rsidP="00A736FE">
      <w:pPr>
        <w:spacing w:line="480" w:lineRule="auto"/>
        <w:rPr>
          <w:rFonts w:ascii="Times New Roman" w:hAnsi="Times New Roman"/>
          <w:sz w:val="20"/>
          <w:szCs w:val="20"/>
        </w:rPr>
      </w:pPr>
      <w:r w:rsidRPr="0016287D">
        <w:rPr>
          <w:rFonts w:ascii="Times New Roman" w:hAnsi="Times New Roman"/>
          <w:sz w:val="20"/>
          <w:szCs w:val="20"/>
        </w:rPr>
        <w:t xml:space="preserve">Williams JL, Ellis MM, Bricker MC, Brodie JF, Parsons EW (2011) Distance to stable stage distribution in plant populations and implications for near-term population projections. J Ecol 99:1171–1178 </w:t>
      </w:r>
    </w:p>
    <w:p w14:paraId="0B58A02E" w14:textId="77777777" w:rsidR="00A736FE" w:rsidRPr="00A41DA5" w:rsidRDefault="00A736FE" w:rsidP="00A736FE">
      <w:pPr>
        <w:spacing w:line="480" w:lineRule="auto"/>
        <w:rPr>
          <w:rFonts w:ascii="Times New Roman" w:hAnsi="Times New Roman"/>
          <w:sz w:val="20"/>
          <w:szCs w:val="20"/>
        </w:rPr>
      </w:pPr>
    </w:p>
    <w:p w14:paraId="6205C05A" w14:textId="77777777" w:rsidR="00A736FE" w:rsidRPr="00A41DA5" w:rsidRDefault="00A736FE" w:rsidP="00A736FE">
      <w:pPr>
        <w:spacing w:line="480" w:lineRule="auto"/>
        <w:rPr>
          <w:rFonts w:ascii="Times New Roman" w:hAnsi="Times New Roman"/>
          <w:sz w:val="20"/>
          <w:szCs w:val="20"/>
        </w:rPr>
      </w:pPr>
      <w:r w:rsidRPr="00A41DA5">
        <w:rPr>
          <w:rFonts w:ascii="Times New Roman" w:hAnsi="Times New Roman"/>
          <w:sz w:val="20"/>
          <w:szCs w:val="20"/>
        </w:rPr>
        <w:lastRenderedPageBreak/>
        <w:t>Wiśniowski A, Forster JJ, Smith PWF, Bijak J, Raymer J (2016) Integrated modelling of age and sex patterns of European migration. J R</w:t>
      </w:r>
      <w:r w:rsidR="009538AF">
        <w:rPr>
          <w:rFonts w:ascii="Times New Roman" w:hAnsi="Times New Roman"/>
          <w:sz w:val="20"/>
          <w:szCs w:val="20"/>
        </w:rPr>
        <w:t>oy</w:t>
      </w:r>
      <w:r w:rsidRPr="00A41DA5">
        <w:rPr>
          <w:rFonts w:ascii="Times New Roman" w:hAnsi="Times New Roman"/>
          <w:sz w:val="20"/>
          <w:szCs w:val="20"/>
        </w:rPr>
        <w:t xml:space="preserve"> S</w:t>
      </w:r>
      <w:r>
        <w:rPr>
          <w:rFonts w:ascii="Times New Roman" w:hAnsi="Times New Roman"/>
          <w:sz w:val="20"/>
          <w:szCs w:val="20"/>
        </w:rPr>
        <w:t>tat Soc A Sta</w:t>
      </w:r>
      <w:r w:rsidR="009538AF">
        <w:rPr>
          <w:rFonts w:ascii="Times New Roman" w:hAnsi="Times New Roman"/>
          <w:sz w:val="20"/>
          <w:szCs w:val="20"/>
        </w:rPr>
        <w:t>t</w:t>
      </w:r>
      <w:r>
        <w:rPr>
          <w:rFonts w:ascii="Times New Roman" w:hAnsi="Times New Roman"/>
          <w:sz w:val="20"/>
          <w:szCs w:val="20"/>
        </w:rPr>
        <w:t xml:space="preserve"> 179:1007–1024</w:t>
      </w:r>
      <w:r w:rsidRPr="00A41DA5">
        <w:rPr>
          <w:rFonts w:ascii="Times New Roman" w:hAnsi="Times New Roman"/>
          <w:sz w:val="20"/>
          <w:szCs w:val="20"/>
        </w:rPr>
        <w:t xml:space="preserve"> </w:t>
      </w:r>
    </w:p>
    <w:p w14:paraId="11B12D04" w14:textId="77777777" w:rsidR="00A736FE" w:rsidRPr="00A41DA5" w:rsidRDefault="00A736FE" w:rsidP="00A736FE">
      <w:pPr>
        <w:spacing w:line="480" w:lineRule="auto"/>
        <w:rPr>
          <w:rFonts w:ascii="Times New Roman" w:hAnsi="Times New Roman"/>
          <w:sz w:val="20"/>
          <w:szCs w:val="20"/>
        </w:rPr>
      </w:pPr>
    </w:p>
    <w:p w14:paraId="5518B0A5" w14:textId="77777777" w:rsidR="00A736FE" w:rsidRDefault="00A736FE" w:rsidP="00A736FE">
      <w:pPr>
        <w:spacing w:line="480" w:lineRule="auto"/>
        <w:rPr>
          <w:rFonts w:ascii="Times New Roman" w:hAnsi="Times New Roman"/>
          <w:sz w:val="20"/>
          <w:szCs w:val="20"/>
        </w:rPr>
      </w:pPr>
      <w:r w:rsidRPr="005F0A53">
        <w:rPr>
          <w:rFonts w:ascii="Times New Roman" w:hAnsi="Times New Roman"/>
          <w:sz w:val="20"/>
          <w:szCs w:val="20"/>
        </w:rPr>
        <w:t>Wood S, Scheipl F (2016) gamm4: Generalized Additive Mixed Models using 'mgcv' and 'lme4'. R package</w:t>
      </w:r>
      <w:r>
        <w:rPr>
          <w:rFonts w:ascii="Times New Roman" w:hAnsi="Times New Roman"/>
          <w:sz w:val="20"/>
          <w:szCs w:val="20"/>
        </w:rPr>
        <w:t xml:space="preserve"> </w:t>
      </w:r>
      <w:r w:rsidRPr="005F0A53">
        <w:rPr>
          <w:rFonts w:ascii="Times New Roman" w:hAnsi="Times New Roman"/>
          <w:sz w:val="20"/>
          <w:szCs w:val="20"/>
        </w:rPr>
        <w:t xml:space="preserve">version 0.2-4. </w:t>
      </w:r>
      <w:hyperlink r:id="rId12" w:history="1">
        <w:r w:rsidRPr="005F0A53">
          <w:rPr>
            <w:rStyle w:val="Hyperlink"/>
            <w:rFonts w:ascii="Times New Roman" w:hAnsi="Times New Roman"/>
            <w:sz w:val="20"/>
            <w:szCs w:val="20"/>
          </w:rPr>
          <w:t>https://CRAN.R-project.org/package=gamm4</w:t>
        </w:r>
      </w:hyperlink>
      <w:r w:rsidRPr="005F0A53">
        <w:rPr>
          <w:rFonts w:ascii="Times New Roman" w:hAnsi="Times New Roman"/>
          <w:sz w:val="20"/>
          <w:szCs w:val="20"/>
        </w:rPr>
        <w:t xml:space="preserve"> </w:t>
      </w:r>
    </w:p>
    <w:p w14:paraId="2F3D7AA4" w14:textId="77777777" w:rsidR="00A736FE" w:rsidRDefault="00A736FE" w:rsidP="00A736FE">
      <w:pPr>
        <w:spacing w:line="480" w:lineRule="auto"/>
        <w:rPr>
          <w:rFonts w:ascii="Times New Roman" w:hAnsi="Times New Roman"/>
          <w:sz w:val="20"/>
          <w:szCs w:val="20"/>
        </w:rPr>
      </w:pPr>
    </w:p>
    <w:p w14:paraId="6496B11B" w14:textId="77777777" w:rsidR="004D79B1" w:rsidRDefault="00A736FE" w:rsidP="00EC5F19">
      <w:pPr>
        <w:spacing w:line="480" w:lineRule="auto"/>
      </w:pPr>
      <w:r w:rsidRPr="00F61565">
        <w:rPr>
          <w:rFonts w:ascii="Times New Roman" w:hAnsi="Times New Roman"/>
          <w:sz w:val="20"/>
          <w:szCs w:val="20"/>
        </w:rPr>
        <w:t>Yearsley JM (2004) Transient population dynamics and short-term sensitivity</w:t>
      </w:r>
      <w:r w:rsidRPr="00A41DA5">
        <w:rPr>
          <w:rFonts w:ascii="Times New Roman" w:hAnsi="Times New Roman"/>
          <w:sz w:val="20"/>
          <w:szCs w:val="20"/>
        </w:rPr>
        <w:t xml:space="preserve"> analysis of matrix population models. Ecol M</w:t>
      </w:r>
      <w:r>
        <w:rPr>
          <w:rFonts w:ascii="Times New Roman" w:hAnsi="Times New Roman"/>
          <w:sz w:val="20"/>
          <w:szCs w:val="20"/>
        </w:rPr>
        <w:t>odel 177:245–258</w:t>
      </w:r>
      <w:r w:rsidRPr="00A41DA5">
        <w:rPr>
          <w:rFonts w:ascii="Times New Roman" w:hAnsi="Times New Roman"/>
          <w:sz w:val="20"/>
          <w:szCs w:val="20"/>
        </w:rPr>
        <w:t xml:space="preserve"> </w:t>
      </w:r>
    </w:p>
    <w:sectPr w:rsidR="004D79B1" w:rsidSect="001353CF">
      <w:footerReference w:type="default" r:id="rId13"/>
      <w:pgSz w:w="11906" w:h="16838"/>
      <w:pgMar w:top="1440" w:right="1440" w:bottom="1440" w:left="1440" w:header="708" w:footer="708" w:gutter="0"/>
      <w:lnNumType w:countBy="1" w:restart="continuou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BD3EE" w14:textId="77777777" w:rsidR="00BE0689" w:rsidRDefault="00BE0689" w:rsidP="00A736FE">
      <w:r>
        <w:separator/>
      </w:r>
    </w:p>
  </w:endnote>
  <w:endnote w:type="continuationSeparator" w:id="0">
    <w:p w14:paraId="772DE204" w14:textId="77777777" w:rsidR="00BE0689" w:rsidRDefault="00BE0689" w:rsidP="00A73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TIXGeneral-Regular">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1647953"/>
      <w:docPartObj>
        <w:docPartGallery w:val="Page Numbers (Bottom of Page)"/>
        <w:docPartUnique/>
      </w:docPartObj>
    </w:sdtPr>
    <w:sdtEndPr>
      <w:rPr>
        <w:noProof/>
      </w:rPr>
    </w:sdtEndPr>
    <w:sdtContent>
      <w:p w14:paraId="05C9990E" w14:textId="77777777" w:rsidR="00BE0689" w:rsidRDefault="00BE0689">
        <w:pPr>
          <w:pStyle w:val="Footer"/>
          <w:jc w:val="center"/>
        </w:pPr>
        <w:r>
          <w:fldChar w:fldCharType="begin"/>
        </w:r>
        <w:r>
          <w:instrText xml:space="preserve"> PAGE   \* MERGEFORMAT </w:instrText>
        </w:r>
        <w:r>
          <w:fldChar w:fldCharType="separate"/>
        </w:r>
        <w:r w:rsidR="00C51040">
          <w:rPr>
            <w:noProof/>
          </w:rPr>
          <w:t>20</w:t>
        </w:r>
        <w:r>
          <w:rPr>
            <w:noProof/>
          </w:rPr>
          <w:fldChar w:fldCharType="end"/>
        </w:r>
      </w:p>
    </w:sdtContent>
  </w:sdt>
  <w:p w14:paraId="220156B3" w14:textId="77777777" w:rsidR="00BE0689" w:rsidRDefault="00BE06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53640" w14:textId="77777777" w:rsidR="00BE0689" w:rsidRDefault="00BE0689" w:rsidP="00A736FE">
      <w:r>
        <w:separator/>
      </w:r>
    </w:p>
  </w:footnote>
  <w:footnote w:type="continuationSeparator" w:id="0">
    <w:p w14:paraId="65EBB9F6" w14:textId="77777777" w:rsidR="00BE0689" w:rsidRDefault="00BE0689" w:rsidP="00A736FE">
      <w:r>
        <w:continuationSeparator/>
      </w:r>
    </w:p>
  </w:footnote>
  <w:footnote w:id="1">
    <w:p w14:paraId="5FE33603" w14:textId="77777777" w:rsidR="00BE0689" w:rsidRDefault="00BE0689" w:rsidP="00A736FE">
      <w:pPr>
        <w:pStyle w:val="FootnoteText"/>
      </w:pPr>
      <w:r>
        <w:rPr>
          <w:rStyle w:val="FootnoteReference"/>
        </w:rPr>
        <w:footnoteRef/>
      </w:r>
      <w:r>
        <w:t xml:space="preserve"> </w:t>
      </w:r>
      <w:r>
        <w:rPr>
          <w:rFonts w:ascii="Times New Roman" w:hAnsi="Times New Roman"/>
        </w:rPr>
        <w:t xml:space="preserve">For readers unfamiliar with eigenvalues and eigenvectors, we recommend the following webpage: </w:t>
      </w:r>
      <w:hyperlink r:id="rId1" w:history="1">
        <w:r w:rsidRPr="00DE551D">
          <w:rPr>
            <w:rStyle w:val="Hyperlink"/>
            <w:rFonts w:ascii="Times New Roman" w:hAnsi="Times New Roman"/>
          </w:rPr>
          <w:t>http://setosa.io/ev/eigenvectors-and-eigenvalues/</w:t>
        </w:r>
      </w:hyperlink>
      <w:r>
        <w:rPr>
          <w:rFonts w:ascii="Times New Roman" w:hAnsi="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013A70"/>
    <w:multiLevelType w:val="hybridMultilevel"/>
    <w:tmpl w:val="8F565C7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6FE"/>
    <w:rsid w:val="00014D5C"/>
    <w:rsid w:val="00032BC6"/>
    <w:rsid w:val="00032F60"/>
    <w:rsid w:val="000726BF"/>
    <w:rsid w:val="000A5B15"/>
    <w:rsid w:val="000B0905"/>
    <w:rsid w:val="000B37EF"/>
    <w:rsid w:val="000C1EA0"/>
    <w:rsid w:val="000C3F22"/>
    <w:rsid w:val="000D7432"/>
    <w:rsid w:val="001335A3"/>
    <w:rsid w:val="001353CF"/>
    <w:rsid w:val="00146F20"/>
    <w:rsid w:val="00160F8A"/>
    <w:rsid w:val="00164A54"/>
    <w:rsid w:val="001915F0"/>
    <w:rsid w:val="001B112D"/>
    <w:rsid w:val="001C7AA1"/>
    <w:rsid w:val="001D3BEF"/>
    <w:rsid w:val="00210FDE"/>
    <w:rsid w:val="0021534B"/>
    <w:rsid w:val="00255C96"/>
    <w:rsid w:val="002A68AC"/>
    <w:rsid w:val="00311678"/>
    <w:rsid w:val="00336A24"/>
    <w:rsid w:val="00344D8B"/>
    <w:rsid w:val="00345FF9"/>
    <w:rsid w:val="0036029D"/>
    <w:rsid w:val="003A4BAB"/>
    <w:rsid w:val="003B2E94"/>
    <w:rsid w:val="003E3E56"/>
    <w:rsid w:val="004020E8"/>
    <w:rsid w:val="004066E7"/>
    <w:rsid w:val="00407827"/>
    <w:rsid w:val="0043250A"/>
    <w:rsid w:val="00432BB9"/>
    <w:rsid w:val="00450454"/>
    <w:rsid w:val="00457D9A"/>
    <w:rsid w:val="004778D7"/>
    <w:rsid w:val="004A1E69"/>
    <w:rsid w:val="004D79B1"/>
    <w:rsid w:val="004F0C58"/>
    <w:rsid w:val="004F2AA0"/>
    <w:rsid w:val="00507525"/>
    <w:rsid w:val="00540822"/>
    <w:rsid w:val="00555EBF"/>
    <w:rsid w:val="00557549"/>
    <w:rsid w:val="00600840"/>
    <w:rsid w:val="00623E9E"/>
    <w:rsid w:val="006631C3"/>
    <w:rsid w:val="00685E17"/>
    <w:rsid w:val="0069421D"/>
    <w:rsid w:val="0069483A"/>
    <w:rsid w:val="006A15DD"/>
    <w:rsid w:val="006B32C5"/>
    <w:rsid w:val="006C2582"/>
    <w:rsid w:val="006E2CEC"/>
    <w:rsid w:val="00702C7A"/>
    <w:rsid w:val="00704686"/>
    <w:rsid w:val="00714DD9"/>
    <w:rsid w:val="00754915"/>
    <w:rsid w:val="0076147D"/>
    <w:rsid w:val="00765E3C"/>
    <w:rsid w:val="00772E38"/>
    <w:rsid w:val="007B09CA"/>
    <w:rsid w:val="007C458F"/>
    <w:rsid w:val="008050C5"/>
    <w:rsid w:val="00810394"/>
    <w:rsid w:val="00843DB0"/>
    <w:rsid w:val="0085768A"/>
    <w:rsid w:val="00892887"/>
    <w:rsid w:val="008B1BBC"/>
    <w:rsid w:val="008E1009"/>
    <w:rsid w:val="008E3DCD"/>
    <w:rsid w:val="00922328"/>
    <w:rsid w:val="0093579B"/>
    <w:rsid w:val="00945A33"/>
    <w:rsid w:val="00946EDC"/>
    <w:rsid w:val="009513D4"/>
    <w:rsid w:val="009538AF"/>
    <w:rsid w:val="00957AFA"/>
    <w:rsid w:val="009608AD"/>
    <w:rsid w:val="00961A77"/>
    <w:rsid w:val="009829CE"/>
    <w:rsid w:val="009B705F"/>
    <w:rsid w:val="009C44DC"/>
    <w:rsid w:val="00A04095"/>
    <w:rsid w:val="00A13CEA"/>
    <w:rsid w:val="00A22B3F"/>
    <w:rsid w:val="00A33EF0"/>
    <w:rsid w:val="00A526D0"/>
    <w:rsid w:val="00A54C37"/>
    <w:rsid w:val="00A736FE"/>
    <w:rsid w:val="00B00047"/>
    <w:rsid w:val="00B033D4"/>
    <w:rsid w:val="00B51CA9"/>
    <w:rsid w:val="00B76C6B"/>
    <w:rsid w:val="00B82781"/>
    <w:rsid w:val="00B96367"/>
    <w:rsid w:val="00BE0689"/>
    <w:rsid w:val="00C03AA5"/>
    <w:rsid w:val="00C17D06"/>
    <w:rsid w:val="00C26F72"/>
    <w:rsid w:val="00C51040"/>
    <w:rsid w:val="00C5485E"/>
    <w:rsid w:val="00C7052B"/>
    <w:rsid w:val="00C728E9"/>
    <w:rsid w:val="00C76138"/>
    <w:rsid w:val="00C815F2"/>
    <w:rsid w:val="00C970B4"/>
    <w:rsid w:val="00CB2D24"/>
    <w:rsid w:val="00D178B9"/>
    <w:rsid w:val="00D573BA"/>
    <w:rsid w:val="00D60461"/>
    <w:rsid w:val="00D746F4"/>
    <w:rsid w:val="00D76BA6"/>
    <w:rsid w:val="00DB2C79"/>
    <w:rsid w:val="00E0278D"/>
    <w:rsid w:val="00E15B00"/>
    <w:rsid w:val="00E17DB4"/>
    <w:rsid w:val="00E26F56"/>
    <w:rsid w:val="00E27A5D"/>
    <w:rsid w:val="00E562A9"/>
    <w:rsid w:val="00E67089"/>
    <w:rsid w:val="00E70801"/>
    <w:rsid w:val="00EB3635"/>
    <w:rsid w:val="00EC047D"/>
    <w:rsid w:val="00EC5F19"/>
    <w:rsid w:val="00ED2047"/>
    <w:rsid w:val="00EF4F6B"/>
    <w:rsid w:val="00F234CF"/>
    <w:rsid w:val="00F50EED"/>
    <w:rsid w:val="00F665FE"/>
    <w:rsid w:val="00FB4A3B"/>
    <w:rsid w:val="00FB5D4E"/>
    <w:rsid w:val="00FE01D6"/>
    <w:rsid w:val="00FE7540"/>
    <w:rsid w:val="00FF0E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5649B8E9"/>
  <w15:docId w15:val="{F581C886-8406-43F9-99B3-AE277C838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GB" w:eastAsia="en-US" w:bidi="ar-SA"/>
      </w:rPr>
    </w:rPrDefault>
    <w:pPrDefault>
      <w:pPr>
        <w:autoSpaceDN w:val="0"/>
        <w:textAlignment w:val="baseline"/>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736FE"/>
  </w:style>
  <w:style w:type="paragraph" w:styleId="Heading2">
    <w:name w:val="heading 2"/>
    <w:basedOn w:val="Normal"/>
    <w:next w:val="Normal"/>
    <w:link w:val="Heading2Char"/>
    <w:uiPriority w:val="9"/>
    <w:unhideWhenUsed/>
    <w:qFormat/>
    <w:rsid w:val="00A736F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736F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36F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736FE"/>
    <w:rPr>
      <w:rFonts w:asciiTheme="majorHAnsi" w:eastAsiaTheme="majorEastAsia" w:hAnsiTheme="majorHAnsi" w:cstheme="majorBidi"/>
      <w:color w:val="1F4D78" w:themeColor="accent1" w:themeShade="7F"/>
      <w:sz w:val="24"/>
      <w:szCs w:val="24"/>
    </w:rPr>
  </w:style>
  <w:style w:type="paragraph" w:styleId="NoSpacing">
    <w:name w:val="No Spacing"/>
    <w:uiPriority w:val="1"/>
    <w:rsid w:val="00A736FE"/>
  </w:style>
  <w:style w:type="character" w:styleId="Hyperlink">
    <w:name w:val="Hyperlink"/>
    <w:basedOn w:val="DefaultParagraphFont"/>
    <w:uiPriority w:val="99"/>
    <w:unhideWhenUsed/>
    <w:rsid w:val="00A736FE"/>
    <w:rPr>
      <w:color w:val="0000FF"/>
      <w:u w:val="single"/>
    </w:rPr>
  </w:style>
  <w:style w:type="paragraph" w:styleId="ListParagraph">
    <w:name w:val="List Paragraph"/>
    <w:basedOn w:val="Normal"/>
    <w:uiPriority w:val="34"/>
    <w:rsid w:val="00A736FE"/>
    <w:pPr>
      <w:ind w:left="720"/>
      <w:contextualSpacing/>
    </w:pPr>
  </w:style>
  <w:style w:type="paragraph" w:styleId="Footer">
    <w:name w:val="footer"/>
    <w:basedOn w:val="Normal"/>
    <w:link w:val="FooterChar"/>
    <w:uiPriority w:val="99"/>
    <w:unhideWhenUsed/>
    <w:rsid w:val="00A736FE"/>
    <w:pPr>
      <w:tabs>
        <w:tab w:val="center" w:pos="4513"/>
        <w:tab w:val="right" w:pos="9026"/>
      </w:tabs>
    </w:pPr>
  </w:style>
  <w:style w:type="character" w:customStyle="1" w:styleId="FooterChar">
    <w:name w:val="Footer Char"/>
    <w:basedOn w:val="DefaultParagraphFont"/>
    <w:link w:val="Footer"/>
    <w:uiPriority w:val="99"/>
    <w:rsid w:val="00A736FE"/>
  </w:style>
  <w:style w:type="character" w:styleId="LineNumber">
    <w:name w:val="line number"/>
    <w:basedOn w:val="DefaultParagraphFont"/>
    <w:uiPriority w:val="99"/>
    <w:semiHidden/>
    <w:unhideWhenUsed/>
    <w:rsid w:val="00A736FE"/>
  </w:style>
  <w:style w:type="character" w:styleId="CommentReference">
    <w:name w:val="annotation reference"/>
    <w:basedOn w:val="DefaultParagraphFont"/>
    <w:uiPriority w:val="99"/>
    <w:semiHidden/>
    <w:unhideWhenUsed/>
    <w:rsid w:val="00A736FE"/>
    <w:rPr>
      <w:sz w:val="16"/>
      <w:szCs w:val="16"/>
    </w:rPr>
  </w:style>
  <w:style w:type="paragraph" w:styleId="CommentText">
    <w:name w:val="annotation text"/>
    <w:basedOn w:val="Normal"/>
    <w:link w:val="CommentTextChar"/>
    <w:uiPriority w:val="99"/>
    <w:semiHidden/>
    <w:unhideWhenUsed/>
    <w:rsid w:val="00A736FE"/>
    <w:rPr>
      <w:sz w:val="20"/>
      <w:szCs w:val="20"/>
    </w:rPr>
  </w:style>
  <w:style w:type="character" w:customStyle="1" w:styleId="CommentTextChar">
    <w:name w:val="Comment Text Char"/>
    <w:basedOn w:val="DefaultParagraphFont"/>
    <w:link w:val="CommentText"/>
    <w:uiPriority w:val="99"/>
    <w:semiHidden/>
    <w:rsid w:val="00A736FE"/>
    <w:rPr>
      <w:sz w:val="20"/>
      <w:szCs w:val="20"/>
    </w:rPr>
  </w:style>
  <w:style w:type="paragraph" w:styleId="CommentSubject">
    <w:name w:val="annotation subject"/>
    <w:basedOn w:val="CommentText"/>
    <w:next w:val="CommentText"/>
    <w:link w:val="CommentSubjectChar"/>
    <w:uiPriority w:val="99"/>
    <w:semiHidden/>
    <w:unhideWhenUsed/>
    <w:rsid w:val="00A736FE"/>
    <w:rPr>
      <w:b/>
      <w:bCs/>
    </w:rPr>
  </w:style>
  <w:style w:type="character" w:customStyle="1" w:styleId="CommentSubjectChar">
    <w:name w:val="Comment Subject Char"/>
    <w:basedOn w:val="CommentTextChar"/>
    <w:link w:val="CommentSubject"/>
    <w:uiPriority w:val="99"/>
    <w:semiHidden/>
    <w:rsid w:val="00A736FE"/>
    <w:rPr>
      <w:b/>
      <w:bCs/>
      <w:sz w:val="20"/>
      <w:szCs w:val="20"/>
    </w:rPr>
  </w:style>
  <w:style w:type="paragraph" w:styleId="Revision">
    <w:name w:val="Revision"/>
    <w:hidden/>
    <w:uiPriority w:val="99"/>
    <w:semiHidden/>
    <w:rsid w:val="00A736FE"/>
    <w:pPr>
      <w:autoSpaceDN/>
      <w:textAlignment w:val="auto"/>
    </w:pPr>
  </w:style>
  <w:style w:type="paragraph" w:styleId="BalloonText">
    <w:name w:val="Balloon Text"/>
    <w:basedOn w:val="Normal"/>
    <w:link w:val="BalloonTextChar"/>
    <w:uiPriority w:val="99"/>
    <w:semiHidden/>
    <w:unhideWhenUsed/>
    <w:rsid w:val="00A736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6FE"/>
    <w:rPr>
      <w:rFonts w:ascii="Segoe UI" w:hAnsi="Segoe UI" w:cs="Segoe UI"/>
      <w:sz w:val="18"/>
      <w:szCs w:val="18"/>
    </w:rPr>
  </w:style>
  <w:style w:type="character" w:styleId="PlaceholderText">
    <w:name w:val="Placeholder Text"/>
    <w:basedOn w:val="DefaultParagraphFont"/>
    <w:uiPriority w:val="99"/>
    <w:semiHidden/>
    <w:rsid w:val="00A736FE"/>
    <w:rPr>
      <w:color w:val="808080"/>
    </w:rPr>
  </w:style>
  <w:style w:type="paragraph" w:styleId="FootnoteText">
    <w:name w:val="footnote text"/>
    <w:basedOn w:val="Normal"/>
    <w:link w:val="FootnoteTextChar"/>
    <w:uiPriority w:val="99"/>
    <w:semiHidden/>
    <w:unhideWhenUsed/>
    <w:rsid w:val="00A736FE"/>
    <w:rPr>
      <w:sz w:val="20"/>
      <w:szCs w:val="20"/>
    </w:rPr>
  </w:style>
  <w:style w:type="character" w:customStyle="1" w:styleId="FootnoteTextChar">
    <w:name w:val="Footnote Text Char"/>
    <w:basedOn w:val="DefaultParagraphFont"/>
    <w:link w:val="FootnoteText"/>
    <w:uiPriority w:val="99"/>
    <w:semiHidden/>
    <w:rsid w:val="00A736FE"/>
    <w:rPr>
      <w:sz w:val="20"/>
      <w:szCs w:val="20"/>
    </w:rPr>
  </w:style>
  <w:style w:type="character" w:styleId="FootnoteReference">
    <w:name w:val="footnote reference"/>
    <w:basedOn w:val="DefaultParagraphFont"/>
    <w:uiPriority w:val="99"/>
    <w:semiHidden/>
    <w:unhideWhenUsed/>
    <w:rsid w:val="00A736FE"/>
    <w:rPr>
      <w:vertAlign w:val="superscript"/>
    </w:rPr>
  </w:style>
  <w:style w:type="paragraph" w:styleId="Caption">
    <w:name w:val="caption"/>
    <w:basedOn w:val="Normal"/>
    <w:next w:val="Normal"/>
    <w:uiPriority w:val="35"/>
    <w:unhideWhenUsed/>
    <w:qFormat/>
    <w:rsid w:val="00A736FE"/>
    <w:pPr>
      <w:spacing w:after="200"/>
    </w:pPr>
    <w:rPr>
      <w:i/>
      <w:iCs/>
      <w:color w:val="44546A" w:themeColor="text2"/>
      <w:sz w:val="18"/>
      <w:szCs w:val="18"/>
    </w:rPr>
  </w:style>
  <w:style w:type="table" w:styleId="TableGrid">
    <w:name w:val="Table Grid"/>
    <w:basedOn w:val="TableNormal"/>
    <w:uiPriority w:val="39"/>
    <w:rsid w:val="00A73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782878">
      <w:bodyDiv w:val="1"/>
      <w:marLeft w:val="0"/>
      <w:marRight w:val="0"/>
      <w:marTop w:val="0"/>
      <w:marBottom w:val="0"/>
      <w:divBdr>
        <w:top w:val="none" w:sz="0" w:space="0" w:color="auto"/>
        <w:left w:val="none" w:sz="0" w:space="0" w:color="auto"/>
        <w:bottom w:val="none" w:sz="0" w:space="0" w:color="auto"/>
        <w:right w:val="none" w:sz="0" w:space="0" w:color="auto"/>
      </w:divBdr>
      <w:divsChild>
        <w:div w:id="664478564">
          <w:marLeft w:val="0"/>
          <w:marRight w:val="0"/>
          <w:marTop w:val="0"/>
          <w:marBottom w:val="0"/>
          <w:divBdr>
            <w:top w:val="single" w:sz="6" w:space="16" w:color="414141"/>
            <w:left w:val="single" w:sz="6" w:space="18" w:color="414141"/>
            <w:bottom w:val="single" w:sz="6" w:space="0" w:color="414141"/>
            <w:right w:val="single" w:sz="6" w:space="31" w:color="414141"/>
          </w:divBdr>
          <w:divsChild>
            <w:div w:id="497381642">
              <w:marLeft w:val="0"/>
              <w:marRight w:val="0"/>
              <w:marTop w:val="0"/>
              <w:marBottom w:val="0"/>
              <w:divBdr>
                <w:top w:val="none" w:sz="0" w:space="0" w:color="auto"/>
                <w:left w:val="none" w:sz="0" w:space="0" w:color="auto"/>
                <w:bottom w:val="none" w:sz="0" w:space="0" w:color="auto"/>
                <w:right w:val="none" w:sz="0" w:space="0" w:color="auto"/>
              </w:divBdr>
            </w:div>
          </w:divsChild>
        </w:div>
        <w:div w:id="1746369327">
          <w:marLeft w:val="0"/>
          <w:marRight w:val="0"/>
          <w:marTop w:val="0"/>
          <w:marBottom w:val="0"/>
          <w:divBdr>
            <w:top w:val="single" w:sz="6" w:space="16" w:color="414141"/>
            <w:left w:val="single" w:sz="6" w:space="18" w:color="414141"/>
            <w:bottom w:val="single" w:sz="6" w:space="0" w:color="414141"/>
            <w:right w:val="single" w:sz="6" w:space="31" w:color="414141"/>
          </w:divBdr>
          <w:divsChild>
            <w:div w:id="949240346">
              <w:marLeft w:val="0"/>
              <w:marRight w:val="0"/>
              <w:marTop w:val="0"/>
              <w:marBottom w:val="0"/>
              <w:divBdr>
                <w:top w:val="none" w:sz="0" w:space="0" w:color="auto"/>
                <w:left w:val="none" w:sz="0" w:space="0" w:color="auto"/>
                <w:bottom w:val="none" w:sz="0" w:space="0" w:color="auto"/>
                <w:right w:val="none" w:sz="0" w:space="0" w:color="auto"/>
              </w:divBdr>
            </w:div>
          </w:divsChild>
        </w:div>
        <w:div w:id="269433499">
          <w:marLeft w:val="0"/>
          <w:marRight w:val="0"/>
          <w:marTop w:val="0"/>
          <w:marBottom w:val="0"/>
          <w:divBdr>
            <w:top w:val="single" w:sz="6" w:space="16" w:color="414141"/>
            <w:left w:val="single" w:sz="6" w:space="18" w:color="414141"/>
            <w:bottom w:val="single" w:sz="6" w:space="0" w:color="414141"/>
            <w:right w:val="single" w:sz="6" w:space="31" w:color="414141"/>
          </w:divBdr>
          <w:divsChild>
            <w:div w:id="1542749206">
              <w:marLeft w:val="0"/>
              <w:marRight w:val="0"/>
              <w:marTop w:val="0"/>
              <w:marBottom w:val="0"/>
              <w:divBdr>
                <w:top w:val="none" w:sz="0" w:space="0" w:color="auto"/>
                <w:left w:val="none" w:sz="0" w:space="0" w:color="auto"/>
                <w:bottom w:val="none" w:sz="0" w:space="0" w:color="auto"/>
                <w:right w:val="none" w:sz="0" w:space="0" w:color="auto"/>
              </w:divBdr>
            </w:div>
          </w:divsChild>
        </w:div>
        <w:div w:id="1571890536">
          <w:marLeft w:val="0"/>
          <w:marRight w:val="0"/>
          <w:marTop w:val="0"/>
          <w:marBottom w:val="0"/>
          <w:divBdr>
            <w:top w:val="single" w:sz="6" w:space="16" w:color="414141"/>
            <w:left w:val="single" w:sz="6" w:space="18" w:color="414141"/>
            <w:bottom w:val="single" w:sz="6" w:space="0" w:color="414141"/>
            <w:right w:val="single" w:sz="6" w:space="31" w:color="414141"/>
          </w:divBdr>
          <w:divsChild>
            <w:div w:id="1618636607">
              <w:marLeft w:val="0"/>
              <w:marRight w:val="0"/>
              <w:marTop w:val="0"/>
              <w:marBottom w:val="0"/>
              <w:divBdr>
                <w:top w:val="none" w:sz="0" w:space="0" w:color="auto"/>
                <w:left w:val="none" w:sz="0" w:space="0" w:color="auto"/>
                <w:bottom w:val="none" w:sz="0" w:space="0" w:color="auto"/>
                <w:right w:val="none" w:sz="0" w:space="0" w:color="auto"/>
              </w:divBdr>
            </w:div>
          </w:divsChild>
        </w:div>
        <w:div w:id="17706207">
          <w:marLeft w:val="0"/>
          <w:marRight w:val="0"/>
          <w:marTop w:val="0"/>
          <w:marBottom w:val="0"/>
          <w:divBdr>
            <w:top w:val="single" w:sz="6" w:space="16" w:color="414141"/>
            <w:left w:val="single" w:sz="6" w:space="18" w:color="414141"/>
            <w:bottom w:val="single" w:sz="6" w:space="0" w:color="414141"/>
            <w:right w:val="single" w:sz="6" w:space="31" w:color="414141"/>
          </w:divBdr>
          <w:divsChild>
            <w:div w:id="196554061">
              <w:marLeft w:val="0"/>
              <w:marRight w:val="0"/>
              <w:marTop w:val="0"/>
              <w:marBottom w:val="0"/>
              <w:divBdr>
                <w:top w:val="none" w:sz="0" w:space="0" w:color="auto"/>
                <w:left w:val="none" w:sz="0" w:space="0" w:color="auto"/>
                <w:bottom w:val="none" w:sz="0" w:space="0" w:color="auto"/>
                <w:right w:val="none" w:sz="0" w:space="0" w:color="auto"/>
              </w:divBdr>
            </w:div>
          </w:divsChild>
        </w:div>
        <w:div w:id="530001406">
          <w:marLeft w:val="0"/>
          <w:marRight w:val="0"/>
          <w:marTop w:val="0"/>
          <w:marBottom w:val="0"/>
          <w:divBdr>
            <w:top w:val="single" w:sz="6" w:space="16" w:color="414141"/>
            <w:left w:val="single" w:sz="6" w:space="18" w:color="414141"/>
            <w:bottom w:val="single" w:sz="6" w:space="0" w:color="414141"/>
            <w:right w:val="single" w:sz="6" w:space="31" w:color="414141"/>
          </w:divBdr>
          <w:divsChild>
            <w:div w:id="1775132082">
              <w:marLeft w:val="0"/>
              <w:marRight w:val="0"/>
              <w:marTop w:val="0"/>
              <w:marBottom w:val="0"/>
              <w:divBdr>
                <w:top w:val="none" w:sz="0" w:space="0" w:color="auto"/>
                <w:left w:val="none" w:sz="0" w:space="0" w:color="auto"/>
                <w:bottom w:val="none" w:sz="0" w:space="0" w:color="auto"/>
                <w:right w:val="none" w:sz="0" w:space="0" w:color="auto"/>
              </w:divBdr>
            </w:div>
          </w:divsChild>
        </w:div>
        <w:div w:id="921764790">
          <w:marLeft w:val="0"/>
          <w:marRight w:val="0"/>
          <w:marTop w:val="0"/>
          <w:marBottom w:val="0"/>
          <w:divBdr>
            <w:top w:val="single" w:sz="6" w:space="16" w:color="414141"/>
            <w:left w:val="single" w:sz="6" w:space="18" w:color="414141"/>
            <w:bottom w:val="single" w:sz="6" w:space="0" w:color="414141"/>
            <w:right w:val="single" w:sz="6" w:space="31" w:color="414141"/>
          </w:divBdr>
          <w:divsChild>
            <w:div w:id="252279261">
              <w:marLeft w:val="0"/>
              <w:marRight w:val="0"/>
              <w:marTop w:val="0"/>
              <w:marBottom w:val="0"/>
              <w:divBdr>
                <w:top w:val="none" w:sz="0" w:space="0" w:color="auto"/>
                <w:left w:val="none" w:sz="0" w:space="0" w:color="auto"/>
                <w:bottom w:val="none" w:sz="0" w:space="0" w:color="auto"/>
                <w:right w:val="none" w:sz="0" w:space="0" w:color="auto"/>
              </w:divBdr>
            </w:div>
          </w:divsChild>
        </w:div>
        <w:div w:id="904951265">
          <w:marLeft w:val="0"/>
          <w:marRight w:val="0"/>
          <w:marTop w:val="0"/>
          <w:marBottom w:val="0"/>
          <w:divBdr>
            <w:top w:val="single" w:sz="6" w:space="16" w:color="414141"/>
            <w:left w:val="single" w:sz="6" w:space="18" w:color="414141"/>
            <w:bottom w:val="single" w:sz="6" w:space="0" w:color="414141"/>
            <w:right w:val="single" w:sz="6" w:space="31" w:color="414141"/>
          </w:divBdr>
          <w:divsChild>
            <w:div w:id="1430856147">
              <w:marLeft w:val="0"/>
              <w:marRight w:val="0"/>
              <w:marTop w:val="0"/>
              <w:marBottom w:val="0"/>
              <w:divBdr>
                <w:top w:val="none" w:sz="0" w:space="0" w:color="auto"/>
                <w:left w:val="none" w:sz="0" w:space="0" w:color="auto"/>
                <w:bottom w:val="none" w:sz="0" w:space="0" w:color="auto"/>
                <w:right w:val="none" w:sz="0" w:space="0" w:color="auto"/>
              </w:divBdr>
            </w:div>
          </w:divsChild>
        </w:div>
        <w:div w:id="108671658">
          <w:marLeft w:val="0"/>
          <w:marRight w:val="0"/>
          <w:marTop w:val="0"/>
          <w:marBottom w:val="0"/>
          <w:divBdr>
            <w:top w:val="single" w:sz="6" w:space="16" w:color="414141"/>
            <w:left w:val="single" w:sz="6" w:space="18" w:color="414141"/>
            <w:bottom w:val="single" w:sz="6" w:space="0" w:color="414141"/>
            <w:right w:val="single" w:sz="6" w:space="31" w:color="414141"/>
          </w:divBdr>
          <w:divsChild>
            <w:div w:id="1871843763">
              <w:marLeft w:val="0"/>
              <w:marRight w:val="0"/>
              <w:marTop w:val="0"/>
              <w:marBottom w:val="0"/>
              <w:divBdr>
                <w:top w:val="none" w:sz="0" w:space="0" w:color="auto"/>
                <w:left w:val="none" w:sz="0" w:space="0" w:color="auto"/>
                <w:bottom w:val="none" w:sz="0" w:space="0" w:color="auto"/>
                <w:right w:val="none" w:sz="0" w:space="0" w:color="auto"/>
              </w:divBdr>
            </w:div>
          </w:divsChild>
        </w:div>
        <w:div w:id="1152215176">
          <w:marLeft w:val="0"/>
          <w:marRight w:val="0"/>
          <w:marTop w:val="0"/>
          <w:marBottom w:val="0"/>
          <w:divBdr>
            <w:top w:val="single" w:sz="6" w:space="16" w:color="414141"/>
            <w:left w:val="single" w:sz="6" w:space="18" w:color="414141"/>
            <w:bottom w:val="single" w:sz="6" w:space="0" w:color="414141"/>
            <w:right w:val="single" w:sz="6" w:space="31" w:color="414141"/>
          </w:divBdr>
          <w:divsChild>
            <w:div w:id="741177501">
              <w:marLeft w:val="0"/>
              <w:marRight w:val="0"/>
              <w:marTop w:val="0"/>
              <w:marBottom w:val="0"/>
              <w:divBdr>
                <w:top w:val="none" w:sz="0" w:space="0" w:color="auto"/>
                <w:left w:val="none" w:sz="0" w:space="0" w:color="auto"/>
                <w:bottom w:val="none" w:sz="0" w:space="0" w:color="auto"/>
                <w:right w:val="none" w:sz="0" w:space="0" w:color="auto"/>
              </w:divBdr>
            </w:div>
          </w:divsChild>
        </w:div>
        <w:div w:id="184288687">
          <w:marLeft w:val="0"/>
          <w:marRight w:val="0"/>
          <w:marTop w:val="0"/>
          <w:marBottom w:val="0"/>
          <w:divBdr>
            <w:top w:val="single" w:sz="6" w:space="16" w:color="414141"/>
            <w:left w:val="single" w:sz="6" w:space="18" w:color="414141"/>
            <w:bottom w:val="single" w:sz="6" w:space="0" w:color="414141"/>
            <w:right w:val="single" w:sz="6" w:space="31" w:color="414141"/>
          </w:divBdr>
          <w:divsChild>
            <w:div w:id="1426342256">
              <w:marLeft w:val="0"/>
              <w:marRight w:val="0"/>
              <w:marTop w:val="0"/>
              <w:marBottom w:val="0"/>
              <w:divBdr>
                <w:top w:val="none" w:sz="0" w:space="0" w:color="auto"/>
                <w:left w:val="none" w:sz="0" w:space="0" w:color="auto"/>
                <w:bottom w:val="none" w:sz="0" w:space="0" w:color="auto"/>
                <w:right w:val="none" w:sz="0" w:space="0" w:color="auto"/>
              </w:divBdr>
            </w:div>
          </w:divsChild>
        </w:div>
        <w:div w:id="319188788">
          <w:marLeft w:val="0"/>
          <w:marRight w:val="0"/>
          <w:marTop w:val="0"/>
          <w:marBottom w:val="0"/>
          <w:divBdr>
            <w:top w:val="single" w:sz="6" w:space="16" w:color="414141"/>
            <w:left w:val="single" w:sz="6" w:space="18" w:color="414141"/>
            <w:bottom w:val="single" w:sz="6" w:space="0" w:color="414141"/>
            <w:right w:val="single" w:sz="6" w:space="31" w:color="414141"/>
          </w:divBdr>
          <w:divsChild>
            <w:div w:id="61409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bank.worldbank.org/data/reports.aspx?source=gender-statistic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c.europa.eu/eurostat" TargetMode="External"/><Relationship Id="rId12" Type="http://schemas.openxmlformats.org/officeDocument/2006/relationships/hyperlink" Target="https://CRAN.R-project.org/package=gamm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project.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ran.r-project.org/web/packages/RColorBrewer/index.html" TargetMode="External"/><Relationship Id="rId4" Type="http://schemas.openxmlformats.org/officeDocument/2006/relationships/webSettings" Target="webSettings.xml"/><Relationship Id="rId9" Type="http://schemas.openxmlformats.org/officeDocument/2006/relationships/hyperlink" Target="https://CRAN.R-project.org/package=paran"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osa.io/ev/eigenvectors-and-eigenval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7667</Words>
  <Characters>43702</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Nicol-Harper</dc:creator>
  <cp:keywords/>
  <dc:description/>
  <cp:lastModifiedBy>Lapage K.P.</cp:lastModifiedBy>
  <cp:revision>2</cp:revision>
  <dcterms:created xsi:type="dcterms:W3CDTF">2018-05-23T09:30:00Z</dcterms:created>
  <dcterms:modified xsi:type="dcterms:W3CDTF">2018-05-23T09:30:00Z</dcterms:modified>
</cp:coreProperties>
</file>